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F9FD1" w14:textId="77777777" w:rsidR="002C24D0" w:rsidRDefault="002C24D0" w:rsidP="002C24D0">
      <w:pPr>
        <w:spacing w:after="4" w:line="259" w:lineRule="auto"/>
        <w:ind w:left="4" w:firstLine="0"/>
        <w:jc w:val="center"/>
      </w:pPr>
      <w:bookmarkStart w:id="0" w:name="_GoBack"/>
      <w:bookmarkEnd w:id="0"/>
      <w:r>
        <w:rPr>
          <w:noProof/>
          <w:lang w:val="en-CA"/>
        </w:rPr>
        <w:drawing>
          <wp:anchor distT="0" distB="0" distL="114300" distR="114300" simplePos="0" relativeHeight="251659264" behindDoc="0" locked="0" layoutInCell="1" allowOverlap="0" wp14:anchorId="7C4417E7" wp14:editId="5B55F167">
            <wp:simplePos x="0" y="0"/>
            <wp:positionH relativeFrom="column">
              <wp:posOffset>2362</wp:posOffset>
            </wp:positionH>
            <wp:positionV relativeFrom="paragraph">
              <wp:posOffset>-29207</wp:posOffset>
            </wp:positionV>
            <wp:extent cx="3201923" cy="656844"/>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6"/>
                    <a:stretch>
                      <a:fillRect/>
                    </a:stretch>
                  </pic:blipFill>
                  <pic:spPr>
                    <a:xfrm>
                      <a:off x="0" y="0"/>
                      <a:ext cx="3201923" cy="656844"/>
                    </a:xfrm>
                    <a:prstGeom prst="rect">
                      <a:avLst/>
                    </a:prstGeom>
                  </pic:spPr>
                </pic:pic>
              </a:graphicData>
            </a:graphic>
          </wp:anchor>
        </w:drawing>
      </w:r>
      <w:r>
        <w:rPr>
          <w:sz w:val="28"/>
        </w:rPr>
        <w:t xml:space="preserve"> </w:t>
      </w:r>
    </w:p>
    <w:p w14:paraId="50F318F3" w14:textId="77777777" w:rsidR="002C24D0" w:rsidRDefault="002C24D0" w:rsidP="002C24D0">
      <w:pPr>
        <w:spacing w:after="0" w:line="264" w:lineRule="auto"/>
        <w:ind w:left="1038" w:hanging="1034"/>
      </w:pPr>
      <w:r>
        <w:rPr>
          <w:sz w:val="28"/>
        </w:rPr>
        <w:t xml:space="preserve">Rapport sur les investissements et répercussions de l’initiative </w:t>
      </w:r>
      <w:proofErr w:type="spellStart"/>
      <w:r>
        <w:rPr>
          <w:sz w:val="28"/>
        </w:rPr>
        <w:t>ProjetSois</w:t>
      </w:r>
      <w:proofErr w:type="spellEnd"/>
      <w:r>
        <w:rPr>
          <w:sz w:val="28"/>
        </w:rPr>
        <w:t xml:space="preserve"> de la CCMTGC 2020  </w:t>
      </w:r>
    </w:p>
    <w:p w14:paraId="1910FE38" w14:textId="77777777" w:rsidR="002C24D0" w:rsidRDefault="002C24D0" w:rsidP="002C24D0">
      <w:pPr>
        <w:spacing w:after="3" w:line="259" w:lineRule="auto"/>
        <w:ind w:left="76" w:firstLine="0"/>
        <w:jc w:val="center"/>
      </w:pPr>
      <w:r>
        <w:t xml:space="preserve"> </w:t>
      </w:r>
    </w:p>
    <w:p w14:paraId="3BF558F3" w14:textId="77777777" w:rsidR="002C24D0" w:rsidRDefault="002C24D0" w:rsidP="00C7677C">
      <w:pPr>
        <w:spacing w:after="4" w:line="259" w:lineRule="auto"/>
        <w:ind w:left="1" w:firstLine="0"/>
        <w:jc w:val="both"/>
      </w:pPr>
      <w:r>
        <w:t xml:space="preserve"> </w:t>
      </w:r>
      <w:proofErr w:type="spellStart"/>
      <w:r>
        <w:t>PartenaireSanté</w:t>
      </w:r>
      <w:proofErr w:type="spellEnd"/>
      <w:r>
        <w:t xml:space="preserve"> dirige un collectif de 16 organismes caritatifs canadiens de la santé ayant pour mission de contribuer à un Canada plus sain.  </w:t>
      </w:r>
    </w:p>
    <w:p w14:paraId="4E623B5E" w14:textId="77777777" w:rsidR="002C24D0" w:rsidRDefault="002C24D0" w:rsidP="002C24D0">
      <w:pPr>
        <w:spacing w:after="5" w:line="259" w:lineRule="auto"/>
        <w:ind w:left="1" w:firstLine="0"/>
      </w:pPr>
      <w:r>
        <w:t xml:space="preserve"> </w:t>
      </w:r>
    </w:p>
    <w:p w14:paraId="298C5DDD" w14:textId="69CEBBB0" w:rsidR="002C24D0" w:rsidRDefault="002C24D0" w:rsidP="002C24D0">
      <w:pPr>
        <w:ind w:left="-4"/>
      </w:pPr>
      <w:r>
        <w:t>Nous investissons dans la santé des Canadiens par la recherche, les programmes et les services médicaux, les programmes de santé et</w:t>
      </w:r>
      <w:r w:rsidR="000C32D2">
        <w:t xml:space="preserve"> de</w:t>
      </w:r>
      <w:r>
        <w:t xml:space="preserve"> mieux-être, l’éducation et la mobilisation.  </w:t>
      </w:r>
    </w:p>
    <w:p w14:paraId="08F9C387" w14:textId="77777777" w:rsidR="002C24D0" w:rsidRDefault="002C24D0" w:rsidP="002C24D0">
      <w:pPr>
        <w:spacing w:after="5" w:line="259" w:lineRule="auto"/>
        <w:ind w:left="1" w:firstLine="0"/>
      </w:pPr>
    </w:p>
    <w:p w14:paraId="70CEB628" w14:textId="77777777" w:rsidR="002C24D0" w:rsidRPr="002C24D0" w:rsidRDefault="002C24D0" w:rsidP="002C24D0">
      <w:pPr>
        <w:pStyle w:val="Heading1"/>
        <w:numPr>
          <w:ilvl w:val="0"/>
          <w:numId w:val="0"/>
        </w:numPr>
        <w:rPr>
          <w:b/>
          <w:color w:val="auto"/>
        </w:rPr>
      </w:pPr>
      <w:r>
        <w:rPr>
          <w:b/>
          <w:color w:val="auto"/>
        </w:rPr>
        <w:t xml:space="preserve">Résumé du </w:t>
      </w:r>
      <w:proofErr w:type="spellStart"/>
      <w:r>
        <w:rPr>
          <w:b/>
          <w:color w:val="auto"/>
        </w:rPr>
        <w:t>ProjetSois</w:t>
      </w:r>
      <w:proofErr w:type="spellEnd"/>
      <w:r>
        <w:rPr>
          <w:b/>
          <w:color w:val="auto"/>
        </w:rPr>
        <w:t> 2020</w:t>
      </w:r>
    </w:p>
    <w:p w14:paraId="452F0B80" w14:textId="336CE50D" w:rsidR="00B35E76" w:rsidRDefault="00B35E76" w:rsidP="00B35E76">
      <w:r>
        <w:rPr>
          <w:u w:val="single"/>
        </w:rPr>
        <w:t>Santé mentale et toxicomanie chez les jeunes</w:t>
      </w:r>
      <w:r>
        <w:t xml:space="preserve"> - 50 % des membres de </w:t>
      </w:r>
      <w:proofErr w:type="spellStart"/>
      <w:r>
        <w:t>PartenaireSanté</w:t>
      </w:r>
      <w:proofErr w:type="spellEnd"/>
      <w:r>
        <w:t xml:space="preserve"> </w:t>
      </w:r>
      <w:r w:rsidR="000C32D2">
        <w:t>appui</w:t>
      </w:r>
      <w:r>
        <w:t xml:space="preserve">ent les initiatives de santé mentale chez les jeunes, notamment la recherche sur la santé mentale des jeunes et les maladies chroniques, les groupes de soutien et les informations destinées aux jeunes Canadiens touchés par les maladies chroniques. De plus, certains membres s’impliquent dans des initiatives visant à sensibiliser le public sur les répercussions de la dépendance et </w:t>
      </w:r>
      <w:r w:rsidR="00A9346B">
        <w:t>s</w:t>
      </w:r>
      <w:r>
        <w:t>es résultats sur la santé, et plaident en faveur d’une meilleure politique publique sur les substances addictives comme le tabac, le vapotage et l’alcool. Des investissements de 137 000 $ sont soulignés dans ce rapport.</w:t>
      </w:r>
    </w:p>
    <w:p w14:paraId="38D907CA" w14:textId="77777777" w:rsidR="005F3CDD" w:rsidRDefault="005F3CDD" w:rsidP="00B35E76"/>
    <w:p w14:paraId="790CA580" w14:textId="77777777" w:rsidR="002C24D0" w:rsidRDefault="002C24D0" w:rsidP="002C24D0">
      <w:r>
        <w:rPr>
          <w:u w:val="single"/>
        </w:rPr>
        <w:t>Santé autochtone</w:t>
      </w:r>
      <w:r>
        <w:t xml:space="preserve"> - Les inégalités systémiques créées par la colonisation et d’autres problèmes raciaux ont entraîné un accès inégal aux soins de santé primaires et secondaires et contribuent à des résultats médiocres sur le plan de la santé. Nous favorisons un panorama plus équitable en intégrant les perspectives autochtones dans la recherche médicale et l’éducation, et par la prestation de programmes adaptés à la culture autochtone. Des investissements de 213 000 $ sont soulignés dans ce rapport.</w:t>
      </w:r>
    </w:p>
    <w:p w14:paraId="75360686" w14:textId="77777777" w:rsidR="005F3CDD" w:rsidRDefault="005F3CDD" w:rsidP="002C24D0"/>
    <w:p w14:paraId="34A53998" w14:textId="77777777" w:rsidR="00E94B9D" w:rsidRDefault="002C24D0" w:rsidP="002C24D0">
      <w:pPr>
        <w:pStyle w:val="Heading1"/>
        <w:numPr>
          <w:ilvl w:val="0"/>
          <w:numId w:val="0"/>
        </w:numPr>
      </w:pPr>
      <w:r>
        <w:rPr>
          <w:u w:val="single"/>
        </w:rPr>
        <w:t>Réduction de l’itinérance et de la pauvreté</w:t>
      </w:r>
      <w:r>
        <w:t xml:space="preserve"> - Nos membres tentent de faire échec à l’itinérance avant qu’elle ne survienne en misant sur des initiatives de réduction de la pauvreté.  Plus de 50 % de nos membres procurent un soutien financier direct aux Canadiens vulnérables afin de réduire les dépenses importantes liées au fait de vivre avec une maladie chronique; ce soutien leur permet souvent d’éviter l’itinérance. De plus, tous se concentrent sur des efforts en vue de changer les inégalités systémiques favorisant la pauvreté et l’itinérance, en plaidant pour un meilleur accès aux soins de santé, à un logement accessible, à l’éducation nutritionnelle, à l’accès aux médicaments et à l’amélioration du soutien financier. </w:t>
      </w:r>
    </w:p>
    <w:p w14:paraId="419F39E3" w14:textId="77777777" w:rsidR="002C24D0" w:rsidRDefault="00100D30" w:rsidP="002C24D0">
      <w:pPr>
        <w:pStyle w:val="Heading1"/>
        <w:numPr>
          <w:ilvl w:val="0"/>
          <w:numId w:val="0"/>
        </w:numPr>
      </w:pPr>
      <w:r>
        <w:t>Des investissements de 1 147 313 $ sont soulignés dans ce rapport.</w:t>
      </w:r>
    </w:p>
    <w:p w14:paraId="147C7FC0" w14:textId="77777777" w:rsidR="002C24D0" w:rsidRPr="002C24D0" w:rsidRDefault="002C24D0" w:rsidP="002C24D0">
      <w:pPr>
        <w:pStyle w:val="Heading1"/>
        <w:numPr>
          <w:ilvl w:val="0"/>
          <w:numId w:val="0"/>
        </w:numPr>
        <w:rPr>
          <w:b/>
        </w:rPr>
      </w:pPr>
      <w:r>
        <w:rPr>
          <w:b/>
        </w:rPr>
        <w:t xml:space="preserve">Allocation des fonds </w:t>
      </w:r>
    </w:p>
    <w:p w14:paraId="073DAAC4" w14:textId="77777777" w:rsidR="00882383" w:rsidRDefault="002C24D0" w:rsidP="00E82639">
      <w:pPr>
        <w:spacing w:line="415" w:lineRule="auto"/>
        <w:ind w:left="0" w:hanging="11"/>
        <w:contextualSpacing/>
      </w:pPr>
      <w:r>
        <w:t xml:space="preserve">À l’heure actuelle, </w:t>
      </w:r>
      <w:proofErr w:type="spellStart"/>
      <w:r>
        <w:t>PartenaireSanté</w:t>
      </w:r>
      <w:proofErr w:type="spellEnd"/>
      <w:r>
        <w:t xml:space="preserve"> reçoit 20 % de ces fonds par le biais du </w:t>
      </w:r>
      <w:proofErr w:type="spellStart"/>
      <w:r>
        <w:t>ProjetSois</w:t>
      </w:r>
      <w:proofErr w:type="spellEnd"/>
      <w:r>
        <w:t>, ce qui représente 303 400 $ de la campagne 2020.</w:t>
      </w:r>
    </w:p>
    <w:p w14:paraId="63CCD5A7" w14:textId="77777777" w:rsidR="00E82639" w:rsidRPr="00E82639" w:rsidRDefault="00E82639" w:rsidP="002C24D0">
      <w:pPr>
        <w:spacing w:line="415" w:lineRule="auto"/>
        <w:ind w:left="-4"/>
        <w:rPr>
          <w:b/>
        </w:rPr>
      </w:pPr>
      <w:r>
        <w:rPr>
          <w:b/>
        </w:rPr>
        <w:t xml:space="preserve">Répercussions </w:t>
      </w:r>
    </w:p>
    <w:p w14:paraId="442D4734" w14:textId="77777777" w:rsidR="002C24D0" w:rsidRPr="007B7A05" w:rsidRDefault="002C24D0" w:rsidP="002C24D0">
      <w:pPr>
        <w:spacing w:line="415" w:lineRule="auto"/>
        <w:ind w:left="-4"/>
        <w:rPr>
          <w:b/>
          <w:i/>
        </w:rPr>
      </w:pPr>
      <w:r>
        <w:t xml:space="preserve"> </w:t>
      </w:r>
      <w:r>
        <w:rPr>
          <w:b/>
          <w:i/>
        </w:rPr>
        <w:t>Santé mentale et toxicomanie chez les jeunes</w:t>
      </w:r>
    </w:p>
    <w:p w14:paraId="18116013" w14:textId="77777777" w:rsidR="00D91672" w:rsidRPr="00882383" w:rsidRDefault="00E82639" w:rsidP="00882383">
      <w:pPr>
        <w:numPr>
          <w:ilvl w:val="0"/>
          <w:numId w:val="9"/>
        </w:numPr>
      </w:pPr>
      <w:r>
        <w:t xml:space="preserve">Initiatives financées : </w:t>
      </w:r>
    </w:p>
    <w:p w14:paraId="6D9F65A2" w14:textId="77777777" w:rsidR="00D91672" w:rsidRPr="00882383" w:rsidRDefault="005F3CDD" w:rsidP="00052FBD">
      <w:pPr>
        <w:numPr>
          <w:ilvl w:val="2"/>
          <w:numId w:val="9"/>
        </w:numPr>
        <w:tabs>
          <w:tab w:val="clear" w:pos="2160"/>
          <w:tab w:val="num" w:pos="1560"/>
        </w:tabs>
        <w:ind w:hanging="1026"/>
      </w:pPr>
      <w:r>
        <w:lastRenderedPageBreak/>
        <w:t>Société de l’arthrite - recherche sur l’arthrite juvénile idiopathique (AJI) et la santé mentale</w:t>
      </w:r>
    </w:p>
    <w:p w14:paraId="170AE28D" w14:textId="77777777" w:rsidR="00D91672" w:rsidRPr="00882383" w:rsidRDefault="005F3CDD" w:rsidP="002E39D0">
      <w:pPr>
        <w:numPr>
          <w:ilvl w:val="2"/>
          <w:numId w:val="9"/>
        </w:numPr>
        <w:tabs>
          <w:tab w:val="clear" w:pos="2160"/>
          <w:tab w:val="num" w:pos="1560"/>
        </w:tabs>
        <w:ind w:left="1560" w:hanging="426"/>
      </w:pPr>
      <w:r>
        <w:t xml:space="preserve">3 études avec </w:t>
      </w:r>
      <w:proofErr w:type="spellStart"/>
      <w:r>
        <w:t>Crohn</w:t>
      </w:r>
      <w:proofErr w:type="spellEnd"/>
      <w:r>
        <w:t xml:space="preserve"> et Colite Canada chez les jeunes vivant avec une maladie inflammatoire de l’intestin et la santé mentale (étude de 3 ans - 115 000 $ par an)</w:t>
      </w:r>
    </w:p>
    <w:p w14:paraId="17A207E1" w14:textId="77777777" w:rsidR="00D91672" w:rsidRPr="00882383" w:rsidRDefault="005F3CDD" w:rsidP="002E39D0">
      <w:pPr>
        <w:numPr>
          <w:ilvl w:val="2"/>
          <w:numId w:val="9"/>
        </w:numPr>
        <w:tabs>
          <w:tab w:val="clear" w:pos="2160"/>
          <w:tab w:val="num" w:pos="1560"/>
        </w:tabs>
        <w:ind w:left="1560" w:hanging="426"/>
      </w:pPr>
      <w:r>
        <w:t>Société Huntington du Canada - Le programme de mentorat des jeunes vise à responsabiliser et à appuyer les jeunes atteints de la forme juvénile de la maladie de Huntington.</w:t>
      </w:r>
    </w:p>
    <w:p w14:paraId="3E14EF3F" w14:textId="77777777" w:rsidR="00D91672" w:rsidRPr="00882383" w:rsidRDefault="005F3CDD" w:rsidP="002E39D0">
      <w:pPr>
        <w:numPr>
          <w:ilvl w:val="2"/>
          <w:numId w:val="9"/>
        </w:numPr>
        <w:tabs>
          <w:tab w:val="clear" w:pos="2160"/>
          <w:tab w:val="num" w:pos="1560"/>
        </w:tabs>
        <w:ind w:left="1560" w:hanging="426"/>
      </w:pPr>
      <w:r>
        <w:t xml:space="preserve">Société canadienne du cancer - a financé une étude sur l’impact à long terme du cancer chez l’enfant pour la santé mentale </w:t>
      </w:r>
    </w:p>
    <w:p w14:paraId="442B19AE" w14:textId="77777777" w:rsidR="00D91672" w:rsidRPr="00882383" w:rsidRDefault="008E30D8" w:rsidP="002E39D0">
      <w:pPr>
        <w:numPr>
          <w:ilvl w:val="2"/>
          <w:numId w:val="9"/>
        </w:numPr>
        <w:tabs>
          <w:tab w:val="clear" w:pos="2160"/>
          <w:tab w:val="num" w:pos="1560"/>
        </w:tabs>
        <w:ind w:left="1560" w:hanging="426"/>
      </w:pPr>
      <w:r>
        <w:t xml:space="preserve">A participé à l’élaboration des nouvelles lignes directrices internationales sur la santé mentale des patients atteints de fibrose kystique  </w:t>
      </w:r>
    </w:p>
    <w:p w14:paraId="4485013A" w14:textId="77777777" w:rsidR="00D91672" w:rsidRPr="00882383" w:rsidRDefault="007B7A05" w:rsidP="007B7A05">
      <w:pPr>
        <w:numPr>
          <w:ilvl w:val="2"/>
          <w:numId w:val="9"/>
        </w:numPr>
        <w:tabs>
          <w:tab w:val="clear" w:pos="2160"/>
          <w:tab w:val="num" w:pos="1560"/>
        </w:tabs>
        <w:ind w:hanging="1026"/>
      </w:pPr>
      <w:r>
        <w:t xml:space="preserve">Société canadienne de la sclérose en plaques (SP) - Impact de la SP parentale sur le développement de la petite enfance </w:t>
      </w:r>
    </w:p>
    <w:p w14:paraId="3D8CDFD1" w14:textId="77777777" w:rsidR="00D91672" w:rsidRPr="00882383" w:rsidRDefault="005F3CDD" w:rsidP="00882383">
      <w:pPr>
        <w:numPr>
          <w:ilvl w:val="0"/>
          <w:numId w:val="9"/>
        </w:numPr>
      </w:pPr>
      <w:r>
        <w:t xml:space="preserve">20 % de nos membres fournissent des services, de la sensibilisation et des recherches sur la dépendance. </w:t>
      </w:r>
    </w:p>
    <w:p w14:paraId="60733548" w14:textId="77777777" w:rsidR="00D91672" w:rsidRPr="00882383" w:rsidRDefault="005F3CDD" w:rsidP="00C7677C">
      <w:pPr>
        <w:numPr>
          <w:ilvl w:val="1"/>
          <w:numId w:val="13"/>
        </w:numPr>
      </w:pPr>
      <w:r>
        <w:t xml:space="preserve">Société du cancer : Grâce à notre téléassistance pour fumeurs et à notre programme Je marche, je cours, j’écrase! nous avons aidé plus de 23 700 fumeurs canadiens désireux d’arrêter </w:t>
      </w:r>
    </w:p>
    <w:p w14:paraId="3ECFFBA0" w14:textId="77777777" w:rsidR="00D91672" w:rsidRPr="00882383" w:rsidRDefault="005F3CDD" w:rsidP="00C7677C">
      <w:pPr>
        <w:numPr>
          <w:ilvl w:val="1"/>
          <w:numId w:val="13"/>
        </w:numPr>
      </w:pPr>
      <w:r>
        <w:t xml:space="preserve">Fondation canadienne du foie : campagne de sensibilisation sur l’augmentation de la consommation d’alcool et les dangers pendant la COVID </w:t>
      </w:r>
    </w:p>
    <w:p w14:paraId="4BF4F540" w14:textId="77777777" w:rsidR="00D91672" w:rsidRPr="00882383" w:rsidRDefault="005F3CDD" w:rsidP="00C7677C">
      <w:pPr>
        <w:numPr>
          <w:ilvl w:val="1"/>
          <w:numId w:val="13"/>
        </w:numPr>
      </w:pPr>
      <w:r>
        <w:t>Sensibilisation de l’Association pulmonaire au vapotage, au tabac et au danger pour les jeunes, 22 000 $</w:t>
      </w:r>
    </w:p>
    <w:p w14:paraId="0F718712" w14:textId="77777777" w:rsidR="002C24D0" w:rsidRDefault="002C24D0" w:rsidP="002C24D0">
      <w:pPr>
        <w:spacing w:after="0" w:line="259" w:lineRule="auto"/>
        <w:ind w:left="1" w:firstLine="0"/>
      </w:pPr>
      <w:r>
        <w:rPr>
          <w:sz w:val="16"/>
        </w:rPr>
        <w:t xml:space="preserve"> </w:t>
      </w:r>
    </w:p>
    <w:tbl>
      <w:tblPr>
        <w:tblStyle w:val="TableGrid"/>
        <w:tblW w:w="9355" w:type="dxa"/>
        <w:tblInd w:w="1" w:type="dxa"/>
        <w:tblCellMar>
          <w:top w:w="44" w:type="dxa"/>
          <w:left w:w="106" w:type="dxa"/>
          <w:right w:w="53" w:type="dxa"/>
        </w:tblCellMar>
        <w:tblLook w:val="04A0" w:firstRow="1" w:lastRow="0" w:firstColumn="1" w:lastColumn="0" w:noHBand="0" w:noVBand="1"/>
      </w:tblPr>
      <w:tblGrid>
        <w:gridCol w:w="9355"/>
      </w:tblGrid>
      <w:tr w:rsidR="002C24D0" w14:paraId="172543CC" w14:textId="77777777" w:rsidTr="00917F1E">
        <w:trPr>
          <w:trHeight w:val="1720"/>
        </w:trPr>
        <w:tc>
          <w:tcPr>
            <w:tcW w:w="9355" w:type="dxa"/>
            <w:tcBorders>
              <w:top w:val="single" w:sz="4" w:space="0" w:color="000000"/>
              <w:left w:val="single" w:sz="4" w:space="0" w:color="000000"/>
              <w:bottom w:val="single" w:sz="4" w:space="0" w:color="000000"/>
              <w:right w:val="single" w:sz="4" w:space="0" w:color="000000"/>
            </w:tcBorders>
          </w:tcPr>
          <w:p w14:paraId="115789D2" w14:textId="3E08A0C6" w:rsidR="002C24D0" w:rsidRPr="00917F1E" w:rsidRDefault="00172BB4" w:rsidP="00917F1E">
            <w:pPr>
              <w:rPr>
                <w:i/>
              </w:rPr>
            </w:pPr>
            <w:r>
              <w:rPr>
                <w:i/>
              </w:rPr>
              <w:t xml:space="preserve">« Je pense que c’est la solitude plus que jamais, à cause de la pandémie. Moi et d’autres patients atteints de cancer, ou quiconque est un patient </w:t>
            </w:r>
            <w:proofErr w:type="spellStart"/>
            <w:r>
              <w:rPr>
                <w:i/>
              </w:rPr>
              <w:t>immunovulnérable</w:t>
            </w:r>
            <w:proofErr w:type="spellEnd"/>
            <w:r>
              <w:rPr>
                <w:i/>
              </w:rPr>
              <w:t>, devons aller seuls à beaucoup de nos rendez-vous médicaux.   Alors peu importe que ce soit pour une séance de chimiothérapie ou dans mon cas, passer trois semaines à l’hôpital pour une greffe de cellules souches, on est tout seuls. Les amis ou la famille ne peuvent pas nous accompagner à l’hôpital. »</w:t>
            </w:r>
          </w:p>
          <w:p w14:paraId="664EED51" w14:textId="77777777" w:rsidR="002C24D0" w:rsidRPr="009441BA" w:rsidRDefault="002C24D0" w:rsidP="001D527E">
            <w:pPr>
              <w:spacing w:after="5" w:line="259" w:lineRule="auto"/>
              <w:ind w:left="0" w:right="55" w:firstLine="0"/>
              <w:jc w:val="right"/>
              <w:rPr>
                <w:i/>
              </w:rPr>
            </w:pPr>
            <w:r>
              <w:rPr>
                <w:i/>
              </w:rPr>
              <w:t xml:space="preserve">-- </w:t>
            </w:r>
            <w:proofErr w:type="spellStart"/>
            <w:r>
              <w:rPr>
                <w:i/>
              </w:rPr>
              <w:t>Dylon</w:t>
            </w:r>
            <w:proofErr w:type="spellEnd"/>
            <w:r>
              <w:rPr>
                <w:i/>
              </w:rPr>
              <w:t xml:space="preserve"> </w:t>
            </w:r>
            <w:proofErr w:type="spellStart"/>
            <w:r>
              <w:rPr>
                <w:i/>
              </w:rPr>
              <w:t>Buskermolen</w:t>
            </w:r>
            <w:proofErr w:type="spellEnd"/>
            <w:r>
              <w:rPr>
                <w:i/>
              </w:rPr>
              <w:t xml:space="preserve">  </w:t>
            </w:r>
          </w:p>
          <w:p w14:paraId="7CF326D2" w14:textId="77777777" w:rsidR="002C24D0" w:rsidRDefault="00E94B9D" w:rsidP="00E94B9D">
            <w:pPr>
              <w:spacing w:after="0" w:line="259" w:lineRule="auto"/>
              <w:ind w:left="3751" w:right="55" w:firstLine="0"/>
              <w:jc w:val="right"/>
            </w:pPr>
            <w:r>
              <w:rPr>
                <w:i/>
              </w:rPr>
              <w:t xml:space="preserve">Sur la santé mentale des jeunes et vivre avec le cancer  </w:t>
            </w:r>
          </w:p>
        </w:tc>
      </w:tr>
    </w:tbl>
    <w:p w14:paraId="0BA6A62E" w14:textId="77777777" w:rsidR="002C24D0" w:rsidRDefault="002C24D0" w:rsidP="002C24D0">
      <w:pPr>
        <w:spacing w:after="208" w:line="259" w:lineRule="auto"/>
        <w:ind w:left="361" w:firstLine="0"/>
      </w:pPr>
      <w:r>
        <w:t xml:space="preserve"> </w:t>
      </w:r>
    </w:p>
    <w:p w14:paraId="1341E79D" w14:textId="77777777" w:rsidR="002C24D0" w:rsidRPr="007B7A05" w:rsidRDefault="007B7A05" w:rsidP="002C24D0">
      <w:pPr>
        <w:spacing w:after="165" w:line="259" w:lineRule="auto"/>
        <w:ind w:left="1" w:firstLine="0"/>
        <w:rPr>
          <w:b/>
          <w:i/>
        </w:rPr>
      </w:pPr>
      <w:r>
        <w:rPr>
          <w:b/>
          <w:i/>
        </w:rPr>
        <w:t>Santé autochtone</w:t>
      </w:r>
    </w:p>
    <w:p w14:paraId="625F2EA6" w14:textId="77777777" w:rsidR="007B7A05" w:rsidRPr="007B7A05" w:rsidRDefault="007B7A05" w:rsidP="007B7A05">
      <w:pPr>
        <w:spacing w:after="165" w:line="259" w:lineRule="auto"/>
        <w:ind w:left="1" w:firstLine="0"/>
      </w:pPr>
      <w:r>
        <w:t>Sept de nos organismes membres ont des initiatives axées sur la santé des autochtones et travaillent avec ces communautés pour résoudre les problèmes de santé. En finançant des chercheurs autochtones et en faisant ressortir la perspective des Premières Nations, nos membres s’engagent à changer le dialogue - et les résultats en matière de santé - par des approches inclusives.</w:t>
      </w:r>
    </w:p>
    <w:p w14:paraId="788D947B" w14:textId="77777777" w:rsidR="00D91672" w:rsidRPr="007B7A05" w:rsidRDefault="005F3CDD" w:rsidP="007B7A05">
      <w:pPr>
        <w:numPr>
          <w:ilvl w:val="0"/>
          <w:numId w:val="10"/>
        </w:numPr>
        <w:spacing w:after="165" w:line="259" w:lineRule="auto"/>
      </w:pPr>
      <w:r>
        <w:t xml:space="preserve">La Société Alzheimer finance une étude de Daniella </w:t>
      </w:r>
      <w:proofErr w:type="spellStart"/>
      <w:r>
        <w:t>Alcock</w:t>
      </w:r>
      <w:proofErr w:type="spellEnd"/>
      <w:r>
        <w:t xml:space="preserve"> (doctorante autochtone) sur les récits oraux des femmes autochtones qui s’occupent d’un proche atteint de démence liée à l’alcool. La subvention s’élève à 66 000 $.</w:t>
      </w:r>
    </w:p>
    <w:p w14:paraId="6A862E63" w14:textId="77777777" w:rsidR="00D91672" w:rsidRPr="007B7A05" w:rsidRDefault="005F3CDD" w:rsidP="007B7A05">
      <w:pPr>
        <w:numPr>
          <w:ilvl w:val="0"/>
          <w:numId w:val="10"/>
        </w:numPr>
        <w:spacing w:after="165" w:line="259" w:lineRule="auto"/>
      </w:pPr>
      <w:r>
        <w:t>La Fondation canadienne du rein a financé la D</w:t>
      </w:r>
      <w:r>
        <w:rPr>
          <w:vertAlign w:val="superscript"/>
        </w:rPr>
        <w:t>re</w:t>
      </w:r>
      <w:r>
        <w:t xml:space="preserve"> Mary Smith, chercheur autochtone de l’Université Queens sur les cercles de solutions autochtones pour la santé rénale, une approche basée sur la résistance. La subvention s’élève à 97 710 $.</w:t>
      </w:r>
    </w:p>
    <w:p w14:paraId="38AE87F9" w14:textId="77777777" w:rsidR="00D91672" w:rsidRPr="007B7A05" w:rsidRDefault="005F3CDD" w:rsidP="007B7A05">
      <w:pPr>
        <w:numPr>
          <w:ilvl w:val="0"/>
          <w:numId w:val="10"/>
        </w:numPr>
        <w:spacing w:after="165" w:line="259" w:lineRule="auto"/>
      </w:pPr>
      <w:r>
        <w:lastRenderedPageBreak/>
        <w:t xml:space="preserve">Diabète Canada a financé une étude sur la façon dont une approche holistique de la santé et du bien-être peut aider à prévenir et à traiter le diabète de type 2 chez les jeunes Autochtones et à améliorer leur qualité de vie. </w:t>
      </w:r>
    </w:p>
    <w:p w14:paraId="1AA3268A" w14:textId="1271EA0C" w:rsidR="007B7A05" w:rsidRDefault="005F3CDD" w:rsidP="00171A81">
      <w:pPr>
        <w:numPr>
          <w:ilvl w:val="0"/>
          <w:numId w:val="10"/>
        </w:numPr>
        <w:spacing w:after="165" w:line="259" w:lineRule="auto"/>
      </w:pPr>
      <w:proofErr w:type="spellStart"/>
      <w:r>
        <w:t>Coeur+AVC</w:t>
      </w:r>
      <w:proofErr w:type="spellEnd"/>
      <w:r>
        <w:t xml:space="preserve"> - a élaboré quatre stratégies pour s’attaquer aux déterminants sociaux de la santé dans les communautés autochtones, notamment l’accès à l’eau potable, la sensibilisation des élèves de la maternelle à la 6</w:t>
      </w:r>
      <w:r>
        <w:rPr>
          <w:vertAlign w:val="superscript"/>
        </w:rPr>
        <w:t>e</w:t>
      </w:r>
      <w:r>
        <w:t xml:space="preserve"> année à la santé cardiaque (</w:t>
      </w:r>
      <w:proofErr w:type="spellStart"/>
      <w:r>
        <w:t>Coeur+AVC</w:t>
      </w:r>
      <w:proofErr w:type="spellEnd"/>
      <w:r>
        <w:t xml:space="preserve"> a travaillé avec 563</w:t>
      </w:r>
      <w:r w:rsidR="00625BAD">
        <w:t> </w:t>
      </w:r>
      <w:r>
        <w:t>éducateurs et sensibilisé 19 537 élèves autochtones à la santé cardiaque), l’accès à la nourriture et la formation à la réanimation cardiopulmonaire pour les élèves de 8</w:t>
      </w:r>
      <w:r>
        <w:rPr>
          <w:vertAlign w:val="superscript"/>
        </w:rPr>
        <w:t>e</w:t>
      </w:r>
      <w:r>
        <w:t xml:space="preserve"> année </w:t>
      </w:r>
    </w:p>
    <w:p w14:paraId="000A2FC3" w14:textId="77777777" w:rsidR="009C467D" w:rsidRPr="009C467D" w:rsidRDefault="009C467D" w:rsidP="006128C9">
      <w:pPr>
        <w:pStyle w:val="ListParagraph"/>
        <w:numPr>
          <w:ilvl w:val="0"/>
          <w:numId w:val="10"/>
        </w:numPr>
        <w:rPr>
          <w:color w:val="auto"/>
        </w:rPr>
      </w:pPr>
      <w:r>
        <w:t>Diabète Canada : D</w:t>
      </w:r>
      <w:r>
        <w:rPr>
          <w:vertAlign w:val="superscript"/>
        </w:rPr>
        <w:t>r</w:t>
      </w:r>
      <w:r>
        <w:t xml:space="preserve"> Jonathan </w:t>
      </w:r>
      <w:proofErr w:type="spellStart"/>
      <w:r>
        <w:t>McGavock</w:t>
      </w:r>
      <w:proofErr w:type="spellEnd"/>
      <w:r>
        <w:t xml:space="preserve"> - Programme de mentorat pour les jeunes autochtones (IYMK)</w:t>
      </w:r>
    </w:p>
    <w:p w14:paraId="21D70516" w14:textId="77777777" w:rsidR="009C467D" w:rsidRDefault="009C467D" w:rsidP="009C467D">
      <w:pPr>
        <w:ind w:firstLine="710"/>
      </w:pPr>
      <w:r>
        <w:t>Université du Manitoba (Winnipeg, Man.) Financé : 2018-2023 Montant/année : 50 000 $</w:t>
      </w:r>
    </w:p>
    <w:p w14:paraId="50EAEE24" w14:textId="77777777" w:rsidR="009C467D" w:rsidRDefault="009C467D" w:rsidP="009C467D">
      <w:pPr>
        <w:ind w:firstLine="710"/>
      </w:pPr>
    </w:p>
    <w:p w14:paraId="5FBEB7B0" w14:textId="77777777" w:rsidR="00D91672" w:rsidRDefault="005F3CDD" w:rsidP="000D73DE">
      <w:pPr>
        <w:numPr>
          <w:ilvl w:val="0"/>
          <w:numId w:val="10"/>
        </w:numPr>
        <w:spacing w:after="165" w:line="259" w:lineRule="auto"/>
      </w:pPr>
      <w:r>
        <w:t>Arthrite : La D</w:t>
      </w:r>
      <w:r>
        <w:rPr>
          <w:vertAlign w:val="superscript"/>
        </w:rPr>
        <w:t>re</w:t>
      </w:r>
      <w:r>
        <w:t xml:space="preserve"> Cheryl </w:t>
      </w:r>
      <w:proofErr w:type="spellStart"/>
      <w:r>
        <w:t>Barnabe</w:t>
      </w:r>
      <w:proofErr w:type="spellEnd"/>
      <w:r>
        <w:t xml:space="preserve"> parle des perspectives autochtones en rhumatologie (changer les approches occidentales pour la santé autochtone) : </w:t>
      </w:r>
      <w:hyperlink r:id="rId7" w:history="1">
        <w:r>
          <w:rPr>
            <w:rStyle w:val="Hyperlink"/>
          </w:rPr>
          <w:t>https://arthrite.ca/bien-vivre/champ-des-possibles/recherche/reconciliation-dans-les-soins-relies-a-l-arthrite-repondre-a-l-appel-a-l-action</w:t>
        </w:r>
      </w:hyperlink>
    </w:p>
    <w:tbl>
      <w:tblPr>
        <w:tblStyle w:val="TableGrid0"/>
        <w:tblW w:w="0" w:type="auto"/>
        <w:tblInd w:w="10" w:type="dxa"/>
        <w:tblLook w:val="04A0" w:firstRow="1" w:lastRow="0" w:firstColumn="1" w:lastColumn="0" w:noHBand="0" w:noVBand="1"/>
      </w:tblPr>
      <w:tblGrid>
        <w:gridCol w:w="9340"/>
      </w:tblGrid>
      <w:tr w:rsidR="007B7A05" w14:paraId="15EFB036" w14:textId="77777777" w:rsidTr="00C7677C">
        <w:trPr>
          <w:trHeight w:val="1550"/>
        </w:trPr>
        <w:tc>
          <w:tcPr>
            <w:tcW w:w="9350" w:type="dxa"/>
          </w:tcPr>
          <w:p w14:paraId="3299C842" w14:textId="6C0CB31B" w:rsidR="009441BA" w:rsidRDefault="007B7A05" w:rsidP="009441BA">
            <w:pPr>
              <w:spacing w:after="165" w:line="259" w:lineRule="auto"/>
              <w:ind w:left="360" w:firstLine="0"/>
              <w:rPr>
                <w:i/>
                <w:iCs/>
              </w:rPr>
            </w:pPr>
            <w:r>
              <w:rPr>
                <w:i/>
                <w:iCs/>
              </w:rPr>
              <w:t>Originaire d’une famille des Premières Nations, il était difficile de naviguer dans le système de soins de santé en faisant face aux barrières de juridiction, à la stigmatisation et au manque de ressources. En tant que proche aidant, il n’existe aucun soutien pour la démence liée à l’alcool qui est culturellement sûr.</w:t>
            </w:r>
          </w:p>
          <w:p w14:paraId="50A46657" w14:textId="77777777" w:rsidR="007B7A05" w:rsidRDefault="007B7A05" w:rsidP="009441BA">
            <w:pPr>
              <w:spacing w:after="165" w:line="259" w:lineRule="auto"/>
              <w:ind w:left="357" w:firstLine="0"/>
              <w:contextualSpacing/>
              <w:jc w:val="right"/>
            </w:pPr>
            <w:r>
              <w:br/>
              <w:t xml:space="preserve">-Danielle </w:t>
            </w:r>
            <w:proofErr w:type="spellStart"/>
            <w:r>
              <w:t>Alcock</w:t>
            </w:r>
            <w:proofErr w:type="spellEnd"/>
            <w:r>
              <w:t>, candidate au doctorat</w:t>
            </w:r>
          </w:p>
          <w:p w14:paraId="4DF6F3B1" w14:textId="77777777" w:rsidR="009441BA" w:rsidRDefault="009441BA" w:rsidP="009441BA">
            <w:pPr>
              <w:spacing w:after="165" w:line="259" w:lineRule="auto"/>
              <w:ind w:left="357" w:firstLine="0"/>
              <w:contextualSpacing/>
              <w:jc w:val="right"/>
            </w:pPr>
            <w:r>
              <w:t>Recherche financée par la Société Alzheimer du Canada</w:t>
            </w:r>
          </w:p>
        </w:tc>
      </w:tr>
    </w:tbl>
    <w:p w14:paraId="2747B21A" w14:textId="77777777" w:rsidR="009A7BA5" w:rsidRDefault="009A7BA5" w:rsidP="002C24D0">
      <w:pPr>
        <w:pStyle w:val="Heading1"/>
        <w:numPr>
          <w:ilvl w:val="0"/>
          <w:numId w:val="0"/>
        </w:numPr>
        <w:ind w:left="-4"/>
      </w:pPr>
    </w:p>
    <w:p w14:paraId="048868EA" w14:textId="77777777" w:rsidR="002C24D0" w:rsidRDefault="002C24D0" w:rsidP="002C24D0">
      <w:pPr>
        <w:pStyle w:val="Heading1"/>
        <w:numPr>
          <w:ilvl w:val="0"/>
          <w:numId w:val="0"/>
        </w:numPr>
        <w:ind w:left="-4"/>
      </w:pPr>
      <w:r>
        <w:t xml:space="preserve">PRÉVENIR L’ITINÉRANCE EN RÉDUISANT LA PAUVRETÉ  </w:t>
      </w:r>
    </w:p>
    <w:p w14:paraId="002D87D8" w14:textId="77777777" w:rsidR="00825202" w:rsidRPr="00825202" w:rsidRDefault="00825202" w:rsidP="00825202">
      <w:pPr>
        <w:spacing w:after="173" w:line="259" w:lineRule="auto"/>
        <w:ind w:left="1" w:firstLine="0"/>
      </w:pPr>
      <w:r>
        <w:t xml:space="preserve">Les 16 membres de </w:t>
      </w:r>
      <w:proofErr w:type="spellStart"/>
      <w:r>
        <w:t>PartenaireSanté</w:t>
      </w:r>
      <w:proofErr w:type="spellEnd"/>
      <w:r>
        <w:t xml:space="preserve"> s’efforcent de réduire les obstacles auxquels se heurtent les personnes aux prises avec une maladie chronique.  L’impact collectif de ces mesures de soutien et d’action, souvent effectuées en collaboration, vise à améliorer la vie des Canadiens en réduisant le risque d’itinérance.</w:t>
      </w:r>
    </w:p>
    <w:p w14:paraId="6DC10ABC" w14:textId="77777777" w:rsidR="00825202" w:rsidRPr="00825202" w:rsidRDefault="00825202" w:rsidP="00825202">
      <w:pPr>
        <w:spacing w:after="173" w:line="259" w:lineRule="auto"/>
        <w:ind w:left="1" w:firstLine="0"/>
      </w:pPr>
      <w:r>
        <w:t>Il s’agit notamment de :</w:t>
      </w:r>
    </w:p>
    <w:p w14:paraId="21C5C104" w14:textId="77777777" w:rsidR="00D91672" w:rsidRPr="00825202" w:rsidRDefault="005F3CDD" w:rsidP="00825202">
      <w:pPr>
        <w:numPr>
          <w:ilvl w:val="0"/>
          <w:numId w:val="11"/>
        </w:numPr>
        <w:spacing w:after="173" w:line="259" w:lineRule="auto"/>
      </w:pPr>
      <w:r>
        <w:t>Mobilisation et sensibilisation :</w:t>
      </w:r>
    </w:p>
    <w:p w14:paraId="3A8A7BEA" w14:textId="77777777" w:rsidR="00D91672" w:rsidRPr="00825202" w:rsidRDefault="005F3CDD" w:rsidP="00C7677C">
      <w:pPr>
        <w:numPr>
          <w:ilvl w:val="1"/>
          <w:numId w:val="15"/>
        </w:numPr>
        <w:spacing w:after="173" w:line="259" w:lineRule="auto"/>
      </w:pPr>
      <w:r>
        <w:t>Accès à des logements abordables, y compris des logements accessibles</w:t>
      </w:r>
    </w:p>
    <w:p w14:paraId="6DC08218" w14:textId="372C7A58" w:rsidR="00D91672" w:rsidRPr="00825202" w:rsidRDefault="005F3CDD" w:rsidP="00C7677C">
      <w:pPr>
        <w:numPr>
          <w:ilvl w:val="1"/>
          <w:numId w:val="15"/>
        </w:numPr>
        <w:spacing w:after="173" w:line="259" w:lineRule="auto"/>
      </w:pPr>
      <w:r>
        <w:t xml:space="preserve">Amélioration du soutien financier pour les Canadiens, comme le congé payé pour les proches aidants, l’amélioration de la Prestation d’invalidité du Régime de pensions du Canada, etc. </w:t>
      </w:r>
    </w:p>
    <w:p w14:paraId="0D4BB481" w14:textId="77777777" w:rsidR="00D91672" w:rsidRPr="00825202" w:rsidRDefault="005F3CDD" w:rsidP="00C7677C">
      <w:pPr>
        <w:numPr>
          <w:ilvl w:val="1"/>
          <w:numId w:val="15"/>
        </w:numPr>
        <w:spacing w:after="173" w:line="259" w:lineRule="auto"/>
      </w:pPr>
      <w:r>
        <w:t xml:space="preserve">Mobilisation pour l’accès à l’assurance-médicaments pour tous, la couverture des médicaments onéreux, l’amélioration de l’accès aux traitements et aux soins primaires, l’accessibilité </w:t>
      </w:r>
    </w:p>
    <w:p w14:paraId="2C586DFD" w14:textId="56B88BB4" w:rsidR="00D91672" w:rsidRPr="00825202" w:rsidRDefault="005F3CDD" w:rsidP="00C7677C">
      <w:pPr>
        <w:numPr>
          <w:ilvl w:val="1"/>
          <w:numId w:val="15"/>
        </w:numPr>
        <w:spacing w:after="173" w:line="259" w:lineRule="auto"/>
      </w:pPr>
      <w:r>
        <w:t>Mobilisation pour des investissements publics en vue de prévenir les maladies et leur progression</w:t>
      </w:r>
      <w:r w:rsidR="00A9346B">
        <w:t xml:space="preserve"> pouvant mener </w:t>
      </w:r>
      <w:r>
        <w:t>à la pauvreté</w:t>
      </w:r>
    </w:p>
    <w:p w14:paraId="5780546E" w14:textId="77777777" w:rsidR="00D91672" w:rsidRPr="00825202" w:rsidRDefault="005F3CDD" w:rsidP="00C7677C">
      <w:pPr>
        <w:numPr>
          <w:ilvl w:val="1"/>
          <w:numId w:val="15"/>
        </w:numPr>
        <w:spacing w:after="173" w:line="259" w:lineRule="auto"/>
      </w:pPr>
      <w:r>
        <w:lastRenderedPageBreak/>
        <w:t>Sensibilisation accrue au lien entre les déterminants sociaux de la santé et les maladies chroniques</w:t>
      </w:r>
    </w:p>
    <w:p w14:paraId="7133F1C6" w14:textId="77777777" w:rsidR="00D91672" w:rsidRPr="00825202" w:rsidRDefault="005F3CDD" w:rsidP="00825202">
      <w:pPr>
        <w:numPr>
          <w:ilvl w:val="0"/>
          <w:numId w:val="11"/>
        </w:numPr>
        <w:spacing w:after="173" w:line="259" w:lineRule="auto"/>
      </w:pPr>
      <w:r>
        <w:t>Soutien financier</w:t>
      </w:r>
    </w:p>
    <w:p w14:paraId="70CF35C2" w14:textId="77777777" w:rsidR="00D91672" w:rsidRPr="00825202" w:rsidRDefault="005F3CDD" w:rsidP="00C7677C">
      <w:pPr>
        <w:numPr>
          <w:ilvl w:val="1"/>
          <w:numId w:val="15"/>
        </w:numPr>
        <w:spacing w:after="173" w:line="259" w:lineRule="auto"/>
      </w:pPr>
      <w:r>
        <w:t>Programmes et services qui fournissent de l’équipement mobile et du soutien financier pour certains types d’aides à la vie quotidienne qui ne sont pas défrayés par les programmes de soutien gouvernementaux</w:t>
      </w:r>
    </w:p>
    <w:p w14:paraId="584E44FE" w14:textId="076B544E" w:rsidR="00D91672" w:rsidRPr="00825202" w:rsidRDefault="005F3CDD" w:rsidP="00C7677C">
      <w:pPr>
        <w:numPr>
          <w:ilvl w:val="1"/>
          <w:numId w:val="15"/>
        </w:numPr>
        <w:spacing w:after="173" w:line="259" w:lineRule="auto"/>
      </w:pPr>
      <w:r>
        <w:t xml:space="preserve">La Fondation canadienne du rein fournit un soutien économique aux patients dialysés - 4 200 personnes ont bénéficié d’un </w:t>
      </w:r>
      <w:r w:rsidR="00A9346B">
        <w:t>appui</w:t>
      </w:r>
      <w:r>
        <w:t xml:space="preserve"> dans le cadre d’un investissement de 519 000 $</w:t>
      </w:r>
    </w:p>
    <w:p w14:paraId="4DB9A54E" w14:textId="77777777" w:rsidR="00D91672" w:rsidRPr="00825202" w:rsidRDefault="005F3CDD" w:rsidP="00C7677C">
      <w:pPr>
        <w:numPr>
          <w:ilvl w:val="1"/>
          <w:numId w:val="15"/>
        </w:numPr>
        <w:spacing w:after="173" w:line="259" w:lineRule="auto"/>
      </w:pPr>
      <w:r>
        <w:t>La Société canadienne de la SP offre des subventions de qualité de vie destinées à l’acquisition d’appareils de mobilité - 1 581 personnes ont profité d’un investissement de 628 313 $</w:t>
      </w:r>
    </w:p>
    <w:p w14:paraId="660783CA" w14:textId="77777777" w:rsidR="00D91672" w:rsidRPr="00825202" w:rsidRDefault="005F3CDD" w:rsidP="00C7677C">
      <w:pPr>
        <w:numPr>
          <w:ilvl w:val="1"/>
          <w:numId w:val="15"/>
        </w:numPr>
        <w:spacing w:after="173" w:line="259" w:lineRule="auto"/>
      </w:pPr>
      <w:r>
        <w:t xml:space="preserve">SCC - a permis à plus de 12 500 personnes de se rendre à leur centre de traitement et de rentrer chez elles grâce à plus de 235 900 trajets offerts par notre programme de transport et nos conducteurs bénévoles du </w:t>
      </w:r>
      <w:proofErr w:type="spellStart"/>
      <w:r>
        <w:t>Freemasons</w:t>
      </w:r>
      <w:proofErr w:type="spellEnd"/>
      <w:r>
        <w:t xml:space="preserve"> Cancer Car Program. Notre service de transport a couvert plus de 9,6 millions de kilomètres, ce qui équivaut presque à 25 allers simples vers la lune! La SCC a également offert à 6 114 personnes un chez-soi loin de chez elles lorsqu’elles devaient se déplacer pour recevoir des soins pour le cancer.</w:t>
      </w:r>
    </w:p>
    <w:p w14:paraId="4957D026" w14:textId="77777777" w:rsidR="002C24D0" w:rsidRDefault="002C24D0" w:rsidP="00C7677C">
      <w:pPr>
        <w:spacing w:after="173" w:line="259" w:lineRule="auto"/>
        <w:ind w:left="1" w:hanging="306"/>
      </w:pPr>
    </w:p>
    <w:p w14:paraId="48D90DA2" w14:textId="4F6A3811" w:rsidR="002C24D0" w:rsidRPr="003B667C" w:rsidRDefault="002C24D0" w:rsidP="002C24D0">
      <w:pPr>
        <w:pBdr>
          <w:top w:val="single" w:sz="4" w:space="0" w:color="000000"/>
          <w:left w:val="single" w:sz="4" w:space="0" w:color="000000"/>
          <w:bottom w:val="single" w:sz="4" w:space="0" w:color="000000"/>
          <w:right w:val="single" w:sz="4" w:space="0" w:color="000000"/>
        </w:pBdr>
        <w:spacing w:after="162" w:line="261" w:lineRule="auto"/>
        <w:ind w:left="109" w:right="218" w:hanging="10"/>
        <w:rPr>
          <w:i/>
        </w:rPr>
      </w:pPr>
      <w:r>
        <w:rPr>
          <w:i/>
        </w:rPr>
        <w:t>Les personnes diabétiques qui dépendent des banques alimentaires rencontrent des difficultés dans la prise en charge de leur diabète, en raison de leur incapacité à planifier les repas, à faire des choix alimentaires et à coordonner le</w:t>
      </w:r>
      <w:r w:rsidR="00A9346B">
        <w:rPr>
          <w:i/>
        </w:rPr>
        <w:t>ur</w:t>
      </w:r>
      <w:r>
        <w:rPr>
          <w:i/>
        </w:rPr>
        <w:t xml:space="preserve">s médicaments avec les repas.  </w:t>
      </w:r>
    </w:p>
    <w:p w14:paraId="49ECD2CC" w14:textId="77777777" w:rsidR="002C24D0" w:rsidRPr="003B667C" w:rsidRDefault="002C24D0" w:rsidP="005D3A99">
      <w:pPr>
        <w:pBdr>
          <w:top w:val="single" w:sz="4" w:space="0" w:color="000000"/>
          <w:left w:val="single" w:sz="4" w:space="0" w:color="000000"/>
          <w:bottom w:val="single" w:sz="4" w:space="0" w:color="000000"/>
          <w:right w:val="single" w:sz="4" w:space="0" w:color="000000"/>
        </w:pBdr>
        <w:spacing w:after="172" w:line="259" w:lineRule="auto"/>
        <w:ind w:left="109" w:right="218" w:hanging="10"/>
        <w:jc w:val="right"/>
        <w:rPr>
          <w:i/>
        </w:rPr>
      </w:pPr>
      <w:r>
        <w:rPr>
          <w:i/>
        </w:rPr>
        <w:t xml:space="preserve">De :  Diabète Canada :  Sécurité alimentaire et diabète, un énoncé de position  </w:t>
      </w:r>
    </w:p>
    <w:p w14:paraId="1D5FB8DF" w14:textId="77777777" w:rsidR="00AE30EE" w:rsidRDefault="00AE30EE"/>
    <w:sectPr w:rsidR="00AE30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CAA"/>
    <w:multiLevelType w:val="hybridMultilevel"/>
    <w:tmpl w:val="8E2CA7D4"/>
    <w:lvl w:ilvl="0" w:tplc="F00206DA">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CA8C2E" w:tentative="1">
      <w:start w:val="1"/>
      <w:numFmt w:val="bullet"/>
      <w:lvlText w:val="•"/>
      <w:lvlJc w:val="left"/>
      <w:pPr>
        <w:tabs>
          <w:tab w:val="num" w:pos="2160"/>
        </w:tabs>
        <w:ind w:left="2160" w:hanging="360"/>
      </w:pPr>
      <w:rPr>
        <w:rFonts w:ascii="Arial" w:hAnsi="Arial" w:hint="default"/>
      </w:rPr>
    </w:lvl>
    <w:lvl w:ilvl="3" w:tplc="6B4E0010">
      <w:start w:val="174"/>
      <w:numFmt w:val="bullet"/>
      <w:lvlText w:val="•"/>
      <w:lvlJc w:val="left"/>
      <w:pPr>
        <w:tabs>
          <w:tab w:val="num" w:pos="2880"/>
        </w:tabs>
        <w:ind w:left="2880" w:hanging="360"/>
      </w:pPr>
      <w:rPr>
        <w:rFonts w:ascii="Arial" w:hAnsi="Arial" w:hint="default"/>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F46B0"/>
    <w:multiLevelType w:val="hybridMultilevel"/>
    <w:tmpl w:val="2054B23E"/>
    <w:lvl w:ilvl="0" w:tplc="83F6E686">
      <w:start w:val="2019"/>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AE6A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845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2BE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E4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E2A6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08E2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2ED3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AA9F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E215D"/>
    <w:multiLevelType w:val="hybridMultilevel"/>
    <w:tmpl w:val="EE00128A"/>
    <w:lvl w:ilvl="0" w:tplc="B63A7452">
      <w:start w:val="2020"/>
      <w:numFmt w:val="decimal"/>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84DF1"/>
    <w:multiLevelType w:val="hybridMultilevel"/>
    <w:tmpl w:val="9CF4B29A"/>
    <w:lvl w:ilvl="0" w:tplc="8BCCB030">
      <w:start w:val="1"/>
      <w:numFmt w:val="bullet"/>
      <w:lvlText w:val="•"/>
      <w:lvlJc w:val="left"/>
      <w:pPr>
        <w:tabs>
          <w:tab w:val="num" w:pos="720"/>
        </w:tabs>
        <w:ind w:left="720" w:hanging="360"/>
      </w:pPr>
      <w:rPr>
        <w:rFonts w:ascii="Arial" w:hAnsi="Arial" w:hint="default"/>
      </w:rPr>
    </w:lvl>
    <w:lvl w:ilvl="1" w:tplc="AF5004A2">
      <w:start w:val="174"/>
      <w:numFmt w:val="bullet"/>
      <w:lvlText w:val="•"/>
      <w:lvlJc w:val="left"/>
      <w:pPr>
        <w:tabs>
          <w:tab w:val="num" w:pos="1440"/>
        </w:tabs>
        <w:ind w:left="1440" w:hanging="360"/>
      </w:pPr>
      <w:rPr>
        <w:rFonts w:ascii="Arial" w:hAnsi="Arial" w:hint="default"/>
      </w:rPr>
    </w:lvl>
    <w:lvl w:ilvl="2" w:tplc="A056AD9E">
      <w:start w:val="1"/>
      <w:numFmt w:val="bullet"/>
      <w:lvlText w:val="o"/>
      <w:lvlJc w:val="left"/>
      <w:pPr>
        <w:tabs>
          <w:tab w:val="num" w:pos="2160"/>
        </w:tabs>
        <w:ind w:left="21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93FD9"/>
    <w:multiLevelType w:val="hybridMultilevel"/>
    <w:tmpl w:val="4EE2CCBC"/>
    <w:lvl w:ilvl="0" w:tplc="E29875C0">
      <w:start w:val="1"/>
      <w:numFmt w:val="bullet"/>
      <w:lvlText w:val="•"/>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F4B62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1C5C9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8D0B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62BE6E">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E03F3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6EA5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C46D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C019C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72095A"/>
    <w:multiLevelType w:val="hybridMultilevel"/>
    <w:tmpl w:val="FD462966"/>
    <w:lvl w:ilvl="0" w:tplc="A41AFC7E">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A5B26">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C2970C">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6319A">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A9750">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9C802C">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40A5C">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C493A2">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E76DE">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F338D0"/>
    <w:multiLevelType w:val="hybridMultilevel"/>
    <w:tmpl w:val="71D43504"/>
    <w:lvl w:ilvl="0" w:tplc="F00206DA">
      <w:start w:val="1"/>
      <w:numFmt w:val="bullet"/>
      <w:lvlText w:val="•"/>
      <w:lvlJc w:val="left"/>
      <w:pPr>
        <w:tabs>
          <w:tab w:val="num" w:pos="720"/>
        </w:tabs>
        <w:ind w:left="720" w:hanging="360"/>
      </w:pPr>
      <w:rPr>
        <w:rFonts w:ascii="Arial" w:hAnsi="Arial" w:hint="default"/>
      </w:rPr>
    </w:lvl>
    <w:lvl w:ilvl="1" w:tplc="126AC374">
      <w:start w:val="174"/>
      <w:numFmt w:val="bullet"/>
      <w:lvlText w:val="•"/>
      <w:lvlJc w:val="left"/>
      <w:pPr>
        <w:tabs>
          <w:tab w:val="num" w:pos="1440"/>
        </w:tabs>
        <w:ind w:left="1440" w:hanging="360"/>
      </w:pPr>
      <w:rPr>
        <w:rFonts w:ascii="Arial" w:hAnsi="Arial" w:hint="default"/>
      </w:rPr>
    </w:lvl>
    <w:lvl w:ilvl="2" w:tplc="F1CA8C2E" w:tentative="1">
      <w:start w:val="1"/>
      <w:numFmt w:val="bullet"/>
      <w:lvlText w:val="•"/>
      <w:lvlJc w:val="left"/>
      <w:pPr>
        <w:tabs>
          <w:tab w:val="num" w:pos="2160"/>
        </w:tabs>
        <w:ind w:left="2160" w:hanging="360"/>
      </w:pPr>
      <w:rPr>
        <w:rFonts w:ascii="Arial" w:hAnsi="Arial" w:hint="default"/>
      </w:rPr>
    </w:lvl>
    <w:lvl w:ilvl="3" w:tplc="A056AD9E">
      <w:start w:val="1"/>
      <w:numFmt w:val="bullet"/>
      <w:lvlText w:val="o"/>
      <w:lvlJc w:val="left"/>
      <w:pPr>
        <w:tabs>
          <w:tab w:val="num" w:pos="2880"/>
        </w:tabs>
        <w:ind w:left="28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B615B9"/>
    <w:multiLevelType w:val="hybridMultilevel"/>
    <w:tmpl w:val="0E7C0D0A"/>
    <w:lvl w:ilvl="0" w:tplc="A0100798">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6156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E64F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ACC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58D62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A5F5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0EFCB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3E747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021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035773"/>
    <w:multiLevelType w:val="hybridMultilevel"/>
    <w:tmpl w:val="4B78A668"/>
    <w:lvl w:ilvl="0" w:tplc="8D3E0A2C">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6AD9E">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06242">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647A4">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B4245C">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C4B38">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22116">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AA8C48">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E04E0">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D5182B"/>
    <w:multiLevelType w:val="hybridMultilevel"/>
    <w:tmpl w:val="D932DB92"/>
    <w:lvl w:ilvl="0" w:tplc="8BCCB030">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C782AA6">
      <w:start w:val="174"/>
      <w:numFmt w:val="bullet"/>
      <w:lvlText w:val="•"/>
      <w:lvlJc w:val="left"/>
      <w:pPr>
        <w:tabs>
          <w:tab w:val="num" w:pos="2160"/>
        </w:tabs>
        <w:ind w:left="2160" w:hanging="360"/>
      </w:pPr>
      <w:rPr>
        <w:rFonts w:ascii="Arial" w:hAnsi="Arial" w:hint="default"/>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4709EE"/>
    <w:multiLevelType w:val="hybridMultilevel"/>
    <w:tmpl w:val="6674EDDC"/>
    <w:lvl w:ilvl="0" w:tplc="F00206DA">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CA8C2E" w:tentative="1">
      <w:start w:val="1"/>
      <w:numFmt w:val="bullet"/>
      <w:lvlText w:val="•"/>
      <w:lvlJc w:val="left"/>
      <w:pPr>
        <w:tabs>
          <w:tab w:val="num" w:pos="2160"/>
        </w:tabs>
        <w:ind w:left="2160" w:hanging="360"/>
      </w:pPr>
      <w:rPr>
        <w:rFonts w:ascii="Arial" w:hAnsi="Arial" w:hint="default"/>
      </w:rPr>
    </w:lvl>
    <w:lvl w:ilvl="3" w:tplc="6B4E0010">
      <w:start w:val="174"/>
      <w:numFmt w:val="bullet"/>
      <w:lvlText w:val="•"/>
      <w:lvlJc w:val="left"/>
      <w:pPr>
        <w:tabs>
          <w:tab w:val="num" w:pos="2880"/>
        </w:tabs>
        <w:ind w:left="2880" w:hanging="360"/>
      </w:pPr>
      <w:rPr>
        <w:rFonts w:ascii="Arial" w:hAnsi="Arial" w:hint="default"/>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7A7868"/>
    <w:multiLevelType w:val="hybridMultilevel"/>
    <w:tmpl w:val="F5045FEC"/>
    <w:lvl w:ilvl="0" w:tplc="8BCCB030">
      <w:start w:val="1"/>
      <w:numFmt w:val="bullet"/>
      <w:lvlText w:val="•"/>
      <w:lvlJc w:val="left"/>
      <w:pPr>
        <w:tabs>
          <w:tab w:val="num" w:pos="720"/>
        </w:tabs>
        <w:ind w:left="720" w:hanging="360"/>
      </w:pPr>
      <w:rPr>
        <w:rFonts w:ascii="Arial" w:hAnsi="Arial" w:hint="default"/>
      </w:rPr>
    </w:lvl>
    <w:lvl w:ilvl="1" w:tplc="AF5004A2">
      <w:start w:val="174"/>
      <w:numFmt w:val="bullet"/>
      <w:lvlText w:val="•"/>
      <w:lvlJc w:val="left"/>
      <w:pPr>
        <w:tabs>
          <w:tab w:val="num" w:pos="1440"/>
        </w:tabs>
        <w:ind w:left="1440" w:hanging="360"/>
      </w:pPr>
      <w:rPr>
        <w:rFonts w:ascii="Arial" w:hAnsi="Arial" w:hint="default"/>
      </w:rPr>
    </w:lvl>
    <w:lvl w:ilvl="2" w:tplc="A056AD9E">
      <w:start w:val="1"/>
      <w:numFmt w:val="bullet"/>
      <w:lvlText w:val="o"/>
      <w:lvlJc w:val="left"/>
      <w:pPr>
        <w:tabs>
          <w:tab w:val="num" w:pos="2160"/>
        </w:tabs>
        <w:ind w:left="21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3F1689"/>
    <w:multiLevelType w:val="hybridMultilevel"/>
    <w:tmpl w:val="12EC238E"/>
    <w:lvl w:ilvl="0" w:tplc="676CF1A6">
      <w:start w:val="1"/>
      <w:numFmt w:val="bullet"/>
      <w:lvlText w:val="•"/>
      <w:lvlJc w:val="left"/>
      <w:pPr>
        <w:tabs>
          <w:tab w:val="num" w:pos="720"/>
        </w:tabs>
        <w:ind w:left="720" w:hanging="360"/>
      </w:pPr>
      <w:rPr>
        <w:rFonts w:ascii="Arial" w:hAnsi="Arial" w:hint="default"/>
      </w:rPr>
    </w:lvl>
    <w:lvl w:ilvl="1" w:tplc="FF70336E">
      <w:start w:val="1"/>
      <w:numFmt w:val="bullet"/>
      <w:lvlText w:val="•"/>
      <w:lvlJc w:val="left"/>
      <w:pPr>
        <w:tabs>
          <w:tab w:val="num" w:pos="1440"/>
        </w:tabs>
        <w:ind w:left="1440" w:hanging="360"/>
      </w:pPr>
      <w:rPr>
        <w:rFonts w:ascii="Arial" w:hAnsi="Arial" w:hint="default"/>
      </w:rPr>
    </w:lvl>
    <w:lvl w:ilvl="2" w:tplc="71A07D5C" w:tentative="1">
      <w:start w:val="1"/>
      <w:numFmt w:val="bullet"/>
      <w:lvlText w:val="•"/>
      <w:lvlJc w:val="left"/>
      <w:pPr>
        <w:tabs>
          <w:tab w:val="num" w:pos="2160"/>
        </w:tabs>
        <w:ind w:left="2160" w:hanging="360"/>
      </w:pPr>
      <w:rPr>
        <w:rFonts w:ascii="Arial" w:hAnsi="Arial" w:hint="default"/>
      </w:rPr>
    </w:lvl>
    <w:lvl w:ilvl="3" w:tplc="B27A6BD4" w:tentative="1">
      <w:start w:val="1"/>
      <w:numFmt w:val="bullet"/>
      <w:lvlText w:val="•"/>
      <w:lvlJc w:val="left"/>
      <w:pPr>
        <w:tabs>
          <w:tab w:val="num" w:pos="2880"/>
        </w:tabs>
        <w:ind w:left="2880" w:hanging="360"/>
      </w:pPr>
      <w:rPr>
        <w:rFonts w:ascii="Arial" w:hAnsi="Arial" w:hint="default"/>
      </w:rPr>
    </w:lvl>
    <w:lvl w:ilvl="4" w:tplc="0638D0BC" w:tentative="1">
      <w:start w:val="1"/>
      <w:numFmt w:val="bullet"/>
      <w:lvlText w:val="•"/>
      <w:lvlJc w:val="left"/>
      <w:pPr>
        <w:tabs>
          <w:tab w:val="num" w:pos="3600"/>
        </w:tabs>
        <w:ind w:left="3600" w:hanging="360"/>
      </w:pPr>
      <w:rPr>
        <w:rFonts w:ascii="Arial" w:hAnsi="Arial" w:hint="default"/>
      </w:rPr>
    </w:lvl>
    <w:lvl w:ilvl="5" w:tplc="737E0948" w:tentative="1">
      <w:start w:val="1"/>
      <w:numFmt w:val="bullet"/>
      <w:lvlText w:val="•"/>
      <w:lvlJc w:val="left"/>
      <w:pPr>
        <w:tabs>
          <w:tab w:val="num" w:pos="4320"/>
        </w:tabs>
        <w:ind w:left="4320" w:hanging="360"/>
      </w:pPr>
      <w:rPr>
        <w:rFonts w:ascii="Arial" w:hAnsi="Arial" w:hint="default"/>
      </w:rPr>
    </w:lvl>
    <w:lvl w:ilvl="6" w:tplc="77489DD4" w:tentative="1">
      <w:start w:val="1"/>
      <w:numFmt w:val="bullet"/>
      <w:lvlText w:val="•"/>
      <w:lvlJc w:val="left"/>
      <w:pPr>
        <w:tabs>
          <w:tab w:val="num" w:pos="5040"/>
        </w:tabs>
        <w:ind w:left="5040" w:hanging="360"/>
      </w:pPr>
      <w:rPr>
        <w:rFonts w:ascii="Arial" w:hAnsi="Arial" w:hint="default"/>
      </w:rPr>
    </w:lvl>
    <w:lvl w:ilvl="7" w:tplc="4EB63618" w:tentative="1">
      <w:start w:val="1"/>
      <w:numFmt w:val="bullet"/>
      <w:lvlText w:val="•"/>
      <w:lvlJc w:val="left"/>
      <w:pPr>
        <w:tabs>
          <w:tab w:val="num" w:pos="5760"/>
        </w:tabs>
        <w:ind w:left="5760" w:hanging="360"/>
      </w:pPr>
      <w:rPr>
        <w:rFonts w:ascii="Arial" w:hAnsi="Arial" w:hint="default"/>
      </w:rPr>
    </w:lvl>
    <w:lvl w:ilvl="8" w:tplc="8E689A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F924A4"/>
    <w:multiLevelType w:val="hybridMultilevel"/>
    <w:tmpl w:val="162CE606"/>
    <w:lvl w:ilvl="0" w:tplc="58D42FDA">
      <w:start w:val="2020"/>
      <w:numFmt w:val="decimal"/>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7"/>
  </w:num>
  <w:num w:numId="5">
    <w:abstractNumId w:val="1"/>
  </w:num>
  <w:num w:numId="6">
    <w:abstractNumId w:val="13"/>
  </w:num>
  <w:num w:numId="7">
    <w:abstractNumId w:val="1"/>
  </w:num>
  <w:num w:numId="8">
    <w:abstractNumId w:val="2"/>
  </w:num>
  <w:num w:numId="9">
    <w:abstractNumId w:val="11"/>
  </w:num>
  <w:num w:numId="10">
    <w:abstractNumId w:val="12"/>
  </w:num>
  <w:num w:numId="11">
    <w:abstractNumId w:val="10"/>
  </w:num>
  <w:num w:numId="12">
    <w:abstractNumId w:val="3"/>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D0"/>
    <w:rsid w:val="0001742B"/>
    <w:rsid w:val="00052FBD"/>
    <w:rsid w:val="000C32D2"/>
    <w:rsid w:val="00100D30"/>
    <w:rsid w:val="00112212"/>
    <w:rsid w:val="00172BB4"/>
    <w:rsid w:val="002C24D0"/>
    <w:rsid w:val="002E39D0"/>
    <w:rsid w:val="003B667C"/>
    <w:rsid w:val="00407F82"/>
    <w:rsid w:val="0044748F"/>
    <w:rsid w:val="004C1958"/>
    <w:rsid w:val="00543350"/>
    <w:rsid w:val="005D3A99"/>
    <w:rsid w:val="005F3CDD"/>
    <w:rsid w:val="00625BAD"/>
    <w:rsid w:val="006936A3"/>
    <w:rsid w:val="007B7A05"/>
    <w:rsid w:val="00825202"/>
    <w:rsid w:val="00882383"/>
    <w:rsid w:val="008E30D8"/>
    <w:rsid w:val="00917F1E"/>
    <w:rsid w:val="009441BA"/>
    <w:rsid w:val="009A7BA5"/>
    <w:rsid w:val="009C467D"/>
    <w:rsid w:val="00A2736E"/>
    <w:rsid w:val="00A9346B"/>
    <w:rsid w:val="00AE30EE"/>
    <w:rsid w:val="00B35E76"/>
    <w:rsid w:val="00C07F50"/>
    <w:rsid w:val="00C7677C"/>
    <w:rsid w:val="00CB3F1D"/>
    <w:rsid w:val="00D91672"/>
    <w:rsid w:val="00E82639"/>
    <w:rsid w:val="00E94B9D"/>
    <w:rsid w:val="00F02F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6E7A"/>
  <w15:chartTrackingRefBased/>
  <w15:docId w15:val="{35826D5E-D01F-4440-9789-0EBD2889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D0"/>
    <w:pPr>
      <w:spacing w:after="7" w:line="255" w:lineRule="auto"/>
      <w:ind w:left="10" w:hanging="9"/>
    </w:pPr>
    <w:rPr>
      <w:rFonts w:ascii="Times New Roman" w:eastAsia="Times New Roman" w:hAnsi="Times New Roman" w:cs="Times New Roman"/>
      <w:color w:val="000000"/>
      <w:lang w:eastAsia="en-CA"/>
    </w:rPr>
  </w:style>
  <w:style w:type="paragraph" w:styleId="Heading1">
    <w:name w:val="heading 1"/>
    <w:next w:val="Normal"/>
    <w:link w:val="Heading1Char"/>
    <w:uiPriority w:val="9"/>
    <w:unhideWhenUsed/>
    <w:qFormat/>
    <w:rsid w:val="002C24D0"/>
    <w:pPr>
      <w:keepNext/>
      <w:keepLines/>
      <w:numPr>
        <w:numId w:val="5"/>
      </w:numPr>
      <w:spacing w:after="164"/>
      <w:outlineLvl w:val="0"/>
    </w:pPr>
    <w:rPr>
      <w:rFonts w:ascii="Times New Roman" w:eastAsia="Times New Roman" w:hAnsi="Times New Roman" w:cs="Times New Roman"/>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D0"/>
    <w:rPr>
      <w:rFonts w:ascii="Times New Roman" w:eastAsia="Times New Roman" w:hAnsi="Times New Roman" w:cs="Times New Roman"/>
      <w:color w:val="000000"/>
      <w:lang w:eastAsia="en-CA"/>
    </w:rPr>
  </w:style>
  <w:style w:type="table" w:customStyle="1" w:styleId="TableGrid">
    <w:name w:val="TableGrid"/>
    <w:rsid w:val="002C24D0"/>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2C24D0"/>
    <w:pPr>
      <w:ind w:left="720"/>
      <w:contextualSpacing/>
    </w:pPr>
  </w:style>
  <w:style w:type="character" w:styleId="Hyperlink">
    <w:name w:val="Hyperlink"/>
    <w:basedOn w:val="DefaultParagraphFont"/>
    <w:uiPriority w:val="99"/>
    <w:unhideWhenUsed/>
    <w:rsid w:val="00882383"/>
    <w:rPr>
      <w:color w:val="0563C1" w:themeColor="hyperlink"/>
      <w:u w:val="single"/>
    </w:rPr>
  </w:style>
  <w:style w:type="table" w:styleId="TableGrid0">
    <w:name w:val="Table Grid"/>
    <w:basedOn w:val="TableNormal"/>
    <w:uiPriority w:val="39"/>
    <w:rsid w:val="007B7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0D8"/>
    <w:rPr>
      <w:color w:val="954F72" w:themeColor="followedHyperlink"/>
      <w:u w:val="single"/>
    </w:rPr>
  </w:style>
  <w:style w:type="character" w:styleId="CommentReference">
    <w:name w:val="annotation reference"/>
    <w:basedOn w:val="DefaultParagraphFont"/>
    <w:uiPriority w:val="99"/>
    <w:semiHidden/>
    <w:unhideWhenUsed/>
    <w:rsid w:val="005F3CDD"/>
    <w:rPr>
      <w:sz w:val="16"/>
      <w:szCs w:val="16"/>
    </w:rPr>
  </w:style>
  <w:style w:type="paragraph" w:styleId="CommentText">
    <w:name w:val="annotation text"/>
    <w:basedOn w:val="Normal"/>
    <w:link w:val="CommentTextChar"/>
    <w:uiPriority w:val="99"/>
    <w:semiHidden/>
    <w:unhideWhenUsed/>
    <w:rsid w:val="005F3CDD"/>
    <w:pPr>
      <w:spacing w:line="240" w:lineRule="auto"/>
    </w:pPr>
    <w:rPr>
      <w:sz w:val="20"/>
      <w:szCs w:val="20"/>
    </w:rPr>
  </w:style>
  <w:style w:type="character" w:customStyle="1" w:styleId="CommentTextChar">
    <w:name w:val="Comment Text Char"/>
    <w:basedOn w:val="DefaultParagraphFont"/>
    <w:link w:val="CommentText"/>
    <w:uiPriority w:val="99"/>
    <w:semiHidden/>
    <w:rsid w:val="005F3CDD"/>
    <w:rPr>
      <w:rFonts w:ascii="Times New Roman" w:eastAsia="Times New Roman" w:hAnsi="Times New Roman" w:cs="Times New Roman"/>
      <w:color w:val="000000"/>
      <w:sz w:val="20"/>
      <w:szCs w:val="20"/>
      <w:lang w:eastAsia="en-CA"/>
    </w:rPr>
  </w:style>
  <w:style w:type="paragraph" w:styleId="CommentSubject">
    <w:name w:val="annotation subject"/>
    <w:basedOn w:val="CommentText"/>
    <w:next w:val="CommentText"/>
    <w:link w:val="CommentSubjectChar"/>
    <w:uiPriority w:val="99"/>
    <w:semiHidden/>
    <w:unhideWhenUsed/>
    <w:rsid w:val="005F3CDD"/>
    <w:rPr>
      <w:b/>
      <w:bCs/>
    </w:rPr>
  </w:style>
  <w:style w:type="character" w:customStyle="1" w:styleId="CommentSubjectChar">
    <w:name w:val="Comment Subject Char"/>
    <w:basedOn w:val="CommentTextChar"/>
    <w:link w:val="CommentSubject"/>
    <w:uiPriority w:val="99"/>
    <w:semiHidden/>
    <w:rsid w:val="005F3CDD"/>
    <w:rPr>
      <w:rFonts w:ascii="Times New Roman" w:eastAsia="Times New Roman" w:hAnsi="Times New Roman" w:cs="Times New Roman"/>
      <w:b/>
      <w:bCs/>
      <w:color w:val="000000"/>
      <w:sz w:val="20"/>
      <w:szCs w:val="20"/>
      <w:lang w:eastAsia="en-CA"/>
    </w:rPr>
  </w:style>
  <w:style w:type="paragraph" w:styleId="BalloonText">
    <w:name w:val="Balloon Text"/>
    <w:basedOn w:val="Normal"/>
    <w:link w:val="BalloonTextChar"/>
    <w:uiPriority w:val="99"/>
    <w:semiHidden/>
    <w:unhideWhenUsed/>
    <w:rsid w:val="005F3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DD"/>
    <w:rPr>
      <w:rFonts w:ascii="Segoe UI" w:eastAsia="Times New Roman" w:hAnsi="Segoe UI" w:cs="Segoe UI"/>
      <w:color w:val="000000"/>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7994">
      <w:bodyDiv w:val="1"/>
      <w:marLeft w:val="0"/>
      <w:marRight w:val="0"/>
      <w:marTop w:val="0"/>
      <w:marBottom w:val="0"/>
      <w:divBdr>
        <w:top w:val="none" w:sz="0" w:space="0" w:color="auto"/>
        <w:left w:val="none" w:sz="0" w:space="0" w:color="auto"/>
        <w:bottom w:val="none" w:sz="0" w:space="0" w:color="auto"/>
        <w:right w:val="none" w:sz="0" w:space="0" w:color="auto"/>
      </w:divBdr>
    </w:div>
    <w:div w:id="378823178">
      <w:bodyDiv w:val="1"/>
      <w:marLeft w:val="0"/>
      <w:marRight w:val="0"/>
      <w:marTop w:val="0"/>
      <w:marBottom w:val="0"/>
      <w:divBdr>
        <w:top w:val="none" w:sz="0" w:space="0" w:color="auto"/>
        <w:left w:val="none" w:sz="0" w:space="0" w:color="auto"/>
        <w:bottom w:val="none" w:sz="0" w:space="0" w:color="auto"/>
        <w:right w:val="none" w:sz="0" w:space="0" w:color="auto"/>
      </w:divBdr>
      <w:divsChild>
        <w:div w:id="1629161532">
          <w:marLeft w:val="274"/>
          <w:marRight w:val="0"/>
          <w:marTop w:val="0"/>
          <w:marBottom w:val="0"/>
          <w:divBdr>
            <w:top w:val="none" w:sz="0" w:space="0" w:color="auto"/>
            <w:left w:val="none" w:sz="0" w:space="0" w:color="auto"/>
            <w:bottom w:val="none" w:sz="0" w:space="0" w:color="auto"/>
            <w:right w:val="none" w:sz="0" w:space="0" w:color="auto"/>
          </w:divBdr>
        </w:div>
        <w:div w:id="132647484">
          <w:marLeft w:val="994"/>
          <w:marRight w:val="0"/>
          <w:marTop w:val="0"/>
          <w:marBottom w:val="0"/>
          <w:divBdr>
            <w:top w:val="none" w:sz="0" w:space="0" w:color="auto"/>
            <w:left w:val="none" w:sz="0" w:space="0" w:color="auto"/>
            <w:bottom w:val="none" w:sz="0" w:space="0" w:color="auto"/>
            <w:right w:val="none" w:sz="0" w:space="0" w:color="auto"/>
          </w:divBdr>
        </w:div>
        <w:div w:id="1651790561">
          <w:marLeft w:val="994"/>
          <w:marRight w:val="0"/>
          <w:marTop w:val="0"/>
          <w:marBottom w:val="0"/>
          <w:divBdr>
            <w:top w:val="none" w:sz="0" w:space="0" w:color="auto"/>
            <w:left w:val="none" w:sz="0" w:space="0" w:color="auto"/>
            <w:bottom w:val="none" w:sz="0" w:space="0" w:color="auto"/>
            <w:right w:val="none" w:sz="0" w:space="0" w:color="auto"/>
          </w:divBdr>
        </w:div>
        <w:div w:id="1818372518">
          <w:marLeft w:val="994"/>
          <w:marRight w:val="0"/>
          <w:marTop w:val="0"/>
          <w:marBottom w:val="0"/>
          <w:divBdr>
            <w:top w:val="none" w:sz="0" w:space="0" w:color="auto"/>
            <w:left w:val="none" w:sz="0" w:space="0" w:color="auto"/>
            <w:bottom w:val="none" w:sz="0" w:space="0" w:color="auto"/>
            <w:right w:val="none" w:sz="0" w:space="0" w:color="auto"/>
          </w:divBdr>
        </w:div>
        <w:div w:id="1960525100">
          <w:marLeft w:val="994"/>
          <w:marRight w:val="0"/>
          <w:marTop w:val="0"/>
          <w:marBottom w:val="0"/>
          <w:divBdr>
            <w:top w:val="none" w:sz="0" w:space="0" w:color="auto"/>
            <w:left w:val="none" w:sz="0" w:space="0" w:color="auto"/>
            <w:bottom w:val="none" w:sz="0" w:space="0" w:color="auto"/>
            <w:right w:val="none" w:sz="0" w:space="0" w:color="auto"/>
          </w:divBdr>
        </w:div>
        <w:div w:id="101808511">
          <w:marLeft w:val="994"/>
          <w:marRight w:val="0"/>
          <w:marTop w:val="0"/>
          <w:marBottom w:val="0"/>
          <w:divBdr>
            <w:top w:val="none" w:sz="0" w:space="0" w:color="auto"/>
            <w:left w:val="none" w:sz="0" w:space="0" w:color="auto"/>
            <w:bottom w:val="none" w:sz="0" w:space="0" w:color="auto"/>
            <w:right w:val="none" w:sz="0" w:space="0" w:color="auto"/>
          </w:divBdr>
        </w:div>
        <w:div w:id="530604868">
          <w:marLeft w:val="274"/>
          <w:marRight w:val="0"/>
          <w:marTop w:val="0"/>
          <w:marBottom w:val="0"/>
          <w:divBdr>
            <w:top w:val="none" w:sz="0" w:space="0" w:color="auto"/>
            <w:left w:val="none" w:sz="0" w:space="0" w:color="auto"/>
            <w:bottom w:val="none" w:sz="0" w:space="0" w:color="auto"/>
            <w:right w:val="none" w:sz="0" w:space="0" w:color="auto"/>
          </w:divBdr>
        </w:div>
        <w:div w:id="227886055">
          <w:marLeft w:val="994"/>
          <w:marRight w:val="0"/>
          <w:marTop w:val="0"/>
          <w:marBottom w:val="0"/>
          <w:divBdr>
            <w:top w:val="none" w:sz="0" w:space="0" w:color="auto"/>
            <w:left w:val="none" w:sz="0" w:space="0" w:color="auto"/>
            <w:bottom w:val="none" w:sz="0" w:space="0" w:color="auto"/>
            <w:right w:val="none" w:sz="0" w:space="0" w:color="auto"/>
          </w:divBdr>
        </w:div>
        <w:div w:id="489910082">
          <w:marLeft w:val="2434"/>
          <w:marRight w:val="0"/>
          <w:marTop w:val="0"/>
          <w:marBottom w:val="0"/>
          <w:divBdr>
            <w:top w:val="none" w:sz="0" w:space="0" w:color="auto"/>
            <w:left w:val="none" w:sz="0" w:space="0" w:color="auto"/>
            <w:bottom w:val="none" w:sz="0" w:space="0" w:color="auto"/>
            <w:right w:val="none" w:sz="0" w:space="0" w:color="auto"/>
          </w:divBdr>
        </w:div>
        <w:div w:id="1897159406">
          <w:marLeft w:val="2434"/>
          <w:marRight w:val="0"/>
          <w:marTop w:val="0"/>
          <w:marBottom w:val="0"/>
          <w:divBdr>
            <w:top w:val="none" w:sz="0" w:space="0" w:color="auto"/>
            <w:left w:val="none" w:sz="0" w:space="0" w:color="auto"/>
            <w:bottom w:val="none" w:sz="0" w:space="0" w:color="auto"/>
            <w:right w:val="none" w:sz="0" w:space="0" w:color="auto"/>
          </w:divBdr>
        </w:div>
        <w:div w:id="335571826">
          <w:marLeft w:val="2434"/>
          <w:marRight w:val="0"/>
          <w:marTop w:val="0"/>
          <w:marBottom w:val="0"/>
          <w:divBdr>
            <w:top w:val="none" w:sz="0" w:space="0" w:color="auto"/>
            <w:left w:val="none" w:sz="0" w:space="0" w:color="auto"/>
            <w:bottom w:val="none" w:sz="0" w:space="0" w:color="auto"/>
            <w:right w:val="none" w:sz="0" w:space="0" w:color="auto"/>
          </w:divBdr>
        </w:div>
      </w:divsChild>
    </w:div>
    <w:div w:id="487936696">
      <w:bodyDiv w:val="1"/>
      <w:marLeft w:val="0"/>
      <w:marRight w:val="0"/>
      <w:marTop w:val="0"/>
      <w:marBottom w:val="0"/>
      <w:divBdr>
        <w:top w:val="none" w:sz="0" w:space="0" w:color="auto"/>
        <w:left w:val="none" w:sz="0" w:space="0" w:color="auto"/>
        <w:bottom w:val="none" w:sz="0" w:space="0" w:color="auto"/>
        <w:right w:val="none" w:sz="0" w:space="0" w:color="auto"/>
      </w:divBdr>
      <w:divsChild>
        <w:div w:id="1060052025">
          <w:marLeft w:val="274"/>
          <w:marRight w:val="0"/>
          <w:marTop w:val="0"/>
          <w:marBottom w:val="0"/>
          <w:divBdr>
            <w:top w:val="none" w:sz="0" w:space="0" w:color="auto"/>
            <w:left w:val="none" w:sz="0" w:space="0" w:color="auto"/>
            <w:bottom w:val="none" w:sz="0" w:space="0" w:color="auto"/>
            <w:right w:val="none" w:sz="0" w:space="0" w:color="auto"/>
          </w:divBdr>
        </w:div>
        <w:div w:id="1451435660">
          <w:marLeft w:val="274"/>
          <w:marRight w:val="0"/>
          <w:marTop w:val="0"/>
          <w:marBottom w:val="0"/>
          <w:divBdr>
            <w:top w:val="none" w:sz="0" w:space="0" w:color="auto"/>
            <w:left w:val="none" w:sz="0" w:space="0" w:color="auto"/>
            <w:bottom w:val="none" w:sz="0" w:space="0" w:color="auto"/>
            <w:right w:val="none" w:sz="0" w:space="0" w:color="auto"/>
          </w:divBdr>
        </w:div>
        <w:div w:id="1479876438">
          <w:marLeft w:val="994"/>
          <w:marRight w:val="0"/>
          <w:marTop w:val="0"/>
          <w:marBottom w:val="0"/>
          <w:divBdr>
            <w:top w:val="none" w:sz="0" w:space="0" w:color="auto"/>
            <w:left w:val="none" w:sz="0" w:space="0" w:color="auto"/>
            <w:bottom w:val="none" w:sz="0" w:space="0" w:color="auto"/>
            <w:right w:val="none" w:sz="0" w:space="0" w:color="auto"/>
          </w:divBdr>
        </w:div>
        <w:div w:id="1363096543">
          <w:marLeft w:val="1728"/>
          <w:marRight w:val="0"/>
          <w:marTop w:val="0"/>
          <w:marBottom w:val="0"/>
          <w:divBdr>
            <w:top w:val="none" w:sz="0" w:space="0" w:color="auto"/>
            <w:left w:val="none" w:sz="0" w:space="0" w:color="auto"/>
            <w:bottom w:val="none" w:sz="0" w:space="0" w:color="auto"/>
            <w:right w:val="none" w:sz="0" w:space="0" w:color="auto"/>
          </w:divBdr>
        </w:div>
        <w:div w:id="2056654326">
          <w:marLeft w:val="1728"/>
          <w:marRight w:val="0"/>
          <w:marTop w:val="0"/>
          <w:marBottom w:val="0"/>
          <w:divBdr>
            <w:top w:val="none" w:sz="0" w:space="0" w:color="auto"/>
            <w:left w:val="none" w:sz="0" w:space="0" w:color="auto"/>
            <w:bottom w:val="none" w:sz="0" w:space="0" w:color="auto"/>
            <w:right w:val="none" w:sz="0" w:space="0" w:color="auto"/>
          </w:divBdr>
        </w:div>
        <w:div w:id="1322154090">
          <w:marLeft w:val="1728"/>
          <w:marRight w:val="0"/>
          <w:marTop w:val="0"/>
          <w:marBottom w:val="0"/>
          <w:divBdr>
            <w:top w:val="none" w:sz="0" w:space="0" w:color="auto"/>
            <w:left w:val="none" w:sz="0" w:space="0" w:color="auto"/>
            <w:bottom w:val="none" w:sz="0" w:space="0" w:color="auto"/>
            <w:right w:val="none" w:sz="0" w:space="0" w:color="auto"/>
          </w:divBdr>
        </w:div>
        <w:div w:id="178547816">
          <w:marLeft w:val="1728"/>
          <w:marRight w:val="0"/>
          <w:marTop w:val="0"/>
          <w:marBottom w:val="0"/>
          <w:divBdr>
            <w:top w:val="none" w:sz="0" w:space="0" w:color="auto"/>
            <w:left w:val="none" w:sz="0" w:space="0" w:color="auto"/>
            <w:bottom w:val="none" w:sz="0" w:space="0" w:color="auto"/>
            <w:right w:val="none" w:sz="0" w:space="0" w:color="auto"/>
          </w:divBdr>
        </w:div>
        <w:div w:id="346058115">
          <w:marLeft w:val="1714"/>
          <w:marRight w:val="0"/>
          <w:marTop w:val="0"/>
          <w:marBottom w:val="0"/>
          <w:divBdr>
            <w:top w:val="none" w:sz="0" w:space="0" w:color="auto"/>
            <w:left w:val="none" w:sz="0" w:space="0" w:color="auto"/>
            <w:bottom w:val="none" w:sz="0" w:space="0" w:color="auto"/>
            <w:right w:val="none" w:sz="0" w:space="0" w:color="auto"/>
          </w:divBdr>
        </w:div>
        <w:div w:id="318122473">
          <w:marLeft w:val="1714"/>
          <w:marRight w:val="0"/>
          <w:marTop w:val="0"/>
          <w:marBottom w:val="0"/>
          <w:divBdr>
            <w:top w:val="none" w:sz="0" w:space="0" w:color="auto"/>
            <w:left w:val="none" w:sz="0" w:space="0" w:color="auto"/>
            <w:bottom w:val="none" w:sz="0" w:space="0" w:color="auto"/>
            <w:right w:val="none" w:sz="0" w:space="0" w:color="auto"/>
          </w:divBdr>
        </w:div>
        <w:div w:id="645471456">
          <w:marLeft w:val="274"/>
          <w:marRight w:val="0"/>
          <w:marTop w:val="0"/>
          <w:marBottom w:val="0"/>
          <w:divBdr>
            <w:top w:val="none" w:sz="0" w:space="0" w:color="auto"/>
            <w:left w:val="none" w:sz="0" w:space="0" w:color="auto"/>
            <w:bottom w:val="none" w:sz="0" w:space="0" w:color="auto"/>
            <w:right w:val="none" w:sz="0" w:space="0" w:color="auto"/>
          </w:divBdr>
        </w:div>
        <w:div w:id="1955668285">
          <w:marLeft w:val="274"/>
          <w:marRight w:val="0"/>
          <w:marTop w:val="0"/>
          <w:marBottom w:val="0"/>
          <w:divBdr>
            <w:top w:val="none" w:sz="0" w:space="0" w:color="auto"/>
            <w:left w:val="none" w:sz="0" w:space="0" w:color="auto"/>
            <w:bottom w:val="none" w:sz="0" w:space="0" w:color="auto"/>
            <w:right w:val="none" w:sz="0" w:space="0" w:color="auto"/>
          </w:divBdr>
        </w:div>
        <w:div w:id="1998877438">
          <w:marLeft w:val="274"/>
          <w:marRight w:val="0"/>
          <w:marTop w:val="0"/>
          <w:marBottom w:val="0"/>
          <w:divBdr>
            <w:top w:val="none" w:sz="0" w:space="0" w:color="auto"/>
            <w:left w:val="none" w:sz="0" w:space="0" w:color="auto"/>
            <w:bottom w:val="none" w:sz="0" w:space="0" w:color="auto"/>
            <w:right w:val="none" w:sz="0" w:space="0" w:color="auto"/>
          </w:divBdr>
        </w:div>
        <w:div w:id="1361904380">
          <w:marLeft w:val="994"/>
          <w:marRight w:val="0"/>
          <w:marTop w:val="0"/>
          <w:marBottom w:val="0"/>
          <w:divBdr>
            <w:top w:val="none" w:sz="0" w:space="0" w:color="auto"/>
            <w:left w:val="none" w:sz="0" w:space="0" w:color="auto"/>
            <w:bottom w:val="none" w:sz="0" w:space="0" w:color="auto"/>
            <w:right w:val="none" w:sz="0" w:space="0" w:color="auto"/>
          </w:divBdr>
        </w:div>
        <w:div w:id="1361128479">
          <w:marLeft w:val="994"/>
          <w:marRight w:val="0"/>
          <w:marTop w:val="0"/>
          <w:marBottom w:val="0"/>
          <w:divBdr>
            <w:top w:val="none" w:sz="0" w:space="0" w:color="auto"/>
            <w:left w:val="none" w:sz="0" w:space="0" w:color="auto"/>
            <w:bottom w:val="none" w:sz="0" w:space="0" w:color="auto"/>
            <w:right w:val="none" w:sz="0" w:space="0" w:color="auto"/>
          </w:divBdr>
        </w:div>
        <w:div w:id="627247032">
          <w:marLeft w:val="1008"/>
          <w:marRight w:val="0"/>
          <w:marTop w:val="0"/>
          <w:marBottom w:val="0"/>
          <w:divBdr>
            <w:top w:val="none" w:sz="0" w:space="0" w:color="auto"/>
            <w:left w:val="none" w:sz="0" w:space="0" w:color="auto"/>
            <w:bottom w:val="none" w:sz="0" w:space="0" w:color="auto"/>
            <w:right w:val="none" w:sz="0" w:space="0" w:color="auto"/>
          </w:divBdr>
        </w:div>
      </w:divsChild>
    </w:div>
    <w:div w:id="726297977">
      <w:bodyDiv w:val="1"/>
      <w:marLeft w:val="0"/>
      <w:marRight w:val="0"/>
      <w:marTop w:val="0"/>
      <w:marBottom w:val="0"/>
      <w:divBdr>
        <w:top w:val="none" w:sz="0" w:space="0" w:color="auto"/>
        <w:left w:val="none" w:sz="0" w:space="0" w:color="auto"/>
        <w:bottom w:val="none" w:sz="0" w:space="0" w:color="auto"/>
        <w:right w:val="none" w:sz="0" w:space="0" w:color="auto"/>
      </w:divBdr>
      <w:divsChild>
        <w:div w:id="1319769624">
          <w:marLeft w:val="274"/>
          <w:marRight w:val="0"/>
          <w:marTop w:val="0"/>
          <w:marBottom w:val="0"/>
          <w:divBdr>
            <w:top w:val="none" w:sz="0" w:space="0" w:color="auto"/>
            <w:left w:val="none" w:sz="0" w:space="0" w:color="auto"/>
            <w:bottom w:val="none" w:sz="0" w:space="0" w:color="auto"/>
            <w:right w:val="none" w:sz="0" w:space="0" w:color="auto"/>
          </w:divBdr>
        </w:div>
        <w:div w:id="12540586">
          <w:marLeft w:val="274"/>
          <w:marRight w:val="0"/>
          <w:marTop w:val="0"/>
          <w:marBottom w:val="0"/>
          <w:divBdr>
            <w:top w:val="none" w:sz="0" w:space="0" w:color="auto"/>
            <w:left w:val="none" w:sz="0" w:space="0" w:color="auto"/>
            <w:bottom w:val="none" w:sz="0" w:space="0" w:color="auto"/>
            <w:right w:val="none" w:sz="0" w:space="0" w:color="auto"/>
          </w:divBdr>
        </w:div>
        <w:div w:id="389153689">
          <w:marLeft w:val="274"/>
          <w:marRight w:val="0"/>
          <w:marTop w:val="0"/>
          <w:marBottom w:val="0"/>
          <w:divBdr>
            <w:top w:val="none" w:sz="0" w:space="0" w:color="auto"/>
            <w:left w:val="none" w:sz="0" w:space="0" w:color="auto"/>
            <w:bottom w:val="none" w:sz="0" w:space="0" w:color="auto"/>
            <w:right w:val="none" w:sz="0" w:space="0" w:color="auto"/>
          </w:divBdr>
        </w:div>
        <w:div w:id="1755080440">
          <w:marLeft w:val="274"/>
          <w:marRight w:val="0"/>
          <w:marTop w:val="0"/>
          <w:marBottom w:val="0"/>
          <w:divBdr>
            <w:top w:val="none" w:sz="0" w:space="0" w:color="auto"/>
            <w:left w:val="none" w:sz="0" w:space="0" w:color="auto"/>
            <w:bottom w:val="none" w:sz="0" w:space="0" w:color="auto"/>
            <w:right w:val="none" w:sz="0" w:space="0" w:color="auto"/>
          </w:divBdr>
        </w:div>
        <w:div w:id="989869218">
          <w:marLeft w:val="274"/>
          <w:marRight w:val="0"/>
          <w:marTop w:val="0"/>
          <w:marBottom w:val="0"/>
          <w:divBdr>
            <w:top w:val="none" w:sz="0" w:space="0" w:color="auto"/>
            <w:left w:val="none" w:sz="0" w:space="0" w:color="auto"/>
            <w:bottom w:val="none" w:sz="0" w:space="0" w:color="auto"/>
            <w:right w:val="none" w:sz="0" w:space="0" w:color="auto"/>
          </w:divBdr>
        </w:div>
        <w:div w:id="802231435">
          <w:marLeft w:val="274"/>
          <w:marRight w:val="0"/>
          <w:marTop w:val="0"/>
          <w:marBottom w:val="0"/>
          <w:divBdr>
            <w:top w:val="none" w:sz="0" w:space="0" w:color="auto"/>
            <w:left w:val="none" w:sz="0" w:space="0" w:color="auto"/>
            <w:bottom w:val="none" w:sz="0" w:space="0" w:color="auto"/>
            <w:right w:val="none" w:sz="0" w:space="0" w:color="auto"/>
          </w:divBdr>
        </w:div>
      </w:divsChild>
    </w:div>
    <w:div w:id="19119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thrite.ca/bien-vivre/champ-des-possibles/recherche/reconciliation-dans-les-soins-relies-a-l-arthrite-repondre-a-l-appel-a-l-a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6E50-598E-456F-88F8-EA8B14A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8289</Characters>
  <Application>Microsoft Office Word</Application>
  <DocSecurity>0</DocSecurity>
  <Lines>690</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Anderson</dc:creator>
  <cp:keywords/>
  <dc:description/>
  <cp:lastModifiedBy>Leanne Anderson</cp:lastModifiedBy>
  <cp:revision>2</cp:revision>
  <cp:lastPrinted>2021-08-12T19:12:00Z</cp:lastPrinted>
  <dcterms:created xsi:type="dcterms:W3CDTF">2021-08-12T19:33:00Z</dcterms:created>
  <dcterms:modified xsi:type="dcterms:W3CDTF">2021-08-12T19:33:00Z</dcterms:modified>
</cp:coreProperties>
</file>