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19C21" w14:textId="77777777" w:rsidR="00754BCA" w:rsidRPr="0072223D" w:rsidRDefault="00754BCA" w:rsidP="00754BCA">
      <w:pPr>
        <w:rPr>
          <w:rFonts w:ascii="Arial" w:hAnsi="Arial" w:cs="Arial"/>
          <w:b/>
          <w:sz w:val="28"/>
          <w:szCs w:val="28"/>
          <w:lang w:val="en-US"/>
        </w:rPr>
      </w:pPr>
      <w:r w:rsidRPr="0072223D">
        <w:rPr>
          <w:rFonts w:ascii="Arial" w:hAnsi="Arial" w:cs="Arial"/>
          <w:b/>
          <w:sz w:val="28"/>
          <w:szCs w:val="28"/>
          <w:lang w:val="en-US"/>
        </w:rPr>
        <w:t xml:space="preserve">PERFORMANCE AGREEMENT </w:t>
      </w:r>
      <w:smartTag w:uri="urn:schemas-microsoft-com:office:smarttags" w:element="stockticker">
        <w:r w:rsidRPr="0072223D">
          <w:rPr>
            <w:rFonts w:ascii="Arial" w:hAnsi="Arial" w:cs="Arial"/>
            <w:b/>
            <w:sz w:val="28"/>
            <w:szCs w:val="28"/>
            <w:lang w:val="en-US"/>
          </w:rPr>
          <w:t>AND</w:t>
        </w:r>
      </w:smartTag>
      <w:r w:rsidRPr="0072223D">
        <w:rPr>
          <w:rFonts w:ascii="Arial" w:hAnsi="Arial" w:cs="Arial"/>
          <w:b/>
          <w:sz w:val="28"/>
          <w:szCs w:val="28"/>
          <w:lang w:val="en-US"/>
        </w:rPr>
        <w:t xml:space="preserve"> EVALUATION </w:t>
      </w:r>
      <w:smartTag w:uri="urn:schemas-microsoft-com:office:smarttags" w:element="stockticker">
        <w:r w:rsidRPr="0072223D">
          <w:rPr>
            <w:rFonts w:ascii="Arial" w:hAnsi="Arial" w:cs="Arial"/>
            <w:b/>
            <w:sz w:val="28"/>
            <w:szCs w:val="28"/>
            <w:lang w:val="en-US"/>
          </w:rPr>
          <w:t>FORM</w:t>
        </w:r>
      </w:smartTag>
    </w:p>
    <w:p w14:paraId="70EF773A" w14:textId="77777777" w:rsidR="00754BCA" w:rsidRPr="0072223D" w:rsidRDefault="00754BCA" w:rsidP="001B2CF2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703"/>
        <w:gridCol w:w="924"/>
        <w:gridCol w:w="2216"/>
        <w:gridCol w:w="554"/>
        <w:gridCol w:w="2955"/>
      </w:tblGrid>
      <w:tr w:rsidR="00754BCA" w:rsidRPr="00F57AD1" w14:paraId="2A51A974" w14:textId="77777777" w:rsidTr="00581BDE">
        <w:trPr>
          <w:trHeight w:val="368"/>
        </w:trPr>
        <w:tc>
          <w:tcPr>
            <w:tcW w:w="1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BDD2B9" w14:textId="77777777" w:rsidR="00754BCA" w:rsidRPr="00F57AD1" w:rsidRDefault="00754BCA" w:rsidP="001B2CF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PERFORMANCE CYCLE: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shd w:val="clear" w:color="auto" w:fill="auto"/>
          </w:tcPr>
          <w:p w14:paraId="6649D759" w14:textId="77777777" w:rsidR="00754BCA" w:rsidRPr="00F57AD1" w:rsidRDefault="00754BCA" w:rsidP="001B2CF2">
            <w:pPr>
              <w:rPr>
                <w:rFonts w:ascii="Arial" w:hAnsi="Arial" w:cs="Arial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FROM:</w:t>
            </w:r>
          </w:p>
        </w:tc>
        <w:tc>
          <w:tcPr>
            <w:tcW w:w="1185" w:type="pct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D770DC" w14:textId="77777777" w:rsidR="00754BCA" w:rsidRPr="00F57AD1" w:rsidRDefault="00754BCA" w:rsidP="001B2CF2">
            <w:pPr>
              <w:rPr>
                <w:rFonts w:ascii="Arial" w:hAnsi="Arial" w:cs="Arial"/>
                <w:b/>
                <w:lang w:val="en-US"/>
              </w:rPr>
            </w:pPr>
            <w:r w:rsidRPr="00F57AD1">
              <w:rPr>
                <w:rFonts w:ascii="Arial" w:hAnsi="Arial" w:cs="Arial"/>
                <w:b/>
                <w:lang w:val="en-US"/>
              </w:rPr>
              <w:t>______</w:t>
            </w:r>
          </w:p>
        </w:tc>
        <w:tc>
          <w:tcPr>
            <w:tcW w:w="29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/>
            </w:tcBorders>
            <w:shd w:val="clear" w:color="auto" w:fill="auto"/>
          </w:tcPr>
          <w:p w14:paraId="1911879C" w14:textId="77777777" w:rsidR="00754BCA" w:rsidRPr="00F57AD1" w:rsidRDefault="00754BCA" w:rsidP="001B2CF2">
            <w:pPr>
              <w:rPr>
                <w:rFonts w:ascii="Arial" w:hAnsi="Arial" w:cs="Arial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TO:</w:t>
            </w:r>
          </w:p>
        </w:tc>
        <w:tc>
          <w:tcPr>
            <w:tcW w:w="1580" w:type="pct"/>
            <w:tcBorders>
              <w:top w:val="single" w:sz="2" w:space="0" w:color="auto"/>
              <w:left w:val="single" w:sz="2" w:space="0" w:color="FFFFFF"/>
              <w:bottom w:val="single" w:sz="2" w:space="0" w:color="auto"/>
            </w:tcBorders>
            <w:shd w:val="clear" w:color="auto" w:fill="auto"/>
            <w:vAlign w:val="center"/>
          </w:tcPr>
          <w:p w14:paraId="508C1D6C" w14:textId="77777777" w:rsidR="00754BCA" w:rsidRPr="00F57AD1" w:rsidRDefault="00754BCA" w:rsidP="001B2CF2">
            <w:pPr>
              <w:rPr>
                <w:rFonts w:ascii="Arial" w:hAnsi="Arial" w:cs="Arial"/>
                <w:b/>
                <w:lang w:val="en-US"/>
              </w:rPr>
            </w:pPr>
            <w:r w:rsidRPr="00F57AD1">
              <w:rPr>
                <w:rFonts w:ascii="Arial" w:hAnsi="Arial" w:cs="Arial"/>
                <w:b/>
                <w:lang w:val="en-US"/>
              </w:rPr>
              <w:t>______</w:t>
            </w:r>
          </w:p>
        </w:tc>
      </w:tr>
      <w:tr w:rsidR="004A7B36" w:rsidRPr="00F57AD1" w14:paraId="09B652AF" w14:textId="77777777" w:rsidTr="00581BDE">
        <w:trPr>
          <w:trHeight w:val="368"/>
        </w:trPr>
        <w:tc>
          <w:tcPr>
            <w:tcW w:w="5000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9DE8C3A" w14:textId="77777777" w:rsidR="004A7B36" w:rsidRPr="00F57AD1" w:rsidRDefault="004A7B36" w:rsidP="001B2C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Note:</w:t>
            </w:r>
            <w:r w:rsidR="0054203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Performance Agreements and Evaluations should be succinct (i.e. 2-3 pages) and should highlight the main commitments and results achieved.</w:t>
            </w:r>
            <w:r w:rsidR="0054203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For further details on completing this form, see the </w:t>
            </w:r>
            <w:hyperlink r:id="rId8" w:history="1">
              <w:r w:rsidR="00917B5A" w:rsidRPr="00542030">
                <w:rPr>
                  <w:rStyle w:val="Hyperlink"/>
                  <w:rFonts w:ascii="Arial" w:hAnsi="Arial" w:cs="Arial"/>
                  <w:i/>
                  <w:sz w:val="20"/>
                  <w:szCs w:val="20"/>
                  <w:lang w:val="en-US"/>
                </w:rPr>
                <w:t>Performance Management Program Guidelines for Deputy Ministers, Associate Deputy Ministers and Individuals Paid in the GX Salary Range</w:t>
              </w:r>
            </w:hyperlink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328EAD3C" w14:textId="77777777" w:rsidR="00754BCA" w:rsidRPr="001B2CF2" w:rsidRDefault="00754BCA" w:rsidP="001B2CF2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806"/>
        <w:gridCol w:w="6546"/>
      </w:tblGrid>
      <w:tr w:rsidR="00754BCA" w:rsidRPr="00F57AD1" w14:paraId="4AB1AF67" w14:textId="77777777" w:rsidTr="00AD298B">
        <w:trPr>
          <w:trHeight w:val="32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2698B057" w14:textId="77777777" w:rsidR="00754BCA" w:rsidRPr="00F57AD1" w:rsidRDefault="00754BCA" w:rsidP="001B2CF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SECTION A: PERSONAL INFORMATION</w:t>
            </w:r>
          </w:p>
        </w:tc>
      </w:tr>
      <w:tr w:rsidR="00754BCA" w:rsidRPr="00F57AD1" w14:paraId="256ABB4C" w14:textId="77777777" w:rsidTr="00092369">
        <w:trPr>
          <w:trHeight w:val="368"/>
        </w:trPr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A2EC4B" w14:textId="77777777" w:rsidR="00754BCA" w:rsidRPr="00F57AD1" w:rsidRDefault="00754BCA" w:rsidP="001B2C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4FC5FA" w14:textId="77777777" w:rsidR="00754BCA" w:rsidRPr="00F57AD1" w:rsidRDefault="00754BCA" w:rsidP="001B2C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754BCA" w:rsidRPr="00F57AD1" w14:paraId="633A4415" w14:textId="77777777" w:rsidTr="00092369">
        <w:trPr>
          <w:trHeight w:val="368"/>
        </w:trPr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A02449" w14:textId="77777777" w:rsidR="00754BCA" w:rsidRPr="00F57AD1" w:rsidRDefault="00754BCA" w:rsidP="001B2C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POSITION TITLE:</w:t>
            </w:r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C9CB78C" w14:textId="77777777" w:rsidR="00754BCA" w:rsidRPr="00F57AD1" w:rsidRDefault="00754BCA" w:rsidP="001B2C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761FB91" w14:textId="77777777" w:rsidR="00CF03C3" w:rsidRPr="001B2CF2" w:rsidRDefault="00CF03C3" w:rsidP="001B2CF2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860A5E" w:rsidRPr="00F57AD1" w14:paraId="7BD1DF07" w14:textId="77777777" w:rsidTr="00AE4BBD">
        <w:trPr>
          <w:trHeight w:val="32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4C6C8FB5" w14:textId="77777777" w:rsidR="00860A5E" w:rsidRPr="00F57AD1" w:rsidRDefault="00860A5E" w:rsidP="001B2CF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B</w:t>
            </w: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OFFICIAL LANGUAGES</w:t>
            </w:r>
          </w:p>
        </w:tc>
      </w:tr>
      <w:tr w:rsidR="00860A5E" w:rsidRPr="00F57AD1" w14:paraId="0A75C2E6" w14:textId="77777777" w:rsidTr="00665B50">
        <w:trPr>
          <w:trHeight w:val="2733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F2F9FCB" w14:textId="0D358DCD" w:rsidR="00CA0430" w:rsidRPr="00C01BCE" w:rsidRDefault="00E6592F" w:rsidP="001B2C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Part V, </w:t>
            </w:r>
            <w:r w:rsidR="005C6B23" w:rsidRPr="00C01BCE">
              <w:rPr>
                <w:rFonts w:ascii="Arial" w:hAnsi="Arial" w:cs="Arial"/>
                <w:sz w:val="20"/>
                <w:szCs w:val="20"/>
                <w:lang w:val="en-US"/>
              </w:rPr>
              <w:t>section 34</w:t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 (2)</w:t>
            </w:r>
            <w:r w:rsidR="005C6B23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 of the </w:t>
            </w:r>
            <w:r w:rsidR="005C6B23" w:rsidRPr="00C01BC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Official Languages Act</w:t>
            </w:r>
            <w:r w:rsidR="005C6B23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 requir</w:t>
            </w:r>
            <w:r w:rsidR="00C001F5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es </w:t>
            </w:r>
            <w:r w:rsidR="008A67EE" w:rsidRPr="00C01BCE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deputy ministers and associate deputy ministers in departments</w:t>
            </w:r>
            <w:r w:rsidR="008A67EE" w:rsidRPr="00C01BCE" w:rsidDel="00C001F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7038AD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listed in Schedule 1 of the </w:t>
            </w:r>
            <w:r w:rsidR="00567C31" w:rsidRPr="00C01BCE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Financial Administration Act</w:t>
            </w:r>
            <w:r w:rsidR="00567C31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 (</w:t>
            </w:r>
            <w:r w:rsidR="007038AD" w:rsidRPr="00C01BCE">
              <w:rPr>
                <w:rFonts w:ascii="Arial" w:hAnsi="Arial" w:cs="Arial"/>
                <w:sz w:val="20"/>
                <w:szCs w:val="20"/>
                <w:lang w:val="en-US"/>
              </w:rPr>
              <w:t>FAA</w:t>
            </w:r>
            <w:r w:rsidR="00567C31" w:rsidRPr="00C01BC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="007038AD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C001F5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to </w:t>
            </w:r>
            <w:r w:rsidR="007038AD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take </w:t>
            </w:r>
            <w:r w:rsidR="008A67EE" w:rsidRPr="00C01BCE">
              <w:rPr>
                <w:rFonts w:ascii="Arial" w:hAnsi="Arial" w:cs="Arial"/>
                <w:sz w:val="20"/>
                <w:szCs w:val="20"/>
                <w:lang w:val="en-US"/>
              </w:rPr>
              <w:t>the</w:t>
            </w:r>
            <w:r w:rsidR="007038AD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A67EE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language </w:t>
            </w:r>
            <w:r w:rsidR="007038AD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training </w:t>
            </w:r>
            <w:r w:rsidR="008A67EE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that is necessary </w:t>
            </w:r>
            <w:r w:rsidR="007038AD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to be able to </w:t>
            </w:r>
            <w:bookmarkStart w:id="0" w:name="_Hlk159505727"/>
            <w:r w:rsidR="007038AD" w:rsidRPr="00C01BCE">
              <w:rPr>
                <w:rFonts w:ascii="Arial" w:hAnsi="Arial" w:cs="Arial"/>
                <w:sz w:val="20"/>
                <w:szCs w:val="20"/>
                <w:lang w:val="en-US"/>
              </w:rPr>
              <w:t>speak and understand clearly both official languages</w:t>
            </w:r>
            <w:bookmarkEnd w:id="0"/>
            <w:r w:rsidR="007038AD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</w:p>
          <w:p w14:paraId="21DD9323" w14:textId="77777777" w:rsidR="00CA0430" w:rsidRPr="00C01BCE" w:rsidRDefault="00CA0430" w:rsidP="001B2C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E2447F8" w14:textId="71E4B672" w:rsidR="00C001F5" w:rsidRPr="00C01BCE" w:rsidRDefault="00C001F5" w:rsidP="001B2C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As part of the Performance Management Program, </w:t>
            </w:r>
            <w:r w:rsidR="00EB3D83" w:rsidRPr="00C01BCE">
              <w:rPr>
                <w:rFonts w:ascii="Arial" w:hAnsi="Arial" w:cs="Arial"/>
                <w:sz w:val="20"/>
                <w:szCs w:val="20"/>
                <w:lang w:val="en-US"/>
              </w:rPr>
              <w:t>it is expected that</w:t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01BC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all</w:t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8A67EE" w:rsidRPr="00C01BCE"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eputy </w:t>
            </w:r>
            <w:r w:rsidR="008A67EE" w:rsidRPr="00C01BCE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>inisters</w:t>
            </w:r>
            <w:r w:rsidR="008A67EE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 and associate deputy ministers</w:t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, including those in a department </w:t>
            </w:r>
            <w:r w:rsidRPr="00C01BC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not</w:t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 listed in Schedule 1 of the FAA, </w:t>
            </w:r>
            <w:r w:rsidR="00CA0430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also </w:t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take the necessary </w:t>
            </w:r>
            <w:r w:rsidR="00CA0430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language </w:t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>training to be able to speak and understand clearly both official languages.</w:t>
            </w:r>
          </w:p>
          <w:p w14:paraId="32290209" w14:textId="2BDC5C37" w:rsidR="00092369" w:rsidRPr="00C01BCE" w:rsidRDefault="00092369" w:rsidP="001B2CF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49EBE5A" w14:textId="79BFCD25" w:rsidR="00992014" w:rsidRPr="005219C1" w:rsidRDefault="00992014" w:rsidP="006C76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Please indicate </w:t>
            </w:r>
            <w:r w:rsidR="006768CF">
              <w:rPr>
                <w:rFonts w:ascii="Arial" w:hAnsi="Arial" w:cs="Arial"/>
                <w:sz w:val="20"/>
                <w:szCs w:val="20"/>
                <w:lang w:val="en-US"/>
              </w:rPr>
              <w:t>whether you</w:t>
            </w:r>
            <w:r w:rsidR="006768CF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 can speak and understand</w:t>
            </w:r>
            <w:r w:rsidR="00630DC0">
              <w:rPr>
                <w:rFonts w:ascii="Arial" w:hAnsi="Arial" w:cs="Arial"/>
                <w:sz w:val="20"/>
                <w:szCs w:val="20"/>
                <w:lang w:val="en-US"/>
              </w:rPr>
              <w:t xml:space="preserve"> clearly</w:t>
            </w:r>
            <w:r w:rsidR="006768CF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 both official languages</w:t>
            </w:r>
            <w:r w:rsidR="00EB3D83" w:rsidRPr="00C01BC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6C76B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E2557" w:rsidRPr="005219C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For example, t</w:t>
            </w:r>
            <w:r w:rsidR="006C76B7" w:rsidRPr="005219C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his means being able to understand most complex details, inferences</w:t>
            </w:r>
            <w:r w:rsidR="002E2557" w:rsidRPr="005219C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,</w:t>
            </w:r>
            <w:r w:rsidR="006C76B7" w:rsidRPr="005219C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and fine points of meanings, having a good comprehension of specialized or less familiar material, as well as being able to speak to support opinions and understand and express hypothetical and conditional ideas.</w:t>
            </w:r>
            <w:r w:rsidRPr="005219C1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28F94F0D" w14:textId="77777777" w:rsidR="00992014" w:rsidRPr="00C01BCE" w:rsidRDefault="00992014" w:rsidP="001B2C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40B364" w14:textId="53A3E0C4" w:rsidR="00992014" w:rsidRDefault="00992014" w:rsidP="001B2C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Yes </w:t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51567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55156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 No </w:t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FORMCHECKBOX </w:instrText>
            </w:r>
            <w:r w:rsidR="00551567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551567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r w:rsidR="00092369"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DA20536" w14:textId="77777777" w:rsidR="002E2557" w:rsidRPr="00C01BCE" w:rsidRDefault="002E2557" w:rsidP="001B2C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E73C5BE" w14:textId="65FCFB10" w:rsidR="00E6592F" w:rsidRPr="00C01BCE" w:rsidRDefault="002E2557" w:rsidP="001B2CF2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>If</w:t>
            </w:r>
            <w:r w:rsidRPr="00C01BC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“no”</w:t>
            </w:r>
            <w:r w:rsidRPr="00C01BCE">
              <w:rPr>
                <w:rFonts w:ascii="Arial" w:hAnsi="Arial" w:cs="Arial"/>
                <w:sz w:val="20"/>
                <w:szCs w:val="20"/>
                <w:lang w:val="en-US"/>
              </w:rPr>
              <w:t xml:space="preserve">, please </w:t>
            </w:r>
            <w:r w:rsidR="00630DC0">
              <w:rPr>
                <w:rFonts w:ascii="Arial" w:hAnsi="Arial" w:cs="Arial"/>
                <w:sz w:val="20"/>
                <w:szCs w:val="20"/>
                <w:lang w:val="en-US"/>
              </w:rPr>
              <w:t xml:space="preserve">complete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the following sections:</w:t>
            </w:r>
          </w:p>
        </w:tc>
      </w:tr>
      <w:tr w:rsidR="004D5CE0" w:rsidRPr="00F57AD1" w14:paraId="66EA7845" w14:textId="77777777" w:rsidTr="005219C1">
        <w:trPr>
          <w:trHeight w:val="501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614532" w14:textId="397AE138" w:rsidR="004D5CE0" w:rsidRPr="00C01BCE" w:rsidDel="00C001F5" w:rsidRDefault="004D5CE0" w:rsidP="004D5CE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1BC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Performance Agreement </w:t>
            </w:r>
            <w:r w:rsidRPr="00C01BC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C01BCE">
              <w:rPr>
                <w:rFonts w:ascii="Arial" w:hAnsi="Arial" w:cs="Arial"/>
                <w:sz w:val="18"/>
                <w:szCs w:val="18"/>
                <w:lang w:val="en-US"/>
              </w:rPr>
              <w:t xml:space="preserve">Please </w:t>
            </w:r>
            <w:r w:rsidR="00630DC0">
              <w:rPr>
                <w:rFonts w:ascii="Arial" w:hAnsi="Arial" w:cs="Arial"/>
                <w:sz w:val="18"/>
                <w:szCs w:val="18"/>
                <w:lang w:val="en-US"/>
              </w:rPr>
              <w:t xml:space="preserve">complete this </w:t>
            </w:r>
            <w:r w:rsidRPr="00C01BCE">
              <w:rPr>
                <w:rFonts w:ascii="Arial" w:hAnsi="Arial" w:cs="Arial"/>
                <w:sz w:val="18"/>
                <w:szCs w:val="18"/>
                <w:lang w:val="en-US"/>
              </w:rPr>
              <w:t xml:space="preserve">section at </w:t>
            </w:r>
            <w:r w:rsidR="00630DC0"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r w:rsidRPr="00C01BCE">
              <w:rPr>
                <w:rFonts w:ascii="Arial" w:hAnsi="Arial" w:cs="Arial"/>
                <w:sz w:val="18"/>
                <w:szCs w:val="18"/>
                <w:lang w:val="en-US"/>
              </w:rPr>
              <w:t xml:space="preserve">beginning of </w:t>
            </w:r>
            <w:r w:rsidR="00630DC0"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r w:rsidRPr="00C01BCE">
              <w:rPr>
                <w:rFonts w:ascii="Arial" w:hAnsi="Arial" w:cs="Arial"/>
                <w:sz w:val="18"/>
                <w:szCs w:val="18"/>
                <w:lang w:val="en-US"/>
              </w:rPr>
              <w:t>year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DB38DC8" w14:textId="77777777" w:rsidR="004D5CE0" w:rsidRPr="00C01BCE" w:rsidRDefault="004D5CE0" w:rsidP="004D5CE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1BC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Performance Evaluation </w:t>
            </w:r>
          </w:p>
          <w:p w14:paraId="0910DC92" w14:textId="7CDCE63C" w:rsidR="004D5CE0" w:rsidRPr="00C01BCE" w:rsidDel="00C001F5" w:rsidRDefault="004D5CE0" w:rsidP="004D5CE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1BCE">
              <w:rPr>
                <w:rFonts w:ascii="Arial" w:hAnsi="Arial" w:cs="Arial"/>
                <w:sz w:val="18"/>
                <w:szCs w:val="18"/>
                <w:lang w:val="en-US"/>
              </w:rPr>
              <w:t xml:space="preserve">Please </w:t>
            </w:r>
            <w:r w:rsidR="00630DC0">
              <w:rPr>
                <w:rFonts w:ascii="Arial" w:hAnsi="Arial" w:cs="Arial"/>
                <w:sz w:val="18"/>
                <w:szCs w:val="18"/>
                <w:lang w:val="en-US"/>
              </w:rPr>
              <w:t>complete this</w:t>
            </w:r>
            <w:r w:rsidRPr="00C01BCE">
              <w:rPr>
                <w:rFonts w:ascii="Arial" w:hAnsi="Arial" w:cs="Arial"/>
                <w:sz w:val="18"/>
                <w:szCs w:val="18"/>
                <w:lang w:val="en-US"/>
              </w:rPr>
              <w:t xml:space="preserve"> section at </w:t>
            </w:r>
            <w:r w:rsidR="00630DC0"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r w:rsidRPr="00C01BCE">
              <w:rPr>
                <w:rFonts w:ascii="Arial" w:hAnsi="Arial" w:cs="Arial"/>
                <w:sz w:val="18"/>
                <w:szCs w:val="18"/>
                <w:lang w:val="en-US"/>
              </w:rPr>
              <w:t xml:space="preserve">end of </w:t>
            </w:r>
            <w:r w:rsidR="00630DC0">
              <w:rPr>
                <w:rFonts w:ascii="Arial" w:hAnsi="Arial" w:cs="Arial"/>
                <w:sz w:val="18"/>
                <w:szCs w:val="18"/>
                <w:lang w:val="en-US"/>
              </w:rPr>
              <w:t xml:space="preserve">the </w:t>
            </w:r>
            <w:r w:rsidRPr="00C01BCE">
              <w:rPr>
                <w:rFonts w:ascii="Arial" w:hAnsi="Arial" w:cs="Arial"/>
                <w:sz w:val="18"/>
                <w:szCs w:val="18"/>
                <w:lang w:val="en-US"/>
              </w:rPr>
              <w:t>year</w:t>
            </w:r>
          </w:p>
        </w:tc>
      </w:tr>
      <w:tr w:rsidR="004D5CE0" w:rsidRPr="00F57AD1" w14:paraId="1B2C524C" w14:textId="77777777" w:rsidTr="004A50CD">
        <w:trPr>
          <w:trHeight w:val="405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</w:tcPr>
          <w:p w14:paraId="11BBDD84" w14:textId="3870FCC9" w:rsidR="004D5CE0" w:rsidRPr="00C01BCE" w:rsidDel="00C001F5" w:rsidRDefault="004D5CE0" w:rsidP="004D5CE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C01BC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Commitment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C01BC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Pr="00E45E1F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r w:rsidR="00630DC0">
              <w:rPr>
                <w:rFonts w:ascii="Arial" w:hAnsi="Arial" w:cs="Arial"/>
                <w:sz w:val="18"/>
                <w:szCs w:val="18"/>
                <w:lang w:val="en-US"/>
              </w:rPr>
              <w:t>e.g.</w:t>
            </w:r>
            <w:r w:rsidR="00EA2FEC" w:rsidRPr="00E45E1F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="00630DC0">
              <w:rPr>
                <w:rFonts w:ascii="Arial" w:hAnsi="Arial" w:cs="Arial"/>
                <w:sz w:val="18"/>
                <w:szCs w:val="18"/>
                <w:lang w:val="en-US"/>
              </w:rPr>
              <w:t xml:space="preserve">will attend </w:t>
            </w:r>
            <w:r w:rsidRPr="00E45E1F">
              <w:rPr>
                <w:rFonts w:ascii="Arial" w:hAnsi="Arial" w:cs="Arial"/>
                <w:sz w:val="18"/>
                <w:szCs w:val="18"/>
                <w:lang w:val="en-US"/>
              </w:rPr>
              <w:t>weekly language training classes or coaching sessions,</w:t>
            </w:r>
            <w:r w:rsidR="00EA2FEC" w:rsidRPr="00E45E1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630DC0">
              <w:rPr>
                <w:rFonts w:ascii="Arial" w:hAnsi="Arial" w:cs="Arial"/>
                <w:sz w:val="18"/>
                <w:szCs w:val="18"/>
                <w:lang w:val="en-US"/>
              </w:rPr>
              <w:t>will engage in</w:t>
            </w:r>
            <w:r w:rsidR="00EA2FEC" w:rsidRPr="00E45E1F">
              <w:rPr>
                <w:rFonts w:ascii="Arial" w:hAnsi="Arial" w:cs="Arial"/>
                <w:sz w:val="18"/>
                <w:szCs w:val="18"/>
                <w:lang w:val="en-US"/>
              </w:rPr>
              <w:t xml:space="preserve"> bi-weekly discussions with a language coach,</w:t>
            </w:r>
            <w:r w:rsidRPr="00E45E1F">
              <w:rPr>
                <w:rFonts w:ascii="Arial" w:hAnsi="Arial" w:cs="Arial"/>
                <w:sz w:val="18"/>
                <w:szCs w:val="18"/>
                <w:lang w:val="en-US"/>
              </w:rPr>
              <w:t xml:space="preserve"> etc.)</w:t>
            </w:r>
          </w:p>
        </w:tc>
        <w:tc>
          <w:tcPr>
            <w:tcW w:w="2500" w:type="pct"/>
            <w:tcBorders>
              <w:top w:val="single" w:sz="2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14:paraId="5C8113B7" w14:textId="62D4CFCA" w:rsidR="00630DC0" w:rsidRDefault="004D5CE0" w:rsidP="004D5CE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01BC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Summary of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commitments</w:t>
            </w:r>
            <w:r w:rsidRPr="00C01BC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achieved</w:t>
            </w:r>
            <w:r w:rsidRPr="00C01BC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br/>
            </w:r>
            <w:r w:rsidR="00630DC0">
              <w:rPr>
                <w:rFonts w:ascii="Arial" w:hAnsi="Arial" w:cs="Arial"/>
                <w:sz w:val="18"/>
                <w:szCs w:val="18"/>
                <w:lang w:val="en-US"/>
              </w:rPr>
              <w:t>(e.g. engaged in monthly sessions with a dedicated, in-house language coach)</w:t>
            </w:r>
          </w:p>
          <w:p w14:paraId="484BB35A" w14:textId="3F91EEC0" w:rsidR="004D5CE0" w:rsidRPr="00C01BCE" w:rsidRDefault="004D5CE0" w:rsidP="004D5CE0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01BCE">
              <w:rPr>
                <w:rFonts w:ascii="Arial" w:hAnsi="Arial" w:cs="Arial"/>
                <w:sz w:val="18"/>
                <w:szCs w:val="18"/>
                <w:lang w:val="en-US"/>
              </w:rPr>
              <w:t>If a commitment has not been achieved, please provide a justification</w:t>
            </w:r>
            <w:r w:rsidR="00630DC0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  <w:tr w:rsidR="004D5CE0" w:rsidRPr="00F57AD1" w:rsidDel="004A50CD" w14:paraId="64EB9581" w14:textId="77777777" w:rsidTr="004A50CD">
        <w:trPr>
          <w:trHeight w:val="402"/>
        </w:trPr>
        <w:tc>
          <w:tcPr>
            <w:tcW w:w="2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1F34B772" w14:textId="77777777" w:rsidR="004D5CE0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9E9308" w14:textId="77777777" w:rsidR="004D5CE0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8DD8F5" w14:textId="77777777" w:rsidR="004D5CE0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A05F5DD" w14:textId="77777777" w:rsidR="004D5CE0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FA34DDF" w14:textId="77777777" w:rsidR="004D5CE0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13500EC" w14:textId="77777777" w:rsidR="004D5CE0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56E9DDE" w14:textId="77777777" w:rsidR="004D5CE0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19B2A6B" w14:textId="77777777" w:rsidR="004D5CE0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73A4C12" w14:textId="77777777" w:rsidR="004D5CE0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6E69DC" w14:textId="77777777" w:rsidR="004D5CE0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6347E5" w14:textId="77777777" w:rsidR="004D5CE0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268C22" w14:textId="77777777" w:rsidR="004D5CE0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F49967" w14:textId="77777777" w:rsidR="004D5CE0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20AF497" w14:textId="77777777" w:rsidR="004D5CE0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F3E0834" w14:textId="77777777" w:rsidR="004D5CE0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4F4198C" w14:textId="77777777" w:rsidR="004D5CE0" w:rsidRPr="00C01BCE" w:rsidDel="004A50CD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500" w:type="pct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C319346" w14:textId="77777777" w:rsidR="004D5CE0" w:rsidRPr="00C01BCE" w:rsidDel="004A50CD" w:rsidRDefault="004D5CE0" w:rsidP="004D5C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145EF604" w14:textId="7551D3F6" w:rsidR="001B2CF2" w:rsidRDefault="001B2CF2" w:rsidP="001B2CF2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754BCA" w:rsidRPr="00F57AD1" w14:paraId="69E912AA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7C5F2A5C" w14:textId="498F9A2E" w:rsidR="00754BCA" w:rsidRPr="00F57AD1" w:rsidRDefault="00754BCA" w:rsidP="001B2CF2">
            <w:pPr>
              <w:widowControl w:val="0"/>
              <w:tabs>
                <w:tab w:val="left" w:pos="7680"/>
              </w:tabs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SECTION </w:t>
            </w:r>
            <w:r w:rsidR="00860A5E">
              <w:rPr>
                <w:rFonts w:ascii="Arial" w:hAnsi="Arial" w:cs="Arial"/>
                <w:b/>
                <w:sz w:val="20"/>
                <w:szCs w:val="20"/>
                <w:lang w:val="en-US"/>
              </w:rPr>
              <w:t>C</w:t>
            </w: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: POLICY </w:t>
            </w:r>
            <w:smartTag w:uri="urn:schemas-microsoft-com:office:smarttags" w:element="stockticker">
              <w:r w:rsidRPr="00F57AD1">
                <w:rPr>
                  <w:rFonts w:ascii="Arial" w:hAnsi="Arial" w:cs="Arial"/>
                  <w:b/>
                  <w:sz w:val="20"/>
                  <w:szCs w:val="20"/>
                  <w:lang w:val="en-US"/>
                </w:rPr>
                <w:t>AND</w:t>
              </w:r>
            </w:smartTag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PROGRAM RESULTS</w:t>
            </w:r>
          </w:p>
        </w:tc>
      </w:tr>
      <w:tr w:rsidR="00754BCA" w:rsidRPr="00F57AD1" w14:paraId="55A18F17" w14:textId="77777777" w:rsidTr="00AD298B">
        <w:trPr>
          <w:trHeight w:val="36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D7DFEB7" w14:textId="77777777" w:rsidR="004A7B36" w:rsidRPr="00F57AD1" w:rsidRDefault="004A7B36" w:rsidP="001B2CF2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Commitments that are based on the business plans of the organization and that reflect priority areas of focus of the Government.</w:t>
            </w:r>
          </w:p>
        </w:tc>
      </w:tr>
    </w:tbl>
    <w:p w14:paraId="31FB52AD" w14:textId="77777777" w:rsidR="00754BCA" w:rsidRPr="0072223D" w:rsidRDefault="00754BCA" w:rsidP="001B2CF2">
      <w:pPr>
        <w:widowControl w:val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949"/>
        <w:gridCol w:w="2948"/>
        <w:gridCol w:w="3433"/>
      </w:tblGrid>
      <w:tr w:rsidR="00754BCA" w:rsidRPr="00F57AD1" w14:paraId="6F7AC074" w14:textId="77777777" w:rsidTr="00AD298B">
        <w:trPr>
          <w:trHeight w:val="37"/>
        </w:trPr>
        <w:tc>
          <w:tcPr>
            <w:tcW w:w="1580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119F9137" w14:textId="77777777" w:rsidR="00754BCA" w:rsidRPr="00F57AD1" w:rsidRDefault="004A7B36" w:rsidP="001B2C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bookmarkStart w:id="1" w:name="_Hlk172728151"/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Commitments</w:t>
            </w:r>
          </w:p>
        </w:tc>
        <w:tc>
          <w:tcPr>
            <w:tcW w:w="158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3192A0B5" w14:textId="77777777" w:rsidR="00754BCA" w:rsidRPr="00F57AD1" w:rsidRDefault="00754BCA" w:rsidP="001B2C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Performance Measures</w:t>
            </w:r>
          </w:p>
        </w:tc>
        <w:tc>
          <w:tcPr>
            <w:tcW w:w="184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612BFC4B" w14:textId="77777777" w:rsidR="00754BCA" w:rsidRPr="00F57AD1" w:rsidRDefault="00754BCA" w:rsidP="001B2C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Results Achieved</w:t>
            </w:r>
          </w:p>
        </w:tc>
      </w:tr>
      <w:tr w:rsidR="00754BCA" w:rsidRPr="00F57AD1" w14:paraId="7BA7EA15" w14:textId="77777777" w:rsidTr="00581BDE">
        <w:trPr>
          <w:trHeight w:val="1701"/>
        </w:trPr>
        <w:tc>
          <w:tcPr>
            <w:tcW w:w="1580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33621F8" w14:textId="77777777" w:rsidR="000A70C9" w:rsidRPr="00F57AD1" w:rsidRDefault="000A70C9" w:rsidP="001B2CF2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5EC1FC6F" w14:textId="77777777" w:rsidR="00754BCA" w:rsidRPr="00F57AD1" w:rsidRDefault="00754BCA" w:rsidP="001B2CF2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2FE2A41" w14:textId="77777777" w:rsidR="00754BCA" w:rsidRPr="00F57AD1" w:rsidRDefault="00754BCA" w:rsidP="001B2CF2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bookmarkEnd w:id="1"/>
    </w:tbl>
    <w:p w14:paraId="73CC2C19" w14:textId="77777777" w:rsidR="00754BCA" w:rsidRPr="0072223D" w:rsidRDefault="00754BCA" w:rsidP="001B2CF2">
      <w:pPr>
        <w:widowControl w:val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754BCA" w:rsidRPr="00F57AD1" w14:paraId="6920A7F4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7AC4C0AD" w14:textId="77777777" w:rsidR="00754BCA" w:rsidRPr="00F57AD1" w:rsidRDefault="00754BCA" w:rsidP="001B2C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Narrative on Policy and Program Results</w:t>
            </w:r>
          </w:p>
        </w:tc>
      </w:tr>
      <w:tr w:rsidR="00754BCA" w:rsidRPr="00F57AD1" w14:paraId="1340C464" w14:textId="77777777" w:rsidTr="00581BDE">
        <w:trPr>
          <w:trHeight w:val="170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4D82644" w14:textId="169C0677" w:rsidR="001B2CF2" w:rsidRPr="00F57AD1" w:rsidRDefault="001B2CF2" w:rsidP="001B2CF2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0709819" w14:textId="4E2DF8A8" w:rsidR="001B2CF2" w:rsidRDefault="001B2CF2">
      <w:pPr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4D5CE0" w:rsidRPr="00F57AD1" w14:paraId="03251B19" w14:textId="77777777" w:rsidTr="00ED2526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662A6301" w14:textId="3CE6C007" w:rsidR="004D5CE0" w:rsidRPr="00F57AD1" w:rsidRDefault="004D5CE0" w:rsidP="00ED2526">
            <w:pPr>
              <w:widowControl w:val="0"/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</w:pPr>
            <w:r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 xml:space="preserve">SECTION </w:t>
            </w:r>
            <w:r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D</w:t>
            </w:r>
            <w:r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: corporate Results</w:t>
            </w:r>
          </w:p>
        </w:tc>
      </w:tr>
      <w:tr w:rsidR="004D5CE0" w:rsidRPr="00F57AD1" w14:paraId="61E82A55" w14:textId="77777777" w:rsidTr="00ED2526">
        <w:trPr>
          <w:trHeight w:val="36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18D399E" w14:textId="77777777" w:rsidR="004D5CE0" w:rsidRPr="005A3B22" w:rsidRDefault="004D5CE0" w:rsidP="00ED2526">
            <w:pPr>
              <w:widowControl w:val="0"/>
              <w:spacing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Th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 commitment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 reflect current Government priorit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ies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They are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 identified on an annual basis and the results will be evaluated and rewarded based on the collective contribution of the organization towards the corporate commitment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F57AD1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Consistent with the assessment principles outlined in section 4.2 of the </w:t>
            </w:r>
            <w:hyperlink r:id="rId9" w:history="1">
              <w:r w:rsidRPr="00542030">
                <w:rPr>
                  <w:rStyle w:val="Hyperlink"/>
                  <w:rFonts w:ascii="Arial" w:hAnsi="Arial" w:cs="Arial"/>
                  <w:i/>
                  <w:sz w:val="20"/>
                  <w:szCs w:val="20"/>
                  <w:lang w:val="en-US"/>
                </w:rPr>
                <w:t>Performance Management Program Guidelines for Deputy Ministers, Associate Deputy Ministers and Individuals Paid in the GX Salary Range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>, it is recommended that the summary include a focus on progress made</w:t>
            </w:r>
            <w:r w:rsidRPr="007038AD">
              <w:rPr>
                <w:rFonts w:ascii="Arial" w:hAnsi="Arial" w:cs="Arial"/>
                <w:sz w:val="20"/>
                <w:szCs w:val="20"/>
                <w:lang w:val="en-US"/>
              </w:rPr>
              <w:t xml:space="preserve"> to significantly and meaningfully advance </w:t>
            </w:r>
            <w:hyperlink r:id="rId10" w:history="1">
              <w:r w:rsidRPr="00E01FEF">
                <w:rPr>
                  <w:rStyle w:val="Hyperlink"/>
                  <w:rFonts w:ascii="Arial" w:hAnsi="Arial" w:cs="Arial"/>
                  <w:sz w:val="20"/>
                  <w:szCs w:val="20"/>
                </w:rPr>
                <w:t>public service-wide priorities</w:t>
              </w:r>
            </w:hyperlink>
            <w:r w:rsidRPr="00E01FEF">
              <w:rPr>
                <w:rFonts w:ascii="Arial" w:hAnsi="Arial" w:cs="Arial"/>
                <w:sz w:val="20"/>
                <w:szCs w:val="20"/>
              </w:rPr>
              <w:t xml:space="preserve"> on reconciliation, anti-racism, accessibility, equity, diversity, and inclusion.</w:t>
            </w:r>
          </w:p>
        </w:tc>
      </w:tr>
    </w:tbl>
    <w:p w14:paraId="22ACD7BF" w14:textId="77777777" w:rsidR="004D5CE0" w:rsidRPr="0072223D" w:rsidRDefault="004D5CE0" w:rsidP="004D5CE0">
      <w:pPr>
        <w:widowControl w:val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949"/>
        <w:gridCol w:w="2948"/>
        <w:gridCol w:w="3433"/>
      </w:tblGrid>
      <w:tr w:rsidR="004D5CE0" w:rsidRPr="00F57AD1" w14:paraId="5778551E" w14:textId="77777777" w:rsidTr="00ED2526">
        <w:trPr>
          <w:trHeight w:val="37"/>
        </w:trPr>
        <w:tc>
          <w:tcPr>
            <w:tcW w:w="1580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5BDD7E32" w14:textId="77777777" w:rsidR="004D5CE0" w:rsidRPr="00F57AD1" w:rsidRDefault="004D5CE0" w:rsidP="00ED252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Commitments</w:t>
            </w:r>
          </w:p>
        </w:tc>
        <w:tc>
          <w:tcPr>
            <w:tcW w:w="158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5B3F2CC3" w14:textId="77777777" w:rsidR="004D5CE0" w:rsidRPr="00F57AD1" w:rsidRDefault="004D5CE0" w:rsidP="00ED252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Performance Measures</w:t>
            </w:r>
          </w:p>
        </w:tc>
        <w:tc>
          <w:tcPr>
            <w:tcW w:w="184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21A5248F" w14:textId="77777777" w:rsidR="004D5CE0" w:rsidRPr="00F57AD1" w:rsidRDefault="004D5CE0" w:rsidP="00ED2526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Results Achieved</w:t>
            </w:r>
          </w:p>
        </w:tc>
      </w:tr>
      <w:tr w:rsidR="004D5CE0" w:rsidRPr="00F57AD1" w14:paraId="76DAA4D8" w14:textId="77777777" w:rsidTr="00ED2526">
        <w:trPr>
          <w:trHeight w:val="1701"/>
        </w:trPr>
        <w:tc>
          <w:tcPr>
            <w:tcW w:w="1580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E665191" w14:textId="77777777" w:rsidR="004D5CE0" w:rsidRPr="00F57AD1" w:rsidRDefault="004D5CE0" w:rsidP="00ED2526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7653F034" w14:textId="77777777" w:rsidR="004D5CE0" w:rsidRPr="00F57AD1" w:rsidRDefault="004D5CE0" w:rsidP="00ED2526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D32F481" w14:textId="77777777" w:rsidR="004D5CE0" w:rsidRPr="00F57AD1" w:rsidRDefault="004D5CE0" w:rsidP="00ED2526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CF2E436" w14:textId="77777777" w:rsidR="004D5CE0" w:rsidRPr="009209DF" w:rsidRDefault="004D5CE0" w:rsidP="004D5CE0">
      <w:pPr>
        <w:widowControl w:val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4D5CE0" w:rsidRPr="00F57AD1" w14:paraId="5501FCC3" w14:textId="77777777" w:rsidTr="00ED2526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4D29BB44" w14:textId="77777777" w:rsidR="004D5CE0" w:rsidRPr="00F57AD1" w:rsidRDefault="004D5CE0" w:rsidP="00ED252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Narrative on Corporate Results</w:t>
            </w:r>
          </w:p>
        </w:tc>
      </w:tr>
      <w:tr w:rsidR="004D5CE0" w:rsidRPr="00F57AD1" w14:paraId="7525E34E" w14:textId="77777777" w:rsidTr="00ED2526">
        <w:trPr>
          <w:trHeight w:val="170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484AB59B" w14:textId="77777777" w:rsidR="004D5CE0" w:rsidRPr="00F57AD1" w:rsidRDefault="004D5CE0" w:rsidP="00ED252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AF24D61" w14:textId="77777777" w:rsidR="00754BCA" w:rsidRDefault="00754BCA" w:rsidP="001B2CF2">
      <w:pPr>
        <w:widowControl w:val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1B2CF2" w:rsidRPr="00F57AD1" w14:paraId="4B66DF45" w14:textId="77777777" w:rsidTr="00F32BB3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39A00830" w14:textId="7B6195E5" w:rsidR="001B2CF2" w:rsidRPr="00F57AD1" w:rsidRDefault="001B2CF2" w:rsidP="001B2CF2">
            <w:pPr>
              <w:widowControl w:val="0"/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</w:pPr>
            <w:r>
              <w:br w:type="page"/>
            </w:r>
            <w:r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 xml:space="preserve">SECTION </w:t>
            </w:r>
            <w:r w:rsidR="004D5CE0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E</w:t>
            </w:r>
            <w:r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: Management Results</w:t>
            </w:r>
          </w:p>
        </w:tc>
      </w:tr>
      <w:tr w:rsidR="001B2CF2" w:rsidRPr="00F57AD1" w14:paraId="65E1DD37" w14:textId="77777777" w:rsidTr="00F32BB3">
        <w:trPr>
          <w:trHeight w:val="249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42CCDDA" w14:textId="18CFD6F1" w:rsidR="001B2CF2" w:rsidRPr="006768CF" w:rsidRDefault="002E7F6D" w:rsidP="002E7F6D">
            <w:pPr>
              <w:widowControl w:val="0"/>
              <w:spacing w:after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Deputy Ministers may wish to include additional initiatives in their performance agreement and evaluation to highlight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particular actions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taken to address results of </w:t>
            </w:r>
            <w:r w:rsidRPr="007B4BDB">
              <w:rPr>
                <w:rFonts w:ascii="Arial" w:hAnsi="Arial" w:cs="Arial"/>
                <w:sz w:val="20"/>
                <w:szCs w:val="20"/>
                <w:lang w:val="en-US"/>
              </w:rPr>
              <w:t>the Public Service Employee Survey (when available)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and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t</w:t>
            </w:r>
            <w:r w:rsidRPr="007B4BDB">
              <w:rPr>
                <w:rFonts w:ascii="Arial" w:hAnsi="Arial" w:cs="Arial"/>
                <w:sz w:val="20"/>
                <w:szCs w:val="20"/>
                <w:lang w:val="en-US"/>
              </w:rPr>
              <w:t>he Risk and Compliance Process (RCP</w:t>
            </w:r>
            <w:r>
              <w:rPr>
                <w:rStyle w:val="FootnoteReference"/>
                <w:rFonts w:ascii="Arial" w:hAnsi="Arial" w:cs="Arial"/>
                <w:sz w:val="20"/>
                <w:szCs w:val="20"/>
                <w:lang w:val="en-US"/>
              </w:rPr>
              <w:footnoteReference w:id="1"/>
            </w:r>
            <w:r w:rsidRPr="007B4BD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</w:tbl>
    <w:p w14:paraId="35347CAF" w14:textId="77777777" w:rsidR="001B2CF2" w:rsidRPr="0072223D" w:rsidRDefault="001B2CF2" w:rsidP="001B2CF2">
      <w:pPr>
        <w:widowControl w:val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949"/>
        <w:gridCol w:w="2948"/>
        <w:gridCol w:w="3433"/>
      </w:tblGrid>
      <w:tr w:rsidR="00754BCA" w:rsidRPr="00F57AD1" w14:paraId="0E5B8633" w14:textId="77777777" w:rsidTr="00AD298B">
        <w:trPr>
          <w:trHeight w:val="37"/>
        </w:trPr>
        <w:tc>
          <w:tcPr>
            <w:tcW w:w="1580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1A1C217F" w14:textId="77777777" w:rsidR="00754BCA" w:rsidRPr="00F57AD1" w:rsidRDefault="00917B5A" w:rsidP="001B2C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Commitments</w:t>
            </w:r>
          </w:p>
        </w:tc>
        <w:tc>
          <w:tcPr>
            <w:tcW w:w="158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443DC43A" w14:textId="77777777" w:rsidR="00754BCA" w:rsidRPr="00F57AD1" w:rsidRDefault="00754BCA" w:rsidP="001B2C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Performance Measures</w:t>
            </w:r>
          </w:p>
        </w:tc>
        <w:tc>
          <w:tcPr>
            <w:tcW w:w="184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109DBCAA" w14:textId="77777777" w:rsidR="00754BCA" w:rsidRPr="00F57AD1" w:rsidRDefault="00754BCA" w:rsidP="001B2C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Results Achieved</w:t>
            </w:r>
          </w:p>
        </w:tc>
      </w:tr>
      <w:tr w:rsidR="00754BCA" w:rsidRPr="00F57AD1" w14:paraId="06FAF786" w14:textId="77777777" w:rsidTr="00581BDE">
        <w:trPr>
          <w:trHeight w:val="1701"/>
        </w:trPr>
        <w:tc>
          <w:tcPr>
            <w:tcW w:w="1580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8380E18" w14:textId="77777777" w:rsidR="00754BCA" w:rsidRPr="00F57AD1" w:rsidRDefault="00754BCA" w:rsidP="001B2CF2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49819811" w14:textId="77777777" w:rsidR="00754BCA" w:rsidRPr="00F57AD1" w:rsidRDefault="00754BCA" w:rsidP="001B2CF2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B3ACDB" w14:textId="77777777" w:rsidR="00754BCA" w:rsidRPr="00F57AD1" w:rsidRDefault="00754BCA" w:rsidP="001B2CF2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4F6785D" w14:textId="77777777" w:rsidR="00754BCA" w:rsidRPr="009209DF" w:rsidRDefault="00754BCA" w:rsidP="001B2CF2">
      <w:pPr>
        <w:widowControl w:val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754BCA" w:rsidRPr="00F57AD1" w14:paraId="35727F07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5E7479D3" w14:textId="77777777" w:rsidR="00754BCA" w:rsidRPr="00F57AD1" w:rsidRDefault="00754BCA" w:rsidP="001B2C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Narrative on Management Results</w:t>
            </w:r>
          </w:p>
        </w:tc>
      </w:tr>
      <w:tr w:rsidR="00754BCA" w:rsidRPr="00F57AD1" w14:paraId="3AE15538" w14:textId="77777777" w:rsidTr="00581BDE">
        <w:trPr>
          <w:trHeight w:val="170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47FEE30" w14:textId="77777777" w:rsidR="00754BCA" w:rsidRPr="00F57AD1" w:rsidRDefault="00754BCA" w:rsidP="001B2CF2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18F1E81" w14:textId="4BF9DB89" w:rsidR="001B2CF2" w:rsidRDefault="001B2CF2" w:rsidP="001B2CF2">
      <w:pPr>
        <w:widowControl w:val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754BCA" w:rsidRPr="00F57AD1" w14:paraId="77D102D5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1A9240EA" w14:textId="5072D76C" w:rsidR="00754BCA" w:rsidRPr="00F57AD1" w:rsidRDefault="0005021B" w:rsidP="001B2CF2">
            <w:pPr>
              <w:widowControl w:val="0"/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</w:pPr>
            <w:r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 xml:space="preserve">SECTION </w:t>
            </w:r>
            <w:r w:rsidR="004D5CE0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F</w:t>
            </w:r>
            <w:r w:rsidR="00754BCA" w:rsidRPr="00F57AD1">
              <w:rPr>
                <w:rFonts w:ascii="Arial (W1)" w:hAnsi="Arial (W1)" w:cs="Arial"/>
                <w:b/>
                <w:caps/>
                <w:sz w:val="20"/>
                <w:szCs w:val="20"/>
                <w:lang w:val="en-US"/>
              </w:rPr>
              <w:t>: Leadership Results</w:t>
            </w:r>
          </w:p>
        </w:tc>
      </w:tr>
      <w:tr w:rsidR="00754BCA" w:rsidRPr="00F57AD1" w14:paraId="03B784A5" w14:textId="77777777" w:rsidTr="00AD298B">
        <w:trPr>
          <w:trHeight w:val="368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28669D91" w14:textId="642FEE15" w:rsidR="00917B5A" w:rsidRPr="00F57AD1" w:rsidRDefault="004F74A0" w:rsidP="001B2CF2">
            <w:pPr>
              <w:widowControl w:val="0"/>
              <w:spacing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Deputy Ministers may wish to include additional initiatives in their performance agreement and evaluation to highlight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US"/>
              </w:rPr>
              <w:t>particular actions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taken to espouse and advance t</w:t>
            </w:r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he </w:t>
            </w:r>
            <w:r w:rsidR="00055CFB">
              <w:rPr>
                <w:rFonts w:ascii="Arial" w:hAnsi="Arial" w:cs="Arial"/>
                <w:sz w:val="20"/>
                <w:szCs w:val="20"/>
                <w:lang w:val="en-US"/>
              </w:rPr>
              <w:t>K</w:t>
            </w:r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ey </w:t>
            </w:r>
            <w:r w:rsidR="00055CFB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eadership </w:t>
            </w:r>
            <w:r w:rsidR="00055CFB">
              <w:rPr>
                <w:rFonts w:ascii="Arial" w:hAnsi="Arial" w:cs="Arial"/>
                <w:sz w:val="20"/>
                <w:szCs w:val="20"/>
                <w:lang w:val="en-US"/>
              </w:rPr>
              <w:t>C</w:t>
            </w:r>
            <w:r w:rsidR="00917B5A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ompetencies </w:t>
            </w:r>
            <w:r w:rsidR="00720B5C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(i.e. </w:t>
            </w:r>
            <w:r w:rsidR="007E6221" w:rsidRPr="00F57AD1">
              <w:rPr>
                <w:rFonts w:ascii="Arial" w:hAnsi="Arial" w:cs="Arial"/>
                <w:sz w:val="20"/>
                <w:szCs w:val="20"/>
                <w:lang w:val="en-US"/>
              </w:rPr>
              <w:t>creating vision and strategy, mobilizing people, upholding integrity, etc.</w:t>
            </w:r>
            <w:r w:rsidR="00720B5C" w:rsidRPr="00F57AD1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720B5C" w:rsidRPr="00F57AD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32684D90" w14:textId="77777777" w:rsidR="00754BCA" w:rsidRPr="0072223D" w:rsidRDefault="00754BCA" w:rsidP="001B2CF2">
      <w:pPr>
        <w:widowControl w:val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2949"/>
        <w:gridCol w:w="2948"/>
        <w:gridCol w:w="3433"/>
      </w:tblGrid>
      <w:tr w:rsidR="00754BCA" w:rsidRPr="00F57AD1" w14:paraId="551EF345" w14:textId="77777777" w:rsidTr="00AD298B">
        <w:trPr>
          <w:trHeight w:val="37"/>
        </w:trPr>
        <w:tc>
          <w:tcPr>
            <w:tcW w:w="1580" w:type="pct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667459D0" w14:textId="77777777" w:rsidR="00754BCA" w:rsidRPr="00F57AD1" w:rsidRDefault="00917B5A" w:rsidP="001B2C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Commitments</w:t>
            </w:r>
          </w:p>
        </w:tc>
        <w:tc>
          <w:tcPr>
            <w:tcW w:w="158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18A66BDD" w14:textId="77777777" w:rsidR="00754BCA" w:rsidRPr="00F57AD1" w:rsidRDefault="00754BCA" w:rsidP="001B2C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Performance Measures</w:t>
            </w:r>
          </w:p>
        </w:tc>
        <w:tc>
          <w:tcPr>
            <w:tcW w:w="1840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shd w:val="clear" w:color="auto" w:fill="E6E6E6"/>
            <w:vAlign w:val="center"/>
          </w:tcPr>
          <w:p w14:paraId="4384B4F5" w14:textId="77777777" w:rsidR="00754BCA" w:rsidRPr="00F57AD1" w:rsidRDefault="00754BCA" w:rsidP="001B2C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Results Achieved</w:t>
            </w:r>
          </w:p>
        </w:tc>
      </w:tr>
      <w:tr w:rsidR="00754BCA" w:rsidRPr="00F57AD1" w14:paraId="4EEB704B" w14:textId="77777777" w:rsidTr="00581BDE">
        <w:trPr>
          <w:trHeight w:val="1701"/>
        </w:trPr>
        <w:tc>
          <w:tcPr>
            <w:tcW w:w="1580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F6776DC" w14:textId="77777777" w:rsidR="00754BCA" w:rsidRPr="00F57AD1" w:rsidRDefault="00754BCA" w:rsidP="001B2CF2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8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shd w:val="clear" w:color="auto" w:fill="auto"/>
          </w:tcPr>
          <w:p w14:paraId="5F4792C3" w14:textId="77777777" w:rsidR="00754BCA" w:rsidRPr="00F57AD1" w:rsidRDefault="00754BCA" w:rsidP="001B2CF2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0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7D62F8F" w14:textId="77777777" w:rsidR="00754BCA" w:rsidRPr="00F57AD1" w:rsidRDefault="00754BCA" w:rsidP="001B2CF2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93FC3F0" w14:textId="77777777" w:rsidR="00754BCA" w:rsidRPr="009209DF" w:rsidRDefault="00754BCA" w:rsidP="001B2CF2">
      <w:pPr>
        <w:widowControl w:val="0"/>
        <w:rPr>
          <w:rFonts w:ascii="Arial" w:hAnsi="Arial" w:cs="Arial"/>
          <w:b/>
          <w:sz w:val="16"/>
          <w:szCs w:val="16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43" w:type="dxa"/>
          <w:bottom w:w="43" w:type="dxa"/>
          <w:right w:w="43" w:type="dxa"/>
        </w:tblCellMar>
        <w:tblLook w:val="01E0" w:firstRow="1" w:lastRow="1" w:firstColumn="1" w:lastColumn="1" w:noHBand="0" w:noVBand="0"/>
      </w:tblPr>
      <w:tblGrid>
        <w:gridCol w:w="9352"/>
      </w:tblGrid>
      <w:tr w:rsidR="00754BCA" w:rsidRPr="00F57AD1" w14:paraId="3EBFBBBD" w14:textId="77777777" w:rsidTr="00AD298B">
        <w:trPr>
          <w:trHeight w:val="32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14:paraId="5E4CAE18" w14:textId="77777777" w:rsidR="00754BCA" w:rsidRPr="00F57AD1" w:rsidRDefault="00754BCA" w:rsidP="001B2CF2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57AD1">
              <w:rPr>
                <w:rFonts w:ascii="Arial" w:hAnsi="Arial" w:cs="Arial"/>
                <w:b/>
                <w:sz w:val="20"/>
                <w:szCs w:val="20"/>
                <w:lang w:val="en-US"/>
              </w:rPr>
              <w:t>Narrative on Leadership Results</w:t>
            </w:r>
          </w:p>
        </w:tc>
      </w:tr>
      <w:tr w:rsidR="00754BCA" w:rsidRPr="00F57AD1" w14:paraId="6DDC5C29" w14:textId="77777777" w:rsidTr="00581BDE">
        <w:trPr>
          <w:trHeight w:val="1701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5C922683" w14:textId="77777777" w:rsidR="00754BCA" w:rsidRPr="00F57AD1" w:rsidRDefault="00754BCA" w:rsidP="001B2CF2">
            <w:pPr>
              <w:widowControl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B972317" w14:textId="77777777" w:rsidR="00095A01" w:rsidRPr="009209DF" w:rsidRDefault="00095A01" w:rsidP="005219C1">
      <w:pPr>
        <w:widowControl w:val="0"/>
        <w:rPr>
          <w:rFonts w:ascii="Arial" w:hAnsi="Arial" w:cs="Arial"/>
          <w:b/>
          <w:sz w:val="16"/>
          <w:szCs w:val="16"/>
          <w:lang w:val="en-US"/>
        </w:rPr>
      </w:pPr>
    </w:p>
    <w:sectPr w:rsidR="00095A01" w:rsidRPr="009209DF" w:rsidSect="00720B5C">
      <w:headerReference w:type="default" r:id="rId11"/>
      <w:footerReference w:type="default" r:id="rId1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9C091" w14:textId="77777777" w:rsidR="005A7241" w:rsidRDefault="005A7241">
      <w:r>
        <w:separator/>
      </w:r>
    </w:p>
  </w:endnote>
  <w:endnote w:type="continuationSeparator" w:id="0">
    <w:p w14:paraId="5B483674" w14:textId="77777777" w:rsidR="005A7241" w:rsidRDefault="005A7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6588D" w14:textId="77777777" w:rsidR="0033378C" w:rsidRPr="001F4F1C" w:rsidRDefault="0033378C" w:rsidP="001F4F1C">
    <w:pPr>
      <w:pStyle w:val="Footer"/>
      <w:tabs>
        <w:tab w:val="clear" w:pos="4320"/>
        <w:tab w:val="clear" w:pos="8640"/>
        <w:tab w:val="center" w:pos="4860"/>
        <w:tab w:val="right" w:pos="9360"/>
      </w:tabs>
      <w:jc w:val="center"/>
      <w:rPr>
        <w:rFonts w:ascii="Arial" w:hAnsi="Arial" w:cs="Arial"/>
        <w:sz w:val="20"/>
        <w:szCs w:val="20"/>
      </w:rPr>
    </w:pPr>
    <w:r w:rsidRPr="001F4F1C">
      <w:rPr>
        <w:rStyle w:val="PageNumber"/>
        <w:rFonts w:ascii="Arial" w:hAnsi="Arial" w:cs="Arial"/>
        <w:sz w:val="20"/>
        <w:szCs w:val="20"/>
      </w:rPr>
      <w:fldChar w:fldCharType="begin"/>
    </w:r>
    <w:r w:rsidRPr="001F4F1C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1F4F1C">
      <w:rPr>
        <w:rStyle w:val="PageNumber"/>
        <w:rFonts w:ascii="Arial" w:hAnsi="Arial" w:cs="Arial"/>
        <w:sz w:val="20"/>
        <w:szCs w:val="20"/>
      </w:rPr>
      <w:fldChar w:fldCharType="separate"/>
    </w:r>
    <w:r w:rsidR="00292F86">
      <w:rPr>
        <w:rStyle w:val="PageNumber"/>
        <w:rFonts w:ascii="Arial" w:hAnsi="Arial" w:cs="Arial"/>
        <w:noProof/>
        <w:sz w:val="20"/>
        <w:szCs w:val="20"/>
      </w:rPr>
      <w:t>1</w:t>
    </w:r>
    <w:r w:rsidRPr="001F4F1C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1B0C" w14:textId="77777777" w:rsidR="005A7241" w:rsidRDefault="005A7241">
      <w:r>
        <w:separator/>
      </w:r>
    </w:p>
  </w:footnote>
  <w:footnote w:type="continuationSeparator" w:id="0">
    <w:p w14:paraId="5A2E301A" w14:textId="77777777" w:rsidR="005A7241" w:rsidRDefault="005A7241">
      <w:r>
        <w:continuationSeparator/>
      </w:r>
    </w:p>
  </w:footnote>
  <w:footnote w:id="1">
    <w:p w14:paraId="616133CD" w14:textId="77777777" w:rsidR="002E7F6D" w:rsidRPr="009E5B4E" w:rsidRDefault="002E7F6D" w:rsidP="002E7F6D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7B4BDB">
        <w:t>The RCP replaces the Management Accountability Framework</w:t>
      </w:r>
      <w:r>
        <w:t xml:space="preserve"> </w:t>
      </w:r>
      <w:r w:rsidRPr="009E5B4E">
        <w:t xml:space="preserve">and </w:t>
      </w:r>
      <w:r w:rsidRPr="009E5B4E">
        <w:rPr>
          <w:lang w:val="en-US"/>
        </w:rPr>
        <w:t>assesses key aspects of management by verifying that appropriate controls and practices are in place to meet legislative and policy accountabilities and to manage risk effectively</w:t>
      </w:r>
      <w:r>
        <w:rPr>
          <w:lang w:val="en-US"/>
        </w:rPr>
        <w:t xml:space="preserve">. </w:t>
      </w:r>
      <w:r w:rsidRPr="00C22116">
        <w:rPr>
          <w:lang w:val="en-US"/>
        </w:rPr>
        <w:t>Deputy heads are expected to actively and responsibly participate in the RCP to identify and address any instances of non-compliance and additional improvements deemed appropriate.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43" w:type="dxa"/>
        <w:left w:w="43" w:type="dxa"/>
        <w:bottom w:w="43" w:type="dxa"/>
        <w:right w:w="43" w:type="dxa"/>
      </w:tblCellMar>
      <w:tblLook w:val="01E0" w:firstRow="1" w:lastRow="1" w:firstColumn="1" w:lastColumn="1" w:noHBand="0" w:noVBand="0"/>
    </w:tblPr>
    <w:tblGrid>
      <w:gridCol w:w="7135"/>
      <w:gridCol w:w="2045"/>
    </w:tblGrid>
    <w:tr w:rsidR="0033378C" w:rsidRPr="00F57AD1" w14:paraId="48BFB1B6" w14:textId="77777777" w:rsidTr="00F57AD1">
      <w:trPr>
        <w:trHeight w:val="368"/>
      </w:trPr>
      <w:tc>
        <w:tcPr>
          <w:tcW w:w="7135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  <w:shd w:val="clear" w:color="auto" w:fill="auto"/>
          <w:vAlign w:val="center"/>
        </w:tcPr>
        <w:p w14:paraId="25F62E8E" w14:textId="5DD4DF92" w:rsidR="0033378C" w:rsidRPr="00F57AD1" w:rsidRDefault="005318BC" w:rsidP="00754BCA">
          <w:pPr>
            <w:rPr>
              <w:rFonts w:ascii="Arial" w:hAnsi="Arial" w:cs="Arial"/>
              <w:b/>
              <w:sz w:val="20"/>
              <w:szCs w:val="20"/>
              <w:lang w:val="en-US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val="en-US"/>
            </w:rPr>
            <w:drawing>
              <wp:inline distT="0" distB="0" distL="0" distR="0" wp14:anchorId="2BEBA731" wp14:editId="09C4CC0E">
                <wp:extent cx="3638550" cy="1905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5" w:type="dxa"/>
          <w:shd w:val="clear" w:color="auto" w:fill="auto"/>
          <w:vAlign w:val="center"/>
        </w:tcPr>
        <w:p w14:paraId="7064B1A9" w14:textId="77777777" w:rsidR="0033378C" w:rsidRPr="00F57AD1" w:rsidRDefault="0033378C" w:rsidP="00F57AD1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  <w:r w:rsidRPr="00F57AD1">
            <w:rPr>
              <w:rFonts w:ascii="Arial" w:hAnsi="Arial" w:cs="Arial"/>
              <w:b/>
              <w:sz w:val="16"/>
              <w:szCs w:val="16"/>
              <w:lang w:val="en-US"/>
            </w:rPr>
            <w:t>PROTECTED B</w:t>
          </w:r>
        </w:p>
        <w:p w14:paraId="62008373" w14:textId="77777777" w:rsidR="0033378C" w:rsidRPr="00F57AD1" w:rsidRDefault="0033378C" w:rsidP="00F57AD1">
          <w:pPr>
            <w:jc w:val="center"/>
            <w:rPr>
              <w:rFonts w:ascii="Arial" w:hAnsi="Arial" w:cs="Arial"/>
              <w:sz w:val="20"/>
              <w:szCs w:val="20"/>
              <w:lang w:val="en-US"/>
            </w:rPr>
          </w:pPr>
          <w:r w:rsidRPr="00F57AD1">
            <w:rPr>
              <w:rFonts w:ascii="Arial" w:hAnsi="Arial" w:cs="Arial"/>
              <w:b/>
              <w:sz w:val="16"/>
              <w:szCs w:val="16"/>
              <w:lang w:val="en-US"/>
            </w:rPr>
            <w:t>(once completed)</w:t>
          </w:r>
        </w:p>
      </w:tc>
    </w:tr>
  </w:tbl>
  <w:p w14:paraId="7D117246" w14:textId="77777777" w:rsidR="0033378C" w:rsidRDefault="0033378C" w:rsidP="00754BCA">
    <w:pPr>
      <w:pStyle w:val="Header"/>
      <w:tabs>
        <w:tab w:val="clear" w:pos="864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3388"/>
    <w:multiLevelType w:val="hybridMultilevel"/>
    <w:tmpl w:val="D2546F34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E24E0"/>
    <w:multiLevelType w:val="hybridMultilevel"/>
    <w:tmpl w:val="E250D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B4BF6"/>
    <w:multiLevelType w:val="hybridMultilevel"/>
    <w:tmpl w:val="A768BA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4470FBC"/>
    <w:multiLevelType w:val="hybridMultilevel"/>
    <w:tmpl w:val="B2621166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812DD"/>
    <w:multiLevelType w:val="hybridMultilevel"/>
    <w:tmpl w:val="6AEAF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B66B6"/>
    <w:multiLevelType w:val="hybridMultilevel"/>
    <w:tmpl w:val="A0426ACC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C3452"/>
    <w:multiLevelType w:val="hybridMultilevel"/>
    <w:tmpl w:val="B21EB442"/>
    <w:lvl w:ilvl="0" w:tplc="CC30FE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  <w:sz w:val="16"/>
        <w:szCs w:val="16"/>
      </w:rPr>
    </w:lvl>
    <w:lvl w:ilvl="1" w:tplc="5DA4B5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3D4EBA"/>
    <w:multiLevelType w:val="hybridMultilevel"/>
    <w:tmpl w:val="D21E5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11150"/>
    <w:multiLevelType w:val="hybridMultilevel"/>
    <w:tmpl w:val="955A45E4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AE4A17"/>
    <w:multiLevelType w:val="hybridMultilevel"/>
    <w:tmpl w:val="40B60376"/>
    <w:lvl w:ilvl="0" w:tplc="EBD27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B6C2D85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color w:val="auto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A582A00"/>
    <w:multiLevelType w:val="hybridMultilevel"/>
    <w:tmpl w:val="DADE360A"/>
    <w:lvl w:ilvl="0" w:tplc="E1702F2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5255855">
    <w:abstractNumId w:val="0"/>
  </w:num>
  <w:num w:numId="2" w16cid:durableId="1623727391">
    <w:abstractNumId w:val="3"/>
  </w:num>
  <w:num w:numId="3" w16cid:durableId="1581404629">
    <w:abstractNumId w:val="10"/>
  </w:num>
  <w:num w:numId="4" w16cid:durableId="390857522">
    <w:abstractNumId w:val="5"/>
  </w:num>
  <w:num w:numId="5" w16cid:durableId="1150056332">
    <w:abstractNumId w:val="8"/>
  </w:num>
  <w:num w:numId="6" w16cid:durableId="97408314">
    <w:abstractNumId w:val="9"/>
  </w:num>
  <w:num w:numId="7" w16cid:durableId="1687125981">
    <w:abstractNumId w:val="6"/>
  </w:num>
  <w:num w:numId="8" w16cid:durableId="196965690">
    <w:abstractNumId w:val="1"/>
  </w:num>
  <w:num w:numId="9" w16cid:durableId="703942885">
    <w:abstractNumId w:val="7"/>
  </w:num>
  <w:num w:numId="10" w16cid:durableId="1793934120">
    <w:abstractNumId w:val="4"/>
  </w:num>
  <w:num w:numId="11" w16cid:durableId="1941797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CA"/>
    <w:rsid w:val="000074FE"/>
    <w:rsid w:val="00007FAC"/>
    <w:rsid w:val="00012D83"/>
    <w:rsid w:val="0005021B"/>
    <w:rsid w:val="00055CFB"/>
    <w:rsid w:val="00064971"/>
    <w:rsid w:val="0007339A"/>
    <w:rsid w:val="000735D7"/>
    <w:rsid w:val="00092369"/>
    <w:rsid w:val="00095A01"/>
    <w:rsid w:val="000A70C9"/>
    <w:rsid w:val="000B2C55"/>
    <w:rsid w:val="000C7BEA"/>
    <w:rsid w:val="000D20E0"/>
    <w:rsid w:val="000E1820"/>
    <w:rsid w:val="000E7517"/>
    <w:rsid w:val="0011581F"/>
    <w:rsid w:val="00124A27"/>
    <w:rsid w:val="00134847"/>
    <w:rsid w:val="00142A26"/>
    <w:rsid w:val="0014571E"/>
    <w:rsid w:val="00147E6E"/>
    <w:rsid w:val="00157DAE"/>
    <w:rsid w:val="00164D06"/>
    <w:rsid w:val="00167AFC"/>
    <w:rsid w:val="001771F2"/>
    <w:rsid w:val="00182DF1"/>
    <w:rsid w:val="00185BD3"/>
    <w:rsid w:val="001B0881"/>
    <w:rsid w:val="001B2CF2"/>
    <w:rsid w:val="001B7AB9"/>
    <w:rsid w:val="001C4C9E"/>
    <w:rsid w:val="001C605A"/>
    <w:rsid w:val="001D03A4"/>
    <w:rsid w:val="001F2CBD"/>
    <w:rsid w:val="001F4F1C"/>
    <w:rsid w:val="00202ED2"/>
    <w:rsid w:val="00206CEB"/>
    <w:rsid w:val="00225F08"/>
    <w:rsid w:val="00226443"/>
    <w:rsid w:val="00250C80"/>
    <w:rsid w:val="002513D8"/>
    <w:rsid w:val="0025387C"/>
    <w:rsid w:val="0025793D"/>
    <w:rsid w:val="002648B4"/>
    <w:rsid w:val="0027400A"/>
    <w:rsid w:val="00292F86"/>
    <w:rsid w:val="002A23CD"/>
    <w:rsid w:val="002A3D97"/>
    <w:rsid w:val="002B547F"/>
    <w:rsid w:val="002D32E9"/>
    <w:rsid w:val="002D74E4"/>
    <w:rsid w:val="002E0140"/>
    <w:rsid w:val="002E1AA6"/>
    <w:rsid w:val="002E2557"/>
    <w:rsid w:val="002E7F6D"/>
    <w:rsid w:val="00326395"/>
    <w:rsid w:val="0033378C"/>
    <w:rsid w:val="00335C69"/>
    <w:rsid w:val="0033616E"/>
    <w:rsid w:val="00387708"/>
    <w:rsid w:val="00397574"/>
    <w:rsid w:val="003C123E"/>
    <w:rsid w:val="003C2B0B"/>
    <w:rsid w:val="003E48BF"/>
    <w:rsid w:val="003E64C6"/>
    <w:rsid w:val="0041072A"/>
    <w:rsid w:val="00415FBC"/>
    <w:rsid w:val="00420103"/>
    <w:rsid w:val="00421170"/>
    <w:rsid w:val="00422E98"/>
    <w:rsid w:val="004350FE"/>
    <w:rsid w:val="00436BE3"/>
    <w:rsid w:val="00442B05"/>
    <w:rsid w:val="004467CD"/>
    <w:rsid w:val="004871E7"/>
    <w:rsid w:val="00490D67"/>
    <w:rsid w:val="00496820"/>
    <w:rsid w:val="004A50CD"/>
    <w:rsid w:val="004A7B36"/>
    <w:rsid w:val="004D5AB2"/>
    <w:rsid w:val="004D5CE0"/>
    <w:rsid w:val="004F37BC"/>
    <w:rsid w:val="004F74A0"/>
    <w:rsid w:val="005127BF"/>
    <w:rsid w:val="0051743C"/>
    <w:rsid w:val="005219C1"/>
    <w:rsid w:val="005318BC"/>
    <w:rsid w:val="005335C4"/>
    <w:rsid w:val="00542030"/>
    <w:rsid w:val="00551567"/>
    <w:rsid w:val="00567C31"/>
    <w:rsid w:val="00571595"/>
    <w:rsid w:val="00581BDE"/>
    <w:rsid w:val="00585818"/>
    <w:rsid w:val="00585BDF"/>
    <w:rsid w:val="00593B32"/>
    <w:rsid w:val="00597F1B"/>
    <w:rsid w:val="005A3B22"/>
    <w:rsid w:val="005A44DF"/>
    <w:rsid w:val="005A7241"/>
    <w:rsid w:val="005C6B23"/>
    <w:rsid w:val="005F45CE"/>
    <w:rsid w:val="005F6501"/>
    <w:rsid w:val="006043EA"/>
    <w:rsid w:val="00607D80"/>
    <w:rsid w:val="00612B07"/>
    <w:rsid w:val="00630DC0"/>
    <w:rsid w:val="006433E2"/>
    <w:rsid w:val="00646C69"/>
    <w:rsid w:val="00655F44"/>
    <w:rsid w:val="006626F2"/>
    <w:rsid w:val="00665B50"/>
    <w:rsid w:val="006768CF"/>
    <w:rsid w:val="0067744A"/>
    <w:rsid w:val="006C29D5"/>
    <w:rsid w:val="006C76B7"/>
    <w:rsid w:val="006D650A"/>
    <w:rsid w:val="006F6C54"/>
    <w:rsid w:val="007038AD"/>
    <w:rsid w:val="00720B5C"/>
    <w:rsid w:val="00741352"/>
    <w:rsid w:val="0075301F"/>
    <w:rsid w:val="00754BCA"/>
    <w:rsid w:val="00775783"/>
    <w:rsid w:val="007859AE"/>
    <w:rsid w:val="00794084"/>
    <w:rsid w:val="00794414"/>
    <w:rsid w:val="007B4BDB"/>
    <w:rsid w:val="007C438F"/>
    <w:rsid w:val="007E6221"/>
    <w:rsid w:val="007F1456"/>
    <w:rsid w:val="007F65CE"/>
    <w:rsid w:val="007F6ED2"/>
    <w:rsid w:val="00821252"/>
    <w:rsid w:val="00836FAC"/>
    <w:rsid w:val="008371B5"/>
    <w:rsid w:val="00850C1E"/>
    <w:rsid w:val="00853872"/>
    <w:rsid w:val="00860A5E"/>
    <w:rsid w:val="008610D0"/>
    <w:rsid w:val="008630B5"/>
    <w:rsid w:val="00877E01"/>
    <w:rsid w:val="008A67EE"/>
    <w:rsid w:val="008F6C6E"/>
    <w:rsid w:val="00914D89"/>
    <w:rsid w:val="00917B5A"/>
    <w:rsid w:val="009209DF"/>
    <w:rsid w:val="009243B9"/>
    <w:rsid w:val="00924F3F"/>
    <w:rsid w:val="00926253"/>
    <w:rsid w:val="00930757"/>
    <w:rsid w:val="00934D3A"/>
    <w:rsid w:val="00980E74"/>
    <w:rsid w:val="009862FD"/>
    <w:rsid w:val="00992014"/>
    <w:rsid w:val="00994517"/>
    <w:rsid w:val="009A2832"/>
    <w:rsid w:val="009B504B"/>
    <w:rsid w:val="009E276D"/>
    <w:rsid w:val="009F488E"/>
    <w:rsid w:val="00A030FC"/>
    <w:rsid w:val="00A16435"/>
    <w:rsid w:val="00A218CC"/>
    <w:rsid w:val="00A35833"/>
    <w:rsid w:val="00A43199"/>
    <w:rsid w:val="00A66796"/>
    <w:rsid w:val="00A74D18"/>
    <w:rsid w:val="00A74FE6"/>
    <w:rsid w:val="00AA66C2"/>
    <w:rsid w:val="00AA7079"/>
    <w:rsid w:val="00AD298B"/>
    <w:rsid w:val="00AD6E88"/>
    <w:rsid w:val="00AE469A"/>
    <w:rsid w:val="00AF0A71"/>
    <w:rsid w:val="00AF0AE9"/>
    <w:rsid w:val="00AF29A8"/>
    <w:rsid w:val="00B379CA"/>
    <w:rsid w:val="00B46FA1"/>
    <w:rsid w:val="00B47648"/>
    <w:rsid w:val="00B5682D"/>
    <w:rsid w:val="00B61739"/>
    <w:rsid w:val="00B82DB0"/>
    <w:rsid w:val="00B92C9B"/>
    <w:rsid w:val="00BA230E"/>
    <w:rsid w:val="00BA2F12"/>
    <w:rsid w:val="00BA5DBC"/>
    <w:rsid w:val="00BE37B7"/>
    <w:rsid w:val="00BF6240"/>
    <w:rsid w:val="00C001F5"/>
    <w:rsid w:val="00C01BCE"/>
    <w:rsid w:val="00C22F70"/>
    <w:rsid w:val="00C40286"/>
    <w:rsid w:val="00C65D8D"/>
    <w:rsid w:val="00C912A1"/>
    <w:rsid w:val="00C96E07"/>
    <w:rsid w:val="00CA0430"/>
    <w:rsid w:val="00CC3FF6"/>
    <w:rsid w:val="00CF03C3"/>
    <w:rsid w:val="00D077A3"/>
    <w:rsid w:val="00D24EB6"/>
    <w:rsid w:val="00D3748E"/>
    <w:rsid w:val="00D561F4"/>
    <w:rsid w:val="00D83EFE"/>
    <w:rsid w:val="00D868F5"/>
    <w:rsid w:val="00D87D6D"/>
    <w:rsid w:val="00DB0154"/>
    <w:rsid w:val="00DB72E7"/>
    <w:rsid w:val="00DD1CDB"/>
    <w:rsid w:val="00DE6F1B"/>
    <w:rsid w:val="00DF38B4"/>
    <w:rsid w:val="00E0070B"/>
    <w:rsid w:val="00E01FEF"/>
    <w:rsid w:val="00E0201A"/>
    <w:rsid w:val="00E43181"/>
    <w:rsid w:val="00E45C93"/>
    <w:rsid w:val="00E45E1F"/>
    <w:rsid w:val="00E6592F"/>
    <w:rsid w:val="00E7798C"/>
    <w:rsid w:val="00E87825"/>
    <w:rsid w:val="00EA2FEC"/>
    <w:rsid w:val="00EA6DA9"/>
    <w:rsid w:val="00EB3D83"/>
    <w:rsid w:val="00EC5C7D"/>
    <w:rsid w:val="00ED450D"/>
    <w:rsid w:val="00F1102E"/>
    <w:rsid w:val="00F13753"/>
    <w:rsid w:val="00F148DC"/>
    <w:rsid w:val="00F43DEB"/>
    <w:rsid w:val="00F5082A"/>
    <w:rsid w:val="00F57AD1"/>
    <w:rsid w:val="00F7429B"/>
    <w:rsid w:val="00F87E1E"/>
    <w:rsid w:val="00FB211B"/>
    <w:rsid w:val="00FD29CC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BB8DE83"/>
  <w15:chartTrackingRefBased/>
  <w15:docId w15:val="{E4886FB4-317D-4AE6-A41A-20E36E21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B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54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har">
    <w:name w:val="Car Char"/>
    <w:basedOn w:val="Normal"/>
    <w:rsid w:val="00754BCA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styleId="Header">
    <w:name w:val="header"/>
    <w:basedOn w:val="Normal"/>
    <w:rsid w:val="00754B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4BC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F4F1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1F4F1C"/>
  </w:style>
  <w:style w:type="paragraph" w:styleId="Revision">
    <w:name w:val="Revision"/>
    <w:hidden/>
    <w:uiPriority w:val="99"/>
    <w:semiHidden/>
    <w:rsid w:val="0025793D"/>
    <w:rPr>
      <w:sz w:val="24"/>
      <w:szCs w:val="24"/>
    </w:rPr>
  </w:style>
  <w:style w:type="character" w:styleId="Hyperlink">
    <w:name w:val="Hyperlink"/>
    <w:rsid w:val="00AF0A7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F0A71"/>
    <w:rPr>
      <w:color w:val="605E5C"/>
      <w:shd w:val="clear" w:color="auto" w:fill="E1DFDD"/>
    </w:rPr>
  </w:style>
  <w:style w:type="character" w:styleId="FollowedHyperlink">
    <w:name w:val="FollowedHyperlink"/>
    <w:rsid w:val="009209DF"/>
    <w:rPr>
      <w:color w:val="954F72"/>
      <w:u w:val="single"/>
    </w:rPr>
  </w:style>
  <w:style w:type="table" w:customStyle="1" w:styleId="CUSTOM">
    <w:name w:val="CUSTOM"/>
    <w:basedOn w:val="TableNormal"/>
    <w:rsid w:val="009209DF"/>
    <w:tblPr/>
  </w:style>
  <w:style w:type="character" w:styleId="CommentReference">
    <w:name w:val="annotation reference"/>
    <w:rsid w:val="00202ED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2E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2ED2"/>
  </w:style>
  <w:style w:type="paragraph" w:styleId="CommentSubject">
    <w:name w:val="annotation subject"/>
    <w:basedOn w:val="CommentText"/>
    <w:next w:val="CommentText"/>
    <w:link w:val="CommentSubjectChar"/>
    <w:rsid w:val="00202ED2"/>
    <w:rPr>
      <w:b/>
      <w:bCs/>
    </w:rPr>
  </w:style>
  <w:style w:type="character" w:customStyle="1" w:styleId="CommentSubjectChar">
    <w:name w:val="Comment Subject Char"/>
    <w:link w:val="CommentSubject"/>
    <w:rsid w:val="00202ED2"/>
    <w:rPr>
      <w:b/>
      <w:bCs/>
    </w:rPr>
  </w:style>
  <w:style w:type="paragraph" w:styleId="FootnoteText">
    <w:name w:val="footnote text"/>
    <w:basedOn w:val="Normal"/>
    <w:link w:val="FootnoteTextChar"/>
    <w:rsid w:val="00A164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16435"/>
  </w:style>
  <w:style w:type="character" w:styleId="FootnoteReference">
    <w:name w:val="footnote reference"/>
    <w:basedOn w:val="DefaultParagraphFont"/>
    <w:rsid w:val="00A16435"/>
    <w:rPr>
      <w:vertAlign w:val="superscript"/>
    </w:rPr>
  </w:style>
  <w:style w:type="paragraph" w:styleId="ListParagraph">
    <w:name w:val="List Paragraph"/>
    <w:basedOn w:val="Normal"/>
    <w:uiPriority w:val="34"/>
    <w:qFormat/>
    <w:rsid w:val="00C96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ada.ca/en/privy-council/programs/appointments/governor-council-appointments/performance-management/senior-public-servants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canada.ca/en/government/publicservice/wellness-inclusion-diversity-public-service/diversity-inclusion-public-servic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ada.ca/en/privy-council/programs/appointments/governor-council-appointments/performance-management/senior-public-servants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3BC2B-7449-4289-AB3B-904513F3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546</Words>
  <Characters>3884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AGREEMENT AND EVALUATION FORM</vt:lpstr>
    </vt:vector>
  </TitlesOfParts>
  <Company>Government of Canada / Gouvernement du Canada</Company>
  <LinksUpToDate>false</LinksUpToDate>
  <CharactersWithSpaces>4422</CharactersWithSpaces>
  <SharedDoc>false</SharedDoc>
  <HLinks>
    <vt:vector size="18" baseType="variant">
      <vt:variant>
        <vt:i4>7274543</vt:i4>
      </vt:variant>
      <vt:variant>
        <vt:i4>6</vt:i4>
      </vt:variant>
      <vt:variant>
        <vt:i4>0</vt:i4>
      </vt:variant>
      <vt:variant>
        <vt:i4>5</vt:i4>
      </vt:variant>
      <vt:variant>
        <vt:lpwstr>https://laws-lois.justice.gc.ca/eng/acts/f-11/FullText.html</vt:lpwstr>
      </vt:variant>
      <vt:variant>
        <vt:lpwstr/>
      </vt:variant>
      <vt:variant>
        <vt:i4>7929896</vt:i4>
      </vt:variant>
      <vt:variant>
        <vt:i4>3</vt:i4>
      </vt:variant>
      <vt:variant>
        <vt:i4>0</vt:i4>
      </vt:variant>
      <vt:variant>
        <vt:i4>5</vt:i4>
      </vt:variant>
      <vt:variant>
        <vt:lpwstr>https://laws-lois.justice.gc.ca/eng/acts/f-11/page-19.html</vt:lpwstr>
      </vt:variant>
      <vt:variant>
        <vt:lpwstr>h-230472</vt:lpwstr>
      </vt:variant>
      <vt:variant>
        <vt:i4>5832715</vt:i4>
      </vt:variant>
      <vt:variant>
        <vt:i4>0</vt:i4>
      </vt:variant>
      <vt:variant>
        <vt:i4>0</vt:i4>
      </vt:variant>
      <vt:variant>
        <vt:i4>5</vt:i4>
      </vt:variant>
      <vt:variant>
        <vt:lpwstr>https://www.canada.ca/en/privy-council/programs/appointments/governor-council-appointments/performance-management/senior-public-servants.html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AGREEMENT AND EVALUATION FORM</dc:title>
  <dc:subject/>
  <dc:creator>s_misener</dc:creator>
  <cp:keywords/>
  <cp:lastModifiedBy>La Flèche, Anne</cp:lastModifiedBy>
  <cp:revision>2</cp:revision>
  <cp:lastPrinted>2025-10-16T19:40:00Z</cp:lastPrinted>
  <dcterms:created xsi:type="dcterms:W3CDTF">2025-10-24T19:26:00Z</dcterms:created>
  <dcterms:modified xsi:type="dcterms:W3CDTF">2025-10-24T19:26:00Z</dcterms:modified>
</cp:coreProperties>
</file>