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19C21" w14:textId="77777777" w:rsidR="00754BCA" w:rsidRPr="0072223D" w:rsidRDefault="00754BCA" w:rsidP="00754BCA">
      <w:pPr>
        <w:rPr>
          <w:rFonts w:ascii="Arial" w:hAnsi="Arial" w:cs="Arial"/>
          <w:b/>
          <w:sz w:val="28"/>
          <w:szCs w:val="28"/>
          <w:lang w:val="en-US"/>
        </w:rPr>
      </w:pPr>
      <w:r w:rsidRPr="0072223D">
        <w:rPr>
          <w:rFonts w:ascii="Arial" w:hAnsi="Arial" w:cs="Arial"/>
          <w:b/>
          <w:sz w:val="28"/>
          <w:szCs w:val="28"/>
          <w:lang w:val="en-US"/>
        </w:rPr>
        <w:t xml:space="preserve">PERFORMANCE AGREEMENT </w:t>
      </w:r>
      <w:smartTag w:uri="urn:schemas-microsoft-com:office:smarttags" w:element="stockticker">
        <w:r w:rsidRPr="0072223D">
          <w:rPr>
            <w:rFonts w:ascii="Arial" w:hAnsi="Arial" w:cs="Arial"/>
            <w:b/>
            <w:sz w:val="28"/>
            <w:szCs w:val="28"/>
            <w:lang w:val="en-US"/>
          </w:rPr>
          <w:t>AND</w:t>
        </w:r>
      </w:smartTag>
      <w:r w:rsidRPr="0072223D">
        <w:rPr>
          <w:rFonts w:ascii="Arial" w:hAnsi="Arial" w:cs="Arial"/>
          <w:b/>
          <w:sz w:val="28"/>
          <w:szCs w:val="28"/>
          <w:lang w:val="en-US"/>
        </w:rPr>
        <w:t xml:space="preserve"> EVALUATION </w:t>
      </w:r>
      <w:smartTag w:uri="urn:schemas-microsoft-com:office:smarttags" w:element="stockticker">
        <w:r w:rsidRPr="0072223D">
          <w:rPr>
            <w:rFonts w:ascii="Arial" w:hAnsi="Arial" w:cs="Arial"/>
            <w:b/>
            <w:sz w:val="28"/>
            <w:szCs w:val="28"/>
            <w:lang w:val="en-US"/>
          </w:rPr>
          <w:t>FORM</w:t>
        </w:r>
      </w:smartTag>
    </w:p>
    <w:p w14:paraId="70EF773A" w14:textId="77777777" w:rsidR="00754BCA" w:rsidRPr="0072223D" w:rsidRDefault="00754BCA" w:rsidP="00754BCA">
      <w:pPr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2703"/>
        <w:gridCol w:w="924"/>
        <w:gridCol w:w="2216"/>
        <w:gridCol w:w="554"/>
        <w:gridCol w:w="2955"/>
      </w:tblGrid>
      <w:tr w:rsidR="00754BCA" w:rsidRPr="00F57AD1" w14:paraId="2A51A974" w14:textId="77777777" w:rsidTr="00581BDE">
        <w:trPr>
          <w:trHeight w:val="368"/>
        </w:trPr>
        <w:tc>
          <w:tcPr>
            <w:tcW w:w="1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BDD2B9" w14:textId="77777777" w:rsidR="00754BCA" w:rsidRPr="00F57AD1" w:rsidRDefault="00754BCA" w:rsidP="00754BC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PERFORMANCE CYCLE: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/>
            </w:tcBorders>
            <w:shd w:val="clear" w:color="auto" w:fill="auto"/>
          </w:tcPr>
          <w:p w14:paraId="6649D759" w14:textId="77777777" w:rsidR="00754BCA" w:rsidRPr="00F57AD1" w:rsidRDefault="00754BCA" w:rsidP="00754BCA">
            <w:pPr>
              <w:rPr>
                <w:rFonts w:ascii="Arial" w:hAnsi="Arial" w:cs="Arial"/>
                <w:lang w:val="en-US"/>
              </w:rPr>
            </w:pP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>FROM:</w:t>
            </w:r>
          </w:p>
        </w:tc>
        <w:tc>
          <w:tcPr>
            <w:tcW w:w="1185" w:type="pct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D770DC" w14:textId="77777777" w:rsidR="00754BCA" w:rsidRPr="00F57AD1" w:rsidRDefault="00754BCA" w:rsidP="00754BCA">
            <w:pPr>
              <w:rPr>
                <w:rFonts w:ascii="Arial" w:hAnsi="Arial" w:cs="Arial"/>
                <w:b/>
                <w:lang w:val="en-US"/>
              </w:rPr>
            </w:pPr>
            <w:r w:rsidRPr="00F57AD1">
              <w:rPr>
                <w:rFonts w:ascii="Arial" w:hAnsi="Arial" w:cs="Arial"/>
                <w:b/>
                <w:lang w:val="en-US"/>
              </w:rPr>
              <w:t>______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/>
            </w:tcBorders>
            <w:shd w:val="clear" w:color="auto" w:fill="auto"/>
          </w:tcPr>
          <w:p w14:paraId="1911879C" w14:textId="77777777" w:rsidR="00754BCA" w:rsidRPr="00F57AD1" w:rsidRDefault="00754BCA" w:rsidP="00754BCA">
            <w:pPr>
              <w:rPr>
                <w:rFonts w:ascii="Arial" w:hAnsi="Arial" w:cs="Arial"/>
                <w:lang w:val="en-US"/>
              </w:rPr>
            </w:pP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>TO:</w:t>
            </w:r>
          </w:p>
        </w:tc>
        <w:tc>
          <w:tcPr>
            <w:tcW w:w="1580" w:type="pct"/>
            <w:tcBorders>
              <w:top w:val="single" w:sz="2" w:space="0" w:color="auto"/>
              <w:left w:val="single" w:sz="2" w:space="0" w:color="FFFFFF"/>
              <w:bottom w:val="single" w:sz="2" w:space="0" w:color="auto"/>
            </w:tcBorders>
            <w:shd w:val="clear" w:color="auto" w:fill="auto"/>
            <w:vAlign w:val="center"/>
          </w:tcPr>
          <w:p w14:paraId="508C1D6C" w14:textId="77777777" w:rsidR="00754BCA" w:rsidRPr="00F57AD1" w:rsidRDefault="00754BCA" w:rsidP="00754BCA">
            <w:pPr>
              <w:rPr>
                <w:rFonts w:ascii="Arial" w:hAnsi="Arial" w:cs="Arial"/>
                <w:b/>
                <w:lang w:val="en-US"/>
              </w:rPr>
            </w:pPr>
            <w:r w:rsidRPr="00F57AD1">
              <w:rPr>
                <w:rFonts w:ascii="Arial" w:hAnsi="Arial" w:cs="Arial"/>
                <w:b/>
                <w:lang w:val="en-US"/>
              </w:rPr>
              <w:t>______</w:t>
            </w:r>
          </w:p>
        </w:tc>
      </w:tr>
      <w:tr w:rsidR="004A7B36" w:rsidRPr="00F57AD1" w14:paraId="09B652AF" w14:textId="77777777" w:rsidTr="00581BDE">
        <w:trPr>
          <w:trHeight w:val="368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19DE8C3A" w14:textId="77777777" w:rsidR="004A7B36" w:rsidRPr="00F57AD1" w:rsidRDefault="004A7B36" w:rsidP="00754BC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>Note:</w:t>
            </w:r>
            <w:r w:rsidR="0054203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>Performance Agreements and Evaluations should be succinct (i.e. 2-3 pages) and should highlight the main commitments and results achieved.</w:t>
            </w:r>
            <w:r w:rsidR="0054203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17B5A" w:rsidRPr="00F57AD1">
              <w:rPr>
                <w:rFonts w:ascii="Arial" w:hAnsi="Arial" w:cs="Arial"/>
                <w:sz w:val="20"/>
                <w:szCs w:val="20"/>
                <w:lang w:val="en-US"/>
              </w:rPr>
              <w:t xml:space="preserve">For further details on completing this form, see the </w:t>
            </w:r>
            <w:hyperlink r:id="rId7" w:history="1">
              <w:r w:rsidR="00917B5A" w:rsidRPr="00542030">
                <w:rPr>
                  <w:rStyle w:val="Hyperlink"/>
                  <w:rFonts w:ascii="Arial" w:hAnsi="Arial" w:cs="Arial"/>
                  <w:i/>
                  <w:sz w:val="20"/>
                  <w:szCs w:val="20"/>
                  <w:lang w:val="en-US"/>
                </w:rPr>
                <w:t>Performance Management Program Guidelines for Deputy Ministers, Associate Deputy Ministers and Individuals Paid in the GX Salary Range</w:t>
              </w:r>
            </w:hyperlink>
            <w:r w:rsidR="00917B5A" w:rsidRPr="00F57AD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</w:tbl>
    <w:p w14:paraId="328EAD3C" w14:textId="77777777" w:rsidR="00754BCA" w:rsidRPr="00542030" w:rsidRDefault="00754BCA" w:rsidP="00754BCA">
      <w:pPr>
        <w:rPr>
          <w:rFonts w:ascii="Arial" w:hAnsi="Arial" w:cs="Arial"/>
          <w:b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2806"/>
        <w:gridCol w:w="6546"/>
      </w:tblGrid>
      <w:tr w:rsidR="00754BCA" w:rsidRPr="00F57AD1" w14:paraId="4AB1AF67" w14:textId="77777777" w:rsidTr="00AD298B">
        <w:trPr>
          <w:trHeight w:val="32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2698B057" w14:textId="77777777" w:rsidR="00754BCA" w:rsidRPr="00F57AD1" w:rsidRDefault="00754BCA" w:rsidP="00754BC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SECTION A: PERSONAL INFORMATION</w:t>
            </w:r>
          </w:p>
        </w:tc>
      </w:tr>
      <w:tr w:rsidR="00754BCA" w:rsidRPr="00F57AD1" w14:paraId="256ABB4C" w14:textId="77777777" w:rsidTr="00092369">
        <w:trPr>
          <w:trHeight w:val="368"/>
        </w:trPr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A2EC4B" w14:textId="77777777" w:rsidR="00754BCA" w:rsidRPr="00F57AD1" w:rsidRDefault="00754BCA" w:rsidP="00754BC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E4FC5FA" w14:textId="77777777" w:rsidR="00754BCA" w:rsidRPr="00F57AD1" w:rsidRDefault="00754BCA" w:rsidP="00754BC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54BCA" w:rsidRPr="00F57AD1" w14:paraId="633A4415" w14:textId="77777777" w:rsidTr="00092369">
        <w:trPr>
          <w:trHeight w:val="368"/>
        </w:trPr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A02449" w14:textId="77777777" w:rsidR="00754BCA" w:rsidRPr="00F57AD1" w:rsidRDefault="00754BCA" w:rsidP="00754BC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>POSITION TITLE: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C9CB78C" w14:textId="77777777" w:rsidR="00754BCA" w:rsidRPr="00F57AD1" w:rsidRDefault="00754BCA" w:rsidP="00754BC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1761FB91" w14:textId="77777777" w:rsidR="00CF03C3" w:rsidRDefault="00CF03C3" w:rsidP="00754BCA">
      <w:pPr>
        <w:rPr>
          <w:rFonts w:ascii="Arial" w:hAnsi="Arial" w:cs="Arial"/>
          <w:b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860A5E" w:rsidRPr="00F57AD1" w14:paraId="7BD1DF07" w14:textId="77777777" w:rsidTr="00AE4BBD">
        <w:trPr>
          <w:trHeight w:val="32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4C6C8FB5" w14:textId="77777777" w:rsidR="00860A5E" w:rsidRPr="00F57AD1" w:rsidRDefault="00860A5E" w:rsidP="00AE4BB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SECTION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B</w:t>
            </w: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OFFICIAL LANGUAGES</w:t>
            </w:r>
          </w:p>
        </w:tc>
      </w:tr>
      <w:tr w:rsidR="00860A5E" w:rsidRPr="00F57AD1" w14:paraId="0A75C2E6" w14:textId="77777777" w:rsidTr="00AE4BBD">
        <w:trPr>
          <w:trHeight w:val="368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F2F9FCB" w14:textId="0D358DCD" w:rsidR="00CA0430" w:rsidRDefault="00E6592F" w:rsidP="00C001F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67EE">
              <w:rPr>
                <w:rFonts w:ascii="Arial" w:hAnsi="Arial" w:cs="Arial"/>
                <w:sz w:val="20"/>
                <w:szCs w:val="20"/>
                <w:lang w:val="en-US"/>
              </w:rPr>
              <w:t xml:space="preserve">Part V, </w:t>
            </w:r>
            <w:r w:rsidR="005C6B23" w:rsidRPr="008A67EE">
              <w:rPr>
                <w:rFonts w:ascii="Arial" w:hAnsi="Arial" w:cs="Arial"/>
                <w:sz w:val="20"/>
                <w:szCs w:val="20"/>
                <w:lang w:val="en-US"/>
              </w:rPr>
              <w:t>section 34</w:t>
            </w:r>
            <w:r w:rsidRPr="008A67EE">
              <w:rPr>
                <w:rFonts w:ascii="Arial" w:hAnsi="Arial" w:cs="Arial"/>
                <w:sz w:val="20"/>
                <w:szCs w:val="20"/>
                <w:lang w:val="en-US"/>
              </w:rPr>
              <w:t xml:space="preserve"> (2)</w:t>
            </w:r>
            <w:r w:rsidR="005C6B23" w:rsidRPr="008A67EE">
              <w:rPr>
                <w:rFonts w:ascii="Arial" w:hAnsi="Arial" w:cs="Arial"/>
                <w:sz w:val="20"/>
                <w:szCs w:val="20"/>
                <w:lang w:val="en-US"/>
              </w:rPr>
              <w:t xml:space="preserve"> of the </w:t>
            </w:r>
            <w:r w:rsidR="005C6B23" w:rsidRPr="00CF03C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Official Languages Act</w:t>
            </w:r>
            <w:r w:rsidR="005C6B23" w:rsidRPr="008A67EE">
              <w:rPr>
                <w:rFonts w:ascii="Arial" w:hAnsi="Arial" w:cs="Arial"/>
                <w:sz w:val="20"/>
                <w:szCs w:val="20"/>
                <w:lang w:val="en-US"/>
              </w:rPr>
              <w:t xml:space="preserve"> requir</w:t>
            </w:r>
            <w:r w:rsidR="00C001F5" w:rsidRPr="008A67EE">
              <w:rPr>
                <w:rFonts w:ascii="Arial" w:hAnsi="Arial" w:cs="Arial"/>
                <w:sz w:val="20"/>
                <w:szCs w:val="20"/>
                <w:lang w:val="en-US"/>
              </w:rPr>
              <w:t xml:space="preserve">es </w:t>
            </w:r>
            <w:r w:rsidR="008A67EE" w:rsidRPr="00CA043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deputy minister</w:t>
            </w:r>
            <w:r w:rsidR="008A67E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s and </w:t>
            </w:r>
            <w:r w:rsidR="008A67EE" w:rsidRPr="00CA043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associate deputy minister</w:t>
            </w:r>
            <w:r w:rsidR="008A67E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s </w:t>
            </w:r>
            <w:r w:rsidR="008A67EE" w:rsidRPr="00CA043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in department</w:t>
            </w:r>
            <w:r w:rsidR="008A67E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s</w:t>
            </w:r>
            <w:r w:rsidR="008A67EE" w:rsidRPr="008A67EE" w:rsidDel="00C001F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038AD" w:rsidRPr="008A67EE">
              <w:rPr>
                <w:rFonts w:ascii="Arial" w:hAnsi="Arial" w:cs="Arial"/>
                <w:sz w:val="20"/>
                <w:szCs w:val="20"/>
                <w:lang w:val="en-US"/>
              </w:rPr>
              <w:t xml:space="preserve">listed in Schedule 1 of the </w:t>
            </w:r>
            <w:r w:rsidR="00567C31" w:rsidRPr="008A67E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Financial Administration Act</w:t>
            </w:r>
            <w:r w:rsidR="00567C31" w:rsidRPr="008A67EE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7038AD" w:rsidRPr="008A67EE">
              <w:rPr>
                <w:rFonts w:ascii="Arial" w:hAnsi="Arial" w:cs="Arial"/>
                <w:sz w:val="20"/>
                <w:szCs w:val="20"/>
                <w:lang w:val="en-US"/>
              </w:rPr>
              <w:t>FAA</w:t>
            </w:r>
            <w:r w:rsidR="00567C31" w:rsidRPr="008A67EE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="007038AD" w:rsidRPr="008A67E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001F5" w:rsidRPr="008A67EE">
              <w:rPr>
                <w:rFonts w:ascii="Arial" w:hAnsi="Arial" w:cs="Arial"/>
                <w:sz w:val="20"/>
                <w:szCs w:val="20"/>
                <w:lang w:val="en-US"/>
              </w:rPr>
              <w:t xml:space="preserve">to </w:t>
            </w:r>
            <w:r w:rsidR="007038AD" w:rsidRPr="008A67EE">
              <w:rPr>
                <w:rFonts w:ascii="Arial" w:hAnsi="Arial" w:cs="Arial"/>
                <w:sz w:val="20"/>
                <w:szCs w:val="20"/>
                <w:lang w:val="en-US"/>
              </w:rPr>
              <w:t xml:space="preserve">take </w:t>
            </w:r>
            <w:r w:rsidR="008A67EE">
              <w:rPr>
                <w:rFonts w:ascii="Arial" w:hAnsi="Arial" w:cs="Arial"/>
                <w:sz w:val="20"/>
                <w:szCs w:val="20"/>
                <w:lang w:val="en-US"/>
              </w:rPr>
              <w:t>the</w:t>
            </w:r>
            <w:r w:rsidR="007038AD" w:rsidRPr="008A67E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A67EE">
              <w:rPr>
                <w:rFonts w:ascii="Arial" w:hAnsi="Arial" w:cs="Arial"/>
                <w:sz w:val="20"/>
                <w:szCs w:val="20"/>
                <w:lang w:val="en-US"/>
              </w:rPr>
              <w:t xml:space="preserve">language </w:t>
            </w:r>
            <w:r w:rsidR="007038AD" w:rsidRPr="008A67EE">
              <w:rPr>
                <w:rFonts w:ascii="Arial" w:hAnsi="Arial" w:cs="Arial"/>
                <w:sz w:val="20"/>
                <w:szCs w:val="20"/>
                <w:lang w:val="en-US"/>
              </w:rPr>
              <w:t xml:space="preserve">training </w:t>
            </w:r>
            <w:r w:rsidR="008A67EE">
              <w:rPr>
                <w:rFonts w:ascii="Arial" w:hAnsi="Arial" w:cs="Arial"/>
                <w:sz w:val="20"/>
                <w:szCs w:val="20"/>
                <w:lang w:val="en-US"/>
              </w:rPr>
              <w:t xml:space="preserve">that is necessary </w:t>
            </w:r>
            <w:r w:rsidR="007038AD" w:rsidRPr="008A67EE">
              <w:rPr>
                <w:rFonts w:ascii="Arial" w:hAnsi="Arial" w:cs="Arial"/>
                <w:sz w:val="20"/>
                <w:szCs w:val="20"/>
                <w:lang w:val="en-US"/>
              </w:rPr>
              <w:t xml:space="preserve">to be able to </w:t>
            </w:r>
            <w:bookmarkStart w:id="0" w:name="_Hlk159505727"/>
            <w:r w:rsidR="007038AD" w:rsidRPr="008A67EE">
              <w:rPr>
                <w:rFonts w:ascii="Arial" w:hAnsi="Arial" w:cs="Arial"/>
                <w:sz w:val="20"/>
                <w:szCs w:val="20"/>
                <w:lang w:val="en-US"/>
              </w:rPr>
              <w:t>speak and understand clearly both official languages</w:t>
            </w:r>
            <w:bookmarkEnd w:id="0"/>
            <w:r w:rsidR="007038AD" w:rsidRPr="008A67EE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</w:p>
          <w:p w14:paraId="21DD9323" w14:textId="77777777" w:rsidR="00CA0430" w:rsidRDefault="00CA0430" w:rsidP="00C001F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E2447F8" w14:textId="4AF2916B" w:rsidR="00C001F5" w:rsidRPr="008A67EE" w:rsidRDefault="00C001F5" w:rsidP="00C001F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67EE">
              <w:rPr>
                <w:rFonts w:ascii="Arial" w:hAnsi="Arial" w:cs="Arial"/>
                <w:sz w:val="20"/>
                <w:szCs w:val="20"/>
                <w:lang w:val="en-US"/>
              </w:rPr>
              <w:t>As part of the Performance Management Program, the Clerk of the Privy Council has extended the expectation</w:t>
            </w:r>
            <w:r w:rsidR="008A67EE">
              <w:rPr>
                <w:rFonts w:ascii="Arial" w:hAnsi="Arial" w:cs="Arial"/>
                <w:sz w:val="20"/>
                <w:szCs w:val="20"/>
                <w:lang w:val="en-US"/>
              </w:rPr>
              <w:t xml:space="preserve"> to</w:t>
            </w:r>
            <w:r w:rsidRPr="008A67E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F03C3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all</w:t>
            </w:r>
            <w:r w:rsidRPr="008A67E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A67EE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8A67EE">
              <w:rPr>
                <w:rFonts w:ascii="Arial" w:hAnsi="Arial" w:cs="Arial"/>
                <w:sz w:val="20"/>
                <w:szCs w:val="20"/>
                <w:lang w:val="en-US"/>
              </w:rPr>
              <w:t xml:space="preserve">eputy </w:t>
            </w:r>
            <w:r w:rsidR="008A67EE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8A67EE">
              <w:rPr>
                <w:rFonts w:ascii="Arial" w:hAnsi="Arial" w:cs="Arial"/>
                <w:sz w:val="20"/>
                <w:szCs w:val="20"/>
                <w:lang w:val="en-US"/>
              </w:rPr>
              <w:t>inisters</w:t>
            </w:r>
            <w:r w:rsidR="008A67EE">
              <w:rPr>
                <w:rFonts w:ascii="Arial" w:hAnsi="Arial" w:cs="Arial"/>
                <w:sz w:val="20"/>
                <w:szCs w:val="20"/>
                <w:lang w:val="en-US"/>
              </w:rPr>
              <w:t xml:space="preserve"> and associate deputy ministers</w:t>
            </w:r>
            <w:r w:rsidRPr="008A67EE">
              <w:rPr>
                <w:rFonts w:ascii="Arial" w:hAnsi="Arial" w:cs="Arial"/>
                <w:sz w:val="20"/>
                <w:szCs w:val="20"/>
                <w:lang w:val="en-US"/>
              </w:rPr>
              <w:t xml:space="preserve">, including those in a department </w:t>
            </w:r>
            <w:r w:rsidRPr="008A67EE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not</w:t>
            </w:r>
            <w:r w:rsidRPr="008A67EE">
              <w:rPr>
                <w:rFonts w:ascii="Arial" w:hAnsi="Arial" w:cs="Arial"/>
                <w:sz w:val="20"/>
                <w:szCs w:val="20"/>
                <w:lang w:val="en-US"/>
              </w:rPr>
              <w:t xml:space="preserve"> listed in Schedule 1 of the FAA, </w:t>
            </w:r>
            <w:r w:rsidR="008A67EE">
              <w:rPr>
                <w:rFonts w:ascii="Arial" w:hAnsi="Arial" w:cs="Arial"/>
                <w:sz w:val="20"/>
                <w:szCs w:val="20"/>
                <w:lang w:val="en-US"/>
              </w:rPr>
              <w:t xml:space="preserve">that they </w:t>
            </w:r>
            <w:r w:rsidR="00CA0430">
              <w:rPr>
                <w:rFonts w:ascii="Arial" w:hAnsi="Arial" w:cs="Arial"/>
                <w:sz w:val="20"/>
                <w:szCs w:val="20"/>
                <w:lang w:val="en-US"/>
              </w:rPr>
              <w:t xml:space="preserve">also </w:t>
            </w:r>
            <w:r w:rsidRPr="008A67EE">
              <w:rPr>
                <w:rFonts w:ascii="Arial" w:hAnsi="Arial" w:cs="Arial"/>
                <w:sz w:val="20"/>
                <w:szCs w:val="20"/>
                <w:lang w:val="en-US"/>
              </w:rPr>
              <w:t xml:space="preserve">take the necessary </w:t>
            </w:r>
            <w:r w:rsidR="00CA0430">
              <w:rPr>
                <w:rFonts w:ascii="Arial" w:hAnsi="Arial" w:cs="Arial"/>
                <w:sz w:val="20"/>
                <w:szCs w:val="20"/>
                <w:lang w:val="en-US"/>
              </w:rPr>
              <w:t xml:space="preserve">language </w:t>
            </w:r>
            <w:r w:rsidRPr="008A67EE">
              <w:rPr>
                <w:rFonts w:ascii="Arial" w:hAnsi="Arial" w:cs="Arial"/>
                <w:sz w:val="20"/>
                <w:szCs w:val="20"/>
                <w:lang w:val="en-US"/>
              </w:rPr>
              <w:t>training to be able to speak and understand clearly both official languages.</w:t>
            </w:r>
          </w:p>
          <w:p w14:paraId="32290209" w14:textId="2BDC5C37" w:rsidR="00092369" w:rsidRPr="00CA0430" w:rsidRDefault="00092369" w:rsidP="0099201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49EBE5A" w14:textId="26BE34BD" w:rsidR="00992014" w:rsidRPr="00860A5E" w:rsidRDefault="00992014" w:rsidP="009920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Please indicate whether you require training to </w:t>
            </w:r>
            <w:r w:rsidR="00A74D18">
              <w:rPr>
                <w:rFonts w:ascii="Arial" w:hAnsi="Arial" w:cs="Arial"/>
                <w:sz w:val="20"/>
                <w:szCs w:val="20"/>
                <w:lang w:val="en-US"/>
              </w:rPr>
              <w:t>meet the requirement above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</w:p>
          <w:p w14:paraId="28F94F0D" w14:textId="77777777" w:rsidR="00992014" w:rsidRDefault="00992014" w:rsidP="009920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C40B364" w14:textId="53A3E0C4" w:rsidR="00992014" w:rsidRDefault="00992014" w:rsidP="009920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0A71">
              <w:rPr>
                <w:rFonts w:ascii="Arial" w:hAnsi="Arial" w:cs="Arial"/>
                <w:sz w:val="20"/>
                <w:szCs w:val="20"/>
                <w:lang w:val="en-US"/>
              </w:rPr>
              <w:t xml:space="preserve">Yes </w:t>
            </w:r>
            <w:r w:rsidRPr="00AF0A71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A71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5318BC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5318BC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AF0A71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AF0A71">
              <w:rPr>
                <w:rFonts w:ascii="Arial" w:hAnsi="Arial" w:cs="Arial"/>
                <w:sz w:val="20"/>
                <w:szCs w:val="20"/>
                <w:lang w:val="en-US"/>
              </w:rPr>
              <w:t xml:space="preserve">No </w:t>
            </w:r>
            <w:r w:rsidRPr="00AF0A71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A71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5318BC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5318BC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AF0A71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="0009236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E73C5BE" w14:textId="19FA56E2" w:rsidR="00E6592F" w:rsidRPr="00860A5E" w:rsidRDefault="00E6592F" w:rsidP="009920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5082A" w:rsidRPr="00F57AD1" w14:paraId="66EA7845" w14:textId="77777777" w:rsidTr="00F5082A">
        <w:trPr>
          <w:trHeight w:val="368"/>
        </w:trPr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A614532" w14:textId="4C531C05" w:rsidR="00F5082A" w:rsidDel="00C001F5" w:rsidRDefault="00F5082A" w:rsidP="00C001F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2014">
              <w:rPr>
                <w:rFonts w:ascii="Arial" w:hAnsi="Arial" w:cs="Arial"/>
                <w:sz w:val="20"/>
                <w:szCs w:val="20"/>
                <w:lang w:val="en-US"/>
              </w:rPr>
              <w:t>If</w:t>
            </w:r>
            <w:r w:rsidRPr="0099201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please outline your </w:t>
            </w:r>
            <w:r w:rsidRPr="008C2D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commitments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for language training and any other </w:t>
            </w:r>
            <w:r w:rsidR="00CF03C3">
              <w:rPr>
                <w:rFonts w:ascii="Arial" w:hAnsi="Arial" w:cs="Arial"/>
                <w:sz w:val="20"/>
                <w:szCs w:val="20"/>
                <w:lang w:val="en-US"/>
              </w:rPr>
              <w:t xml:space="preserve">planned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activities during the performance cycle to achieve second official language proficiency requirements</w:t>
            </w: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910DC92" w14:textId="4A55B823" w:rsidR="00F5082A" w:rsidDel="00C001F5" w:rsidRDefault="00F5082A" w:rsidP="00C001F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Please outline your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results achieved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following language training and any other activities undertaken during the performance cycle to achieve second official language proficiency requirements</w:t>
            </w:r>
          </w:p>
        </w:tc>
      </w:tr>
      <w:tr w:rsidR="00F5082A" w:rsidRPr="00F57AD1" w14:paraId="4ABDB8EC" w14:textId="77777777" w:rsidTr="00581BDE">
        <w:trPr>
          <w:trHeight w:val="1701"/>
        </w:trPr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34B952B0" w14:textId="77777777" w:rsidR="00F5082A" w:rsidDel="00C001F5" w:rsidRDefault="00F5082A" w:rsidP="00581BD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054F3555" w14:textId="25C29420" w:rsidR="00F5082A" w:rsidDel="00C001F5" w:rsidRDefault="00F5082A" w:rsidP="00C001F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145EF604" w14:textId="77777777" w:rsidR="0007339A" w:rsidRDefault="0007339A" w:rsidP="00754BCA">
      <w:pPr>
        <w:rPr>
          <w:rFonts w:ascii="Arial" w:hAnsi="Arial" w:cs="Arial"/>
          <w:b/>
          <w:lang w:val="en-US"/>
        </w:rPr>
      </w:pPr>
    </w:p>
    <w:p w14:paraId="251AAA42" w14:textId="77777777" w:rsidR="00581BDE" w:rsidRDefault="00581BD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9352"/>
      </w:tblGrid>
      <w:tr w:rsidR="00754BCA" w:rsidRPr="00F57AD1" w14:paraId="69E912AA" w14:textId="77777777" w:rsidTr="00AD298B">
        <w:trPr>
          <w:trHeight w:val="32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7C5F2A5C" w14:textId="498F9A2E" w:rsidR="00754BCA" w:rsidRPr="00F57AD1" w:rsidRDefault="00754BCA" w:rsidP="00F57AD1">
            <w:pPr>
              <w:tabs>
                <w:tab w:val="left" w:pos="7680"/>
              </w:tabs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SECTION </w:t>
            </w:r>
            <w:r w:rsidR="00860A5E">
              <w:rPr>
                <w:rFonts w:ascii="Arial" w:hAnsi="Arial" w:cs="Arial"/>
                <w:b/>
                <w:sz w:val="20"/>
                <w:szCs w:val="20"/>
                <w:lang w:val="en-US"/>
              </w:rPr>
              <w:t>C</w:t>
            </w: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: POLICY </w:t>
            </w:r>
            <w:smartTag w:uri="urn:schemas-microsoft-com:office:smarttags" w:element="stockticker">
              <w:r w:rsidRPr="00F57AD1">
                <w:rPr>
                  <w:rFonts w:ascii="Arial" w:hAnsi="Arial" w:cs="Arial"/>
                  <w:b/>
                  <w:sz w:val="20"/>
                  <w:szCs w:val="20"/>
                  <w:lang w:val="en-US"/>
                </w:rPr>
                <w:t>AND</w:t>
              </w:r>
            </w:smartTag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PROGRAM RESULTS</w:t>
            </w:r>
          </w:p>
        </w:tc>
      </w:tr>
      <w:tr w:rsidR="00754BCA" w:rsidRPr="00F57AD1" w14:paraId="55A18F17" w14:textId="77777777" w:rsidTr="00AD298B">
        <w:trPr>
          <w:trHeight w:val="368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2D7DFEB7" w14:textId="77777777" w:rsidR="004A7B36" w:rsidRPr="00F57AD1" w:rsidRDefault="004A7B36" w:rsidP="004A7B3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>Commitments that are based on the business plans of the organization and that reflect priority areas of focus of the Government.</w:t>
            </w:r>
          </w:p>
        </w:tc>
      </w:tr>
    </w:tbl>
    <w:p w14:paraId="31FB52AD" w14:textId="77777777" w:rsidR="00754BCA" w:rsidRPr="0072223D" w:rsidRDefault="00754BCA" w:rsidP="00754BCA">
      <w:pPr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2949"/>
        <w:gridCol w:w="2948"/>
        <w:gridCol w:w="3433"/>
      </w:tblGrid>
      <w:tr w:rsidR="00754BCA" w:rsidRPr="00F57AD1" w14:paraId="6F7AC074" w14:textId="77777777" w:rsidTr="00AD298B">
        <w:trPr>
          <w:trHeight w:val="37"/>
        </w:trPr>
        <w:tc>
          <w:tcPr>
            <w:tcW w:w="1580" w:type="pct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119F9137" w14:textId="77777777" w:rsidR="00754BCA" w:rsidRPr="00F57AD1" w:rsidRDefault="004A7B36" w:rsidP="00F57A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bookmarkStart w:id="1" w:name="_Hlk172728151"/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Commitments</w:t>
            </w:r>
          </w:p>
        </w:tc>
        <w:tc>
          <w:tcPr>
            <w:tcW w:w="1580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3192A0B5" w14:textId="77777777" w:rsidR="00754BCA" w:rsidRPr="00F57AD1" w:rsidRDefault="00754BCA" w:rsidP="00F57A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Performance Measures</w:t>
            </w:r>
          </w:p>
        </w:tc>
        <w:tc>
          <w:tcPr>
            <w:tcW w:w="1840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612BFC4B" w14:textId="77777777" w:rsidR="00754BCA" w:rsidRPr="00F57AD1" w:rsidRDefault="00754BCA" w:rsidP="00F57A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Results Achieved</w:t>
            </w:r>
          </w:p>
        </w:tc>
      </w:tr>
      <w:tr w:rsidR="00754BCA" w:rsidRPr="00F57AD1" w14:paraId="7BA7EA15" w14:textId="77777777" w:rsidTr="00581BDE">
        <w:trPr>
          <w:trHeight w:val="1701"/>
        </w:trPr>
        <w:tc>
          <w:tcPr>
            <w:tcW w:w="1580" w:type="pct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33621F8" w14:textId="77777777" w:rsidR="000A70C9" w:rsidRPr="00F57AD1" w:rsidRDefault="000A70C9" w:rsidP="00754BC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80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  <w:shd w:val="clear" w:color="auto" w:fill="auto"/>
          </w:tcPr>
          <w:p w14:paraId="5EC1FC6F" w14:textId="77777777" w:rsidR="00754BCA" w:rsidRPr="00F57AD1" w:rsidRDefault="00754BCA" w:rsidP="00754BC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0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2FE2A41" w14:textId="77777777" w:rsidR="00754BCA" w:rsidRPr="00F57AD1" w:rsidRDefault="00754BCA" w:rsidP="00754BC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bookmarkEnd w:id="1"/>
    </w:tbl>
    <w:p w14:paraId="73CC2C19" w14:textId="77777777" w:rsidR="00754BCA" w:rsidRPr="0072223D" w:rsidRDefault="00754BCA" w:rsidP="00754BCA">
      <w:pPr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9352"/>
      </w:tblGrid>
      <w:tr w:rsidR="00754BCA" w:rsidRPr="00F57AD1" w14:paraId="6920A7F4" w14:textId="77777777" w:rsidTr="00AD298B">
        <w:trPr>
          <w:trHeight w:val="32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7AC4C0AD" w14:textId="77777777" w:rsidR="00754BCA" w:rsidRPr="00F57AD1" w:rsidRDefault="00754BCA" w:rsidP="00F57A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Narrative on Policy and Program Results</w:t>
            </w:r>
          </w:p>
        </w:tc>
      </w:tr>
      <w:tr w:rsidR="00754BCA" w:rsidRPr="00F57AD1" w14:paraId="1340C464" w14:textId="77777777" w:rsidTr="00581BDE">
        <w:trPr>
          <w:trHeight w:val="1701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24D82644" w14:textId="77777777" w:rsidR="000A70C9" w:rsidRPr="00F57AD1" w:rsidRDefault="000A70C9" w:rsidP="00754BC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54BCA" w:rsidRPr="00F57AD1" w14:paraId="66FEC7C5" w14:textId="77777777" w:rsidTr="00AD298B">
        <w:trPr>
          <w:trHeight w:val="32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3A54EC6C" w14:textId="35A65FE6" w:rsidR="00754BCA" w:rsidRPr="00F57AD1" w:rsidRDefault="00581BDE" w:rsidP="00F57AD1">
            <w:pPr>
              <w:pageBreakBefore/>
              <w:rPr>
                <w:rFonts w:ascii="Arial (W1)" w:hAnsi="Arial (W1)" w:cs="Arial"/>
                <w:b/>
                <w:caps/>
                <w:sz w:val="20"/>
                <w:szCs w:val="20"/>
                <w:lang w:val="en-US"/>
              </w:rPr>
            </w:pPr>
            <w:r>
              <w:br w:type="page"/>
            </w:r>
            <w:r w:rsidR="00754BCA" w:rsidRPr="00F57AD1">
              <w:rPr>
                <w:rFonts w:ascii="Arial (W1)" w:hAnsi="Arial (W1)" w:cs="Arial"/>
                <w:b/>
                <w:caps/>
                <w:sz w:val="20"/>
                <w:szCs w:val="20"/>
                <w:lang w:val="en-US"/>
              </w:rPr>
              <w:t xml:space="preserve">SECTION </w:t>
            </w:r>
            <w:r w:rsidR="00860A5E">
              <w:rPr>
                <w:rFonts w:ascii="Arial (W1)" w:hAnsi="Arial (W1)" w:cs="Arial"/>
                <w:b/>
                <w:caps/>
                <w:sz w:val="20"/>
                <w:szCs w:val="20"/>
                <w:lang w:val="en-US"/>
              </w:rPr>
              <w:t>D</w:t>
            </w:r>
            <w:r w:rsidR="00754BCA" w:rsidRPr="00F57AD1">
              <w:rPr>
                <w:rFonts w:ascii="Arial (W1)" w:hAnsi="Arial (W1)" w:cs="Arial"/>
                <w:b/>
                <w:caps/>
                <w:sz w:val="20"/>
                <w:szCs w:val="20"/>
                <w:lang w:val="en-US"/>
              </w:rPr>
              <w:t>: Management Results</w:t>
            </w:r>
          </w:p>
        </w:tc>
      </w:tr>
      <w:tr w:rsidR="00754BCA" w:rsidRPr="00F57AD1" w14:paraId="357033DB" w14:textId="77777777" w:rsidTr="00AD298B">
        <w:trPr>
          <w:trHeight w:val="249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5742B6EB" w14:textId="14295CD5" w:rsidR="00754BCA" w:rsidRPr="00F57AD1" w:rsidRDefault="004A7B36" w:rsidP="00F57AD1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 xml:space="preserve">The Management Accountability Framework </w:t>
            </w:r>
            <w:r w:rsidR="00917B5A" w:rsidRPr="00F57AD1">
              <w:rPr>
                <w:rFonts w:ascii="Arial" w:hAnsi="Arial" w:cs="Arial"/>
                <w:sz w:val="20"/>
                <w:szCs w:val="20"/>
                <w:lang w:val="en-US"/>
              </w:rPr>
              <w:t xml:space="preserve">(MAF) </w:t>
            </w: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 xml:space="preserve">sets out </w:t>
            </w:r>
            <w:r w:rsidR="00917B5A" w:rsidRPr="00F57AD1">
              <w:rPr>
                <w:rFonts w:ascii="Arial" w:hAnsi="Arial" w:cs="Arial"/>
                <w:sz w:val="20"/>
                <w:szCs w:val="20"/>
                <w:lang w:val="en-US"/>
              </w:rPr>
              <w:t xml:space="preserve">the conditions for good management within departments. These conditions translate into </w:t>
            </w:r>
            <w:r w:rsidR="00917B5A" w:rsidRPr="00F57AD1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generic commitments</w:t>
            </w:r>
            <w:r w:rsidR="00917B5A" w:rsidRPr="00F57AD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A6DA9">
              <w:rPr>
                <w:rFonts w:ascii="Arial" w:hAnsi="Arial" w:cs="Arial"/>
                <w:sz w:val="20"/>
                <w:szCs w:val="20"/>
                <w:lang w:val="en-US"/>
              </w:rPr>
              <w:t xml:space="preserve">consistent with management expectations based on the Treasury Board policy suite </w:t>
            </w:r>
            <w:r w:rsidR="00917B5A" w:rsidRPr="00F57AD1">
              <w:rPr>
                <w:rFonts w:ascii="Arial" w:hAnsi="Arial" w:cs="Arial"/>
                <w:sz w:val="20"/>
                <w:szCs w:val="20"/>
                <w:lang w:val="en-US"/>
              </w:rPr>
              <w:t>and serve as benchmarks for expected performance of all deputy ministers.</w:t>
            </w:r>
            <w:r w:rsidR="0054203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859A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Should </w:t>
            </w:r>
            <w:r w:rsidR="005A44D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Management results not be available through the MAF for the </w:t>
            </w:r>
            <w:r w:rsidR="007859AE">
              <w:rPr>
                <w:rFonts w:ascii="Arial" w:hAnsi="Arial" w:cs="Arial"/>
                <w:b/>
                <w:sz w:val="20"/>
                <w:szCs w:val="20"/>
                <w:lang w:val="en-US"/>
              </w:rPr>
              <w:t>2024-25</w:t>
            </w:r>
            <w:r w:rsidR="005A44D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reporting period</w:t>
            </w:r>
            <w:r w:rsidR="00B5682D">
              <w:rPr>
                <w:rFonts w:ascii="Arial" w:hAnsi="Arial" w:cs="Arial"/>
                <w:b/>
                <w:sz w:val="20"/>
                <w:szCs w:val="20"/>
                <w:lang w:val="en-US"/>
              </w:rPr>
              <w:t>,</w:t>
            </w:r>
            <w:r w:rsidR="007859A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you will be </w:t>
            </w:r>
            <w:r w:rsidR="005A44D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asked to provide a summary of results in your performance </w:t>
            </w:r>
            <w:r w:rsidR="00F43DEB">
              <w:rPr>
                <w:rFonts w:ascii="Arial" w:hAnsi="Arial" w:cs="Arial"/>
                <w:b/>
                <w:sz w:val="20"/>
                <w:szCs w:val="20"/>
                <w:lang w:val="en-US"/>
              </w:rPr>
              <w:t>evaluation</w:t>
            </w:r>
            <w:r w:rsidR="005A44DF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</w:tc>
      </w:tr>
    </w:tbl>
    <w:p w14:paraId="2C823446" w14:textId="77777777" w:rsidR="00754BCA" w:rsidRPr="0072223D" w:rsidRDefault="00754BCA" w:rsidP="00754BCA">
      <w:pPr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2949"/>
        <w:gridCol w:w="2948"/>
        <w:gridCol w:w="3433"/>
      </w:tblGrid>
      <w:tr w:rsidR="00754BCA" w:rsidRPr="00F57AD1" w14:paraId="0E5B8633" w14:textId="77777777" w:rsidTr="00AD298B">
        <w:trPr>
          <w:trHeight w:val="37"/>
        </w:trPr>
        <w:tc>
          <w:tcPr>
            <w:tcW w:w="1580" w:type="pct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1A1C217F" w14:textId="77777777" w:rsidR="00754BCA" w:rsidRPr="00F57AD1" w:rsidRDefault="00917B5A" w:rsidP="00F57A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Commitments</w:t>
            </w:r>
          </w:p>
        </w:tc>
        <w:tc>
          <w:tcPr>
            <w:tcW w:w="1580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443DC43A" w14:textId="77777777" w:rsidR="00754BCA" w:rsidRPr="00F57AD1" w:rsidRDefault="00754BCA" w:rsidP="00F57A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Performance Measures</w:t>
            </w:r>
          </w:p>
        </w:tc>
        <w:tc>
          <w:tcPr>
            <w:tcW w:w="1840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109DBCAA" w14:textId="77777777" w:rsidR="00754BCA" w:rsidRPr="00F57AD1" w:rsidRDefault="00754BCA" w:rsidP="00F57A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Results Achieved</w:t>
            </w:r>
          </w:p>
        </w:tc>
      </w:tr>
      <w:tr w:rsidR="00754BCA" w:rsidRPr="00F57AD1" w14:paraId="06FAF786" w14:textId="77777777" w:rsidTr="00581BDE">
        <w:trPr>
          <w:trHeight w:val="1701"/>
        </w:trPr>
        <w:tc>
          <w:tcPr>
            <w:tcW w:w="1580" w:type="pct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8380E18" w14:textId="77777777" w:rsidR="00754BCA" w:rsidRPr="00F57AD1" w:rsidRDefault="00754BCA" w:rsidP="00754BC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80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  <w:shd w:val="clear" w:color="auto" w:fill="auto"/>
          </w:tcPr>
          <w:p w14:paraId="49819811" w14:textId="77777777" w:rsidR="00754BCA" w:rsidRPr="00F57AD1" w:rsidRDefault="00754BCA" w:rsidP="00754BC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0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BB3ACDB" w14:textId="77777777" w:rsidR="00754BCA" w:rsidRPr="00F57AD1" w:rsidRDefault="00754BCA" w:rsidP="00754BC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4F6785D" w14:textId="77777777" w:rsidR="00754BCA" w:rsidRPr="009209DF" w:rsidRDefault="00754BCA" w:rsidP="00754BCA">
      <w:pPr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9352"/>
      </w:tblGrid>
      <w:tr w:rsidR="00754BCA" w:rsidRPr="00F57AD1" w14:paraId="35727F07" w14:textId="77777777" w:rsidTr="00AD298B">
        <w:trPr>
          <w:trHeight w:val="32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5E7479D3" w14:textId="77777777" w:rsidR="00754BCA" w:rsidRPr="00F57AD1" w:rsidRDefault="00754BCA" w:rsidP="00F57A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Narrative on Management Results</w:t>
            </w:r>
          </w:p>
        </w:tc>
      </w:tr>
      <w:tr w:rsidR="00754BCA" w:rsidRPr="00F57AD1" w14:paraId="3AE15538" w14:textId="77777777" w:rsidTr="00581BDE">
        <w:trPr>
          <w:trHeight w:val="1701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047FEE30" w14:textId="77777777" w:rsidR="00754BCA" w:rsidRPr="00F57AD1" w:rsidRDefault="00754BCA" w:rsidP="00754BC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718F1E81" w14:textId="77777777" w:rsidR="00754BCA" w:rsidRPr="00542030" w:rsidRDefault="00754BCA" w:rsidP="00754BCA">
      <w:pPr>
        <w:rPr>
          <w:rFonts w:ascii="Arial" w:hAnsi="Arial" w:cs="Arial"/>
          <w:b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9352"/>
      </w:tblGrid>
      <w:tr w:rsidR="00754BCA" w:rsidRPr="00F57AD1" w14:paraId="77D102D5" w14:textId="77777777" w:rsidTr="00AD298B">
        <w:trPr>
          <w:trHeight w:val="32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1A9240EA" w14:textId="6B268DDC" w:rsidR="00754BCA" w:rsidRPr="00F57AD1" w:rsidRDefault="0005021B" w:rsidP="00754BCA">
            <w:pPr>
              <w:rPr>
                <w:rFonts w:ascii="Arial (W1)" w:hAnsi="Arial (W1)" w:cs="Arial"/>
                <w:b/>
                <w:caps/>
                <w:sz w:val="20"/>
                <w:szCs w:val="20"/>
                <w:lang w:val="en-US"/>
              </w:rPr>
            </w:pPr>
            <w:r w:rsidRPr="00F57AD1">
              <w:rPr>
                <w:rFonts w:ascii="Arial (W1)" w:hAnsi="Arial (W1)" w:cs="Arial"/>
                <w:b/>
                <w:caps/>
                <w:sz w:val="20"/>
                <w:szCs w:val="20"/>
                <w:lang w:val="en-US"/>
              </w:rPr>
              <w:t xml:space="preserve">SECTION </w:t>
            </w:r>
            <w:r w:rsidR="00860A5E">
              <w:rPr>
                <w:rFonts w:ascii="Arial (W1)" w:hAnsi="Arial (W1)" w:cs="Arial"/>
                <w:b/>
                <w:caps/>
                <w:sz w:val="20"/>
                <w:szCs w:val="20"/>
                <w:lang w:val="en-US"/>
              </w:rPr>
              <w:t>E</w:t>
            </w:r>
            <w:r w:rsidR="00754BCA" w:rsidRPr="00F57AD1">
              <w:rPr>
                <w:rFonts w:ascii="Arial (W1)" w:hAnsi="Arial (W1)" w:cs="Arial"/>
                <w:b/>
                <w:caps/>
                <w:sz w:val="20"/>
                <w:szCs w:val="20"/>
                <w:lang w:val="en-US"/>
              </w:rPr>
              <w:t>: Leadership Results</w:t>
            </w:r>
          </w:p>
        </w:tc>
      </w:tr>
      <w:tr w:rsidR="00754BCA" w:rsidRPr="00F57AD1" w14:paraId="03B784A5" w14:textId="77777777" w:rsidTr="00AD298B">
        <w:trPr>
          <w:trHeight w:val="368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28669D91" w14:textId="77777777" w:rsidR="00917B5A" w:rsidRPr="00F57AD1" w:rsidRDefault="00917B5A" w:rsidP="00055CF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 xml:space="preserve">The </w:t>
            </w:r>
            <w:r w:rsidR="00055CFB"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 xml:space="preserve">ey </w:t>
            </w:r>
            <w:r w:rsidR="00055CFB"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 xml:space="preserve">eadership </w:t>
            </w:r>
            <w:r w:rsidR="00055CFB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 xml:space="preserve">ompetencies </w:t>
            </w:r>
            <w:r w:rsidR="00720B5C" w:rsidRPr="00F57AD1">
              <w:rPr>
                <w:rFonts w:ascii="Arial" w:hAnsi="Arial" w:cs="Arial"/>
                <w:sz w:val="20"/>
                <w:szCs w:val="20"/>
                <w:lang w:val="en-US"/>
              </w:rPr>
              <w:t xml:space="preserve">(i.e. </w:t>
            </w:r>
            <w:r w:rsidR="007E6221" w:rsidRPr="00F57AD1">
              <w:rPr>
                <w:rFonts w:ascii="Arial" w:hAnsi="Arial" w:cs="Arial"/>
                <w:sz w:val="20"/>
                <w:szCs w:val="20"/>
                <w:lang w:val="en-US"/>
              </w:rPr>
              <w:t>creating vision and strategy, mobilizing people, upholding integrity, etc.</w:t>
            </w:r>
            <w:r w:rsidR="00720B5C" w:rsidRPr="00F57AD1">
              <w:rPr>
                <w:rFonts w:ascii="Arial" w:hAnsi="Arial" w:cs="Arial"/>
                <w:sz w:val="20"/>
                <w:szCs w:val="20"/>
                <w:lang w:val="en-US"/>
              </w:rPr>
              <w:t xml:space="preserve">) </w:t>
            </w: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 xml:space="preserve">are </w:t>
            </w:r>
            <w:r w:rsidRPr="00F57AD1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generic commitments</w:t>
            </w: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 xml:space="preserve"> and serve as a benchmark for expected performance of all deputy ministers.</w:t>
            </w:r>
            <w:r w:rsidR="0054203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As such, there is no need to include leadership results in </w:t>
            </w:r>
            <w:r w:rsidR="00720B5C"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the</w:t>
            </w: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performance agreement unless to highlight a particular initiative.</w:t>
            </w:r>
          </w:p>
        </w:tc>
      </w:tr>
    </w:tbl>
    <w:p w14:paraId="32684D90" w14:textId="77777777" w:rsidR="00754BCA" w:rsidRPr="0072223D" w:rsidRDefault="00754BCA" w:rsidP="00754BCA">
      <w:pPr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2949"/>
        <w:gridCol w:w="2948"/>
        <w:gridCol w:w="3433"/>
      </w:tblGrid>
      <w:tr w:rsidR="00754BCA" w:rsidRPr="00F57AD1" w14:paraId="551EF345" w14:textId="77777777" w:rsidTr="00AD298B">
        <w:trPr>
          <w:trHeight w:val="37"/>
        </w:trPr>
        <w:tc>
          <w:tcPr>
            <w:tcW w:w="1580" w:type="pct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667459D0" w14:textId="77777777" w:rsidR="00754BCA" w:rsidRPr="00F57AD1" w:rsidRDefault="00917B5A" w:rsidP="00F57A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Commitments</w:t>
            </w:r>
          </w:p>
        </w:tc>
        <w:tc>
          <w:tcPr>
            <w:tcW w:w="1580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18A66BDD" w14:textId="77777777" w:rsidR="00754BCA" w:rsidRPr="00F57AD1" w:rsidRDefault="00754BCA" w:rsidP="00F57A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Performance Measures</w:t>
            </w:r>
          </w:p>
        </w:tc>
        <w:tc>
          <w:tcPr>
            <w:tcW w:w="1840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4384B4F5" w14:textId="77777777" w:rsidR="00754BCA" w:rsidRPr="00F57AD1" w:rsidRDefault="00754BCA" w:rsidP="00F57A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Results Achieved</w:t>
            </w:r>
          </w:p>
        </w:tc>
      </w:tr>
      <w:tr w:rsidR="00754BCA" w:rsidRPr="00F57AD1" w14:paraId="4EEB704B" w14:textId="77777777" w:rsidTr="00581BDE">
        <w:trPr>
          <w:trHeight w:val="1701"/>
        </w:trPr>
        <w:tc>
          <w:tcPr>
            <w:tcW w:w="1580" w:type="pct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F6776DC" w14:textId="77777777" w:rsidR="00754BCA" w:rsidRPr="00F57AD1" w:rsidRDefault="00754BCA" w:rsidP="00754BC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80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  <w:shd w:val="clear" w:color="auto" w:fill="auto"/>
          </w:tcPr>
          <w:p w14:paraId="5F4792C3" w14:textId="77777777" w:rsidR="00754BCA" w:rsidRPr="00F57AD1" w:rsidRDefault="00754BCA" w:rsidP="00754BC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0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7D62F8F" w14:textId="77777777" w:rsidR="00754BCA" w:rsidRPr="00F57AD1" w:rsidRDefault="00754BCA" w:rsidP="00754BC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393FC3F0" w14:textId="77777777" w:rsidR="00754BCA" w:rsidRPr="009209DF" w:rsidRDefault="00754BCA" w:rsidP="00754BCA">
      <w:pPr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9352"/>
      </w:tblGrid>
      <w:tr w:rsidR="00754BCA" w:rsidRPr="00F57AD1" w14:paraId="3EBFBBBD" w14:textId="77777777" w:rsidTr="00AD298B">
        <w:trPr>
          <w:trHeight w:val="32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5E4CAE18" w14:textId="77777777" w:rsidR="00754BCA" w:rsidRPr="00F57AD1" w:rsidRDefault="00754BCA" w:rsidP="00F57A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Narrative on Leadership Results</w:t>
            </w:r>
          </w:p>
        </w:tc>
      </w:tr>
      <w:tr w:rsidR="00754BCA" w:rsidRPr="00F57AD1" w14:paraId="6DDC5C29" w14:textId="77777777" w:rsidTr="00581BDE">
        <w:trPr>
          <w:trHeight w:val="1701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5C922683" w14:textId="77777777" w:rsidR="00754BCA" w:rsidRPr="00F57AD1" w:rsidRDefault="00754BCA" w:rsidP="00754BC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39C8724D" w14:textId="77777777" w:rsidR="00397574" w:rsidRDefault="00397574" w:rsidP="00754BCA">
      <w:pPr>
        <w:rPr>
          <w:rFonts w:ascii="Arial" w:hAnsi="Arial" w:cs="Arial"/>
          <w:b/>
          <w:lang w:val="en-US"/>
        </w:rPr>
      </w:pPr>
    </w:p>
    <w:p w14:paraId="59D5D2E8" w14:textId="77777777" w:rsidR="004D5AB2" w:rsidRPr="0072223D" w:rsidRDefault="004D5AB2" w:rsidP="00754BCA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9352"/>
      </w:tblGrid>
      <w:tr w:rsidR="004D5AB2" w:rsidRPr="00F57AD1" w14:paraId="2089D5C1" w14:textId="77777777" w:rsidTr="00AD298B">
        <w:trPr>
          <w:trHeight w:val="32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7B08ED70" w14:textId="411D12B4" w:rsidR="004D5AB2" w:rsidRPr="00F57AD1" w:rsidRDefault="004D5AB2" w:rsidP="004D5AB2">
            <w:pPr>
              <w:rPr>
                <w:rFonts w:ascii="Arial (W1)" w:hAnsi="Arial (W1)" w:cs="Arial"/>
                <w:b/>
                <w:caps/>
                <w:sz w:val="20"/>
                <w:szCs w:val="20"/>
                <w:lang w:val="en-US"/>
              </w:rPr>
            </w:pPr>
            <w:r w:rsidRPr="00F57AD1">
              <w:rPr>
                <w:rFonts w:ascii="Arial (W1)" w:hAnsi="Arial (W1)" w:cs="Arial"/>
                <w:b/>
                <w:caps/>
                <w:sz w:val="20"/>
                <w:szCs w:val="20"/>
                <w:lang w:val="en-US"/>
              </w:rPr>
              <w:t xml:space="preserve">SECTION </w:t>
            </w:r>
            <w:r w:rsidR="00860A5E">
              <w:rPr>
                <w:rFonts w:ascii="Arial (W1)" w:hAnsi="Arial (W1)" w:cs="Arial"/>
                <w:b/>
                <w:caps/>
                <w:sz w:val="20"/>
                <w:szCs w:val="20"/>
                <w:lang w:val="en-US"/>
              </w:rPr>
              <w:t>F</w:t>
            </w:r>
            <w:r w:rsidRPr="00F57AD1">
              <w:rPr>
                <w:rFonts w:ascii="Arial (W1)" w:hAnsi="Arial (W1)" w:cs="Arial"/>
                <w:b/>
                <w:caps/>
                <w:sz w:val="20"/>
                <w:szCs w:val="20"/>
                <w:lang w:val="en-US"/>
              </w:rPr>
              <w:t>: corporate Results</w:t>
            </w:r>
          </w:p>
        </w:tc>
      </w:tr>
      <w:tr w:rsidR="004D5AB2" w:rsidRPr="00F57AD1" w14:paraId="626C1A79" w14:textId="77777777" w:rsidTr="00AD298B">
        <w:trPr>
          <w:trHeight w:val="368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62DA0E86" w14:textId="50FF1F87" w:rsidR="004D5AB2" w:rsidRPr="00202ED2" w:rsidRDefault="004D5AB2" w:rsidP="007038AD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>Th</w:t>
            </w:r>
            <w:r w:rsidR="007038AD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7038AD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 xml:space="preserve"> commitment</w:t>
            </w:r>
            <w:r w:rsidR="007038AD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 xml:space="preserve"> reflect current Government priorit</w:t>
            </w:r>
            <w:r w:rsidR="007038AD">
              <w:rPr>
                <w:rFonts w:ascii="Arial" w:hAnsi="Arial" w:cs="Arial"/>
                <w:sz w:val="20"/>
                <w:szCs w:val="20"/>
                <w:lang w:val="en-US"/>
              </w:rPr>
              <w:t>ies</w:t>
            </w: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="007038AD">
              <w:rPr>
                <w:rFonts w:ascii="Arial" w:hAnsi="Arial" w:cs="Arial"/>
                <w:sz w:val="20"/>
                <w:szCs w:val="20"/>
                <w:lang w:val="en-US"/>
              </w:rPr>
              <w:t>They are</w:t>
            </w: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 xml:space="preserve"> identified on an annual basis and the results will be evaluated and rewarded based on the collective contribution of the organization towards the corporate commitment</w:t>
            </w:r>
            <w:r w:rsidR="007038AD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13484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B7AB9">
              <w:rPr>
                <w:rFonts w:ascii="Arial" w:hAnsi="Arial" w:cs="Arial"/>
                <w:sz w:val="20"/>
                <w:szCs w:val="20"/>
                <w:lang w:val="en-US"/>
              </w:rPr>
              <w:t xml:space="preserve">Consistent with the assessment principles outlined in section </w:t>
            </w:r>
            <w:r w:rsidR="004F37BC">
              <w:rPr>
                <w:rFonts w:ascii="Arial" w:hAnsi="Arial" w:cs="Arial"/>
                <w:sz w:val="20"/>
                <w:szCs w:val="20"/>
                <w:lang w:val="en-US"/>
              </w:rPr>
              <w:t>4.2</w:t>
            </w:r>
            <w:r w:rsidR="001B7AB9">
              <w:rPr>
                <w:rFonts w:ascii="Arial" w:hAnsi="Arial" w:cs="Arial"/>
                <w:sz w:val="20"/>
                <w:szCs w:val="20"/>
                <w:lang w:val="en-US"/>
              </w:rPr>
              <w:t xml:space="preserve"> of the </w:t>
            </w:r>
            <w:hyperlink r:id="rId8" w:history="1">
              <w:r w:rsidR="00A66796" w:rsidRPr="00542030">
                <w:rPr>
                  <w:rStyle w:val="Hyperlink"/>
                  <w:rFonts w:ascii="Arial" w:hAnsi="Arial" w:cs="Arial"/>
                  <w:i/>
                  <w:sz w:val="20"/>
                  <w:szCs w:val="20"/>
                  <w:lang w:val="en-US"/>
                </w:rPr>
                <w:t>Performance Management Program Guidelines for Deputy Ministers, Associate Deputy Ministers and Individuals Paid in the GX Salary Range</w:t>
              </w:r>
            </w:hyperlink>
            <w:r w:rsidR="001B7AB9">
              <w:rPr>
                <w:rFonts w:ascii="Arial" w:hAnsi="Arial" w:cs="Arial"/>
                <w:sz w:val="20"/>
                <w:szCs w:val="20"/>
                <w:lang w:val="en-US"/>
              </w:rPr>
              <w:t>, it is recommended that the summary include a focus on</w:t>
            </w:r>
            <w:r w:rsidR="007038AD">
              <w:rPr>
                <w:rFonts w:ascii="Arial" w:hAnsi="Arial" w:cs="Arial"/>
                <w:sz w:val="20"/>
                <w:szCs w:val="20"/>
                <w:lang w:val="en-US"/>
              </w:rPr>
              <w:t xml:space="preserve"> progress made</w:t>
            </w:r>
            <w:r w:rsidR="00496820" w:rsidRPr="007038AD">
              <w:rPr>
                <w:rFonts w:ascii="Arial" w:hAnsi="Arial" w:cs="Arial"/>
                <w:sz w:val="20"/>
                <w:szCs w:val="20"/>
                <w:lang w:val="en-US"/>
              </w:rPr>
              <w:t xml:space="preserve"> to significantly and meaningfully advance </w:t>
            </w:r>
            <w:r w:rsidR="001F2CBD" w:rsidRPr="007038AD">
              <w:rPr>
                <w:rFonts w:ascii="Arial" w:hAnsi="Arial" w:cs="Arial"/>
                <w:sz w:val="20"/>
                <w:szCs w:val="20"/>
                <w:lang w:val="en-US"/>
              </w:rPr>
              <w:t xml:space="preserve">Reconciliation, </w:t>
            </w:r>
            <w:r w:rsidR="0014571E" w:rsidRPr="007038AD">
              <w:rPr>
                <w:rFonts w:ascii="Arial" w:hAnsi="Arial" w:cs="Arial"/>
                <w:sz w:val="20"/>
                <w:szCs w:val="20"/>
                <w:lang w:val="en-US"/>
              </w:rPr>
              <w:t>Anti-Racism, Diversity, Equity, Inclusion and Accessibility in the Public Service.</w:t>
            </w:r>
          </w:p>
        </w:tc>
      </w:tr>
    </w:tbl>
    <w:p w14:paraId="68406E18" w14:textId="77777777" w:rsidR="004D5AB2" w:rsidRPr="0072223D" w:rsidRDefault="004D5AB2" w:rsidP="004D5AB2">
      <w:pPr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2949"/>
        <w:gridCol w:w="2948"/>
        <w:gridCol w:w="3433"/>
      </w:tblGrid>
      <w:tr w:rsidR="004D5AB2" w:rsidRPr="00F57AD1" w14:paraId="031E63BA" w14:textId="77777777" w:rsidTr="00AD298B">
        <w:trPr>
          <w:trHeight w:val="37"/>
        </w:trPr>
        <w:tc>
          <w:tcPr>
            <w:tcW w:w="1580" w:type="pct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0ACC7C44" w14:textId="77777777" w:rsidR="004D5AB2" w:rsidRPr="00F57AD1" w:rsidRDefault="004D5AB2" w:rsidP="00F57A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Commitments</w:t>
            </w:r>
          </w:p>
        </w:tc>
        <w:tc>
          <w:tcPr>
            <w:tcW w:w="1580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61C8059B" w14:textId="77777777" w:rsidR="004D5AB2" w:rsidRPr="00F57AD1" w:rsidRDefault="004D5AB2" w:rsidP="00F57A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Performance Measures</w:t>
            </w:r>
          </w:p>
        </w:tc>
        <w:tc>
          <w:tcPr>
            <w:tcW w:w="1840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518C0165" w14:textId="77777777" w:rsidR="004D5AB2" w:rsidRPr="00F57AD1" w:rsidRDefault="004D5AB2" w:rsidP="00F57A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Results Achieved</w:t>
            </w:r>
          </w:p>
        </w:tc>
      </w:tr>
      <w:tr w:rsidR="004D5AB2" w:rsidRPr="00F57AD1" w14:paraId="20060136" w14:textId="77777777" w:rsidTr="00581BDE">
        <w:trPr>
          <w:trHeight w:val="1701"/>
        </w:trPr>
        <w:tc>
          <w:tcPr>
            <w:tcW w:w="1580" w:type="pct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FE4767D" w14:textId="77777777" w:rsidR="004D5AB2" w:rsidRPr="00F57AD1" w:rsidRDefault="004D5AB2" w:rsidP="004D5A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80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  <w:shd w:val="clear" w:color="auto" w:fill="auto"/>
          </w:tcPr>
          <w:p w14:paraId="3AA281CA" w14:textId="77777777" w:rsidR="004D5AB2" w:rsidRPr="00F57AD1" w:rsidRDefault="004D5AB2" w:rsidP="004D5A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0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759EDD7" w14:textId="77777777" w:rsidR="004D5AB2" w:rsidRPr="00F57AD1" w:rsidRDefault="004D5AB2" w:rsidP="004D5A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21693F9F" w14:textId="77777777" w:rsidR="004D5AB2" w:rsidRPr="009209DF" w:rsidRDefault="004D5AB2" w:rsidP="004D5AB2">
      <w:pPr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9352"/>
      </w:tblGrid>
      <w:tr w:rsidR="004D5AB2" w:rsidRPr="00F57AD1" w14:paraId="5844A162" w14:textId="77777777" w:rsidTr="00AD298B">
        <w:trPr>
          <w:trHeight w:val="32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5DBA89C8" w14:textId="2412C44B" w:rsidR="004D5AB2" w:rsidRPr="00F57AD1" w:rsidRDefault="004D5AB2" w:rsidP="001F2CB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Narrative on Corporate Results</w:t>
            </w:r>
          </w:p>
        </w:tc>
      </w:tr>
      <w:tr w:rsidR="004D5AB2" w:rsidRPr="00F57AD1" w14:paraId="2697DC28" w14:textId="77777777" w:rsidTr="00581BDE">
        <w:trPr>
          <w:trHeight w:val="1701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5BF023BC" w14:textId="77777777" w:rsidR="004D5AB2" w:rsidRPr="00F57AD1" w:rsidRDefault="004D5AB2" w:rsidP="004D5A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4B972317" w14:textId="77777777" w:rsidR="00095A01" w:rsidRPr="009209DF" w:rsidRDefault="00095A01" w:rsidP="00754BCA">
      <w:pPr>
        <w:rPr>
          <w:rFonts w:ascii="Arial" w:hAnsi="Arial" w:cs="Arial"/>
          <w:b/>
          <w:sz w:val="16"/>
          <w:szCs w:val="16"/>
          <w:lang w:val="en-US"/>
        </w:rPr>
      </w:pPr>
    </w:p>
    <w:sectPr w:rsidR="00095A01" w:rsidRPr="009209DF" w:rsidSect="00720B5C">
      <w:headerReference w:type="default" r:id="rId9"/>
      <w:footerReference w:type="default" r:id="rId10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C7EB1" w14:textId="77777777" w:rsidR="00CC3FF6" w:rsidRDefault="00CC3FF6">
      <w:r>
        <w:separator/>
      </w:r>
    </w:p>
  </w:endnote>
  <w:endnote w:type="continuationSeparator" w:id="0">
    <w:p w14:paraId="42D1CFC2" w14:textId="77777777" w:rsidR="00CC3FF6" w:rsidRDefault="00CC3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588D" w14:textId="77777777" w:rsidR="0033378C" w:rsidRPr="001F4F1C" w:rsidRDefault="0033378C" w:rsidP="001F4F1C">
    <w:pPr>
      <w:pStyle w:val="Footer"/>
      <w:tabs>
        <w:tab w:val="clear" w:pos="4320"/>
        <w:tab w:val="clear" w:pos="8640"/>
        <w:tab w:val="center" w:pos="4860"/>
        <w:tab w:val="right" w:pos="9360"/>
      </w:tabs>
      <w:jc w:val="center"/>
      <w:rPr>
        <w:rFonts w:ascii="Arial" w:hAnsi="Arial" w:cs="Arial"/>
        <w:sz w:val="20"/>
        <w:szCs w:val="20"/>
      </w:rPr>
    </w:pPr>
    <w:r w:rsidRPr="001F4F1C">
      <w:rPr>
        <w:rStyle w:val="PageNumber"/>
        <w:rFonts w:ascii="Arial" w:hAnsi="Arial" w:cs="Arial"/>
        <w:sz w:val="20"/>
        <w:szCs w:val="20"/>
      </w:rPr>
      <w:fldChar w:fldCharType="begin"/>
    </w:r>
    <w:r w:rsidRPr="001F4F1C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1F4F1C">
      <w:rPr>
        <w:rStyle w:val="PageNumber"/>
        <w:rFonts w:ascii="Arial" w:hAnsi="Arial" w:cs="Arial"/>
        <w:sz w:val="20"/>
        <w:szCs w:val="20"/>
      </w:rPr>
      <w:fldChar w:fldCharType="separate"/>
    </w:r>
    <w:r w:rsidR="00292F86">
      <w:rPr>
        <w:rStyle w:val="PageNumber"/>
        <w:rFonts w:ascii="Arial" w:hAnsi="Arial" w:cs="Arial"/>
        <w:noProof/>
        <w:sz w:val="20"/>
        <w:szCs w:val="20"/>
      </w:rPr>
      <w:t>1</w:t>
    </w:r>
    <w:r w:rsidRPr="001F4F1C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27E7B" w14:textId="77777777" w:rsidR="00CC3FF6" w:rsidRDefault="00CC3FF6">
      <w:r>
        <w:separator/>
      </w:r>
    </w:p>
  </w:footnote>
  <w:footnote w:type="continuationSeparator" w:id="0">
    <w:p w14:paraId="5E321E7E" w14:textId="77777777" w:rsidR="00CC3FF6" w:rsidRDefault="00CC3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43" w:type="dxa"/>
        <w:left w:w="43" w:type="dxa"/>
        <w:bottom w:w="43" w:type="dxa"/>
        <w:right w:w="43" w:type="dxa"/>
      </w:tblCellMar>
      <w:tblLook w:val="01E0" w:firstRow="1" w:lastRow="1" w:firstColumn="1" w:lastColumn="1" w:noHBand="0" w:noVBand="0"/>
    </w:tblPr>
    <w:tblGrid>
      <w:gridCol w:w="7135"/>
      <w:gridCol w:w="2045"/>
    </w:tblGrid>
    <w:tr w:rsidR="0033378C" w:rsidRPr="00F57AD1" w14:paraId="48BFB1B6" w14:textId="77777777" w:rsidTr="00F57AD1">
      <w:trPr>
        <w:trHeight w:val="368"/>
      </w:trPr>
      <w:tc>
        <w:tcPr>
          <w:tcW w:w="7135" w:type="dxa"/>
          <w:tcBorders>
            <w:top w:val="single" w:sz="4" w:space="0" w:color="FFFFFF"/>
            <w:left w:val="single" w:sz="4" w:space="0" w:color="FFFFFF"/>
            <w:bottom w:val="single" w:sz="4" w:space="0" w:color="FFFFFF"/>
          </w:tcBorders>
          <w:shd w:val="clear" w:color="auto" w:fill="auto"/>
          <w:vAlign w:val="center"/>
        </w:tcPr>
        <w:p w14:paraId="25F62E8E" w14:textId="5DD4DF92" w:rsidR="0033378C" w:rsidRPr="00F57AD1" w:rsidRDefault="005318BC" w:rsidP="00754BCA">
          <w:pPr>
            <w:rPr>
              <w:rFonts w:ascii="Arial" w:hAnsi="Arial" w:cs="Arial"/>
              <w:b/>
              <w:sz w:val="20"/>
              <w:szCs w:val="20"/>
              <w:lang w:val="en-US"/>
            </w:rPr>
          </w:pPr>
          <w:r>
            <w:rPr>
              <w:rFonts w:ascii="Arial" w:hAnsi="Arial" w:cs="Arial"/>
              <w:b/>
              <w:noProof/>
              <w:sz w:val="20"/>
              <w:szCs w:val="20"/>
              <w:lang w:val="en-US"/>
            </w:rPr>
            <w:drawing>
              <wp:inline distT="0" distB="0" distL="0" distR="0" wp14:anchorId="2BEBA731" wp14:editId="09C4CC0E">
                <wp:extent cx="3638550" cy="1905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385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5" w:type="dxa"/>
          <w:shd w:val="clear" w:color="auto" w:fill="auto"/>
          <w:vAlign w:val="center"/>
        </w:tcPr>
        <w:p w14:paraId="7064B1A9" w14:textId="77777777" w:rsidR="0033378C" w:rsidRPr="00F57AD1" w:rsidRDefault="0033378C" w:rsidP="00F57AD1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F57AD1">
            <w:rPr>
              <w:rFonts w:ascii="Arial" w:hAnsi="Arial" w:cs="Arial"/>
              <w:b/>
              <w:sz w:val="16"/>
              <w:szCs w:val="16"/>
              <w:lang w:val="en-US"/>
            </w:rPr>
            <w:t>PROTECTED B</w:t>
          </w:r>
        </w:p>
        <w:p w14:paraId="62008373" w14:textId="77777777" w:rsidR="0033378C" w:rsidRPr="00F57AD1" w:rsidRDefault="0033378C" w:rsidP="00F57AD1">
          <w:pPr>
            <w:jc w:val="center"/>
            <w:rPr>
              <w:rFonts w:ascii="Arial" w:hAnsi="Arial" w:cs="Arial"/>
              <w:sz w:val="20"/>
              <w:szCs w:val="20"/>
              <w:lang w:val="en-US"/>
            </w:rPr>
          </w:pPr>
          <w:r w:rsidRPr="00F57AD1">
            <w:rPr>
              <w:rFonts w:ascii="Arial" w:hAnsi="Arial" w:cs="Arial"/>
              <w:b/>
              <w:sz w:val="16"/>
              <w:szCs w:val="16"/>
              <w:lang w:val="en-US"/>
            </w:rPr>
            <w:t>(once completed)</w:t>
          </w:r>
        </w:p>
      </w:tc>
    </w:tr>
  </w:tbl>
  <w:p w14:paraId="7D117246" w14:textId="77777777" w:rsidR="0033378C" w:rsidRDefault="0033378C" w:rsidP="00754BCA">
    <w:pPr>
      <w:pStyle w:val="Header"/>
      <w:tabs>
        <w:tab w:val="clear" w:pos="864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388"/>
    <w:multiLevelType w:val="hybridMultilevel"/>
    <w:tmpl w:val="D2546F34"/>
    <w:lvl w:ilvl="0" w:tplc="E1702F26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E24E0"/>
    <w:multiLevelType w:val="hybridMultilevel"/>
    <w:tmpl w:val="E250D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70FBC"/>
    <w:multiLevelType w:val="hybridMultilevel"/>
    <w:tmpl w:val="B2621166"/>
    <w:lvl w:ilvl="0" w:tplc="E1702F26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B66B6"/>
    <w:multiLevelType w:val="hybridMultilevel"/>
    <w:tmpl w:val="A0426ACC"/>
    <w:lvl w:ilvl="0" w:tplc="E1702F26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C3452"/>
    <w:multiLevelType w:val="hybridMultilevel"/>
    <w:tmpl w:val="B21EB442"/>
    <w:lvl w:ilvl="0" w:tplc="CC30FE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 w:val="16"/>
        <w:szCs w:val="16"/>
      </w:rPr>
    </w:lvl>
    <w:lvl w:ilvl="1" w:tplc="5DA4B5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B11150"/>
    <w:multiLevelType w:val="hybridMultilevel"/>
    <w:tmpl w:val="955A45E4"/>
    <w:lvl w:ilvl="0" w:tplc="E1702F26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E4A17"/>
    <w:multiLevelType w:val="hybridMultilevel"/>
    <w:tmpl w:val="40B60376"/>
    <w:lvl w:ilvl="0" w:tplc="EBD27A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B6C2D85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color w:val="auto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A582A00"/>
    <w:multiLevelType w:val="hybridMultilevel"/>
    <w:tmpl w:val="DADE360A"/>
    <w:lvl w:ilvl="0" w:tplc="E1702F26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5255855">
    <w:abstractNumId w:val="0"/>
  </w:num>
  <w:num w:numId="2" w16cid:durableId="1623727391">
    <w:abstractNumId w:val="2"/>
  </w:num>
  <w:num w:numId="3" w16cid:durableId="1581404629">
    <w:abstractNumId w:val="7"/>
  </w:num>
  <w:num w:numId="4" w16cid:durableId="390857522">
    <w:abstractNumId w:val="3"/>
  </w:num>
  <w:num w:numId="5" w16cid:durableId="1150056332">
    <w:abstractNumId w:val="5"/>
  </w:num>
  <w:num w:numId="6" w16cid:durableId="97408314">
    <w:abstractNumId w:val="6"/>
  </w:num>
  <w:num w:numId="7" w16cid:durableId="1687125981">
    <w:abstractNumId w:val="4"/>
  </w:num>
  <w:num w:numId="8" w16cid:durableId="196965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CA"/>
    <w:rsid w:val="00007FAC"/>
    <w:rsid w:val="00012D83"/>
    <w:rsid w:val="0005021B"/>
    <w:rsid w:val="00055CFB"/>
    <w:rsid w:val="00064971"/>
    <w:rsid w:val="0007339A"/>
    <w:rsid w:val="000735D7"/>
    <w:rsid w:val="00092369"/>
    <w:rsid w:val="00095A01"/>
    <w:rsid w:val="000A70C9"/>
    <w:rsid w:val="000B2C55"/>
    <w:rsid w:val="000D20E0"/>
    <w:rsid w:val="000E1820"/>
    <w:rsid w:val="000E7517"/>
    <w:rsid w:val="00134847"/>
    <w:rsid w:val="0014571E"/>
    <w:rsid w:val="00147E6E"/>
    <w:rsid w:val="00167AFC"/>
    <w:rsid w:val="00182DF1"/>
    <w:rsid w:val="00185BD3"/>
    <w:rsid w:val="001B0881"/>
    <w:rsid w:val="001B7AB9"/>
    <w:rsid w:val="001D03A4"/>
    <w:rsid w:val="001F2CBD"/>
    <w:rsid w:val="001F4F1C"/>
    <w:rsid w:val="00202ED2"/>
    <w:rsid w:val="00206CEB"/>
    <w:rsid w:val="00225F08"/>
    <w:rsid w:val="0025387C"/>
    <w:rsid w:val="0025793D"/>
    <w:rsid w:val="0027400A"/>
    <w:rsid w:val="00292F86"/>
    <w:rsid w:val="002A3D97"/>
    <w:rsid w:val="002E0140"/>
    <w:rsid w:val="002E1AA6"/>
    <w:rsid w:val="0033378C"/>
    <w:rsid w:val="0033616E"/>
    <w:rsid w:val="00387708"/>
    <w:rsid w:val="00397574"/>
    <w:rsid w:val="003C123E"/>
    <w:rsid w:val="003C2B0B"/>
    <w:rsid w:val="003E48BF"/>
    <w:rsid w:val="003E64C6"/>
    <w:rsid w:val="0041072A"/>
    <w:rsid w:val="00420103"/>
    <w:rsid w:val="00421170"/>
    <w:rsid w:val="00422E98"/>
    <w:rsid w:val="004350FE"/>
    <w:rsid w:val="00442B05"/>
    <w:rsid w:val="00490D67"/>
    <w:rsid w:val="00496820"/>
    <w:rsid w:val="004A7B36"/>
    <w:rsid w:val="004D5AB2"/>
    <w:rsid w:val="004F37BC"/>
    <w:rsid w:val="005127BF"/>
    <w:rsid w:val="005318BC"/>
    <w:rsid w:val="00542030"/>
    <w:rsid w:val="00567C31"/>
    <w:rsid w:val="00581BDE"/>
    <w:rsid w:val="00585818"/>
    <w:rsid w:val="00585BDF"/>
    <w:rsid w:val="00597F1B"/>
    <w:rsid w:val="005A44DF"/>
    <w:rsid w:val="005C6B23"/>
    <w:rsid w:val="005F45CE"/>
    <w:rsid w:val="005F6501"/>
    <w:rsid w:val="006433E2"/>
    <w:rsid w:val="00646C69"/>
    <w:rsid w:val="00655F44"/>
    <w:rsid w:val="0067744A"/>
    <w:rsid w:val="006C29D5"/>
    <w:rsid w:val="006F6C54"/>
    <w:rsid w:val="007038AD"/>
    <w:rsid w:val="00720B5C"/>
    <w:rsid w:val="00741352"/>
    <w:rsid w:val="0075301F"/>
    <w:rsid w:val="00754BCA"/>
    <w:rsid w:val="00775783"/>
    <w:rsid w:val="007859AE"/>
    <w:rsid w:val="007C438F"/>
    <w:rsid w:val="007E6221"/>
    <w:rsid w:val="007F1456"/>
    <w:rsid w:val="00821252"/>
    <w:rsid w:val="008371B5"/>
    <w:rsid w:val="00853872"/>
    <w:rsid w:val="00860A5E"/>
    <w:rsid w:val="008610D0"/>
    <w:rsid w:val="008630B5"/>
    <w:rsid w:val="00877E01"/>
    <w:rsid w:val="008A67EE"/>
    <w:rsid w:val="008F6C6E"/>
    <w:rsid w:val="00914D89"/>
    <w:rsid w:val="00917B5A"/>
    <w:rsid w:val="009209DF"/>
    <w:rsid w:val="009243B9"/>
    <w:rsid w:val="00924F3F"/>
    <w:rsid w:val="009862FD"/>
    <w:rsid w:val="00992014"/>
    <w:rsid w:val="009A2832"/>
    <w:rsid w:val="009B504B"/>
    <w:rsid w:val="009F488E"/>
    <w:rsid w:val="00A030FC"/>
    <w:rsid w:val="00A218CC"/>
    <w:rsid w:val="00A35833"/>
    <w:rsid w:val="00A43199"/>
    <w:rsid w:val="00A66796"/>
    <w:rsid w:val="00A74D18"/>
    <w:rsid w:val="00A74FE6"/>
    <w:rsid w:val="00AA7079"/>
    <w:rsid w:val="00AD298B"/>
    <w:rsid w:val="00AF0A71"/>
    <w:rsid w:val="00AF29A8"/>
    <w:rsid w:val="00B46FA1"/>
    <w:rsid w:val="00B5682D"/>
    <w:rsid w:val="00B82DB0"/>
    <w:rsid w:val="00B92C9B"/>
    <w:rsid w:val="00BA2F12"/>
    <w:rsid w:val="00BA5DBC"/>
    <w:rsid w:val="00C001F5"/>
    <w:rsid w:val="00C22F70"/>
    <w:rsid w:val="00C912A1"/>
    <w:rsid w:val="00CA0430"/>
    <w:rsid w:val="00CC3FF6"/>
    <w:rsid w:val="00CF03C3"/>
    <w:rsid w:val="00D077A3"/>
    <w:rsid w:val="00D24EB6"/>
    <w:rsid w:val="00D3748E"/>
    <w:rsid w:val="00D868F5"/>
    <w:rsid w:val="00D87D6D"/>
    <w:rsid w:val="00DB0154"/>
    <w:rsid w:val="00DE6F1B"/>
    <w:rsid w:val="00DF38B4"/>
    <w:rsid w:val="00E0201A"/>
    <w:rsid w:val="00E43181"/>
    <w:rsid w:val="00E45C93"/>
    <w:rsid w:val="00E6592F"/>
    <w:rsid w:val="00E87825"/>
    <w:rsid w:val="00EA6DA9"/>
    <w:rsid w:val="00ED450D"/>
    <w:rsid w:val="00F13753"/>
    <w:rsid w:val="00F43DEB"/>
    <w:rsid w:val="00F5082A"/>
    <w:rsid w:val="00F57AD1"/>
    <w:rsid w:val="00F7429B"/>
    <w:rsid w:val="00F87E1E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BB8DE83"/>
  <w15:chartTrackingRefBased/>
  <w15:docId w15:val="{E4886FB4-317D-4AE6-A41A-20E36E21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4B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4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har">
    <w:name w:val="Car Char"/>
    <w:basedOn w:val="Normal"/>
    <w:rsid w:val="00754BCA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styleId="Header">
    <w:name w:val="header"/>
    <w:basedOn w:val="Normal"/>
    <w:rsid w:val="00754B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4BC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F4F1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F4F1C"/>
  </w:style>
  <w:style w:type="paragraph" w:styleId="Revision">
    <w:name w:val="Revision"/>
    <w:hidden/>
    <w:uiPriority w:val="99"/>
    <w:semiHidden/>
    <w:rsid w:val="0025793D"/>
    <w:rPr>
      <w:sz w:val="24"/>
      <w:szCs w:val="24"/>
    </w:rPr>
  </w:style>
  <w:style w:type="character" w:styleId="Hyperlink">
    <w:name w:val="Hyperlink"/>
    <w:rsid w:val="00AF0A7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F0A71"/>
    <w:rPr>
      <w:color w:val="605E5C"/>
      <w:shd w:val="clear" w:color="auto" w:fill="E1DFDD"/>
    </w:rPr>
  </w:style>
  <w:style w:type="character" w:styleId="FollowedHyperlink">
    <w:name w:val="FollowedHyperlink"/>
    <w:rsid w:val="009209DF"/>
    <w:rPr>
      <w:color w:val="954F72"/>
      <w:u w:val="single"/>
    </w:rPr>
  </w:style>
  <w:style w:type="table" w:customStyle="1" w:styleId="CUSTOM">
    <w:name w:val="CUSTOM"/>
    <w:basedOn w:val="TableNormal"/>
    <w:rsid w:val="009209DF"/>
    <w:tblPr/>
  </w:style>
  <w:style w:type="character" w:styleId="CommentReference">
    <w:name w:val="annotation reference"/>
    <w:rsid w:val="00202E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2E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2ED2"/>
  </w:style>
  <w:style w:type="paragraph" w:styleId="CommentSubject">
    <w:name w:val="annotation subject"/>
    <w:basedOn w:val="CommentText"/>
    <w:next w:val="CommentText"/>
    <w:link w:val="CommentSubjectChar"/>
    <w:rsid w:val="00202ED2"/>
    <w:rPr>
      <w:b/>
      <w:bCs/>
    </w:rPr>
  </w:style>
  <w:style w:type="character" w:customStyle="1" w:styleId="CommentSubjectChar">
    <w:name w:val="Comment Subject Char"/>
    <w:link w:val="CommentSubject"/>
    <w:rsid w:val="00202E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0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ada.ca/en/privy-council/programs/appointments/governor-council-appointments/performance-management/senior-public-servant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nada.ca/en/privy-council/programs/appointments/governor-council-appointments/performance-management/senior-public-servants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AGREEMENT AND EVALUATION FORM</vt:lpstr>
    </vt:vector>
  </TitlesOfParts>
  <Company>Government of Canada / Gouvernement du Canada</Company>
  <LinksUpToDate>false</LinksUpToDate>
  <CharactersWithSpaces>4121</CharactersWithSpaces>
  <SharedDoc>false</SharedDoc>
  <HLinks>
    <vt:vector size="18" baseType="variant">
      <vt:variant>
        <vt:i4>7274543</vt:i4>
      </vt:variant>
      <vt:variant>
        <vt:i4>6</vt:i4>
      </vt:variant>
      <vt:variant>
        <vt:i4>0</vt:i4>
      </vt:variant>
      <vt:variant>
        <vt:i4>5</vt:i4>
      </vt:variant>
      <vt:variant>
        <vt:lpwstr>https://laws-lois.justice.gc.ca/eng/acts/f-11/FullText.html</vt:lpwstr>
      </vt:variant>
      <vt:variant>
        <vt:lpwstr/>
      </vt:variant>
      <vt:variant>
        <vt:i4>7929896</vt:i4>
      </vt:variant>
      <vt:variant>
        <vt:i4>3</vt:i4>
      </vt:variant>
      <vt:variant>
        <vt:i4>0</vt:i4>
      </vt:variant>
      <vt:variant>
        <vt:i4>5</vt:i4>
      </vt:variant>
      <vt:variant>
        <vt:lpwstr>https://laws-lois.justice.gc.ca/eng/acts/f-11/page-19.html</vt:lpwstr>
      </vt:variant>
      <vt:variant>
        <vt:lpwstr>h-230472</vt:lpwstr>
      </vt:variant>
      <vt:variant>
        <vt:i4>5832715</vt:i4>
      </vt:variant>
      <vt:variant>
        <vt:i4>0</vt:i4>
      </vt:variant>
      <vt:variant>
        <vt:i4>0</vt:i4>
      </vt:variant>
      <vt:variant>
        <vt:i4>5</vt:i4>
      </vt:variant>
      <vt:variant>
        <vt:lpwstr>https://www.canada.ca/en/privy-council/programs/appointments/governor-council-appointments/performance-management/senior-public-servants.html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AGREEMENT AND EVALUATION FORM</dc:title>
  <dc:subject/>
  <dc:creator>s_misener</dc:creator>
  <cp:keywords/>
  <cp:lastModifiedBy>La Flèche, Anne</cp:lastModifiedBy>
  <cp:revision>2</cp:revision>
  <cp:lastPrinted>2024-05-22T13:41:00Z</cp:lastPrinted>
  <dcterms:created xsi:type="dcterms:W3CDTF">2024-08-07T19:43:00Z</dcterms:created>
  <dcterms:modified xsi:type="dcterms:W3CDTF">2024-08-07T19:43:00Z</dcterms:modified>
</cp:coreProperties>
</file>