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E09E" w14:textId="4643A0A8" w:rsidR="00555A94" w:rsidRPr="0005240E" w:rsidRDefault="00E801B2" w:rsidP="005D79C0">
      <w:pPr>
        <w:spacing w:after="0" w:line="240" w:lineRule="auto"/>
        <w:jc w:val="center"/>
        <w:rPr>
          <w:b/>
          <w:sz w:val="28"/>
          <w:szCs w:val="28"/>
        </w:rPr>
      </w:pPr>
      <w:r w:rsidRPr="0005240E">
        <w:rPr>
          <w:b/>
          <w:sz w:val="28"/>
          <w:szCs w:val="28"/>
        </w:rPr>
        <w:t xml:space="preserve">Calendriers de vaccination recommandés contre la COVID-19 selon l’âge, </w:t>
      </w:r>
      <w:r w:rsidR="00E33D04" w:rsidRPr="00E33D04">
        <w:rPr>
          <w:b/>
          <w:bCs/>
          <w:sz w:val="28"/>
          <w:szCs w:val="28"/>
        </w:rPr>
        <w:t>l'état</w:t>
      </w:r>
      <w:r w:rsidR="00DA18A8" w:rsidRPr="0005240E">
        <w:rPr>
          <w:b/>
          <w:bCs/>
          <w:sz w:val="28"/>
          <w:szCs w:val="28"/>
        </w:rPr>
        <w:t xml:space="preserve"> </w:t>
      </w:r>
      <w:r w:rsidR="00ED2E31" w:rsidRPr="0005240E">
        <w:rPr>
          <w:b/>
          <w:bCs/>
          <w:sz w:val="28"/>
          <w:szCs w:val="28"/>
        </w:rPr>
        <w:t>de santé</w:t>
      </w:r>
      <w:r w:rsidR="00ED2E31" w:rsidRPr="0005240E">
        <w:rPr>
          <w:b/>
          <w:sz w:val="28"/>
          <w:szCs w:val="28"/>
        </w:rPr>
        <w:t xml:space="preserve"> </w:t>
      </w:r>
      <w:r w:rsidRPr="0005240E">
        <w:rPr>
          <w:b/>
          <w:sz w:val="28"/>
          <w:szCs w:val="28"/>
        </w:rPr>
        <w:t>et le produit</w:t>
      </w:r>
    </w:p>
    <w:p w14:paraId="1B7E2E12" w14:textId="77777777" w:rsidR="005D79C0" w:rsidRPr="0005240E" w:rsidRDefault="005D79C0" w:rsidP="005D79C0">
      <w:pPr>
        <w:spacing w:after="0" w:line="240" w:lineRule="auto"/>
        <w:jc w:val="center"/>
        <w:rPr>
          <w:b/>
          <w:sz w:val="28"/>
        </w:rPr>
      </w:pPr>
    </w:p>
    <w:p w14:paraId="4B821AA8" w14:textId="60E192CD" w:rsidR="00F64BF1" w:rsidRPr="0005240E" w:rsidRDefault="00F64BF1" w:rsidP="0062654C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05240E">
        <w:rPr>
          <w:b/>
        </w:rPr>
        <w:t xml:space="preserve">Voir le </w:t>
      </w:r>
      <w:hyperlink w:anchor="Table1" w:history="1">
        <w:r w:rsidRPr="0005240E">
          <w:rPr>
            <w:rStyle w:val="Hyperlink"/>
            <w:b/>
          </w:rPr>
          <w:t>Tableau 1</w:t>
        </w:r>
      </w:hyperlink>
      <w:r w:rsidRPr="0005240E">
        <w:rPr>
          <w:b/>
        </w:rPr>
        <w:t xml:space="preserve"> pour des renseignements sur la série primaire</w:t>
      </w:r>
    </w:p>
    <w:p w14:paraId="31EA4FDE" w14:textId="051ADC2E" w:rsidR="00F64BF1" w:rsidRPr="0005240E" w:rsidRDefault="00F64BF1" w:rsidP="0062654C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05240E">
        <w:rPr>
          <w:b/>
        </w:rPr>
        <w:t xml:space="preserve">Voir le </w:t>
      </w:r>
      <w:hyperlink w:anchor="Table2" w:history="1">
        <w:r w:rsidRPr="0005240E">
          <w:rPr>
            <w:rStyle w:val="Hyperlink"/>
            <w:b/>
          </w:rPr>
          <w:t>Tableau 2</w:t>
        </w:r>
      </w:hyperlink>
      <w:r w:rsidRPr="0005240E">
        <w:rPr>
          <w:b/>
        </w:rPr>
        <w:t xml:space="preserve"> pour des renseignements sur la dose de rappel</w:t>
      </w:r>
    </w:p>
    <w:p w14:paraId="6C2BFCAE" w14:textId="77777777" w:rsidR="0062654C" w:rsidRPr="0005240E" w:rsidRDefault="0062654C" w:rsidP="0062654C">
      <w:pPr>
        <w:pStyle w:val="ListParagraph"/>
        <w:spacing w:after="0" w:line="240" w:lineRule="auto"/>
        <w:rPr>
          <w:b/>
        </w:rPr>
      </w:pPr>
    </w:p>
    <w:p w14:paraId="4B74CD0E" w14:textId="59741E7A" w:rsidR="002C2120" w:rsidRPr="0005240E" w:rsidRDefault="00555A94" w:rsidP="00555A94">
      <w:pPr>
        <w:rPr>
          <w:b/>
        </w:rPr>
      </w:pPr>
      <w:bookmarkStart w:id="0" w:name="Table1"/>
      <w:r w:rsidRPr="0005240E">
        <w:rPr>
          <w:b/>
        </w:rPr>
        <w:t>Tableau 1</w:t>
      </w:r>
      <w:bookmarkEnd w:id="0"/>
      <w:r w:rsidRPr="0005240E">
        <w:rPr>
          <w:b/>
        </w:rPr>
        <w:t xml:space="preserve"> : Recommandations de vaccins pour la série primaire selon l’âge, </w:t>
      </w:r>
      <w:r w:rsidR="00F8143E" w:rsidRPr="00F8143E">
        <w:rPr>
          <w:b/>
        </w:rPr>
        <w:t>l'état</w:t>
      </w:r>
      <w:r w:rsidRPr="0005240E">
        <w:rPr>
          <w:b/>
        </w:rPr>
        <w:t xml:space="preserve"> </w:t>
      </w:r>
      <w:r w:rsidR="00ED2E31" w:rsidRPr="0005240E">
        <w:rPr>
          <w:b/>
        </w:rPr>
        <w:t>de santé</w:t>
      </w:r>
      <w:r w:rsidRPr="0005240E">
        <w:rPr>
          <w:b/>
        </w:rPr>
        <w:t xml:space="preserve"> et le produit</w:t>
      </w:r>
    </w:p>
    <w:p w14:paraId="61C5D62E" w14:textId="77777777" w:rsidR="009D7B35" w:rsidRPr="0005240E" w:rsidRDefault="00BC5B37" w:rsidP="0062654C">
      <w:pPr>
        <w:spacing w:after="0" w:line="240" w:lineRule="auto"/>
        <w:rPr>
          <w:sz w:val="20"/>
          <w:szCs w:val="20"/>
        </w:rPr>
      </w:pPr>
      <w:r w:rsidRPr="0005240E">
        <w:rPr>
          <w:b/>
          <w:sz w:val="20"/>
        </w:rPr>
        <w:t>Notes générales :</w:t>
      </w:r>
      <w:r w:rsidRPr="0005240E">
        <w:rPr>
          <w:sz w:val="20"/>
        </w:rPr>
        <w:t xml:space="preserve"> </w:t>
      </w:r>
    </w:p>
    <w:p w14:paraId="0F48740D" w14:textId="1A6011E0" w:rsidR="009D7B35" w:rsidRPr="0005240E" w:rsidRDefault="00555A94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</w:rPr>
        <w:t xml:space="preserve">Pour la série primaire, les produits recommandés sont les formulations originales monovalentes des vaccins à ARNm. </w:t>
      </w:r>
    </w:p>
    <w:p w14:paraId="2A02A949" w14:textId="105A8465" w:rsidR="00376CFA" w:rsidRPr="0005240E" w:rsidRDefault="00BC5B37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</w:rPr>
        <w:t>Le terme « immunodéprimé » désigne les personnes modérément à gravement immunodéprimées</w:t>
      </w:r>
      <w:r w:rsidR="00F158FC" w:rsidRPr="0005240E">
        <w:rPr>
          <w:sz w:val="20"/>
        </w:rPr>
        <w:t>.</w:t>
      </w:r>
    </w:p>
    <w:p w14:paraId="4BF80CEC" w14:textId="6FCF57D0" w:rsidR="00555A94" w:rsidRPr="0005240E" w:rsidRDefault="009D7B35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</w:rPr>
        <w:t xml:space="preserve">On recommande aux personnes </w:t>
      </w:r>
      <w:hyperlink r:id="rId11" w:anchor="a6.4" w:history="1">
        <w:r w:rsidRPr="0005240E">
          <w:rPr>
            <w:rStyle w:val="Hyperlink"/>
            <w:sz w:val="20"/>
          </w:rPr>
          <w:t>modérément ou gravement immunodéprimées</w:t>
        </w:r>
      </w:hyperlink>
      <w:r w:rsidRPr="0005240E">
        <w:rPr>
          <w:sz w:val="20"/>
        </w:rPr>
        <w:t xml:space="preserve"> de recevoir une dose supplémentaire lors de la série primaire, chaque dose étant administrée à quatre à huit semaines d’intervalle.</w:t>
      </w:r>
    </w:p>
    <w:p w14:paraId="0068B888" w14:textId="48A98ED4" w:rsidR="000179F6" w:rsidRPr="0005240E" w:rsidRDefault="00244A4A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  <w:szCs w:val="20"/>
        </w:rPr>
        <w:t>Vous trouverez plus de détails sur le</w:t>
      </w:r>
      <w:r w:rsidR="00383814" w:rsidRPr="0005240E">
        <w:rPr>
          <w:sz w:val="20"/>
          <w:szCs w:val="20"/>
        </w:rPr>
        <w:t>s</w:t>
      </w:r>
      <w:r w:rsidRPr="0005240E">
        <w:rPr>
          <w:sz w:val="20"/>
          <w:szCs w:val="20"/>
        </w:rPr>
        <w:t xml:space="preserve"> calendrier</w:t>
      </w:r>
      <w:r w:rsidR="00383814" w:rsidRPr="0005240E">
        <w:rPr>
          <w:sz w:val="20"/>
          <w:szCs w:val="20"/>
        </w:rPr>
        <w:t>s</w:t>
      </w:r>
      <w:r w:rsidRPr="0005240E">
        <w:rPr>
          <w:sz w:val="20"/>
          <w:szCs w:val="20"/>
        </w:rPr>
        <w:t xml:space="preserve"> et les intervalles de vaccination dans le </w:t>
      </w:r>
      <w:hyperlink r:id="rId12" w:history="1">
        <w:r w:rsidRPr="0005240E">
          <w:rPr>
            <w:rStyle w:val="Hyperlink"/>
            <w:sz w:val="20"/>
            <w:szCs w:val="20"/>
          </w:rPr>
          <w:t>Guide canadien d'immunisation</w:t>
        </w:r>
      </w:hyperlink>
      <w:r w:rsidR="00ED2E31" w:rsidRPr="0005240E">
        <w:t xml:space="preserve"> </w:t>
      </w:r>
      <w:r w:rsidR="00ED2E31" w:rsidRPr="0005240E">
        <w:rPr>
          <w:sz w:val="20"/>
          <w:szCs w:val="20"/>
        </w:rPr>
        <w:t>basé sur les recommandations du Comité consultatif national de l'immunisation (CCNI).</w:t>
      </w:r>
    </w:p>
    <w:p w14:paraId="6F3E4BDC" w14:textId="77777777" w:rsidR="00244A4A" w:rsidRPr="0005240E" w:rsidRDefault="00244A4A" w:rsidP="00244A4A">
      <w:pPr>
        <w:pStyle w:val="ListParagraph"/>
        <w:spacing w:after="0" w:line="240" w:lineRule="auto"/>
        <w:rPr>
          <w:sz w:val="20"/>
          <w:szCs w:val="20"/>
        </w:rPr>
      </w:pP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560"/>
        <w:gridCol w:w="1417"/>
        <w:gridCol w:w="1418"/>
        <w:gridCol w:w="1559"/>
        <w:gridCol w:w="1559"/>
        <w:gridCol w:w="1559"/>
      </w:tblGrid>
      <w:tr w:rsidR="00621135" w:rsidRPr="0005240E" w14:paraId="3ED022E5" w14:textId="77777777" w:rsidTr="29166130">
        <w:trPr>
          <w:tblHeader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1B62E346" w14:textId="5B182232" w:rsidR="00375E95" w:rsidRPr="0005240E" w:rsidRDefault="00375E95" w:rsidP="009B188C">
            <w:pPr>
              <w:jc w:val="center"/>
              <w:rPr>
                <w:b/>
              </w:rPr>
            </w:pPr>
            <w:r w:rsidRPr="0005240E">
              <w:rPr>
                <w:b/>
              </w:rPr>
              <w:t>Série primaire</w:t>
            </w:r>
          </w:p>
          <w:p w14:paraId="47E4BE84" w14:textId="77777777" w:rsidR="00375E95" w:rsidRPr="0005240E" w:rsidRDefault="00375E95" w:rsidP="009B188C">
            <w:pPr>
              <w:jc w:val="center"/>
              <w:rPr>
                <w:b/>
              </w:rPr>
            </w:pPr>
          </w:p>
          <w:p w14:paraId="302F10B9" w14:textId="1EFC812D" w:rsidR="00555A94" w:rsidRPr="0005240E" w:rsidRDefault="00555A94" w:rsidP="009B188C">
            <w:pPr>
              <w:jc w:val="center"/>
              <w:rPr>
                <w:b/>
              </w:rPr>
            </w:pPr>
            <w:r w:rsidRPr="0005240E">
              <w:rPr>
                <w:b/>
              </w:rPr>
              <w:t>Âge</w:t>
            </w:r>
            <w:r w:rsidR="00FF35C8">
              <w:rPr>
                <w:b/>
              </w:rPr>
              <w:t xml:space="preserve"> </w:t>
            </w:r>
            <w:r w:rsidRPr="0005240E">
              <w:rPr>
                <w:b/>
              </w:rPr>
              <w:t>/</w:t>
            </w:r>
            <w:r w:rsidR="00FF35C8">
              <w:rPr>
                <w:b/>
              </w:rPr>
              <w:t xml:space="preserve"> </w:t>
            </w:r>
            <w:r w:rsidR="00F8143E" w:rsidRPr="00F8143E">
              <w:rPr>
                <w:b/>
              </w:rPr>
              <w:t>état</w:t>
            </w:r>
            <w:r w:rsidRPr="0005240E">
              <w:rPr>
                <w:b/>
              </w:rPr>
              <w:t xml:space="preserve"> </w:t>
            </w:r>
            <w:r w:rsidR="00202C3E" w:rsidRPr="0005240E">
              <w:rPr>
                <w:b/>
              </w:rPr>
              <w:t>de santé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8A15A82" w14:textId="03CC18C2" w:rsidR="00555A94" w:rsidRPr="0005240E" w:rsidRDefault="008A6664" w:rsidP="00FF35C8">
            <w:pPr>
              <w:jc w:val="center"/>
              <w:rPr>
                <w:b/>
              </w:rPr>
            </w:pPr>
            <w:r w:rsidRPr="0005240E">
              <w:rPr>
                <w:b/>
              </w:rPr>
              <w:t>CCNI</w:t>
            </w:r>
            <w:r w:rsidR="00FF35C8">
              <w:rPr>
                <w:b/>
              </w:rPr>
              <w:t xml:space="preserve"> </w:t>
            </w:r>
            <w:r w:rsidR="00202C3E" w:rsidRPr="0005240E">
              <w:rPr>
                <w:b/>
              </w:rPr>
              <w:t>r</w:t>
            </w:r>
            <w:r w:rsidR="0028783A" w:rsidRPr="0005240E">
              <w:rPr>
                <w:b/>
              </w:rPr>
              <w:t>ecommandations</w:t>
            </w:r>
          </w:p>
        </w:tc>
        <w:tc>
          <w:tcPr>
            <w:tcW w:w="1560" w:type="dxa"/>
            <w:shd w:val="clear" w:color="auto" w:fill="800000"/>
          </w:tcPr>
          <w:p w14:paraId="5984D084" w14:textId="77777777" w:rsidR="00B549E9" w:rsidRPr="0005240E" w:rsidRDefault="00555A94" w:rsidP="00621135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Comirnaty</w:t>
            </w:r>
            <w:proofErr w:type="spellEnd"/>
            <w:r w:rsidRPr="0005240E">
              <w:rPr>
                <w:b/>
              </w:rPr>
              <w:t xml:space="preserve"> de Pfizer-BioNTech</w:t>
            </w:r>
          </w:p>
          <w:p w14:paraId="6DE68EEB" w14:textId="74351C60" w:rsidR="009F2DD6" w:rsidRPr="0005240E" w:rsidRDefault="00274B67" w:rsidP="00621135">
            <w:pPr>
              <w:jc w:val="center"/>
              <w:rPr>
                <w:b/>
              </w:rPr>
            </w:pPr>
            <w:r w:rsidRPr="0005240E">
              <w:rPr>
                <w:b/>
              </w:rPr>
              <w:t>Monovalent original</w:t>
            </w:r>
          </w:p>
          <w:p w14:paraId="4F92958F" w14:textId="0A577379" w:rsidR="00555A94" w:rsidRPr="0005240E" w:rsidRDefault="00555A9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3 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par dose de 0,2 ml</w:t>
            </w:r>
          </w:p>
          <w:p w14:paraId="69A98794" w14:textId="08154DD1" w:rsidR="00555A94" w:rsidRPr="0005240E" w:rsidRDefault="00555A9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Bouchon et étiquette marron</w:t>
            </w:r>
          </w:p>
          <w:p w14:paraId="1E19C67D" w14:textId="5F0DF6E4" w:rsidR="00496D12" w:rsidRPr="0005240E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 xml:space="preserve">6 mois à 4 ans </w:t>
            </w:r>
          </w:p>
          <w:p w14:paraId="0119E3C7" w14:textId="561502B6" w:rsidR="00FF587D" w:rsidRPr="0005240E" w:rsidRDefault="00FF587D" w:rsidP="00621135">
            <w:pPr>
              <w:jc w:val="center"/>
              <w:rPr>
                <w:sz w:val="24"/>
              </w:rPr>
            </w:pPr>
            <w:r w:rsidRPr="0005240E">
              <w:rPr>
                <w:sz w:val="16"/>
              </w:rPr>
              <w:t>2.2 ml de diluant</w:t>
            </w:r>
          </w:p>
        </w:tc>
        <w:tc>
          <w:tcPr>
            <w:tcW w:w="1417" w:type="dxa"/>
            <w:shd w:val="clear" w:color="auto" w:fill="F37C19"/>
          </w:tcPr>
          <w:p w14:paraId="2D8CBFBA" w14:textId="77777777" w:rsidR="00006AA2" w:rsidRPr="0005240E" w:rsidRDefault="005E5796" w:rsidP="00621135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Comirnaty</w:t>
            </w:r>
            <w:proofErr w:type="spellEnd"/>
            <w:r w:rsidRPr="0005240E">
              <w:rPr>
                <w:b/>
              </w:rPr>
              <w:t xml:space="preserve"> de Pfizer-BioNTech</w:t>
            </w:r>
          </w:p>
          <w:p w14:paraId="51461BAA" w14:textId="1AB1AED4" w:rsidR="002216B6" w:rsidRPr="0005240E" w:rsidRDefault="002216B6" w:rsidP="00621135">
            <w:pPr>
              <w:jc w:val="center"/>
              <w:rPr>
                <w:b/>
              </w:rPr>
            </w:pPr>
            <w:r w:rsidRPr="0005240E">
              <w:rPr>
                <w:b/>
              </w:rPr>
              <w:t>Monovalent original</w:t>
            </w:r>
          </w:p>
          <w:p w14:paraId="56BBEB82" w14:textId="57F596D0" w:rsidR="00555A94" w:rsidRPr="0005240E" w:rsidRDefault="00555A9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10 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par dose de 0,2 ml</w:t>
            </w:r>
          </w:p>
          <w:p w14:paraId="45AFD726" w14:textId="39E8EAC8" w:rsidR="00555A94" w:rsidRPr="0005240E" w:rsidRDefault="00555A9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Bouchon et étiquette orange</w:t>
            </w:r>
          </w:p>
          <w:p w14:paraId="0A4FEE0D" w14:textId="06F94B06" w:rsidR="00496D12" w:rsidRPr="0005240E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5 à 11 ans</w:t>
            </w:r>
          </w:p>
          <w:p w14:paraId="3A71B068" w14:textId="31B30B24" w:rsidR="00FF587D" w:rsidRPr="0005240E" w:rsidRDefault="00FF587D" w:rsidP="00FF587D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1.3 ml de diluant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F61B6A8" w14:textId="77777777" w:rsidR="00006AA2" w:rsidRPr="0005240E" w:rsidRDefault="005E5796" w:rsidP="00621135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Comirnaty</w:t>
            </w:r>
            <w:proofErr w:type="spellEnd"/>
            <w:r w:rsidRPr="0005240E">
              <w:rPr>
                <w:b/>
              </w:rPr>
              <w:t xml:space="preserve"> de Pfizer-BioNTech</w:t>
            </w:r>
          </w:p>
          <w:p w14:paraId="0145EA5A" w14:textId="0BA40BB4" w:rsidR="007C379F" w:rsidRPr="0005240E" w:rsidRDefault="007C379F" w:rsidP="00621135">
            <w:pPr>
              <w:jc w:val="center"/>
              <w:rPr>
                <w:b/>
              </w:rPr>
            </w:pPr>
            <w:r w:rsidRPr="0005240E">
              <w:rPr>
                <w:b/>
              </w:rPr>
              <w:t>Monovalent original</w:t>
            </w:r>
          </w:p>
          <w:p w14:paraId="17F9C384" w14:textId="3F477BB8" w:rsidR="00555A94" w:rsidRPr="0005240E" w:rsidRDefault="00AB7CDF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  <w:szCs w:val="16"/>
              </w:rPr>
              <w:t>30 </w:t>
            </w:r>
            <w:proofErr w:type="spellStart"/>
            <w:r w:rsidRPr="0005240E">
              <w:rPr>
                <w:sz w:val="16"/>
                <w:szCs w:val="16"/>
              </w:rPr>
              <w:t>mcg</w:t>
            </w:r>
            <w:proofErr w:type="spellEnd"/>
            <w:r w:rsidRPr="0005240E">
              <w:rPr>
                <w:sz w:val="16"/>
                <w:szCs w:val="16"/>
              </w:rPr>
              <w:t xml:space="preserve"> par dose de 0,3 ml</w:t>
            </w:r>
          </w:p>
          <w:p w14:paraId="43FB2996" w14:textId="1EFADE00" w:rsidR="00555A94" w:rsidRPr="0005240E" w:rsidRDefault="00555A9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Bouchon et étiquette gris</w:t>
            </w:r>
          </w:p>
          <w:p w14:paraId="53A0BCAB" w14:textId="268B0D3D" w:rsidR="00496D12" w:rsidRPr="0005240E" w:rsidRDefault="00A9367A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12 ans</w:t>
            </w:r>
          </w:p>
          <w:p w14:paraId="1FB18581" w14:textId="7AA378EC" w:rsidR="00FF587D" w:rsidRPr="0005240E" w:rsidRDefault="00FF587D" w:rsidP="00621135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559" w:type="dxa"/>
            <w:shd w:val="clear" w:color="auto" w:fill="D3B5E9"/>
          </w:tcPr>
          <w:p w14:paraId="6459CD1F" w14:textId="4B1141D0" w:rsidR="007C379F" w:rsidRPr="0005240E" w:rsidRDefault="00000F92" w:rsidP="00621135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Spikevax</w:t>
            </w:r>
            <w:proofErr w:type="spellEnd"/>
            <w:r w:rsidRPr="0005240E">
              <w:rPr>
                <w:b/>
              </w:rPr>
              <w:t xml:space="preserve"> de Moderna </w:t>
            </w:r>
            <w:r w:rsidR="007C379F" w:rsidRPr="0005240E">
              <w:rPr>
                <w:b/>
              </w:rPr>
              <w:t>Monovalent original</w:t>
            </w:r>
          </w:p>
          <w:p w14:paraId="4A47A900" w14:textId="2F3F36DA" w:rsidR="000B138F" w:rsidRPr="0005240E" w:rsidRDefault="004B55F4" w:rsidP="004B55F4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0</w:t>
            </w:r>
            <w:r w:rsidR="00202C3E" w:rsidRPr="0005240E">
              <w:rPr>
                <w:sz w:val="16"/>
              </w:rPr>
              <w:t>,</w:t>
            </w:r>
            <w:r w:rsidRPr="0005240E">
              <w:rPr>
                <w:sz w:val="16"/>
              </w:rPr>
              <w:t>1 mg par dose de ml</w:t>
            </w:r>
          </w:p>
          <w:p w14:paraId="64AF4EF2" w14:textId="7016A53F" w:rsidR="00555A94" w:rsidRPr="0005240E" w:rsidRDefault="00000F92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 xml:space="preserve">Bouchon </w:t>
            </w:r>
            <w:r w:rsidR="000B138F" w:rsidRPr="0005240E">
              <w:rPr>
                <w:sz w:val="16"/>
              </w:rPr>
              <w:t>bleu royal et bordure d’étiquette mauve</w:t>
            </w:r>
          </w:p>
          <w:p w14:paraId="52D4055F" w14:textId="4FEFA383" w:rsidR="00496D12" w:rsidRPr="0005240E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6 mois à 11 ans</w:t>
            </w:r>
          </w:p>
          <w:p w14:paraId="594405C2" w14:textId="1880CA9F" w:rsidR="00F4428D" w:rsidRPr="0005240E" w:rsidRDefault="00F4428D" w:rsidP="00621135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A2A9792" w14:textId="11E6EB86" w:rsidR="000B138F" w:rsidRPr="0005240E" w:rsidRDefault="00000F92" w:rsidP="00621135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Spikevax</w:t>
            </w:r>
            <w:proofErr w:type="spellEnd"/>
            <w:r w:rsidRPr="0005240E">
              <w:rPr>
                <w:b/>
              </w:rPr>
              <w:t xml:space="preserve"> de Moderna </w:t>
            </w:r>
            <w:r w:rsidR="007C379F" w:rsidRPr="0005240E">
              <w:rPr>
                <w:b/>
              </w:rPr>
              <w:t>Monovalent original</w:t>
            </w:r>
          </w:p>
          <w:p w14:paraId="3F058CAA" w14:textId="272802AB" w:rsidR="000B138F" w:rsidRPr="0005240E" w:rsidRDefault="004B55F4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0</w:t>
            </w:r>
            <w:r w:rsidR="00202C3E" w:rsidRPr="0005240E">
              <w:rPr>
                <w:sz w:val="16"/>
              </w:rPr>
              <w:t>,</w:t>
            </w:r>
            <w:r w:rsidRPr="0005240E">
              <w:rPr>
                <w:sz w:val="16"/>
              </w:rPr>
              <w:t>2 mg par dose de ml</w:t>
            </w:r>
          </w:p>
          <w:p w14:paraId="2D34FC87" w14:textId="62E62308" w:rsidR="00555A94" w:rsidRPr="0005240E" w:rsidRDefault="00000F92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 xml:space="preserve">Bouchon </w:t>
            </w:r>
            <w:r w:rsidR="000B138F" w:rsidRPr="0005240E">
              <w:rPr>
                <w:sz w:val="16"/>
              </w:rPr>
              <w:t>rouge et bordure d’étiquette bleu pâle</w:t>
            </w:r>
          </w:p>
          <w:p w14:paraId="081A4CC0" w14:textId="7E0A95A4" w:rsidR="00496D12" w:rsidRPr="0005240E" w:rsidRDefault="00A9367A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6 ans</w:t>
            </w:r>
          </w:p>
          <w:p w14:paraId="7D918156" w14:textId="64C8A287" w:rsidR="00F4428D" w:rsidRPr="0005240E" w:rsidRDefault="00F4428D" w:rsidP="00621135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AEEAEE3" w14:textId="0E9BCD28" w:rsidR="00113400" w:rsidRPr="0005240E" w:rsidRDefault="2CD691CC" w:rsidP="317CFAF5">
            <w:pPr>
              <w:jc w:val="center"/>
              <w:rPr>
                <w:b/>
                <w:bCs/>
              </w:rPr>
            </w:pPr>
            <w:proofErr w:type="spellStart"/>
            <w:r w:rsidRPr="0005240E">
              <w:rPr>
                <w:b/>
                <w:bCs/>
              </w:rPr>
              <w:t>Nuvaxovid</w:t>
            </w:r>
            <w:proofErr w:type="spellEnd"/>
            <w:r w:rsidRPr="0005240E">
              <w:rPr>
                <w:b/>
                <w:bCs/>
              </w:rPr>
              <w:t xml:space="preserve"> de Novavax</w:t>
            </w:r>
          </w:p>
          <w:p w14:paraId="3B2F33C0" w14:textId="771BB1C8" w:rsidR="004B55F4" w:rsidRPr="0005240E" w:rsidRDefault="00B940D3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par dose de 0,5 ml</w:t>
            </w:r>
          </w:p>
          <w:p w14:paraId="2C1805DA" w14:textId="65FA9346" w:rsidR="005A3453" w:rsidRPr="0005240E" w:rsidRDefault="005A3453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12 ans</w:t>
            </w:r>
          </w:p>
          <w:p w14:paraId="6E801833" w14:textId="77777777" w:rsidR="00555A94" w:rsidRPr="0005240E" w:rsidRDefault="00F4428D" w:rsidP="00621135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Pas de diluant</w:t>
            </w:r>
          </w:p>
          <w:p w14:paraId="432D3E4F" w14:textId="77777777" w:rsidR="00E70C59" w:rsidRPr="0005240E" w:rsidRDefault="00E70C59" w:rsidP="00621135">
            <w:pPr>
              <w:jc w:val="center"/>
              <w:rPr>
                <w:sz w:val="16"/>
                <w:szCs w:val="16"/>
              </w:rPr>
            </w:pPr>
          </w:p>
          <w:p w14:paraId="219DD3B9" w14:textId="7B172786" w:rsidR="00E70C59" w:rsidRPr="0005240E" w:rsidRDefault="00E70C59" w:rsidP="00621135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  <w:shd w:val="clear" w:color="auto" w:fill="F7CAAC" w:themeFill="accent2" w:themeFillTint="66"/>
              </w:rPr>
              <w:t xml:space="preserve">Recommandé seulement si la personne ne peut ou ne veut pas recevoir le vaccin à </w:t>
            </w:r>
            <w:proofErr w:type="spellStart"/>
            <w:r w:rsidRPr="0005240E">
              <w:rPr>
                <w:sz w:val="16"/>
                <w:shd w:val="clear" w:color="auto" w:fill="F7CAAC" w:themeFill="accent2" w:themeFillTint="66"/>
              </w:rPr>
              <w:t>ARNm</w:t>
            </w:r>
            <w:r w:rsidR="00F55F42" w:rsidRPr="0005240E">
              <w:rPr>
                <w:sz w:val="16"/>
                <w:shd w:val="clear" w:color="auto" w:fill="F7CAAC" w:themeFill="accent2" w:themeFillTint="66"/>
                <w:vertAlign w:val="superscript"/>
              </w:rPr>
              <w:t>d</w:t>
            </w:r>
            <w:proofErr w:type="spellEnd"/>
          </w:p>
        </w:tc>
      </w:tr>
      <w:tr w:rsidR="00E801B2" w:rsidRPr="0005240E" w14:paraId="258283B1" w14:textId="77777777" w:rsidTr="29166130">
        <w:tc>
          <w:tcPr>
            <w:tcW w:w="13892" w:type="dxa"/>
            <w:gridSpan w:val="8"/>
            <w:shd w:val="clear" w:color="auto" w:fill="DEEAF6" w:themeFill="accent1" w:themeFillTint="33"/>
          </w:tcPr>
          <w:p w14:paraId="0B7BC007" w14:textId="31DAE251" w:rsidR="00E801B2" w:rsidRPr="0005240E" w:rsidRDefault="00E801B2" w:rsidP="00E801B2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 xml:space="preserve">6 mois à 4 ans (moins de 5 ans) </w:t>
            </w:r>
          </w:p>
        </w:tc>
      </w:tr>
      <w:tr w:rsidR="00621135" w:rsidRPr="0005240E" w14:paraId="6B27604D" w14:textId="77777777" w:rsidTr="29166130">
        <w:tc>
          <w:tcPr>
            <w:tcW w:w="2127" w:type="dxa"/>
          </w:tcPr>
          <w:p w14:paraId="1B02EB27" w14:textId="40EB79C2" w:rsidR="00555A94" w:rsidRPr="0005240E" w:rsidRDefault="00AB1019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NON Immunodéprimés</w:t>
            </w:r>
          </w:p>
        </w:tc>
        <w:tc>
          <w:tcPr>
            <w:tcW w:w="2693" w:type="dxa"/>
          </w:tcPr>
          <w:p w14:paraId="5A040671" w14:textId="26DD8BA2" w:rsidR="00555A94" w:rsidRPr="0005240E" w:rsidRDefault="000B3063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Peut être offert</w:t>
            </w:r>
          </w:p>
        </w:tc>
        <w:tc>
          <w:tcPr>
            <w:tcW w:w="1560" w:type="dxa"/>
          </w:tcPr>
          <w:p w14:paraId="6CD68D79" w14:textId="4CE7306A" w:rsidR="000B138F" w:rsidRPr="0005240E" w:rsidRDefault="000B138F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3 doses de </w:t>
            </w:r>
            <w:r w:rsidRPr="0005240E">
              <w:rPr>
                <w:b/>
                <w:bCs/>
                <w:sz w:val="18"/>
                <w:szCs w:val="18"/>
              </w:rPr>
              <w:t>0,2 ml</w:t>
            </w:r>
            <w:r w:rsidRPr="0005240E">
              <w:rPr>
                <w:sz w:val="18"/>
                <w:szCs w:val="18"/>
              </w:rPr>
              <w:t xml:space="preserve"> (3 </w:t>
            </w:r>
            <w:proofErr w:type="spellStart"/>
            <w:r w:rsidRPr="0005240E">
              <w:rPr>
                <w:sz w:val="18"/>
                <w:szCs w:val="18"/>
              </w:rPr>
              <w:t>mcg</w:t>
            </w:r>
            <w:proofErr w:type="spellEnd"/>
            <w:r w:rsidRPr="0005240E">
              <w:rPr>
                <w:sz w:val="18"/>
                <w:szCs w:val="18"/>
              </w:rPr>
              <w:t>);</w:t>
            </w:r>
          </w:p>
          <w:p w14:paraId="562B8CD9" w14:textId="7049D1C3" w:rsidR="00555A94" w:rsidRPr="0005240E" w:rsidRDefault="00FD686F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7FFD2EE0" w14:textId="77777777" w:rsidR="00BC5B37" w:rsidRPr="0005240E" w:rsidRDefault="00BC5B37" w:rsidP="00112870">
            <w:pPr>
              <w:rPr>
                <w:sz w:val="18"/>
              </w:rPr>
            </w:pPr>
            <w:r w:rsidRPr="0005240E">
              <w:rPr>
                <w:sz w:val="18"/>
              </w:rPr>
              <w:t>6 mois à 4 ans</w:t>
            </w:r>
          </w:p>
          <w:p w14:paraId="6D1C17B2" w14:textId="77777777" w:rsidR="00430D7B" w:rsidRPr="0005240E" w:rsidRDefault="00430D7B" w:rsidP="00112870">
            <w:pPr>
              <w:rPr>
                <w:sz w:val="18"/>
                <w:szCs w:val="18"/>
              </w:rPr>
            </w:pPr>
          </w:p>
          <w:p w14:paraId="6777FDA2" w14:textId="4017D390" w:rsidR="00430D7B" w:rsidRPr="0005240E" w:rsidRDefault="00430D7B" w:rsidP="001128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5240993" w14:textId="77777777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5A245B1C" w14:textId="77777777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012BE3" w14:textId="77777777" w:rsidR="00FD686F" w:rsidRPr="0005240E" w:rsidRDefault="000B138F" w:rsidP="00621135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); </w:t>
            </w:r>
          </w:p>
          <w:p w14:paraId="521AD2A3" w14:textId="7A4973BD" w:rsidR="00621135" w:rsidRPr="0005240E" w:rsidRDefault="00FD686F" w:rsidP="00621135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014A0EDD" w14:textId="6E5415E6" w:rsidR="00555A94" w:rsidRPr="0005240E" w:rsidRDefault="00621135" w:rsidP="00112870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 mois à 5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1C9F2CE9" w14:textId="77777777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1128F40D" w14:textId="21FDB1EA" w:rsidR="00555A94" w:rsidRPr="0005240E" w:rsidRDefault="00555A94">
            <w:pPr>
              <w:rPr>
                <w:sz w:val="18"/>
                <w:szCs w:val="18"/>
              </w:rPr>
            </w:pPr>
          </w:p>
        </w:tc>
      </w:tr>
      <w:tr w:rsidR="00621135" w:rsidRPr="0005240E" w14:paraId="079D85FD" w14:textId="77777777" w:rsidTr="29166130">
        <w:tc>
          <w:tcPr>
            <w:tcW w:w="2127" w:type="dxa"/>
          </w:tcPr>
          <w:p w14:paraId="2692BF38" w14:textId="77777777" w:rsidR="00555A94" w:rsidRDefault="000B3063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Immunodéprimés</w:t>
            </w:r>
          </w:p>
          <w:p w14:paraId="38BF01D2" w14:textId="77777777" w:rsidR="00BD4186" w:rsidRPr="00BD4186" w:rsidRDefault="00BD4186" w:rsidP="00BD4186">
            <w:pPr>
              <w:rPr>
                <w:sz w:val="18"/>
                <w:szCs w:val="18"/>
              </w:rPr>
            </w:pPr>
          </w:p>
          <w:p w14:paraId="5EA7BB2F" w14:textId="77777777" w:rsidR="00BD4186" w:rsidRPr="00BD4186" w:rsidRDefault="00BD4186" w:rsidP="00BD4186">
            <w:pPr>
              <w:rPr>
                <w:sz w:val="18"/>
                <w:szCs w:val="18"/>
              </w:rPr>
            </w:pPr>
          </w:p>
          <w:p w14:paraId="154F7827" w14:textId="77777777" w:rsidR="00BD4186" w:rsidRPr="00BD4186" w:rsidRDefault="00BD4186" w:rsidP="00BD4186">
            <w:pPr>
              <w:rPr>
                <w:sz w:val="18"/>
                <w:szCs w:val="18"/>
              </w:rPr>
            </w:pPr>
          </w:p>
          <w:p w14:paraId="1F9E2CD5" w14:textId="77777777" w:rsidR="00BD4186" w:rsidRDefault="00BD4186" w:rsidP="00BD4186">
            <w:pPr>
              <w:rPr>
                <w:sz w:val="18"/>
                <w:szCs w:val="18"/>
              </w:rPr>
            </w:pPr>
          </w:p>
          <w:p w14:paraId="0A3E15CF" w14:textId="77777777" w:rsidR="00BD4186" w:rsidRPr="00BD4186" w:rsidRDefault="00BD4186" w:rsidP="00BD4186">
            <w:pPr>
              <w:rPr>
                <w:sz w:val="18"/>
                <w:szCs w:val="18"/>
              </w:rPr>
            </w:pPr>
          </w:p>
          <w:p w14:paraId="01EE7B27" w14:textId="77777777" w:rsidR="00BD4186" w:rsidRDefault="00BD4186" w:rsidP="00BD4186">
            <w:pPr>
              <w:rPr>
                <w:sz w:val="18"/>
                <w:szCs w:val="18"/>
              </w:rPr>
            </w:pPr>
          </w:p>
          <w:p w14:paraId="60A65D8C" w14:textId="0AD75542" w:rsidR="00BD4186" w:rsidRPr="00BD4186" w:rsidRDefault="00BD4186" w:rsidP="00BD418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1B6E6CF" w14:textId="77777777" w:rsidR="00555A94" w:rsidRPr="0005240E" w:rsidRDefault="000B3063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Peut être offert</w:t>
            </w:r>
          </w:p>
          <w:p w14:paraId="73378F0A" w14:textId="77777777" w:rsidR="00F22C5C" w:rsidRPr="0005240E" w:rsidRDefault="00F22C5C">
            <w:pPr>
              <w:rPr>
                <w:sz w:val="18"/>
                <w:szCs w:val="18"/>
              </w:rPr>
            </w:pPr>
          </w:p>
          <w:p w14:paraId="695FB7EC" w14:textId="3215B607" w:rsidR="00F22C5C" w:rsidRPr="0005240E" w:rsidRDefault="00F22C5C" w:rsidP="00F22C5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Moderna de </w:t>
            </w:r>
            <w:proofErr w:type="spellStart"/>
            <w:r w:rsidRPr="0005240E">
              <w:rPr>
                <w:sz w:val="18"/>
              </w:rPr>
              <w:t>préférence</w:t>
            </w:r>
            <w:r w:rsidR="00F55F42" w:rsidRPr="0005240E">
              <w:rPr>
                <w:sz w:val="18"/>
                <w:vertAlign w:val="superscript"/>
              </w:rPr>
              <w:t>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BBC2A11" w14:textId="7A59029B" w:rsidR="000B138F" w:rsidRPr="0005240E" w:rsidRDefault="000B138F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4 doses de </w:t>
            </w: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(3 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1CB29AF1" w14:textId="77777777" w:rsidR="000B138F" w:rsidRPr="0005240E" w:rsidRDefault="000B138F" w:rsidP="000B138F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Intervalle de 4 à 8 semaines; </w:t>
            </w:r>
          </w:p>
          <w:p w14:paraId="3ACFB5DA" w14:textId="5DB15C31" w:rsidR="005D235A" w:rsidRPr="0005240E" w:rsidRDefault="000B138F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 mois à 4 ans</w:t>
            </w:r>
          </w:p>
          <w:p w14:paraId="081C488C" w14:textId="77777777" w:rsidR="00D80040" w:rsidRPr="0005240E" w:rsidRDefault="00D80040">
            <w:pPr>
              <w:rPr>
                <w:sz w:val="18"/>
                <w:szCs w:val="18"/>
              </w:rPr>
            </w:pPr>
          </w:p>
          <w:p w14:paraId="739DF0DE" w14:textId="77777777" w:rsidR="00430D7B" w:rsidRDefault="00430D7B">
            <w:pPr>
              <w:rPr>
                <w:sz w:val="18"/>
                <w:szCs w:val="18"/>
              </w:rPr>
            </w:pPr>
          </w:p>
          <w:p w14:paraId="181FC070" w14:textId="6215A669" w:rsidR="006015E1" w:rsidRPr="0005240E" w:rsidRDefault="006015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24B2556" w14:textId="366342E5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7C1A043D" w14:textId="77777777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EB52229" w14:textId="36BC97FC" w:rsidR="000B138F" w:rsidRPr="0005240E" w:rsidRDefault="000B138F" w:rsidP="00B940D3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EE61FAA" w14:textId="663B4AF3" w:rsidR="000B138F" w:rsidRPr="0005240E" w:rsidRDefault="000B138F" w:rsidP="00B940D3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15264B27" w14:textId="40DA0D84" w:rsidR="00555A94" w:rsidRPr="0005240E" w:rsidRDefault="00621135" w:rsidP="00112870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 mois à 5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ED13737" w14:textId="77777777" w:rsidR="00555A94" w:rsidRPr="0005240E" w:rsidRDefault="00555A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791DCF10" w14:textId="218AA463" w:rsidR="00555A94" w:rsidRPr="0005240E" w:rsidRDefault="00555A94">
            <w:pPr>
              <w:rPr>
                <w:sz w:val="18"/>
                <w:szCs w:val="18"/>
              </w:rPr>
            </w:pPr>
          </w:p>
        </w:tc>
      </w:tr>
      <w:tr w:rsidR="004052C2" w:rsidRPr="0005240E" w14:paraId="10D4B88D" w14:textId="77777777" w:rsidTr="29166130">
        <w:tc>
          <w:tcPr>
            <w:tcW w:w="13892" w:type="dxa"/>
            <w:gridSpan w:val="8"/>
            <w:shd w:val="clear" w:color="auto" w:fill="DEEAF6" w:themeFill="accent1" w:themeFillTint="33"/>
          </w:tcPr>
          <w:p w14:paraId="79ECE9DD" w14:textId="140FBF41" w:rsidR="006F1A2C" w:rsidRPr="0005240E" w:rsidRDefault="004052C2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lastRenderedPageBreak/>
              <w:t xml:space="preserve">5 ans </w:t>
            </w:r>
          </w:p>
        </w:tc>
      </w:tr>
      <w:tr w:rsidR="00863322" w:rsidRPr="0005240E" w14:paraId="4DB39CD1" w14:textId="77777777" w:rsidTr="29166130">
        <w:tc>
          <w:tcPr>
            <w:tcW w:w="2127" w:type="dxa"/>
          </w:tcPr>
          <w:p w14:paraId="2FA8A685" w14:textId="1DF69AF2" w:rsidR="00863322" w:rsidRPr="0005240E" w:rsidRDefault="00AB1019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NON Immunodéprimés</w:t>
            </w:r>
          </w:p>
        </w:tc>
        <w:tc>
          <w:tcPr>
            <w:tcW w:w="2693" w:type="dxa"/>
          </w:tcPr>
          <w:p w14:paraId="5C0096B9" w14:textId="3529134B" w:rsidR="00863322" w:rsidRPr="0005240E" w:rsidRDefault="003C225C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863322" w:rsidRPr="0005240E">
              <w:rPr>
                <w:sz w:val="18"/>
              </w:rPr>
              <w:t xml:space="preserve"> être offert </w:t>
            </w:r>
          </w:p>
          <w:p w14:paraId="1DA31BEA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  <w:p w14:paraId="7409103C" w14:textId="20323DC1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Pfizer-BioNTech de </w:t>
            </w:r>
            <w:proofErr w:type="spellStart"/>
            <w:r w:rsidRPr="0005240E">
              <w:rPr>
                <w:sz w:val="18"/>
              </w:rPr>
              <w:t>préférence</w:t>
            </w:r>
            <w:r w:rsidR="00F55F42" w:rsidRPr="0005240E">
              <w:rPr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1AC0B86C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848C571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(10 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4ACB5E3C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6E6FCCFD" w14:textId="76EB09FF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5 à 11 ans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52180A3C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214766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); </w:t>
            </w:r>
          </w:p>
          <w:p w14:paraId="63BCDC5C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7F4D713E" w14:textId="5F5E9A20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 mois à 5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8FE425F" w14:textId="79AF5D00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2D451140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</w:tr>
      <w:tr w:rsidR="00863322" w:rsidRPr="0005240E" w14:paraId="76FD9DB5" w14:textId="77777777" w:rsidTr="29166130">
        <w:tc>
          <w:tcPr>
            <w:tcW w:w="2127" w:type="dxa"/>
          </w:tcPr>
          <w:p w14:paraId="5F7B99CB" w14:textId="357D0012" w:rsidR="00863322" w:rsidRPr="0005240E" w:rsidRDefault="00863322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Immunodéprimés</w:t>
            </w:r>
          </w:p>
        </w:tc>
        <w:tc>
          <w:tcPr>
            <w:tcW w:w="2693" w:type="dxa"/>
          </w:tcPr>
          <w:p w14:paraId="17788C9B" w14:textId="03D6043C" w:rsidR="00863322" w:rsidRPr="0005240E" w:rsidRDefault="003C225C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863322" w:rsidRPr="0005240E">
              <w:rPr>
                <w:sz w:val="18"/>
              </w:rPr>
              <w:t xml:space="preserve"> être offert </w:t>
            </w:r>
          </w:p>
          <w:p w14:paraId="06B6D687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  <w:p w14:paraId="689359BD" w14:textId="77777777" w:rsidR="00902753" w:rsidRDefault="5FE57C22" w:rsidP="00863322">
            <w:pPr>
              <w:rPr>
                <w:sz w:val="18"/>
                <w:szCs w:val="18"/>
                <w:vertAlign w:val="superscript"/>
              </w:rPr>
            </w:pPr>
            <w:r w:rsidRPr="29166130">
              <w:rPr>
                <w:sz w:val="18"/>
                <w:szCs w:val="18"/>
              </w:rPr>
              <w:t xml:space="preserve">Pfizer-BioNTech de </w:t>
            </w:r>
            <w:proofErr w:type="spellStart"/>
            <w:r w:rsidRPr="29166130">
              <w:rPr>
                <w:sz w:val="18"/>
                <w:szCs w:val="18"/>
              </w:rPr>
              <w:t>préférence</w:t>
            </w:r>
            <w:r w:rsidR="2EC667F0" w:rsidRPr="29166130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73F403E0" w:rsidRPr="29166130">
              <w:rPr>
                <w:sz w:val="18"/>
                <w:szCs w:val="18"/>
              </w:rPr>
              <w:t xml:space="preserve">; </w:t>
            </w:r>
            <w:r w:rsidR="32F05B8B" w:rsidRPr="29166130">
              <w:rPr>
                <w:sz w:val="18"/>
                <w:szCs w:val="18"/>
              </w:rPr>
              <w:t>cependant</w:t>
            </w:r>
            <w:r w:rsidR="73F403E0" w:rsidRPr="29166130">
              <w:rPr>
                <w:sz w:val="18"/>
                <w:szCs w:val="18"/>
              </w:rPr>
              <w:t xml:space="preserve"> </w:t>
            </w:r>
            <w:r w:rsidR="281675AB" w:rsidRPr="29166130">
              <w:rPr>
                <w:sz w:val="18"/>
                <w:szCs w:val="18"/>
              </w:rPr>
              <w:t xml:space="preserve">Moderna peut être envisagé en raison de l'avantage potentiel d'induire une réponse immunitaire plus élevée et une protection plus </w:t>
            </w:r>
            <w:proofErr w:type="spellStart"/>
            <w:r w:rsidR="281675AB" w:rsidRPr="29166130">
              <w:rPr>
                <w:sz w:val="18"/>
                <w:szCs w:val="18"/>
              </w:rPr>
              <w:t>durable</w:t>
            </w:r>
            <w:r w:rsidR="7CC377DB" w:rsidRPr="29166130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  <w:p w14:paraId="2248BB50" w14:textId="77777777" w:rsidR="006015E1" w:rsidRDefault="006015E1" w:rsidP="00863322">
            <w:pPr>
              <w:rPr>
                <w:sz w:val="18"/>
                <w:szCs w:val="18"/>
                <w:vertAlign w:val="superscript"/>
              </w:rPr>
            </w:pPr>
          </w:p>
          <w:p w14:paraId="23C7D99D" w14:textId="13C25BCE" w:rsidR="004754D1" w:rsidRPr="0005240E" w:rsidRDefault="004754D1" w:rsidP="00863322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44F41FD8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30BB21A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(10 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2BC76FF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64768A11" w14:textId="032DEF8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5 à 11 ans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329B9DE5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EB679A0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2964CD50" w14:textId="7777777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17052D5D" w14:textId="1B2535E7" w:rsidR="00863322" w:rsidRPr="0005240E" w:rsidRDefault="00863322" w:rsidP="00863322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 mois à 5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3CAA1417" w14:textId="34744A70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63D17EE2" w14:textId="77777777" w:rsidR="00863322" w:rsidRPr="0005240E" w:rsidRDefault="00863322" w:rsidP="00863322">
            <w:pPr>
              <w:rPr>
                <w:sz w:val="18"/>
                <w:szCs w:val="18"/>
              </w:rPr>
            </w:pPr>
          </w:p>
        </w:tc>
      </w:tr>
      <w:tr w:rsidR="00CE7F7C" w:rsidRPr="0005240E" w14:paraId="3DB43F34" w14:textId="77777777" w:rsidTr="29166130">
        <w:tc>
          <w:tcPr>
            <w:tcW w:w="13892" w:type="dxa"/>
            <w:gridSpan w:val="8"/>
            <w:shd w:val="clear" w:color="auto" w:fill="DEEAF6" w:themeFill="accent1" w:themeFillTint="33"/>
          </w:tcPr>
          <w:p w14:paraId="5C86E2B6" w14:textId="354D8A73" w:rsidR="00CE7F7C" w:rsidRPr="0005240E" w:rsidRDefault="005022D1" w:rsidP="00CE7F7C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 xml:space="preserve">6 à 11 ans </w:t>
            </w:r>
          </w:p>
        </w:tc>
      </w:tr>
      <w:tr w:rsidR="00CE7F7C" w:rsidRPr="0005240E" w14:paraId="217C2BDB" w14:textId="77777777" w:rsidTr="29166130">
        <w:tc>
          <w:tcPr>
            <w:tcW w:w="2127" w:type="dxa"/>
          </w:tcPr>
          <w:p w14:paraId="46E9749F" w14:textId="3BF32A97" w:rsidR="00CE7F7C" w:rsidRPr="0005240E" w:rsidRDefault="00536DFA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NON Immunodéprimés</w:t>
            </w:r>
          </w:p>
        </w:tc>
        <w:tc>
          <w:tcPr>
            <w:tcW w:w="2693" w:type="dxa"/>
          </w:tcPr>
          <w:p w14:paraId="4D7F7285" w14:textId="446D190F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 </w:t>
            </w:r>
          </w:p>
          <w:p w14:paraId="5A3E290A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052BE396" w14:textId="27FD2E04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Pfizer-BioNTech de </w:t>
            </w:r>
            <w:proofErr w:type="spellStart"/>
            <w:r w:rsidRPr="0005240E">
              <w:rPr>
                <w:sz w:val="18"/>
              </w:rPr>
              <w:t>préférence</w:t>
            </w:r>
            <w:r w:rsidR="00F55F42" w:rsidRPr="0005240E">
              <w:rPr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7FC6B393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73EFF1F" w14:textId="1DA96719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(10 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0924F2C2" w14:textId="12A7E75E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1B98C711" w14:textId="126D15EA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5 à 11 ans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5AB2F172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1194DE" w14:textId="7777777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CBEAC02" w14:textId="4E63B16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04E4168D" w14:textId="3CEDBDA6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 à 11 ans</w:t>
            </w:r>
          </w:p>
        </w:tc>
        <w:tc>
          <w:tcPr>
            <w:tcW w:w="1559" w:type="dxa"/>
          </w:tcPr>
          <w:p w14:paraId="05690894" w14:textId="028D9F09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(50 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297ACD70" w14:textId="37F6F9EF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minimal de 8 semaines;</w:t>
            </w:r>
          </w:p>
          <w:p w14:paraId="12A735E4" w14:textId="2FCAEAF7" w:rsidR="00CE7F7C" w:rsidRPr="0005240E" w:rsidRDefault="00CE7F7C" w:rsidP="00CE7F7C">
            <w:pPr>
              <w:rPr>
                <w:b/>
                <w:sz w:val="18"/>
                <w:szCs w:val="18"/>
              </w:rPr>
            </w:pPr>
            <w:r w:rsidRPr="0005240E">
              <w:rPr>
                <w:sz w:val="18"/>
              </w:rPr>
              <w:t>6 à 11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3D41D459" w14:textId="0DF1DC90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</w:tr>
      <w:tr w:rsidR="00CE7F7C" w:rsidRPr="0005240E" w14:paraId="28348F66" w14:textId="77777777" w:rsidTr="29166130">
        <w:tc>
          <w:tcPr>
            <w:tcW w:w="2127" w:type="dxa"/>
          </w:tcPr>
          <w:p w14:paraId="33AB3C03" w14:textId="79D99620" w:rsidR="00CE7F7C" w:rsidRPr="0005240E" w:rsidRDefault="00CE7F7C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Immunodéprimés</w:t>
            </w:r>
          </w:p>
        </w:tc>
        <w:tc>
          <w:tcPr>
            <w:tcW w:w="2693" w:type="dxa"/>
          </w:tcPr>
          <w:p w14:paraId="66F604AF" w14:textId="2867352F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 </w:t>
            </w:r>
          </w:p>
          <w:p w14:paraId="6B7986CA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6CF203C6" w14:textId="77956B84" w:rsidR="00730A3A" w:rsidRPr="0005240E" w:rsidRDefault="00CE7F7C" w:rsidP="00CE7F7C">
            <w:pPr>
              <w:rPr>
                <w:sz w:val="18"/>
                <w:szCs w:val="18"/>
                <w:vertAlign w:val="superscript"/>
              </w:rPr>
            </w:pPr>
            <w:r w:rsidRPr="0005240E">
              <w:rPr>
                <w:sz w:val="18"/>
                <w:szCs w:val="18"/>
              </w:rPr>
              <w:t xml:space="preserve">Pfizer-BioNTech de </w:t>
            </w:r>
            <w:proofErr w:type="spellStart"/>
            <w:r w:rsidRPr="0005240E">
              <w:rPr>
                <w:sz w:val="18"/>
                <w:szCs w:val="18"/>
              </w:rPr>
              <w:t>préférence</w:t>
            </w:r>
            <w:r w:rsidR="00F55F42" w:rsidRPr="0005240E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232AB0" w:rsidRPr="0005240E">
              <w:rPr>
                <w:sz w:val="18"/>
                <w:szCs w:val="18"/>
              </w:rPr>
              <w:t xml:space="preserve">; </w:t>
            </w:r>
            <w:r w:rsidR="7274C350" w:rsidRPr="0005240E">
              <w:rPr>
                <w:sz w:val="18"/>
                <w:szCs w:val="18"/>
              </w:rPr>
              <w:t>cependant</w:t>
            </w:r>
            <w:r w:rsidR="00232AB0" w:rsidRPr="0005240E">
              <w:rPr>
                <w:sz w:val="18"/>
                <w:szCs w:val="18"/>
              </w:rPr>
              <w:t xml:space="preserve"> </w:t>
            </w:r>
            <w:r w:rsidR="00FF4427" w:rsidRPr="0005240E">
              <w:rPr>
                <w:sz w:val="18"/>
                <w:szCs w:val="18"/>
              </w:rPr>
              <w:t xml:space="preserve">Moderna peut être envisagé en raison de l'avantage potentiel d'induire une réponse immunitaire plus élevée et une protection plus </w:t>
            </w:r>
            <w:proofErr w:type="spellStart"/>
            <w:r w:rsidR="00FF4427" w:rsidRPr="0005240E">
              <w:rPr>
                <w:sz w:val="18"/>
                <w:szCs w:val="18"/>
              </w:rPr>
              <w:t>durable</w:t>
            </w:r>
            <w:r w:rsidR="00090F80" w:rsidRPr="0005240E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  <w:p w14:paraId="4280DF3C" w14:textId="77777777" w:rsidR="00430D7B" w:rsidRPr="0005240E" w:rsidRDefault="00430D7B" w:rsidP="00CE7F7C">
            <w:pPr>
              <w:rPr>
                <w:sz w:val="18"/>
                <w:vertAlign w:val="superscript"/>
              </w:rPr>
            </w:pPr>
          </w:p>
          <w:p w14:paraId="4B2A158F" w14:textId="1B87C442" w:rsidR="00430D7B" w:rsidRPr="0005240E" w:rsidRDefault="00430D7B" w:rsidP="00CE7F7C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2889D9F4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6A338E" w14:textId="0D683AB5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(10 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2248ADBF" w14:textId="2F4585FB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2287133B" w14:textId="1681CA5B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5 à 11 ans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082D17AB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5D368F" w14:textId="6819CEE2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2E02E44B" w14:textId="412295E2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4B7B38A9" w14:textId="151FBBB6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 à 11 ans</w:t>
            </w:r>
          </w:p>
        </w:tc>
        <w:tc>
          <w:tcPr>
            <w:tcW w:w="1559" w:type="dxa"/>
          </w:tcPr>
          <w:p w14:paraId="08787E6F" w14:textId="31BC370C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0,25 ml</w:t>
            </w:r>
            <w:r w:rsidRPr="0005240E">
              <w:rPr>
                <w:sz w:val="18"/>
              </w:rPr>
              <w:t xml:space="preserve"> (50 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1197252B" w14:textId="7777777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semaines;</w:t>
            </w:r>
          </w:p>
          <w:p w14:paraId="11C1ED6B" w14:textId="2DB06C1D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6 à 11 ans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1398F20" w14:textId="33CB1A6F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</w:tr>
      <w:tr w:rsidR="00CE7F7C" w:rsidRPr="0005240E" w14:paraId="37BD81E5" w14:textId="77777777" w:rsidTr="29166130">
        <w:tc>
          <w:tcPr>
            <w:tcW w:w="13892" w:type="dxa"/>
            <w:gridSpan w:val="8"/>
            <w:shd w:val="clear" w:color="auto" w:fill="DEEAF6" w:themeFill="accent1" w:themeFillTint="33"/>
          </w:tcPr>
          <w:p w14:paraId="54A0CBF6" w14:textId="0A8704CD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lastRenderedPageBreak/>
              <w:t>12 à 17 ans</w:t>
            </w:r>
          </w:p>
        </w:tc>
      </w:tr>
      <w:tr w:rsidR="00CE7F7C" w:rsidRPr="0005240E" w14:paraId="1E69B2A8" w14:textId="77777777" w:rsidTr="29166130">
        <w:tc>
          <w:tcPr>
            <w:tcW w:w="2127" w:type="dxa"/>
          </w:tcPr>
          <w:p w14:paraId="7C2D0CBF" w14:textId="4CE579FD" w:rsidR="00CE7F7C" w:rsidRPr="0005240E" w:rsidRDefault="00536DFA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NON Immunodéprimés</w:t>
            </w:r>
          </w:p>
        </w:tc>
        <w:tc>
          <w:tcPr>
            <w:tcW w:w="2693" w:type="dxa"/>
          </w:tcPr>
          <w:p w14:paraId="212C0901" w14:textId="1A7012A9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</w:t>
            </w:r>
          </w:p>
          <w:p w14:paraId="31622B34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674F046E" w14:textId="0554A7BA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Pfizer-BioNTech de </w:t>
            </w:r>
            <w:proofErr w:type="spellStart"/>
            <w:r w:rsidRPr="0005240E">
              <w:rPr>
                <w:sz w:val="18"/>
              </w:rPr>
              <w:t>préférence</w:t>
            </w:r>
            <w:r w:rsidR="00F55F42" w:rsidRPr="0005240E">
              <w:rPr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5D69D257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FB74067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E80965" w14:textId="49285DD5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(30 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742E7F5D" w14:textId="12F6A7AB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8 semaines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36D90BB8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AA5931" w14:textId="66B34A3A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(100 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FA37247" w14:textId="3B75AEEE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8 semaines</w:t>
            </w:r>
          </w:p>
        </w:tc>
        <w:tc>
          <w:tcPr>
            <w:tcW w:w="1559" w:type="dxa"/>
          </w:tcPr>
          <w:p w14:paraId="56FB2B40" w14:textId="304812CE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7C99DD25" w14:textId="77777777" w:rsidR="00CE7F7C" w:rsidRPr="0005240E" w:rsidRDefault="00CE7F7C" w:rsidP="00CE7F7C">
            <w:pPr>
              <w:rPr>
                <w:sz w:val="18"/>
              </w:rPr>
            </w:pPr>
            <w:r w:rsidRPr="0005240E">
              <w:rPr>
                <w:sz w:val="18"/>
              </w:rPr>
              <w:t>Intervalle de 8 semaines</w:t>
            </w:r>
          </w:p>
          <w:p w14:paraId="032D9C3D" w14:textId="77777777" w:rsidR="0065078E" w:rsidRPr="0005240E" w:rsidRDefault="0065078E" w:rsidP="00CE7F7C">
            <w:pPr>
              <w:rPr>
                <w:sz w:val="18"/>
              </w:rPr>
            </w:pPr>
          </w:p>
          <w:p w14:paraId="7C63DEDD" w14:textId="49F9C090" w:rsidR="0065078E" w:rsidRPr="0005240E" w:rsidRDefault="0065078E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Pas encore examiné par le CCNI</w:t>
            </w:r>
          </w:p>
        </w:tc>
      </w:tr>
      <w:tr w:rsidR="00CE7F7C" w:rsidRPr="0005240E" w14:paraId="3A914A83" w14:textId="77777777" w:rsidTr="29166130">
        <w:tc>
          <w:tcPr>
            <w:tcW w:w="2127" w:type="dxa"/>
          </w:tcPr>
          <w:p w14:paraId="57F79FEF" w14:textId="6CE7E862" w:rsidR="00CE7F7C" w:rsidRPr="0005240E" w:rsidRDefault="00CE7F7C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Immunodéprimés</w:t>
            </w:r>
          </w:p>
        </w:tc>
        <w:tc>
          <w:tcPr>
            <w:tcW w:w="2693" w:type="dxa"/>
          </w:tcPr>
          <w:p w14:paraId="6A1B825A" w14:textId="588894EA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</w:t>
            </w:r>
          </w:p>
          <w:p w14:paraId="5E6F45E5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51BF89E9" w14:textId="1428241B" w:rsidR="00DF4E6F" w:rsidRPr="0005240E" w:rsidRDefault="00CE7F7C" w:rsidP="00CE7F7C">
            <w:pPr>
              <w:rPr>
                <w:sz w:val="18"/>
                <w:szCs w:val="18"/>
                <w:vertAlign w:val="superscript"/>
              </w:rPr>
            </w:pPr>
            <w:r w:rsidRPr="0005240E">
              <w:rPr>
                <w:sz w:val="18"/>
                <w:szCs w:val="18"/>
              </w:rPr>
              <w:t xml:space="preserve">Pfizer-BioNTech de </w:t>
            </w:r>
            <w:proofErr w:type="spellStart"/>
            <w:r w:rsidRPr="0005240E">
              <w:rPr>
                <w:sz w:val="18"/>
                <w:szCs w:val="18"/>
              </w:rPr>
              <w:t>préférence</w:t>
            </w:r>
            <w:r w:rsidR="00F55F42" w:rsidRPr="0005240E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B81438" w:rsidRPr="0005240E">
              <w:rPr>
                <w:sz w:val="18"/>
                <w:szCs w:val="18"/>
              </w:rPr>
              <w:t xml:space="preserve">; </w:t>
            </w:r>
            <w:r w:rsidR="566E2234" w:rsidRPr="0005240E">
              <w:rPr>
                <w:sz w:val="18"/>
                <w:szCs w:val="18"/>
              </w:rPr>
              <w:t>cependant</w:t>
            </w:r>
            <w:r w:rsidR="00B81438" w:rsidRPr="0005240E">
              <w:rPr>
                <w:sz w:val="18"/>
                <w:szCs w:val="18"/>
              </w:rPr>
              <w:t xml:space="preserve"> </w:t>
            </w:r>
            <w:r w:rsidR="00FF4427" w:rsidRPr="0005240E">
              <w:rPr>
                <w:sz w:val="18"/>
                <w:szCs w:val="18"/>
              </w:rPr>
              <w:t xml:space="preserve">Moderna peut être envisagé en raison de l'avantage potentiel d'induire une réponse immunitaire plus élevée et une protection plus </w:t>
            </w:r>
            <w:proofErr w:type="spellStart"/>
            <w:r w:rsidR="00FF4427" w:rsidRPr="0005240E">
              <w:rPr>
                <w:sz w:val="18"/>
                <w:szCs w:val="18"/>
              </w:rPr>
              <w:t>durable</w:t>
            </w:r>
            <w:r w:rsidR="007C4DEB" w:rsidRPr="0005240E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3C1A93AD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2A01A21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2709E1" w14:textId="4AD5863A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(30 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3174C5D" w14:textId="346FEB7C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1FD9669A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7E32B8" w14:textId="27663FBF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(100 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7241DB1D" w14:textId="20EDAA99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</w:tc>
        <w:tc>
          <w:tcPr>
            <w:tcW w:w="1559" w:type="dxa"/>
          </w:tcPr>
          <w:p w14:paraId="146DBA2F" w14:textId="61A90CC9" w:rsidR="00733DDE" w:rsidRPr="0005240E" w:rsidRDefault="6A6A56F9" w:rsidP="00733DDE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 à 3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6AD71C97" w14:textId="4F449C3D" w:rsidR="00CE7F7C" w:rsidRPr="0005240E" w:rsidRDefault="00733DDE" w:rsidP="1CEB5D40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  <w:p w14:paraId="4F6AF54D" w14:textId="4B961212" w:rsidR="00CE7F7C" w:rsidRPr="0005240E" w:rsidRDefault="00CE7F7C" w:rsidP="1CEB5D40">
            <w:pPr>
              <w:rPr>
                <w:sz w:val="18"/>
                <w:szCs w:val="18"/>
              </w:rPr>
            </w:pPr>
          </w:p>
          <w:p w14:paraId="637FD813" w14:textId="483C6CB5" w:rsidR="00CE7F7C" w:rsidRPr="0005240E" w:rsidRDefault="426E97C9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Pas encore examiné par le CCNI</w:t>
            </w:r>
          </w:p>
        </w:tc>
      </w:tr>
      <w:tr w:rsidR="00CE7F7C" w:rsidRPr="0005240E" w14:paraId="0A2A6D2E" w14:textId="77777777" w:rsidTr="29166130">
        <w:tc>
          <w:tcPr>
            <w:tcW w:w="13892" w:type="dxa"/>
            <w:gridSpan w:val="8"/>
            <w:shd w:val="clear" w:color="auto" w:fill="DEEAF6" w:themeFill="accent1" w:themeFillTint="33"/>
          </w:tcPr>
          <w:p w14:paraId="3FB7D31A" w14:textId="79EFB035" w:rsidR="00CE7F7C" w:rsidRPr="0005240E" w:rsidRDefault="00CE7F7C" w:rsidP="00CE7F7C">
            <w:pPr>
              <w:rPr>
                <w:b/>
                <w:bCs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18 ans et plus</w:t>
            </w:r>
          </w:p>
        </w:tc>
      </w:tr>
      <w:tr w:rsidR="00CE7F7C" w:rsidRPr="0005240E" w14:paraId="7FB483F2" w14:textId="77777777" w:rsidTr="29166130">
        <w:tc>
          <w:tcPr>
            <w:tcW w:w="2127" w:type="dxa"/>
          </w:tcPr>
          <w:p w14:paraId="18AB444C" w14:textId="2FB001DE" w:rsidR="00CE7F7C" w:rsidRPr="0005240E" w:rsidRDefault="00536DFA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NON Immunodéprimés</w:t>
            </w:r>
          </w:p>
        </w:tc>
        <w:tc>
          <w:tcPr>
            <w:tcW w:w="2693" w:type="dxa"/>
          </w:tcPr>
          <w:p w14:paraId="66771813" w14:textId="0AC5C5B4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</w:t>
            </w:r>
          </w:p>
          <w:p w14:paraId="7FEE2E23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7D67CF21" w14:textId="3F65C045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Pfizer-BioNTech de préférence pour les 18 à 29 </w:t>
            </w:r>
            <w:proofErr w:type="spellStart"/>
            <w:r w:rsidRPr="0005240E">
              <w:rPr>
                <w:sz w:val="18"/>
              </w:rPr>
              <w:t>ans</w:t>
            </w:r>
            <w:r w:rsidR="007C4DEB" w:rsidRPr="0005240E">
              <w:rPr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128215AF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386953F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4E552" w14:textId="7777777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(30 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156E401A" w14:textId="7E6B5529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8 semaines</w:t>
            </w:r>
          </w:p>
          <w:p w14:paraId="7D184DFA" w14:textId="14BD020C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28746396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075B9A" w14:textId="7777777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(100 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6A51EAB9" w14:textId="6DD5AE88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8 semaines</w:t>
            </w:r>
          </w:p>
          <w:p w14:paraId="141D3D66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009C5A7" w14:textId="508763D0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 doses de </w:t>
            </w:r>
            <w:r w:rsidRPr="0005240E">
              <w:rPr>
                <w:b/>
                <w:sz w:val="18"/>
              </w:rPr>
              <w:t xml:space="preserve">0,5 ml </w:t>
            </w:r>
            <w:r w:rsidRPr="0005240E">
              <w:rPr>
                <w:sz w:val="18"/>
              </w:rPr>
              <w:t>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21F07A93" w14:textId="4B515BF9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8 semaines</w:t>
            </w:r>
          </w:p>
          <w:p w14:paraId="40C9259B" w14:textId="54A8DAA9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</w:tr>
      <w:tr w:rsidR="00CE7F7C" w:rsidRPr="0005240E" w14:paraId="1BD67A79" w14:textId="77777777" w:rsidTr="29166130">
        <w:tc>
          <w:tcPr>
            <w:tcW w:w="2127" w:type="dxa"/>
          </w:tcPr>
          <w:p w14:paraId="4B36D68C" w14:textId="6F6CFD75" w:rsidR="00CE7F7C" w:rsidRPr="0005240E" w:rsidRDefault="00CE7F7C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Immunodéprimés</w:t>
            </w:r>
          </w:p>
        </w:tc>
        <w:tc>
          <w:tcPr>
            <w:tcW w:w="2693" w:type="dxa"/>
          </w:tcPr>
          <w:p w14:paraId="2094A8A5" w14:textId="603E450F" w:rsidR="00CE7F7C" w:rsidRPr="0005240E" w:rsidRDefault="003C225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Devrait</w:t>
            </w:r>
            <w:r w:rsidR="00CE7F7C" w:rsidRPr="0005240E">
              <w:rPr>
                <w:sz w:val="18"/>
              </w:rPr>
              <w:t xml:space="preserve"> être offert</w:t>
            </w:r>
          </w:p>
          <w:p w14:paraId="2F1B7F59" w14:textId="337E1FD9" w:rsidR="00CE7F7C" w:rsidRPr="0005240E" w:rsidRDefault="00CE7F7C" w:rsidP="00CE7F7C">
            <w:pPr>
              <w:rPr>
                <w:sz w:val="18"/>
                <w:szCs w:val="18"/>
              </w:rPr>
            </w:pPr>
          </w:p>
          <w:p w14:paraId="11D1879D" w14:textId="11B03422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Pfizer-BioNTech de préférence pour les 18 à 29 </w:t>
            </w:r>
            <w:proofErr w:type="spellStart"/>
            <w:r w:rsidRPr="0005240E">
              <w:rPr>
                <w:sz w:val="18"/>
                <w:szCs w:val="18"/>
              </w:rPr>
              <w:t>ans</w:t>
            </w:r>
            <w:r w:rsidR="007C4DEB" w:rsidRPr="0005240E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29555B8C" w:rsidRPr="0005240E">
              <w:rPr>
                <w:sz w:val="18"/>
                <w:szCs w:val="18"/>
              </w:rPr>
              <w:t>;</w:t>
            </w:r>
            <w:r w:rsidR="00544CF6" w:rsidRPr="0005240E">
              <w:rPr>
                <w:sz w:val="18"/>
                <w:szCs w:val="18"/>
              </w:rPr>
              <w:t xml:space="preserve"> </w:t>
            </w:r>
            <w:r w:rsidR="00C101E6" w:rsidRPr="0005240E">
              <w:rPr>
                <w:sz w:val="18"/>
                <w:szCs w:val="18"/>
              </w:rPr>
              <w:t>cependant</w:t>
            </w:r>
            <w:r w:rsidR="000709AB" w:rsidRPr="0005240E">
              <w:rPr>
                <w:sz w:val="18"/>
                <w:szCs w:val="18"/>
              </w:rPr>
              <w:t xml:space="preserve"> </w:t>
            </w:r>
            <w:r w:rsidR="00FF4427" w:rsidRPr="0005240E">
              <w:rPr>
                <w:sz w:val="18"/>
                <w:szCs w:val="18"/>
              </w:rPr>
              <w:t xml:space="preserve">Moderna peut être envisagé en raison de l'avantage potentiel d'induire une réponse immunitaire plus élevée et une protection plus </w:t>
            </w:r>
            <w:proofErr w:type="spellStart"/>
            <w:r w:rsidR="00FF4427" w:rsidRPr="0005240E">
              <w:rPr>
                <w:sz w:val="18"/>
                <w:szCs w:val="18"/>
              </w:rPr>
              <w:t>durable</w:t>
            </w:r>
            <w:r w:rsidR="007C4DEB" w:rsidRPr="0005240E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2E4C41D7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E86AA99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B1863E" w14:textId="77777777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(30 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3877D330" w14:textId="039E72C2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  <w:p w14:paraId="4F4B9316" w14:textId="25B2FBFD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2156953A" w14:textId="77777777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3A6BBDB" w14:textId="28F7E468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3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(100 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11A78A92" w14:textId="0E81BC0B" w:rsidR="00CE7F7C" w:rsidRPr="0005240E" w:rsidRDefault="00CE7F7C" w:rsidP="00CE7F7C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</w:tc>
        <w:tc>
          <w:tcPr>
            <w:tcW w:w="1559" w:type="dxa"/>
          </w:tcPr>
          <w:p w14:paraId="48738B91" w14:textId="414EAF52" w:rsidR="00F1715E" w:rsidRPr="0005240E" w:rsidRDefault="00C3254B" w:rsidP="00F1715E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2 à 3 doses de </w:t>
            </w: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);</w:t>
            </w:r>
          </w:p>
          <w:p w14:paraId="13BE2427" w14:textId="77777777" w:rsidR="00F1715E" w:rsidRPr="0005240E" w:rsidRDefault="00F1715E" w:rsidP="00F1715E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Intervalle de 4 à 8 semaines</w:t>
            </w:r>
          </w:p>
          <w:p w14:paraId="637BB4DD" w14:textId="44AC2F71" w:rsidR="00CE7F7C" w:rsidRPr="0005240E" w:rsidRDefault="00CE7F7C" w:rsidP="00CE7F7C">
            <w:pPr>
              <w:rPr>
                <w:sz w:val="18"/>
                <w:szCs w:val="18"/>
              </w:rPr>
            </w:pPr>
          </w:p>
        </w:tc>
      </w:tr>
    </w:tbl>
    <w:p w14:paraId="05601B35" w14:textId="7A51F466" w:rsidR="00BC5B37" w:rsidRPr="0005240E" w:rsidRDefault="00351E3E" w:rsidP="00DC1DFC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sz w:val="16"/>
          <w:szCs w:val="16"/>
        </w:rPr>
      </w:pPr>
      <w:proofErr w:type="spellStart"/>
      <w:r w:rsidRPr="0005240E">
        <w:rPr>
          <w:sz w:val="16"/>
        </w:rPr>
        <w:t>Spikevax</w:t>
      </w:r>
      <w:proofErr w:type="spellEnd"/>
      <w:r w:rsidRPr="0005240E">
        <w:rPr>
          <w:sz w:val="16"/>
        </w:rPr>
        <w:t xml:space="preserve"> de Moderna </w:t>
      </w:r>
      <w:r w:rsidR="00BC5B37" w:rsidRPr="0005240E">
        <w:rPr>
          <w:sz w:val="16"/>
        </w:rPr>
        <w:t xml:space="preserve">est le produit privilégié pour la série primaire destinée aux enfants de 6 mois à moins de 5 ans qui sont modérément ou gravement immunodéprimés, car il s’agit d’une série de 3 doses comparativement à la série de 4 doses de </w:t>
      </w:r>
      <w:proofErr w:type="spellStart"/>
      <w:r w:rsidR="002F51DD" w:rsidRPr="0005240E">
        <w:rPr>
          <w:sz w:val="16"/>
        </w:rPr>
        <w:t>Comirnaty</w:t>
      </w:r>
      <w:proofErr w:type="spellEnd"/>
      <w:r w:rsidR="002F51DD" w:rsidRPr="0005240E">
        <w:rPr>
          <w:sz w:val="16"/>
        </w:rPr>
        <w:t xml:space="preserve"> de Pfizer-BioNTech</w:t>
      </w:r>
      <w:r w:rsidR="00BC5B37" w:rsidRPr="0005240E">
        <w:rPr>
          <w:sz w:val="16"/>
        </w:rPr>
        <w:t>.</w:t>
      </w:r>
    </w:p>
    <w:p w14:paraId="7A680073" w14:textId="3DA75A9F" w:rsidR="00BC5B37" w:rsidRPr="0005240E" w:rsidRDefault="00A01828" w:rsidP="00DC1DFC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sz w:val="16"/>
          <w:szCs w:val="16"/>
        </w:rPr>
      </w:pPr>
      <w:proofErr w:type="spellStart"/>
      <w:r w:rsidRPr="0005240E">
        <w:rPr>
          <w:sz w:val="16"/>
        </w:rPr>
        <w:lastRenderedPageBreak/>
        <w:t>Comirnaty</w:t>
      </w:r>
      <w:proofErr w:type="spellEnd"/>
      <w:r w:rsidRPr="0005240E">
        <w:rPr>
          <w:sz w:val="16"/>
        </w:rPr>
        <w:t xml:space="preserve"> de Pfizer-BioNTech</w:t>
      </w:r>
      <w:r w:rsidR="00BC5B37" w:rsidRPr="0005240E">
        <w:rPr>
          <w:sz w:val="16"/>
        </w:rPr>
        <w:t xml:space="preserve"> est le produit privilégié pour les séries primaires des personnes de 5 à 29 ans parce qu’il a été démontré qu’il présente un risque plus faible de myocardite/péricardite chez les adolescents et les adultes que </w:t>
      </w:r>
      <w:proofErr w:type="spellStart"/>
      <w:r w:rsidR="003C41DB" w:rsidRPr="0005240E">
        <w:rPr>
          <w:sz w:val="16"/>
        </w:rPr>
        <w:t>Spikevax</w:t>
      </w:r>
      <w:proofErr w:type="spellEnd"/>
      <w:r w:rsidR="003C41DB" w:rsidRPr="0005240E">
        <w:rPr>
          <w:sz w:val="16"/>
        </w:rPr>
        <w:t xml:space="preserve"> de Moderna</w:t>
      </w:r>
      <w:r w:rsidR="00BC5B37" w:rsidRPr="0005240E">
        <w:rPr>
          <w:sz w:val="16"/>
        </w:rPr>
        <w:t>.</w:t>
      </w:r>
    </w:p>
    <w:p w14:paraId="2D026FE9" w14:textId="7C8F718C" w:rsidR="00565D36" w:rsidRPr="0005240E" w:rsidRDefault="009A073D" w:rsidP="33BEF40A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b/>
          <w:bCs/>
          <w:sz w:val="24"/>
          <w:szCs w:val="24"/>
        </w:rPr>
      </w:pPr>
      <w:r w:rsidRPr="0005240E">
        <w:rPr>
          <w:sz w:val="16"/>
          <w:szCs w:val="16"/>
        </w:rPr>
        <w:t>Cette considération est basée sur des données provenant</w:t>
      </w:r>
      <w:r w:rsidR="00837F9C" w:rsidRPr="0005240E">
        <w:rPr>
          <w:sz w:val="16"/>
          <w:szCs w:val="16"/>
        </w:rPr>
        <w:t xml:space="preserve"> </w:t>
      </w:r>
      <w:r w:rsidR="001244C4" w:rsidRPr="0005240E">
        <w:rPr>
          <w:sz w:val="16"/>
          <w:szCs w:val="16"/>
        </w:rPr>
        <w:t>de populations adultes (</w:t>
      </w:r>
      <w:r w:rsidR="00581D76" w:rsidRPr="0005240E">
        <w:rPr>
          <w:sz w:val="16"/>
          <w:szCs w:val="16"/>
        </w:rPr>
        <w:t>≥</w:t>
      </w:r>
      <w:r w:rsidR="001244C4" w:rsidRPr="0005240E">
        <w:rPr>
          <w:sz w:val="16"/>
          <w:szCs w:val="16"/>
        </w:rPr>
        <w:t>18 ans)</w:t>
      </w:r>
      <w:r w:rsidR="003B6FA2" w:rsidRPr="0005240E">
        <w:rPr>
          <w:sz w:val="16"/>
          <w:szCs w:val="16"/>
        </w:rPr>
        <w:t xml:space="preserve"> avec</w:t>
      </w:r>
      <w:r w:rsidR="001244C4" w:rsidRPr="0005240E">
        <w:rPr>
          <w:sz w:val="16"/>
          <w:szCs w:val="16"/>
        </w:rPr>
        <w:t xml:space="preserve"> les vaccins originaux à ARNm contre la COVID-19 </w:t>
      </w:r>
      <w:r w:rsidR="006A58BB" w:rsidRPr="0005240E">
        <w:rPr>
          <w:sz w:val="16"/>
          <w:szCs w:val="16"/>
        </w:rPr>
        <w:t xml:space="preserve">qui </w:t>
      </w:r>
      <w:r w:rsidR="001244C4" w:rsidRPr="0005240E">
        <w:rPr>
          <w:sz w:val="16"/>
          <w:szCs w:val="16"/>
        </w:rPr>
        <w:t xml:space="preserve">suggèrent que le vaccin original </w:t>
      </w:r>
      <w:proofErr w:type="spellStart"/>
      <w:r w:rsidR="00A01828" w:rsidRPr="0005240E">
        <w:rPr>
          <w:sz w:val="16"/>
          <w:szCs w:val="16"/>
        </w:rPr>
        <w:t>Spikevax</w:t>
      </w:r>
      <w:proofErr w:type="spellEnd"/>
      <w:r w:rsidR="00A01828" w:rsidRPr="0005240E">
        <w:rPr>
          <w:sz w:val="16"/>
          <w:szCs w:val="16"/>
        </w:rPr>
        <w:t xml:space="preserve"> de Moderna </w:t>
      </w:r>
      <w:r w:rsidR="001244C4" w:rsidRPr="0005240E">
        <w:rPr>
          <w:sz w:val="16"/>
          <w:szCs w:val="16"/>
        </w:rPr>
        <w:t>(100 </w:t>
      </w:r>
      <w:proofErr w:type="spellStart"/>
      <w:r w:rsidR="001244C4" w:rsidRPr="0005240E">
        <w:rPr>
          <w:sz w:val="16"/>
          <w:szCs w:val="16"/>
        </w:rPr>
        <w:t>mcg</w:t>
      </w:r>
      <w:proofErr w:type="spellEnd"/>
      <w:r w:rsidR="001244C4" w:rsidRPr="0005240E">
        <w:rPr>
          <w:sz w:val="16"/>
          <w:szCs w:val="16"/>
        </w:rPr>
        <w:t xml:space="preserve">) pourrait accroître l’efficacité du vaccin après une série primaire </w:t>
      </w:r>
      <w:r w:rsidR="00865368" w:rsidRPr="0005240E">
        <w:rPr>
          <w:sz w:val="16"/>
          <w:szCs w:val="16"/>
        </w:rPr>
        <w:t>de</w:t>
      </w:r>
      <w:r w:rsidR="001244C4" w:rsidRPr="0005240E">
        <w:rPr>
          <w:sz w:val="16"/>
          <w:szCs w:val="16"/>
        </w:rPr>
        <w:t xml:space="preserve"> 2 doses comparativement à la série originale de </w:t>
      </w:r>
      <w:proofErr w:type="spellStart"/>
      <w:r w:rsidR="00A01828" w:rsidRPr="0005240E">
        <w:rPr>
          <w:sz w:val="16"/>
          <w:szCs w:val="16"/>
        </w:rPr>
        <w:t>Comirnaty</w:t>
      </w:r>
      <w:proofErr w:type="spellEnd"/>
      <w:r w:rsidR="00A01828" w:rsidRPr="0005240E">
        <w:rPr>
          <w:sz w:val="16"/>
          <w:szCs w:val="16"/>
        </w:rPr>
        <w:t xml:space="preserve"> de Pfizer-BioNTech</w:t>
      </w:r>
      <w:r w:rsidR="001244C4" w:rsidRPr="0005240E">
        <w:rPr>
          <w:sz w:val="16"/>
          <w:szCs w:val="16"/>
        </w:rPr>
        <w:t xml:space="preserve"> (30 </w:t>
      </w:r>
      <w:proofErr w:type="spellStart"/>
      <w:r w:rsidR="001244C4" w:rsidRPr="0005240E">
        <w:rPr>
          <w:sz w:val="16"/>
          <w:szCs w:val="16"/>
        </w:rPr>
        <w:t>mcg</w:t>
      </w:r>
      <w:proofErr w:type="spellEnd"/>
      <w:r w:rsidR="001244C4" w:rsidRPr="0005240E">
        <w:rPr>
          <w:sz w:val="16"/>
          <w:szCs w:val="16"/>
        </w:rPr>
        <w:t>) et est associé à un taux de séroconversion plus élevé chez les patients adultes immunodéprimés</w:t>
      </w:r>
      <w:r w:rsidR="55A36DBB" w:rsidRPr="0005240E">
        <w:rPr>
          <w:sz w:val="16"/>
          <w:szCs w:val="16"/>
        </w:rPr>
        <w:t>.</w:t>
      </w:r>
    </w:p>
    <w:p w14:paraId="64D977D3" w14:textId="62AC4EC3" w:rsidR="00565D36" w:rsidRPr="0005240E" w:rsidRDefault="006424C7" w:rsidP="006424C7">
      <w:pPr>
        <w:pStyle w:val="ListParagraph"/>
        <w:numPr>
          <w:ilvl w:val="0"/>
          <w:numId w:val="5"/>
        </w:numPr>
        <w:tabs>
          <w:tab w:val="left" w:pos="0"/>
        </w:tabs>
        <w:ind w:left="142" w:right="-648" w:hanging="426"/>
        <w:rPr>
          <w:sz w:val="16"/>
          <w:szCs w:val="16"/>
        </w:rPr>
      </w:pPr>
      <w:r w:rsidRPr="0005240E">
        <w:rPr>
          <w:sz w:val="16"/>
        </w:rPr>
        <w:t xml:space="preserve">Le Comité consultatif national de l’immunisation (CCNI) recommande de préférence les vaccins à ARNm en raison de leur efficacité élevée démontrée et de leur profil de sécurité favorable. </w:t>
      </w:r>
    </w:p>
    <w:p w14:paraId="218B67DE" w14:textId="511EFDFB" w:rsidR="000C0605" w:rsidRPr="0005240E" w:rsidRDefault="001244C4" w:rsidP="33BEF40A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b/>
          <w:bCs/>
          <w:sz w:val="24"/>
          <w:szCs w:val="24"/>
        </w:rPr>
      </w:pPr>
      <w:r w:rsidRPr="0005240E">
        <w:br w:type="page"/>
      </w:r>
    </w:p>
    <w:p w14:paraId="32B696C5" w14:textId="2398373A" w:rsidR="006D2290" w:rsidRPr="0005240E" w:rsidRDefault="006D2290" w:rsidP="006D2290">
      <w:pPr>
        <w:rPr>
          <w:b/>
        </w:rPr>
      </w:pPr>
      <w:bookmarkStart w:id="1" w:name="Table2"/>
      <w:r w:rsidRPr="0005240E">
        <w:rPr>
          <w:b/>
        </w:rPr>
        <w:lastRenderedPageBreak/>
        <w:t>Tableau 2</w:t>
      </w:r>
      <w:bookmarkEnd w:id="1"/>
      <w:r w:rsidRPr="0005240E">
        <w:rPr>
          <w:b/>
        </w:rPr>
        <w:t> : Recommandations pour la vaccination de rappel selon l’âge, le statut de risque et le produit</w:t>
      </w:r>
    </w:p>
    <w:p w14:paraId="4D4A99B1" w14:textId="77777777" w:rsidR="005322E7" w:rsidRPr="0005240E" w:rsidRDefault="00CE7F3B" w:rsidP="0062654C">
      <w:pPr>
        <w:spacing w:after="0" w:line="240" w:lineRule="auto"/>
        <w:rPr>
          <w:sz w:val="20"/>
          <w:szCs w:val="20"/>
        </w:rPr>
      </w:pPr>
      <w:r w:rsidRPr="0005240E">
        <w:rPr>
          <w:b/>
          <w:sz w:val="20"/>
        </w:rPr>
        <w:t>Notes générales :</w:t>
      </w:r>
      <w:r w:rsidRPr="0005240E">
        <w:rPr>
          <w:sz w:val="20"/>
        </w:rPr>
        <w:t xml:space="preserve"> </w:t>
      </w:r>
    </w:p>
    <w:p w14:paraId="6028877B" w14:textId="77777777" w:rsidR="004F0E5C" w:rsidRPr="0005240E" w:rsidRDefault="00CE7F3B" w:rsidP="0062654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  <w:szCs w:val="20"/>
        </w:rPr>
        <w:t>Pour la dose de rappel, les produits recommandés sont les formulations bivalentes à ARNm (contenant de l’ARNm codant pour la souche originale et soit Omicron BA.1, soit BA.4/BA.5). Les produits originaux peuvent être offerts comme</w:t>
      </w:r>
      <w:r w:rsidR="00CE41A7" w:rsidRPr="0005240E">
        <w:rPr>
          <w:sz w:val="20"/>
          <w:szCs w:val="20"/>
        </w:rPr>
        <w:t xml:space="preserve"> dose de</w:t>
      </w:r>
      <w:r w:rsidRPr="0005240E">
        <w:rPr>
          <w:sz w:val="20"/>
          <w:szCs w:val="20"/>
        </w:rPr>
        <w:t xml:space="preserve"> rappel à ceux qui ne veulent pas recevoir un produit bivalent, mais ne sont pas résumés ici. </w:t>
      </w:r>
    </w:p>
    <w:p w14:paraId="289B4292" w14:textId="5D5A9843" w:rsidR="006D2290" w:rsidRPr="0005240E" w:rsidRDefault="00CE7F3B" w:rsidP="0062654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bookmarkStart w:id="2" w:name="Interval"/>
      <w:r w:rsidRPr="29166130">
        <w:rPr>
          <w:sz w:val="20"/>
          <w:szCs w:val="20"/>
        </w:rPr>
        <w:t>Les</w:t>
      </w:r>
      <w:bookmarkEnd w:id="2"/>
      <w:r w:rsidRPr="29166130">
        <w:rPr>
          <w:sz w:val="20"/>
          <w:szCs w:val="20"/>
        </w:rPr>
        <w:t xml:space="preserve"> doses de rappels sont offertes au moins 6 mois après la fin de la série primaire, d’une dose de rappel précédente ou d’une infection par la COVID-19, selon la dernière éventualité.</w:t>
      </w:r>
    </w:p>
    <w:p w14:paraId="6592BDC0" w14:textId="5E8279D0" w:rsidR="00EC02FE" w:rsidRPr="0005240E" w:rsidRDefault="00EC02FE" w:rsidP="00EC02F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5240E">
        <w:rPr>
          <w:sz w:val="20"/>
          <w:szCs w:val="20"/>
        </w:rPr>
        <w:t xml:space="preserve">Vous trouverez plus de détails dans le </w:t>
      </w:r>
      <w:hyperlink r:id="rId13">
        <w:r w:rsidRPr="0005240E">
          <w:rPr>
            <w:rStyle w:val="Hyperlink"/>
            <w:sz w:val="20"/>
            <w:szCs w:val="20"/>
          </w:rPr>
          <w:t>Guide canadien d'immunisation</w:t>
        </w:r>
      </w:hyperlink>
      <w:r w:rsidR="00202C3E" w:rsidRPr="0005240E">
        <w:rPr>
          <w:sz w:val="20"/>
          <w:szCs w:val="20"/>
        </w:rPr>
        <w:t xml:space="preserve"> basé sur les recommandations du CCNI.</w:t>
      </w:r>
    </w:p>
    <w:p w14:paraId="435356BC" w14:textId="77777777" w:rsidR="004F0E5C" w:rsidRPr="0005240E" w:rsidRDefault="004F0E5C" w:rsidP="00987F2C">
      <w:pPr>
        <w:pStyle w:val="ListParagraph"/>
        <w:spacing w:after="0" w:line="240" w:lineRule="auto"/>
        <w:ind w:left="360"/>
        <w:rPr>
          <w:sz w:val="20"/>
          <w:szCs w:val="20"/>
        </w:rPr>
      </w:pP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1701"/>
        <w:gridCol w:w="1701"/>
        <w:gridCol w:w="1701"/>
        <w:gridCol w:w="1560"/>
      </w:tblGrid>
      <w:tr w:rsidR="00AA56ED" w:rsidRPr="0005240E" w14:paraId="00C3D3A8" w14:textId="77777777" w:rsidTr="29166130">
        <w:trPr>
          <w:tblHeader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14:paraId="67CB95E7" w14:textId="1CA4BB93" w:rsidR="00EA3A60" w:rsidRPr="0005240E" w:rsidRDefault="00EA3A60" w:rsidP="009B188C">
            <w:pPr>
              <w:jc w:val="center"/>
              <w:rPr>
                <w:b/>
              </w:rPr>
            </w:pPr>
            <w:r w:rsidRPr="0005240E">
              <w:rPr>
                <w:b/>
              </w:rPr>
              <w:t>Dose de rappel</w:t>
            </w:r>
          </w:p>
          <w:p w14:paraId="03D8D7DE" w14:textId="77777777" w:rsidR="00EA3A60" w:rsidRPr="0005240E" w:rsidRDefault="00EA3A60" w:rsidP="009B188C">
            <w:pPr>
              <w:jc w:val="center"/>
              <w:rPr>
                <w:b/>
              </w:rPr>
            </w:pPr>
          </w:p>
          <w:p w14:paraId="3A9A21BE" w14:textId="5D0DC597" w:rsidR="006720DF" w:rsidRPr="0005240E" w:rsidRDefault="00420A3A" w:rsidP="009B188C">
            <w:pPr>
              <w:jc w:val="center"/>
              <w:rPr>
                <w:b/>
              </w:rPr>
            </w:pPr>
            <w:r w:rsidRPr="0005240E">
              <w:rPr>
                <w:b/>
              </w:rPr>
              <w:t>Âge</w:t>
            </w:r>
            <w:r w:rsidR="00FF35C8">
              <w:rPr>
                <w:b/>
              </w:rPr>
              <w:t xml:space="preserve"> </w:t>
            </w:r>
            <w:r w:rsidRPr="0005240E">
              <w:rPr>
                <w:b/>
              </w:rPr>
              <w:t>/</w:t>
            </w:r>
            <w:r w:rsidR="00FF35C8">
              <w:rPr>
                <w:b/>
              </w:rPr>
              <w:t xml:space="preserve"> </w:t>
            </w:r>
            <w:r w:rsidRPr="0005240E">
              <w:rPr>
                <w:b/>
              </w:rPr>
              <w:t>statut de risque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60D44FF" w14:textId="67BEBAB1" w:rsidR="006720DF" w:rsidRPr="0005240E" w:rsidRDefault="00B07054" w:rsidP="00FF35C8">
            <w:pPr>
              <w:jc w:val="center"/>
              <w:rPr>
                <w:b/>
              </w:rPr>
            </w:pPr>
            <w:r w:rsidRPr="0005240E">
              <w:rPr>
                <w:b/>
              </w:rPr>
              <w:t>CCNI</w:t>
            </w:r>
            <w:r w:rsidR="00FF35C8">
              <w:rPr>
                <w:b/>
              </w:rPr>
              <w:t xml:space="preserve"> </w:t>
            </w:r>
            <w:r w:rsidR="00202C3E" w:rsidRPr="0005240E">
              <w:rPr>
                <w:b/>
              </w:rPr>
              <w:t>r</w:t>
            </w:r>
            <w:r w:rsidRPr="0005240E">
              <w:rPr>
                <w:b/>
              </w:rPr>
              <w:t>ecommandations</w:t>
            </w:r>
          </w:p>
        </w:tc>
        <w:tc>
          <w:tcPr>
            <w:tcW w:w="1701" w:type="dxa"/>
            <w:shd w:val="clear" w:color="auto" w:fill="F37C19"/>
          </w:tcPr>
          <w:p w14:paraId="061CD5B7" w14:textId="77777777" w:rsidR="006720DF" w:rsidRPr="0005240E" w:rsidRDefault="006720DF" w:rsidP="006720DF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Comirnaty</w:t>
            </w:r>
            <w:proofErr w:type="spellEnd"/>
            <w:r w:rsidRPr="0005240E">
              <w:rPr>
                <w:b/>
              </w:rPr>
              <w:t xml:space="preserve"> de Pfizer-BioNTech</w:t>
            </w:r>
          </w:p>
          <w:p w14:paraId="05ECA0D7" w14:textId="77777777" w:rsidR="006720DF" w:rsidRPr="0005240E" w:rsidRDefault="006720DF" w:rsidP="006720DF">
            <w:pPr>
              <w:jc w:val="center"/>
              <w:rPr>
                <w:b/>
              </w:rPr>
            </w:pPr>
            <w:r w:rsidRPr="0005240E">
              <w:rPr>
                <w:b/>
              </w:rPr>
              <w:t>Bivalent BA.4/BA.5</w:t>
            </w:r>
          </w:p>
          <w:p w14:paraId="6BC20583" w14:textId="7DED698F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d’original et 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d’Omicron BA.4/BA.5 par dose de 0,2 ml</w:t>
            </w:r>
          </w:p>
          <w:p w14:paraId="0D5A709F" w14:textId="5CBDA5AA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Bouchon et étiquette orange</w:t>
            </w:r>
          </w:p>
          <w:p w14:paraId="2522DF31" w14:textId="3EB79E60" w:rsidR="00496D12" w:rsidRPr="0005240E" w:rsidRDefault="00496D12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5 à 11 ans</w:t>
            </w:r>
          </w:p>
          <w:p w14:paraId="619F4B51" w14:textId="74EA87D7" w:rsidR="006720DF" w:rsidRPr="0005240E" w:rsidRDefault="05EE185B" w:rsidP="77656127">
            <w:pPr>
              <w:jc w:val="center"/>
              <w:rPr>
                <w:sz w:val="24"/>
                <w:szCs w:val="24"/>
              </w:rPr>
            </w:pPr>
            <w:r w:rsidRPr="0005240E">
              <w:rPr>
                <w:sz w:val="16"/>
                <w:szCs w:val="16"/>
              </w:rPr>
              <w:t>1</w:t>
            </w:r>
            <w:r w:rsidR="58711451" w:rsidRPr="0005240E">
              <w:rPr>
                <w:sz w:val="16"/>
                <w:szCs w:val="16"/>
              </w:rPr>
              <w:t>,</w:t>
            </w:r>
            <w:r w:rsidRPr="0005240E">
              <w:rPr>
                <w:sz w:val="16"/>
                <w:szCs w:val="16"/>
              </w:rPr>
              <w:t>3 ml de diluant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553E9A1" w14:textId="77777777" w:rsidR="00233C31" w:rsidRPr="0005240E" w:rsidRDefault="00C02636" w:rsidP="006720DF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Comirnaty</w:t>
            </w:r>
            <w:proofErr w:type="spellEnd"/>
            <w:r w:rsidRPr="0005240E">
              <w:rPr>
                <w:b/>
              </w:rPr>
              <w:t xml:space="preserve"> de Pfizer-BioNTech</w:t>
            </w:r>
          </w:p>
          <w:p w14:paraId="20FC2484" w14:textId="5183B8C3" w:rsidR="006720DF" w:rsidRPr="0005240E" w:rsidRDefault="006720DF" w:rsidP="006720DF">
            <w:pPr>
              <w:jc w:val="center"/>
              <w:rPr>
                <w:b/>
              </w:rPr>
            </w:pPr>
            <w:r w:rsidRPr="0005240E">
              <w:rPr>
                <w:b/>
              </w:rPr>
              <w:t>Bivalent BA.4/BA.5</w:t>
            </w:r>
          </w:p>
          <w:p w14:paraId="110B6965" w14:textId="5AA2B5FF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15 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d’original et 15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d’Omicron BA.4/BA.5 par dose de 0,3 ml</w:t>
            </w:r>
          </w:p>
          <w:p w14:paraId="7DD6EF7A" w14:textId="0FCAE835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Bouchon et étiquette gris</w:t>
            </w:r>
          </w:p>
          <w:p w14:paraId="25438DBC" w14:textId="13C577B4" w:rsidR="00496D12" w:rsidRPr="0005240E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12 ans</w:t>
            </w:r>
          </w:p>
          <w:p w14:paraId="39AE0678" w14:textId="5507F709" w:rsidR="006720DF" w:rsidRPr="0005240E" w:rsidRDefault="006720DF" w:rsidP="006720DF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83AB291" w14:textId="4D29A169" w:rsidR="002D4CFB" w:rsidRPr="0005240E" w:rsidRDefault="00000F92" w:rsidP="006720DF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Spikevax</w:t>
            </w:r>
            <w:proofErr w:type="spellEnd"/>
            <w:r w:rsidRPr="0005240E">
              <w:rPr>
                <w:b/>
              </w:rPr>
              <w:t xml:space="preserve"> de Moderna </w:t>
            </w:r>
            <w:r w:rsidR="006720DF" w:rsidRPr="0005240E">
              <w:rPr>
                <w:b/>
              </w:rPr>
              <w:t xml:space="preserve">Bivalent </w:t>
            </w:r>
          </w:p>
          <w:p w14:paraId="03EBF561" w14:textId="77777777" w:rsidR="002D4CFB" w:rsidRPr="0005240E" w:rsidRDefault="006720DF" w:rsidP="006720DF">
            <w:pPr>
              <w:jc w:val="center"/>
              <w:rPr>
                <w:b/>
              </w:rPr>
            </w:pPr>
            <w:r w:rsidRPr="0005240E">
              <w:rPr>
                <w:b/>
              </w:rPr>
              <w:t xml:space="preserve">BA.1 </w:t>
            </w:r>
          </w:p>
          <w:p w14:paraId="31B04D6E" w14:textId="356EDF6F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0,1 mg</w:t>
            </w:r>
            <w:r w:rsidR="00E55E51" w:rsidRPr="0005240E">
              <w:rPr>
                <w:sz w:val="16"/>
              </w:rPr>
              <w:t xml:space="preserve"> par </w:t>
            </w:r>
            <w:r w:rsidRPr="0005240E">
              <w:rPr>
                <w:sz w:val="16"/>
              </w:rPr>
              <w:t>ml</w:t>
            </w:r>
          </w:p>
          <w:p w14:paraId="287599B6" w14:textId="11701E80" w:rsidR="00CE7F3B" w:rsidRPr="0005240E" w:rsidRDefault="00CE7F3B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25 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d’original et 25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d’Omicron BA.1 par dose de 0,5 ml</w:t>
            </w:r>
          </w:p>
          <w:p w14:paraId="53973E51" w14:textId="51220D97" w:rsidR="006720DF" w:rsidRPr="0005240E" w:rsidRDefault="00A667ED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 xml:space="preserve">Bouchon </w:t>
            </w:r>
            <w:r w:rsidR="006720DF" w:rsidRPr="0005240E">
              <w:rPr>
                <w:sz w:val="16"/>
              </w:rPr>
              <w:t>bleu royal et bordure d’étiquette verte</w:t>
            </w:r>
          </w:p>
          <w:p w14:paraId="020650BE" w14:textId="36743038" w:rsidR="00496D12" w:rsidRPr="0005240E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 xml:space="preserve">≥ </w:t>
            </w:r>
            <w:r w:rsidR="00B301B1" w:rsidRPr="0005240E">
              <w:rPr>
                <w:b/>
                <w:sz w:val="16"/>
              </w:rPr>
              <w:t>6</w:t>
            </w:r>
            <w:r w:rsidRPr="0005240E">
              <w:rPr>
                <w:b/>
                <w:sz w:val="16"/>
              </w:rPr>
              <w:t> ans</w:t>
            </w:r>
          </w:p>
          <w:p w14:paraId="6C3E7C98" w14:textId="77777777" w:rsidR="006720DF" w:rsidRPr="0005240E" w:rsidRDefault="006720DF" w:rsidP="006720DF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C072C60" w14:textId="77F8B376" w:rsidR="006720DF" w:rsidRPr="0005240E" w:rsidRDefault="00000F92" w:rsidP="006720DF">
            <w:pPr>
              <w:jc w:val="center"/>
              <w:rPr>
                <w:b/>
              </w:rPr>
            </w:pPr>
            <w:proofErr w:type="spellStart"/>
            <w:r w:rsidRPr="0005240E">
              <w:rPr>
                <w:b/>
              </w:rPr>
              <w:t>Spikevax</w:t>
            </w:r>
            <w:proofErr w:type="spellEnd"/>
            <w:r w:rsidRPr="0005240E">
              <w:rPr>
                <w:b/>
              </w:rPr>
              <w:t xml:space="preserve"> de Moderna </w:t>
            </w:r>
            <w:r w:rsidR="00CE7F3B" w:rsidRPr="0005240E">
              <w:rPr>
                <w:b/>
              </w:rPr>
              <w:t>Bivalent BA.4/BA.5</w:t>
            </w:r>
          </w:p>
          <w:p w14:paraId="794FEB6D" w14:textId="6A5CA040" w:rsidR="00CE7F3B" w:rsidRPr="0005240E" w:rsidRDefault="00CE7F3B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0,1 mg</w:t>
            </w:r>
            <w:r w:rsidR="00A92D9D" w:rsidRPr="0005240E">
              <w:rPr>
                <w:sz w:val="16"/>
              </w:rPr>
              <w:t xml:space="preserve"> par </w:t>
            </w:r>
            <w:r w:rsidRPr="0005240E">
              <w:rPr>
                <w:sz w:val="16"/>
              </w:rPr>
              <w:t>ml</w:t>
            </w:r>
          </w:p>
          <w:p w14:paraId="31095F44" w14:textId="154EC79B" w:rsidR="006720DF" w:rsidRPr="0005240E" w:rsidRDefault="00CE7F3B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25 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d’original et 25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d’Omicron BA.4/BA.5 par dose de 0,5 ml</w:t>
            </w:r>
          </w:p>
          <w:p w14:paraId="4F98787D" w14:textId="1B09B77F" w:rsidR="006720DF" w:rsidRPr="0005240E" w:rsidRDefault="00A667ED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 xml:space="preserve">Bouchon </w:t>
            </w:r>
            <w:r w:rsidR="00CE7F3B" w:rsidRPr="0005240E">
              <w:rPr>
                <w:sz w:val="16"/>
              </w:rPr>
              <w:t>bleu royal et bordure d’étiquette grise</w:t>
            </w:r>
          </w:p>
          <w:p w14:paraId="49487D65" w14:textId="0FB17C0C" w:rsidR="00496D12" w:rsidRPr="0005240E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18 ans</w:t>
            </w:r>
          </w:p>
          <w:p w14:paraId="27532383" w14:textId="77777777" w:rsidR="006720DF" w:rsidRPr="0005240E" w:rsidRDefault="006720DF" w:rsidP="006720DF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>Pas de diluant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9223AE3" w14:textId="16FAEB2E" w:rsidR="5C064DB2" w:rsidRPr="0005240E" w:rsidRDefault="5C064DB2" w:rsidP="317CFAF5">
            <w:pPr>
              <w:jc w:val="center"/>
              <w:rPr>
                <w:b/>
                <w:bCs/>
              </w:rPr>
            </w:pPr>
            <w:proofErr w:type="spellStart"/>
            <w:r w:rsidRPr="0005240E">
              <w:rPr>
                <w:b/>
                <w:bCs/>
              </w:rPr>
              <w:t>Nuvaxovid</w:t>
            </w:r>
            <w:proofErr w:type="spellEnd"/>
            <w:r w:rsidRPr="0005240E">
              <w:rPr>
                <w:b/>
                <w:bCs/>
              </w:rPr>
              <w:t xml:space="preserve"> de Novavax</w:t>
            </w:r>
          </w:p>
          <w:p w14:paraId="3526637E" w14:textId="0A4C3424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5 </w:t>
            </w:r>
            <w:proofErr w:type="spellStart"/>
            <w:r w:rsidRPr="0005240E">
              <w:rPr>
                <w:sz w:val="16"/>
              </w:rPr>
              <w:t>mcg</w:t>
            </w:r>
            <w:proofErr w:type="spellEnd"/>
            <w:r w:rsidRPr="0005240E">
              <w:rPr>
                <w:sz w:val="16"/>
              </w:rPr>
              <w:t xml:space="preserve"> par dose de 0,5 ml</w:t>
            </w:r>
          </w:p>
          <w:p w14:paraId="570E1EBC" w14:textId="72871BE2" w:rsidR="005A3453" w:rsidRPr="0005240E" w:rsidRDefault="005A3453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05240E">
              <w:rPr>
                <w:b/>
                <w:sz w:val="16"/>
              </w:rPr>
              <w:t>≥ 18 ans</w:t>
            </w:r>
          </w:p>
          <w:p w14:paraId="1CC3A1FB" w14:textId="77777777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  <w:r w:rsidRPr="0005240E">
              <w:rPr>
                <w:sz w:val="16"/>
              </w:rPr>
              <w:t>Pas de diluant</w:t>
            </w:r>
          </w:p>
          <w:p w14:paraId="1829DF6C" w14:textId="77777777" w:rsidR="006720DF" w:rsidRPr="0005240E" w:rsidRDefault="006720DF" w:rsidP="006720DF">
            <w:pPr>
              <w:jc w:val="center"/>
              <w:rPr>
                <w:sz w:val="16"/>
                <w:szCs w:val="16"/>
              </w:rPr>
            </w:pPr>
          </w:p>
          <w:p w14:paraId="196CDF6B" w14:textId="2558BA35" w:rsidR="006720DF" w:rsidRPr="0005240E" w:rsidRDefault="006720DF" w:rsidP="00D84E9F">
            <w:pPr>
              <w:jc w:val="center"/>
              <w:rPr>
                <w:b/>
                <w:sz w:val="24"/>
              </w:rPr>
            </w:pPr>
            <w:r w:rsidRPr="0005240E">
              <w:rPr>
                <w:sz w:val="16"/>
              </w:rPr>
              <w:t xml:space="preserve">Recommandé seulement si la personne ne peut ou ne veut pas recevoir le vaccin à </w:t>
            </w:r>
            <w:proofErr w:type="spellStart"/>
            <w:r w:rsidRPr="0005240E">
              <w:rPr>
                <w:sz w:val="16"/>
              </w:rPr>
              <w:t>ARNm</w:t>
            </w:r>
            <w:r w:rsidR="00D57256" w:rsidRPr="0005240E">
              <w:rPr>
                <w:sz w:val="16"/>
                <w:vertAlign w:val="superscript"/>
              </w:rPr>
              <w:t>e</w:t>
            </w:r>
            <w:proofErr w:type="spellEnd"/>
          </w:p>
        </w:tc>
      </w:tr>
      <w:tr w:rsidR="003E1A3C" w:rsidRPr="0005240E" w14:paraId="459E61D9" w14:textId="77777777" w:rsidTr="29166130">
        <w:tc>
          <w:tcPr>
            <w:tcW w:w="12895" w:type="dxa"/>
            <w:gridSpan w:val="7"/>
            <w:shd w:val="clear" w:color="auto" w:fill="DEEAF6" w:themeFill="accent1" w:themeFillTint="33"/>
          </w:tcPr>
          <w:p w14:paraId="25AEFFF7" w14:textId="5ED13FE7" w:rsidR="003E1A3C" w:rsidRPr="0005240E" w:rsidRDefault="003E1A3C" w:rsidP="006720DF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6 mois à 4 ans (moins de 5 ans)</w:t>
            </w:r>
          </w:p>
        </w:tc>
      </w:tr>
      <w:tr w:rsidR="00AA56ED" w:rsidRPr="0005240E" w14:paraId="369EC2DB" w14:textId="77777777" w:rsidTr="29166130">
        <w:tc>
          <w:tcPr>
            <w:tcW w:w="1838" w:type="dxa"/>
          </w:tcPr>
          <w:p w14:paraId="3AE7725C" w14:textId="77777777" w:rsidR="006720DF" w:rsidRPr="0005240E" w:rsidRDefault="00CE7F3B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Tous </w:t>
            </w:r>
          </w:p>
          <w:p w14:paraId="681CA7BB" w14:textId="2D075157" w:rsidR="00763335" w:rsidRPr="0005240E" w:rsidRDefault="00763335" w:rsidP="00763335">
            <w:pPr>
              <w:pStyle w:val="ListParagraph"/>
              <w:ind w:left="17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89D630D" w14:textId="77777777" w:rsidR="006720DF" w:rsidRPr="0005240E" w:rsidRDefault="006720DF" w:rsidP="006720DF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Non recommandé</w:t>
            </w:r>
          </w:p>
          <w:p w14:paraId="08EDC19E" w14:textId="77777777" w:rsidR="00763335" w:rsidRPr="0005240E" w:rsidRDefault="00763335" w:rsidP="006720DF">
            <w:pPr>
              <w:rPr>
                <w:sz w:val="18"/>
                <w:szCs w:val="18"/>
              </w:rPr>
            </w:pPr>
          </w:p>
          <w:p w14:paraId="1727D411" w14:textId="77777777" w:rsidR="00C3104A" w:rsidRDefault="00763335" w:rsidP="29166130">
            <w:pPr>
              <w:rPr>
                <w:sz w:val="18"/>
                <w:szCs w:val="18"/>
              </w:rPr>
            </w:pPr>
            <w:r w:rsidRPr="29166130">
              <w:rPr>
                <w:sz w:val="18"/>
                <w:szCs w:val="18"/>
              </w:rPr>
              <w:t>Aucun produit autorisé</w:t>
            </w:r>
          </w:p>
          <w:p w14:paraId="551B553A" w14:textId="77777777" w:rsidR="004754D1" w:rsidRDefault="004754D1" w:rsidP="29166130">
            <w:pPr>
              <w:rPr>
                <w:sz w:val="18"/>
                <w:szCs w:val="18"/>
              </w:rPr>
            </w:pPr>
          </w:p>
          <w:p w14:paraId="045B616F" w14:textId="77777777" w:rsidR="004754D1" w:rsidRDefault="004754D1" w:rsidP="006720DF">
            <w:pPr>
              <w:rPr>
                <w:sz w:val="18"/>
              </w:rPr>
            </w:pPr>
          </w:p>
          <w:p w14:paraId="2E5BB256" w14:textId="6F0A974D" w:rsidR="001D2F94" w:rsidRPr="0005240E" w:rsidRDefault="001D2F94" w:rsidP="006720DF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38F90C87" w14:textId="446281CF" w:rsidR="006720DF" w:rsidRPr="0005240E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562772D" w14:textId="77777777" w:rsidR="006720DF" w:rsidRPr="0005240E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B26F012" w14:textId="41F27F0C" w:rsidR="006720DF" w:rsidRPr="0005240E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2FD4CC44" w14:textId="77777777" w:rsidR="006720DF" w:rsidRPr="0005240E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11AD0B7F" w14:textId="77777777" w:rsidR="006720DF" w:rsidRPr="0005240E" w:rsidRDefault="006720DF" w:rsidP="006720DF">
            <w:pPr>
              <w:rPr>
                <w:sz w:val="18"/>
                <w:szCs w:val="18"/>
              </w:rPr>
            </w:pPr>
          </w:p>
        </w:tc>
      </w:tr>
      <w:tr w:rsidR="00E80423" w:rsidRPr="0005240E" w14:paraId="214D148E" w14:textId="77777777" w:rsidTr="29166130">
        <w:tc>
          <w:tcPr>
            <w:tcW w:w="1838" w:type="dxa"/>
            <w:shd w:val="clear" w:color="auto" w:fill="DEEAF6" w:themeFill="accent1" w:themeFillTint="33"/>
          </w:tcPr>
          <w:p w14:paraId="347E5BFD" w14:textId="6B805BC4" w:rsidR="00E80423" w:rsidRPr="0005240E" w:rsidRDefault="00606075" w:rsidP="009D7B35">
            <w:pPr>
              <w:rPr>
                <w:b/>
                <w:sz w:val="18"/>
              </w:rPr>
            </w:pPr>
            <w:r w:rsidRPr="0005240E">
              <w:rPr>
                <w:b/>
                <w:sz w:val="18"/>
              </w:rPr>
              <w:t>5 ans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E9BDA77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6C18F419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14596071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43D57E2E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70568E37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439AB636" w14:textId="77777777" w:rsidR="00E80423" w:rsidRPr="0005240E" w:rsidRDefault="00E80423" w:rsidP="006720DF">
            <w:pPr>
              <w:rPr>
                <w:sz w:val="18"/>
                <w:szCs w:val="18"/>
              </w:rPr>
            </w:pPr>
          </w:p>
        </w:tc>
      </w:tr>
      <w:tr w:rsidR="00606075" w:rsidRPr="0005240E" w14:paraId="7578774B" w14:textId="77777777" w:rsidTr="29166130">
        <w:tc>
          <w:tcPr>
            <w:tcW w:w="1838" w:type="dxa"/>
          </w:tcPr>
          <w:p w14:paraId="5FC55BCC" w14:textId="0967C1EC" w:rsidR="00606075" w:rsidRPr="0005240E" w:rsidRDefault="00606075" w:rsidP="00606075">
            <w:pPr>
              <w:rPr>
                <w:b/>
                <w:sz w:val="18"/>
              </w:rPr>
            </w:pPr>
            <w:r w:rsidRPr="0005240E">
              <w:rPr>
                <w:sz w:val="18"/>
              </w:rPr>
              <w:t>P</w:t>
            </w:r>
            <w:r w:rsidR="008932AA" w:rsidRPr="0005240E">
              <w:rPr>
                <w:sz w:val="18"/>
              </w:rPr>
              <w:t>AS</w:t>
            </w:r>
            <w:r w:rsidRPr="0005240E">
              <w:rPr>
                <w:sz w:val="18"/>
              </w:rPr>
              <w:t xml:space="preserve"> de risque accru de maladie </w:t>
            </w:r>
            <w:proofErr w:type="spellStart"/>
            <w:r w:rsidRPr="0005240E">
              <w:rPr>
                <w:sz w:val="18"/>
              </w:rPr>
              <w:t>grave</w:t>
            </w:r>
            <w:r w:rsidR="00965B89" w:rsidRPr="0005240E">
              <w:rPr>
                <w:sz w:val="18"/>
                <w:vertAlign w:val="superscript"/>
              </w:rPr>
              <w:t>a</w:t>
            </w:r>
            <w:proofErr w:type="spellEnd"/>
          </w:p>
        </w:tc>
        <w:tc>
          <w:tcPr>
            <w:tcW w:w="2693" w:type="dxa"/>
          </w:tcPr>
          <w:p w14:paraId="396F3DA3" w14:textId="77777777" w:rsidR="00606075" w:rsidRPr="0005240E" w:rsidRDefault="00606075" w:rsidP="00606075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Une dose de rappel peut être offerte</w:t>
            </w:r>
          </w:p>
          <w:p w14:paraId="7B9C602A" w14:textId="77777777" w:rsidR="00606075" w:rsidRPr="0005240E" w:rsidRDefault="00606075" w:rsidP="00606075">
            <w:pPr>
              <w:rPr>
                <w:sz w:val="18"/>
              </w:rPr>
            </w:pPr>
          </w:p>
          <w:p w14:paraId="3922362D" w14:textId="77777777" w:rsidR="00606075" w:rsidRPr="0005240E" w:rsidRDefault="00606075" w:rsidP="00606075">
            <w:pPr>
              <w:rPr>
                <w:sz w:val="18"/>
              </w:rPr>
            </w:pPr>
            <w:r w:rsidRPr="0005240E">
              <w:rPr>
                <w:sz w:val="18"/>
              </w:rPr>
              <w:t>Seul Pfizer-BioNTech est autorisé</w:t>
            </w:r>
          </w:p>
          <w:p w14:paraId="315F98B2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ABC8E4" w14:textId="3F7E9346" w:rsidR="00606075" w:rsidRPr="0005240E" w:rsidRDefault="00606075" w:rsidP="00606075">
            <w:pPr>
              <w:rPr>
                <w:sz w:val="18"/>
              </w:rPr>
            </w:pP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  <w:r w:rsidR="00EF4E26" w:rsidRPr="0005240E">
              <w:rPr>
                <w:sz w:val="18"/>
              </w:rPr>
              <w:t>;</w:t>
            </w:r>
          </w:p>
          <w:p w14:paraId="43B5BCDC" w14:textId="77777777" w:rsidR="00457430" w:rsidRPr="0005240E" w:rsidRDefault="00457430" w:rsidP="00606075">
            <w:pPr>
              <w:rPr>
                <w:sz w:val="18"/>
              </w:rPr>
            </w:pPr>
            <w:r w:rsidRPr="0005240E">
              <w:rPr>
                <w:sz w:val="18"/>
              </w:rPr>
              <w:t xml:space="preserve">5 </w:t>
            </w:r>
            <w:r w:rsidR="002662C9" w:rsidRPr="0005240E">
              <w:rPr>
                <w:sz w:val="18"/>
              </w:rPr>
              <w:t>à</w:t>
            </w:r>
            <w:r w:rsidRPr="0005240E">
              <w:rPr>
                <w:sz w:val="18"/>
              </w:rPr>
              <w:t xml:space="preserve"> </w:t>
            </w:r>
            <w:r w:rsidR="002662C9" w:rsidRPr="0005240E">
              <w:rPr>
                <w:sz w:val="18"/>
              </w:rPr>
              <w:t>11 ans</w:t>
            </w:r>
          </w:p>
          <w:p w14:paraId="2B178256" w14:textId="77777777" w:rsidR="003B276E" w:rsidRPr="0005240E" w:rsidRDefault="003B276E" w:rsidP="00606075">
            <w:pPr>
              <w:rPr>
                <w:sz w:val="18"/>
                <w:szCs w:val="18"/>
              </w:rPr>
            </w:pPr>
          </w:p>
          <w:p w14:paraId="3B71BA9B" w14:textId="745CE704" w:rsidR="003B276E" w:rsidRPr="0005240E" w:rsidRDefault="003B276E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1510B343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3CB9DAD8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10D7193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3BCAFDD4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</w:tr>
      <w:tr w:rsidR="00606075" w:rsidRPr="0005240E" w14:paraId="055D3251" w14:textId="77777777" w:rsidTr="29166130">
        <w:tc>
          <w:tcPr>
            <w:tcW w:w="1838" w:type="dxa"/>
          </w:tcPr>
          <w:p w14:paraId="32230A6E" w14:textId="18246961" w:rsidR="00606075" w:rsidRPr="0005240E" w:rsidRDefault="00606075" w:rsidP="00606075">
            <w:pPr>
              <w:rPr>
                <w:b/>
                <w:sz w:val="18"/>
              </w:rPr>
            </w:pPr>
            <w:r w:rsidRPr="0005240E">
              <w:rPr>
                <w:sz w:val="18"/>
              </w:rPr>
              <w:t xml:space="preserve">Risque accru de maladie </w:t>
            </w:r>
            <w:proofErr w:type="spellStart"/>
            <w:r w:rsidRPr="0005240E">
              <w:rPr>
                <w:sz w:val="18"/>
              </w:rPr>
              <w:t>grave</w:t>
            </w:r>
            <w:r w:rsidR="00965B89" w:rsidRPr="0005240E">
              <w:rPr>
                <w:sz w:val="18"/>
                <w:vertAlign w:val="superscript"/>
              </w:rPr>
              <w:t>a</w:t>
            </w:r>
            <w:proofErr w:type="spellEnd"/>
            <w:r w:rsidRPr="0005240E">
              <w:rPr>
                <w:sz w:val="18"/>
              </w:rPr>
              <w:t xml:space="preserve"> </w:t>
            </w:r>
          </w:p>
        </w:tc>
        <w:tc>
          <w:tcPr>
            <w:tcW w:w="2693" w:type="dxa"/>
          </w:tcPr>
          <w:p w14:paraId="343BE5D5" w14:textId="2E2CE2D7" w:rsidR="00606075" w:rsidRPr="0005240E" w:rsidRDefault="00606075" w:rsidP="00606075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Une dose de rappel devrait être </w:t>
            </w:r>
            <w:proofErr w:type="spellStart"/>
            <w:r w:rsidRPr="0005240E">
              <w:rPr>
                <w:sz w:val="18"/>
              </w:rPr>
              <w:t>offerte</w:t>
            </w:r>
            <w:r w:rsidR="00965B89" w:rsidRPr="0005240E">
              <w:rPr>
                <w:sz w:val="18"/>
                <w:vertAlign w:val="superscript"/>
              </w:rPr>
              <w:t>b</w:t>
            </w:r>
            <w:proofErr w:type="spellEnd"/>
          </w:p>
          <w:p w14:paraId="78ECF1F2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  <w:p w14:paraId="0553F45B" w14:textId="350ABB63" w:rsidR="00606075" w:rsidRPr="0005240E" w:rsidRDefault="00606075" w:rsidP="00606075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Seul Pfizer-BioNTech est autorisé</w:t>
            </w:r>
          </w:p>
        </w:tc>
        <w:tc>
          <w:tcPr>
            <w:tcW w:w="1701" w:type="dxa"/>
            <w:shd w:val="clear" w:color="auto" w:fill="auto"/>
          </w:tcPr>
          <w:p w14:paraId="651BAB43" w14:textId="75E4AC5C" w:rsidR="00606075" w:rsidRPr="0005240E" w:rsidRDefault="00606075" w:rsidP="00606075">
            <w:pPr>
              <w:rPr>
                <w:sz w:val="18"/>
              </w:rPr>
            </w:pP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  <w:r w:rsidR="00EF4E26" w:rsidRPr="0005240E">
              <w:rPr>
                <w:sz w:val="18"/>
              </w:rPr>
              <w:t>;</w:t>
            </w:r>
          </w:p>
          <w:p w14:paraId="609F5B87" w14:textId="77777777" w:rsidR="002662C9" w:rsidRPr="0005240E" w:rsidRDefault="002662C9" w:rsidP="00606075">
            <w:pPr>
              <w:rPr>
                <w:sz w:val="18"/>
              </w:rPr>
            </w:pPr>
            <w:r w:rsidRPr="0005240E">
              <w:rPr>
                <w:sz w:val="18"/>
              </w:rPr>
              <w:t>5 à 11 ans</w:t>
            </w:r>
          </w:p>
          <w:p w14:paraId="4B32BBD6" w14:textId="77777777" w:rsidR="003B276E" w:rsidRPr="0005240E" w:rsidRDefault="003B276E" w:rsidP="00606075">
            <w:pPr>
              <w:rPr>
                <w:sz w:val="18"/>
              </w:rPr>
            </w:pPr>
          </w:p>
          <w:p w14:paraId="00D20B19" w14:textId="5C873CC2" w:rsidR="003B276E" w:rsidRPr="0005240E" w:rsidRDefault="003B276E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15006EDD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CA9D147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29CE7097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6FC22047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</w:tr>
      <w:tr w:rsidR="00606075" w:rsidRPr="0005240E" w14:paraId="29F70849" w14:textId="77777777" w:rsidTr="29166130">
        <w:tc>
          <w:tcPr>
            <w:tcW w:w="1838" w:type="dxa"/>
            <w:shd w:val="clear" w:color="auto" w:fill="DEEAF6" w:themeFill="accent1" w:themeFillTint="33"/>
          </w:tcPr>
          <w:p w14:paraId="63071EA0" w14:textId="530483F0" w:rsidR="00606075" w:rsidRPr="0005240E" w:rsidRDefault="00606075" w:rsidP="00606075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lastRenderedPageBreak/>
              <w:t>6 à 11 ans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232EBA57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52AF69C1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2E78FC43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29D0B732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4710D134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B36A223" w14:textId="77777777" w:rsidR="00606075" w:rsidRPr="0005240E" w:rsidRDefault="00606075" w:rsidP="00606075">
            <w:pPr>
              <w:rPr>
                <w:sz w:val="18"/>
                <w:szCs w:val="18"/>
              </w:rPr>
            </w:pPr>
          </w:p>
        </w:tc>
      </w:tr>
      <w:tr w:rsidR="009D7534" w:rsidRPr="0005240E" w14:paraId="75FC2395" w14:textId="77777777" w:rsidTr="29166130">
        <w:tc>
          <w:tcPr>
            <w:tcW w:w="1838" w:type="dxa"/>
          </w:tcPr>
          <w:p w14:paraId="05059DD5" w14:textId="2BFD024C" w:rsidR="009D7534" w:rsidRPr="0005240E" w:rsidRDefault="009D7534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PAS de 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965B89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693" w:type="dxa"/>
          </w:tcPr>
          <w:p w14:paraId="53422D11" w14:textId="2B4D6592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Une dose de rappel peut être offerte</w:t>
            </w:r>
          </w:p>
          <w:p w14:paraId="2CC7BFD7" w14:textId="4F21B435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50C254" w14:textId="54674992" w:rsidR="009D7534" w:rsidRPr="0005240E" w:rsidRDefault="009D7534" w:rsidP="009D7534">
            <w:pPr>
              <w:rPr>
                <w:sz w:val="18"/>
              </w:rPr>
            </w:pP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  <w:r w:rsidR="00EF4E26" w:rsidRPr="0005240E">
              <w:rPr>
                <w:sz w:val="18"/>
              </w:rPr>
              <w:t>;</w:t>
            </w:r>
          </w:p>
          <w:p w14:paraId="06176CB5" w14:textId="40B93B29" w:rsidR="00FA7507" w:rsidRPr="0005240E" w:rsidRDefault="00FA7507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5 à 11 ans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7AB9BAD" w14:textId="101DDFE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A2381C0" w14:textId="608EF82C" w:rsidR="009D7534" w:rsidRPr="0005240E" w:rsidRDefault="009D7534" w:rsidP="317CFAF5">
            <w:pPr>
              <w:rPr>
                <w:sz w:val="18"/>
                <w:szCs w:val="18"/>
              </w:rPr>
            </w:pPr>
            <w:r w:rsidRPr="0005240E">
              <w:rPr>
                <w:b/>
                <w:bCs/>
                <w:sz w:val="18"/>
                <w:szCs w:val="18"/>
              </w:rPr>
              <w:t>0,</w:t>
            </w:r>
            <w:r w:rsidR="00FA7507" w:rsidRPr="0005240E">
              <w:rPr>
                <w:b/>
                <w:bCs/>
                <w:sz w:val="18"/>
                <w:szCs w:val="18"/>
              </w:rPr>
              <w:t>2</w:t>
            </w:r>
            <w:r w:rsidRPr="0005240E">
              <w:rPr>
                <w:b/>
                <w:bCs/>
                <w:sz w:val="18"/>
                <w:szCs w:val="18"/>
              </w:rPr>
              <w:t>5 ml</w:t>
            </w:r>
            <w:r w:rsidRPr="0005240E">
              <w:rPr>
                <w:sz w:val="18"/>
                <w:szCs w:val="18"/>
              </w:rPr>
              <w:t xml:space="preserve"> (</w:t>
            </w:r>
            <w:r w:rsidR="00A96CD9" w:rsidRPr="0005240E">
              <w:rPr>
                <w:sz w:val="18"/>
                <w:szCs w:val="18"/>
              </w:rPr>
              <w:t>12</w:t>
            </w:r>
            <w:r w:rsidR="4E20AD77" w:rsidRPr="0005240E">
              <w:rPr>
                <w:sz w:val="18"/>
                <w:szCs w:val="18"/>
              </w:rPr>
              <w:t>,</w:t>
            </w:r>
            <w:r w:rsidR="00A96CD9" w:rsidRPr="0005240E">
              <w:rPr>
                <w:sz w:val="18"/>
                <w:szCs w:val="18"/>
              </w:rPr>
              <w:t>5</w:t>
            </w:r>
            <w:r w:rsidRPr="0005240E">
              <w:rPr>
                <w:sz w:val="18"/>
                <w:szCs w:val="18"/>
              </w:rPr>
              <w:t> </w:t>
            </w:r>
            <w:proofErr w:type="spellStart"/>
            <w:r w:rsidRPr="0005240E">
              <w:rPr>
                <w:sz w:val="18"/>
                <w:szCs w:val="18"/>
              </w:rPr>
              <w:t>mcg</w:t>
            </w:r>
            <w:proofErr w:type="spellEnd"/>
            <w:r w:rsidRPr="0005240E">
              <w:rPr>
                <w:sz w:val="18"/>
                <w:szCs w:val="18"/>
              </w:rPr>
              <w:t xml:space="preserve"> d’original et </w:t>
            </w:r>
            <w:r w:rsidR="00A96CD9" w:rsidRPr="0005240E">
              <w:rPr>
                <w:sz w:val="18"/>
                <w:szCs w:val="18"/>
              </w:rPr>
              <w:t>12</w:t>
            </w:r>
            <w:r w:rsidR="55FCB062" w:rsidRPr="0005240E">
              <w:rPr>
                <w:sz w:val="18"/>
                <w:szCs w:val="18"/>
              </w:rPr>
              <w:t>,</w:t>
            </w:r>
            <w:r w:rsidR="00A96CD9" w:rsidRPr="0005240E">
              <w:rPr>
                <w:sz w:val="18"/>
                <w:szCs w:val="18"/>
              </w:rPr>
              <w:t>5</w:t>
            </w:r>
            <w:r w:rsidRPr="0005240E">
              <w:rPr>
                <w:sz w:val="18"/>
                <w:szCs w:val="18"/>
              </w:rPr>
              <w:t> </w:t>
            </w:r>
            <w:proofErr w:type="spellStart"/>
            <w:r w:rsidRPr="0005240E">
              <w:rPr>
                <w:sz w:val="18"/>
                <w:szCs w:val="18"/>
              </w:rPr>
              <w:t>mcg</w:t>
            </w:r>
            <w:proofErr w:type="spellEnd"/>
            <w:r w:rsidRPr="0005240E">
              <w:rPr>
                <w:sz w:val="18"/>
                <w:szCs w:val="18"/>
              </w:rPr>
              <w:t xml:space="preserve"> d’Omicron BA.1)</w:t>
            </w:r>
            <w:r w:rsidR="00EF4E26" w:rsidRPr="0005240E">
              <w:rPr>
                <w:sz w:val="18"/>
                <w:szCs w:val="18"/>
              </w:rPr>
              <w:t>;</w:t>
            </w:r>
          </w:p>
          <w:p w14:paraId="0BAEC2DD" w14:textId="115D528C" w:rsidR="00FA7507" w:rsidRPr="0005240E" w:rsidRDefault="00A96CD9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6</w:t>
            </w:r>
            <w:r w:rsidR="00FA7507" w:rsidRPr="0005240E">
              <w:rPr>
                <w:sz w:val="18"/>
                <w:szCs w:val="18"/>
              </w:rPr>
              <w:t xml:space="preserve"> à 11 ans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C4D1F6D" w14:textId="0BE81F17" w:rsidR="009D7534" w:rsidRPr="0005240E" w:rsidRDefault="009D7534" w:rsidP="009D7534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35BB8578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</w:tr>
      <w:tr w:rsidR="009D7534" w:rsidRPr="0005240E" w14:paraId="4A926ECF" w14:textId="77777777" w:rsidTr="29166130">
        <w:tc>
          <w:tcPr>
            <w:tcW w:w="1838" w:type="dxa"/>
          </w:tcPr>
          <w:p w14:paraId="64EE06E9" w14:textId="5A82F1D5" w:rsidR="009D7534" w:rsidRPr="0005240E" w:rsidRDefault="009D7534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965B89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000524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20B9642" w14:textId="2D69A7F6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Une dose de rappel devrait être </w:t>
            </w:r>
            <w:proofErr w:type="spellStart"/>
            <w:r w:rsidRPr="0005240E">
              <w:rPr>
                <w:sz w:val="18"/>
              </w:rPr>
              <w:t>offerte</w:t>
            </w:r>
            <w:r w:rsidR="00965B89" w:rsidRPr="0005240E">
              <w:rPr>
                <w:sz w:val="18"/>
                <w:vertAlign w:val="superscript"/>
              </w:rPr>
              <w:t>b</w:t>
            </w:r>
            <w:proofErr w:type="spellEnd"/>
          </w:p>
          <w:p w14:paraId="0649CC11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  <w:p w14:paraId="5826604C" w14:textId="306216C3" w:rsidR="009D7534" w:rsidRPr="0005240E" w:rsidRDefault="009D7534" w:rsidP="009D7534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696FB70" w14:textId="197E57A2" w:rsidR="009D7534" w:rsidRPr="0005240E" w:rsidRDefault="009D7534" w:rsidP="009D7534">
            <w:pPr>
              <w:rPr>
                <w:sz w:val="18"/>
              </w:rPr>
            </w:pPr>
            <w:r w:rsidRPr="0005240E">
              <w:rPr>
                <w:b/>
                <w:sz w:val="18"/>
              </w:rPr>
              <w:t>0,2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  <w:r w:rsidR="00EF4E26" w:rsidRPr="0005240E">
              <w:rPr>
                <w:sz w:val="18"/>
              </w:rPr>
              <w:t>;</w:t>
            </w:r>
          </w:p>
          <w:p w14:paraId="53491F52" w14:textId="2C962BB2" w:rsidR="00FA7507" w:rsidRPr="0005240E" w:rsidRDefault="00FA7507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5 à 11 ans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11D97BEB" w14:textId="2EBF523B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195E9EF" w14:textId="126775F3" w:rsidR="009D7534" w:rsidRPr="0005240E" w:rsidRDefault="009D7534" w:rsidP="317CFAF5">
            <w:pPr>
              <w:rPr>
                <w:sz w:val="18"/>
                <w:szCs w:val="18"/>
              </w:rPr>
            </w:pPr>
            <w:r w:rsidRPr="0005240E">
              <w:rPr>
                <w:b/>
                <w:bCs/>
                <w:sz w:val="18"/>
                <w:szCs w:val="18"/>
              </w:rPr>
              <w:t>0,</w:t>
            </w:r>
            <w:r w:rsidR="00FA7507" w:rsidRPr="0005240E">
              <w:rPr>
                <w:b/>
                <w:bCs/>
                <w:sz w:val="18"/>
                <w:szCs w:val="18"/>
              </w:rPr>
              <w:t>2</w:t>
            </w:r>
            <w:r w:rsidRPr="0005240E">
              <w:rPr>
                <w:b/>
                <w:bCs/>
                <w:sz w:val="18"/>
                <w:szCs w:val="18"/>
              </w:rPr>
              <w:t>5 ml</w:t>
            </w:r>
            <w:r w:rsidRPr="0005240E">
              <w:rPr>
                <w:sz w:val="18"/>
                <w:szCs w:val="18"/>
              </w:rPr>
              <w:t xml:space="preserve"> (</w:t>
            </w:r>
            <w:r w:rsidR="00A96CD9" w:rsidRPr="0005240E">
              <w:rPr>
                <w:sz w:val="18"/>
                <w:szCs w:val="18"/>
              </w:rPr>
              <w:t>12</w:t>
            </w:r>
            <w:r w:rsidR="3CCCC6D3" w:rsidRPr="0005240E">
              <w:rPr>
                <w:sz w:val="18"/>
                <w:szCs w:val="18"/>
              </w:rPr>
              <w:t>,</w:t>
            </w:r>
            <w:r w:rsidR="00A96CD9" w:rsidRPr="0005240E">
              <w:rPr>
                <w:sz w:val="18"/>
                <w:szCs w:val="18"/>
              </w:rPr>
              <w:t>5</w:t>
            </w:r>
            <w:r w:rsidRPr="0005240E">
              <w:rPr>
                <w:sz w:val="18"/>
                <w:szCs w:val="18"/>
              </w:rPr>
              <w:t> </w:t>
            </w:r>
            <w:proofErr w:type="spellStart"/>
            <w:r w:rsidRPr="0005240E">
              <w:rPr>
                <w:sz w:val="18"/>
                <w:szCs w:val="18"/>
              </w:rPr>
              <w:t>mcg</w:t>
            </w:r>
            <w:proofErr w:type="spellEnd"/>
            <w:r w:rsidRPr="0005240E">
              <w:rPr>
                <w:sz w:val="18"/>
                <w:szCs w:val="18"/>
              </w:rPr>
              <w:t xml:space="preserve"> d’original et</w:t>
            </w:r>
            <w:r w:rsidR="00A96CD9" w:rsidRPr="0005240E">
              <w:rPr>
                <w:sz w:val="18"/>
                <w:szCs w:val="18"/>
              </w:rPr>
              <w:t xml:space="preserve"> 12</w:t>
            </w:r>
            <w:r w:rsidR="1A1FA2D5" w:rsidRPr="0005240E">
              <w:rPr>
                <w:sz w:val="18"/>
                <w:szCs w:val="18"/>
              </w:rPr>
              <w:t>,</w:t>
            </w:r>
            <w:r w:rsidR="00A96CD9" w:rsidRPr="0005240E">
              <w:rPr>
                <w:sz w:val="18"/>
                <w:szCs w:val="18"/>
              </w:rPr>
              <w:t>5</w:t>
            </w:r>
            <w:r w:rsidRPr="0005240E">
              <w:rPr>
                <w:sz w:val="18"/>
                <w:szCs w:val="18"/>
              </w:rPr>
              <w:t> </w:t>
            </w:r>
            <w:proofErr w:type="spellStart"/>
            <w:r w:rsidRPr="0005240E">
              <w:rPr>
                <w:sz w:val="18"/>
                <w:szCs w:val="18"/>
              </w:rPr>
              <w:t>mcg</w:t>
            </w:r>
            <w:proofErr w:type="spellEnd"/>
            <w:r w:rsidRPr="0005240E">
              <w:rPr>
                <w:sz w:val="18"/>
                <w:szCs w:val="18"/>
              </w:rPr>
              <w:t xml:space="preserve"> d’Omicron BA.1)</w:t>
            </w:r>
            <w:r w:rsidR="00EF4E26" w:rsidRPr="0005240E">
              <w:rPr>
                <w:sz w:val="18"/>
                <w:szCs w:val="18"/>
              </w:rPr>
              <w:t>;</w:t>
            </w:r>
          </w:p>
          <w:p w14:paraId="380DF811" w14:textId="2ADCB9B8" w:rsidR="00FA7507" w:rsidRPr="0005240E" w:rsidRDefault="00A96CD9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6</w:t>
            </w:r>
            <w:r w:rsidR="00FA7507" w:rsidRPr="0005240E">
              <w:rPr>
                <w:sz w:val="18"/>
                <w:szCs w:val="18"/>
              </w:rPr>
              <w:t xml:space="preserve"> à 11 ans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878D98F" w14:textId="2516D3F3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4F3F4DA4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</w:tr>
      <w:tr w:rsidR="009D7534" w:rsidRPr="0005240E" w14:paraId="39811453" w14:textId="77777777" w:rsidTr="29166130">
        <w:tc>
          <w:tcPr>
            <w:tcW w:w="12895" w:type="dxa"/>
            <w:gridSpan w:val="7"/>
            <w:shd w:val="clear" w:color="auto" w:fill="DEEAF6" w:themeFill="accent1" w:themeFillTint="33"/>
          </w:tcPr>
          <w:p w14:paraId="5BC541FB" w14:textId="70C9F74E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12 à 17 ans</w:t>
            </w:r>
          </w:p>
        </w:tc>
      </w:tr>
      <w:tr w:rsidR="00FA7507" w:rsidRPr="0005240E" w14:paraId="63B098B8" w14:textId="77777777" w:rsidTr="29166130">
        <w:tc>
          <w:tcPr>
            <w:tcW w:w="1838" w:type="dxa"/>
          </w:tcPr>
          <w:p w14:paraId="27F57B56" w14:textId="1E98DC69" w:rsidR="00FA7507" w:rsidRPr="0005240E" w:rsidRDefault="00FA7507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PAS de 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965B89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693" w:type="dxa"/>
          </w:tcPr>
          <w:p w14:paraId="30076F13" w14:textId="0CAE8A28" w:rsidR="00FA7507" w:rsidRPr="0005240E" w:rsidRDefault="00FA7507" w:rsidP="00FA7507">
            <w:pPr>
              <w:rPr>
                <w:sz w:val="18"/>
                <w:szCs w:val="18"/>
                <w:vertAlign w:val="superscript"/>
              </w:rPr>
            </w:pPr>
            <w:r w:rsidRPr="0005240E">
              <w:rPr>
                <w:sz w:val="18"/>
              </w:rPr>
              <w:t xml:space="preserve">Si une dose de rappel n'a pas été reçue depuis le début de l'automne 2022, une dose de rappel peut être </w:t>
            </w:r>
            <w:proofErr w:type="spellStart"/>
            <w:r w:rsidRPr="0005240E">
              <w:rPr>
                <w:sz w:val="18"/>
              </w:rPr>
              <w:t>offerte</w:t>
            </w:r>
            <w:r w:rsidR="0000791F" w:rsidRPr="0005240E">
              <w:rPr>
                <w:sz w:val="18"/>
                <w:vertAlign w:val="superscript"/>
              </w:rPr>
              <w:t>c</w:t>
            </w:r>
            <w:proofErr w:type="spellEnd"/>
          </w:p>
        </w:tc>
        <w:tc>
          <w:tcPr>
            <w:tcW w:w="1701" w:type="dxa"/>
            <w:shd w:val="clear" w:color="auto" w:fill="808080" w:themeFill="background1" w:themeFillShade="80"/>
          </w:tcPr>
          <w:p w14:paraId="283CF230" w14:textId="4C24D6EF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523DD73" w14:textId="689F0C00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0,3 </w:t>
            </w:r>
            <w:proofErr w:type="spellStart"/>
            <w:r w:rsidRPr="0005240E">
              <w:rPr>
                <w:b/>
                <w:sz w:val="18"/>
              </w:rPr>
              <w:t>mL</w:t>
            </w:r>
            <w:proofErr w:type="spellEnd"/>
            <w:r w:rsidRPr="0005240E">
              <w:rPr>
                <w:sz w:val="18"/>
              </w:rPr>
              <w:t xml:space="preserve"> (15 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701" w:type="dxa"/>
            <w:shd w:val="clear" w:color="auto" w:fill="auto"/>
          </w:tcPr>
          <w:p w14:paraId="42F39752" w14:textId="39A009C7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BA.1)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639B67AE" w14:textId="414AA2B3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0B94BA02" w14:textId="016539CF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</w:tr>
      <w:tr w:rsidR="00FA7507" w:rsidRPr="0005240E" w14:paraId="08AA1B62" w14:textId="77777777" w:rsidTr="29166130">
        <w:tc>
          <w:tcPr>
            <w:tcW w:w="1838" w:type="dxa"/>
          </w:tcPr>
          <w:p w14:paraId="08DFBB51" w14:textId="3499CF73" w:rsidR="00FA7507" w:rsidRPr="0005240E" w:rsidRDefault="00FA7507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965B89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000524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3A3D66F" w14:textId="7CE59144" w:rsidR="00FA7507" w:rsidRPr="0005240E" w:rsidRDefault="00FA7507" w:rsidP="00FA7507">
            <w:pPr>
              <w:rPr>
                <w:sz w:val="18"/>
                <w:szCs w:val="18"/>
                <w:vertAlign w:val="superscript"/>
              </w:rPr>
            </w:pPr>
            <w:r w:rsidRPr="0005240E">
              <w:rPr>
                <w:sz w:val="18"/>
              </w:rPr>
              <w:t xml:space="preserve">Si une dose de rappel n'a pas été reçue depuis le début de l'automne 2022, une dose de rappel devrait être </w:t>
            </w:r>
            <w:proofErr w:type="spellStart"/>
            <w:r w:rsidRPr="0005240E">
              <w:rPr>
                <w:sz w:val="18"/>
              </w:rPr>
              <w:t>offerte</w:t>
            </w:r>
            <w:r w:rsidR="0000791F" w:rsidRPr="0005240E">
              <w:rPr>
                <w:sz w:val="18"/>
                <w:vertAlign w:val="superscript"/>
              </w:rPr>
              <w:t>c</w:t>
            </w:r>
            <w:proofErr w:type="spellEnd"/>
          </w:p>
          <w:p w14:paraId="5F1D0E04" w14:textId="5ADABC14" w:rsidR="00FA7507" w:rsidRPr="0005240E" w:rsidRDefault="00FA7507" w:rsidP="00FA7507">
            <w:pPr>
              <w:rPr>
                <w:sz w:val="18"/>
                <w:szCs w:val="18"/>
                <w:vertAlign w:val="superscript"/>
              </w:rPr>
            </w:pPr>
          </w:p>
          <w:p w14:paraId="0F77C842" w14:textId="6B91E55A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014A3C02" w14:textId="4820EC98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7ECDCC4" w14:textId="335FDDED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701" w:type="dxa"/>
            <w:shd w:val="clear" w:color="auto" w:fill="auto"/>
          </w:tcPr>
          <w:p w14:paraId="4763CBDA" w14:textId="4BA3E5F8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BA.1)</w:t>
            </w:r>
          </w:p>
        </w:tc>
        <w:tc>
          <w:tcPr>
            <w:tcW w:w="1701" w:type="dxa"/>
          </w:tcPr>
          <w:p w14:paraId="3DA6CF6D" w14:textId="378856BD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  <w:p w14:paraId="5D5DDEAC" w14:textId="77777777" w:rsidR="00FA7507" w:rsidRPr="0005240E" w:rsidRDefault="00FA7507" w:rsidP="00FA7507">
            <w:pPr>
              <w:rPr>
                <w:sz w:val="18"/>
                <w:szCs w:val="18"/>
              </w:rPr>
            </w:pPr>
          </w:p>
          <w:p w14:paraId="6E54DEFF" w14:textId="20FEE879" w:rsidR="00FA7507" w:rsidRPr="0005240E" w:rsidRDefault="00FA7507" w:rsidP="00FA7507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 xml:space="preserve">Hors </w:t>
            </w:r>
            <w:proofErr w:type="spellStart"/>
            <w:r w:rsidRPr="0005240E">
              <w:rPr>
                <w:sz w:val="18"/>
              </w:rPr>
              <w:t>indication</w:t>
            </w:r>
            <w:r w:rsidR="0000791F" w:rsidRPr="0005240E">
              <w:rPr>
                <w:sz w:val="18"/>
                <w:vertAlign w:val="superscript"/>
              </w:rPr>
              <w:t>d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5E4B4530" w14:textId="6D16D6FB" w:rsidR="00FA7507" w:rsidRPr="0005240E" w:rsidRDefault="00FA7507" w:rsidP="00FA7507">
            <w:pPr>
              <w:rPr>
                <w:sz w:val="18"/>
                <w:szCs w:val="18"/>
              </w:rPr>
            </w:pPr>
          </w:p>
        </w:tc>
      </w:tr>
      <w:tr w:rsidR="009D7534" w:rsidRPr="0005240E" w14:paraId="3A3BDF00" w14:textId="77777777" w:rsidTr="29166130">
        <w:tc>
          <w:tcPr>
            <w:tcW w:w="12895" w:type="dxa"/>
            <w:gridSpan w:val="7"/>
            <w:shd w:val="clear" w:color="auto" w:fill="DEEAF6" w:themeFill="accent1" w:themeFillTint="33"/>
          </w:tcPr>
          <w:p w14:paraId="2B5A1748" w14:textId="422FAD13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18 à 64 ans</w:t>
            </w:r>
          </w:p>
        </w:tc>
      </w:tr>
      <w:tr w:rsidR="009D7534" w:rsidRPr="0005240E" w14:paraId="6CD704C9" w14:textId="77777777" w:rsidTr="29166130">
        <w:tc>
          <w:tcPr>
            <w:tcW w:w="1838" w:type="dxa"/>
          </w:tcPr>
          <w:p w14:paraId="2886E739" w14:textId="3D887866" w:rsidR="009D7534" w:rsidRPr="0005240E" w:rsidRDefault="009D7534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 xml:space="preserve">PAS de 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00791F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693" w:type="dxa"/>
          </w:tcPr>
          <w:p w14:paraId="072D571A" w14:textId="77777777" w:rsidR="009D7534" w:rsidRDefault="536E9865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Au moins une dose de rappel devrait être offerte. En plus de cela, si la dose a déjà été reçue, une dose de rappel peut être offerte s'il n'en a pas encore reçu depuis le début de l’automne 2022</w:t>
            </w:r>
            <w:r w:rsidR="454A262E" w:rsidRPr="0005240E">
              <w:rPr>
                <w:sz w:val="18"/>
                <w:szCs w:val="18"/>
                <w:vertAlign w:val="superscript"/>
              </w:rPr>
              <w:t>c</w:t>
            </w:r>
            <w:r w:rsidR="2E9D8910" w:rsidRPr="0005240E">
              <w:rPr>
                <w:sz w:val="18"/>
                <w:szCs w:val="18"/>
              </w:rPr>
              <w:t>.</w:t>
            </w:r>
          </w:p>
          <w:p w14:paraId="5A612C8E" w14:textId="05AE34D4" w:rsidR="001D2F94" w:rsidRPr="0005240E" w:rsidRDefault="001D2F9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5CF71BED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EF732DC" w14:textId="3D73B505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701" w:type="dxa"/>
            <w:shd w:val="clear" w:color="auto" w:fill="auto"/>
          </w:tcPr>
          <w:p w14:paraId="3C66DAA5" w14:textId="1AF458C9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BA.1)</w:t>
            </w:r>
          </w:p>
        </w:tc>
        <w:tc>
          <w:tcPr>
            <w:tcW w:w="1701" w:type="dxa"/>
          </w:tcPr>
          <w:p w14:paraId="50DEB2AC" w14:textId="2AFED3F0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560" w:type="dxa"/>
          </w:tcPr>
          <w:p w14:paraId="09CA6BD1" w14:textId="77777777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</w:t>
            </w:r>
            <w:proofErr w:type="spellStart"/>
            <w:r w:rsidRPr="0005240E">
              <w:rPr>
                <w:b/>
                <w:sz w:val="18"/>
              </w:rPr>
              <w:t>mL</w:t>
            </w:r>
            <w:proofErr w:type="spellEnd"/>
            <w:r w:rsidRPr="0005240E">
              <w:rPr>
                <w:b/>
                <w:sz w:val="18"/>
              </w:rPr>
              <w:t xml:space="preserve"> </w:t>
            </w:r>
            <w:r w:rsidRPr="0005240E">
              <w:rPr>
                <w:sz w:val="18"/>
              </w:rPr>
              <w:t>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</w:t>
            </w:r>
          </w:p>
          <w:p w14:paraId="7FA88B70" w14:textId="068E39FF" w:rsidR="009D7534" w:rsidRPr="0005240E" w:rsidRDefault="009D7534" w:rsidP="009D7534">
            <w:pPr>
              <w:rPr>
                <w:sz w:val="18"/>
                <w:szCs w:val="18"/>
              </w:rPr>
            </w:pPr>
          </w:p>
          <w:p w14:paraId="0A795C4F" w14:textId="2F67CAF5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Pas encore examiné par le CCNI</w:t>
            </w:r>
          </w:p>
        </w:tc>
      </w:tr>
      <w:tr w:rsidR="009D7534" w:rsidRPr="0005240E" w14:paraId="75AC4AF4" w14:textId="77777777" w:rsidTr="29166130">
        <w:tc>
          <w:tcPr>
            <w:tcW w:w="1838" w:type="dxa"/>
          </w:tcPr>
          <w:p w14:paraId="509EC4DB" w14:textId="03DC152C" w:rsidR="009D7534" w:rsidRPr="0005240E" w:rsidRDefault="009D7534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lastRenderedPageBreak/>
              <w:t xml:space="preserve">Risque accru de maladie </w:t>
            </w:r>
            <w:proofErr w:type="spellStart"/>
            <w:r w:rsidRPr="0005240E">
              <w:rPr>
                <w:sz w:val="18"/>
                <w:szCs w:val="18"/>
              </w:rPr>
              <w:t>grave</w:t>
            </w:r>
            <w:r w:rsidR="00E87649" w:rsidRPr="0005240E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000524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5F2E9BC" w14:textId="34C107B0" w:rsidR="00CB3ED6" w:rsidRPr="0005240E" w:rsidRDefault="009D7534" w:rsidP="009D7534">
            <w:pPr>
              <w:rPr>
                <w:sz w:val="18"/>
                <w:szCs w:val="18"/>
              </w:rPr>
            </w:pPr>
            <w:r w:rsidRPr="29166130">
              <w:rPr>
                <w:sz w:val="18"/>
                <w:szCs w:val="18"/>
              </w:rPr>
              <w:t xml:space="preserve">Si une dose de rappel n'a pas été reçue depuis le début de l'automne 2022, une dose de rappel devrait être </w:t>
            </w:r>
            <w:proofErr w:type="spellStart"/>
            <w:r w:rsidRPr="29166130">
              <w:rPr>
                <w:sz w:val="18"/>
                <w:szCs w:val="18"/>
              </w:rPr>
              <w:t>offerte</w:t>
            </w:r>
            <w:r w:rsidR="00E87649" w:rsidRPr="29166130"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="05E98D93" w:rsidRPr="29166130">
              <w:rPr>
                <w:sz w:val="18"/>
                <w:szCs w:val="18"/>
              </w:rPr>
              <w:t xml:space="preserve">. </w:t>
            </w:r>
            <w:r w:rsidR="00706A21" w:rsidRPr="29166130">
              <w:rPr>
                <w:sz w:val="18"/>
                <w:szCs w:val="18"/>
              </w:rPr>
              <w:t>En plus, les personnes qui sont modérément à sévèrement immunodéprimées peuvent</w:t>
            </w:r>
            <w:r w:rsidR="259EFFC1" w:rsidRPr="29166130">
              <w:rPr>
                <w:sz w:val="18"/>
                <w:szCs w:val="18"/>
              </w:rPr>
              <w:t xml:space="preserve"> </w:t>
            </w:r>
            <w:r w:rsidR="56689634" w:rsidRPr="29166130">
              <w:rPr>
                <w:sz w:val="18"/>
                <w:szCs w:val="18"/>
              </w:rPr>
              <w:t>bénéficier</w:t>
            </w:r>
            <w:r w:rsidR="0C2FB024" w:rsidRPr="29166130">
              <w:rPr>
                <w:sz w:val="18"/>
                <w:szCs w:val="18"/>
              </w:rPr>
              <w:t xml:space="preserve"> </w:t>
            </w:r>
            <w:r w:rsidR="41E73962" w:rsidRPr="29166130">
              <w:rPr>
                <w:sz w:val="18"/>
                <w:szCs w:val="18"/>
              </w:rPr>
              <w:t>d’</w:t>
            </w:r>
            <w:r w:rsidR="00706A21" w:rsidRPr="29166130">
              <w:rPr>
                <w:sz w:val="18"/>
                <w:szCs w:val="18"/>
              </w:rPr>
              <w:t>une dose de rappel à partir du printemps 2023.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02FDCBE2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8356DF" w14:textId="028FE692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701" w:type="dxa"/>
            <w:shd w:val="clear" w:color="auto" w:fill="auto"/>
          </w:tcPr>
          <w:p w14:paraId="12A88494" w14:textId="098B1723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BA.1)</w:t>
            </w:r>
          </w:p>
        </w:tc>
        <w:tc>
          <w:tcPr>
            <w:tcW w:w="1701" w:type="dxa"/>
          </w:tcPr>
          <w:p w14:paraId="65F2EAE5" w14:textId="380360D3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560" w:type="dxa"/>
          </w:tcPr>
          <w:p w14:paraId="2908B4B4" w14:textId="77777777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>)</w:t>
            </w:r>
          </w:p>
          <w:p w14:paraId="32AFE27B" w14:textId="494BFA98" w:rsidR="009D7534" w:rsidRPr="0005240E" w:rsidRDefault="009D7534" w:rsidP="009D7534">
            <w:pPr>
              <w:rPr>
                <w:sz w:val="18"/>
                <w:szCs w:val="18"/>
              </w:rPr>
            </w:pPr>
          </w:p>
          <w:p w14:paraId="385A64BD" w14:textId="56D2C5C9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Pas encore examiné par le CCNI</w:t>
            </w:r>
          </w:p>
          <w:p w14:paraId="332A37D2" w14:textId="36C4A799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</w:tr>
      <w:tr w:rsidR="009D7534" w:rsidRPr="0005240E" w14:paraId="21E4FEBC" w14:textId="77777777" w:rsidTr="29166130">
        <w:tc>
          <w:tcPr>
            <w:tcW w:w="12895" w:type="dxa"/>
            <w:gridSpan w:val="7"/>
            <w:shd w:val="clear" w:color="auto" w:fill="DEEAF6" w:themeFill="accent1" w:themeFillTint="33"/>
          </w:tcPr>
          <w:p w14:paraId="78925C1F" w14:textId="5949A89F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65 ans et plus</w:t>
            </w:r>
          </w:p>
        </w:tc>
      </w:tr>
      <w:tr w:rsidR="009D7534" w:rsidRPr="0005240E" w14:paraId="24697118" w14:textId="77777777" w:rsidTr="29166130">
        <w:tc>
          <w:tcPr>
            <w:tcW w:w="1838" w:type="dxa"/>
          </w:tcPr>
          <w:p w14:paraId="43E4F960" w14:textId="6DEB19E3" w:rsidR="009D7534" w:rsidRPr="0005240E" w:rsidRDefault="009D7534" w:rsidP="45D5BFB3">
            <w:pPr>
              <w:rPr>
                <w:sz w:val="18"/>
                <w:szCs w:val="18"/>
              </w:rPr>
            </w:pPr>
            <w:r w:rsidRPr="0005240E">
              <w:rPr>
                <w:sz w:val="18"/>
                <w:szCs w:val="18"/>
              </w:rPr>
              <w:t>Tous</w:t>
            </w:r>
          </w:p>
        </w:tc>
        <w:tc>
          <w:tcPr>
            <w:tcW w:w="2693" w:type="dxa"/>
          </w:tcPr>
          <w:p w14:paraId="423FB6A9" w14:textId="7DCF549B" w:rsidR="00DF455F" w:rsidRPr="0005240E" w:rsidRDefault="009D7534" w:rsidP="009D7534">
            <w:pPr>
              <w:rPr>
                <w:sz w:val="18"/>
                <w:szCs w:val="18"/>
              </w:rPr>
            </w:pPr>
            <w:r w:rsidRPr="29166130">
              <w:rPr>
                <w:sz w:val="18"/>
                <w:szCs w:val="18"/>
              </w:rPr>
              <w:t xml:space="preserve">Si une dose de rappel n'a pas été reçue depuis le début de l'automne 2022, une dose de rappel devrait être </w:t>
            </w:r>
            <w:proofErr w:type="spellStart"/>
            <w:r w:rsidRPr="29166130">
              <w:rPr>
                <w:sz w:val="18"/>
                <w:szCs w:val="18"/>
              </w:rPr>
              <w:t>offerte</w:t>
            </w:r>
            <w:r w:rsidR="00E87649" w:rsidRPr="29166130"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="4FE61B36" w:rsidRPr="29166130">
              <w:rPr>
                <w:sz w:val="18"/>
                <w:szCs w:val="18"/>
              </w:rPr>
              <w:t xml:space="preserve">. </w:t>
            </w:r>
            <w:r w:rsidR="00DF455F" w:rsidRPr="29166130">
              <w:rPr>
                <w:sz w:val="18"/>
                <w:szCs w:val="18"/>
              </w:rPr>
              <w:t>En plus, un</w:t>
            </w:r>
            <w:r w:rsidR="00705BB2" w:rsidRPr="29166130">
              <w:rPr>
                <w:sz w:val="18"/>
                <w:szCs w:val="18"/>
              </w:rPr>
              <w:t>e dose de rappel</w:t>
            </w:r>
            <w:r w:rsidR="00DF455F" w:rsidRPr="29166130">
              <w:rPr>
                <w:sz w:val="18"/>
                <w:szCs w:val="18"/>
              </w:rPr>
              <w:t xml:space="preserve"> </w:t>
            </w:r>
            <w:r w:rsidR="1ACC5771" w:rsidRPr="29166130">
              <w:rPr>
                <w:sz w:val="18"/>
                <w:szCs w:val="18"/>
              </w:rPr>
              <w:t xml:space="preserve">peut être offerte </w:t>
            </w:r>
            <w:r w:rsidR="00DF455F" w:rsidRPr="29166130">
              <w:rPr>
                <w:sz w:val="18"/>
                <w:szCs w:val="18"/>
              </w:rPr>
              <w:t>à partir du printemps 2023</w:t>
            </w:r>
            <w:r w:rsidR="7E2B8BCB" w:rsidRPr="2916613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214F429E" w14:textId="77777777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8BB7D57" w14:textId="6DC21A40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0,3 ml</w:t>
            </w:r>
            <w:r w:rsidRPr="0005240E">
              <w:rPr>
                <w:sz w:val="18"/>
              </w:rPr>
              <w:t xml:space="preserve"> (15 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15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701" w:type="dxa"/>
            <w:shd w:val="clear" w:color="auto" w:fill="auto"/>
          </w:tcPr>
          <w:p w14:paraId="4BC4598E" w14:textId="4A76022F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BA.1)</w:t>
            </w:r>
          </w:p>
        </w:tc>
        <w:tc>
          <w:tcPr>
            <w:tcW w:w="1701" w:type="dxa"/>
          </w:tcPr>
          <w:p w14:paraId="46AC8C9B" w14:textId="2C3EA582" w:rsidR="009D7534" w:rsidRPr="0005240E" w:rsidRDefault="009D7534" w:rsidP="009D7534">
            <w:pPr>
              <w:rPr>
                <w:b/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ml</w:t>
            </w:r>
            <w:r w:rsidRPr="0005240E">
              <w:rPr>
                <w:sz w:val="18"/>
              </w:rPr>
              <w:t xml:space="preserve"> (25 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d’original et 25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 d’Omicron BA.4/BA.5)</w:t>
            </w:r>
          </w:p>
        </w:tc>
        <w:tc>
          <w:tcPr>
            <w:tcW w:w="1560" w:type="dxa"/>
          </w:tcPr>
          <w:p w14:paraId="591C7AFA" w14:textId="77777777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b/>
                <w:sz w:val="18"/>
              </w:rPr>
              <w:t>0,5 </w:t>
            </w:r>
            <w:proofErr w:type="spellStart"/>
            <w:r w:rsidRPr="0005240E">
              <w:rPr>
                <w:b/>
                <w:sz w:val="18"/>
              </w:rPr>
              <w:t>mL</w:t>
            </w:r>
            <w:proofErr w:type="spellEnd"/>
            <w:r w:rsidRPr="0005240E">
              <w:rPr>
                <w:b/>
                <w:sz w:val="18"/>
              </w:rPr>
              <w:t xml:space="preserve"> </w:t>
            </w:r>
            <w:r w:rsidRPr="0005240E">
              <w:rPr>
                <w:sz w:val="18"/>
              </w:rPr>
              <w:t>(5 </w:t>
            </w:r>
            <w:proofErr w:type="spellStart"/>
            <w:r w:rsidRPr="0005240E">
              <w:rPr>
                <w:sz w:val="18"/>
              </w:rPr>
              <w:t>mcg</w:t>
            </w:r>
            <w:proofErr w:type="spellEnd"/>
            <w:r w:rsidRPr="0005240E">
              <w:rPr>
                <w:sz w:val="18"/>
              </w:rPr>
              <w:t xml:space="preserve">) </w:t>
            </w:r>
          </w:p>
          <w:p w14:paraId="14860F23" w14:textId="08E87627" w:rsidR="009D7534" w:rsidRPr="0005240E" w:rsidRDefault="009D7534" w:rsidP="009D7534">
            <w:pPr>
              <w:rPr>
                <w:sz w:val="18"/>
                <w:szCs w:val="18"/>
              </w:rPr>
            </w:pPr>
          </w:p>
          <w:p w14:paraId="6C8DF6D6" w14:textId="038C466B" w:rsidR="009D7534" w:rsidRPr="0005240E" w:rsidRDefault="009D7534" w:rsidP="009D7534">
            <w:pPr>
              <w:rPr>
                <w:sz w:val="18"/>
                <w:szCs w:val="18"/>
              </w:rPr>
            </w:pPr>
            <w:r w:rsidRPr="0005240E">
              <w:rPr>
                <w:sz w:val="18"/>
              </w:rPr>
              <w:t>Pas encore examiné par le CCNI</w:t>
            </w:r>
          </w:p>
          <w:p w14:paraId="649ADEFD" w14:textId="1AB6B283" w:rsidR="009D7534" w:rsidRPr="0005240E" w:rsidRDefault="009D7534" w:rsidP="009D7534">
            <w:pPr>
              <w:rPr>
                <w:sz w:val="18"/>
                <w:szCs w:val="18"/>
              </w:rPr>
            </w:pPr>
          </w:p>
        </w:tc>
      </w:tr>
    </w:tbl>
    <w:p w14:paraId="2B1B7005" w14:textId="4289C116" w:rsidR="00A81673" w:rsidRPr="0005240E" w:rsidRDefault="001903EC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05240E">
        <w:rPr>
          <w:sz w:val="16"/>
        </w:rPr>
        <w:t xml:space="preserve">Les personnes présentant un risque accru de maladie grave sont celles qui ont </w:t>
      </w:r>
      <w:hyperlink r:id="rId14" w:anchor="a3" w:history="1">
        <w:r w:rsidRPr="0005240E">
          <w:rPr>
            <w:rStyle w:val="Hyperlink"/>
            <w:sz w:val="16"/>
          </w:rPr>
          <w:t>des conditions médicales sous-jacentes</w:t>
        </w:r>
      </w:hyperlink>
      <w:r w:rsidRPr="0005240E">
        <w:rPr>
          <w:sz w:val="16"/>
        </w:rPr>
        <w:t xml:space="preserve"> (y compris celles qui sont </w:t>
      </w:r>
      <w:hyperlink r:id="rId15" w:anchor="a6.4" w:history="1">
        <w:r w:rsidRPr="0005240E">
          <w:rPr>
            <w:rStyle w:val="Hyperlink"/>
            <w:sz w:val="16"/>
          </w:rPr>
          <w:t>modérément ou gravement immunodéprimées</w:t>
        </w:r>
      </w:hyperlink>
      <w:r w:rsidRPr="0005240E">
        <w:rPr>
          <w:sz w:val="16"/>
        </w:rPr>
        <w:t xml:space="preserve">) et les populations racialisées et marginalisées qui ont été touchées de manière disproportionnée en raison d’un certain nombre de facteurs d’équité croisés. D’autres groupes considérés comme étant à risque accru sont identifiés dans le document intitulé </w:t>
      </w:r>
      <w:hyperlink r:id="rId16" w:history="1">
        <w:r w:rsidRPr="0005240E">
          <w:rPr>
            <w:rStyle w:val="Hyperlink"/>
            <w:sz w:val="16"/>
          </w:rPr>
          <w:t>Orientations provisoires sur des considérations relatives à la planification d’un programme de rappel de vaccins contre la COVID-19 pour l’automne 2022 au Canada</w:t>
        </w:r>
      </w:hyperlink>
      <w:r w:rsidRPr="0005240E">
        <w:rPr>
          <w:sz w:val="16"/>
        </w:rPr>
        <w:t>.</w:t>
      </w:r>
    </w:p>
    <w:p w14:paraId="03473D45" w14:textId="463656AA" w:rsidR="005322E7" w:rsidRPr="0005240E" w:rsidRDefault="00846F26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05240E">
        <w:rPr>
          <w:sz w:val="16"/>
        </w:rPr>
        <w:t xml:space="preserve">Il n’est pas recommandé aux enfants âgés de 5 à 11 ans qui ont déjà reçu une dose de rappel avec un vaccin original COVID-19 </w:t>
      </w:r>
      <w:r w:rsidR="006E1D4C" w:rsidRPr="0005240E">
        <w:rPr>
          <w:sz w:val="16"/>
        </w:rPr>
        <w:t xml:space="preserve">ARNm </w:t>
      </w:r>
      <w:r w:rsidRPr="0005240E">
        <w:rPr>
          <w:sz w:val="16"/>
        </w:rPr>
        <w:t>de recevoir un</w:t>
      </w:r>
      <w:r w:rsidR="00283FC4" w:rsidRPr="0005240E">
        <w:rPr>
          <w:sz w:val="16"/>
        </w:rPr>
        <w:t>e dose de</w:t>
      </w:r>
      <w:r w:rsidRPr="0005240E">
        <w:rPr>
          <w:sz w:val="16"/>
        </w:rPr>
        <w:t xml:space="preserve"> rappel bivalent contenant Omicron. Toutefois, à la discrétion du fournisseur, une dose de rappel bivalent (selon </w:t>
      </w:r>
      <w:hyperlink w:anchor="Interval" w:history="1">
        <w:r w:rsidRPr="0005240E">
          <w:rPr>
            <w:rStyle w:val="Hyperlink"/>
            <w:sz w:val="16"/>
          </w:rPr>
          <w:t>l’intervalle recommandé</w:t>
        </w:r>
      </w:hyperlink>
      <w:r w:rsidRPr="0005240E">
        <w:rPr>
          <w:sz w:val="16"/>
        </w:rPr>
        <w:t xml:space="preserve">) pourrait être offerte aux enfants considérés à risque élevé de COVID-19 grave qui ont déjà reçu une dose de rappel avec le vaccin original à ARNm de </w:t>
      </w:r>
      <w:proofErr w:type="spellStart"/>
      <w:r w:rsidR="00A01828" w:rsidRPr="0005240E">
        <w:rPr>
          <w:sz w:val="16"/>
        </w:rPr>
        <w:t>Comirnaty</w:t>
      </w:r>
      <w:proofErr w:type="spellEnd"/>
      <w:r w:rsidR="00A01828" w:rsidRPr="0005240E">
        <w:rPr>
          <w:sz w:val="16"/>
        </w:rPr>
        <w:t xml:space="preserve"> de Pfizer-BioNTech</w:t>
      </w:r>
      <w:r w:rsidRPr="0005240E">
        <w:rPr>
          <w:sz w:val="16"/>
        </w:rPr>
        <w:t>.</w:t>
      </w:r>
    </w:p>
    <w:p w14:paraId="30928E6C" w14:textId="35CCE3D0" w:rsidR="00D84E9F" w:rsidRPr="0005240E" w:rsidRDefault="00D84E9F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05240E">
        <w:rPr>
          <w:sz w:val="16"/>
        </w:rPr>
        <w:t xml:space="preserve">Le début du programme de rappel de l’automne 2022 a varié d’août à septembre 2022 dans l’ensemble des territoires canadiens. Si une dose n’a pas été administrée depuis le début de l’automne 2022, elle devrait ou pourrait être offerte selon </w:t>
      </w:r>
      <w:hyperlink w:anchor="Interval" w:history="1">
        <w:r w:rsidRPr="0005240E">
          <w:rPr>
            <w:rStyle w:val="Hyperlink"/>
            <w:sz w:val="16"/>
          </w:rPr>
          <w:t>l’intervalle recommandé</w:t>
        </w:r>
      </w:hyperlink>
      <w:r w:rsidRPr="0005240E">
        <w:rPr>
          <w:rStyle w:val="Hyperlink"/>
          <w:sz w:val="16"/>
        </w:rPr>
        <w:t>,</w:t>
      </w:r>
      <w:r w:rsidRPr="0005240E">
        <w:rPr>
          <w:sz w:val="16"/>
        </w:rPr>
        <w:t xml:space="preserve"> conformément à la recommandation du </w:t>
      </w:r>
      <w:hyperlink w:anchor="Table2" w:history="1">
        <w:r w:rsidRPr="0005240E">
          <w:rPr>
            <w:rStyle w:val="Hyperlink"/>
            <w:sz w:val="16"/>
          </w:rPr>
          <w:t>Tableau 2</w:t>
        </w:r>
      </w:hyperlink>
      <w:r w:rsidRPr="0005240E">
        <w:rPr>
          <w:sz w:val="16"/>
        </w:rPr>
        <w:t>.</w:t>
      </w:r>
    </w:p>
    <w:p w14:paraId="7F61CC3F" w14:textId="3F5FD014" w:rsidR="00763335" w:rsidRPr="0005240E" w:rsidRDefault="009055F6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05240E">
        <w:rPr>
          <w:sz w:val="16"/>
          <w:szCs w:val="16"/>
        </w:rPr>
        <w:t xml:space="preserve">Le vaccin </w:t>
      </w:r>
      <w:proofErr w:type="spellStart"/>
      <w:r w:rsidRPr="0005240E">
        <w:rPr>
          <w:sz w:val="16"/>
          <w:szCs w:val="16"/>
        </w:rPr>
        <w:t>Spikevax</w:t>
      </w:r>
      <w:proofErr w:type="spellEnd"/>
      <w:r w:rsidRPr="0005240E">
        <w:rPr>
          <w:sz w:val="16"/>
          <w:szCs w:val="16"/>
        </w:rPr>
        <w:t xml:space="preserve"> </w:t>
      </w:r>
      <w:r w:rsidR="00853DFC" w:rsidRPr="0005240E">
        <w:rPr>
          <w:sz w:val="16"/>
          <w:szCs w:val="16"/>
        </w:rPr>
        <w:t xml:space="preserve">de Moderna bivalent BA.4/BA.5 n’est pas </w:t>
      </w:r>
      <w:r w:rsidR="001821CA" w:rsidRPr="0005240E">
        <w:rPr>
          <w:sz w:val="16"/>
          <w:szCs w:val="16"/>
        </w:rPr>
        <w:t>indiqué</w:t>
      </w:r>
      <w:r w:rsidR="00853DFC" w:rsidRPr="0005240E">
        <w:rPr>
          <w:sz w:val="16"/>
          <w:szCs w:val="16"/>
        </w:rPr>
        <w:t xml:space="preserve"> pour les personne </w:t>
      </w:r>
      <w:r w:rsidR="00DB0A57" w:rsidRPr="0005240E">
        <w:rPr>
          <w:sz w:val="16"/>
          <w:szCs w:val="16"/>
        </w:rPr>
        <w:t xml:space="preserve">âgées de 12 </w:t>
      </w:r>
      <w:r w:rsidR="001821CA" w:rsidRPr="0005240E">
        <w:rPr>
          <w:sz w:val="16"/>
          <w:szCs w:val="16"/>
        </w:rPr>
        <w:t>à</w:t>
      </w:r>
      <w:r w:rsidR="00DB0A57" w:rsidRPr="0005240E">
        <w:rPr>
          <w:sz w:val="16"/>
          <w:szCs w:val="16"/>
        </w:rPr>
        <w:t xml:space="preserve"> 17 ans, </w:t>
      </w:r>
      <w:r w:rsidR="001821CA" w:rsidRPr="0005240E">
        <w:rPr>
          <w:sz w:val="16"/>
          <w:szCs w:val="16"/>
        </w:rPr>
        <w:t>mais</w:t>
      </w:r>
      <w:r w:rsidR="00DB0A57" w:rsidRPr="0005240E">
        <w:rPr>
          <w:sz w:val="16"/>
          <w:szCs w:val="16"/>
        </w:rPr>
        <w:t xml:space="preserve"> il peut être envisage pour les personne </w:t>
      </w:r>
      <w:r w:rsidR="001821CA" w:rsidRPr="0005240E">
        <w:rPr>
          <w:sz w:val="16"/>
          <w:szCs w:val="16"/>
        </w:rPr>
        <w:t>modérément</w:t>
      </w:r>
      <w:r w:rsidR="00DB0A57" w:rsidRPr="0005240E">
        <w:rPr>
          <w:sz w:val="16"/>
          <w:szCs w:val="16"/>
        </w:rPr>
        <w:t xml:space="preserve"> ou gravement </w:t>
      </w:r>
      <w:r w:rsidR="001821CA" w:rsidRPr="0005240E">
        <w:rPr>
          <w:sz w:val="16"/>
          <w:szCs w:val="16"/>
        </w:rPr>
        <w:t>immunodéprimées</w:t>
      </w:r>
      <w:r w:rsidR="00DB0A57" w:rsidRPr="0005240E">
        <w:rPr>
          <w:sz w:val="16"/>
          <w:szCs w:val="16"/>
        </w:rPr>
        <w:t xml:space="preserve">, car </w:t>
      </w:r>
      <w:r w:rsidR="00053CE9" w:rsidRPr="0005240E">
        <w:rPr>
          <w:sz w:val="16"/>
          <w:szCs w:val="16"/>
        </w:rPr>
        <w:t>l</w:t>
      </w:r>
      <w:r w:rsidR="3A5892F7" w:rsidRPr="0005240E">
        <w:rPr>
          <w:sz w:val="16"/>
          <w:szCs w:val="16"/>
        </w:rPr>
        <w:t>e vaccin</w:t>
      </w:r>
      <w:r w:rsidR="007735FB" w:rsidRPr="0005240E">
        <w:rPr>
          <w:sz w:val="16"/>
          <w:szCs w:val="16"/>
        </w:rPr>
        <w:t xml:space="preserve"> </w:t>
      </w:r>
      <w:proofErr w:type="spellStart"/>
      <w:r w:rsidR="007735FB" w:rsidRPr="0005240E">
        <w:rPr>
          <w:sz w:val="16"/>
          <w:szCs w:val="16"/>
        </w:rPr>
        <w:t>Spikevax</w:t>
      </w:r>
      <w:proofErr w:type="spellEnd"/>
      <w:r w:rsidR="3A5892F7" w:rsidRPr="0005240E">
        <w:rPr>
          <w:sz w:val="16"/>
          <w:szCs w:val="16"/>
        </w:rPr>
        <w:t xml:space="preserve"> original de </w:t>
      </w:r>
      <w:r w:rsidR="00A01828" w:rsidRPr="0005240E">
        <w:rPr>
          <w:sz w:val="16"/>
          <w:szCs w:val="16"/>
        </w:rPr>
        <w:t>Moderna</w:t>
      </w:r>
      <w:r w:rsidR="3A5892F7" w:rsidRPr="0005240E">
        <w:rPr>
          <w:sz w:val="16"/>
          <w:szCs w:val="16"/>
        </w:rPr>
        <w:t xml:space="preserve"> (50 </w:t>
      </w:r>
      <w:proofErr w:type="spellStart"/>
      <w:r w:rsidR="3A5892F7" w:rsidRPr="0005240E">
        <w:rPr>
          <w:sz w:val="16"/>
          <w:szCs w:val="16"/>
        </w:rPr>
        <w:t>mcg</w:t>
      </w:r>
      <w:proofErr w:type="spellEnd"/>
      <w:r w:rsidR="3A5892F7" w:rsidRPr="0005240E">
        <w:rPr>
          <w:sz w:val="16"/>
          <w:szCs w:val="16"/>
        </w:rPr>
        <w:t xml:space="preserve">) </w:t>
      </w:r>
      <w:r w:rsidR="006412FB" w:rsidRPr="0005240E">
        <w:rPr>
          <w:sz w:val="16"/>
          <w:szCs w:val="16"/>
        </w:rPr>
        <w:t xml:space="preserve">en tant que </w:t>
      </w:r>
      <w:r w:rsidR="3A5892F7" w:rsidRPr="0005240E">
        <w:rPr>
          <w:sz w:val="16"/>
          <w:szCs w:val="16"/>
        </w:rPr>
        <w:t xml:space="preserve">vaccin de rappel peut avoir une efficacité un peu plus élevée que le vaccin original de </w:t>
      </w:r>
      <w:proofErr w:type="spellStart"/>
      <w:r w:rsidR="008B6F0E" w:rsidRPr="0005240E">
        <w:rPr>
          <w:sz w:val="16"/>
          <w:szCs w:val="16"/>
        </w:rPr>
        <w:t>Comirnaty</w:t>
      </w:r>
      <w:proofErr w:type="spellEnd"/>
      <w:r w:rsidR="008B6F0E" w:rsidRPr="0005240E">
        <w:rPr>
          <w:sz w:val="16"/>
          <w:szCs w:val="16"/>
        </w:rPr>
        <w:t xml:space="preserve"> de Pfizer-BioNTech</w:t>
      </w:r>
      <w:r w:rsidR="3A5892F7" w:rsidRPr="0005240E">
        <w:rPr>
          <w:sz w:val="16"/>
          <w:szCs w:val="16"/>
        </w:rPr>
        <w:t xml:space="preserve"> (30 </w:t>
      </w:r>
      <w:proofErr w:type="spellStart"/>
      <w:r w:rsidR="3A5892F7" w:rsidRPr="0005240E">
        <w:rPr>
          <w:sz w:val="16"/>
          <w:szCs w:val="16"/>
        </w:rPr>
        <w:t>mcg</w:t>
      </w:r>
      <w:proofErr w:type="spellEnd"/>
      <w:r w:rsidR="3A5892F7" w:rsidRPr="0005240E">
        <w:rPr>
          <w:sz w:val="16"/>
          <w:szCs w:val="16"/>
        </w:rPr>
        <w:t xml:space="preserve">) </w:t>
      </w:r>
      <w:r w:rsidR="00FA1A94" w:rsidRPr="0005240E">
        <w:rPr>
          <w:sz w:val="16"/>
          <w:szCs w:val="16"/>
        </w:rPr>
        <w:t xml:space="preserve">en tant que </w:t>
      </w:r>
      <w:r w:rsidR="3A5892F7" w:rsidRPr="0005240E">
        <w:rPr>
          <w:sz w:val="16"/>
          <w:szCs w:val="16"/>
        </w:rPr>
        <w:t>vaccin de rappel</w:t>
      </w:r>
      <w:r w:rsidR="00B5332D" w:rsidRPr="0005240E">
        <w:rPr>
          <w:sz w:val="16"/>
          <w:szCs w:val="16"/>
        </w:rPr>
        <w:t>,</w:t>
      </w:r>
      <w:r w:rsidR="3A5892F7" w:rsidRPr="0005240E">
        <w:rPr>
          <w:sz w:val="16"/>
          <w:szCs w:val="16"/>
        </w:rPr>
        <w:t xml:space="preserve"> d’après une étude menée</w:t>
      </w:r>
      <w:r w:rsidR="001821CA" w:rsidRPr="0005240E">
        <w:rPr>
          <w:sz w:val="16"/>
          <w:szCs w:val="16"/>
        </w:rPr>
        <w:t xml:space="preserve"> chez les adultes</w:t>
      </w:r>
      <w:r w:rsidR="3A5892F7" w:rsidRPr="0005240E">
        <w:rPr>
          <w:sz w:val="16"/>
          <w:szCs w:val="16"/>
        </w:rPr>
        <w:t xml:space="preserve"> pendant les périodes de Delta et d’Omicron précoce.</w:t>
      </w:r>
    </w:p>
    <w:p w14:paraId="34DBB209" w14:textId="4782E278" w:rsidR="005322E7" w:rsidRPr="0005240E" w:rsidRDefault="005322E7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05240E">
        <w:rPr>
          <w:sz w:val="16"/>
        </w:rPr>
        <w:t xml:space="preserve">Le Comité consultatif national de l’immunisation (CCNI) recommande de préférence les vaccins à ARNm en raison de leur efficacité élevée démontrée et de leur profil de sécurité favorable. </w:t>
      </w:r>
    </w:p>
    <w:p w14:paraId="75ED63D8" w14:textId="77777777" w:rsidR="00001D2B" w:rsidRPr="0005240E" w:rsidRDefault="00001D2B" w:rsidP="006D2290">
      <w:pPr>
        <w:rPr>
          <w:b/>
        </w:rPr>
      </w:pPr>
    </w:p>
    <w:p w14:paraId="6F0CEA2B" w14:textId="77777777" w:rsidR="003B276E" w:rsidRPr="0005240E" w:rsidRDefault="003B276E" w:rsidP="006D2290">
      <w:pPr>
        <w:rPr>
          <w:b/>
        </w:rPr>
      </w:pPr>
    </w:p>
    <w:p w14:paraId="206D1F7E" w14:textId="77777777" w:rsidR="003B276E" w:rsidRPr="0005240E" w:rsidRDefault="003B276E" w:rsidP="006D2290">
      <w:pPr>
        <w:rPr>
          <w:b/>
        </w:rPr>
      </w:pPr>
    </w:p>
    <w:p w14:paraId="52270952" w14:textId="5D805C98" w:rsidR="00032142" w:rsidRPr="0005240E" w:rsidRDefault="00032142" w:rsidP="006D2290">
      <w:pPr>
        <w:rPr>
          <w:b/>
        </w:rPr>
      </w:pPr>
      <w:r w:rsidRPr="0005240E">
        <w:rPr>
          <w:b/>
        </w:rPr>
        <w:t>Ressources clés :</w:t>
      </w:r>
    </w:p>
    <w:p w14:paraId="3D01F145" w14:textId="4CA3075E" w:rsidR="00C05CD0" w:rsidRPr="0005240E" w:rsidRDefault="00000000" w:rsidP="0027241A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7">
        <w:r w:rsidR="00D35B1D" w:rsidRPr="0005240E">
          <w:rPr>
            <w:rStyle w:val="Hyperlink"/>
          </w:rPr>
          <w:t>Vaccin contre la COVID-19 : Guide canadien d’immunisation</w:t>
        </w:r>
      </w:hyperlink>
    </w:p>
    <w:p w14:paraId="255E84E1" w14:textId="136081C1" w:rsidR="00EB7D28" w:rsidRPr="0005240E" w:rsidRDefault="00000000" w:rsidP="0027241A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8" w:anchor="a6.2">
        <w:r w:rsidR="00EB7D28" w:rsidRPr="0005240E">
          <w:rPr>
            <w:rStyle w:val="Hyperlink"/>
          </w:rPr>
          <w:t xml:space="preserve">Vaccin contre la COVID-19 : Guide canadien d'immunisation - </w:t>
        </w:r>
        <w:r w:rsidR="00061B92" w:rsidRPr="0005240E">
          <w:rPr>
            <w:rStyle w:val="Hyperlink"/>
          </w:rPr>
          <w:t>Intervalles proposés entre une infection antérieure par le SRAS-CoV-2 et la vaccination contre la COVID-19</w:t>
        </w:r>
      </w:hyperlink>
    </w:p>
    <w:p w14:paraId="417E6527" w14:textId="7ED448B2" w:rsidR="00C05CD0" w:rsidRPr="0005240E" w:rsidRDefault="00000000" w:rsidP="0027241A">
      <w:pPr>
        <w:pStyle w:val="ListParagraph"/>
        <w:numPr>
          <w:ilvl w:val="0"/>
          <w:numId w:val="2"/>
        </w:numPr>
      </w:pPr>
      <w:hyperlink r:id="rId19">
        <w:r w:rsidR="00D35B1D" w:rsidRPr="0005240E">
          <w:rPr>
            <w:rStyle w:val="Hyperlink"/>
          </w:rPr>
          <w:t>Comité consultatif national de l’immunisation (CCNI) : Déclarations</w:t>
        </w:r>
      </w:hyperlink>
    </w:p>
    <w:p w14:paraId="00CA2DAB" w14:textId="60EE49DD" w:rsidR="00736AB8" w:rsidRPr="0005240E" w:rsidRDefault="00000000" w:rsidP="00C05CD0">
      <w:pPr>
        <w:pStyle w:val="ListParagraph"/>
        <w:numPr>
          <w:ilvl w:val="0"/>
          <w:numId w:val="2"/>
        </w:numPr>
      </w:pPr>
      <w:hyperlink r:id="rId20">
        <w:r w:rsidR="00736AB8" w:rsidRPr="0005240E">
          <w:rPr>
            <w:rStyle w:val="Hyperlink"/>
          </w:rPr>
          <w:t>Guide de planification des cliniques de vaccination contre la COVID-19 : Gestion des erreurs ou des écarts d'administration de vaccins</w:t>
        </w:r>
      </w:hyperlink>
    </w:p>
    <w:p w14:paraId="276DA02E" w14:textId="74306CC8" w:rsidR="00032142" w:rsidRPr="0005240E" w:rsidRDefault="00000000" w:rsidP="00C05CD0">
      <w:pPr>
        <w:pStyle w:val="ListParagraph"/>
        <w:numPr>
          <w:ilvl w:val="0"/>
          <w:numId w:val="2"/>
        </w:numPr>
      </w:pPr>
      <w:hyperlink r:id="rId21">
        <w:r w:rsidR="00D35B1D" w:rsidRPr="0005240E">
          <w:rPr>
            <w:rStyle w:val="Hyperlink"/>
          </w:rPr>
          <w:t>Guide de planification des cliniques de vaccination contre la COVID-19 : Comparaison des vaccins et aperçu de leurs principales caractéristiques</w:t>
        </w:r>
      </w:hyperlink>
    </w:p>
    <w:sectPr w:rsidR="00032142" w:rsidRPr="0005240E" w:rsidSect="0051020D">
      <w:footerReference w:type="default" r:id="rId22"/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94FB" w14:textId="77777777" w:rsidR="0060336B" w:rsidRDefault="0060336B" w:rsidP="00E801B2">
      <w:pPr>
        <w:spacing w:after="0" w:line="240" w:lineRule="auto"/>
      </w:pPr>
      <w:r>
        <w:separator/>
      </w:r>
    </w:p>
  </w:endnote>
  <w:endnote w:type="continuationSeparator" w:id="0">
    <w:p w14:paraId="079EA013" w14:textId="77777777" w:rsidR="0060336B" w:rsidRDefault="0060336B" w:rsidP="00E801B2">
      <w:pPr>
        <w:spacing w:after="0" w:line="240" w:lineRule="auto"/>
      </w:pPr>
      <w:r>
        <w:continuationSeparator/>
      </w:r>
    </w:p>
  </w:endnote>
  <w:endnote w:type="continuationNotice" w:id="1">
    <w:p w14:paraId="35D5FB2E" w14:textId="77777777" w:rsidR="0060336B" w:rsidRDefault="00603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0013" w14:textId="742503AF" w:rsidR="00E801B2" w:rsidRDefault="00BD4186">
    <w:pPr>
      <w:pStyle w:val="Footer"/>
    </w:pPr>
    <w:r>
      <w:t>6</w:t>
    </w:r>
    <w:r w:rsidR="006C5831">
      <w:t xml:space="preserve"> mars</w:t>
    </w:r>
    <w:r w:rsidR="00ED65A3">
      <w:t xml:space="preserve"> </w:t>
    </w:r>
    <w:r w:rsidR="00F21F7E">
      <w:t>2023</w:t>
    </w:r>
    <w:r w:rsidR="00F21F7E">
      <w:ptab w:relativeTo="margin" w:alignment="center" w:leader="none"/>
    </w:r>
    <w:r w:rsidR="00F21F7E">
      <w:ptab w:relativeTo="margin" w:alignment="right" w:leader="none"/>
    </w:r>
    <w:r w:rsidR="00615B07" w:rsidRPr="00615B07">
      <w:fldChar w:fldCharType="begin"/>
    </w:r>
    <w:r w:rsidR="00615B07" w:rsidRPr="00615B07">
      <w:instrText xml:space="preserve"> PAGE   \* MERGEFORMAT </w:instrText>
    </w:r>
    <w:r w:rsidR="00615B07" w:rsidRPr="00615B07">
      <w:fldChar w:fldCharType="separate"/>
    </w:r>
    <w:r w:rsidR="001C54BC">
      <w:t>4</w:t>
    </w:r>
    <w:r w:rsidR="00615B07" w:rsidRPr="00615B0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002A" w14:textId="77777777" w:rsidR="0060336B" w:rsidRDefault="0060336B" w:rsidP="00E801B2">
      <w:pPr>
        <w:spacing w:after="0" w:line="240" w:lineRule="auto"/>
      </w:pPr>
      <w:r>
        <w:separator/>
      </w:r>
    </w:p>
  </w:footnote>
  <w:footnote w:type="continuationSeparator" w:id="0">
    <w:p w14:paraId="4FA32B32" w14:textId="77777777" w:rsidR="0060336B" w:rsidRDefault="0060336B" w:rsidP="00E801B2">
      <w:pPr>
        <w:spacing w:after="0" w:line="240" w:lineRule="auto"/>
      </w:pPr>
      <w:r>
        <w:continuationSeparator/>
      </w:r>
    </w:p>
  </w:footnote>
  <w:footnote w:type="continuationNotice" w:id="1">
    <w:p w14:paraId="08629E4A" w14:textId="77777777" w:rsidR="0060336B" w:rsidRDefault="006033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A5A"/>
    <w:multiLevelType w:val="multilevel"/>
    <w:tmpl w:val="4498C8C4"/>
    <w:lvl w:ilvl="0">
      <w:numFmt w:val="decimal"/>
      <w:lvlText w:val="(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82A4F"/>
    <w:multiLevelType w:val="hybridMultilevel"/>
    <w:tmpl w:val="321CE7FE"/>
    <w:lvl w:ilvl="0" w:tplc="3686123E"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5D3"/>
    <w:multiLevelType w:val="multilevel"/>
    <w:tmpl w:val="1B700AB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C552D71"/>
    <w:multiLevelType w:val="hybridMultilevel"/>
    <w:tmpl w:val="2D7AE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2E25"/>
    <w:multiLevelType w:val="hybridMultilevel"/>
    <w:tmpl w:val="D7BA872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79D7"/>
    <w:multiLevelType w:val="hybridMultilevel"/>
    <w:tmpl w:val="368C06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B6CFE"/>
    <w:multiLevelType w:val="hybridMultilevel"/>
    <w:tmpl w:val="499078C8"/>
    <w:lvl w:ilvl="0" w:tplc="10090017">
      <w:start w:val="1"/>
      <w:numFmt w:val="lowerLetter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42079"/>
    <w:multiLevelType w:val="multilevel"/>
    <w:tmpl w:val="0C2A1A5A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4608" w:hanging="1440"/>
      </w:pPr>
      <w:rPr>
        <w:rFonts w:hint="default"/>
      </w:rPr>
    </w:lvl>
  </w:abstractNum>
  <w:abstractNum w:abstractNumId="8" w15:restartNumberingAfterBreak="0">
    <w:nsid w:val="671F5E32"/>
    <w:multiLevelType w:val="multilevel"/>
    <w:tmpl w:val="CCA69ED2"/>
    <w:lvl w:ilvl="0"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2"/>
      </w:rPr>
    </w:lvl>
  </w:abstractNum>
  <w:abstractNum w:abstractNumId="9" w15:restartNumberingAfterBreak="0">
    <w:nsid w:val="6ABD1DAE"/>
    <w:multiLevelType w:val="hybridMultilevel"/>
    <w:tmpl w:val="882EC7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32979"/>
    <w:multiLevelType w:val="hybridMultilevel"/>
    <w:tmpl w:val="A0DA4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561706">
    <w:abstractNumId w:val="0"/>
  </w:num>
  <w:num w:numId="2" w16cid:durableId="557522445">
    <w:abstractNumId w:val="5"/>
  </w:num>
  <w:num w:numId="3" w16cid:durableId="75248838">
    <w:abstractNumId w:val="2"/>
  </w:num>
  <w:num w:numId="4" w16cid:durableId="95098005">
    <w:abstractNumId w:val="7"/>
  </w:num>
  <w:num w:numId="5" w16cid:durableId="2090803815">
    <w:abstractNumId w:val="4"/>
  </w:num>
  <w:num w:numId="6" w16cid:durableId="1877422002">
    <w:abstractNumId w:val="1"/>
  </w:num>
  <w:num w:numId="7" w16cid:durableId="1644433028">
    <w:abstractNumId w:val="8"/>
  </w:num>
  <w:num w:numId="8" w16cid:durableId="598876817">
    <w:abstractNumId w:val="10"/>
  </w:num>
  <w:num w:numId="9" w16cid:durableId="1444379060">
    <w:abstractNumId w:val="6"/>
  </w:num>
  <w:num w:numId="10" w16cid:durableId="118841165">
    <w:abstractNumId w:val="9"/>
  </w:num>
  <w:num w:numId="11" w16cid:durableId="203734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CA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25"/>
    <w:rsid w:val="00000F92"/>
    <w:rsid w:val="00001D2B"/>
    <w:rsid w:val="00001E77"/>
    <w:rsid w:val="00003B7F"/>
    <w:rsid w:val="00006AA2"/>
    <w:rsid w:val="0000791F"/>
    <w:rsid w:val="0001032C"/>
    <w:rsid w:val="0001287F"/>
    <w:rsid w:val="0001506B"/>
    <w:rsid w:val="000179F1"/>
    <w:rsid w:val="000179F6"/>
    <w:rsid w:val="00032142"/>
    <w:rsid w:val="00035724"/>
    <w:rsid w:val="00037E36"/>
    <w:rsid w:val="000479A9"/>
    <w:rsid w:val="0005240E"/>
    <w:rsid w:val="00053CE9"/>
    <w:rsid w:val="00061B92"/>
    <w:rsid w:val="0006539E"/>
    <w:rsid w:val="0007077F"/>
    <w:rsid w:val="000709AB"/>
    <w:rsid w:val="000722F0"/>
    <w:rsid w:val="00074D1C"/>
    <w:rsid w:val="00084F9F"/>
    <w:rsid w:val="00090F80"/>
    <w:rsid w:val="000911A7"/>
    <w:rsid w:val="000949F7"/>
    <w:rsid w:val="000A4EE6"/>
    <w:rsid w:val="000B138F"/>
    <w:rsid w:val="000B3063"/>
    <w:rsid w:val="000B65D8"/>
    <w:rsid w:val="000C0605"/>
    <w:rsid w:val="000D0C46"/>
    <w:rsid w:val="000D1643"/>
    <w:rsid w:val="000D65B8"/>
    <w:rsid w:val="000E0C6D"/>
    <w:rsid w:val="000F4543"/>
    <w:rsid w:val="00102ADD"/>
    <w:rsid w:val="001031B1"/>
    <w:rsid w:val="00103C37"/>
    <w:rsid w:val="001054F0"/>
    <w:rsid w:val="00107668"/>
    <w:rsid w:val="00110220"/>
    <w:rsid w:val="00112870"/>
    <w:rsid w:val="00113400"/>
    <w:rsid w:val="00113452"/>
    <w:rsid w:val="001240C9"/>
    <w:rsid w:val="001244C4"/>
    <w:rsid w:val="00126C55"/>
    <w:rsid w:val="00151609"/>
    <w:rsid w:val="00157269"/>
    <w:rsid w:val="0016277D"/>
    <w:rsid w:val="0016663E"/>
    <w:rsid w:val="00170B81"/>
    <w:rsid w:val="001821CA"/>
    <w:rsid w:val="001903EC"/>
    <w:rsid w:val="00191649"/>
    <w:rsid w:val="001A356E"/>
    <w:rsid w:val="001A759B"/>
    <w:rsid w:val="001B0633"/>
    <w:rsid w:val="001B3C04"/>
    <w:rsid w:val="001B469A"/>
    <w:rsid w:val="001C54BC"/>
    <w:rsid w:val="001C7AC6"/>
    <w:rsid w:val="001D2F94"/>
    <w:rsid w:val="001D648D"/>
    <w:rsid w:val="001E3349"/>
    <w:rsid w:val="001E3CE6"/>
    <w:rsid w:val="00202C3E"/>
    <w:rsid w:val="0020682D"/>
    <w:rsid w:val="002077A2"/>
    <w:rsid w:val="0021705F"/>
    <w:rsid w:val="002216B6"/>
    <w:rsid w:val="00226BC5"/>
    <w:rsid w:val="00232AB0"/>
    <w:rsid w:val="00233C31"/>
    <w:rsid w:val="00240603"/>
    <w:rsid w:val="00243A49"/>
    <w:rsid w:val="0024439C"/>
    <w:rsid w:val="00244A4A"/>
    <w:rsid w:val="0024580B"/>
    <w:rsid w:val="0024748A"/>
    <w:rsid w:val="00261472"/>
    <w:rsid w:val="00261F19"/>
    <w:rsid w:val="00262FD5"/>
    <w:rsid w:val="00263BAD"/>
    <w:rsid w:val="002662C9"/>
    <w:rsid w:val="00266316"/>
    <w:rsid w:val="002701B1"/>
    <w:rsid w:val="00270E3B"/>
    <w:rsid w:val="0027241A"/>
    <w:rsid w:val="00274B67"/>
    <w:rsid w:val="002750E9"/>
    <w:rsid w:val="00281A78"/>
    <w:rsid w:val="00283FC4"/>
    <w:rsid w:val="0028783A"/>
    <w:rsid w:val="00293289"/>
    <w:rsid w:val="0029628D"/>
    <w:rsid w:val="002A440B"/>
    <w:rsid w:val="002A6C31"/>
    <w:rsid w:val="002B55EA"/>
    <w:rsid w:val="002B7BC7"/>
    <w:rsid w:val="002C2120"/>
    <w:rsid w:val="002C46E1"/>
    <w:rsid w:val="002C6B65"/>
    <w:rsid w:val="002D4CFB"/>
    <w:rsid w:val="002E1F2F"/>
    <w:rsid w:val="002E30FD"/>
    <w:rsid w:val="002F1EF4"/>
    <w:rsid w:val="002F4F4A"/>
    <w:rsid w:val="002F51DD"/>
    <w:rsid w:val="00300E9B"/>
    <w:rsid w:val="00303F28"/>
    <w:rsid w:val="00325BBD"/>
    <w:rsid w:val="00335C37"/>
    <w:rsid w:val="00341F79"/>
    <w:rsid w:val="00345313"/>
    <w:rsid w:val="00351237"/>
    <w:rsid w:val="00351E3E"/>
    <w:rsid w:val="00375E95"/>
    <w:rsid w:val="00376CFA"/>
    <w:rsid w:val="00381D9F"/>
    <w:rsid w:val="00382E7F"/>
    <w:rsid w:val="00383814"/>
    <w:rsid w:val="003843B4"/>
    <w:rsid w:val="003859D0"/>
    <w:rsid w:val="00391171"/>
    <w:rsid w:val="00392078"/>
    <w:rsid w:val="00392906"/>
    <w:rsid w:val="00395A5D"/>
    <w:rsid w:val="003A6FF4"/>
    <w:rsid w:val="003B276E"/>
    <w:rsid w:val="003B6FA2"/>
    <w:rsid w:val="003C225C"/>
    <w:rsid w:val="003C351D"/>
    <w:rsid w:val="003C41DB"/>
    <w:rsid w:val="003C54D3"/>
    <w:rsid w:val="003C6978"/>
    <w:rsid w:val="003E1A3C"/>
    <w:rsid w:val="003E1BF8"/>
    <w:rsid w:val="003E2D95"/>
    <w:rsid w:val="003F3495"/>
    <w:rsid w:val="003F739A"/>
    <w:rsid w:val="004052C2"/>
    <w:rsid w:val="004067E6"/>
    <w:rsid w:val="00406FC2"/>
    <w:rsid w:val="0040774F"/>
    <w:rsid w:val="00410323"/>
    <w:rsid w:val="00411224"/>
    <w:rsid w:val="00414F87"/>
    <w:rsid w:val="00420A3A"/>
    <w:rsid w:val="00426AED"/>
    <w:rsid w:val="00430D7B"/>
    <w:rsid w:val="004314D5"/>
    <w:rsid w:val="00437B65"/>
    <w:rsid w:val="00447BEE"/>
    <w:rsid w:val="00452AA3"/>
    <w:rsid w:val="00455ACD"/>
    <w:rsid w:val="00457430"/>
    <w:rsid w:val="004754D1"/>
    <w:rsid w:val="0047611D"/>
    <w:rsid w:val="00480DD6"/>
    <w:rsid w:val="004815DC"/>
    <w:rsid w:val="004821C1"/>
    <w:rsid w:val="00493862"/>
    <w:rsid w:val="00496D12"/>
    <w:rsid w:val="00497D05"/>
    <w:rsid w:val="004A0912"/>
    <w:rsid w:val="004A09FC"/>
    <w:rsid w:val="004B55F4"/>
    <w:rsid w:val="004C2B72"/>
    <w:rsid w:val="004C2BB9"/>
    <w:rsid w:val="004E300B"/>
    <w:rsid w:val="004F0E5C"/>
    <w:rsid w:val="005022D1"/>
    <w:rsid w:val="005054FC"/>
    <w:rsid w:val="0051020D"/>
    <w:rsid w:val="005322E7"/>
    <w:rsid w:val="00536DFA"/>
    <w:rsid w:val="00544C5E"/>
    <w:rsid w:val="00544CF6"/>
    <w:rsid w:val="00547D3D"/>
    <w:rsid w:val="00555A94"/>
    <w:rsid w:val="00556317"/>
    <w:rsid w:val="00556DEF"/>
    <w:rsid w:val="0055727B"/>
    <w:rsid w:val="00565D36"/>
    <w:rsid w:val="00570C45"/>
    <w:rsid w:val="00576B65"/>
    <w:rsid w:val="00577171"/>
    <w:rsid w:val="0057773F"/>
    <w:rsid w:val="00581D76"/>
    <w:rsid w:val="005915AD"/>
    <w:rsid w:val="00593D5B"/>
    <w:rsid w:val="00596571"/>
    <w:rsid w:val="005A3453"/>
    <w:rsid w:val="005A6E42"/>
    <w:rsid w:val="005B666F"/>
    <w:rsid w:val="005C1934"/>
    <w:rsid w:val="005D2173"/>
    <w:rsid w:val="005D235A"/>
    <w:rsid w:val="005D2F3C"/>
    <w:rsid w:val="005D447B"/>
    <w:rsid w:val="005D79C0"/>
    <w:rsid w:val="005E5796"/>
    <w:rsid w:val="005F1AAE"/>
    <w:rsid w:val="005F1FD4"/>
    <w:rsid w:val="006015E1"/>
    <w:rsid w:val="0060234D"/>
    <w:rsid w:val="0060336B"/>
    <w:rsid w:val="00606075"/>
    <w:rsid w:val="00615B07"/>
    <w:rsid w:val="00621135"/>
    <w:rsid w:val="006223F4"/>
    <w:rsid w:val="0062654C"/>
    <w:rsid w:val="00630F55"/>
    <w:rsid w:val="00631A9D"/>
    <w:rsid w:val="0063760F"/>
    <w:rsid w:val="006412FB"/>
    <w:rsid w:val="006413E6"/>
    <w:rsid w:val="006424C7"/>
    <w:rsid w:val="00646CEC"/>
    <w:rsid w:val="0065055B"/>
    <w:rsid w:val="0065078E"/>
    <w:rsid w:val="0065365E"/>
    <w:rsid w:val="006569CB"/>
    <w:rsid w:val="006720DF"/>
    <w:rsid w:val="00674EF1"/>
    <w:rsid w:val="006823E9"/>
    <w:rsid w:val="00687ECE"/>
    <w:rsid w:val="00696251"/>
    <w:rsid w:val="006A58BB"/>
    <w:rsid w:val="006B15EC"/>
    <w:rsid w:val="006C5831"/>
    <w:rsid w:val="006C5C0B"/>
    <w:rsid w:val="006D2290"/>
    <w:rsid w:val="006D5571"/>
    <w:rsid w:val="006D7B44"/>
    <w:rsid w:val="006E1D4C"/>
    <w:rsid w:val="006E2A34"/>
    <w:rsid w:val="006E7517"/>
    <w:rsid w:val="006E7616"/>
    <w:rsid w:val="006F11D6"/>
    <w:rsid w:val="006F1A2C"/>
    <w:rsid w:val="00701A7B"/>
    <w:rsid w:val="00705BB2"/>
    <w:rsid w:val="00706A21"/>
    <w:rsid w:val="00730A3A"/>
    <w:rsid w:val="00730D34"/>
    <w:rsid w:val="00733DDE"/>
    <w:rsid w:val="00736AB8"/>
    <w:rsid w:val="00745612"/>
    <w:rsid w:val="00751773"/>
    <w:rsid w:val="00763335"/>
    <w:rsid w:val="00764261"/>
    <w:rsid w:val="007714BF"/>
    <w:rsid w:val="007735FB"/>
    <w:rsid w:val="0077697B"/>
    <w:rsid w:val="00780230"/>
    <w:rsid w:val="00785C71"/>
    <w:rsid w:val="007A308D"/>
    <w:rsid w:val="007B543F"/>
    <w:rsid w:val="007C1738"/>
    <w:rsid w:val="007C379F"/>
    <w:rsid w:val="007C4DEB"/>
    <w:rsid w:val="007C583F"/>
    <w:rsid w:val="007C7B25"/>
    <w:rsid w:val="007D4B25"/>
    <w:rsid w:val="007D72D0"/>
    <w:rsid w:val="007E3290"/>
    <w:rsid w:val="00822ABB"/>
    <w:rsid w:val="00832724"/>
    <w:rsid w:val="00837F9C"/>
    <w:rsid w:val="00841DDA"/>
    <w:rsid w:val="008435E5"/>
    <w:rsid w:val="00845343"/>
    <w:rsid w:val="00846F26"/>
    <w:rsid w:val="008474C9"/>
    <w:rsid w:val="00853DFC"/>
    <w:rsid w:val="00862965"/>
    <w:rsid w:val="00863322"/>
    <w:rsid w:val="00865368"/>
    <w:rsid w:val="00870699"/>
    <w:rsid w:val="00872A02"/>
    <w:rsid w:val="0089046B"/>
    <w:rsid w:val="00892746"/>
    <w:rsid w:val="008932AA"/>
    <w:rsid w:val="00895D2D"/>
    <w:rsid w:val="00897779"/>
    <w:rsid w:val="008A007B"/>
    <w:rsid w:val="008A05FF"/>
    <w:rsid w:val="008A6664"/>
    <w:rsid w:val="008B614A"/>
    <w:rsid w:val="008B6F0E"/>
    <w:rsid w:val="008D069C"/>
    <w:rsid w:val="008D1498"/>
    <w:rsid w:val="008F0D2E"/>
    <w:rsid w:val="008F4385"/>
    <w:rsid w:val="008F7143"/>
    <w:rsid w:val="00902753"/>
    <w:rsid w:val="009055F6"/>
    <w:rsid w:val="00930FB9"/>
    <w:rsid w:val="00933699"/>
    <w:rsid w:val="009405B2"/>
    <w:rsid w:val="009408EB"/>
    <w:rsid w:val="00945F87"/>
    <w:rsid w:val="00951ADE"/>
    <w:rsid w:val="00957B3D"/>
    <w:rsid w:val="00965B89"/>
    <w:rsid w:val="00966F2F"/>
    <w:rsid w:val="00987F2C"/>
    <w:rsid w:val="009A073D"/>
    <w:rsid w:val="009B188C"/>
    <w:rsid w:val="009B29F8"/>
    <w:rsid w:val="009D2E54"/>
    <w:rsid w:val="009D7534"/>
    <w:rsid w:val="009D7B35"/>
    <w:rsid w:val="009E5EB6"/>
    <w:rsid w:val="009F2DD6"/>
    <w:rsid w:val="00A01828"/>
    <w:rsid w:val="00A02F40"/>
    <w:rsid w:val="00A058DE"/>
    <w:rsid w:val="00A12CE5"/>
    <w:rsid w:val="00A163FB"/>
    <w:rsid w:val="00A20433"/>
    <w:rsid w:val="00A22E5A"/>
    <w:rsid w:val="00A448EB"/>
    <w:rsid w:val="00A4613F"/>
    <w:rsid w:val="00A51DFE"/>
    <w:rsid w:val="00A56E4E"/>
    <w:rsid w:val="00A60EE6"/>
    <w:rsid w:val="00A667ED"/>
    <w:rsid w:val="00A7732A"/>
    <w:rsid w:val="00A81673"/>
    <w:rsid w:val="00A8375B"/>
    <w:rsid w:val="00A839E6"/>
    <w:rsid w:val="00A92D9D"/>
    <w:rsid w:val="00A9367A"/>
    <w:rsid w:val="00A96CD9"/>
    <w:rsid w:val="00AA56ED"/>
    <w:rsid w:val="00AB1019"/>
    <w:rsid w:val="00AB3344"/>
    <w:rsid w:val="00AB5B39"/>
    <w:rsid w:val="00AB7035"/>
    <w:rsid w:val="00AB7B37"/>
    <w:rsid w:val="00AB7CDF"/>
    <w:rsid w:val="00AC0349"/>
    <w:rsid w:val="00AE4E1D"/>
    <w:rsid w:val="00AE6A94"/>
    <w:rsid w:val="00B00850"/>
    <w:rsid w:val="00B07054"/>
    <w:rsid w:val="00B26801"/>
    <w:rsid w:val="00B301B1"/>
    <w:rsid w:val="00B43979"/>
    <w:rsid w:val="00B47D78"/>
    <w:rsid w:val="00B5084E"/>
    <w:rsid w:val="00B5332D"/>
    <w:rsid w:val="00B549E9"/>
    <w:rsid w:val="00B73CFE"/>
    <w:rsid w:val="00B808CE"/>
    <w:rsid w:val="00B81438"/>
    <w:rsid w:val="00B87B43"/>
    <w:rsid w:val="00B90571"/>
    <w:rsid w:val="00B93336"/>
    <w:rsid w:val="00B940D3"/>
    <w:rsid w:val="00B9460B"/>
    <w:rsid w:val="00B94927"/>
    <w:rsid w:val="00BA2645"/>
    <w:rsid w:val="00BB24BF"/>
    <w:rsid w:val="00BB5306"/>
    <w:rsid w:val="00BC5B37"/>
    <w:rsid w:val="00BC796C"/>
    <w:rsid w:val="00BD3709"/>
    <w:rsid w:val="00BD4186"/>
    <w:rsid w:val="00BF1DCB"/>
    <w:rsid w:val="00BF71DB"/>
    <w:rsid w:val="00BF7564"/>
    <w:rsid w:val="00C02194"/>
    <w:rsid w:val="00C02636"/>
    <w:rsid w:val="00C05CD0"/>
    <w:rsid w:val="00C101E6"/>
    <w:rsid w:val="00C21D8F"/>
    <w:rsid w:val="00C3104A"/>
    <w:rsid w:val="00C3254B"/>
    <w:rsid w:val="00C32910"/>
    <w:rsid w:val="00C330E1"/>
    <w:rsid w:val="00C375C2"/>
    <w:rsid w:val="00C37C02"/>
    <w:rsid w:val="00C413E6"/>
    <w:rsid w:val="00C53FAD"/>
    <w:rsid w:val="00C9188A"/>
    <w:rsid w:val="00C945F9"/>
    <w:rsid w:val="00CA22F4"/>
    <w:rsid w:val="00CA2DC7"/>
    <w:rsid w:val="00CA7401"/>
    <w:rsid w:val="00CB23E1"/>
    <w:rsid w:val="00CB354F"/>
    <w:rsid w:val="00CB3E40"/>
    <w:rsid w:val="00CB3ED6"/>
    <w:rsid w:val="00CC0558"/>
    <w:rsid w:val="00CC673E"/>
    <w:rsid w:val="00CD5803"/>
    <w:rsid w:val="00CE41A7"/>
    <w:rsid w:val="00CE78FD"/>
    <w:rsid w:val="00CE7F3B"/>
    <w:rsid w:val="00CE7F7C"/>
    <w:rsid w:val="00CF396E"/>
    <w:rsid w:val="00D02772"/>
    <w:rsid w:val="00D054B1"/>
    <w:rsid w:val="00D11878"/>
    <w:rsid w:val="00D15CF0"/>
    <w:rsid w:val="00D16B56"/>
    <w:rsid w:val="00D21D85"/>
    <w:rsid w:val="00D3155C"/>
    <w:rsid w:val="00D35B1D"/>
    <w:rsid w:val="00D57256"/>
    <w:rsid w:val="00D5736A"/>
    <w:rsid w:val="00D576E6"/>
    <w:rsid w:val="00D73374"/>
    <w:rsid w:val="00D74C9A"/>
    <w:rsid w:val="00D80040"/>
    <w:rsid w:val="00D84E9F"/>
    <w:rsid w:val="00D96139"/>
    <w:rsid w:val="00D964B7"/>
    <w:rsid w:val="00D968A4"/>
    <w:rsid w:val="00DA18A8"/>
    <w:rsid w:val="00DB08AB"/>
    <w:rsid w:val="00DB0A57"/>
    <w:rsid w:val="00DB0A63"/>
    <w:rsid w:val="00DB4587"/>
    <w:rsid w:val="00DC1DFC"/>
    <w:rsid w:val="00DF252E"/>
    <w:rsid w:val="00DF455F"/>
    <w:rsid w:val="00DF4E6F"/>
    <w:rsid w:val="00E050A0"/>
    <w:rsid w:val="00E13E71"/>
    <w:rsid w:val="00E24CE4"/>
    <w:rsid w:val="00E33D04"/>
    <w:rsid w:val="00E40B6C"/>
    <w:rsid w:val="00E41A88"/>
    <w:rsid w:val="00E441FB"/>
    <w:rsid w:val="00E5390B"/>
    <w:rsid w:val="00E55E51"/>
    <w:rsid w:val="00E60167"/>
    <w:rsid w:val="00E62BCB"/>
    <w:rsid w:val="00E7093E"/>
    <w:rsid w:val="00E70C59"/>
    <w:rsid w:val="00E801B2"/>
    <w:rsid w:val="00E80423"/>
    <w:rsid w:val="00E858A9"/>
    <w:rsid w:val="00E861A5"/>
    <w:rsid w:val="00E87649"/>
    <w:rsid w:val="00E87B3D"/>
    <w:rsid w:val="00EA350A"/>
    <w:rsid w:val="00EA3A60"/>
    <w:rsid w:val="00EA53E2"/>
    <w:rsid w:val="00EB1568"/>
    <w:rsid w:val="00EB69C2"/>
    <w:rsid w:val="00EB7D28"/>
    <w:rsid w:val="00EC02FE"/>
    <w:rsid w:val="00EC29CB"/>
    <w:rsid w:val="00EC4BCD"/>
    <w:rsid w:val="00ED24E3"/>
    <w:rsid w:val="00ED2E31"/>
    <w:rsid w:val="00ED65A3"/>
    <w:rsid w:val="00EE1034"/>
    <w:rsid w:val="00EE6F8B"/>
    <w:rsid w:val="00EF14ED"/>
    <w:rsid w:val="00EF170A"/>
    <w:rsid w:val="00EF4E26"/>
    <w:rsid w:val="00F00B64"/>
    <w:rsid w:val="00F10755"/>
    <w:rsid w:val="00F158FC"/>
    <w:rsid w:val="00F16972"/>
    <w:rsid w:val="00F1715E"/>
    <w:rsid w:val="00F21F7E"/>
    <w:rsid w:val="00F22C5C"/>
    <w:rsid w:val="00F243DF"/>
    <w:rsid w:val="00F26B4F"/>
    <w:rsid w:val="00F322ED"/>
    <w:rsid w:val="00F327FE"/>
    <w:rsid w:val="00F4428D"/>
    <w:rsid w:val="00F55F42"/>
    <w:rsid w:val="00F64BF1"/>
    <w:rsid w:val="00F76B0B"/>
    <w:rsid w:val="00F8143E"/>
    <w:rsid w:val="00F827A4"/>
    <w:rsid w:val="00F911FB"/>
    <w:rsid w:val="00F93B4B"/>
    <w:rsid w:val="00FA1A94"/>
    <w:rsid w:val="00FA4116"/>
    <w:rsid w:val="00FA7507"/>
    <w:rsid w:val="00FC1738"/>
    <w:rsid w:val="00FD686F"/>
    <w:rsid w:val="00FE7792"/>
    <w:rsid w:val="00FF35C8"/>
    <w:rsid w:val="00FF4427"/>
    <w:rsid w:val="00FF587D"/>
    <w:rsid w:val="02BE408B"/>
    <w:rsid w:val="05E98D93"/>
    <w:rsid w:val="05EE185B"/>
    <w:rsid w:val="0A71298C"/>
    <w:rsid w:val="0B5F4C09"/>
    <w:rsid w:val="0B667B11"/>
    <w:rsid w:val="0C2FB024"/>
    <w:rsid w:val="0FF18A08"/>
    <w:rsid w:val="1101B7F2"/>
    <w:rsid w:val="15254CE2"/>
    <w:rsid w:val="17D86535"/>
    <w:rsid w:val="188E0DBD"/>
    <w:rsid w:val="1A1FA2D5"/>
    <w:rsid w:val="1A3E8C09"/>
    <w:rsid w:val="1ACC5771"/>
    <w:rsid w:val="1CEB5D40"/>
    <w:rsid w:val="1DD46682"/>
    <w:rsid w:val="1F9718DC"/>
    <w:rsid w:val="200CE9A5"/>
    <w:rsid w:val="254C1186"/>
    <w:rsid w:val="259EFFC1"/>
    <w:rsid w:val="26105692"/>
    <w:rsid w:val="26FE80CB"/>
    <w:rsid w:val="280F5525"/>
    <w:rsid w:val="281675AB"/>
    <w:rsid w:val="28A4C9B5"/>
    <w:rsid w:val="29166130"/>
    <w:rsid w:val="29555B8C"/>
    <w:rsid w:val="29E15486"/>
    <w:rsid w:val="2A156D94"/>
    <w:rsid w:val="2CD691CC"/>
    <w:rsid w:val="2D6409F3"/>
    <w:rsid w:val="2DF971E2"/>
    <w:rsid w:val="2E9D8910"/>
    <w:rsid w:val="2EC667F0"/>
    <w:rsid w:val="2F78661D"/>
    <w:rsid w:val="317CFAF5"/>
    <w:rsid w:val="32D60918"/>
    <w:rsid w:val="32F05B8B"/>
    <w:rsid w:val="33BEF40A"/>
    <w:rsid w:val="3628AEE9"/>
    <w:rsid w:val="377E0FE3"/>
    <w:rsid w:val="37D958EC"/>
    <w:rsid w:val="397E45C3"/>
    <w:rsid w:val="3A5892F7"/>
    <w:rsid w:val="3CCCC6D3"/>
    <w:rsid w:val="3CDDA4FD"/>
    <w:rsid w:val="3D55E7C5"/>
    <w:rsid w:val="3D755F19"/>
    <w:rsid w:val="3E165538"/>
    <w:rsid w:val="40B41F04"/>
    <w:rsid w:val="41756D78"/>
    <w:rsid w:val="41E73962"/>
    <w:rsid w:val="426E97C9"/>
    <w:rsid w:val="454A262E"/>
    <w:rsid w:val="45D5BFB3"/>
    <w:rsid w:val="4680344F"/>
    <w:rsid w:val="46B5512D"/>
    <w:rsid w:val="4B52885E"/>
    <w:rsid w:val="4B7779B2"/>
    <w:rsid w:val="4E20AD77"/>
    <w:rsid w:val="4FE61B36"/>
    <w:rsid w:val="536E9865"/>
    <w:rsid w:val="55A36DBB"/>
    <w:rsid w:val="55FCB062"/>
    <w:rsid w:val="56689634"/>
    <w:rsid w:val="566E2234"/>
    <w:rsid w:val="56E57728"/>
    <w:rsid w:val="57BDA75D"/>
    <w:rsid w:val="58711451"/>
    <w:rsid w:val="59214189"/>
    <w:rsid w:val="5C064DB2"/>
    <w:rsid w:val="5C3B6D61"/>
    <w:rsid w:val="5FE57C22"/>
    <w:rsid w:val="63D6F8F6"/>
    <w:rsid w:val="65C8EBCB"/>
    <w:rsid w:val="664DE71E"/>
    <w:rsid w:val="6816B756"/>
    <w:rsid w:val="68756E1A"/>
    <w:rsid w:val="68B5BF0A"/>
    <w:rsid w:val="6A5A3C84"/>
    <w:rsid w:val="6A6A56F9"/>
    <w:rsid w:val="6B3C6390"/>
    <w:rsid w:val="6C02A9E0"/>
    <w:rsid w:val="7095C3D3"/>
    <w:rsid w:val="70CEDA6A"/>
    <w:rsid w:val="7274C350"/>
    <w:rsid w:val="73F403E0"/>
    <w:rsid w:val="74D31F75"/>
    <w:rsid w:val="77656127"/>
    <w:rsid w:val="79E6FF93"/>
    <w:rsid w:val="7B348021"/>
    <w:rsid w:val="7C1FCFE1"/>
    <w:rsid w:val="7CC377DB"/>
    <w:rsid w:val="7E2B8BCB"/>
    <w:rsid w:val="7E5805B1"/>
    <w:rsid w:val="7E971748"/>
    <w:rsid w:val="7EA40A2A"/>
    <w:rsid w:val="7EB6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4AA8F"/>
  <w15:chartTrackingRefBased/>
  <w15:docId w15:val="{388EB507-969A-4D7A-B885-0E920C22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3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B2"/>
  </w:style>
  <w:style w:type="paragraph" w:styleId="Footer">
    <w:name w:val="footer"/>
    <w:basedOn w:val="Normal"/>
    <w:link w:val="FooterChar"/>
    <w:uiPriority w:val="99"/>
    <w:unhideWhenUsed/>
    <w:rsid w:val="00E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B2"/>
  </w:style>
  <w:style w:type="paragraph" w:styleId="Revision">
    <w:name w:val="Revision"/>
    <w:hidden/>
    <w:uiPriority w:val="99"/>
    <w:semiHidden/>
    <w:rsid w:val="00CB35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32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2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fr/sante-publique/services/publications/vie-saine/guide-canadien-immunisation-partie-4-agents-immunisation-active/page-26-vaccin-contre-covid-19.html" TargetMode="External"/><Relationship Id="rId18" Type="http://schemas.openxmlformats.org/officeDocument/2006/relationships/hyperlink" Target="https://022gc.sharepoint.com/sites/PHAC-VRAT-LogisticsNOC-CenterforImmunizationReadinessCIR/Shared%20Documents/Center%20for%20Immunization%20Readiness%20(CIR)/DIP/VST/VST%20OneDrive/Vaccine%20Guidance%20Stream/Quick%20Reference%20Guide/Decision%20tables/Primary%20and%20Booster/&#8226;%09https:/www.canada.ca/fr/sante-publique/services/publications/vie-saine/guide-canadien-immunisation-partie-4-agents-immunisation-active/page-26-vaccin-contre-covid-19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nada.ca/fr/sante-publique/services/maladies/2019-nouveau-coronavirus/document-orientation/guide-planification-cliniques-vaccination-covid-19/comparaison-vaccins-apercu-leurs-principales-caracteristiques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anada.ca/fr/sante-publique/services/publications/vie-saine/guide-canadien-immunisation-partie-4-agents-immunisation-active/page-26-vaccin-contre-covid-19.html" TargetMode="External"/><Relationship Id="rId17" Type="http://schemas.openxmlformats.org/officeDocument/2006/relationships/hyperlink" Target="https://www.canada.ca/fr/sante-publique/services/publications/vie-saine/guide-canadien-immunisation-partie-4-agents-immunisation-active/page-26-vaccin-contre-covid-19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ada.ca/fr/sante-publique/services/immunisation/comite-consultatif-national-immunisation-ccni/orientations-planification-rappel-vaccin-covid-19-automne-2022.html" TargetMode="External"/><Relationship Id="rId20" Type="http://schemas.openxmlformats.org/officeDocument/2006/relationships/hyperlink" Target="https://www.canada.ca/fr/sante-publique/services/maladies/2019-nouveau-coronavirus/document-orientation/guide-reference-rapide-vaccins-covid-19/gestion-erreurs-ecarts-administration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fr/sante-publique/services/publications/vie-saine/guide-canadien-immunisation-partie-4-agents-immunisation-active/page-26-vaccin-contre-covid-19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anada.ca/fr/sante-publique/services/publications/vie-saine/guide-canadien-immunisation-partie-4-agents-immunisation-active/page-26-vaccin-contre-covid-19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anada.ca/fr/sante-publique/services/immunisation/comite-consultatif-national-immunisation-ccni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ada.ca/fr/sante-publique/services/maladies/2019-nouveau-coronavirus/document-orientation/signes-symptomes-gravite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22e95-1372-4b0d-ba1c-423ef2620e6a">
      <Terms xmlns="http://schemas.microsoft.com/office/infopath/2007/PartnerControls"/>
    </lcf76f155ced4ddcb4097134ff3c332f>
    <TaxCatchAll xmlns="8db4bc81-258c-4d6a-9b3e-0fdab92f5c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EDB27F0C93E43A8DF8742C1D0CBD7" ma:contentTypeVersion="16" ma:contentTypeDescription="Create a new document." ma:contentTypeScope="" ma:versionID="9d655d3cd3fa7ed432d15beb807e5a02">
  <xsd:schema xmlns:xsd="http://www.w3.org/2001/XMLSchema" xmlns:xs="http://www.w3.org/2001/XMLSchema" xmlns:p="http://schemas.microsoft.com/office/2006/metadata/properties" xmlns:ns2="e9a22e95-1372-4b0d-ba1c-423ef2620e6a" xmlns:ns3="8db4bc81-258c-4d6a-9b3e-0fdab92f5c0e" targetNamespace="http://schemas.microsoft.com/office/2006/metadata/properties" ma:root="true" ma:fieldsID="78cc2e6caefacd4055df538ecafb4c13" ns2:_="" ns3:_="">
    <xsd:import namespace="e9a22e95-1372-4b0d-ba1c-423ef2620e6a"/>
    <xsd:import namespace="8db4bc81-258c-4d6a-9b3e-0fdab92f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2e95-1372-4b0d-ba1c-423ef2620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bc81-258c-4d6a-9b3e-0fdab92f5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02919-19ca-43d5-95a8-ed51e2c61096}" ma:internalName="TaxCatchAll" ma:showField="CatchAllData" ma:web="8db4bc81-258c-4d6a-9b3e-0fdab92f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30588-6BC7-488D-83F9-3D2F8B18CA5E}">
  <ds:schemaRefs>
    <ds:schemaRef ds:uri="http://schemas.microsoft.com/office/2006/metadata/properties"/>
    <ds:schemaRef ds:uri="http://schemas.microsoft.com/office/infopath/2007/PartnerControls"/>
    <ds:schemaRef ds:uri="e9a22e95-1372-4b0d-ba1c-423ef2620e6a"/>
    <ds:schemaRef ds:uri="8db4bc81-258c-4d6a-9b3e-0fdab92f5c0e"/>
  </ds:schemaRefs>
</ds:datastoreItem>
</file>

<file path=customXml/itemProps2.xml><?xml version="1.0" encoding="utf-8"?>
<ds:datastoreItem xmlns:ds="http://schemas.openxmlformats.org/officeDocument/2006/customXml" ds:itemID="{09652849-2F7D-41C7-860A-19F3976C1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1E20C-7D27-4D84-9744-D54B9A53C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783B6-504C-41C8-A7C0-0FEDEC3E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2e95-1372-4b0d-ba1c-423ef2620e6a"/>
    <ds:schemaRef ds:uri="8db4bc81-258c-4d6a-9b3e-0fdab92f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Warshawsky, Bryna (PHAC/ASPC)</dc:creator>
  <cp:keywords/>
  <dc:description/>
  <cp:lastModifiedBy>Joanette, Quenby (HC/SC)</cp:lastModifiedBy>
  <cp:revision>39</cp:revision>
  <dcterms:created xsi:type="dcterms:W3CDTF">2023-02-20T14:25:00Z</dcterms:created>
  <dcterms:modified xsi:type="dcterms:W3CDTF">2023-05-25T19:21:00Z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0x010100326EDB27F0C93E43A8DF8742C1D0CBD7</vt:lpwstr>
  </property>
  <property fmtid="{D5CDD505-2E9C-101B-9397-08002B2CF9AE}" pid="3" name="MediaServiceImageTags">
    <vt:lpwstr/>
  </property>
</Properties>
</file>