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A810" w14:textId="5CCEAA0A" w:rsidR="004E06FA" w:rsidRPr="00376DC2" w:rsidRDefault="00E801B2">
      <w:pPr>
        <w:pStyle w:val="Heading1"/>
      </w:pPr>
      <w:r w:rsidRPr="00376DC2">
        <w:t xml:space="preserve">Vaccin </w:t>
      </w:r>
      <w:r w:rsidR="37CE63D8" w:rsidRPr="00376DC2">
        <w:t>contre le pneumocoque</w:t>
      </w:r>
      <w:r w:rsidR="0047736B">
        <w:t> :</w:t>
      </w:r>
      <w:r w:rsidR="002A26F8" w:rsidRPr="00376DC2">
        <w:t xml:space="preserve"> </w:t>
      </w:r>
      <w:r w:rsidR="0047736B">
        <w:t>C</w:t>
      </w:r>
      <w:r w:rsidR="00AB7CDF" w:rsidRPr="00376DC2">
        <w:t xml:space="preserve">alendrier </w:t>
      </w:r>
      <w:r w:rsidR="00CE78FD" w:rsidRPr="00376DC2">
        <w:t xml:space="preserve">recommandé </w:t>
      </w:r>
      <w:r w:rsidR="004A060D" w:rsidRPr="00376DC2">
        <w:t xml:space="preserve">pour les enfants âgés de </w:t>
      </w:r>
      <w:r w:rsidR="006A45F5" w:rsidRPr="00376DC2">
        <w:t xml:space="preserve">2 mois </w:t>
      </w:r>
      <w:r w:rsidR="004A060D" w:rsidRPr="00376DC2">
        <w:t xml:space="preserve">à </w:t>
      </w:r>
      <w:r w:rsidR="0021738F" w:rsidRPr="00376DC2">
        <w:t xml:space="preserve">moins de 18 </w:t>
      </w:r>
      <w:r w:rsidR="00482B88" w:rsidRPr="00376DC2">
        <w:t>ans</w:t>
      </w:r>
    </w:p>
    <w:p w14:paraId="7E6A58CB" w14:textId="77777777" w:rsidR="00CC6A89" w:rsidRPr="00376DC2" w:rsidRDefault="00CC6A89" w:rsidP="0062654C">
      <w:pPr>
        <w:spacing w:after="0" w:line="240" w:lineRule="auto"/>
        <w:rPr>
          <w:b/>
          <w:sz w:val="20"/>
          <w:szCs w:val="20"/>
        </w:rPr>
      </w:pPr>
    </w:p>
    <w:p w14:paraId="2441C0B0" w14:textId="77777777" w:rsidR="004E06FA" w:rsidRPr="00376DC2" w:rsidRDefault="00610FC2">
      <w:pPr>
        <w:spacing w:after="0" w:line="240" w:lineRule="auto"/>
        <w:rPr>
          <w:sz w:val="20"/>
          <w:szCs w:val="20"/>
        </w:rPr>
      </w:pPr>
      <w:r w:rsidRPr="00376DC2">
        <w:rPr>
          <w:b/>
          <w:sz w:val="20"/>
          <w:szCs w:val="20"/>
        </w:rPr>
        <w:t xml:space="preserve">Notes générales </w:t>
      </w:r>
      <w:r w:rsidRPr="00376DC2">
        <w:rPr>
          <w:sz w:val="20"/>
          <w:szCs w:val="20"/>
        </w:rPr>
        <w:t xml:space="preserve">: </w:t>
      </w:r>
    </w:p>
    <w:p w14:paraId="26B37363" w14:textId="77777777" w:rsidR="0047736B" w:rsidRPr="0047736B" w:rsidRDefault="0047736B" w:rsidP="0047736B">
      <w:pPr>
        <w:pStyle w:val="ListParagraph"/>
        <w:numPr>
          <w:ilvl w:val="0"/>
          <w:numId w:val="12"/>
        </w:numPr>
        <w:spacing w:after="0" w:line="240" w:lineRule="auto"/>
        <w:rPr>
          <w:sz w:val="18"/>
          <w:szCs w:val="18"/>
        </w:rPr>
      </w:pPr>
      <w:r w:rsidRPr="0047736B">
        <w:rPr>
          <w:sz w:val="18"/>
          <w:szCs w:val="18"/>
        </w:rPr>
        <w:t xml:space="preserve">Le Comité consultatif national de l'immunisation (CCNI) continue de recommander que tous les programmes de vaccination systématique des nourrissons au Canada incluent un vaccin contre le pneumocoque conjugué. </w:t>
      </w:r>
    </w:p>
    <w:p w14:paraId="37D33E9E" w14:textId="77777777" w:rsidR="0047736B" w:rsidRPr="0047736B" w:rsidRDefault="0047736B" w:rsidP="0047736B">
      <w:pPr>
        <w:pStyle w:val="ListParagraph"/>
        <w:numPr>
          <w:ilvl w:val="0"/>
          <w:numId w:val="12"/>
        </w:numPr>
        <w:spacing w:after="0" w:line="240" w:lineRule="auto"/>
        <w:rPr>
          <w:sz w:val="18"/>
          <w:szCs w:val="18"/>
        </w:rPr>
      </w:pPr>
      <w:r w:rsidRPr="0047736B">
        <w:rPr>
          <w:sz w:val="18"/>
          <w:szCs w:val="18"/>
        </w:rPr>
        <w:t xml:space="preserve">Le PNEU-C-20 devrait être utilisé pour les nourrissons et les enfants à haut risque d’une infection invasive à pneumocoques (IIP) qui commencent leur série de vaccins contre le pneumocoque, et pour compléter la série de ceux qui ont commencé leur série de vaccins avec le PNEU-C-13 ou le PNEU-C-15, car il offre une protection contre un plus grand nombre de sérotypes que les autres vaccins conjugués. </w:t>
      </w:r>
    </w:p>
    <w:p w14:paraId="6EBBF231" w14:textId="77777777" w:rsidR="0047736B" w:rsidRPr="0047736B" w:rsidRDefault="0047736B" w:rsidP="0047736B">
      <w:pPr>
        <w:pStyle w:val="ListParagraph"/>
        <w:numPr>
          <w:ilvl w:val="0"/>
          <w:numId w:val="12"/>
        </w:numPr>
        <w:spacing w:after="0" w:line="240" w:lineRule="auto"/>
        <w:rPr>
          <w:sz w:val="18"/>
          <w:szCs w:val="18"/>
        </w:rPr>
      </w:pPr>
      <w:r w:rsidRPr="0047736B">
        <w:rPr>
          <w:sz w:val="18"/>
          <w:szCs w:val="18"/>
        </w:rPr>
        <w:t xml:space="preserve">Le dosage pour toutes les formulations est de 0,5 </w:t>
      </w:r>
      <w:proofErr w:type="spellStart"/>
      <w:r w:rsidRPr="0047736B">
        <w:rPr>
          <w:sz w:val="18"/>
          <w:szCs w:val="18"/>
        </w:rPr>
        <w:t>mL</w:t>
      </w:r>
      <w:proofErr w:type="spellEnd"/>
      <w:r w:rsidRPr="0047736B">
        <w:rPr>
          <w:sz w:val="18"/>
          <w:szCs w:val="18"/>
        </w:rPr>
        <w:t xml:space="preserve">. Les vaccins conjugués doivent être administrés par voie intramusculaire (IM). Tous les vaccins contre le pneumocoque peuvent être administrés en même temps que d'autres vaccins, à l'exception du PNEU-P-23. Aucun vaccin contre le pneumocoque conjugué ne doit être administré en même temps que le PNEU-P-23. </w:t>
      </w:r>
    </w:p>
    <w:p w14:paraId="608B2ACA" w14:textId="77777777" w:rsidR="0047736B" w:rsidRPr="0047736B" w:rsidRDefault="0047736B" w:rsidP="0047736B">
      <w:pPr>
        <w:pStyle w:val="ListParagraph"/>
        <w:numPr>
          <w:ilvl w:val="0"/>
          <w:numId w:val="12"/>
        </w:numPr>
        <w:spacing w:after="0" w:line="240" w:lineRule="auto"/>
      </w:pPr>
      <w:r w:rsidRPr="0047736B">
        <w:rPr>
          <w:sz w:val="18"/>
          <w:szCs w:val="18"/>
        </w:rPr>
        <w:t>Il n'existe aucune preuve suggérant un risque pour le fœtus ou la grossesse lié aux vaccins non-vivants. Les personnes enceintes et les personnes allaitantes peuvent donc recevoir des vaccins contre le pneumocoque si cela est indiqué.</w:t>
      </w:r>
    </w:p>
    <w:p w14:paraId="242CECCA" w14:textId="3A94FA42" w:rsidR="00715ED8" w:rsidRPr="00376DC2" w:rsidRDefault="0047736B" w:rsidP="0047736B">
      <w:pPr>
        <w:pStyle w:val="ListParagraph"/>
        <w:numPr>
          <w:ilvl w:val="0"/>
          <w:numId w:val="12"/>
        </w:numPr>
        <w:spacing w:after="0" w:line="240" w:lineRule="auto"/>
      </w:pPr>
      <w:r w:rsidRPr="0047736B">
        <w:rPr>
          <w:sz w:val="18"/>
          <w:szCs w:val="18"/>
        </w:rPr>
        <w:t>Dans les communautés des Premières nations, des Métis ou des Inuits, les décisions autonomes devraient être prises par les peuples autochtones, mais avec le soutien des partenaires de santé et de la santé publique, conformément à la</w:t>
      </w:r>
      <w:r w:rsidR="26FD3932" w:rsidRPr="00376DC2">
        <w:rPr>
          <w:sz w:val="18"/>
          <w:szCs w:val="18"/>
        </w:rPr>
        <w:t xml:space="preserve"> </w:t>
      </w:r>
      <w:hyperlink r:id="rId11">
        <w:r w:rsidR="56F6D01F" w:rsidRPr="00376DC2">
          <w:rPr>
            <w:rStyle w:val="Hyperlink"/>
            <w:sz w:val="18"/>
            <w:szCs w:val="18"/>
          </w:rPr>
          <w:t>Déclaration des Na</w:t>
        </w:r>
        <w:r w:rsidR="56F6D01F" w:rsidRPr="00376DC2">
          <w:rPr>
            <w:rStyle w:val="Hyperlink"/>
            <w:sz w:val="18"/>
            <w:szCs w:val="18"/>
          </w:rPr>
          <w:t>t</w:t>
        </w:r>
        <w:r w:rsidR="56F6D01F" w:rsidRPr="00376DC2">
          <w:rPr>
            <w:rStyle w:val="Hyperlink"/>
            <w:sz w:val="18"/>
            <w:szCs w:val="18"/>
          </w:rPr>
          <w:t>ions Unies sur les droits des peuples autochtones</w:t>
        </w:r>
      </w:hyperlink>
      <w:r w:rsidR="26FD3932" w:rsidRPr="00376DC2">
        <w:rPr>
          <w:rStyle w:val="Hyperlink"/>
          <w:sz w:val="18"/>
          <w:szCs w:val="18"/>
          <w:u w:val="none"/>
        </w:rPr>
        <w:t>.</w:t>
      </w:r>
    </w:p>
    <w:p w14:paraId="6D920D95" w14:textId="77777777" w:rsidR="000965DF" w:rsidRPr="00376DC2" w:rsidRDefault="000965DF">
      <w:pPr>
        <w:rPr>
          <w:sz w:val="20"/>
          <w:szCs w:val="20"/>
        </w:rPr>
      </w:pPr>
    </w:p>
    <w:p w14:paraId="623C8854" w14:textId="0C9A1A08" w:rsidR="004E06FA" w:rsidRPr="00376DC2" w:rsidRDefault="0047736B">
      <w:pPr>
        <w:rPr>
          <w:sz w:val="20"/>
          <w:szCs w:val="20"/>
        </w:rPr>
      </w:pPr>
      <w:r w:rsidRPr="0047736B">
        <w:rPr>
          <w:sz w:val="20"/>
          <w:szCs w:val="20"/>
        </w:rPr>
        <w:t>Le tableau 1 donne des indications sur l'administration du PNEU-C-15 ou du PNEU-C-20 en fonction de l'âge de l'enfant, de son statut de risque et de ses antécédents de vaccination contre le pneumocoque. Si un enfant a besoin de plus d'une dose, le CCNI recommande un intervalle minimum de 8 semaines entre les doses de vaccin contre le pneumocoque conjugué</w:t>
      </w:r>
      <w:r w:rsidR="00610FC2" w:rsidRPr="00376DC2">
        <w:rPr>
          <w:sz w:val="20"/>
          <w:szCs w:val="20"/>
        </w:rPr>
        <w:br w:type="page"/>
      </w:r>
    </w:p>
    <w:p w14:paraId="1C38A278" w14:textId="77777777" w:rsidR="00C60447" w:rsidRPr="00376DC2" w:rsidRDefault="00C60447" w:rsidP="00C60447">
      <w:pPr>
        <w:spacing w:after="0" w:line="240" w:lineRule="auto"/>
        <w:rPr>
          <w:sz w:val="20"/>
          <w:szCs w:val="20"/>
        </w:rPr>
      </w:pPr>
    </w:p>
    <w:p w14:paraId="76A0471D" w14:textId="5874E139" w:rsidR="004E06FA" w:rsidRPr="00376DC2" w:rsidRDefault="0047736B">
      <w:pPr>
        <w:spacing w:after="0" w:line="240" w:lineRule="auto"/>
        <w:rPr>
          <w:b/>
          <w:bCs/>
        </w:rPr>
      </w:pPr>
      <w:r w:rsidRPr="0047736B">
        <w:rPr>
          <w:b/>
          <w:bCs/>
        </w:rPr>
        <w:t>Tableau 1 : Vaccins contre le pneumocoque pour les enfants âgés de 2 mois à moins de 18 ans par statut de risque </w:t>
      </w:r>
    </w:p>
    <w:tbl>
      <w:tblPr>
        <w:tblStyle w:val="TableGrid"/>
        <w:tblW w:w="11101" w:type="dxa"/>
        <w:tblLayout w:type="fixed"/>
        <w:tblLook w:val="04A0" w:firstRow="1" w:lastRow="0" w:firstColumn="1" w:lastColumn="0" w:noHBand="0" w:noVBand="1"/>
      </w:tblPr>
      <w:tblGrid>
        <w:gridCol w:w="1165"/>
        <w:gridCol w:w="1296"/>
        <w:gridCol w:w="1728"/>
        <w:gridCol w:w="1728"/>
        <w:gridCol w:w="1728"/>
        <w:gridCol w:w="1728"/>
        <w:gridCol w:w="1728"/>
      </w:tblGrid>
      <w:tr w:rsidR="002F18BE" w:rsidRPr="00376DC2" w14:paraId="00C3D3A8" w14:textId="77777777" w:rsidTr="129406F0">
        <w:trPr>
          <w:tblHeader/>
        </w:trPr>
        <w:tc>
          <w:tcPr>
            <w:tcW w:w="1165" w:type="dxa"/>
            <w:shd w:val="clear" w:color="auto" w:fill="FFF2CC" w:themeFill="accent4" w:themeFillTint="33"/>
            <w:vAlign w:val="center"/>
          </w:tcPr>
          <w:p w14:paraId="0DD901C9" w14:textId="77777777" w:rsidR="004E06FA" w:rsidRPr="00376DC2" w:rsidRDefault="00610FC2">
            <w:pPr>
              <w:jc w:val="center"/>
              <w:rPr>
                <w:b/>
                <w:sz w:val="20"/>
                <w:szCs w:val="20"/>
              </w:rPr>
            </w:pPr>
            <w:r w:rsidRPr="00376DC2">
              <w:rPr>
                <w:b/>
                <w:sz w:val="20"/>
                <w:szCs w:val="20"/>
              </w:rPr>
              <w:t>Groupe de population et statut de risque</w:t>
            </w:r>
          </w:p>
        </w:tc>
        <w:tc>
          <w:tcPr>
            <w:tcW w:w="1296" w:type="dxa"/>
            <w:shd w:val="clear" w:color="auto" w:fill="FFF2CC" w:themeFill="accent4" w:themeFillTint="33"/>
            <w:vAlign w:val="center"/>
          </w:tcPr>
          <w:p w14:paraId="197A0405" w14:textId="5C01127C" w:rsidR="004E06FA" w:rsidRPr="00376DC2" w:rsidRDefault="00610FC2">
            <w:pPr>
              <w:jc w:val="center"/>
              <w:rPr>
                <w:b/>
                <w:bCs/>
                <w:sz w:val="20"/>
                <w:szCs w:val="20"/>
              </w:rPr>
            </w:pPr>
            <w:r w:rsidRPr="00376DC2">
              <w:rPr>
                <w:b/>
                <w:bCs/>
                <w:sz w:val="20"/>
                <w:szCs w:val="20"/>
              </w:rPr>
              <w:t xml:space="preserve">Vaccins </w:t>
            </w:r>
            <w:r w:rsidR="0047736B">
              <w:rPr>
                <w:b/>
                <w:bCs/>
                <w:sz w:val="20"/>
                <w:szCs w:val="20"/>
              </w:rPr>
              <w:t>PNEU</w:t>
            </w:r>
            <w:r w:rsidR="00AA31F8" w:rsidRPr="00376DC2">
              <w:rPr>
                <w:b/>
                <w:bCs/>
                <w:sz w:val="20"/>
                <w:szCs w:val="20"/>
              </w:rPr>
              <w:t>-C-13</w:t>
            </w:r>
            <w:r w:rsidR="00AA31F8">
              <w:rPr>
                <w:b/>
                <w:bCs/>
                <w:sz w:val="20"/>
                <w:szCs w:val="20"/>
              </w:rPr>
              <w:t xml:space="preserve"> </w:t>
            </w:r>
            <w:r w:rsidRPr="00376DC2">
              <w:rPr>
                <w:b/>
                <w:bCs/>
                <w:sz w:val="20"/>
                <w:szCs w:val="20"/>
              </w:rPr>
              <w:t xml:space="preserve">antérieurs </w:t>
            </w:r>
          </w:p>
        </w:tc>
        <w:tc>
          <w:tcPr>
            <w:tcW w:w="1728" w:type="dxa"/>
            <w:shd w:val="clear" w:color="auto" w:fill="C5E0B3" w:themeFill="accent6" w:themeFillTint="66"/>
            <w:vAlign w:val="center"/>
          </w:tcPr>
          <w:p w14:paraId="4CE8DFED" w14:textId="302F1942" w:rsidR="004E06FA" w:rsidRPr="00376DC2" w:rsidRDefault="00610FC2">
            <w:pPr>
              <w:jc w:val="center"/>
              <w:rPr>
                <w:b/>
                <w:sz w:val="20"/>
                <w:szCs w:val="20"/>
              </w:rPr>
            </w:pPr>
            <w:r w:rsidRPr="00376DC2">
              <w:rPr>
                <w:b/>
                <w:sz w:val="20"/>
                <w:szCs w:val="20"/>
              </w:rPr>
              <w:t>2 mois à &lt;</w:t>
            </w:r>
            <w:r w:rsidR="0047736B">
              <w:rPr>
                <w:b/>
                <w:sz w:val="20"/>
                <w:szCs w:val="20"/>
              </w:rPr>
              <w:t xml:space="preserve"> </w:t>
            </w:r>
            <w:r w:rsidRPr="00376DC2">
              <w:rPr>
                <w:b/>
                <w:sz w:val="20"/>
                <w:szCs w:val="20"/>
              </w:rPr>
              <w:t>7 mois</w:t>
            </w:r>
          </w:p>
          <w:p w14:paraId="59A2A087" w14:textId="621C446D" w:rsidR="004E06FA" w:rsidRPr="00376DC2" w:rsidRDefault="0047736B">
            <w:pPr>
              <w:jc w:val="center"/>
              <w:rPr>
                <w:b/>
                <w:sz w:val="16"/>
                <w:szCs w:val="16"/>
              </w:rPr>
            </w:pPr>
            <w:r>
              <w:rPr>
                <w:b/>
                <w:sz w:val="16"/>
                <w:szCs w:val="16"/>
              </w:rPr>
              <w:t>(s</w:t>
            </w:r>
            <w:r w:rsidR="00610FC2" w:rsidRPr="00376DC2">
              <w:rPr>
                <w:b/>
                <w:sz w:val="16"/>
                <w:szCs w:val="16"/>
              </w:rPr>
              <w:t>uivre le calendrier provincial ou territorial correspondant</w:t>
            </w:r>
            <w:r>
              <w:rPr>
                <w:b/>
                <w:sz w:val="16"/>
                <w:szCs w:val="16"/>
              </w:rPr>
              <w:t>)</w:t>
            </w:r>
          </w:p>
        </w:tc>
        <w:tc>
          <w:tcPr>
            <w:tcW w:w="1728" w:type="dxa"/>
            <w:shd w:val="clear" w:color="auto" w:fill="C5E0B3" w:themeFill="accent6" w:themeFillTint="66"/>
            <w:vAlign w:val="center"/>
          </w:tcPr>
          <w:p w14:paraId="7E815604" w14:textId="7179FABD" w:rsidR="004E06FA" w:rsidRPr="00376DC2" w:rsidRDefault="00610FC2">
            <w:pPr>
              <w:jc w:val="center"/>
              <w:rPr>
                <w:b/>
                <w:sz w:val="20"/>
                <w:szCs w:val="20"/>
              </w:rPr>
            </w:pPr>
            <w:r w:rsidRPr="00376DC2">
              <w:rPr>
                <w:b/>
                <w:sz w:val="20"/>
                <w:szCs w:val="20"/>
              </w:rPr>
              <w:t>7 mois à &lt;</w:t>
            </w:r>
            <w:r w:rsidR="0047736B">
              <w:rPr>
                <w:b/>
                <w:sz w:val="20"/>
                <w:szCs w:val="20"/>
              </w:rPr>
              <w:t xml:space="preserve"> </w:t>
            </w:r>
            <w:r w:rsidRPr="00376DC2">
              <w:rPr>
                <w:b/>
                <w:sz w:val="20"/>
                <w:szCs w:val="20"/>
              </w:rPr>
              <w:t>12 mois</w:t>
            </w:r>
          </w:p>
        </w:tc>
        <w:tc>
          <w:tcPr>
            <w:tcW w:w="1728" w:type="dxa"/>
            <w:shd w:val="clear" w:color="auto" w:fill="C5E0B3" w:themeFill="accent6" w:themeFillTint="66"/>
            <w:vAlign w:val="center"/>
          </w:tcPr>
          <w:p w14:paraId="7067D9C4" w14:textId="6F950923" w:rsidR="004E06FA" w:rsidRPr="00376DC2" w:rsidRDefault="00610FC2">
            <w:pPr>
              <w:jc w:val="center"/>
              <w:rPr>
                <w:b/>
                <w:sz w:val="20"/>
                <w:szCs w:val="20"/>
              </w:rPr>
            </w:pPr>
            <w:r w:rsidRPr="00376DC2">
              <w:rPr>
                <w:b/>
                <w:sz w:val="20"/>
                <w:szCs w:val="20"/>
              </w:rPr>
              <w:t>12 mois à &lt;</w:t>
            </w:r>
            <w:r w:rsidR="0047736B">
              <w:rPr>
                <w:b/>
                <w:sz w:val="20"/>
                <w:szCs w:val="20"/>
              </w:rPr>
              <w:t xml:space="preserve"> </w:t>
            </w:r>
            <w:r w:rsidRPr="00376DC2">
              <w:rPr>
                <w:b/>
                <w:sz w:val="20"/>
                <w:szCs w:val="20"/>
              </w:rPr>
              <w:t>2 ans</w:t>
            </w:r>
          </w:p>
        </w:tc>
        <w:tc>
          <w:tcPr>
            <w:tcW w:w="1728" w:type="dxa"/>
            <w:shd w:val="clear" w:color="auto" w:fill="C5E0B3" w:themeFill="accent6" w:themeFillTint="66"/>
            <w:vAlign w:val="center"/>
          </w:tcPr>
          <w:p w14:paraId="2A0F83C4" w14:textId="438C73E2" w:rsidR="004E06FA" w:rsidRPr="00376DC2" w:rsidRDefault="00610FC2">
            <w:pPr>
              <w:jc w:val="center"/>
              <w:rPr>
                <w:b/>
                <w:sz w:val="20"/>
                <w:szCs w:val="20"/>
              </w:rPr>
            </w:pPr>
            <w:r w:rsidRPr="00376DC2">
              <w:rPr>
                <w:b/>
                <w:sz w:val="20"/>
                <w:szCs w:val="20"/>
              </w:rPr>
              <w:t>2 ans à &lt;</w:t>
            </w:r>
            <w:r w:rsidR="0047736B">
              <w:rPr>
                <w:b/>
                <w:sz w:val="20"/>
                <w:szCs w:val="20"/>
              </w:rPr>
              <w:t xml:space="preserve"> </w:t>
            </w:r>
            <w:r w:rsidRPr="00376DC2">
              <w:rPr>
                <w:b/>
                <w:sz w:val="20"/>
                <w:szCs w:val="20"/>
              </w:rPr>
              <w:t>5 ans</w:t>
            </w:r>
          </w:p>
        </w:tc>
        <w:tc>
          <w:tcPr>
            <w:tcW w:w="1728" w:type="dxa"/>
            <w:shd w:val="clear" w:color="auto" w:fill="C5E0B3" w:themeFill="accent6" w:themeFillTint="66"/>
            <w:vAlign w:val="center"/>
          </w:tcPr>
          <w:p w14:paraId="2D16BCAB" w14:textId="7E467BCA" w:rsidR="004E06FA" w:rsidRPr="00376DC2" w:rsidRDefault="00610FC2">
            <w:pPr>
              <w:jc w:val="center"/>
              <w:rPr>
                <w:b/>
                <w:sz w:val="20"/>
                <w:szCs w:val="20"/>
              </w:rPr>
            </w:pPr>
            <w:r w:rsidRPr="00376DC2">
              <w:rPr>
                <w:b/>
                <w:sz w:val="20"/>
                <w:szCs w:val="20"/>
              </w:rPr>
              <w:t xml:space="preserve">5 ans à </w:t>
            </w:r>
            <w:r w:rsidR="0021738F" w:rsidRPr="00376DC2">
              <w:rPr>
                <w:b/>
                <w:sz w:val="20"/>
                <w:szCs w:val="20"/>
              </w:rPr>
              <w:t>&lt;</w:t>
            </w:r>
            <w:r w:rsidR="0047736B">
              <w:rPr>
                <w:b/>
                <w:sz w:val="20"/>
                <w:szCs w:val="20"/>
              </w:rPr>
              <w:t xml:space="preserve"> </w:t>
            </w:r>
            <w:r w:rsidR="0021738F" w:rsidRPr="00376DC2">
              <w:rPr>
                <w:b/>
                <w:sz w:val="20"/>
                <w:szCs w:val="20"/>
              </w:rPr>
              <w:t xml:space="preserve">18 </w:t>
            </w:r>
            <w:r w:rsidRPr="00376DC2">
              <w:rPr>
                <w:b/>
                <w:sz w:val="20"/>
                <w:szCs w:val="20"/>
              </w:rPr>
              <w:t>ans</w:t>
            </w:r>
          </w:p>
        </w:tc>
      </w:tr>
      <w:tr w:rsidR="002F18BE" w:rsidRPr="00376DC2" w14:paraId="459E61D9" w14:textId="77777777" w:rsidTr="129406F0">
        <w:trPr>
          <w:trHeight w:val="72"/>
        </w:trPr>
        <w:tc>
          <w:tcPr>
            <w:tcW w:w="1165" w:type="dxa"/>
            <w:shd w:val="clear" w:color="auto" w:fill="DEEAF6" w:themeFill="accent1" w:themeFillTint="33"/>
          </w:tcPr>
          <w:p w14:paraId="1387069C" w14:textId="77777777" w:rsidR="002F18BE" w:rsidRPr="00376DC2" w:rsidRDefault="002F18BE" w:rsidP="007F20F9">
            <w:pPr>
              <w:rPr>
                <w:sz w:val="18"/>
                <w:szCs w:val="18"/>
              </w:rPr>
            </w:pPr>
          </w:p>
        </w:tc>
        <w:tc>
          <w:tcPr>
            <w:tcW w:w="1296" w:type="dxa"/>
            <w:shd w:val="clear" w:color="auto" w:fill="DEEAF6" w:themeFill="accent1" w:themeFillTint="33"/>
          </w:tcPr>
          <w:p w14:paraId="0F8B6009" w14:textId="2127EB9F" w:rsidR="002F18BE" w:rsidRPr="00376DC2" w:rsidRDefault="002F18BE" w:rsidP="007F20F9">
            <w:pPr>
              <w:rPr>
                <w:sz w:val="18"/>
                <w:szCs w:val="18"/>
              </w:rPr>
            </w:pPr>
          </w:p>
        </w:tc>
        <w:tc>
          <w:tcPr>
            <w:tcW w:w="1728" w:type="dxa"/>
            <w:shd w:val="clear" w:color="auto" w:fill="DEEAF6" w:themeFill="accent1" w:themeFillTint="33"/>
          </w:tcPr>
          <w:p w14:paraId="4A61FAEE" w14:textId="77777777" w:rsidR="002F18BE" w:rsidRPr="00376DC2" w:rsidRDefault="002F18BE" w:rsidP="007F20F9">
            <w:pPr>
              <w:rPr>
                <w:sz w:val="18"/>
                <w:szCs w:val="18"/>
              </w:rPr>
            </w:pPr>
          </w:p>
        </w:tc>
        <w:tc>
          <w:tcPr>
            <w:tcW w:w="1728" w:type="dxa"/>
            <w:shd w:val="clear" w:color="auto" w:fill="DEEAF6" w:themeFill="accent1" w:themeFillTint="33"/>
          </w:tcPr>
          <w:p w14:paraId="1441AB39" w14:textId="0D8F37F2" w:rsidR="002F18BE" w:rsidRPr="00376DC2" w:rsidRDefault="002F18BE" w:rsidP="007F20F9">
            <w:pPr>
              <w:rPr>
                <w:sz w:val="18"/>
                <w:szCs w:val="18"/>
              </w:rPr>
            </w:pPr>
          </w:p>
        </w:tc>
        <w:tc>
          <w:tcPr>
            <w:tcW w:w="1728" w:type="dxa"/>
            <w:shd w:val="clear" w:color="auto" w:fill="DEEAF6" w:themeFill="accent1" w:themeFillTint="33"/>
          </w:tcPr>
          <w:p w14:paraId="08A347C0" w14:textId="52A9BA88" w:rsidR="002F18BE" w:rsidRPr="00376DC2" w:rsidRDefault="002F18BE" w:rsidP="007F20F9">
            <w:pPr>
              <w:rPr>
                <w:sz w:val="18"/>
                <w:szCs w:val="18"/>
              </w:rPr>
            </w:pPr>
          </w:p>
        </w:tc>
        <w:tc>
          <w:tcPr>
            <w:tcW w:w="1728" w:type="dxa"/>
            <w:shd w:val="clear" w:color="auto" w:fill="DEEAF6" w:themeFill="accent1" w:themeFillTint="33"/>
            <w:vAlign w:val="center"/>
          </w:tcPr>
          <w:p w14:paraId="31EE6EFA" w14:textId="77777777" w:rsidR="002F18BE" w:rsidRPr="00376DC2" w:rsidRDefault="002F18BE" w:rsidP="003E28ED">
            <w:pPr>
              <w:jc w:val="center"/>
              <w:rPr>
                <w:sz w:val="18"/>
                <w:szCs w:val="18"/>
              </w:rPr>
            </w:pPr>
          </w:p>
        </w:tc>
        <w:tc>
          <w:tcPr>
            <w:tcW w:w="1728" w:type="dxa"/>
            <w:shd w:val="clear" w:color="auto" w:fill="DEEAF6" w:themeFill="accent1" w:themeFillTint="33"/>
          </w:tcPr>
          <w:p w14:paraId="26B6BFB7" w14:textId="49E35987" w:rsidR="002F18BE" w:rsidRPr="00376DC2" w:rsidRDefault="002F18BE" w:rsidP="007F20F9">
            <w:pPr>
              <w:rPr>
                <w:sz w:val="18"/>
                <w:szCs w:val="18"/>
              </w:rPr>
            </w:pPr>
          </w:p>
        </w:tc>
      </w:tr>
      <w:tr w:rsidR="002F18BE" w:rsidRPr="00376DC2" w14:paraId="369EC2DB" w14:textId="77777777" w:rsidTr="129406F0">
        <w:tc>
          <w:tcPr>
            <w:tcW w:w="1165" w:type="dxa"/>
            <w:vMerge w:val="restart"/>
            <w:vAlign w:val="center"/>
          </w:tcPr>
          <w:p w14:paraId="1DEA7250" w14:textId="0D7B5128" w:rsidR="004E06FA" w:rsidRPr="00376DC2" w:rsidRDefault="129406F0">
            <w:pPr>
              <w:rPr>
                <w:sz w:val="18"/>
                <w:szCs w:val="18"/>
              </w:rPr>
            </w:pPr>
            <w:r w:rsidRPr="00376DC2">
              <w:rPr>
                <w:sz w:val="18"/>
                <w:szCs w:val="18"/>
              </w:rPr>
              <w:t xml:space="preserve">Aucun </w:t>
            </w:r>
            <w:r w:rsidR="3006BD9E" w:rsidRPr="00376DC2">
              <w:rPr>
                <w:sz w:val="18"/>
                <w:szCs w:val="18"/>
              </w:rPr>
              <w:t>facteur de risque supplémentaire d</w:t>
            </w:r>
            <w:r w:rsidR="00B22D00">
              <w:rPr>
                <w:sz w:val="18"/>
                <w:szCs w:val="18"/>
              </w:rPr>
              <w:t>’IIP</w:t>
            </w:r>
            <w:r w:rsidRPr="00376DC2">
              <w:rPr>
                <w:sz w:val="18"/>
                <w:szCs w:val="18"/>
              </w:rPr>
              <w:t xml:space="preserve"> </w:t>
            </w:r>
          </w:p>
        </w:tc>
        <w:tc>
          <w:tcPr>
            <w:tcW w:w="1296" w:type="dxa"/>
            <w:vAlign w:val="center"/>
          </w:tcPr>
          <w:p w14:paraId="1AF05D7E" w14:textId="77777777" w:rsidR="004E06FA" w:rsidRPr="00376DC2" w:rsidRDefault="00610FC2">
            <w:pPr>
              <w:jc w:val="center"/>
              <w:rPr>
                <w:rFonts w:cstheme="minorHAnsi"/>
                <w:sz w:val="18"/>
                <w:szCs w:val="18"/>
              </w:rPr>
            </w:pPr>
            <w:r w:rsidRPr="00376DC2">
              <w:rPr>
                <w:rFonts w:eastAsia="Calibri" w:cstheme="minorHAnsi"/>
                <w:sz w:val="18"/>
                <w:szCs w:val="18"/>
              </w:rPr>
              <w:t>Aucun</w:t>
            </w:r>
          </w:p>
        </w:tc>
        <w:tc>
          <w:tcPr>
            <w:tcW w:w="1728" w:type="dxa"/>
            <w:shd w:val="clear" w:color="auto" w:fill="auto"/>
            <w:vAlign w:val="center"/>
          </w:tcPr>
          <w:p w14:paraId="131A9864" w14:textId="60F7C593" w:rsidR="004E06FA" w:rsidRPr="00376DC2" w:rsidRDefault="129406F0">
            <w:pPr>
              <w:jc w:val="center"/>
              <w:rPr>
                <w:rFonts w:eastAsia="Calibri"/>
                <w:sz w:val="18"/>
                <w:szCs w:val="18"/>
              </w:rPr>
            </w:pPr>
            <w:r w:rsidRPr="00376DC2">
              <w:rPr>
                <w:rFonts w:eastAsia="Calibri"/>
                <w:sz w:val="18"/>
                <w:szCs w:val="18"/>
              </w:rPr>
              <w:t xml:space="preserve">Pour un </w:t>
            </w:r>
            <w:r w:rsidR="7E20B259" w:rsidRPr="00376DC2">
              <w:rPr>
                <w:rFonts w:eastAsia="Calibri"/>
                <w:sz w:val="18"/>
                <w:szCs w:val="18"/>
              </w:rPr>
              <w:t>calendrier de</w:t>
            </w:r>
            <w:r w:rsidRPr="00376DC2">
              <w:rPr>
                <w:rFonts w:eastAsia="Calibri"/>
                <w:sz w:val="18"/>
                <w:szCs w:val="18"/>
              </w:rPr>
              <w:t xml:space="preserve"> 3 doses, PNEU-C-15 ou PNEU-C-20</w:t>
            </w:r>
            <w:r w:rsidR="0031709E" w:rsidRPr="00376DC2">
              <w:rPr>
                <w:rFonts w:eastAsia="Calibri"/>
                <w:sz w:val="18"/>
                <w:szCs w:val="18"/>
              </w:rPr>
              <w:t xml:space="preserve"> </w:t>
            </w:r>
            <w:r w:rsidR="41F4E1BB" w:rsidRPr="00376DC2">
              <w:rPr>
                <w:rFonts w:eastAsia="Calibri"/>
                <w:sz w:val="18"/>
                <w:szCs w:val="18"/>
                <w:vertAlign w:val="superscript"/>
              </w:rPr>
              <w:t>a</w:t>
            </w:r>
            <w:r w:rsidRPr="00376DC2">
              <w:rPr>
                <w:rFonts w:eastAsia="Calibri"/>
                <w:sz w:val="18"/>
                <w:szCs w:val="18"/>
              </w:rPr>
              <w:t xml:space="preserve"> à 2, 4 et 12 </w:t>
            </w:r>
            <w:r w:rsidR="1990134E" w:rsidRPr="00376DC2">
              <w:rPr>
                <w:rFonts w:eastAsia="Calibri"/>
                <w:sz w:val="18"/>
                <w:szCs w:val="18"/>
              </w:rPr>
              <w:t xml:space="preserve">à </w:t>
            </w:r>
            <w:r w:rsidR="61D8E1F3" w:rsidRPr="00376DC2">
              <w:rPr>
                <w:rFonts w:eastAsia="Calibri"/>
                <w:sz w:val="18"/>
                <w:szCs w:val="18"/>
              </w:rPr>
              <w:t xml:space="preserve">15 mois </w:t>
            </w:r>
          </w:p>
          <w:p w14:paraId="62498CC2" w14:textId="77777777" w:rsidR="004E06FA" w:rsidRPr="0047736B" w:rsidRDefault="00610FC2">
            <w:pPr>
              <w:jc w:val="center"/>
              <w:rPr>
                <w:rFonts w:eastAsia="Calibri" w:cstheme="minorHAnsi"/>
                <w:b/>
                <w:bCs/>
                <w:sz w:val="18"/>
                <w:szCs w:val="18"/>
              </w:rPr>
            </w:pPr>
            <w:r w:rsidRPr="0047736B">
              <w:rPr>
                <w:rFonts w:eastAsia="Calibri" w:cstheme="minorHAnsi"/>
                <w:b/>
                <w:bCs/>
                <w:sz w:val="18"/>
                <w:szCs w:val="18"/>
              </w:rPr>
              <w:t>OU</w:t>
            </w:r>
          </w:p>
          <w:p w14:paraId="05F8FB91" w14:textId="1C639277" w:rsidR="004E06FA" w:rsidRPr="00376DC2" w:rsidRDefault="129406F0">
            <w:pPr>
              <w:jc w:val="center"/>
              <w:rPr>
                <w:rFonts w:eastAsia="Calibri"/>
                <w:sz w:val="18"/>
                <w:szCs w:val="18"/>
              </w:rPr>
            </w:pPr>
            <w:r w:rsidRPr="00376DC2">
              <w:rPr>
                <w:rFonts w:eastAsia="Calibri"/>
                <w:sz w:val="18"/>
                <w:szCs w:val="18"/>
              </w:rPr>
              <w:t xml:space="preserve">Pour un </w:t>
            </w:r>
            <w:r w:rsidR="7B78B5D6" w:rsidRPr="00376DC2">
              <w:rPr>
                <w:rFonts w:eastAsia="Calibri"/>
                <w:sz w:val="18"/>
                <w:szCs w:val="18"/>
              </w:rPr>
              <w:t>calendrier</w:t>
            </w:r>
            <w:r w:rsidRPr="00376DC2">
              <w:rPr>
                <w:rFonts w:eastAsia="Calibri"/>
                <w:sz w:val="18"/>
                <w:szCs w:val="18"/>
              </w:rPr>
              <w:t xml:space="preserve"> </w:t>
            </w:r>
            <w:r w:rsidR="0DB1C565" w:rsidRPr="00376DC2">
              <w:rPr>
                <w:rFonts w:eastAsia="Calibri"/>
                <w:sz w:val="18"/>
                <w:szCs w:val="18"/>
              </w:rPr>
              <w:t>de</w:t>
            </w:r>
            <w:r w:rsidRPr="00376DC2">
              <w:rPr>
                <w:rFonts w:eastAsia="Calibri"/>
                <w:sz w:val="18"/>
                <w:szCs w:val="18"/>
              </w:rPr>
              <w:t xml:space="preserve"> 4 doses, PNEU-C-15 ou PNEU-C-20</w:t>
            </w:r>
            <w:r w:rsidR="007B52F3" w:rsidRPr="00376DC2">
              <w:rPr>
                <w:rFonts w:eastAsia="Calibri"/>
                <w:sz w:val="18"/>
                <w:szCs w:val="18"/>
                <w:vertAlign w:val="superscript"/>
              </w:rPr>
              <w:t xml:space="preserve"> a</w:t>
            </w:r>
            <w:r w:rsidRPr="00376DC2">
              <w:rPr>
                <w:rFonts w:eastAsia="Calibri"/>
                <w:sz w:val="18"/>
                <w:szCs w:val="18"/>
              </w:rPr>
              <w:t xml:space="preserve"> à 2, 4 et 6 mois, suivi d'une dose à l'âge de 12 à 15 mois </w:t>
            </w:r>
          </w:p>
        </w:tc>
        <w:tc>
          <w:tcPr>
            <w:tcW w:w="1728" w:type="dxa"/>
            <w:shd w:val="clear" w:color="auto" w:fill="auto"/>
            <w:vAlign w:val="center"/>
          </w:tcPr>
          <w:p w14:paraId="694EF9FD" w14:textId="6D1E9AF0" w:rsidR="004E06FA" w:rsidRPr="00376DC2" w:rsidRDefault="00610FC2">
            <w:pPr>
              <w:jc w:val="center"/>
              <w:rPr>
                <w:rFonts w:eastAsia="Calibri"/>
                <w:sz w:val="18"/>
                <w:szCs w:val="18"/>
              </w:rPr>
            </w:pPr>
            <w:r w:rsidRPr="00376DC2">
              <w:rPr>
                <w:rFonts w:eastAsia="Calibri"/>
                <w:sz w:val="18"/>
                <w:szCs w:val="18"/>
              </w:rPr>
              <w:t>2 doses de PNEU-C-15 ou PNEU-C-20</w:t>
            </w:r>
            <w:r w:rsidR="0031709E" w:rsidRPr="00376DC2">
              <w:rPr>
                <w:rFonts w:eastAsia="Calibri"/>
                <w:sz w:val="18"/>
                <w:szCs w:val="18"/>
              </w:rPr>
              <w:t xml:space="preserve"> </w:t>
            </w:r>
            <w:r w:rsidR="5C1C993F" w:rsidRPr="00376DC2">
              <w:rPr>
                <w:rFonts w:eastAsia="Calibri"/>
                <w:sz w:val="18"/>
                <w:szCs w:val="18"/>
                <w:vertAlign w:val="superscript"/>
              </w:rPr>
              <w:t>a</w:t>
            </w:r>
            <w:r w:rsidR="617EF5A1" w:rsidRPr="00376DC2">
              <w:rPr>
                <w:rFonts w:eastAsia="Calibri"/>
                <w:sz w:val="18"/>
                <w:szCs w:val="18"/>
              </w:rPr>
              <w:t xml:space="preserve"> + </w:t>
            </w:r>
            <w:r w:rsidR="0024AC03" w:rsidRPr="00376DC2">
              <w:rPr>
                <w:rFonts w:eastAsia="Calibri"/>
                <w:sz w:val="18"/>
                <w:szCs w:val="18"/>
              </w:rPr>
              <w:t xml:space="preserve">1 </w:t>
            </w:r>
            <w:r w:rsidRPr="00376DC2">
              <w:rPr>
                <w:rFonts w:eastAsia="Calibri"/>
                <w:sz w:val="18"/>
                <w:szCs w:val="18"/>
              </w:rPr>
              <w:t>dose à l'âge de 12 à 15 mois</w:t>
            </w:r>
          </w:p>
          <w:p w14:paraId="24849B6B" w14:textId="50C706A3" w:rsidR="002F18BE" w:rsidRPr="00376DC2" w:rsidRDefault="002F18BE" w:rsidP="00DD0797">
            <w:pPr>
              <w:jc w:val="center"/>
              <w:rPr>
                <w:rFonts w:eastAsia="Calibri" w:cstheme="minorHAnsi"/>
                <w:sz w:val="18"/>
                <w:szCs w:val="18"/>
              </w:rPr>
            </w:pPr>
          </w:p>
        </w:tc>
        <w:tc>
          <w:tcPr>
            <w:tcW w:w="1728" w:type="dxa"/>
            <w:shd w:val="clear" w:color="auto" w:fill="auto"/>
            <w:vAlign w:val="center"/>
          </w:tcPr>
          <w:p w14:paraId="2183D6AC" w14:textId="77777777" w:rsidR="004E06FA" w:rsidRPr="00376DC2" w:rsidRDefault="00610FC2">
            <w:pPr>
              <w:jc w:val="center"/>
              <w:rPr>
                <w:rFonts w:eastAsia="Calibri" w:cstheme="minorHAnsi"/>
                <w:sz w:val="18"/>
                <w:szCs w:val="18"/>
              </w:rPr>
            </w:pPr>
            <w:r w:rsidRPr="00376DC2">
              <w:rPr>
                <w:rFonts w:eastAsia="Calibri" w:cstheme="minorHAnsi"/>
                <w:sz w:val="18"/>
                <w:szCs w:val="18"/>
              </w:rPr>
              <w:t xml:space="preserve">2 doses de PNEU-C-15 ou PNEU-C-20 </w:t>
            </w:r>
            <w:r w:rsidR="005E089B" w:rsidRPr="00376DC2">
              <w:rPr>
                <w:rFonts w:eastAsia="Calibri" w:cstheme="minorHAnsi"/>
                <w:sz w:val="18"/>
                <w:szCs w:val="18"/>
                <w:vertAlign w:val="superscript"/>
              </w:rPr>
              <w:t>a</w:t>
            </w:r>
          </w:p>
          <w:p w14:paraId="7CEDEF71" w14:textId="5BD09913" w:rsidR="002F18BE" w:rsidRPr="00376DC2" w:rsidRDefault="002F18BE" w:rsidP="00DD0797">
            <w:pPr>
              <w:jc w:val="center"/>
              <w:rPr>
                <w:rFonts w:eastAsia="Calibri" w:cstheme="minorHAnsi"/>
                <w:sz w:val="18"/>
                <w:szCs w:val="18"/>
              </w:rPr>
            </w:pPr>
          </w:p>
        </w:tc>
        <w:tc>
          <w:tcPr>
            <w:tcW w:w="1728" w:type="dxa"/>
            <w:shd w:val="clear" w:color="auto" w:fill="auto"/>
            <w:vAlign w:val="center"/>
          </w:tcPr>
          <w:p w14:paraId="2DB1A5D5" w14:textId="02152540" w:rsidR="004E06FA" w:rsidRPr="00376DC2" w:rsidRDefault="00610FC2">
            <w:pPr>
              <w:jc w:val="center"/>
              <w:rPr>
                <w:rFonts w:eastAsia="Calibri"/>
                <w:sz w:val="18"/>
                <w:szCs w:val="18"/>
              </w:rPr>
            </w:pPr>
            <w:r w:rsidRPr="00376DC2">
              <w:rPr>
                <w:rFonts w:eastAsia="Calibri"/>
                <w:sz w:val="18"/>
                <w:szCs w:val="18"/>
              </w:rPr>
              <w:t xml:space="preserve">1 dose de PNEU-C-15 ou PNEU-C-20 </w:t>
            </w:r>
            <w:r w:rsidR="511DBD92" w:rsidRPr="00376DC2">
              <w:rPr>
                <w:rFonts w:eastAsia="Calibri"/>
                <w:sz w:val="18"/>
                <w:szCs w:val="18"/>
                <w:vertAlign w:val="superscript"/>
              </w:rPr>
              <w:t xml:space="preserve"> a</w:t>
            </w:r>
          </w:p>
          <w:p w14:paraId="708BE34B" w14:textId="56BAE805" w:rsidR="002F18BE" w:rsidRPr="00376DC2" w:rsidRDefault="002F18BE" w:rsidP="003E28ED">
            <w:pPr>
              <w:jc w:val="center"/>
              <w:rPr>
                <w:rFonts w:eastAsia="Calibri" w:cstheme="minorHAnsi"/>
                <w:sz w:val="18"/>
                <w:szCs w:val="18"/>
              </w:rPr>
            </w:pPr>
          </w:p>
        </w:tc>
        <w:tc>
          <w:tcPr>
            <w:tcW w:w="1728" w:type="dxa"/>
            <w:vAlign w:val="center"/>
          </w:tcPr>
          <w:p w14:paraId="146E8121" w14:textId="77777777" w:rsidR="004E06FA" w:rsidRPr="00376DC2" w:rsidRDefault="00610FC2">
            <w:pPr>
              <w:jc w:val="center"/>
              <w:rPr>
                <w:rFonts w:eastAsia="Calibri" w:cstheme="minorHAnsi"/>
                <w:sz w:val="18"/>
                <w:szCs w:val="18"/>
              </w:rPr>
            </w:pPr>
            <w:r w:rsidRPr="00376DC2">
              <w:rPr>
                <w:rFonts w:eastAsia="Calibri" w:cstheme="minorHAnsi"/>
                <w:sz w:val="18"/>
                <w:szCs w:val="18"/>
              </w:rPr>
              <w:t>NA</w:t>
            </w:r>
          </w:p>
        </w:tc>
      </w:tr>
      <w:tr w:rsidR="002F18BE" w:rsidRPr="00376DC2" w14:paraId="3E3DF743" w14:textId="77777777" w:rsidTr="129406F0">
        <w:tc>
          <w:tcPr>
            <w:tcW w:w="1165" w:type="dxa"/>
            <w:vMerge/>
            <w:vAlign w:val="center"/>
          </w:tcPr>
          <w:p w14:paraId="04E8AA81" w14:textId="30FA97A9" w:rsidR="002F18BE" w:rsidRPr="00376DC2" w:rsidRDefault="002F18BE" w:rsidP="00B45FC5">
            <w:pPr>
              <w:rPr>
                <w:rFonts w:cstheme="minorHAnsi"/>
                <w:sz w:val="18"/>
                <w:szCs w:val="18"/>
              </w:rPr>
            </w:pPr>
          </w:p>
        </w:tc>
        <w:tc>
          <w:tcPr>
            <w:tcW w:w="1296" w:type="dxa"/>
            <w:vAlign w:val="center"/>
          </w:tcPr>
          <w:p w14:paraId="35D2B561" w14:textId="77777777" w:rsidR="004E06FA" w:rsidRPr="00376DC2" w:rsidRDefault="00610FC2">
            <w:pPr>
              <w:jc w:val="center"/>
              <w:rPr>
                <w:rFonts w:eastAsia="Calibri" w:cstheme="minorHAnsi"/>
                <w:sz w:val="18"/>
                <w:szCs w:val="18"/>
              </w:rPr>
            </w:pPr>
            <w:r w:rsidRPr="00376DC2">
              <w:rPr>
                <w:rFonts w:eastAsia="Calibri" w:cstheme="minorHAnsi"/>
                <w:sz w:val="18"/>
                <w:szCs w:val="18"/>
              </w:rPr>
              <w:t xml:space="preserve">1 dose de </w:t>
            </w:r>
          </w:p>
          <w:p w14:paraId="39BC3F2F" w14:textId="77777777" w:rsidR="004E06FA" w:rsidRPr="00376DC2" w:rsidRDefault="00610FC2">
            <w:pPr>
              <w:jc w:val="center"/>
              <w:rPr>
                <w:rFonts w:cstheme="minorHAnsi"/>
                <w:sz w:val="18"/>
                <w:szCs w:val="18"/>
              </w:rPr>
            </w:pPr>
            <w:r w:rsidRPr="00376DC2">
              <w:rPr>
                <w:rFonts w:eastAsia="Calibri" w:cstheme="minorHAnsi"/>
                <w:sz w:val="18"/>
                <w:szCs w:val="18"/>
              </w:rPr>
              <w:t>PNEU-C-13</w:t>
            </w:r>
          </w:p>
        </w:tc>
        <w:tc>
          <w:tcPr>
            <w:tcW w:w="1728" w:type="dxa"/>
            <w:shd w:val="clear" w:color="auto" w:fill="FFFFFF" w:themeFill="background1"/>
            <w:vAlign w:val="center"/>
          </w:tcPr>
          <w:p w14:paraId="037D6504" w14:textId="2D3AA22D" w:rsidR="004E06FA" w:rsidRPr="00376DC2" w:rsidRDefault="129406F0">
            <w:pPr>
              <w:autoSpaceDE w:val="0"/>
              <w:autoSpaceDN w:val="0"/>
              <w:adjustRightInd w:val="0"/>
              <w:jc w:val="center"/>
              <w:rPr>
                <w:rFonts w:eastAsia="Calibri"/>
                <w:sz w:val="18"/>
                <w:szCs w:val="18"/>
              </w:rPr>
            </w:pPr>
            <w:r w:rsidRPr="00376DC2">
              <w:rPr>
                <w:rFonts w:eastAsia="Calibri"/>
                <w:sz w:val="18"/>
                <w:szCs w:val="18"/>
              </w:rPr>
              <w:t xml:space="preserve">Pour un calendrier </w:t>
            </w:r>
            <w:r w:rsidR="55F0BCEC" w:rsidRPr="00376DC2">
              <w:rPr>
                <w:rFonts w:eastAsia="Calibri"/>
                <w:sz w:val="18"/>
                <w:szCs w:val="18"/>
              </w:rPr>
              <w:t>de</w:t>
            </w:r>
            <w:r w:rsidRPr="00376DC2">
              <w:rPr>
                <w:rFonts w:eastAsia="Calibri"/>
                <w:sz w:val="18"/>
                <w:szCs w:val="18"/>
              </w:rPr>
              <w:t xml:space="preserve"> 3 doses, 1 dose de PNEU-C-15 ou de PNEU-C-20</w:t>
            </w:r>
            <w:r w:rsidR="6263E75F" w:rsidRPr="00376DC2">
              <w:rPr>
                <w:rFonts w:eastAsia="Calibri"/>
                <w:sz w:val="18"/>
                <w:szCs w:val="18"/>
                <w:vertAlign w:val="superscript"/>
              </w:rPr>
              <w:t xml:space="preserve"> a</w:t>
            </w:r>
            <w:r w:rsidRPr="00376DC2">
              <w:rPr>
                <w:rFonts w:eastAsia="Calibri"/>
                <w:sz w:val="18"/>
                <w:szCs w:val="18"/>
              </w:rPr>
              <w:t xml:space="preserve"> + 1 dose à l'âge de 12 à 15 mois</w:t>
            </w:r>
          </w:p>
          <w:p w14:paraId="2C4F34B6" w14:textId="77777777" w:rsidR="004E06FA" w:rsidRPr="0047736B" w:rsidRDefault="00610FC2">
            <w:pPr>
              <w:autoSpaceDE w:val="0"/>
              <w:autoSpaceDN w:val="0"/>
              <w:adjustRightInd w:val="0"/>
              <w:jc w:val="center"/>
              <w:rPr>
                <w:rFonts w:eastAsia="Calibri" w:cstheme="minorHAnsi"/>
                <w:b/>
                <w:bCs/>
                <w:sz w:val="18"/>
                <w:szCs w:val="18"/>
              </w:rPr>
            </w:pPr>
            <w:r w:rsidRPr="0047736B">
              <w:rPr>
                <w:rFonts w:eastAsia="Calibri" w:cstheme="minorHAnsi"/>
                <w:b/>
                <w:bCs/>
                <w:sz w:val="18"/>
                <w:szCs w:val="18"/>
              </w:rPr>
              <w:t>OU</w:t>
            </w:r>
          </w:p>
          <w:p w14:paraId="42389118" w14:textId="3D6C52B8" w:rsidR="004E06FA" w:rsidRPr="00376DC2" w:rsidRDefault="129406F0" w:rsidP="129406F0">
            <w:pPr>
              <w:autoSpaceDE w:val="0"/>
              <w:autoSpaceDN w:val="0"/>
              <w:adjustRightInd w:val="0"/>
              <w:jc w:val="center"/>
              <w:rPr>
                <w:rFonts w:eastAsia="Calibri"/>
                <w:sz w:val="18"/>
                <w:szCs w:val="18"/>
              </w:rPr>
            </w:pPr>
            <w:r w:rsidRPr="00376DC2">
              <w:rPr>
                <w:rFonts w:eastAsia="Calibri"/>
                <w:sz w:val="18"/>
                <w:szCs w:val="18"/>
              </w:rPr>
              <w:t xml:space="preserve">Pour un </w:t>
            </w:r>
            <w:r w:rsidR="3332D282" w:rsidRPr="00376DC2">
              <w:rPr>
                <w:rFonts w:eastAsia="Calibri"/>
                <w:sz w:val="18"/>
                <w:szCs w:val="18"/>
              </w:rPr>
              <w:t>calendrier de</w:t>
            </w:r>
            <w:r w:rsidRPr="00376DC2">
              <w:rPr>
                <w:rFonts w:eastAsia="Calibri"/>
                <w:sz w:val="18"/>
                <w:szCs w:val="18"/>
              </w:rPr>
              <w:t xml:space="preserve"> 4 doses, 2 doses de PNEU-C-15 ou PNEU-C-20</w:t>
            </w:r>
            <w:r w:rsidR="57605533" w:rsidRPr="00376DC2">
              <w:rPr>
                <w:rFonts w:eastAsia="Calibri"/>
                <w:sz w:val="18"/>
                <w:szCs w:val="18"/>
                <w:vertAlign w:val="superscript"/>
              </w:rPr>
              <w:t xml:space="preserve"> a</w:t>
            </w:r>
            <w:r w:rsidRPr="00376DC2">
              <w:rPr>
                <w:rFonts w:eastAsia="Calibri"/>
                <w:sz w:val="18"/>
                <w:szCs w:val="18"/>
              </w:rPr>
              <w:t xml:space="preserve"> + 1 dose à l'âge de 12 à 15 mois</w:t>
            </w:r>
          </w:p>
        </w:tc>
        <w:tc>
          <w:tcPr>
            <w:tcW w:w="1728" w:type="dxa"/>
            <w:shd w:val="clear" w:color="auto" w:fill="FFFFFF" w:themeFill="background1"/>
            <w:vAlign w:val="center"/>
          </w:tcPr>
          <w:p w14:paraId="514FE6C8" w14:textId="77777777" w:rsidR="004E06FA" w:rsidRPr="00376DC2" w:rsidRDefault="00610FC2">
            <w:pPr>
              <w:autoSpaceDE w:val="0"/>
              <w:autoSpaceDN w:val="0"/>
              <w:adjustRightInd w:val="0"/>
              <w:jc w:val="center"/>
              <w:rPr>
                <w:rFonts w:eastAsia="Calibri"/>
                <w:sz w:val="18"/>
                <w:szCs w:val="18"/>
              </w:rPr>
            </w:pPr>
            <w:r w:rsidRPr="00376DC2">
              <w:rPr>
                <w:rFonts w:eastAsia="Calibri"/>
                <w:sz w:val="18"/>
                <w:szCs w:val="18"/>
              </w:rPr>
              <w:t>1 dose de PNEU-C-15 ou PNEU-C-20</w:t>
            </w:r>
            <w:r w:rsidR="5618C0A5" w:rsidRPr="00376DC2">
              <w:rPr>
                <w:rFonts w:eastAsia="Calibri"/>
                <w:sz w:val="18"/>
                <w:szCs w:val="18"/>
                <w:vertAlign w:val="superscript"/>
              </w:rPr>
              <w:t xml:space="preserve"> a</w:t>
            </w:r>
            <w:r w:rsidRPr="00376DC2">
              <w:rPr>
                <w:rFonts w:eastAsia="Calibri"/>
                <w:sz w:val="18"/>
                <w:szCs w:val="18"/>
              </w:rPr>
              <w:t xml:space="preserve"> + 1 dose à l'âge de 12 à 15 mois</w:t>
            </w:r>
          </w:p>
        </w:tc>
        <w:tc>
          <w:tcPr>
            <w:tcW w:w="1728" w:type="dxa"/>
            <w:shd w:val="clear" w:color="auto" w:fill="FFFFFF" w:themeFill="background1"/>
            <w:vAlign w:val="center"/>
          </w:tcPr>
          <w:p w14:paraId="76E90907" w14:textId="158DEAC8" w:rsidR="004E06FA" w:rsidRPr="00376DC2" w:rsidRDefault="00610FC2">
            <w:pPr>
              <w:autoSpaceDE w:val="0"/>
              <w:autoSpaceDN w:val="0"/>
              <w:adjustRightInd w:val="0"/>
              <w:jc w:val="center"/>
              <w:rPr>
                <w:rFonts w:eastAsia="Calibri"/>
                <w:sz w:val="18"/>
                <w:szCs w:val="18"/>
              </w:rPr>
            </w:pPr>
            <w:r w:rsidRPr="00376DC2">
              <w:rPr>
                <w:rFonts w:eastAsia="Calibri"/>
                <w:sz w:val="18"/>
                <w:szCs w:val="18"/>
              </w:rPr>
              <w:t>2 doses de PNEU-C-15 ou de PNEU-C-20</w:t>
            </w:r>
            <w:r w:rsidR="7ECBF460" w:rsidRPr="00376DC2">
              <w:rPr>
                <w:rFonts w:eastAsia="Calibri"/>
                <w:sz w:val="18"/>
                <w:szCs w:val="18"/>
                <w:vertAlign w:val="superscript"/>
              </w:rPr>
              <w:t xml:space="preserve"> </w:t>
            </w:r>
            <w:bookmarkStart w:id="0" w:name="_Int_dEoEwzlB"/>
            <w:r w:rsidR="7ECBF460" w:rsidRPr="00376DC2">
              <w:rPr>
                <w:rFonts w:eastAsia="Calibri"/>
                <w:sz w:val="18"/>
                <w:szCs w:val="18"/>
                <w:vertAlign w:val="superscript"/>
              </w:rPr>
              <w:t>a</w:t>
            </w:r>
            <w:bookmarkEnd w:id="0"/>
            <w:r w:rsidRPr="00376DC2">
              <w:rPr>
                <w:rFonts w:eastAsia="Calibri"/>
                <w:sz w:val="18"/>
                <w:szCs w:val="18"/>
              </w:rPr>
              <w:t xml:space="preserve"> si la dose de PNEU-C-13 a été administrée à </w:t>
            </w:r>
            <w:r w:rsidR="0023680B">
              <w:rPr>
                <w:rFonts w:eastAsia="Calibri"/>
                <w:sz w:val="18"/>
                <w:szCs w:val="18"/>
              </w:rPr>
              <w:t xml:space="preserve">l’âge de </w:t>
            </w:r>
            <w:r w:rsidRPr="00376DC2">
              <w:rPr>
                <w:rFonts w:eastAsia="Calibri"/>
                <w:sz w:val="18"/>
                <w:szCs w:val="18"/>
              </w:rPr>
              <w:t>moins de 12 mois</w:t>
            </w:r>
          </w:p>
          <w:p w14:paraId="519D054C" w14:textId="77777777" w:rsidR="004E06FA" w:rsidRPr="0047736B" w:rsidRDefault="00610FC2">
            <w:pPr>
              <w:autoSpaceDE w:val="0"/>
              <w:autoSpaceDN w:val="0"/>
              <w:adjustRightInd w:val="0"/>
              <w:jc w:val="center"/>
              <w:rPr>
                <w:rFonts w:eastAsia="Calibri" w:cstheme="minorHAnsi"/>
                <w:b/>
                <w:bCs/>
                <w:sz w:val="18"/>
                <w:szCs w:val="18"/>
              </w:rPr>
            </w:pPr>
            <w:r w:rsidRPr="0047736B">
              <w:rPr>
                <w:rFonts w:eastAsia="Calibri" w:cstheme="minorHAnsi"/>
                <w:b/>
                <w:bCs/>
                <w:sz w:val="18"/>
                <w:szCs w:val="18"/>
              </w:rPr>
              <w:t>OU</w:t>
            </w:r>
          </w:p>
          <w:p w14:paraId="339BB8B8" w14:textId="039892B9" w:rsidR="004E06FA" w:rsidRPr="00376DC2" w:rsidRDefault="00610FC2">
            <w:pPr>
              <w:autoSpaceDE w:val="0"/>
              <w:autoSpaceDN w:val="0"/>
              <w:adjustRightInd w:val="0"/>
              <w:jc w:val="center"/>
              <w:rPr>
                <w:rFonts w:eastAsia="Calibri"/>
                <w:sz w:val="18"/>
                <w:szCs w:val="18"/>
              </w:rPr>
            </w:pPr>
            <w:r w:rsidRPr="00376DC2">
              <w:rPr>
                <w:rFonts w:eastAsia="Calibri"/>
                <w:sz w:val="18"/>
                <w:szCs w:val="18"/>
              </w:rPr>
              <w:t>1 dose de PNEU-C-15 ou de PNEU-C-20</w:t>
            </w:r>
            <w:r w:rsidR="5618C0A5" w:rsidRPr="00376DC2">
              <w:rPr>
                <w:rFonts w:eastAsia="Calibri"/>
                <w:sz w:val="18"/>
                <w:szCs w:val="18"/>
                <w:vertAlign w:val="superscript"/>
              </w:rPr>
              <w:t xml:space="preserve"> </w:t>
            </w:r>
            <w:bookmarkStart w:id="1" w:name="_Int_bJJfrWwP"/>
            <w:r w:rsidR="5618C0A5" w:rsidRPr="00376DC2">
              <w:rPr>
                <w:rFonts w:eastAsia="Calibri"/>
                <w:sz w:val="18"/>
                <w:szCs w:val="18"/>
                <w:vertAlign w:val="superscript"/>
              </w:rPr>
              <w:t>a</w:t>
            </w:r>
            <w:bookmarkEnd w:id="1"/>
            <w:r w:rsidRPr="00376DC2">
              <w:rPr>
                <w:rFonts w:eastAsia="Calibri"/>
                <w:sz w:val="18"/>
                <w:szCs w:val="18"/>
              </w:rPr>
              <w:t xml:space="preserve"> si la dose de PNEU-C-13 a été administrée à l'âge de 12 mois ou plus</w:t>
            </w:r>
          </w:p>
        </w:tc>
        <w:tc>
          <w:tcPr>
            <w:tcW w:w="1728" w:type="dxa"/>
            <w:vMerge w:val="restart"/>
            <w:shd w:val="clear" w:color="auto" w:fill="FFFFFF" w:themeFill="background1"/>
            <w:vAlign w:val="center"/>
          </w:tcPr>
          <w:p w14:paraId="01614235" w14:textId="77777777" w:rsidR="004E06FA" w:rsidRPr="00376DC2" w:rsidRDefault="00610FC2">
            <w:pPr>
              <w:autoSpaceDE w:val="0"/>
              <w:autoSpaceDN w:val="0"/>
              <w:adjustRightInd w:val="0"/>
              <w:jc w:val="center"/>
              <w:rPr>
                <w:sz w:val="18"/>
                <w:szCs w:val="18"/>
              </w:rPr>
            </w:pPr>
            <w:r w:rsidRPr="00376DC2">
              <w:rPr>
                <w:rFonts w:eastAsia="Calibri"/>
                <w:sz w:val="18"/>
                <w:szCs w:val="18"/>
              </w:rPr>
              <w:t>1 dose de PNEU-C-15 ou PNEU-C-20</w:t>
            </w:r>
            <w:r w:rsidRPr="00376DC2">
              <w:rPr>
                <w:rFonts w:eastAsia="Calibri"/>
                <w:sz w:val="18"/>
                <w:szCs w:val="18"/>
                <w:vertAlign w:val="superscript"/>
              </w:rPr>
              <w:t xml:space="preserve"> a</w:t>
            </w:r>
          </w:p>
          <w:p w14:paraId="1A219F2E" w14:textId="77777777" w:rsidR="004E06FA" w:rsidRPr="00376DC2" w:rsidRDefault="00610FC2">
            <w:pPr>
              <w:spacing w:line="259" w:lineRule="auto"/>
              <w:jc w:val="center"/>
              <w:rPr>
                <w:rFonts w:ascii="Calibri" w:eastAsia="Calibri" w:hAnsi="Calibri" w:cs="Calibri"/>
                <w:sz w:val="18"/>
                <w:szCs w:val="18"/>
              </w:rPr>
            </w:pPr>
            <w:r w:rsidRPr="00376DC2">
              <w:rPr>
                <w:sz w:val="18"/>
                <w:szCs w:val="18"/>
              </w:rPr>
              <w:t>en cas de calendrier de vaccination incomplet</w:t>
            </w:r>
          </w:p>
        </w:tc>
        <w:tc>
          <w:tcPr>
            <w:tcW w:w="1728" w:type="dxa"/>
            <w:shd w:val="clear" w:color="auto" w:fill="FFFFFF" w:themeFill="background1"/>
            <w:vAlign w:val="center"/>
          </w:tcPr>
          <w:p w14:paraId="0E95CDC1" w14:textId="77777777" w:rsidR="004E06FA" w:rsidRPr="00376DC2" w:rsidRDefault="00610FC2">
            <w:pPr>
              <w:autoSpaceDE w:val="0"/>
              <w:autoSpaceDN w:val="0"/>
              <w:adjustRightInd w:val="0"/>
              <w:jc w:val="center"/>
              <w:rPr>
                <w:rFonts w:eastAsia="Calibri" w:cstheme="minorHAnsi"/>
                <w:sz w:val="18"/>
                <w:szCs w:val="18"/>
              </w:rPr>
            </w:pPr>
            <w:r w:rsidRPr="00376DC2">
              <w:rPr>
                <w:sz w:val="18"/>
                <w:szCs w:val="18"/>
              </w:rPr>
              <w:t>NA</w:t>
            </w:r>
          </w:p>
        </w:tc>
      </w:tr>
      <w:tr w:rsidR="002F18BE" w:rsidRPr="00376DC2" w14:paraId="067060AC" w14:textId="77777777" w:rsidTr="129406F0">
        <w:tc>
          <w:tcPr>
            <w:tcW w:w="1165" w:type="dxa"/>
            <w:vMerge/>
            <w:vAlign w:val="center"/>
          </w:tcPr>
          <w:p w14:paraId="721A11E8" w14:textId="51FC6CAF" w:rsidR="002F18BE" w:rsidRPr="00376DC2" w:rsidRDefault="002F18BE" w:rsidP="00B45FC5">
            <w:pPr>
              <w:rPr>
                <w:rFonts w:cstheme="minorHAnsi"/>
                <w:sz w:val="18"/>
                <w:szCs w:val="18"/>
              </w:rPr>
            </w:pPr>
          </w:p>
        </w:tc>
        <w:tc>
          <w:tcPr>
            <w:tcW w:w="1296" w:type="dxa"/>
            <w:vAlign w:val="center"/>
          </w:tcPr>
          <w:p w14:paraId="03B8DECA" w14:textId="77777777" w:rsidR="004E06FA" w:rsidRPr="00376DC2" w:rsidRDefault="00610FC2">
            <w:pPr>
              <w:jc w:val="center"/>
              <w:rPr>
                <w:rFonts w:cstheme="minorHAnsi"/>
                <w:sz w:val="18"/>
                <w:szCs w:val="18"/>
              </w:rPr>
            </w:pPr>
            <w:r w:rsidRPr="00376DC2">
              <w:rPr>
                <w:rFonts w:eastAsia="Calibri" w:cstheme="minorHAnsi"/>
                <w:sz w:val="18"/>
                <w:szCs w:val="18"/>
              </w:rPr>
              <w:t>2 doses de PNEU-C-13</w:t>
            </w:r>
          </w:p>
        </w:tc>
        <w:tc>
          <w:tcPr>
            <w:tcW w:w="1728" w:type="dxa"/>
            <w:shd w:val="clear" w:color="auto" w:fill="FFFFFF" w:themeFill="background1"/>
            <w:vAlign w:val="center"/>
          </w:tcPr>
          <w:p w14:paraId="436BDD01" w14:textId="5691EA7B" w:rsidR="004E06FA" w:rsidRPr="00376DC2" w:rsidRDefault="129406F0" w:rsidP="129406F0">
            <w:pPr>
              <w:autoSpaceDE w:val="0"/>
              <w:autoSpaceDN w:val="0"/>
              <w:adjustRightInd w:val="0"/>
              <w:jc w:val="center"/>
              <w:rPr>
                <w:rFonts w:eastAsia="Calibri"/>
                <w:sz w:val="18"/>
                <w:szCs w:val="18"/>
              </w:rPr>
            </w:pPr>
            <w:r w:rsidRPr="00376DC2">
              <w:rPr>
                <w:rFonts w:eastAsia="Calibri"/>
                <w:sz w:val="18"/>
                <w:szCs w:val="18"/>
              </w:rPr>
              <w:t xml:space="preserve">Pour un </w:t>
            </w:r>
            <w:r w:rsidR="67598815" w:rsidRPr="00376DC2">
              <w:rPr>
                <w:rFonts w:eastAsia="Calibri"/>
                <w:sz w:val="18"/>
                <w:szCs w:val="18"/>
              </w:rPr>
              <w:t>calendrier de</w:t>
            </w:r>
            <w:r w:rsidRPr="00376DC2">
              <w:rPr>
                <w:rFonts w:eastAsia="Calibri"/>
                <w:sz w:val="18"/>
                <w:szCs w:val="18"/>
              </w:rPr>
              <w:t xml:space="preserve"> 3 doses, 1 dose de PNEU-C-15 ou de PNEU-C-20</w:t>
            </w:r>
            <w:r w:rsidR="130315C7" w:rsidRPr="00376DC2">
              <w:rPr>
                <w:rFonts w:eastAsia="Calibri"/>
                <w:sz w:val="18"/>
                <w:szCs w:val="18"/>
                <w:vertAlign w:val="superscript"/>
              </w:rPr>
              <w:t xml:space="preserve"> a</w:t>
            </w:r>
            <w:r w:rsidRPr="00376DC2">
              <w:rPr>
                <w:rFonts w:eastAsia="Calibri"/>
                <w:sz w:val="18"/>
                <w:szCs w:val="18"/>
              </w:rPr>
              <w:t xml:space="preserve"> à l'âge de 12 à 15 mois</w:t>
            </w:r>
          </w:p>
          <w:p w14:paraId="4C1C16B4" w14:textId="77777777" w:rsidR="004E06FA" w:rsidRPr="0047736B" w:rsidRDefault="00610FC2">
            <w:pPr>
              <w:autoSpaceDE w:val="0"/>
              <w:autoSpaceDN w:val="0"/>
              <w:adjustRightInd w:val="0"/>
              <w:jc w:val="center"/>
              <w:rPr>
                <w:rFonts w:eastAsia="Calibri" w:cstheme="minorHAnsi"/>
                <w:b/>
                <w:bCs/>
                <w:sz w:val="18"/>
                <w:szCs w:val="18"/>
              </w:rPr>
            </w:pPr>
            <w:r w:rsidRPr="0047736B">
              <w:rPr>
                <w:rFonts w:eastAsia="Calibri" w:cstheme="minorHAnsi"/>
                <w:b/>
                <w:bCs/>
                <w:sz w:val="18"/>
                <w:szCs w:val="18"/>
              </w:rPr>
              <w:t>OU</w:t>
            </w:r>
          </w:p>
          <w:p w14:paraId="6FE38B38" w14:textId="7FAE236C" w:rsidR="004E06FA" w:rsidRPr="00376DC2" w:rsidRDefault="129406F0" w:rsidP="129406F0">
            <w:pPr>
              <w:autoSpaceDE w:val="0"/>
              <w:autoSpaceDN w:val="0"/>
              <w:adjustRightInd w:val="0"/>
              <w:jc w:val="center"/>
              <w:rPr>
                <w:rFonts w:eastAsia="Calibri"/>
                <w:sz w:val="18"/>
                <w:szCs w:val="18"/>
              </w:rPr>
            </w:pPr>
            <w:r w:rsidRPr="00376DC2">
              <w:rPr>
                <w:rFonts w:eastAsia="Calibri"/>
                <w:sz w:val="18"/>
                <w:szCs w:val="18"/>
              </w:rPr>
              <w:t xml:space="preserve">Pour un </w:t>
            </w:r>
            <w:r w:rsidR="746067D1" w:rsidRPr="00376DC2">
              <w:rPr>
                <w:rFonts w:eastAsia="Calibri"/>
                <w:sz w:val="18"/>
                <w:szCs w:val="18"/>
              </w:rPr>
              <w:t>calendrier de</w:t>
            </w:r>
            <w:r w:rsidRPr="00376DC2">
              <w:rPr>
                <w:rFonts w:eastAsia="Calibri"/>
                <w:sz w:val="18"/>
                <w:szCs w:val="18"/>
              </w:rPr>
              <w:t xml:space="preserve"> 4 doses, 1 dose de PNEU-C-15 ou de PNEU-C-20</w:t>
            </w:r>
            <w:r w:rsidR="130315C7" w:rsidRPr="00376DC2">
              <w:rPr>
                <w:rFonts w:eastAsia="Calibri"/>
                <w:sz w:val="18"/>
                <w:szCs w:val="18"/>
                <w:vertAlign w:val="superscript"/>
              </w:rPr>
              <w:t xml:space="preserve"> a</w:t>
            </w:r>
            <w:r w:rsidRPr="00376DC2">
              <w:rPr>
                <w:rFonts w:eastAsia="Calibri"/>
                <w:sz w:val="18"/>
                <w:szCs w:val="18"/>
              </w:rPr>
              <w:t xml:space="preserve"> + 1 dose à l'âge de 12 à 15 mois</w:t>
            </w:r>
          </w:p>
        </w:tc>
        <w:tc>
          <w:tcPr>
            <w:tcW w:w="1728" w:type="dxa"/>
            <w:shd w:val="clear" w:color="auto" w:fill="FFFFFF" w:themeFill="background1"/>
            <w:vAlign w:val="center"/>
          </w:tcPr>
          <w:p w14:paraId="37095EC6" w14:textId="77777777" w:rsidR="004E06FA" w:rsidRPr="00376DC2" w:rsidRDefault="00610FC2">
            <w:pPr>
              <w:autoSpaceDE w:val="0"/>
              <w:autoSpaceDN w:val="0"/>
              <w:adjustRightInd w:val="0"/>
              <w:jc w:val="center"/>
              <w:rPr>
                <w:rFonts w:eastAsia="Calibri"/>
                <w:sz w:val="18"/>
                <w:szCs w:val="18"/>
              </w:rPr>
            </w:pPr>
            <w:r w:rsidRPr="00376DC2">
              <w:rPr>
                <w:rFonts w:eastAsia="Calibri"/>
                <w:sz w:val="18"/>
                <w:szCs w:val="18"/>
              </w:rPr>
              <w:t>1 dose de PNEU-C-15 ou PNEU-C-20</w:t>
            </w:r>
            <w:r w:rsidR="71B594EA" w:rsidRPr="00376DC2">
              <w:rPr>
                <w:rFonts w:eastAsia="Calibri"/>
                <w:sz w:val="18"/>
                <w:szCs w:val="18"/>
                <w:vertAlign w:val="superscript"/>
              </w:rPr>
              <w:t xml:space="preserve"> a</w:t>
            </w:r>
            <w:r w:rsidRPr="00376DC2">
              <w:rPr>
                <w:rFonts w:eastAsia="Calibri"/>
                <w:sz w:val="18"/>
                <w:szCs w:val="18"/>
              </w:rPr>
              <w:t xml:space="preserve"> à l'âge de 12 à 15 mois</w:t>
            </w:r>
          </w:p>
        </w:tc>
        <w:tc>
          <w:tcPr>
            <w:tcW w:w="1728" w:type="dxa"/>
            <w:shd w:val="clear" w:color="auto" w:fill="FFFFFF" w:themeFill="background1"/>
            <w:vAlign w:val="center"/>
          </w:tcPr>
          <w:p w14:paraId="39E535E8" w14:textId="23125276" w:rsidR="004E06FA" w:rsidRPr="00376DC2" w:rsidRDefault="00610FC2">
            <w:pPr>
              <w:autoSpaceDE w:val="0"/>
              <w:autoSpaceDN w:val="0"/>
              <w:adjustRightInd w:val="0"/>
              <w:jc w:val="center"/>
              <w:rPr>
                <w:rFonts w:eastAsia="Calibri"/>
                <w:sz w:val="18"/>
                <w:szCs w:val="18"/>
              </w:rPr>
            </w:pPr>
            <w:r w:rsidRPr="00376DC2">
              <w:rPr>
                <w:rFonts w:eastAsia="Calibri"/>
                <w:sz w:val="18"/>
                <w:szCs w:val="18"/>
              </w:rPr>
              <w:t>1 dose de PNEU-C-15 ou de PNEU-C-20</w:t>
            </w:r>
            <w:r w:rsidR="71B594EA" w:rsidRPr="00376DC2">
              <w:rPr>
                <w:rFonts w:eastAsia="Calibri"/>
                <w:sz w:val="18"/>
                <w:szCs w:val="18"/>
                <w:vertAlign w:val="superscript"/>
              </w:rPr>
              <w:t xml:space="preserve"> </w:t>
            </w:r>
            <w:bookmarkStart w:id="2" w:name="_Int_1iPl43fr"/>
            <w:r w:rsidR="71B594EA" w:rsidRPr="00376DC2">
              <w:rPr>
                <w:rFonts w:eastAsia="Calibri"/>
                <w:sz w:val="18"/>
                <w:szCs w:val="18"/>
                <w:vertAlign w:val="superscript"/>
              </w:rPr>
              <w:t>a</w:t>
            </w:r>
            <w:bookmarkEnd w:id="2"/>
            <w:r w:rsidR="400F4D54" w:rsidRPr="00376DC2">
              <w:rPr>
                <w:rFonts w:eastAsia="Calibri"/>
                <w:sz w:val="18"/>
                <w:szCs w:val="18"/>
                <w:vertAlign w:val="superscript"/>
              </w:rPr>
              <w:t xml:space="preserve"> </w:t>
            </w:r>
            <w:r w:rsidR="400F4D54" w:rsidRPr="00376DC2">
              <w:rPr>
                <w:rFonts w:eastAsia="Calibri"/>
                <w:sz w:val="18"/>
                <w:szCs w:val="18"/>
              </w:rPr>
              <w:t xml:space="preserve"> si </w:t>
            </w:r>
            <w:r w:rsidR="5C51A367" w:rsidRPr="00376DC2">
              <w:rPr>
                <w:rFonts w:eastAsia="Calibri"/>
                <w:sz w:val="18"/>
                <w:szCs w:val="18"/>
              </w:rPr>
              <w:t xml:space="preserve">toutes les </w:t>
            </w:r>
            <w:r w:rsidR="2C5CE748" w:rsidRPr="00376DC2">
              <w:rPr>
                <w:rFonts w:eastAsia="Calibri"/>
                <w:sz w:val="18"/>
                <w:szCs w:val="18"/>
              </w:rPr>
              <w:t>doses de</w:t>
            </w:r>
            <w:r w:rsidR="400F4D54" w:rsidRPr="00376DC2">
              <w:rPr>
                <w:rFonts w:eastAsia="Calibri"/>
                <w:sz w:val="18"/>
                <w:szCs w:val="18"/>
              </w:rPr>
              <w:t xml:space="preserve"> PNEU-C-13 ont été administrées à </w:t>
            </w:r>
            <w:r w:rsidR="009B1C30">
              <w:rPr>
                <w:rFonts w:eastAsia="Calibri"/>
                <w:sz w:val="18"/>
                <w:szCs w:val="18"/>
              </w:rPr>
              <w:t xml:space="preserve">l’âge de </w:t>
            </w:r>
            <w:r w:rsidR="400F4D54" w:rsidRPr="00376DC2">
              <w:rPr>
                <w:rFonts w:eastAsia="Calibri"/>
                <w:sz w:val="18"/>
                <w:szCs w:val="18"/>
              </w:rPr>
              <w:t>moins de 12 mois</w:t>
            </w:r>
          </w:p>
          <w:p w14:paraId="370C212C" w14:textId="77777777" w:rsidR="004E06FA" w:rsidRPr="0047736B" w:rsidRDefault="00610FC2">
            <w:pPr>
              <w:autoSpaceDE w:val="0"/>
              <w:autoSpaceDN w:val="0"/>
              <w:adjustRightInd w:val="0"/>
              <w:jc w:val="center"/>
              <w:rPr>
                <w:rFonts w:eastAsia="Calibri"/>
                <w:b/>
                <w:bCs/>
                <w:sz w:val="18"/>
                <w:szCs w:val="18"/>
              </w:rPr>
            </w:pPr>
            <w:r w:rsidRPr="0047736B">
              <w:rPr>
                <w:rFonts w:eastAsia="Calibri"/>
                <w:b/>
                <w:bCs/>
                <w:sz w:val="18"/>
                <w:szCs w:val="18"/>
              </w:rPr>
              <w:t>OU</w:t>
            </w:r>
          </w:p>
          <w:p w14:paraId="50E7ADAB" w14:textId="612B7010" w:rsidR="002F18BE" w:rsidRPr="00376DC2" w:rsidRDefault="00610FC2" w:rsidP="009B1C30">
            <w:pPr>
              <w:autoSpaceDE w:val="0"/>
              <w:autoSpaceDN w:val="0"/>
              <w:adjustRightInd w:val="0"/>
              <w:rPr>
                <w:rFonts w:eastAsia="Calibri"/>
                <w:sz w:val="18"/>
                <w:szCs w:val="18"/>
                <w:vertAlign w:val="superscript"/>
              </w:rPr>
            </w:pPr>
            <w:r w:rsidRPr="00376DC2">
              <w:rPr>
                <w:rFonts w:eastAsia="Calibri"/>
                <w:sz w:val="18"/>
                <w:szCs w:val="18"/>
              </w:rPr>
              <w:t xml:space="preserve">1 dose de PNEU-C-13 a été administrée </w:t>
            </w:r>
            <w:r w:rsidR="64B62846" w:rsidRPr="00376DC2">
              <w:rPr>
                <w:rFonts w:eastAsia="Calibri"/>
                <w:sz w:val="18"/>
                <w:szCs w:val="18"/>
              </w:rPr>
              <w:t>à</w:t>
            </w:r>
            <w:r w:rsidRPr="00376DC2">
              <w:rPr>
                <w:rFonts w:eastAsia="Calibri"/>
                <w:sz w:val="18"/>
                <w:szCs w:val="18"/>
              </w:rPr>
              <w:t xml:space="preserve"> moins de 12 mois et 1 dose de </w:t>
            </w:r>
            <w:r w:rsidR="0BAF59E1" w:rsidRPr="00376DC2">
              <w:rPr>
                <w:rFonts w:eastAsia="Calibri"/>
                <w:sz w:val="18"/>
                <w:szCs w:val="18"/>
              </w:rPr>
              <w:t xml:space="preserve">PNEU-C-13 a été administrée </w:t>
            </w:r>
            <w:r w:rsidRPr="00376DC2">
              <w:rPr>
                <w:rFonts w:eastAsia="Calibri"/>
                <w:sz w:val="18"/>
                <w:szCs w:val="18"/>
              </w:rPr>
              <w:t xml:space="preserve">à </w:t>
            </w:r>
            <w:r w:rsidR="0060421A">
              <w:rPr>
                <w:rFonts w:eastAsia="Calibri"/>
                <w:sz w:val="18"/>
                <w:szCs w:val="18"/>
              </w:rPr>
              <w:t xml:space="preserve">l’âge de </w:t>
            </w:r>
            <w:r w:rsidRPr="00376DC2">
              <w:rPr>
                <w:rFonts w:eastAsia="Calibri"/>
                <w:sz w:val="18"/>
                <w:szCs w:val="18"/>
              </w:rPr>
              <w:t xml:space="preserve">12 mois </w:t>
            </w:r>
            <w:r w:rsidR="71F894C0" w:rsidRPr="00376DC2">
              <w:rPr>
                <w:rFonts w:eastAsia="Calibri"/>
                <w:sz w:val="18"/>
                <w:szCs w:val="18"/>
              </w:rPr>
              <w:t>ou plus</w:t>
            </w:r>
          </w:p>
        </w:tc>
        <w:tc>
          <w:tcPr>
            <w:tcW w:w="1728" w:type="dxa"/>
            <w:vMerge/>
            <w:vAlign w:val="center"/>
          </w:tcPr>
          <w:p w14:paraId="12995319" w14:textId="77777777" w:rsidR="004E06FA" w:rsidRPr="00376DC2" w:rsidRDefault="00610FC2">
            <w:pPr>
              <w:autoSpaceDE w:val="0"/>
              <w:autoSpaceDN w:val="0"/>
              <w:adjustRightInd w:val="0"/>
              <w:jc w:val="center"/>
              <w:rPr>
                <w:sz w:val="18"/>
                <w:szCs w:val="18"/>
              </w:rPr>
            </w:pPr>
            <w:r w:rsidRPr="00376DC2">
              <w:rPr>
                <w:sz w:val="18"/>
                <w:szCs w:val="18"/>
              </w:rPr>
              <w:t>NA</w:t>
            </w:r>
          </w:p>
        </w:tc>
        <w:tc>
          <w:tcPr>
            <w:tcW w:w="1728" w:type="dxa"/>
            <w:shd w:val="clear" w:color="auto" w:fill="FFFFFF" w:themeFill="background1"/>
            <w:vAlign w:val="center"/>
          </w:tcPr>
          <w:p w14:paraId="391525AD" w14:textId="77777777" w:rsidR="004E06FA" w:rsidRPr="00376DC2" w:rsidRDefault="00610FC2">
            <w:pPr>
              <w:autoSpaceDE w:val="0"/>
              <w:autoSpaceDN w:val="0"/>
              <w:adjustRightInd w:val="0"/>
              <w:jc w:val="center"/>
              <w:rPr>
                <w:rFonts w:eastAsia="Calibri" w:cstheme="minorHAnsi"/>
                <w:sz w:val="18"/>
                <w:szCs w:val="18"/>
              </w:rPr>
            </w:pPr>
            <w:r w:rsidRPr="00376DC2">
              <w:rPr>
                <w:sz w:val="18"/>
                <w:szCs w:val="18"/>
              </w:rPr>
              <w:t>NA</w:t>
            </w:r>
          </w:p>
        </w:tc>
      </w:tr>
      <w:tr w:rsidR="002F18BE" w:rsidRPr="00376DC2" w14:paraId="48359560" w14:textId="77777777" w:rsidTr="129406F0">
        <w:trPr>
          <w:trHeight w:val="219"/>
        </w:trPr>
        <w:tc>
          <w:tcPr>
            <w:tcW w:w="1165" w:type="dxa"/>
            <w:vMerge/>
            <w:vAlign w:val="center"/>
          </w:tcPr>
          <w:p w14:paraId="217CDE53" w14:textId="5DA6C608" w:rsidR="002F18BE" w:rsidRPr="00376DC2" w:rsidRDefault="002F18BE" w:rsidP="00B45FC5">
            <w:pPr>
              <w:rPr>
                <w:rFonts w:cstheme="minorHAnsi"/>
                <w:sz w:val="18"/>
                <w:szCs w:val="18"/>
              </w:rPr>
            </w:pPr>
          </w:p>
        </w:tc>
        <w:tc>
          <w:tcPr>
            <w:tcW w:w="1296" w:type="dxa"/>
            <w:vAlign w:val="center"/>
          </w:tcPr>
          <w:p w14:paraId="11BCE97C" w14:textId="666743E8" w:rsidR="004E06FA" w:rsidRPr="00376DC2" w:rsidRDefault="009F2758">
            <w:pPr>
              <w:autoSpaceDE w:val="0"/>
              <w:autoSpaceDN w:val="0"/>
              <w:adjustRightInd w:val="0"/>
              <w:spacing w:line="276" w:lineRule="auto"/>
              <w:jc w:val="center"/>
              <w:rPr>
                <w:rFonts w:eastAsia="Calibri" w:cstheme="minorHAnsi"/>
                <w:sz w:val="18"/>
                <w:szCs w:val="18"/>
              </w:rPr>
            </w:pPr>
            <w:r>
              <w:rPr>
                <w:rFonts w:eastAsia="Calibri" w:cstheme="minorHAnsi"/>
                <w:sz w:val="18"/>
                <w:szCs w:val="18"/>
              </w:rPr>
              <w:t>S</w:t>
            </w:r>
            <w:r w:rsidR="00610FC2" w:rsidRPr="00376DC2">
              <w:rPr>
                <w:rFonts w:eastAsia="Calibri" w:cstheme="minorHAnsi"/>
                <w:sz w:val="18"/>
                <w:szCs w:val="18"/>
              </w:rPr>
              <w:t>érie complète</w:t>
            </w:r>
            <w:r>
              <w:rPr>
                <w:rFonts w:eastAsia="Calibri" w:cstheme="minorHAnsi"/>
                <w:sz w:val="18"/>
                <w:szCs w:val="18"/>
              </w:rPr>
              <w:t xml:space="preserve"> de </w:t>
            </w:r>
            <w:r w:rsidRPr="00376DC2">
              <w:rPr>
                <w:rFonts w:eastAsia="Calibri" w:cstheme="minorHAnsi"/>
                <w:sz w:val="18"/>
                <w:szCs w:val="18"/>
              </w:rPr>
              <w:t xml:space="preserve">PNEU-C-13 </w:t>
            </w:r>
            <w:r w:rsidR="00610FC2" w:rsidRPr="00376DC2">
              <w:rPr>
                <w:rFonts w:eastAsia="Calibri" w:cstheme="minorHAnsi"/>
                <w:sz w:val="18"/>
                <w:szCs w:val="18"/>
              </w:rPr>
              <w:t xml:space="preserve"> </w:t>
            </w:r>
          </w:p>
        </w:tc>
        <w:tc>
          <w:tcPr>
            <w:tcW w:w="1728" w:type="dxa"/>
            <w:shd w:val="clear" w:color="auto" w:fill="FFFFFF" w:themeFill="background1"/>
            <w:vAlign w:val="center"/>
          </w:tcPr>
          <w:p w14:paraId="680296A4" w14:textId="77777777" w:rsidR="004E06FA" w:rsidRPr="00376DC2" w:rsidRDefault="00610FC2">
            <w:pPr>
              <w:autoSpaceDE w:val="0"/>
              <w:autoSpaceDN w:val="0"/>
              <w:adjustRightInd w:val="0"/>
              <w:jc w:val="center"/>
              <w:rPr>
                <w:rFonts w:eastAsia="Calibri" w:cstheme="minorHAnsi"/>
                <w:sz w:val="18"/>
                <w:szCs w:val="18"/>
              </w:rPr>
            </w:pPr>
            <w:r w:rsidRPr="00376DC2">
              <w:rPr>
                <w:rFonts w:eastAsia="Calibri" w:cstheme="minorHAnsi"/>
                <w:sz w:val="18"/>
                <w:szCs w:val="18"/>
              </w:rPr>
              <w:t>NA</w:t>
            </w:r>
          </w:p>
        </w:tc>
        <w:tc>
          <w:tcPr>
            <w:tcW w:w="1728" w:type="dxa"/>
            <w:shd w:val="clear" w:color="auto" w:fill="FFFFFF" w:themeFill="background1"/>
            <w:vAlign w:val="center"/>
          </w:tcPr>
          <w:p w14:paraId="27316406" w14:textId="77777777" w:rsidR="004E06FA" w:rsidRPr="00376DC2" w:rsidRDefault="00610FC2">
            <w:pPr>
              <w:autoSpaceDE w:val="0"/>
              <w:autoSpaceDN w:val="0"/>
              <w:adjustRightInd w:val="0"/>
              <w:jc w:val="center"/>
              <w:rPr>
                <w:rFonts w:eastAsia="Calibri" w:cstheme="minorHAnsi"/>
                <w:sz w:val="18"/>
                <w:szCs w:val="18"/>
              </w:rPr>
            </w:pPr>
            <w:r w:rsidRPr="00376DC2">
              <w:rPr>
                <w:sz w:val="18"/>
                <w:szCs w:val="18"/>
              </w:rPr>
              <w:t>NA</w:t>
            </w:r>
          </w:p>
        </w:tc>
        <w:tc>
          <w:tcPr>
            <w:tcW w:w="1728" w:type="dxa"/>
            <w:shd w:val="clear" w:color="auto" w:fill="FFFFFF" w:themeFill="background1"/>
            <w:vAlign w:val="center"/>
          </w:tcPr>
          <w:p w14:paraId="58D527FB" w14:textId="77777777" w:rsidR="004E06FA" w:rsidRPr="00376DC2" w:rsidRDefault="00610FC2">
            <w:pPr>
              <w:autoSpaceDE w:val="0"/>
              <w:autoSpaceDN w:val="0"/>
              <w:adjustRightInd w:val="0"/>
              <w:jc w:val="center"/>
              <w:rPr>
                <w:rFonts w:eastAsia="Calibri" w:cstheme="minorHAnsi"/>
                <w:sz w:val="18"/>
                <w:szCs w:val="18"/>
              </w:rPr>
            </w:pPr>
            <w:r w:rsidRPr="00376DC2">
              <w:rPr>
                <w:sz w:val="18"/>
                <w:szCs w:val="18"/>
              </w:rPr>
              <w:t>NA</w:t>
            </w:r>
          </w:p>
        </w:tc>
        <w:tc>
          <w:tcPr>
            <w:tcW w:w="1728" w:type="dxa"/>
            <w:shd w:val="clear" w:color="auto" w:fill="FFFFFF" w:themeFill="background1"/>
            <w:vAlign w:val="center"/>
          </w:tcPr>
          <w:p w14:paraId="39818827" w14:textId="77777777" w:rsidR="004E06FA" w:rsidRPr="00376DC2" w:rsidRDefault="00610FC2">
            <w:pPr>
              <w:autoSpaceDE w:val="0"/>
              <w:autoSpaceDN w:val="0"/>
              <w:adjustRightInd w:val="0"/>
              <w:jc w:val="center"/>
              <w:rPr>
                <w:sz w:val="18"/>
                <w:szCs w:val="18"/>
              </w:rPr>
            </w:pPr>
            <w:r w:rsidRPr="00376DC2">
              <w:rPr>
                <w:sz w:val="18"/>
                <w:szCs w:val="18"/>
              </w:rPr>
              <w:t>NA</w:t>
            </w:r>
          </w:p>
        </w:tc>
        <w:tc>
          <w:tcPr>
            <w:tcW w:w="1728" w:type="dxa"/>
            <w:shd w:val="clear" w:color="auto" w:fill="FFFFFF" w:themeFill="background1"/>
            <w:vAlign w:val="center"/>
          </w:tcPr>
          <w:p w14:paraId="19412E64" w14:textId="77777777" w:rsidR="004E06FA" w:rsidRPr="00376DC2" w:rsidRDefault="00610FC2">
            <w:pPr>
              <w:autoSpaceDE w:val="0"/>
              <w:autoSpaceDN w:val="0"/>
              <w:adjustRightInd w:val="0"/>
              <w:jc w:val="center"/>
              <w:rPr>
                <w:rFonts w:eastAsia="Calibri" w:cstheme="minorHAnsi"/>
                <w:sz w:val="18"/>
                <w:szCs w:val="18"/>
              </w:rPr>
            </w:pPr>
            <w:r w:rsidRPr="00376DC2">
              <w:rPr>
                <w:sz w:val="18"/>
                <w:szCs w:val="18"/>
              </w:rPr>
              <w:t>NA</w:t>
            </w:r>
          </w:p>
        </w:tc>
      </w:tr>
      <w:tr w:rsidR="002F18BE" w:rsidRPr="00376DC2" w14:paraId="0A6383E0" w14:textId="77777777" w:rsidTr="129406F0">
        <w:tc>
          <w:tcPr>
            <w:tcW w:w="1165" w:type="dxa"/>
            <w:shd w:val="clear" w:color="auto" w:fill="DEEAF6" w:themeFill="accent1" w:themeFillTint="33"/>
          </w:tcPr>
          <w:p w14:paraId="203B491F" w14:textId="3EEBF1CC" w:rsidR="002F18BE" w:rsidRPr="00376DC2" w:rsidRDefault="002F18BE" w:rsidP="00381F89">
            <w:pPr>
              <w:rPr>
                <w:rFonts w:cstheme="minorHAnsi"/>
                <w:sz w:val="18"/>
                <w:szCs w:val="18"/>
              </w:rPr>
            </w:pPr>
          </w:p>
        </w:tc>
        <w:tc>
          <w:tcPr>
            <w:tcW w:w="1296" w:type="dxa"/>
            <w:shd w:val="clear" w:color="auto" w:fill="DEEAF6" w:themeFill="accent1" w:themeFillTint="33"/>
            <w:vAlign w:val="center"/>
          </w:tcPr>
          <w:p w14:paraId="1D70DFC3" w14:textId="77777777" w:rsidR="002F18BE" w:rsidRPr="00376DC2" w:rsidRDefault="002F18BE" w:rsidP="00381F89">
            <w:pPr>
              <w:jc w:val="center"/>
              <w:rPr>
                <w:rFonts w:cstheme="minorHAnsi"/>
                <w:sz w:val="18"/>
                <w:szCs w:val="18"/>
              </w:rPr>
            </w:pPr>
          </w:p>
        </w:tc>
        <w:tc>
          <w:tcPr>
            <w:tcW w:w="1728" w:type="dxa"/>
            <w:tcBorders>
              <w:bottom w:val="single" w:sz="4" w:space="0" w:color="auto"/>
            </w:tcBorders>
            <w:shd w:val="clear" w:color="auto" w:fill="DEEAF6" w:themeFill="accent1" w:themeFillTint="33"/>
            <w:vAlign w:val="center"/>
          </w:tcPr>
          <w:p w14:paraId="16ADFAC3" w14:textId="77777777" w:rsidR="002F18BE" w:rsidRPr="00376DC2" w:rsidRDefault="002F18BE" w:rsidP="00DD0797">
            <w:pPr>
              <w:jc w:val="center"/>
              <w:rPr>
                <w:rFonts w:cstheme="minorHAnsi"/>
                <w:sz w:val="18"/>
                <w:szCs w:val="18"/>
              </w:rPr>
            </w:pPr>
          </w:p>
        </w:tc>
        <w:tc>
          <w:tcPr>
            <w:tcW w:w="1728" w:type="dxa"/>
            <w:tcBorders>
              <w:bottom w:val="single" w:sz="4" w:space="0" w:color="auto"/>
            </w:tcBorders>
            <w:shd w:val="clear" w:color="auto" w:fill="DEEAF6" w:themeFill="accent1" w:themeFillTint="33"/>
            <w:vAlign w:val="center"/>
          </w:tcPr>
          <w:p w14:paraId="20094E68" w14:textId="575C9ADD" w:rsidR="002F18BE" w:rsidRPr="00376DC2" w:rsidRDefault="002F18BE" w:rsidP="00DD0797">
            <w:pPr>
              <w:jc w:val="center"/>
              <w:rPr>
                <w:rFonts w:cstheme="minorHAnsi"/>
                <w:sz w:val="18"/>
                <w:szCs w:val="18"/>
              </w:rPr>
            </w:pPr>
          </w:p>
        </w:tc>
        <w:tc>
          <w:tcPr>
            <w:tcW w:w="1728" w:type="dxa"/>
            <w:shd w:val="clear" w:color="auto" w:fill="DEEAF6" w:themeFill="accent1" w:themeFillTint="33"/>
            <w:vAlign w:val="center"/>
          </w:tcPr>
          <w:p w14:paraId="1A6E7EEE" w14:textId="4F47CC9F" w:rsidR="002F18BE" w:rsidRPr="00376DC2" w:rsidRDefault="002F18BE" w:rsidP="00DD0797">
            <w:pPr>
              <w:jc w:val="center"/>
              <w:rPr>
                <w:rFonts w:cstheme="minorHAnsi"/>
                <w:sz w:val="18"/>
                <w:szCs w:val="18"/>
              </w:rPr>
            </w:pPr>
          </w:p>
        </w:tc>
        <w:tc>
          <w:tcPr>
            <w:tcW w:w="1728" w:type="dxa"/>
            <w:shd w:val="clear" w:color="auto" w:fill="DEEAF6" w:themeFill="accent1" w:themeFillTint="33"/>
            <w:vAlign w:val="center"/>
          </w:tcPr>
          <w:p w14:paraId="7A23ACCC" w14:textId="77777777" w:rsidR="002F18BE" w:rsidRPr="00376DC2" w:rsidRDefault="002F18BE" w:rsidP="003E28ED">
            <w:pPr>
              <w:jc w:val="center"/>
              <w:rPr>
                <w:rFonts w:cstheme="minorHAnsi"/>
                <w:sz w:val="18"/>
                <w:szCs w:val="18"/>
              </w:rPr>
            </w:pPr>
          </w:p>
        </w:tc>
        <w:tc>
          <w:tcPr>
            <w:tcW w:w="1728" w:type="dxa"/>
            <w:shd w:val="clear" w:color="auto" w:fill="DEEAF6" w:themeFill="accent1" w:themeFillTint="33"/>
            <w:vAlign w:val="center"/>
          </w:tcPr>
          <w:p w14:paraId="46165155" w14:textId="7EA424C6" w:rsidR="002F18BE" w:rsidRPr="00376DC2" w:rsidRDefault="002F18BE" w:rsidP="00DD0797">
            <w:pPr>
              <w:jc w:val="center"/>
              <w:rPr>
                <w:rFonts w:cstheme="minorHAnsi"/>
                <w:sz w:val="18"/>
                <w:szCs w:val="18"/>
              </w:rPr>
            </w:pPr>
          </w:p>
        </w:tc>
      </w:tr>
      <w:tr w:rsidR="002F18BE" w:rsidRPr="00376DC2" w14:paraId="587D3AC8" w14:textId="77777777" w:rsidTr="129406F0">
        <w:tc>
          <w:tcPr>
            <w:tcW w:w="1165" w:type="dxa"/>
            <w:vMerge w:val="restart"/>
            <w:vAlign w:val="center"/>
          </w:tcPr>
          <w:p w14:paraId="3F6AF5EF" w14:textId="38D1194E" w:rsidR="004E06FA" w:rsidRPr="00376DC2" w:rsidRDefault="129406F0" w:rsidP="129406F0">
            <w:pPr>
              <w:rPr>
                <w:rFonts w:eastAsia="Calibri"/>
                <w:sz w:val="18"/>
                <w:szCs w:val="18"/>
                <w:vertAlign w:val="superscript"/>
              </w:rPr>
            </w:pPr>
            <w:r w:rsidRPr="00376DC2">
              <w:rPr>
                <w:sz w:val="18"/>
                <w:szCs w:val="18"/>
              </w:rPr>
              <w:t xml:space="preserve">Conditions de risque supplémentaires </w:t>
            </w:r>
            <w:r w:rsidR="00C53E7A">
              <w:rPr>
                <w:sz w:val="18"/>
                <w:szCs w:val="18"/>
              </w:rPr>
              <w:t>d’IIP</w:t>
            </w:r>
            <w:r w:rsidR="03556958" w:rsidRPr="00376DC2">
              <w:rPr>
                <w:sz w:val="18"/>
                <w:szCs w:val="18"/>
              </w:rPr>
              <w:t xml:space="preserve"> </w:t>
            </w:r>
            <w:r w:rsidR="309D8DD8" w:rsidRPr="00376DC2">
              <w:rPr>
                <w:sz w:val="18"/>
                <w:szCs w:val="18"/>
                <w:vertAlign w:val="superscript"/>
              </w:rPr>
              <w:t>b</w:t>
            </w:r>
          </w:p>
        </w:tc>
        <w:tc>
          <w:tcPr>
            <w:tcW w:w="1296" w:type="dxa"/>
            <w:tcBorders>
              <w:right w:val="single" w:sz="4" w:space="0" w:color="auto"/>
            </w:tcBorders>
            <w:vAlign w:val="center"/>
          </w:tcPr>
          <w:p w14:paraId="262A94EB" w14:textId="77777777" w:rsidR="004E06FA" w:rsidRPr="00376DC2" w:rsidRDefault="00610FC2">
            <w:pPr>
              <w:jc w:val="center"/>
              <w:rPr>
                <w:rFonts w:cstheme="minorHAnsi"/>
                <w:sz w:val="18"/>
                <w:szCs w:val="18"/>
              </w:rPr>
            </w:pPr>
            <w:r w:rsidRPr="00376DC2">
              <w:rPr>
                <w:rFonts w:eastAsia="Calibri" w:cstheme="minorHAnsi"/>
                <w:sz w:val="18"/>
                <w:szCs w:val="18"/>
              </w:rPr>
              <w:t>Aucun</w:t>
            </w:r>
          </w:p>
        </w:tc>
        <w:tc>
          <w:tcPr>
            <w:tcW w:w="1728" w:type="dxa"/>
            <w:tcBorders>
              <w:top w:val="single" w:sz="4" w:space="0" w:color="auto"/>
              <w:left w:val="single" w:sz="4" w:space="0" w:color="auto"/>
              <w:bottom w:val="single" w:sz="4" w:space="0" w:color="auto"/>
              <w:right w:val="single" w:sz="4" w:space="0" w:color="auto"/>
            </w:tcBorders>
            <w:vAlign w:val="center"/>
          </w:tcPr>
          <w:p w14:paraId="2F2FA8FD" w14:textId="037D3453" w:rsidR="004E06FA" w:rsidRPr="00376DC2" w:rsidRDefault="00610FC2">
            <w:pPr>
              <w:jc w:val="center"/>
              <w:rPr>
                <w:rFonts w:eastAsia="Calibri"/>
                <w:sz w:val="18"/>
                <w:szCs w:val="18"/>
              </w:rPr>
            </w:pPr>
            <w:r w:rsidRPr="00376DC2">
              <w:rPr>
                <w:sz w:val="18"/>
                <w:szCs w:val="18"/>
              </w:rPr>
              <w:t xml:space="preserve">3 doses de </w:t>
            </w:r>
            <w:r w:rsidR="002F18BE" w:rsidRPr="00376DC2">
              <w:rPr>
                <w:sz w:val="18"/>
                <w:szCs w:val="18"/>
              </w:rPr>
              <w:t xml:space="preserve">PNEU-C-20 </w:t>
            </w:r>
            <w:r w:rsidR="00BF5BD6" w:rsidRPr="00376DC2">
              <w:rPr>
                <w:sz w:val="18"/>
                <w:szCs w:val="18"/>
              </w:rPr>
              <w:t xml:space="preserve">à 2, 4 et 6 mois </w:t>
            </w:r>
            <w:r w:rsidR="002F18BE" w:rsidRPr="00376DC2">
              <w:rPr>
                <w:sz w:val="18"/>
                <w:szCs w:val="18"/>
              </w:rPr>
              <w:t xml:space="preserve">+ 1 dose de PNEU-C-20 à l'âge de 12 à 15 mois </w:t>
            </w:r>
          </w:p>
        </w:tc>
        <w:tc>
          <w:tcPr>
            <w:tcW w:w="1728" w:type="dxa"/>
            <w:tcBorders>
              <w:top w:val="single" w:sz="4" w:space="0" w:color="auto"/>
              <w:left w:val="single" w:sz="4" w:space="0" w:color="auto"/>
              <w:bottom w:val="single" w:sz="4" w:space="0" w:color="auto"/>
              <w:right w:val="single" w:sz="4" w:space="0" w:color="auto"/>
            </w:tcBorders>
            <w:vAlign w:val="center"/>
          </w:tcPr>
          <w:p w14:paraId="79D55312" w14:textId="77777777" w:rsidR="004E06FA" w:rsidRPr="00376DC2" w:rsidRDefault="00610FC2">
            <w:pPr>
              <w:jc w:val="center"/>
              <w:rPr>
                <w:rFonts w:eastAsia="Calibri" w:cstheme="minorHAnsi"/>
                <w:sz w:val="18"/>
                <w:szCs w:val="18"/>
              </w:rPr>
            </w:pPr>
            <w:r w:rsidRPr="00376DC2">
              <w:rPr>
                <w:sz w:val="18"/>
                <w:szCs w:val="18"/>
              </w:rPr>
              <w:t xml:space="preserve">2 doses de PNEU-C-20 + 1 dose de PNEU-C-20 à l'âge de 12 </w:t>
            </w:r>
            <w:r w:rsidR="00DB34FC" w:rsidRPr="00376DC2">
              <w:rPr>
                <w:sz w:val="18"/>
                <w:szCs w:val="18"/>
              </w:rPr>
              <w:t xml:space="preserve">à </w:t>
            </w:r>
            <w:r w:rsidRPr="00376DC2">
              <w:rPr>
                <w:sz w:val="18"/>
                <w:szCs w:val="18"/>
              </w:rPr>
              <w:t>15 mois</w:t>
            </w:r>
          </w:p>
        </w:tc>
        <w:tc>
          <w:tcPr>
            <w:tcW w:w="1728" w:type="dxa"/>
            <w:tcBorders>
              <w:left w:val="single" w:sz="4" w:space="0" w:color="auto"/>
            </w:tcBorders>
            <w:vAlign w:val="center"/>
          </w:tcPr>
          <w:p w14:paraId="0E86CC40" w14:textId="77777777" w:rsidR="004E06FA" w:rsidRPr="00376DC2" w:rsidRDefault="00610FC2">
            <w:pPr>
              <w:jc w:val="center"/>
              <w:rPr>
                <w:rFonts w:eastAsia="Calibri" w:cstheme="minorHAnsi"/>
                <w:sz w:val="18"/>
                <w:szCs w:val="18"/>
              </w:rPr>
            </w:pPr>
            <w:r w:rsidRPr="00376DC2">
              <w:rPr>
                <w:sz w:val="18"/>
                <w:szCs w:val="18"/>
              </w:rPr>
              <w:t>2 doses de PNEU-C-20</w:t>
            </w:r>
          </w:p>
        </w:tc>
        <w:tc>
          <w:tcPr>
            <w:tcW w:w="1728" w:type="dxa"/>
            <w:vAlign w:val="center"/>
          </w:tcPr>
          <w:p w14:paraId="0D8459F2" w14:textId="77777777" w:rsidR="004E06FA" w:rsidRPr="00376DC2" w:rsidRDefault="00610FC2">
            <w:pPr>
              <w:jc w:val="center"/>
              <w:rPr>
                <w:sz w:val="18"/>
                <w:szCs w:val="18"/>
              </w:rPr>
            </w:pPr>
            <w:r w:rsidRPr="00376DC2">
              <w:rPr>
                <w:sz w:val="18"/>
                <w:szCs w:val="18"/>
              </w:rPr>
              <w:t>1 dose de PNEU-C-20</w:t>
            </w:r>
          </w:p>
        </w:tc>
        <w:tc>
          <w:tcPr>
            <w:tcW w:w="1728" w:type="dxa"/>
            <w:vAlign w:val="center"/>
          </w:tcPr>
          <w:p w14:paraId="6CF9B4FE" w14:textId="296C05E2" w:rsidR="004E06FA" w:rsidRPr="00376DC2" w:rsidRDefault="00610FC2">
            <w:pPr>
              <w:jc w:val="center"/>
              <w:rPr>
                <w:rFonts w:eastAsia="Calibri" w:cstheme="minorHAnsi"/>
                <w:sz w:val="18"/>
                <w:szCs w:val="18"/>
              </w:rPr>
            </w:pPr>
            <w:r w:rsidRPr="00376DC2">
              <w:rPr>
                <w:sz w:val="18"/>
                <w:szCs w:val="18"/>
              </w:rPr>
              <w:t>1</w:t>
            </w:r>
            <w:r w:rsidR="002D73C0" w:rsidRPr="00376DC2">
              <w:rPr>
                <w:sz w:val="18"/>
                <w:szCs w:val="18"/>
              </w:rPr>
              <w:t xml:space="preserve"> </w:t>
            </w:r>
            <w:r w:rsidRPr="00376DC2">
              <w:rPr>
                <w:sz w:val="18"/>
                <w:szCs w:val="18"/>
              </w:rPr>
              <w:t>dose de PNEU-C-20</w:t>
            </w:r>
          </w:p>
        </w:tc>
      </w:tr>
      <w:tr w:rsidR="002F18BE" w:rsidRPr="00376DC2" w14:paraId="512E41F1" w14:textId="77777777" w:rsidTr="129406F0">
        <w:tc>
          <w:tcPr>
            <w:tcW w:w="1165" w:type="dxa"/>
            <w:vMerge/>
            <w:vAlign w:val="center"/>
          </w:tcPr>
          <w:p w14:paraId="5744F521" w14:textId="2513850D" w:rsidR="002F18BE" w:rsidRPr="00376DC2" w:rsidRDefault="002F18BE" w:rsidP="00C053F7">
            <w:pPr>
              <w:rPr>
                <w:rFonts w:cstheme="minorHAnsi"/>
                <w:sz w:val="18"/>
                <w:szCs w:val="18"/>
              </w:rPr>
            </w:pPr>
          </w:p>
        </w:tc>
        <w:tc>
          <w:tcPr>
            <w:tcW w:w="1296" w:type="dxa"/>
            <w:tcBorders>
              <w:right w:val="single" w:sz="4" w:space="0" w:color="auto"/>
            </w:tcBorders>
            <w:vAlign w:val="center"/>
          </w:tcPr>
          <w:p w14:paraId="56FE36F1" w14:textId="77777777" w:rsidR="004E06FA" w:rsidRPr="00376DC2" w:rsidRDefault="00610FC2">
            <w:pPr>
              <w:jc w:val="center"/>
              <w:rPr>
                <w:rFonts w:eastAsia="Calibri" w:cstheme="minorHAnsi"/>
                <w:sz w:val="18"/>
                <w:szCs w:val="18"/>
              </w:rPr>
            </w:pPr>
            <w:r w:rsidRPr="00376DC2">
              <w:rPr>
                <w:rFonts w:eastAsia="Calibri" w:cstheme="minorHAnsi"/>
                <w:sz w:val="18"/>
                <w:szCs w:val="18"/>
              </w:rPr>
              <w:t xml:space="preserve">1 dose de </w:t>
            </w:r>
          </w:p>
          <w:p w14:paraId="09E459A1" w14:textId="77777777" w:rsidR="004E06FA" w:rsidRPr="00376DC2" w:rsidRDefault="00610FC2">
            <w:pPr>
              <w:jc w:val="center"/>
              <w:rPr>
                <w:rFonts w:cstheme="minorHAnsi"/>
                <w:sz w:val="18"/>
                <w:szCs w:val="18"/>
              </w:rPr>
            </w:pPr>
            <w:r w:rsidRPr="00376DC2">
              <w:rPr>
                <w:rFonts w:eastAsia="Calibri" w:cstheme="minorHAnsi"/>
                <w:sz w:val="18"/>
                <w:szCs w:val="18"/>
              </w:rPr>
              <w:t>PNEU-C-13</w:t>
            </w:r>
          </w:p>
        </w:tc>
        <w:tc>
          <w:tcPr>
            <w:tcW w:w="1728" w:type="dxa"/>
            <w:tcBorders>
              <w:top w:val="single" w:sz="4" w:space="0" w:color="auto"/>
              <w:left w:val="single" w:sz="4" w:space="0" w:color="auto"/>
              <w:bottom w:val="single" w:sz="4" w:space="0" w:color="auto"/>
              <w:right w:val="single" w:sz="4" w:space="0" w:color="auto"/>
            </w:tcBorders>
            <w:vAlign w:val="center"/>
          </w:tcPr>
          <w:p w14:paraId="7969B70E" w14:textId="77777777" w:rsidR="004E06FA" w:rsidRPr="00376DC2" w:rsidRDefault="00610FC2">
            <w:pPr>
              <w:autoSpaceDE w:val="0"/>
              <w:autoSpaceDN w:val="0"/>
              <w:adjustRightInd w:val="0"/>
              <w:jc w:val="center"/>
              <w:rPr>
                <w:rFonts w:eastAsia="Calibri" w:cstheme="minorHAnsi"/>
                <w:sz w:val="18"/>
                <w:szCs w:val="18"/>
              </w:rPr>
            </w:pPr>
            <w:r w:rsidRPr="00376DC2">
              <w:rPr>
                <w:sz w:val="18"/>
                <w:szCs w:val="18"/>
              </w:rPr>
              <w:t>2 doses de PNEU-C-20 + 1 dose de PNEU-C-20 à l'âge de 12 à 15 mois</w:t>
            </w:r>
          </w:p>
        </w:tc>
        <w:tc>
          <w:tcPr>
            <w:tcW w:w="1728" w:type="dxa"/>
            <w:tcBorders>
              <w:top w:val="single" w:sz="4" w:space="0" w:color="auto"/>
              <w:left w:val="single" w:sz="4" w:space="0" w:color="auto"/>
              <w:bottom w:val="single" w:sz="4" w:space="0" w:color="auto"/>
              <w:right w:val="single" w:sz="4" w:space="0" w:color="auto"/>
            </w:tcBorders>
            <w:vAlign w:val="center"/>
          </w:tcPr>
          <w:p w14:paraId="3B1CCC62" w14:textId="77777777" w:rsidR="004E06FA" w:rsidRPr="00376DC2" w:rsidRDefault="00610FC2">
            <w:pPr>
              <w:autoSpaceDE w:val="0"/>
              <w:autoSpaceDN w:val="0"/>
              <w:adjustRightInd w:val="0"/>
              <w:jc w:val="center"/>
              <w:rPr>
                <w:rFonts w:eastAsia="Calibri"/>
                <w:sz w:val="18"/>
                <w:szCs w:val="18"/>
              </w:rPr>
            </w:pPr>
            <w:r w:rsidRPr="00376DC2">
              <w:rPr>
                <w:sz w:val="18"/>
                <w:szCs w:val="18"/>
              </w:rPr>
              <w:t xml:space="preserve">1 dose de PNEU-C-20 </w:t>
            </w:r>
            <w:r w:rsidR="71E47092" w:rsidRPr="00376DC2">
              <w:rPr>
                <w:sz w:val="18"/>
                <w:szCs w:val="18"/>
              </w:rPr>
              <w:t xml:space="preserve">+ </w:t>
            </w:r>
            <w:r w:rsidRPr="00376DC2">
              <w:rPr>
                <w:sz w:val="18"/>
                <w:szCs w:val="18"/>
              </w:rPr>
              <w:t>1 dose de PNEU-C-20 à l'âge de 12 à 15 mois</w:t>
            </w:r>
          </w:p>
        </w:tc>
        <w:tc>
          <w:tcPr>
            <w:tcW w:w="1728" w:type="dxa"/>
            <w:tcBorders>
              <w:left w:val="single" w:sz="4" w:space="0" w:color="auto"/>
            </w:tcBorders>
            <w:vAlign w:val="center"/>
          </w:tcPr>
          <w:p w14:paraId="35BB7D37" w14:textId="77777777" w:rsidR="004E06FA" w:rsidRPr="00376DC2" w:rsidRDefault="00610FC2">
            <w:pPr>
              <w:autoSpaceDE w:val="0"/>
              <w:autoSpaceDN w:val="0"/>
              <w:adjustRightInd w:val="0"/>
              <w:jc w:val="center"/>
              <w:rPr>
                <w:rFonts w:eastAsia="Calibri"/>
                <w:sz w:val="18"/>
                <w:szCs w:val="18"/>
              </w:rPr>
            </w:pPr>
            <w:r w:rsidRPr="00376DC2">
              <w:rPr>
                <w:sz w:val="18"/>
                <w:szCs w:val="18"/>
              </w:rPr>
              <w:t xml:space="preserve">2 doses de PNEU-C-20 si la dose de PNEU-C-13 a été </w:t>
            </w:r>
            <w:r w:rsidRPr="00376DC2">
              <w:rPr>
                <w:sz w:val="18"/>
                <w:szCs w:val="18"/>
              </w:rPr>
              <w:lastRenderedPageBreak/>
              <w:t xml:space="preserve">reçue avant l'âge de 12 mois </w:t>
            </w:r>
          </w:p>
          <w:p w14:paraId="6F3288F5" w14:textId="77777777" w:rsidR="004E06FA" w:rsidRPr="00376DC2" w:rsidRDefault="00610FC2">
            <w:pPr>
              <w:autoSpaceDE w:val="0"/>
              <w:autoSpaceDN w:val="0"/>
              <w:adjustRightInd w:val="0"/>
              <w:jc w:val="center"/>
              <w:rPr>
                <w:rFonts w:eastAsia="Calibri"/>
                <w:sz w:val="18"/>
                <w:szCs w:val="18"/>
              </w:rPr>
            </w:pPr>
            <w:r w:rsidRPr="00376DC2">
              <w:rPr>
                <w:sz w:val="18"/>
                <w:szCs w:val="18"/>
              </w:rPr>
              <w:t>OU</w:t>
            </w:r>
          </w:p>
          <w:p w14:paraId="1581F7DA" w14:textId="50A26510" w:rsidR="002F18BE" w:rsidRPr="00376DC2" w:rsidRDefault="00610FC2" w:rsidP="001637A3">
            <w:pPr>
              <w:autoSpaceDE w:val="0"/>
              <w:autoSpaceDN w:val="0"/>
              <w:adjustRightInd w:val="0"/>
              <w:jc w:val="center"/>
              <w:rPr>
                <w:sz w:val="18"/>
                <w:szCs w:val="18"/>
              </w:rPr>
            </w:pPr>
            <w:r w:rsidRPr="00376DC2">
              <w:rPr>
                <w:sz w:val="18"/>
                <w:szCs w:val="18"/>
              </w:rPr>
              <w:t xml:space="preserve">1 dose de PNEU-C-20 </w:t>
            </w:r>
            <w:r w:rsidR="2C747CBD" w:rsidRPr="00376DC2">
              <w:rPr>
                <w:sz w:val="18"/>
                <w:szCs w:val="18"/>
              </w:rPr>
              <w:t xml:space="preserve">si la dose de PNEU-C-13 </w:t>
            </w:r>
            <w:r w:rsidR="295D6ED0" w:rsidRPr="00376DC2">
              <w:rPr>
                <w:sz w:val="18"/>
                <w:szCs w:val="18"/>
              </w:rPr>
              <w:t xml:space="preserve">a été </w:t>
            </w:r>
            <w:r w:rsidR="2C747CBD" w:rsidRPr="00376DC2">
              <w:rPr>
                <w:sz w:val="18"/>
                <w:szCs w:val="18"/>
              </w:rPr>
              <w:t>reçue à l'âge de 12 mois ou plus</w:t>
            </w:r>
          </w:p>
        </w:tc>
        <w:tc>
          <w:tcPr>
            <w:tcW w:w="1728" w:type="dxa"/>
            <w:vAlign w:val="center"/>
          </w:tcPr>
          <w:p w14:paraId="33100C19" w14:textId="77777777" w:rsidR="004E06FA" w:rsidRPr="00376DC2" w:rsidRDefault="00610FC2">
            <w:pPr>
              <w:autoSpaceDE w:val="0"/>
              <w:autoSpaceDN w:val="0"/>
              <w:adjustRightInd w:val="0"/>
              <w:jc w:val="center"/>
              <w:rPr>
                <w:sz w:val="18"/>
                <w:szCs w:val="18"/>
              </w:rPr>
            </w:pPr>
            <w:r w:rsidRPr="00376DC2">
              <w:rPr>
                <w:sz w:val="18"/>
                <w:szCs w:val="18"/>
              </w:rPr>
              <w:lastRenderedPageBreak/>
              <w:t>1 dose de PNEU-C-20</w:t>
            </w:r>
          </w:p>
        </w:tc>
        <w:tc>
          <w:tcPr>
            <w:tcW w:w="1728" w:type="dxa"/>
            <w:vAlign w:val="center"/>
          </w:tcPr>
          <w:p w14:paraId="205A9DDF" w14:textId="77777777" w:rsidR="004E06FA" w:rsidRPr="00376DC2" w:rsidRDefault="00610FC2">
            <w:pPr>
              <w:autoSpaceDE w:val="0"/>
              <w:autoSpaceDN w:val="0"/>
              <w:adjustRightInd w:val="0"/>
              <w:jc w:val="center"/>
              <w:rPr>
                <w:rFonts w:eastAsia="Calibri" w:cstheme="minorHAnsi"/>
                <w:sz w:val="18"/>
                <w:szCs w:val="18"/>
              </w:rPr>
            </w:pPr>
            <w:r w:rsidRPr="00376DC2">
              <w:rPr>
                <w:sz w:val="18"/>
                <w:szCs w:val="18"/>
              </w:rPr>
              <w:t>1 dose de PNEU-C-20</w:t>
            </w:r>
          </w:p>
        </w:tc>
      </w:tr>
      <w:tr w:rsidR="002F18BE" w:rsidRPr="00376DC2" w14:paraId="7E297475" w14:textId="77777777" w:rsidTr="129406F0">
        <w:tc>
          <w:tcPr>
            <w:tcW w:w="1165" w:type="dxa"/>
            <w:vMerge/>
            <w:vAlign w:val="center"/>
          </w:tcPr>
          <w:p w14:paraId="32A04965" w14:textId="68918998" w:rsidR="002F18BE" w:rsidRPr="00376DC2" w:rsidRDefault="002F18BE" w:rsidP="00C053F7">
            <w:pPr>
              <w:rPr>
                <w:rFonts w:cstheme="minorHAnsi"/>
                <w:sz w:val="18"/>
                <w:szCs w:val="18"/>
              </w:rPr>
            </w:pPr>
          </w:p>
        </w:tc>
        <w:tc>
          <w:tcPr>
            <w:tcW w:w="1296" w:type="dxa"/>
            <w:tcBorders>
              <w:right w:val="single" w:sz="4" w:space="0" w:color="auto"/>
            </w:tcBorders>
            <w:vAlign w:val="center"/>
          </w:tcPr>
          <w:p w14:paraId="7999A26A" w14:textId="77777777" w:rsidR="004E06FA" w:rsidRPr="00376DC2" w:rsidRDefault="00610FC2">
            <w:pPr>
              <w:autoSpaceDE w:val="0"/>
              <w:autoSpaceDN w:val="0"/>
              <w:adjustRightInd w:val="0"/>
              <w:spacing w:line="276" w:lineRule="auto"/>
              <w:jc w:val="center"/>
              <w:rPr>
                <w:rFonts w:eastAsia="Calibri" w:cstheme="minorHAnsi"/>
                <w:sz w:val="18"/>
                <w:szCs w:val="18"/>
              </w:rPr>
            </w:pPr>
            <w:r w:rsidRPr="00376DC2">
              <w:rPr>
                <w:rFonts w:eastAsia="Calibri" w:cstheme="minorHAnsi"/>
                <w:sz w:val="18"/>
                <w:szCs w:val="18"/>
              </w:rPr>
              <w:t>2 doses de PNEU-C-13</w:t>
            </w:r>
          </w:p>
        </w:tc>
        <w:tc>
          <w:tcPr>
            <w:tcW w:w="1728" w:type="dxa"/>
            <w:tcBorders>
              <w:top w:val="single" w:sz="4" w:space="0" w:color="auto"/>
              <w:left w:val="single" w:sz="4" w:space="0" w:color="auto"/>
              <w:bottom w:val="single" w:sz="4" w:space="0" w:color="auto"/>
              <w:right w:val="single" w:sz="4" w:space="0" w:color="auto"/>
            </w:tcBorders>
            <w:vAlign w:val="center"/>
          </w:tcPr>
          <w:p w14:paraId="4A4EA8C4" w14:textId="77777777" w:rsidR="004E06FA" w:rsidRPr="00376DC2" w:rsidRDefault="00610FC2">
            <w:pPr>
              <w:autoSpaceDE w:val="0"/>
              <w:autoSpaceDN w:val="0"/>
              <w:adjustRightInd w:val="0"/>
              <w:jc w:val="center"/>
              <w:rPr>
                <w:rFonts w:eastAsia="Calibri" w:cstheme="minorHAnsi"/>
                <w:sz w:val="18"/>
                <w:szCs w:val="18"/>
              </w:rPr>
            </w:pPr>
            <w:r w:rsidRPr="00376DC2">
              <w:rPr>
                <w:sz w:val="18"/>
                <w:szCs w:val="18"/>
              </w:rPr>
              <w:t>1 dose de PNEU-C-20 + 1 dose de PNEU-C-20 à l'âge de 12 à 15 mois</w:t>
            </w:r>
          </w:p>
        </w:tc>
        <w:tc>
          <w:tcPr>
            <w:tcW w:w="1728" w:type="dxa"/>
            <w:tcBorders>
              <w:top w:val="single" w:sz="4" w:space="0" w:color="auto"/>
              <w:left w:val="single" w:sz="4" w:space="0" w:color="auto"/>
              <w:bottom w:val="single" w:sz="4" w:space="0" w:color="auto"/>
              <w:right w:val="single" w:sz="4" w:space="0" w:color="auto"/>
            </w:tcBorders>
            <w:vAlign w:val="center"/>
          </w:tcPr>
          <w:p w14:paraId="77084F1D" w14:textId="77777777" w:rsidR="004E06FA" w:rsidRPr="00376DC2" w:rsidRDefault="00610FC2">
            <w:pPr>
              <w:autoSpaceDE w:val="0"/>
              <w:autoSpaceDN w:val="0"/>
              <w:adjustRightInd w:val="0"/>
              <w:jc w:val="center"/>
              <w:rPr>
                <w:rFonts w:eastAsia="Calibri" w:cstheme="minorHAnsi"/>
                <w:sz w:val="18"/>
                <w:szCs w:val="18"/>
              </w:rPr>
            </w:pPr>
            <w:r w:rsidRPr="00376DC2">
              <w:rPr>
                <w:sz w:val="18"/>
                <w:szCs w:val="18"/>
              </w:rPr>
              <w:t xml:space="preserve">1 dose </w:t>
            </w:r>
            <w:r w:rsidR="00ED3FC0" w:rsidRPr="00376DC2">
              <w:rPr>
                <w:sz w:val="18"/>
                <w:szCs w:val="18"/>
              </w:rPr>
              <w:t xml:space="preserve">de PNEU-C-20 </w:t>
            </w:r>
            <w:r w:rsidRPr="00376DC2">
              <w:rPr>
                <w:sz w:val="18"/>
                <w:szCs w:val="18"/>
              </w:rPr>
              <w:t>à l'âge de 12 à 15 mois</w:t>
            </w:r>
          </w:p>
        </w:tc>
        <w:tc>
          <w:tcPr>
            <w:tcW w:w="1728" w:type="dxa"/>
            <w:tcBorders>
              <w:left w:val="single" w:sz="4" w:space="0" w:color="auto"/>
            </w:tcBorders>
            <w:vAlign w:val="center"/>
          </w:tcPr>
          <w:p w14:paraId="14DF2CBD" w14:textId="77777777" w:rsidR="004E06FA" w:rsidRPr="00376DC2" w:rsidRDefault="00610FC2">
            <w:pPr>
              <w:autoSpaceDE w:val="0"/>
              <w:autoSpaceDN w:val="0"/>
              <w:adjustRightInd w:val="0"/>
              <w:jc w:val="center"/>
              <w:rPr>
                <w:rFonts w:eastAsia="Calibri"/>
                <w:sz w:val="18"/>
                <w:szCs w:val="18"/>
              </w:rPr>
            </w:pPr>
            <w:r w:rsidRPr="00376DC2">
              <w:rPr>
                <w:rFonts w:eastAsia="Calibri"/>
                <w:sz w:val="18"/>
                <w:szCs w:val="18"/>
              </w:rPr>
              <w:t>1 dose de PNEU-C-20</w:t>
            </w:r>
          </w:p>
        </w:tc>
        <w:tc>
          <w:tcPr>
            <w:tcW w:w="1728" w:type="dxa"/>
            <w:vAlign w:val="center"/>
          </w:tcPr>
          <w:p w14:paraId="5387354E" w14:textId="77777777" w:rsidR="004E06FA" w:rsidRPr="00376DC2" w:rsidRDefault="00610FC2">
            <w:pPr>
              <w:autoSpaceDE w:val="0"/>
              <w:autoSpaceDN w:val="0"/>
              <w:adjustRightInd w:val="0"/>
              <w:jc w:val="center"/>
              <w:rPr>
                <w:sz w:val="18"/>
                <w:szCs w:val="18"/>
              </w:rPr>
            </w:pPr>
            <w:r w:rsidRPr="00376DC2">
              <w:rPr>
                <w:sz w:val="18"/>
                <w:szCs w:val="18"/>
              </w:rPr>
              <w:t>1 dose de PNEU-C-20</w:t>
            </w:r>
          </w:p>
        </w:tc>
        <w:tc>
          <w:tcPr>
            <w:tcW w:w="1728" w:type="dxa"/>
            <w:vAlign w:val="center"/>
          </w:tcPr>
          <w:p w14:paraId="27BB29EE" w14:textId="77777777" w:rsidR="004E06FA" w:rsidRPr="00376DC2" w:rsidRDefault="00610FC2">
            <w:pPr>
              <w:autoSpaceDE w:val="0"/>
              <w:autoSpaceDN w:val="0"/>
              <w:adjustRightInd w:val="0"/>
              <w:jc w:val="center"/>
              <w:rPr>
                <w:rFonts w:eastAsia="Calibri" w:cstheme="minorHAnsi"/>
                <w:sz w:val="18"/>
                <w:szCs w:val="18"/>
              </w:rPr>
            </w:pPr>
            <w:r w:rsidRPr="00376DC2">
              <w:rPr>
                <w:sz w:val="18"/>
                <w:szCs w:val="18"/>
              </w:rPr>
              <w:t>1 dose de PNEU-C-20</w:t>
            </w:r>
          </w:p>
        </w:tc>
      </w:tr>
      <w:tr w:rsidR="002F18BE" w:rsidRPr="00376DC2" w14:paraId="7606C743" w14:textId="77777777" w:rsidTr="129406F0">
        <w:tc>
          <w:tcPr>
            <w:tcW w:w="1165" w:type="dxa"/>
            <w:vMerge/>
            <w:vAlign w:val="center"/>
          </w:tcPr>
          <w:p w14:paraId="76A48A0C" w14:textId="58C88D2B" w:rsidR="002F18BE" w:rsidRPr="00376DC2" w:rsidRDefault="002F18BE" w:rsidP="00C053F7">
            <w:pPr>
              <w:rPr>
                <w:rFonts w:cstheme="minorHAnsi"/>
                <w:sz w:val="18"/>
                <w:szCs w:val="18"/>
              </w:rPr>
            </w:pPr>
          </w:p>
        </w:tc>
        <w:tc>
          <w:tcPr>
            <w:tcW w:w="1296" w:type="dxa"/>
            <w:vAlign w:val="center"/>
          </w:tcPr>
          <w:p w14:paraId="7CC771D6" w14:textId="77777777" w:rsidR="004E06FA" w:rsidRPr="00376DC2" w:rsidRDefault="00610FC2">
            <w:pPr>
              <w:jc w:val="center"/>
              <w:rPr>
                <w:rFonts w:eastAsia="Calibri"/>
                <w:sz w:val="18"/>
                <w:szCs w:val="18"/>
              </w:rPr>
            </w:pPr>
            <w:r w:rsidRPr="00376DC2">
              <w:rPr>
                <w:rFonts w:eastAsia="Calibri"/>
                <w:sz w:val="18"/>
                <w:szCs w:val="18"/>
              </w:rPr>
              <w:t xml:space="preserve">3 doses de </w:t>
            </w:r>
            <w:r w:rsidR="4ECF6497" w:rsidRPr="00376DC2">
              <w:rPr>
                <w:rFonts w:eastAsia="Calibri"/>
                <w:sz w:val="18"/>
                <w:szCs w:val="18"/>
              </w:rPr>
              <w:t xml:space="preserve">PNEU-C-13 </w:t>
            </w:r>
          </w:p>
        </w:tc>
        <w:tc>
          <w:tcPr>
            <w:tcW w:w="1728" w:type="dxa"/>
            <w:tcBorders>
              <w:top w:val="single" w:sz="4" w:space="0" w:color="auto"/>
            </w:tcBorders>
            <w:shd w:val="clear" w:color="auto" w:fill="FFFFFF" w:themeFill="background1"/>
            <w:vAlign w:val="center"/>
          </w:tcPr>
          <w:p w14:paraId="74D9498C" w14:textId="6FDE657E" w:rsidR="002F18BE" w:rsidRPr="00376DC2" w:rsidRDefault="00610FC2" w:rsidP="00EF4284">
            <w:pPr>
              <w:autoSpaceDE w:val="0"/>
              <w:autoSpaceDN w:val="0"/>
              <w:adjustRightInd w:val="0"/>
              <w:jc w:val="center"/>
              <w:rPr>
                <w:rFonts w:eastAsia="Calibri"/>
                <w:sz w:val="18"/>
                <w:szCs w:val="18"/>
              </w:rPr>
            </w:pPr>
            <w:r w:rsidRPr="00376DC2">
              <w:rPr>
                <w:rFonts w:eastAsia="Calibri"/>
                <w:sz w:val="18"/>
                <w:szCs w:val="18"/>
              </w:rPr>
              <w:t xml:space="preserve"> 1 dose de PNEU-C-20</w:t>
            </w:r>
            <w:r w:rsidRPr="00376DC2">
              <w:rPr>
                <w:rFonts w:eastAsia="Calibri"/>
                <w:sz w:val="18"/>
                <w:szCs w:val="18"/>
                <w:vertAlign w:val="superscript"/>
              </w:rPr>
              <w:t xml:space="preserve"> </w:t>
            </w:r>
          </w:p>
        </w:tc>
        <w:tc>
          <w:tcPr>
            <w:tcW w:w="1728" w:type="dxa"/>
            <w:tcBorders>
              <w:top w:val="single" w:sz="4" w:space="0" w:color="auto"/>
            </w:tcBorders>
            <w:shd w:val="clear" w:color="auto" w:fill="FFFFFF" w:themeFill="background1"/>
            <w:vAlign w:val="center"/>
          </w:tcPr>
          <w:p w14:paraId="0C8D5FAE" w14:textId="7D6AB8B7" w:rsidR="002F18BE" w:rsidRPr="00376DC2" w:rsidRDefault="00610FC2" w:rsidP="00EF4284">
            <w:pPr>
              <w:autoSpaceDE w:val="0"/>
              <w:autoSpaceDN w:val="0"/>
              <w:adjustRightInd w:val="0"/>
              <w:jc w:val="center"/>
              <w:rPr>
                <w:sz w:val="18"/>
                <w:szCs w:val="18"/>
              </w:rPr>
            </w:pPr>
            <w:r w:rsidRPr="00376DC2">
              <w:rPr>
                <w:rFonts w:eastAsia="Calibri"/>
                <w:sz w:val="18"/>
                <w:szCs w:val="18"/>
              </w:rPr>
              <w:t xml:space="preserve"> 1 dose de PNEU-C-20</w:t>
            </w:r>
            <w:r w:rsidRPr="00376DC2">
              <w:rPr>
                <w:rFonts w:eastAsia="Calibri"/>
                <w:sz w:val="18"/>
                <w:szCs w:val="18"/>
                <w:vertAlign w:val="superscript"/>
              </w:rPr>
              <w:t xml:space="preserve"> </w:t>
            </w:r>
          </w:p>
        </w:tc>
        <w:tc>
          <w:tcPr>
            <w:tcW w:w="1728" w:type="dxa"/>
            <w:shd w:val="clear" w:color="auto" w:fill="FFFFFF" w:themeFill="background1"/>
            <w:vAlign w:val="center"/>
          </w:tcPr>
          <w:p w14:paraId="47D2B35D" w14:textId="77777777" w:rsidR="004E06FA" w:rsidRPr="00376DC2" w:rsidRDefault="00610FC2">
            <w:pPr>
              <w:autoSpaceDE w:val="0"/>
              <w:autoSpaceDN w:val="0"/>
              <w:adjustRightInd w:val="0"/>
              <w:jc w:val="center"/>
              <w:rPr>
                <w:rFonts w:eastAsia="Calibri"/>
                <w:sz w:val="18"/>
                <w:szCs w:val="18"/>
                <w:vertAlign w:val="superscript"/>
              </w:rPr>
            </w:pPr>
            <w:r w:rsidRPr="00376DC2">
              <w:rPr>
                <w:rFonts w:eastAsia="Calibri"/>
                <w:sz w:val="18"/>
                <w:szCs w:val="18"/>
              </w:rPr>
              <w:t>1 dose de PNEU-C-20</w:t>
            </w:r>
            <w:r w:rsidR="73046AE5" w:rsidRPr="00376DC2">
              <w:rPr>
                <w:rFonts w:eastAsia="Calibri"/>
                <w:sz w:val="18"/>
                <w:szCs w:val="18"/>
                <w:vertAlign w:val="superscript"/>
              </w:rPr>
              <w:t xml:space="preserve"> </w:t>
            </w:r>
          </w:p>
        </w:tc>
        <w:tc>
          <w:tcPr>
            <w:tcW w:w="1728" w:type="dxa"/>
            <w:shd w:val="clear" w:color="auto" w:fill="FFFFFF" w:themeFill="background1"/>
            <w:vAlign w:val="center"/>
          </w:tcPr>
          <w:p w14:paraId="7E4DE17D" w14:textId="77777777" w:rsidR="004E06FA" w:rsidRPr="00376DC2" w:rsidRDefault="00610FC2">
            <w:pPr>
              <w:autoSpaceDE w:val="0"/>
              <w:autoSpaceDN w:val="0"/>
              <w:adjustRightInd w:val="0"/>
              <w:jc w:val="center"/>
              <w:rPr>
                <w:rFonts w:eastAsia="Calibri"/>
                <w:sz w:val="18"/>
                <w:szCs w:val="18"/>
                <w:vertAlign w:val="superscript"/>
              </w:rPr>
            </w:pPr>
            <w:r w:rsidRPr="00376DC2">
              <w:rPr>
                <w:rFonts w:eastAsia="Calibri"/>
                <w:sz w:val="18"/>
                <w:szCs w:val="18"/>
              </w:rPr>
              <w:t xml:space="preserve">1 dose de PNEU-C-20 </w:t>
            </w:r>
          </w:p>
        </w:tc>
        <w:tc>
          <w:tcPr>
            <w:tcW w:w="1728" w:type="dxa"/>
            <w:shd w:val="clear" w:color="auto" w:fill="FFFFFF" w:themeFill="background1"/>
            <w:vAlign w:val="center"/>
          </w:tcPr>
          <w:p w14:paraId="3AE1AE50" w14:textId="77777777" w:rsidR="004E06FA" w:rsidRPr="00376DC2" w:rsidRDefault="00610FC2">
            <w:pPr>
              <w:autoSpaceDE w:val="0"/>
              <w:autoSpaceDN w:val="0"/>
              <w:adjustRightInd w:val="0"/>
              <w:jc w:val="center"/>
              <w:rPr>
                <w:rFonts w:eastAsia="Calibri"/>
                <w:sz w:val="18"/>
                <w:szCs w:val="18"/>
                <w:vertAlign w:val="superscript"/>
              </w:rPr>
            </w:pPr>
            <w:r w:rsidRPr="00376DC2">
              <w:rPr>
                <w:rFonts w:eastAsia="Calibri"/>
                <w:sz w:val="18"/>
                <w:szCs w:val="18"/>
              </w:rPr>
              <w:t xml:space="preserve">1 </w:t>
            </w:r>
            <w:r w:rsidR="350D4BE4" w:rsidRPr="00376DC2">
              <w:rPr>
                <w:rFonts w:eastAsia="Calibri"/>
                <w:sz w:val="18"/>
                <w:szCs w:val="18"/>
              </w:rPr>
              <w:t>dose de PNEU-C-20</w:t>
            </w:r>
            <w:r w:rsidR="73046AE5" w:rsidRPr="00376DC2">
              <w:rPr>
                <w:rFonts w:eastAsia="Calibri"/>
                <w:sz w:val="18"/>
                <w:szCs w:val="18"/>
                <w:vertAlign w:val="superscript"/>
              </w:rPr>
              <w:t xml:space="preserve"> </w:t>
            </w:r>
          </w:p>
        </w:tc>
      </w:tr>
      <w:tr w:rsidR="002F18BE" w:rsidRPr="00376DC2" w14:paraId="1A89DC37" w14:textId="77777777" w:rsidTr="129406F0">
        <w:tc>
          <w:tcPr>
            <w:tcW w:w="1165" w:type="dxa"/>
            <w:vMerge/>
            <w:vAlign w:val="center"/>
          </w:tcPr>
          <w:p w14:paraId="7D175BFC" w14:textId="70C1F073" w:rsidR="002F18BE" w:rsidRPr="00376DC2" w:rsidRDefault="002F18BE" w:rsidP="00C053F7">
            <w:pPr>
              <w:rPr>
                <w:rFonts w:cstheme="minorHAnsi"/>
                <w:sz w:val="18"/>
                <w:szCs w:val="18"/>
              </w:rPr>
            </w:pPr>
          </w:p>
        </w:tc>
        <w:tc>
          <w:tcPr>
            <w:tcW w:w="1296" w:type="dxa"/>
            <w:vAlign w:val="center"/>
          </w:tcPr>
          <w:p w14:paraId="264AFC8C" w14:textId="77777777" w:rsidR="004E06FA" w:rsidRPr="00376DC2" w:rsidRDefault="00610FC2">
            <w:pPr>
              <w:jc w:val="center"/>
              <w:rPr>
                <w:rFonts w:eastAsia="Calibri" w:cstheme="minorHAnsi"/>
                <w:sz w:val="18"/>
                <w:szCs w:val="18"/>
              </w:rPr>
            </w:pPr>
            <w:r w:rsidRPr="00376DC2">
              <w:rPr>
                <w:rFonts w:eastAsia="Calibri" w:cstheme="minorHAnsi"/>
                <w:sz w:val="18"/>
                <w:szCs w:val="18"/>
              </w:rPr>
              <w:t xml:space="preserve">PNEU-C-13 et </w:t>
            </w:r>
          </w:p>
          <w:p w14:paraId="4111952D" w14:textId="77777777" w:rsidR="004E06FA" w:rsidRPr="00376DC2" w:rsidRDefault="00610FC2">
            <w:pPr>
              <w:jc w:val="center"/>
              <w:rPr>
                <w:rFonts w:eastAsia="Calibri"/>
                <w:sz w:val="18"/>
                <w:szCs w:val="18"/>
              </w:rPr>
            </w:pPr>
            <w:r w:rsidRPr="00376DC2">
              <w:rPr>
                <w:rFonts w:eastAsia="Calibri"/>
                <w:sz w:val="18"/>
                <w:szCs w:val="18"/>
              </w:rPr>
              <w:t>PNEU-P-23</w:t>
            </w:r>
            <w:r w:rsidR="23FD9B8F" w:rsidRPr="00376DC2">
              <w:rPr>
                <w:rFonts w:eastAsia="Calibri"/>
                <w:sz w:val="18"/>
                <w:szCs w:val="18"/>
                <w:vertAlign w:val="superscript"/>
              </w:rPr>
              <w:t xml:space="preserve"> b</w:t>
            </w:r>
          </w:p>
        </w:tc>
        <w:tc>
          <w:tcPr>
            <w:tcW w:w="1728" w:type="dxa"/>
            <w:vAlign w:val="center"/>
          </w:tcPr>
          <w:p w14:paraId="391247FD" w14:textId="4450801E" w:rsidR="002F18BE" w:rsidRPr="00376DC2" w:rsidRDefault="00610FC2" w:rsidP="00EF4284">
            <w:pPr>
              <w:autoSpaceDE w:val="0"/>
              <w:autoSpaceDN w:val="0"/>
              <w:adjustRightInd w:val="0"/>
              <w:jc w:val="center"/>
              <w:rPr>
                <w:rFonts w:eastAsia="Calibri"/>
                <w:sz w:val="18"/>
                <w:szCs w:val="18"/>
              </w:rPr>
            </w:pPr>
            <w:r w:rsidRPr="00376DC2">
              <w:rPr>
                <w:rFonts w:eastAsia="Calibri"/>
                <w:sz w:val="18"/>
                <w:szCs w:val="18"/>
              </w:rPr>
              <w:t xml:space="preserve"> 1 dose de PNEU-C-20</w:t>
            </w:r>
            <w:r w:rsidRPr="00376DC2">
              <w:rPr>
                <w:rFonts w:eastAsia="Calibri"/>
                <w:sz w:val="18"/>
                <w:szCs w:val="18"/>
                <w:vertAlign w:val="superscript"/>
              </w:rPr>
              <w:t xml:space="preserve"> </w:t>
            </w:r>
          </w:p>
        </w:tc>
        <w:tc>
          <w:tcPr>
            <w:tcW w:w="1728" w:type="dxa"/>
            <w:vAlign w:val="center"/>
          </w:tcPr>
          <w:p w14:paraId="469E75C0" w14:textId="5E9C7364" w:rsidR="002F18BE" w:rsidRPr="00376DC2" w:rsidRDefault="00610FC2" w:rsidP="00EF4284">
            <w:pPr>
              <w:autoSpaceDE w:val="0"/>
              <w:autoSpaceDN w:val="0"/>
              <w:adjustRightInd w:val="0"/>
              <w:jc w:val="center"/>
              <w:rPr>
                <w:rFonts w:eastAsia="Calibri"/>
                <w:sz w:val="18"/>
                <w:szCs w:val="18"/>
              </w:rPr>
            </w:pPr>
            <w:r w:rsidRPr="00376DC2">
              <w:rPr>
                <w:rFonts w:eastAsia="Calibri"/>
                <w:sz w:val="18"/>
                <w:szCs w:val="18"/>
              </w:rPr>
              <w:t xml:space="preserve"> 1 dose de PNEU-C-20</w:t>
            </w:r>
            <w:r w:rsidRPr="00376DC2">
              <w:rPr>
                <w:rFonts w:eastAsia="Calibri"/>
                <w:sz w:val="18"/>
                <w:szCs w:val="18"/>
                <w:vertAlign w:val="superscript"/>
              </w:rPr>
              <w:t xml:space="preserve"> </w:t>
            </w:r>
          </w:p>
        </w:tc>
        <w:tc>
          <w:tcPr>
            <w:tcW w:w="1728" w:type="dxa"/>
            <w:vAlign w:val="center"/>
          </w:tcPr>
          <w:p w14:paraId="4827EEC5" w14:textId="77777777" w:rsidR="004E06FA" w:rsidRPr="00376DC2" w:rsidRDefault="00610FC2">
            <w:pPr>
              <w:autoSpaceDE w:val="0"/>
              <w:autoSpaceDN w:val="0"/>
              <w:adjustRightInd w:val="0"/>
              <w:jc w:val="center"/>
              <w:rPr>
                <w:rFonts w:eastAsia="Calibri"/>
                <w:sz w:val="18"/>
                <w:szCs w:val="18"/>
                <w:vertAlign w:val="superscript"/>
              </w:rPr>
            </w:pPr>
            <w:r w:rsidRPr="00376DC2">
              <w:rPr>
                <w:rFonts w:eastAsia="Calibri"/>
                <w:sz w:val="18"/>
                <w:szCs w:val="18"/>
              </w:rPr>
              <w:t xml:space="preserve">1 dose de PNEU-C-20 </w:t>
            </w:r>
          </w:p>
        </w:tc>
        <w:tc>
          <w:tcPr>
            <w:tcW w:w="1728" w:type="dxa"/>
            <w:shd w:val="clear" w:color="auto" w:fill="FFFFFF" w:themeFill="background1"/>
            <w:vAlign w:val="center"/>
          </w:tcPr>
          <w:p w14:paraId="425AC580" w14:textId="77777777" w:rsidR="004E06FA" w:rsidRPr="00376DC2" w:rsidRDefault="00610FC2">
            <w:pPr>
              <w:autoSpaceDE w:val="0"/>
              <w:autoSpaceDN w:val="0"/>
              <w:adjustRightInd w:val="0"/>
              <w:jc w:val="center"/>
              <w:rPr>
                <w:rFonts w:eastAsia="Calibri"/>
                <w:sz w:val="18"/>
                <w:szCs w:val="18"/>
                <w:vertAlign w:val="superscript"/>
              </w:rPr>
            </w:pPr>
            <w:r w:rsidRPr="00376DC2">
              <w:rPr>
                <w:rFonts w:eastAsia="Calibri"/>
                <w:sz w:val="18"/>
                <w:szCs w:val="18"/>
              </w:rPr>
              <w:t xml:space="preserve">1 dose de PNEU-C-20 </w:t>
            </w:r>
          </w:p>
        </w:tc>
        <w:tc>
          <w:tcPr>
            <w:tcW w:w="1728" w:type="dxa"/>
            <w:shd w:val="clear" w:color="auto" w:fill="FFFFFF" w:themeFill="background1"/>
            <w:vAlign w:val="center"/>
          </w:tcPr>
          <w:p w14:paraId="6AB42ED7" w14:textId="77777777" w:rsidR="004E06FA" w:rsidRPr="00376DC2" w:rsidRDefault="00610FC2">
            <w:pPr>
              <w:autoSpaceDE w:val="0"/>
              <w:autoSpaceDN w:val="0"/>
              <w:adjustRightInd w:val="0"/>
              <w:jc w:val="center"/>
              <w:rPr>
                <w:rFonts w:eastAsia="Calibri"/>
                <w:sz w:val="18"/>
                <w:szCs w:val="18"/>
                <w:vertAlign w:val="superscript"/>
              </w:rPr>
            </w:pPr>
            <w:r w:rsidRPr="00376DC2">
              <w:rPr>
                <w:rFonts w:eastAsia="Calibri"/>
                <w:sz w:val="18"/>
                <w:szCs w:val="18"/>
              </w:rPr>
              <w:t xml:space="preserve">1 </w:t>
            </w:r>
            <w:r w:rsidR="350D4BE4" w:rsidRPr="00376DC2">
              <w:rPr>
                <w:rFonts w:eastAsia="Calibri"/>
                <w:sz w:val="18"/>
                <w:szCs w:val="18"/>
              </w:rPr>
              <w:t xml:space="preserve">dose de PNEU-C-20 </w:t>
            </w:r>
          </w:p>
        </w:tc>
      </w:tr>
    </w:tbl>
    <w:p w14:paraId="4EAEC934" w14:textId="5A8C9F84" w:rsidR="0047736B" w:rsidRPr="0047736B" w:rsidRDefault="0047736B" w:rsidP="0047736B">
      <w:pPr>
        <w:spacing w:after="0" w:line="240" w:lineRule="auto"/>
        <w:rPr>
          <w:rStyle w:val="Strong"/>
          <w:b w:val="0"/>
          <w:bCs w:val="0"/>
          <w:color w:val="333333"/>
          <w:sz w:val="16"/>
          <w:szCs w:val="16"/>
          <w:shd w:val="clear" w:color="auto" w:fill="FFFFFF"/>
        </w:rPr>
      </w:pPr>
      <w:r w:rsidRPr="0047736B">
        <w:rPr>
          <w:rStyle w:val="Strong"/>
          <w:b w:val="0"/>
          <w:bCs w:val="0"/>
          <w:color w:val="333333"/>
          <w:sz w:val="16"/>
          <w:szCs w:val="16"/>
          <w:shd w:val="clear" w:color="auto" w:fill="FFFFFF"/>
        </w:rPr>
        <w:t>a</w:t>
      </w:r>
      <w:r>
        <w:rPr>
          <w:rStyle w:val="Strong"/>
          <w:b w:val="0"/>
          <w:bCs w:val="0"/>
          <w:color w:val="333333"/>
          <w:sz w:val="16"/>
          <w:szCs w:val="16"/>
          <w:shd w:val="clear" w:color="auto" w:fill="FFFFFF"/>
        </w:rPr>
        <w:t>.</w:t>
      </w:r>
      <w:r w:rsidRPr="0047736B">
        <w:rPr>
          <w:rStyle w:val="Strong"/>
          <w:b w:val="0"/>
          <w:bCs w:val="0"/>
          <w:color w:val="333333"/>
          <w:sz w:val="16"/>
          <w:szCs w:val="16"/>
          <w:shd w:val="clear" w:color="auto" w:fill="FFFFFF"/>
        </w:rPr>
        <w:t xml:space="preserve"> PNEU-C-13 uniquement ou un calendrier mixte de PNEU-C-10/PNEU-C-13 peut être utilisé lorsque PNEU-C-15 ou PNEU-C-20 ne sont pas disponibles.  </w:t>
      </w:r>
    </w:p>
    <w:p w14:paraId="32227549" w14:textId="5FD07CEB" w:rsidR="007D3705" w:rsidRPr="00376DC2" w:rsidRDefault="0047736B" w:rsidP="0047736B">
      <w:pPr>
        <w:spacing w:after="0" w:line="240" w:lineRule="auto"/>
        <w:rPr>
          <w:rStyle w:val="Strong"/>
          <w:rFonts w:cstheme="minorHAnsi"/>
          <w:color w:val="333333"/>
          <w:sz w:val="16"/>
          <w:szCs w:val="16"/>
          <w:shd w:val="clear" w:color="auto" w:fill="FFFFFF"/>
        </w:rPr>
      </w:pPr>
      <w:r w:rsidRPr="0047736B">
        <w:rPr>
          <w:rStyle w:val="Strong"/>
          <w:b w:val="0"/>
          <w:bCs w:val="0"/>
          <w:color w:val="333333"/>
          <w:sz w:val="16"/>
          <w:szCs w:val="16"/>
          <w:shd w:val="clear" w:color="auto" w:fill="FFFFFF"/>
        </w:rPr>
        <w:t>b</w:t>
      </w:r>
      <w:r>
        <w:rPr>
          <w:rStyle w:val="Strong"/>
          <w:b w:val="0"/>
          <w:bCs w:val="0"/>
          <w:color w:val="333333"/>
          <w:sz w:val="16"/>
          <w:szCs w:val="16"/>
          <w:shd w:val="clear" w:color="auto" w:fill="FFFFFF"/>
        </w:rPr>
        <w:t>.</w:t>
      </w:r>
      <w:r w:rsidRPr="0047736B">
        <w:rPr>
          <w:rStyle w:val="Strong"/>
          <w:b w:val="0"/>
          <w:bCs w:val="0"/>
          <w:color w:val="333333"/>
          <w:sz w:val="16"/>
          <w:szCs w:val="16"/>
          <w:shd w:val="clear" w:color="auto" w:fill="FFFFFF"/>
        </w:rPr>
        <w:t xml:space="preserve"> Pour les enfants présentant un haut risque d’IIP et ayant déjà suivi le calendrier recommandé avec le PNEU-C-13, une dose de PNEU-C-20 devrait être administrée à un intervalle minimum de 8 semaines depuis la dernière dose de PNEU-C-13 ou au moins 1 an depuis une dose de PNEU-P-23, indépendamment du nombre de doses de PNEU-P-23 reçues précédemment. Après la vaccination par le PNEU-C-20, aucune autre dose de PNEU-P-23 ou de PNEU-C-20 n'est nécessaire.  </w:t>
      </w:r>
    </w:p>
    <w:p w14:paraId="3AAF61DA" w14:textId="185F888B" w:rsidR="00EF482F" w:rsidRPr="00376DC2" w:rsidRDefault="00EE56B2" w:rsidP="00EF482F">
      <w:pPr>
        <w:spacing w:after="0" w:line="240" w:lineRule="auto"/>
        <w:rPr>
          <w:b/>
          <w:bCs/>
        </w:rPr>
      </w:pPr>
      <w:r>
        <w:rPr>
          <w:b/>
          <w:bCs/>
        </w:rPr>
        <w:t>Tableau 2 : Pathologies à risque entraînant un haut risque d’IIP</w:t>
      </w:r>
    </w:p>
    <w:tbl>
      <w:tblPr>
        <w:tblStyle w:val="TableGrid"/>
        <w:tblW w:w="0" w:type="auto"/>
        <w:tblLook w:val="04A0" w:firstRow="1" w:lastRow="0" w:firstColumn="1" w:lastColumn="0" w:noHBand="0" w:noVBand="1"/>
      </w:tblPr>
      <w:tblGrid>
        <w:gridCol w:w="10528"/>
      </w:tblGrid>
      <w:tr w:rsidR="00237763" w:rsidRPr="00376DC2" w14:paraId="39D86F2A" w14:textId="77777777" w:rsidTr="129406F0">
        <w:tc>
          <w:tcPr>
            <w:tcW w:w="10528" w:type="dxa"/>
          </w:tcPr>
          <w:p w14:paraId="634EC4CB" w14:textId="419CE4AA" w:rsidR="004E06FA" w:rsidRPr="00376DC2" w:rsidRDefault="00D03B8F">
            <w:pPr>
              <w:shd w:val="clear" w:color="auto" w:fill="FFFFFF"/>
              <w:rPr>
                <w:rFonts w:eastAsia="Times New Roman" w:cstheme="minorHAnsi"/>
                <w:color w:val="333333"/>
                <w:sz w:val="18"/>
                <w:szCs w:val="18"/>
                <w:lang w:eastAsia="en-CA"/>
              </w:rPr>
            </w:pPr>
            <w:r>
              <w:rPr>
                <w:rFonts w:eastAsia="Times New Roman" w:cstheme="minorHAnsi"/>
                <w:b/>
                <w:bCs/>
                <w:color w:val="333333"/>
                <w:sz w:val="18"/>
                <w:szCs w:val="18"/>
                <w:lang w:eastAsia="en-CA"/>
              </w:rPr>
              <w:t>Pathologies à</w:t>
            </w:r>
            <w:r w:rsidR="00610FC2" w:rsidRPr="00376DC2">
              <w:rPr>
                <w:rFonts w:eastAsia="Times New Roman" w:cstheme="minorHAnsi"/>
                <w:b/>
                <w:bCs/>
                <w:color w:val="333333"/>
                <w:sz w:val="18"/>
                <w:szCs w:val="18"/>
                <w:lang w:eastAsia="en-CA"/>
              </w:rPr>
              <w:t xml:space="preserve"> risque </w:t>
            </w:r>
            <w:r w:rsidR="008A486D" w:rsidRPr="00376DC2">
              <w:rPr>
                <w:rFonts w:eastAsia="Times New Roman" w:cstheme="minorHAnsi"/>
                <w:b/>
                <w:bCs/>
                <w:color w:val="333333"/>
                <w:sz w:val="18"/>
                <w:szCs w:val="18"/>
                <w:lang w:eastAsia="en-CA"/>
              </w:rPr>
              <w:t>:</w:t>
            </w:r>
          </w:p>
          <w:p w14:paraId="2A45DE8F" w14:textId="23B8CBCC" w:rsidR="0047736B" w:rsidRPr="0047736B" w:rsidRDefault="0047736B" w:rsidP="008001BA">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Fuite chronique de liquide céphalorachidien (LCR) </w:t>
            </w:r>
          </w:p>
          <w:p w14:paraId="71CDF3E0" w14:textId="06EC39B2" w:rsidR="0047736B" w:rsidRPr="0047736B" w:rsidRDefault="0047736B" w:rsidP="002D7921">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Implants cochléaires, y compris les personnes devant recevoir des implants. Le risque le plus élevé se situe dans les semaines qui suivent l’implantation. Il est préférable d’administrer le vaccin avant l’implantation, mais l’opération ne doit pas être retardée pour cette raison. Administrer le vaccin dès que possible.</w:t>
            </w:r>
          </w:p>
          <w:p w14:paraId="0511CEC4" w14:textId="77777777" w:rsidR="0047736B" w:rsidRPr="0047736B" w:rsidRDefault="0047736B" w:rsidP="0047736B">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Néphropathie chronique, en particulier les personnes atteintes du syndrome néphrotique, sous dialyse ou ayant subi une transplantation rénale  </w:t>
            </w:r>
          </w:p>
          <w:p w14:paraId="0A20AD67" w14:textId="77777777" w:rsidR="0047736B" w:rsidRPr="0047736B" w:rsidRDefault="0047736B" w:rsidP="0047736B">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Maladie hépatique chronique, y compris la cirrhose hépatique et l’atrésie des voies biliaires   </w:t>
            </w:r>
          </w:p>
          <w:p w14:paraId="4A3B7630" w14:textId="77777777" w:rsidR="0047736B" w:rsidRPr="0047736B" w:rsidRDefault="0047736B" w:rsidP="0047736B">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Affection neurologique chronique susceptible d’entraver l’évacuation des sécrétions orales   </w:t>
            </w:r>
          </w:p>
          <w:p w14:paraId="23CF1A78" w14:textId="77777777" w:rsidR="0047736B" w:rsidRPr="0047736B" w:rsidRDefault="0047736B" w:rsidP="0047736B">
            <w:pPr>
              <w:numPr>
                <w:ilvl w:val="0"/>
                <w:numId w:val="15"/>
              </w:numPr>
              <w:shd w:val="clear" w:color="auto" w:fill="FFFFFF"/>
              <w:spacing w:after="0" w:line="240" w:lineRule="auto"/>
              <w:rPr>
                <w:rFonts w:eastAsia="Times New Roman" w:cstheme="minorHAnsi"/>
                <w:color w:val="333333"/>
                <w:sz w:val="18"/>
                <w:szCs w:val="18"/>
                <w:lang w:eastAsia="en-CA"/>
              </w:rPr>
            </w:pPr>
            <w:proofErr w:type="spellStart"/>
            <w:r w:rsidRPr="0047736B">
              <w:rPr>
                <w:rFonts w:eastAsia="Times New Roman" w:cstheme="minorHAnsi"/>
                <w:color w:val="333333"/>
                <w:sz w:val="18"/>
                <w:szCs w:val="18"/>
                <w:lang w:eastAsia="en-CA"/>
              </w:rPr>
              <w:t>Asplénie</w:t>
            </w:r>
            <w:proofErr w:type="spellEnd"/>
            <w:r w:rsidRPr="0047736B">
              <w:rPr>
                <w:rFonts w:eastAsia="Times New Roman" w:cstheme="minorHAnsi"/>
                <w:color w:val="333333"/>
                <w:sz w:val="18"/>
                <w:szCs w:val="18"/>
                <w:lang w:eastAsia="en-CA"/>
              </w:rPr>
              <w:t xml:space="preserve"> fonctionnelle ou anatomique (y compris drépanocytose et autres hémoglobinopathies, </w:t>
            </w:r>
            <w:proofErr w:type="spellStart"/>
            <w:r w:rsidRPr="0047736B">
              <w:rPr>
                <w:rFonts w:eastAsia="Times New Roman" w:cstheme="minorHAnsi"/>
                <w:color w:val="333333"/>
                <w:sz w:val="18"/>
                <w:szCs w:val="18"/>
                <w:lang w:eastAsia="en-CA"/>
              </w:rPr>
              <w:t>asplénie</w:t>
            </w:r>
            <w:proofErr w:type="spellEnd"/>
            <w:r w:rsidRPr="0047736B">
              <w:rPr>
                <w:rFonts w:eastAsia="Times New Roman" w:cstheme="minorHAnsi"/>
                <w:color w:val="333333"/>
                <w:sz w:val="18"/>
                <w:szCs w:val="18"/>
                <w:lang w:eastAsia="en-CA"/>
              </w:rPr>
              <w:t xml:space="preserve"> congénitale ou acquise, ou dysfonctionnement splénique) </w:t>
            </w:r>
          </w:p>
          <w:p w14:paraId="6CEB41FC" w14:textId="77777777" w:rsidR="0047736B" w:rsidRPr="0047736B" w:rsidRDefault="0047736B" w:rsidP="0047736B">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Diabète sucré </w:t>
            </w:r>
          </w:p>
          <w:p w14:paraId="36230FD0" w14:textId="77777777" w:rsidR="0047736B" w:rsidRPr="0047736B" w:rsidRDefault="0047736B" w:rsidP="0047736B">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Maladie cardiaque chronique (y compris les maladies cardiaques congénitales et les maladies cardiaques cyanogènes) </w:t>
            </w:r>
          </w:p>
          <w:p w14:paraId="13CBA320" w14:textId="77777777" w:rsidR="0047736B" w:rsidRPr="0047736B" w:rsidRDefault="0047736B" w:rsidP="0047736B">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Maladie pulmonaire chronique, y compris l’asthme nécessitant des soins médicaux aigus au cours des 12 mois précédents  </w:t>
            </w:r>
          </w:p>
          <w:p w14:paraId="07F01B96" w14:textId="77777777" w:rsidR="0047736B" w:rsidRPr="0047736B" w:rsidRDefault="0047736B" w:rsidP="0047736B">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Déficit immunitaire congénital de tout type, y compris l’immunité humorale des lymphocytes B, l’immunité à médiation cellulaire des lymphocytes T, le système du complément (déficit en properdine ou en facteur D) </w:t>
            </w:r>
          </w:p>
          <w:p w14:paraId="562C6FF8" w14:textId="77777777" w:rsidR="0047736B" w:rsidRPr="0047736B" w:rsidRDefault="0047736B" w:rsidP="0047736B">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Traitement immunodépresseur, y compris l’usage prolongé de corticostéroïdes, de chimiothérapie, de radiothérapie et de traitements postérieurs à une greffe d'organe </w:t>
            </w:r>
          </w:p>
          <w:p w14:paraId="6CCBFDBE" w14:textId="77777777" w:rsidR="0047736B" w:rsidRDefault="0047736B" w:rsidP="0047736B">
            <w:pPr>
              <w:numPr>
                <w:ilvl w:val="0"/>
                <w:numId w:val="15"/>
              </w:numPr>
              <w:shd w:val="clear" w:color="auto" w:fill="FFFFFF"/>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Infection par le virus de l’immunodéficience humaine (VIH) </w:t>
            </w:r>
          </w:p>
          <w:p w14:paraId="0CB8B9FD" w14:textId="4291C1FE" w:rsidR="004E06FA" w:rsidRPr="00376DC2" w:rsidRDefault="00610FC2" w:rsidP="0047736B">
            <w:pPr>
              <w:numPr>
                <w:ilvl w:val="0"/>
                <w:numId w:val="15"/>
              </w:numPr>
              <w:shd w:val="clear" w:color="auto" w:fill="FFFFFF"/>
              <w:rPr>
                <w:rFonts w:eastAsia="Times New Roman" w:cstheme="minorHAnsi"/>
                <w:color w:val="333333"/>
                <w:sz w:val="18"/>
                <w:szCs w:val="18"/>
                <w:lang w:eastAsia="en-CA"/>
              </w:rPr>
            </w:pPr>
            <w:r w:rsidRPr="00376DC2">
              <w:rPr>
                <w:rFonts w:eastAsia="Times New Roman" w:cstheme="minorHAnsi"/>
                <w:color w:val="333333"/>
                <w:sz w:val="18"/>
                <w:szCs w:val="18"/>
                <w:lang w:eastAsia="en-CA"/>
              </w:rPr>
              <w:t>Greffe de cellules souches hématopoïétiques (receveur)</w:t>
            </w:r>
            <w:r w:rsidR="00321560" w:rsidRPr="00376DC2">
              <w:rPr>
                <w:rFonts w:eastAsia="Times New Roman" w:cstheme="minorHAnsi"/>
                <w:color w:val="333333"/>
                <w:sz w:val="18"/>
                <w:szCs w:val="18"/>
                <w:lang w:eastAsia="en-CA"/>
              </w:rPr>
              <w:t xml:space="preserve"> </w:t>
            </w:r>
            <w:r w:rsidR="00BE6336" w:rsidRPr="00376DC2">
              <w:rPr>
                <w:rFonts w:eastAsia="Times New Roman" w:cstheme="minorHAnsi"/>
                <w:color w:val="333333"/>
                <w:sz w:val="18"/>
                <w:szCs w:val="18"/>
                <w:vertAlign w:val="superscript"/>
                <w:lang w:eastAsia="en-CA"/>
              </w:rPr>
              <w:t>a</w:t>
            </w:r>
            <w:r w:rsidRPr="00376DC2">
              <w:rPr>
                <w:rFonts w:eastAsia="Times New Roman" w:cstheme="minorHAnsi"/>
                <w:color w:val="333333"/>
                <w:sz w:val="18"/>
                <w:szCs w:val="18"/>
                <w:lang w:eastAsia="en-CA"/>
              </w:rPr>
              <w:t xml:space="preserve"> voir recommandation </w:t>
            </w:r>
            <w:r w:rsidR="00EC66A4">
              <w:rPr>
                <w:rFonts w:eastAsia="Times New Roman" w:cstheme="minorHAnsi"/>
                <w:color w:val="333333"/>
                <w:sz w:val="18"/>
                <w:szCs w:val="18"/>
                <w:lang w:eastAsia="en-CA"/>
              </w:rPr>
              <w:t>distincte</w:t>
            </w:r>
            <w:r w:rsidRPr="00376DC2">
              <w:rPr>
                <w:rFonts w:eastAsia="Times New Roman" w:cstheme="minorHAnsi"/>
                <w:color w:val="333333"/>
                <w:sz w:val="18"/>
                <w:szCs w:val="18"/>
                <w:lang w:eastAsia="en-CA"/>
              </w:rPr>
              <w:t xml:space="preserve"> </w:t>
            </w:r>
          </w:p>
          <w:p w14:paraId="07290638" w14:textId="77777777" w:rsidR="0047736B" w:rsidRPr="0047736B" w:rsidRDefault="0047736B" w:rsidP="0047736B">
            <w:pPr>
              <w:numPr>
                <w:ilvl w:val="0"/>
                <w:numId w:val="15"/>
              </w:numPr>
              <w:shd w:val="clear" w:color="auto" w:fill="FFFFFF"/>
              <w:spacing w:after="0" w:line="240" w:lineRule="auto"/>
              <w:rPr>
                <w:rFonts w:eastAsia="Times New Roman" w:cstheme="minorHAnsi"/>
                <w:color w:val="333333"/>
                <w:sz w:val="18"/>
                <w:szCs w:val="18"/>
                <w:lang w:eastAsia="en-CA"/>
              </w:rPr>
            </w:pPr>
            <w:r w:rsidRPr="0047736B">
              <w:rPr>
                <w:rFonts w:eastAsia="Times New Roman" w:cstheme="minorHAnsi"/>
                <w:color w:val="333333"/>
                <w:sz w:val="18"/>
                <w:szCs w:val="18"/>
                <w:lang w:eastAsia="en-CA"/>
              </w:rPr>
              <w:t xml:space="preserve">Néoplasmes malins, y compris leucémie et lymphome </w:t>
            </w:r>
          </w:p>
          <w:p w14:paraId="0DD2F500" w14:textId="75EBFA92" w:rsidR="0047736B" w:rsidRPr="00376DC2" w:rsidRDefault="0047736B" w:rsidP="0047736B">
            <w:pPr>
              <w:numPr>
                <w:ilvl w:val="0"/>
                <w:numId w:val="15"/>
              </w:numPr>
              <w:shd w:val="clear" w:color="auto" w:fill="FFFFFF"/>
              <w:rPr>
                <w:rFonts w:eastAsia="Times New Roman" w:cstheme="minorHAnsi"/>
                <w:color w:val="333333"/>
                <w:sz w:val="18"/>
                <w:szCs w:val="18"/>
                <w:lang w:eastAsia="en-CA"/>
              </w:rPr>
            </w:pPr>
            <w:r w:rsidRPr="0047736B">
              <w:rPr>
                <w:rFonts w:eastAsia="Times New Roman" w:cstheme="minorHAnsi"/>
                <w:color w:val="333333"/>
                <w:sz w:val="18"/>
                <w:szCs w:val="18"/>
                <w:lang w:eastAsia="en-CA"/>
              </w:rPr>
              <w:t>Transplantation d'organes solides</w:t>
            </w:r>
          </w:p>
          <w:p w14:paraId="59B6A130" w14:textId="250D0695" w:rsidR="004E06FA" w:rsidRPr="00376DC2" w:rsidRDefault="00610FC2">
            <w:pPr>
              <w:shd w:val="clear" w:color="auto" w:fill="FFFFFF"/>
              <w:rPr>
                <w:rFonts w:eastAsia="Times New Roman" w:cstheme="minorHAnsi"/>
                <w:b/>
                <w:bCs/>
                <w:color w:val="333333"/>
                <w:sz w:val="18"/>
                <w:szCs w:val="18"/>
                <w:lang w:eastAsia="en-CA"/>
              </w:rPr>
            </w:pPr>
            <w:r w:rsidRPr="00376DC2">
              <w:rPr>
                <w:rFonts w:eastAsia="Times New Roman" w:cstheme="minorHAnsi"/>
                <w:b/>
                <w:bCs/>
                <w:color w:val="333333"/>
                <w:sz w:val="18"/>
                <w:szCs w:val="18"/>
                <w:lang w:eastAsia="en-CA"/>
              </w:rPr>
              <w:t xml:space="preserve">Conditions environnementales ou de vie des </w:t>
            </w:r>
            <w:r w:rsidR="00321560" w:rsidRPr="00376DC2">
              <w:rPr>
                <w:rFonts w:eastAsia="Times New Roman" w:cstheme="minorHAnsi"/>
                <w:b/>
                <w:bCs/>
                <w:color w:val="333333"/>
                <w:sz w:val="18"/>
                <w:szCs w:val="18"/>
                <w:lang w:eastAsia="en-CA"/>
              </w:rPr>
              <w:t>personnes</w:t>
            </w:r>
            <w:r w:rsidRPr="00376DC2">
              <w:rPr>
                <w:rFonts w:eastAsia="Times New Roman" w:cstheme="minorHAnsi"/>
                <w:b/>
                <w:bCs/>
                <w:color w:val="333333"/>
                <w:sz w:val="18"/>
                <w:szCs w:val="18"/>
                <w:lang w:eastAsia="en-CA"/>
              </w:rPr>
              <w:t xml:space="preserve"> :</w:t>
            </w:r>
          </w:p>
          <w:p w14:paraId="4E409D3C" w14:textId="77777777" w:rsidR="0060190B" w:rsidRPr="0060190B" w:rsidRDefault="0060190B" w:rsidP="0060190B">
            <w:pPr>
              <w:numPr>
                <w:ilvl w:val="0"/>
                <w:numId w:val="15"/>
              </w:numPr>
              <w:shd w:val="clear" w:color="auto" w:fill="FFFFFF"/>
              <w:spacing w:after="0" w:line="240" w:lineRule="auto"/>
              <w:rPr>
                <w:rFonts w:eastAsia="Times New Roman"/>
                <w:color w:val="333333"/>
                <w:sz w:val="18"/>
                <w:szCs w:val="18"/>
                <w:lang w:eastAsia="en-CA"/>
              </w:rPr>
            </w:pPr>
            <w:r w:rsidRPr="0060190B">
              <w:rPr>
                <w:rFonts w:eastAsia="Times New Roman"/>
                <w:color w:val="333333"/>
                <w:sz w:val="18"/>
                <w:szCs w:val="18"/>
                <w:lang w:eastAsia="en-CA"/>
              </w:rPr>
              <w:t xml:space="preserve">Qui vivent dans des communautés ou des milieux connaissant des taux élevés et durables d’IIP </w:t>
            </w:r>
          </w:p>
          <w:p w14:paraId="77A85EA0" w14:textId="77777777" w:rsidR="0060190B" w:rsidRPr="0060190B" w:rsidRDefault="0060190B" w:rsidP="0060190B">
            <w:pPr>
              <w:numPr>
                <w:ilvl w:val="0"/>
                <w:numId w:val="15"/>
              </w:numPr>
              <w:shd w:val="clear" w:color="auto" w:fill="FFFFFF"/>
              <w:spacing w:after="0" w:line="240" w:lineRule="auto"/>
              <w:rPr>
                <w:rFonts w:eastAsia="Times New Roman"/>
                <w:color w:val="333333"/>
                <w:sz w:val="18"/>
                <w:szCs w:val="18"/>
                <w:lang w:eastAsia="en-CA"/>
              </w:rPr>
            </w:pPr>
            <w:r w:rsidRPr="0060190B">
              <w:rPr>
                <w:rFonts w:eastAsia="Times New Roman"/>
                <w:color w:val="333333"/>
                <w:sz w:val="18"/>
                <w:szCs w:val="18"/>
                <w:lang w:eastAsia="en-CA"/>
              </w:rPr>
              <w:t xml:space="preserve">Qui sont mal logées ou en situation d’itinérance </w:t>
            </w:r>
          </w:p>
          <w:p w14:paraId="67F92434" w14:textId="55EE9743" w:rsidR="004E06FA" w:rsidRPr="00376DC2" w:rsidRDefault="0060190B" w:rsidP="0060190B">
            <w:pPr>
              <w:numPr>
                <w:ilvl w:val="0"/>
                <w:numId w:val="15"/>
              </w:numPr>
              <w:shd w:val="clear" w:color="auto" w:fill="FFFFFF"/>
              <w:rPr>
                <w:rFonts w:eastAsia="Times New Roman" w:cstheme="minorHAnsi"/>
                <w:color w:val="333333"/>
                <w:sz w:val="20"/>
                <w:szCs w:val="20"/>
                <w:lang w:eastAsia="en-CA"/>
              </w:rPr>
            </w:pPr>
            <w:r w:rsidRPr="0060190B">
              <w:rPr>
                <w:rFonts w:eastAsia="Times New Roman"/>
                <w:color w:val="333333"/>
                <w:sz w:val="18"/>
                <w:szCs w:val="18"/>
                <w:lang w:eastAsia="en-CA"/>
              </w:rPr>
              <w:t>Qui sont placés en institution pour enfants ayant des besoins médicaux complexes</w:t>
            </w:r>
          </w:p>
        </w:tc>
      </w:tr>
    </w:tbl>
    <w:p w14:paraId="11662560" w14:textId="7493A112" w:rsidR="0060190B" w:rsidRPr="00A94D2D" w:rsidRDefault="0060190B" w:rsidP="00A94D2D">
      <w:pPr>
        <w:pStyle w:val="ListParagraph"/>
        <w:numPr>
          <w:ilvl w:val="0"/>
          <w:numId w:val="17"/>
        </w:numPr>
        <w:rPr>
          <w:sz w:val="16"/>
          <w:szCs w:val="16"/>
        </w:rPr>
      </w:pPr>
      <w:r w:rsidRPr="0060190B">
        <w:rPr>
          <w:sz w:val="16"/>
          <w:szCs w:val="16"/>
        </w:rPr>
        <w:t>Le CCNI recommande que le vaccin conjugué PNEU-C-20 contre le pneumocoque soit proposé aux enfants de moins de 18 ans qui ont reçu une greffe de cellules souches hématopoïétiques (GCSH) après une consultation du spécialiste de la transplantation. Administrer une première série de 3 doses de PNEU-C-20 débutant 3 à 9 mois après la transplantation à au moins 4 semaines d’intervalle, suivie d’une dose supplémentaire de PNEU-C-20 12 à 18 mois après la transplantation (6 à 12 mois après la dernière dose de PNEU-C-20). Déterminer le moment recommandé pour l’administration du PNEU-C-20 aux receveurs d’une GCSH en consultation avec le spécialiste de la transplantation.</w:t>
      </w:r>
    </w:p>
    <w:p w14:paraId="6A0A6E88" w14:textId="772623DC" w:rsidR="004E06FA" w:rsidRPr="00376DC2" w:rsidRDefault="129406F0" w:rsidP="0047736B">
      <w:pPr>
        <w:spacing w:after="0"/>
        <w:rPr>
          <w:color w:val="333333"/>
          <w:sz w:val="16"/>
          <w:szCs w:val="16"/>
          <w:shd w:val="clear" w:color="auto" w:fill="FFFFFF"/>
        </w:rPr>
      </w:pPr>
      <w:r w:rsidRPr="00376DC2">
        <w:rPr>
          <w:rStyle w:val="Strong"/>
          <w:color w:val="333333"/>
          <w:sz w:val="16"/>
          <w:szCs w:val="16"/>
          <w:shd w:val="clear" w:color="auto" w:fill="FFFFFF"/>
        </w:rPr>
        <w:lastRenderedPageBreak/>
        <w:t>Abréviations :</w:t>
      </w:r>
      <w:r w:rsidR="00610FC2" w:rsidRPr="00376DC2">
        <w:rPr>
          <w:rFonts w:cstheme="minorHAnsi"/>
          <w:color w:val="333333"/>
          <w:sz w:val="16"/>
          <w:szCs w:val="16"/>
        </w:rPr>
        <w:br/>
      </w:r>
      <w:r w:rsidRPr="00376DC2">
        <w:rPr>
          <w:color w:val="333333"/>
          <w:sz w:val="16"/>
          <w:szCs w:val="16"/>
          <w:shd w:val="clear" w:color="auto" w:fill="FFFFFF"/>
        </w:rPr>
        <w:t xml:space="preserve">PNEU-C-13 : </w:t>
      </w:r>
      <w:r w:rsidR="4DB5EFDB" w:rsidRPr="00376DC2">
        <w:rPr>
          <w:color w:val="333333"/>
          <w:sz w:val="16"/>
          <w:szCs w:val="16"/>
          <w:shd w:val="clear" w:color="auto" w:fill="FFFFFF"/>
        </w:rPr>
        <w:t>v</w:t>
      </w:r>
      <w:r w:rsidR="4DB5EFDB" w:rsidRPr="00376DC2">
        <w:rPr>
          <w:color w:val="333333"/>
          <w:sz w:val="16"/>
          <w:szCs w:val="16"/>
        </w:rPr>
        <w:t>accin contre le pneumocoque</w:t>
      </w:r>
      <w:r w:rsidR="00BC4F8C">
        <w:rPr>
          <w:color w:val="333333"/>
          <w:sz w:val="16"/>
          <w:szCs w:val="16"/>
        </w:rPr>
        <w:t xml:space="preserve"> </w:t>
      </w:r>
      <w:r w:rsidR="00BC4F8C" w:rsidRPr="00376DC2">
        <w:rPr>
          <w:color w:val="333333"/>
          <w:sz w:val="16"/>
          <w:szCs w:val="16"/>
        </w:rPr>
        <w:t>conjugué 13-valent</w:t>
      </w:r>
    </w:p>
    <w:p w14:paraId="2E96B18C" w14:textId="276D6A1D" w:rsidR="004E06FA" w:rsidRPr="00376DC2" w:rsidRDefault="129406F0" w:rsidP="0047736B">
      <w:pPr>
        <w:spacing w:after="0" w:line="240" w:lineRule="auto"/>
        <w:rPr>
          <w:color w:val="333333"/>
          <w:sz w:val="16"/>
          <w:szCs w:val="16"/>
          <w:shd w:val="clear" w:color="auto" w:fill="FFFFFF"/>
        </w:rPr>
      </w:pPr>
      <w:r w:rsidRPr="00376DC2">
        <w:rPr>
          <w:color w:val="333333"/>
          <w:sz w:val="16"/>
          <w:szCs w:val="16"/>
          <w:shd w:val="clear" w:color="auto" w:fill="FFFFFF"/>
        </w:rPr>
        <w:t>PNEU-C-15 : v</w:t>
      </w:r>
      <w:r w:rsidR="1AB99192" w:rsidRPr="00376DC2">
        <w:rPr>
          <w:color w:val="333333"/>
          <w:sz w:val="16"/>
          <w:szCs w:val="16"/>
        </w:rPr>
        <w:t>accin contre le pneumocoque</w:t>
      </w:r>
      <w:r w:rsidR="00BC4F8C">
        <w:rPr>
          <w:color w:val="333333"/>
          <w:sz w:val="16"/>
          <w:szCs w:val="16"/>
        </w:rPr>
        <w:t xml:space="preserve"> </w:t>
      </w:r>
      <w:r w:rsidR="00BC4F8C" w:rsidRPr="00376DC2">
        <w:rPr>
          <w:color w:val="333333"/>
          <w:sz w:val="16"/>
          <w:szCs w:val="16"/>
        </w:rPr>
        <w:t>conjugué 15-valent</w:t>
      </w:r>
    </w:p>
    <w:p w14:paraId="3FA903FA" w14:textId="0380C9A0" w:rsidR="004E06FA" w:rsidRPr="00376DC2" w:rsidRDefault="129406F0" w:rsidP="0047736B">
      <w:pPr>
        <w:spacing w:after="0"/>
        <w:rPr>
          <w:color w:val="333333"/>
          <w:sz w:val="16"/>
          <w:szCs w:val="16"/>
        </w:rPr>
      </w:pPr>
      <w:r w:rsidRPr="00376DC2">
        <w:rPr>
          <w:color w:val="333333"/>
          <w:sz w:val="16"/>
          <w:szCs w:val="16"/>
          <w:shd w:val="clear" w:color="auto" w:fill="FFFFFF"/>
        </w:rPr>
        <w:t xml:space="preserve">PNEU-C-20 : </w:t>
      </w:r>
      <w:r w:rsidR="1577A10E" w:rsidRPr="00376DC2">
        <w:rPr>
          <w:color w:val="333333"/>
          <w:sz w:val="16"/>
          <w:szCs w:val="16"/>
        </w:rPr>
        <w:t>vaccin contre le pneumocoque</w:t>
      </w:r>
      <w:r w:rsidR="00BC4F8C">
        <w:rPr>
          <w:color w:val="333333"/>
          <w:sz w:val="16"/>
          <w:szCs w:val="16"/>
        </w:rPr>
        <w:t xml:space="preserve"> </w:t>
      </w:r>
      <w:r w:rsidR="00BC4F8C" w:rsidRPr="00376DC2">
        <w:rPr>
          <w:color w:val="333333"/>
          <w:sz w:val="16"/>
          <w:szCs w:val="16"/>
        </w:rPr>
        <w:t>conjugué 20-valent</w:t>
      </w:r>
      <w:r w:rsidR="00610FC2" w:rsidRPr="00376DC2">
        <w:rPr>
          <w:rFonts w:cstheme="minorHAnsi"/>
          <w:color w:val="333333"/>
          <w:sz w:val="16"/>
          <w:szCs w:val="16"/>
        </w:rPr>
        <w:br/>
      </w:r>
      <w:r w:rsidRPr="00376DC2">
        <w:rPr>
          <w:color w:val="333333"/>
          <w:sz w:val="16"/>
          <w:szCs w:val="16"/>
          <w:shd w:val="clear" w:color="auto" w:fill="FFFFFF"/>
        </w:rPr>
        <w:t xml:space="preserve">PNEU-P-23 : vaccin </w:t>
      </w:r>
      <w:r w:rsidR="1716B00E" w:rsidRPr="00376DC2">
        <w:rPr>
          <w:color w:val="333333"/>
          <w:sz w:val="16"/>
          <w:szCs w:val="16"/>
          <w:shd w:val="clear" w:color="auto" w:fill="FFFFFF"/>
        </w:rPr>
        <w:t>contre le pneumocoque</w:t>
      </w:r>
      <w:r w:rsidR="00752AFD">
        <w:rPr>
          <w:color w:val="333333"/>
          <w:sz w:val="16"/>
          <w:szCs w:val="16"/>
          <w:shd w:val="clear" w:color="auto" w:fill="FFFFFF"/>
        </w:rPr>
        <w:t xml:space="preserve"> </w:t>
      </w:r>
      <w:r w:rsidR="00752AFD" w:rsidRPr="00376DC2">
        <w:rPr>
          <w:color w:val="333333"/>
          <w:sz w:val="16"/>
          <w:szCs w:val="16"/>
        </w:rPr>
        <w:t>polysaccharidique</w:t>
      </w:r>
      <w:r w:rsidR="00752AFD" w:rsidRPr="00376DC2">
        <w:rPr>
          <w:color w:val="333333"/>
          <w:sz w:val="16"/>
          <w:szCs w:val="16"/>
          <w:shd w:val="clear" w:color="auto" w:fill="FFFFFF"/>
        </w:rPr>
        <w:t xml:space="preserve"> 23-valent</w:t>
      </w:r>
      <w:r w:rsidR="1716B00E" w:rsidRPr="00376DC2">
        <w:rPr>
          <w:color w:val="333333"/>
          <w:sz w:val="16"/>
          <w:szCs w:val="16"/>
          <w:shd w:val="clear" w:color="auto" w:fill="FFFFFF"/>
        </w:rPr>
        <w:t xml:space="preserve"> </w:t>
      </w:r>
      <w:r w:rsidRPr="00376DC2">
        <w:rPr>
          <w:color w:val="333333"/>
          <w:sz w:val="16"/>
          <w:szCs w:val="16"/>
          <w:shd w:val="clear" w:color="auto" w:fill="FFFFFF"/>
        </w:rPr>
        <w:t>(indiqué pour les personnes âgées de 24 mois et plus)</w:t>
      </w:r>
    </w:p>
    <w:p w14:paraId="41C2E9DC" w14:textId="3F161D51" w:rsidR="00C47DBD" w:rsidRPr="002D73C0" w:rsidRDefault="00C47DBD" w:rsidP="00A403C5"/>
    <w:sectPr w:rsidR="00C47DBD" w:rsidRPr="002D73C0" w:rsidSect="002822E3">
      <w:headerReference w:type="default" r:id="rId12"/>
      <w:footerReference w:type="default" r:id="rId13"/>
      <w:pgSz w:w="12240" w:h="15840" w:code="1"/>
      <w:pgMar w:top="720" w:right="851" w:bottom="99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06AE5" w14:textId="77777777" w:rsidR="009763A6" w:rsidRPr="00376DC2" w:rsidRDefault="009763A6" w:rsidP="00E801B2">
      <w:pPr>
        <w:spacing w:after="0" w:line="240" w:lineRule="auto"/>
      </w:pPr>
      <w:r w:rsidRPr="00376DC2">
        <w:separator/>
      </w:r>
    </w:p>
  </w:endnote>
  <w:endnote w:type="continuationSeparator" w:id="0">
    <w:p w14:paraId="4BE0CE0F" w14:textId="77777777" w:rsidR="009763A6" w:rsidRPr="00376DC2" w:rsidRDefault="009763A6" w:rsidP="00E801B2">
      <w:pPr>
        <w:spacing w:after="0" w:line="240" w:lineRule="auto"/>
      </w:pPr>
      <w:r w:rsidRPr="00376DC2">
        <w:continuationSeparator/>
      </w:r>
    </w:p>
  </w:endnote>
  <w:endnote w:type="continuationNotice" w:id="1">
    <w:p w14:paraId="6B717516" w14:textId="77777777" w:rsidR="009763A6" w:rsidRPr="00376DC2" w:rsidRDefault="00976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0013" w14:textId="25BB60AD" w:rsidR="00E801B2" w:rsidRPr="00376DC2" w:rsidRDefault="000D1643" w:rsidP="3D00B7D0">
    <w:pPr>
      <w:pStyle w:val="Footer"/>
    </w:pPr>
    <w:r w:rsidRPr="00376DC2">
      <w:ptab w:relativeTo="margin" w:alignment="center" w:leader="none"/>
    </w:r>
    <w:r w:rsidRPr="00376DC2">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980C" w14:textId="77777777" w:rsidR="009763A6" w:rsidRPr="00376DC2" w:rsidRDefault="009763A6" w:rsidP="00E801B2">
      <w:pPr>
        <w:spacing w:after="0" w:line="240" w:lineRule="auto"/>
      </w:pPr>
      <w:r w:rsidRPr="00376DC2">
        <w:separator/>
      </w:r>
    </w:p>
  </w:footnote>
  <w:footnote w:type="continuationSeparator" w:id="0">
    <w:p w14:paraId="19EDB170" w14:textId="77777777" w:rsidR="009763A6" w:rsidRPr="00376DC2" w:rsidRDefault="009763A6" w:rsidP="00E801B2">
      <w:pPr>
        <w:spacing w:after="0" w:line="240" w:lineRule="auto"/>
      </w:pPr>
      <w:r w:rsidRPr="00376DC2">
        <w:continuationSeparator/>
      </w:r>
    </w:p>
  </w:footnote>
  <w:footnote w:type="continuationNotice" w:id="1">
    <w:p w14:paraId="3E3B8260" w14:textId="77777777" w:rsidR="009763A6" w:rsidRPr="00376DC2" w:rsidRDefault="00976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3D00B7D0" w:rsidRPr="00376DC2" w14:paraId="6F53A3B3" w14:textId="77777777" w:rsidTr="3D00B7D0">
      <w:trPr>
        <w:trHeight w:val="300"/>
      </w:trPr>
      <w:tc>
        <w:tcPr>
          <w:tcW w:w="3510" w:type="dxa"/>
        </w:tcPr>
        <w:p w14:paraId="070D2F04" w14:textId="3892A6A2" w:rsidR="3D00B7D0" w:rsidRPr="00376DC2" w:rsidRDefault="3D00B7D0" w:rsidP="3D00B7D0">
          <w:pPr>
            <w:pStyle w:val="Header"/>
            <w:ind w:left="-115"/>
          </w:pPr>
        </w:p>
      </w:tc>
      <w:tc>
        <w:tcPr>
          <w:tcW w:w="3510" w:type="dxa"/>
        </w:tcPr>
        <w:p w14:paraId="251F6F63" w14:textId="02C1AA17" w:rsidR="3D00B7D0" w:rsidRPr="00376DC2" w:rsidRDefault="3D00B7D0" w:rsidP="3D00B7D0">
          <w:pPr>
            <w:pStyle w:val="Header"/>
            <w:jc w:val="center"/>
          </w:pPr>
        </w:p>
      </w:tc>
      <w:tc>
        <w:tcPr>
          <w:tcW w:w="3510" w:type="dxa"/>
        </w:tcPr>
        <w:p w14:paraId="415EA9BE" w14:textId="6355F87E" w:rsidR="3D00B7D0" w:rsidRPr="00376DC2" w:rsidRDefault="3D00B7D0" w:rsidP="3D00B7D0">
          <w:pPr>
            <w:pStyle w:val="Header"/>
            <w:ind w:right="-115"/>
            <w:jc w:val="right"/>
          </w:pPr>
        </w:p>
      </w:tc>
    </w:tr>
  </w:tbl>
  <w:p w14:paraId="26E0ED3A" w14:textId="0FBB93E1" w:rsidR="3D00B7D0" w:rsidRPr="00376DC2" w:rsidRDefault="3D00B7D0" w:rsidP="3D00B7D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1iPl43fr" int2:invalidationBookmarkName="" int2:hashCode="hvfkN/qlp/zhXR" int2:id="fPlsofj5">
      <int2:state int2:value="Rejected" int2:type="AugLoop_Text_Critique"/>
    </int2:bookmark>
    <int2:bookmark int2:bookmarkName="_Int_dEoEwzlB" int2:invalidationBookmarkName="" int2:hashCode="hvfkN/qlp/zhXR" int2:id="qL4NPksm">
      <int2:state int2:value="Rejected" int2:type="AugLoop_Text_Critique"/>
    </int2:bookmark>
    <int2:bookmark int2:bookmarkName="_Int_bJJfrWwP" int2:invalidationBookmarkName="" int2:hashCode="hvfkN/qlp/zhXR" int2:id="zYRZlg3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7A5A"/>
    <w:multiLevelType w:val="multilevel"/>
    <w:tmpl w:val="4498C8C4"/>
    <w:lvl w:ilvl="0">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744D21"/>
    <w:multiLevelType w:val="multilevel"/>
    <w:tmpl w:val="4B9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2A4F"/>
    <w:multiLevelType w:val="hybridMultilevel"/>
    <w:tmpl w:val="321CE7FE"/>
    <w:lvl w:ilvl="0" w:tplc="3686123E">
      <w:numFmt w:val="decimal"/>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01254F"/>
    <w:multiLevelType w:val="hybridMultilevel"/>
    <w:tmpl w:val="91E0E3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5665D3"/>
    <w:multiLevelType w:val="multilevel"/>
    <w:tmpl w:val="1B700ABC"/>
    <w:lvl w:ilvl="0">
      <w:numFmt w:val="decimal"/>
      <w:lvlText w:val="%1"/>
      <w:lvlJc w:val="left"/>
      <w:pPr>
        <w:ind w:left="360" w:hanging="360"/>
      </w:pPr>
      <w:rPr>
        <w:rFonts w:hint="default"/>
      </w:rPr>
    </w:lvl>
    <w:lvl w:ilvl="1">
      <w:start w:val="1"/>
      <w:numFmt w:val="decimal"/>
      <w:lvlText w:val="%1.%2"/>
      <w:lvlJc w:val="left"/>
      <w:pPr>
        <w:ind w:left="756"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3852" w:hanging="1080"/>
      </w:pPr>
      <w:rPr>
        <w:rFonts w:hint="default"/>
      </w:rPr>
    </w:lvl>
    <w:lvl w:ilvl="8">
      <w:start w:val="1"/>
      <w:numFmt w:val="decimal"/>
      <w:lvlText w:val="%1.%2.%3.%4.%5.%6.%7.%8.%9"/>
      <w:lvlJc w:val="left"/>
      <w:pPr>
        <w:ind w:left="4608" w:hanging="1440"/>
      </w:pPr>
      <w:rPr>
        <w:rFonts w:hint="default"/>
      </w:rPr>
    </w:lvl>
  </w:abstractNum>
  <w:abstractNum w:abstractNumId="5" w15:restartNumberingAfterBreak="0">
    <w:nsid w:val="17F4F773"/>
    <w:multiLevelType w:val="hybridMultilevel"/>
    <w:tmpl w:val="FFFFFFFF"/>
    <w:lvl w:ilvl="0" w:tplc="0F22D836">
      <w:start w:val="1"/>
      <w:numFmt w:val="bullet"/>
      <w:lvlText w:val=""/>
      <w:lvlJc w:val="left"/>
      <w:pPr>
        <w:ind w:left="720" w:hanging="360"/>
      </w:pPr>
      <w:rPr>
        <w:rFonts w:ascii="Symbol" w:hAnsi="Symbol" w:hint="default"/>
      </w:rPr>
    </w:lvl>
    <w:lvl w:ilvl="1" w:tplc="2ECA7FA0">
      <w:start w:val="1"/>
      <w:numFmt w:val="bullet"/>
      <w:lvlText w:val="o"/>
      <w:lvlJc w:val="left"/>
      <w:pPr>
        <w:ind w:left="1440" w:hanging="360"/>
      </w:pPr>
      <w:rPr>
        <w:rFonts w:ascii="Courier New" w:hAnsi="Courier New" w:hint="default"/>
      </w:rPr>
    </w:lvl>
    <w:lvl w:ilvl="2" w:tplc="8FAC43D0">
      <w:start w:val="1"/>
      <w:numFmt w:val="bullet"/>
      <w:lvlText w:val=""/>
      <w:lvlJc w:val="left"/>
      <w:pPr>
        <w:ind w:left="2160" w:hanging="360"/>
      </w:pPr>
      <w:rPr>
        <w:rFonts w:ascii="Wingdings" w:hAnsi="Wingdings" w:hint="default"/>
      </w:rPr>
    </w:lvl>
    <w:lvl w:ilvl="3" w:tplc="E42E6F92">
      <w:start w:val="1"/>
      <w:numFmt w:val="bullet"/>
      <w:lvlText w:val=""/>
      <w:lvlJc w:val="left"/>
      <w:pPr>
        <w:ind w:left="2880" w:hanging="360"/>
      </w:pPr>
      <w:rPr>
        <w:rFonts w:ascii="Symbol" w:hAnsi="Symbol" w:hint="default"/>
      </w:rPr>
    </w:lvl>
    <w:lvl w:ilvl="4" w:tplc="94227562">
      <w:start w:val="1"/>
      <w:numFmt w:val="bullet"/>
      <w:lvlText w:val="o"/>
      <w:lvlJc w:val="left"/>
      <w:pPr>
        <w:ind w:left="3600" w:hanging="360"/>
      </w:pPr>
      <w:rPr>
        <w:rFonts w:ascii="Courier New" w:hAnsi="Courier New" w:hint="default"/>
      </w:rPr>
    </w:lvl>
    <w:lvl w:ilvl="5" w:tplc="D30E7E1A">
      <w:start w:val="1"/>
      <w:numFmt w:val="bullet"/>
      <w:lvlText w:val=""/>
      <w:lvlJc w:val="left"/>
      <w:pPr>
        <w:ind w:left="4320" w:hanging="360"/>
      </w:pPr>
      <w:rPr>
        <w:rFonts w:ascii="Wingdings" w:hAnsi="Wingdings" w:hint="default"/>
      </w:rPr>
    </w:lvl>
    <w:lvl w:ilvl="6" w:tplc="1944BC8A">
      <w:start w:val="1"/>
      <w:numFmt w:val="bullet"/>
      <w:lvlText w:val=""/>
      <w:lvlJc w:val="left"/>
      <w:pPr>
        <w:ind w:left="5040" w:hanging="360"/>
      </w:pPr>
      <w:rPr>
        <w:rFonts w:ascii="Symbol" w:hAnsi="Symbol" w:hint="default"/>
      </w:rPr>
    </w:lvl>
    <w:lvl w:ilvl="7" w:tplc="853AA99A">
      <w:start w:val="1"/>
      <w:numFmt w:val="bullet"/>
      <w:lvlText w:val="o"/>
      <w:lvlJc w:val="left"/>
      <w:pPr>
        <w:ind w:left="5760" w:hanging="360"/>
      </w:pPr>
      <w:rPr>
        <w:rFonts w:ascii="Courier New" w:hAnsi="Courier New" w:hint="default"/>
      </w:rPr>
    </w:lvl>
    <w:lvl w:ilvl="8" w:tplc="1EE80666">
      <w:start w:val="1"/>
      <w:numFmt w:val="bullet"/>
      <w:lvlText w:val=""/>
      <w:lvlJc w:val="left"/>
      <w:pPr>
        <w:ind w:left="6480" w:hanging="360"/>
      </w:pPr>
      <w:rPr>
        <w:rFonts w:ascii="Wingdings" w:hAnsi="Wingdings" w:hint="default"/>
      </w:rPr>
    </w:lvl>
  </w:abstractNum>
  <w:abstractNum w:abstractNumId="6" w15:restartNumberingAfterBreak="0">
    <w:nsid w:val="1C552D71"/>
    <w:multiLevelType w:val="hybridMultilevel"/>
    <w:tmpl w:val="BE208732"/>
    <w:lvl w:ilvl="0" w:tplc="1BF880BA">
      <w:start w:val="1"/>
      <w:numFmt w:val="bullet"/>
      <w:lvlText w:val=""/>
      <w:lvlJc w:val="left"/>
      <w:pPr>
        <w:ind w:left="720" w:hanging="360"/>
      </w:pPr>
      <w:rPr>
        <w:rFonts w:ascii="Symbol" w:hAnsi="Symbol" w:hint="default"/>
        <w:sz w:val="18"/>
        <w:szCs w:val="18"/>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FC2E25"/>
    <w:multiLevelType w:val="hybridMultilevel"/>
    <w:tmpl w:val="91E8F56C"/>
    <w:lvl w:ilvl="0" w:tplc="10090017">
      <w:start w:val="1"/>
      <w:numFmt w:val="lowerLetter"/>
      <w:lvlText w:val="%1)"/>
      <w:lvlJc w:val="left"/>
      <w:pPr>
        <w:ind w:left="720" w:hanging="360"/>
      </w:pPr>
      <w:rPr>
        <w:rFonts w:hint="default"/>
        <w:b w:val="0"/>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AB9F4C"/>
    <w:multiLevelType w:val="hybridMultilevel"/>
    <w:tmpl w:val="6BC609A2"/>
    <w:lvl w:ilvl="0" w:tplc="09380C56">
      <w:start w:val="1"/>
      <w:numFmt w:val="bullet"/>
      <w:lvlText w:val=""/>
      <w:lvlJc w:val="left"/>
      <w:pPr>
        <w:ind w:left="720" w:hanging="360"/>
      </w:pPr>
      <w:rPr>
        <w:rFonts w:ascii="Symbol" w:hAnsi="Symbol" w:hint="default"/>
      </w:rPr>
    </w:lvl>
    <w:lvl w:ilvl="1" w:tplc="BE1E26EA">
      <w:start w:val="1"/>
      <w:numFmt w:val="bullet"/>
      <w:lvlText w:val="o"/>
      <w:lvlJc w:val="left"/>
      <w:pPr>
        <w:ind w:left="1440" w:hanging="360"/>
      </w:pPr>
      <w:rPr>
        <w:rFonts w:ascii="Courier New" w:hAnsi="Courier New" w:hint="default"/>
      </w:rPr>
    </w:lvl>
    <w:lvl w:ilvl="2" w:tplc="21AE8BDE">
      <w:start w:val="1"/>
      <w:numFmt w:val="bullet"/>
      <w:lvlText w:val=""/>
      <w:lvlJc w:val="left"/>
      <w:pPr>
        <w:ind w:left="2160" w:hanging="360"/>
      </w:pPr>
      <w:rPr>
        <w:rFonts w:ascii="Wingdings" w:hAnsi="Wingdings" w:hint="default"/>
      </w:rPr>
    </w:lvl>
    <w:lvl w:ilvl="3" w:tplc="5D38CA28">
      <w:start w:val="1"/>
      <w:numFmt w:val="bullet"/>
      <w:lvlText w:val=""/>
      <w:lvlJc w:val="left"/>
      <w:pPr>
        <w:ind w:left="2880" w:hanging="360"/>
      </w:pPr>
      <w:rPr>
        <w:rFonts w:ascii="Symbol" w:hAnsi="Symbol" w:hint="default"/>
      </w:rPr>
    </w:lvl>
    <w:lvl w:ilvl="4" w:tplc="E78ED2B4">
      <w:start w:val="1"/>
      <w:numFmt w:val="bullet"/>
      <w:lvlText w:val="o"/>
      <w:lvlJc w:val="left"/>
      <w:pPr>
        <w:ind w:left="3600" w:hanging="360"/>
      </w:pPr>
      <w:rPr>
        <w:rFonts w:ascii="Courier New" w:hAnsi="Courier New" w:hint="default"/>
      </w:rPr>
    </w:lvl>
    <w:lvl w:ilvl="5" w:tplc="D8E0C2BA">
      <w:start w:val="1"/>
      <w:numFmt w:val="bullet"/>
      <w:lvlText w:val=""/>
      <w:lvlJc w:val="left"/>
      <w:pPr>
        <w:ind w:left="4320" w:hanging="360"/>
      </w:pPr>
      <w:rPr>
        <w:rFonts w:ascii="Wingdings" w:hAnsi="Wingdings" w:hint="default"/>
      </w:rPr>
    </w:lvl>
    <w:lvl w:ilvl="6" w:tplc="017AFE7A">
      <w:start w:val="1"/>
      <w:numFmt w:val="bullet"/>
      <w:lvlText w:val=""/>
      <w:lvlJc w:val="left"/>
      <w:pPr>
        <w:ind w:left="5040" w:hanging="360"/>
      </w:pPr>
      <w:rPr>
        <w:rFonts w:ascii="Symbol" w:hAnsi="Symbol" w:hint="default"/>
      </w:rPr>
    </w:lvl>
    <w:lvl w:ilvl="7" w:tplc="245AF022">
      <w:start w:val="1"/>
      <w:numFmt w:val="bullet"/>
      <w:lvlText w:val="o"/>
      <w:lvlJc w:val="left"/>
      <w:pPr>
        <w:ind w:left="5760" w:hanging="360"/>
      </w:pPr>
      <w:rPr>
        <w:rFonts w:ascii="Courier New" w:hAnsi="Courier New" w:hint="default"/>
      </w:rPr>
    </w:lvl>
    <w:lvl w:ilvl="8" w:tplc="C9C41AFC">
      <w:start w:val="1"/>
      <w:numFmt w:val="bullet"/>
      <w:lvlText w:val=""/>
      <w:lvlJc w:val="left"/>
      <w:pPr>
        <w:ind w:left="6480" w:hanging="360"/>
      </w:pPr>
      <w:rPr>
        <w:rFonts w:ascii="Wingdings" w:hAnsi="Wingdings" w:hint="default"/>
      </w:rPr>
    </w:lvl>
  </w:abstractNum>
  <w:abstractNum w:abstractNumId="9" w15:restartNumberingAfterBreak="0">
    <w:nsid w:val="407179D7"/>
    <w:multiLevelType w:val="hybridMultilevel"/>
    <w:tmpl w:val="368C06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4B22FD0"/>
    <w:multiLevelType w:val="hybridMultilevel"/>
    <w:tmpl w:val="ED2C60A8"/>
    <w:lvl w:ilvl="0" w:tplc="9CF2731A">
      <w:start w:val="1"/>
      <w:numFmt w:val="bullet"/>
      <w:lvlText w:val=""/>
      <w:lvlJc w:val="left"/>
      <w:pPr>
        <w:ind w:left="1080" w:hanging="360"/>
      </w:pPr>
      <w:rPr>
        <w:rFonts w:ascii="Symbol" w:hAnsi="Symbol"/>
      </w:rPr>
    </w:lvl>
    <w:lvl w:ilvl="1" w:tplc="491409D0">
      <w:start w:val="1"/>
      <w:numFmt w:val="bullet"/>
      <w:lvlText w:val=""/>
      <w:lvlJc w:val="left"/>
      <w:pPr>
        <w:ind w:left="1080" w:hanging="360"/>
      </w:pPr>
      <w:rPr>
        <w:rFonts w:ascii="Symbol" w:hAnsi="Symbol"/>
      </w:rPr>
    </w:lvl>
    <w:lvl w:ilvl="2" w:tplc="AF562AA4">
      <w:start w:val="1"/>
      <w:numFmt w:val="bullet"/>
      <w:lvlText w:val=""/>
      <w:lvlJc w:val="left"/>
      <w:pPr>
        <w:ind w:left="1080" w:hanging="360"/>
      </w:pPr>
      <w:rPr>
        <w:rFonts w:ascii="Symbol" w:hAnsi="Symbol"/>
      </w:rPr>
    </w:lvl>
    <w:lvl w:ilvl="3" w:tplc="5204F6C8">
      <w:start w:val="1"/>
      <w:numFmt w:val="bullet"/>
      <w:lvlText w:val=""/>
      <w:lvlJc w:val="left"/>
      <w:pPr>
        <w:ind w:left="1080" w:hanging="360"/>
      </w:pPr>
      <w:rPr>
        <w:rFonts w:ascii="Symbol" w:hAnsi="Symbol"/>
      </w:rPr>
    </w:lvl>
    <w:lvl w:ilvl="4" w:tplc="E36C6186">
      <w:start w:val="1"/>
      <w:numFmt w:val="bullet"/>
      <w:lvlText w:val=""/>
      <w:lvlJc w:val="left"/>
      <w:pPr>
        <w:ind w:left="1080" w:hanging="360"/>
      </w:pPr>
      <w:rPr>
        <w:rFonts w:ascii="Symbol" w:hAnsi="Symbol"/>
      </w:rPr>
    </w:lvl>
    <w:lvl w:ilvl="5" w:tplc="B9B6354E">
      <w:start w:val="1"/>
      <w:numFmt w:val="bullet"/>
      <w:lvlText w:val=""/>
      <w:lvlJc w:val="left"/>
      <w:pPr>
        <w:ind w:left="1080" w:hanging="360"/>
      </w:pPr>
      <w:rPr>
        <w:rFonts w:ascii="Symbol" w:hAnsi="Symbol"/>
      </w:rPr>
    </w:lvl>
    <w:lvl w:ilvl="6" w:tplc="3EDE3EBA">
      <w:start w:val="1"/>
      <w:numFmt w:val="bullet"/>
      <w:lvlText w:val=""/>
      <w:lvlJc w:val="left"/>
      <w:pPr>
        <w:ind w:left="1080" w:hanging="360"/>
      </w:pPr>
      <w:rPr>
        <w:rFonts w:ascii="Symbol" w:hAnsi="Symbol"/>
      </w:rPr>
    </w:lvl>
    <w:lvl w:ilvl="7" w:tplc="F8649D60">
      <w:start w:val="1"/>
      <w:numFmt w:val="bullet"/>
      <w:lvlText w:val=""/>
      <w:lvlJc w:val="left"/>
      <w:pPr>
        <w:ind w:left="1080" w:hanging="360"/>
      </w:pPr>
      <w:rPr>
        <w:rFonts w:ascii="Symbol" w:hAnsi="Symbol"/>
      </w:rPr>
    </w:lvl>
    <w:lvl w:ilvl="8" w:tplc="D2A6C064">
      <w:start w:val="1"/>
      <w:numFmt w:val="bullet"/>
      <w:lvlText w:val=""/>
      <w:lvlJc w:val="left"/>
      <w:pPr>
        <w:ind w:left="1080" w:hanging="360"/>
      </w:pPr>
      <w:rPr>
        <w:rFonts w:ascii="Symbol" w:hAnsi="Symbol"/>
      </w:rPr>
    </w:lvl>
  </w:abstractNum>
  <w:abstractNum w:abstractNumId="11" w15:restartNumberingAfterBreak="0">
    <w:nsid w:val="49B62227"/>
    <w:multiLevelType w:val="hybridMultilevel"/>
    <w:tmpl w:val="C4489A74"/>
    <w:lvl w:ilvl="0" w:tplc="F454EBDC">
      <w:start w:val="1"/>
      <w:numFmt w:val="bullet"/>
      <w:lvlText w:val=""/>
      <w:lvlJc w:val="left"/>
      <w:pPr>
        <w:ind w:left="1080" w:hanging="360"/>
      </w:pPr>
      <w:rPr>
        <w:rFonts w:ascii="Symbol" w:hAnsi="Symbol"/>
      </w:rPr>
    </w:lvl>
    <w:lvl w:ilvl="1" w:tplc="171C0110">
      <w:start w:val="1"/>
      <w:numFmt w:val="bullet"/>
      <w:lvlText w:val=""/>
      <w:lvlJc w:val="left"/>
      <w:pPr>
        <w:ind w:left="1080" w:hanging="360"/>
      </w:pPr>
      <w:rPr>
        <w:rFonts w:ascii="Symbol" w:hAnsi="Symbol"/>
      </w:rPr>
    </w:lvl>
    <w:lvl w:ilvl="2" w:tplc="0C8CC85A">
      <w:start w:val="1"/>
      <w:numFmt w:val="bullet"/>
      <w:lvlText w:val=""/>
      <w:lvlJc w:val="left"/>
      <w:pPr>
        <w:ind w:left="1080" w:hanging="360"/>
      </w:pPr>
      <w:rPr>
        <w:rFonts w:ascii="Symbol" w:hAnsi="Symbol"/>
      </w:rPr>
    </w:lvl>
    <w:lvl w:ilvl="3" w:tplc="A5A2CA9C">
      <w:start w:val="1"/>
      <w:numFmt w:val="bullet"/>
      <w:lvlText w:val=""/>
      <w:lvlJc w:val="left"/>
      <w:pPr>
        <w:ind w:left="1080" w:hanging="360"/>
      </w:pPr>
      <w:rPr>
        <w:rFonts w:ascii="Symbol" w:hAnsi="Symbol"/>
      </w:rPr>
    </w:lvl>
    <w:lvl w:ilvl="4" w:tplc="56ECF39E">
      <w:start w:val="1"/>
      <w:numFmt w:val="bullet"/>
      <w:lvlText w:val=""/>
      <w:lvlJc w:val="left"/>
      <w:pPr>
        <w:ind w:left="1080" w:hanging="360"/>
      </w:pPr>
      <w:rPr>
        <w:rFonts w:ascii="Symbol" w:hAnsi="Symbol"/>
      </w:rPr>
    </w:lvl>
    <w:lvl w:ilvl="5" w:tplc="B1629C2A">
      <w:start w:val="1"/>
      <w:numFmt w:val="bullet"/>
      <w:lvlText w:val=""/>
      <w:lvlJc w:val="left"/>
      <w:pPr>
        <w:ind w:left="1080" w:hanging="360"/>
      </w:pPr>
      <w:rPr>
        <w:rFonts w:ascii="Symbol" w:hAnsi="Symbol"/>
      </w:rPr>
    </w:lvl>
    <w:lvl w:ilvl="6" w:tplc="A4CA6CB8">
      <w:start w:val="1"/>
      <w:numFmt w:val="bullet"/>
      <w:lvlText w:val=""/>
      <w:lvlJc w:val="left"/>
      <w:pPr>
        <w:ind w:left="1080" w:hanging="360"/>
      </w:pPr>
      <w:rPr>
        <w:rFonts w:ascii="Symbol" w:hAnsi="Symbol"/>
      </w:rPr>
    </w:lvl>
    <w:lvl w:ilvl="7" w:tplc="6C8460C8">
      <w:start w:val="1"/>
      <w:numFmt w:val="bullet"/>
      <w:lvlText w:val=""/>
      <w:lvlJc w:val="left"/>
      <w:pPr>
        <w:ind w:left="1080" w:hanging="360"/>
      </w:pPr>
      <w:rPr>
        <w:rFonts w:ascii="Symbol" w:hAnsi="Symbol"/>
      </w:rPr>
    </w:lvl>
    <w:lvl w:ilvl="8" w:tplc="62E444B0">
      <w:start w:val="1"/>
      <w:numFmt w:val="bullet"/>
      <w:lvlText w:val=""/>
      <w:lvlJc w:val="left"/>
      <w:pPr>
        <w:ind w:left="1080" w:hanging="360"/>
      </w:pPr>
      <w:rPr>
        <w:rFonts w:ascii="Symbol" w:hAnsi="Symbol"/>
      </w:rPr>
    </w:lvl>
  </w:abstractNum>
  <w:abstractNum w:abstractNumId="12" w15:restartNumberingAfterBreak="0">
    <w:nsid w:val="4E525EC7"/>
    <w:multiLevelType w:val="multilevel"/>
    <w:tmpl w:val="85D8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8B6CFE"/>
    <w:multiLevelType w:val="hybridMultilevel"/>
    <w:tmpl w:val="2CA41356"/>
    <w:lvl w:ilvl="0" w:tplc="10090017">
      <w:start w:val="1"/>
      <w:numFmt w:val="lowerLetter"/>
      <w:lvlText w:val="%1)"/>
      <w:lvlJc w:val="left"/>
      <w:pPr>
        <w:ind w:left="502" w:hanging="36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A942079"/>
    <w:multiLevelType w:val="multilevel"/>
    <w:tmpl w:val="0C2A1A5A"/>
    <w:lvl w:ilvl="0">
      <w:numFmt w:val="decimal"/>
      <w:lvlText w:val="(%1"/>
      <w:lvlJc w:val="left"/>
      <w:pPr>
        <w:ind w:left="360" w:hanging="360"/>
      </w:pPr>
      <w:rPr>
        <w:rFonts w:hint="default"/>
      </w:rPr>
    </w:lvl>
    <w:lvl w:ilvl="1">
      <w:start w:val="1"/>
      <w:numFmt w:val="decimal"/>
      <w:lvlText w:val="(%1.%2"/>
      <w:lvlJc w:val="left"/>
      <w:pPr>
        <w:ind w:left="756"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5" w15:restartNumberingAfterBreak="0">
    <w:nsid w:val="62354B74"/>
    <w:multiLevelType w:val="hybridMultilevel"/>
    <w:tmpl w:val="CACC846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4CF2929"/>
    <w:multiLevelType w:val="hybridMultilevel"/>
    <w:tmpl w:val="2E388FA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71F5E32"/>
    <w:multiLevelType w:val="multilevel"/>
    <w:tmpl w:val="CCA69ED2"/>
    <w:lvl w:ilvl="0">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720" w:hanging="72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080" w:hanging="1080"/>
      </w:pPr>
      <w:rPr>
        <w:rFonts w:hint="default"/>
        <w:b w:val="0"/>
        <w:sz w:val="22"/>
      </w:rPr>
    </w:lvl>
    <w:lvl w:ilvl="7">
      <w:start w:val="1"/>
      <w:numFmt w:val="decimal"/>
      <w:lvlText w:val="%1.%2.%3.%4.%5.%6.%7.%8"/>
      <w:lvlJc w:val="left"/>
      <w:pPr>
        <w:ind w:left="1080" w:hanging="108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18" w15:restartNumberingAfterBreak="0">
    <w:nsid w:val="6ABD1DAE"/>
    <w:multiLevelType w:val="hybridMultilevel"/>
    <w:tmpl w:val="882EC7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6F32979"/>
    <w:multiLevelType w:val="hybridMultilevel"/>
    <w:tmpl w:val="A0DA40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8F76613"/>
    <w:multiLevelType w:val="multilevel"/>
    <w:tmpl w:val="8C16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37279"/>
    <w:multiLevelType w:val="multilevel"/>
    <w:tmpl w:val="38AC788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528229">
    <w:abstractNumId w:val="8"/>
  </w:num>
  <w:num w:numId="2" w16cid:durableId="273561706">
    <w:abstractNumId w:val="0"/>
  </w:num>
  <w:num w:numId="3" w16cid:durableId="557522445">
    <w:abstractNumId w:val="9"/>
  </w:num>
  <w:num w:numId="4" w16cid:durableId="75248838">
    <w:abstractNumId w:val="4"/>
  </w:num>
  <w:num w:numId="5" w16cid:durableId="95098005">
    <w:abstractNumId w:val="14"/>
  </w:num>
  <w:num w:numId="6" w16cid:durableId="2090803815">
    <w:abstractNumId w:val="7"/>
  </w:num>
  <w:num w:numId="7" w16cid:durableId="1877422002">
    <w:abstractNumId w:val="2"/>
  </w:num>
  <w:num w:numId="8" w16cid:durableId="1644433028">
    <w:abstractNumId w:val="17"/>
  </w:num>
  <w:num w:numId="9" w16cid:durableId="598876817">
    <w:abstractNumId w:val="19"/>
  </w:num>
  <w:num w:numId="10" w16cid:durableId="1444379060">
    <w:abstractNumId w:val="13"/>
  </w:num>
  <w:num w:numId="11" w16cid:durableId="118841165">
    <w:abstractNumId w:val="18"/>
  </w:num>
  <w:num w:numId="12" w16cid:durableId="2037344547">
    <w:abstractNumId w:val="6"/>
  </w:num>
  <w:num w:numId="13" w16cid:durableId="1501846124">
    <w:abstractNumId w:val="12"/>
  </w:num>
  <w:num w:numId="14" w16cid:durableId="1385643760">
    <w:abstractNumId w:val="20"/>
  </w:num>
  <w:num w:numId="15" w16cid:durableId="1134444847">
    <w:abstractNumId w:val="1"/>
  </w:num>
  <w:num w:numId="16" w16cid:durableId="261885457">
    <w:abstractNumId w:val="3"/>
  </w:num>
  <w:num w:numId="17" w16cid:durableId="764689075">
    <w:abstractNumId w:val="15"/>
  </w:num>
  <w:num w:numId="18" w16cid:durableId="1374891314">
    <w:abstractNumId w:val="21"/>
  </w:num>
  <w:num w:numId="19" w16cid:durableId="686370458">
    <w:abstractNumId w:val="16"/>
  </w:num>
  <w:num w:numId="20" w16cid:durableId="1009452274">
    <w:abstractNumId w:val="5"/>
  </w:num>
  <w:num w:numId="21" w16cid:durableId="836725884">
    <w:abstractNumId w:val="11"/>
  </w:num>
  <w:num w:numId="22" w16cid:durableId="531497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25"/>
    <w:rsid w:val="00000255"/>
    <w:rsid w:val="000002EB"/>
    <w:rsid w:val="00001BFB"/>
    <w:rsid w:val="00001E77"/>
    <w:rsid w:val="00002F11"/>
    <w:rsid w:val="00003B7F"/>
    <w:rsid w:val="000120A2"/>
    <w:rsid w:val="0001287F"/>
    <w:rsid w:val="0001316F"/>
    <w:rsid w:val="00013402"/>
    <w:rsid w:val="000139E9"/>
    <w:rsid w:val="0001506B"/>
    <w:rsid w:val="0002040A"/>
    <w:rsid w:val="0002201F"/>
    <w:rsid w:val="000252FA"/>
    <w:rsid w:val="00031E2F"/>
    <w:rsid w:val="00032142"/>
    <w:rsid w:val="00033200"/>
    <w:rsid w:val="0003394B"/>
    <w:rsid w:val="0003463D"/>
    <w:rsid w:val="000351A1"/>
    <w:rsid w:val="000364EB"/>
    <w:rsid w:val="00036AA8"/>
    <w:rsid w:val="00037E36"/>
    <w:rsid w:val="000433C8"/>
    <w:rsid w:val="00043E61"/>
    <w:rsid w:val="00044B04"/>
    <w:rsid w:val="00052132"/>
    <w:rsid w:val="0005281C"/>
    <w:rsid w:val="00052AB0"/>
    <w:rsid w:val="00054EBE"/>
    <w:rsid w:val="00060B5A"/>
    <w:rsid w:val="0006126F"/>
    <w:rsid w:val="00061FDA"/>
    <w:rsid w:val="000635F9"/>
    <w:rsid w:val="00064F82"/>
    <w:rsid w:val="000663AF"/>
    <w:rsid w:val="0006688B"/>
    <w:rsid w:val="0006788C"/>
    <w:rsid w:val="00071694"/>
    <w:rsid w:val="000722F0"/>
    <w:rsid w:val="00073A3C"/>
    <w:rsid w:val="00073FE3"/>
    <w:rsid w:val="00074D1C"/>
    <w:rsid w:val="0007530D"/>
    <w:rsid w:val="00075705"/>
    <w:rsid w:val="00077B46"/>
    <w:rsid w:val="00082861"/>
    <w:rsid w:val="00082DCA"/>
    <w:rsid w:val="000865BE"/>
    <w:rsid w:val="000911A7"/>
    <w:rsid w:val="00092FA8"/>
    <w:rsid w:val="000941D7"/>
    <w:rsid w:val="000949F7"/>
    <w:rsid w:val="00095016"/>
    <w:rsid w:val="00095923"/>
    <w:rsid w:val="000960DE"/>
    <w:rsid w:val="000965DF"/>
    <w:rsid w:val="000A13B3"/>
    <w:rsid w:val="000A311B"/>
    <w:rsid w:val="000A45DE"/>
    <w:rsid w:val="000A48D8"/>
    <w:rsid w:val="000A5C34"/>
    <w:rsid w:val="000A7257"/>
    <w:rsid w:val="000B0426"/>
    <w:rsid w:val="000B049B"/>
    <w:rsid w:val="000B10E9"/>
    <w:rsid w:val="000B138F"/>
    <w:rsid w:val="000B3063"/>
    <w:rsid w:val="000B38E4"/>
    <w:rsid w:val="000B411E"/>
    <w:rsid w:val="000B65D8"/>
    <w:rsid w:val="000C05B0"/>
    <w:rsid w:val="000C05E3"/>
    <w:rsid w:val="000C0605"/>
    <w:rsid w:val="000C6D03"/>
    <w:rsid w:val="000C7269"/>
    <w:rsid w:val="000D1643"/>
    <w:rsid w:val="000D3B7C"/>
    <w:rsid w:val="000D3B82"/>
    <w:rsid w:val="000D3E35"/>
    <w:rsid w:val="000D3FCC"/>
    <w:rsid w:val="000D4DD3"/>
    <w:rsid w:val="000D5DBB"/>
    <w:rsid w:val="000E01F1"/>
    <w:rsid w:val="000E1B9E"/>
    <w:rsid w:val="000E3C4B"/>
    <w:rsid w:val="000E4889"/>
    <w:rsid w:val="000F0008"/>
    <w:rsid w:val="000F1BE5"/>
    <w:rsid w:val="000F39B3"/>
    <w:rsid w:val="000F3B4E"/>
    <w:rsid w:val="000F4543"/>
    <w:rsid w:val="000F510D"/>
    <w:rsid w:val="000F6C85"/>
    <w:rsid w:val="000F6F99"/>
    <w:rsid w:val="000F7956"/>
    <w:rsid w:val="000F796D"/>
    <w:rsid w:val="0010091C"/>
    <w:rsid w:val="00102ADD"/>
    <w:rsid w:val="001031B1"/>
    <w:rsid w:val="00104518"/>
    <w:rsid w:val="00104A57"/>
    <w:rsid w:val="00105F9F"/>
    <w:rsid w:val="00106CCF"/>
    <w:rsid w:val="00107668"/>
    <w:rsid w:val="00110220"/>
    <w:rsid w:val="001107A1"/>
    <w:rsid w:val="0011240E"/>
    <w:rsid w:val="00112870"/>
    <w:rsid w:val="00113400"/>
    <w:rsid w:val="001139CE"/>
    <w:rsid w:val="001142C9"/>
    <w:rsid w:val="0011670A"/>
    <w:rsid w:val="001172EA"/>
    <w:rsid w:val="00121AD3"/>
    <w:rsid w:val="001224EC"/>
    <w:rsid w:val="001240C9"/>
    <w:rsid w:val="001244C4"/>
    <w:rsid w:val="00125118"/>
    <w:rsid w:val="00125DEE"/>
    <w:rsid w:val="00126C55"/>
    <w:rsid w:val="001352F3"/>
    <w:rsid w:val="00136A2A"/>
    <w:rsid w:val="001371DC"/>
    <w:rsid w:val="00137CDD"/>
    <w:rsid w:val="00140066"/>
    <w:rsid w:val="00140903"/>
    <w:rsid w:val="00141D60"/>
    <w:rsid w:val="001455C8"/>
    <w:rsid w:val="00151B2E"/>
    <w:rsid w:val="001524A7"/>
    <w:rsid w:val="001524E8"/>
    <w:rsid w:val="00153624"/>
    <w:rsid w:val="001567AA"/>
    <w:rsid w:val="001567E2"/>
    <w:rsid w:val="00157269"/>
    <w:rsid w:val="00160744"/>
    <w:rsid w:val="00161CC3"/>
    <w:rsid w:val="0016277D"/>
    <w:rsid w:val="001637A3"/>
    <w:rsid w:val="00163F8E"/>
    <w:rsid w:val="0016663E"/>
    <w:rsid w:val="00167B33"/>
    <w:rsid w:val="00170E42"/>
    <w:rsid w:val="00171F69"/>
    <w:rsid w:val="001741EB"/>
    <w:rsid w:val="00181484"/>
    <w:rsid w:val="001814D6"/>
    <w:rsid w:val="00182A7D"/>
    <w:rsid w:val="001860FD"/>
    <w:rsid w:val="00186261"/>
    <w:rsid w:val="00186D7C"/>
    <w:rsid w:val="001875B0"/>
    <w:rsid w:val="001903EC"/>
    <w:rsid w:val="00190805"/>
    <w:rsid w:val="00190D2A"/>
    <w:rsid w:val="00191649"/>
    <w:rsid w:val="0019595A"/>
    <w:rsid w:val="0019740A"/>
    <w:rsid w:val="0019778E"/>
    <w:rsid w:val="001A29A5"/>
    <w:rsid w:val="001A2A92"/>
    <w:rsid w:val="001A356E"/>
    <w:rsid w:val="001A48E1"/>
    <w:rsid w:val="001A759B"/>
    <w:rsid w:val="001B0633"/>
    <w:rsid w:val="001B0AAD"/>
    <w:rsid w:val="001B3C04"/>
    <w:rsid w:val="001B469A"/>
    <w:rsid w:val="001B4DB2"/>
    <w:rsid w:val="001B581B"/>
    <w:rsid w:val="001B58A3"/>
    <w:rsid w:val="001B7341"/>
    <w:rsid w:val="001C26D6"/>
    <w:rsid w:val="001C316F"/>
    <w:rsid w:val="001C4360"/>
    <w:rsid w:val="001C54BC"/>
    <w:rsid w:val="001C561C"/>
    <w:rsid w:val="001C76F4"/>
    <w:rsid w:val="001D0398"/>
    <w:rsid w:val="001D5AC0"/>
    <w:rsid w:val="001D65E8"/>
    <w:rsid w:val="001D75C4"/>
    <w:rsid w:val="001D7612"/>
    <w:rsid w:val="001E3349"/>
    <w:rsid w:val="001E3CE6"/>
    <w:rsid w:val="001E4085"/>
    <w:rsid w:val="001E41F4"/>
    <w:rsid w:val="001E491D"/>
    <w:rsid w:val="001E6599"/>
    <w:rsid w:val="001E713E"/>
    <w:rsid w:val="001F30BF"/>
    <w:rsid w:val="001F31E3"/>
    <w:rsid w:val="001F4A4C"/>
    <w:rsid w:val="001F70E2"/>
    <w:rsid w:val="00201A0F"/>
    <w:rsid w:val="00202FE6"/>
    <w:rsid w:val="00203D61"/>
    <w:rsid w:val="002066CB"/>
    <w:rsid w:val="0020682D"/>
    <w:rsid w:val="002111C1"/>
    <w:rsid w:val="0021247B"/>
    <w:rsid w:val="002135ED"/>
    <w:rsid w:val="00214691"/>
    <w:rsid w:val="00214DEC"/>
    <w:rsid w:val="0021738F"/>
    <w:rsid w:val="002216B6"/>
    <w:rsid w:val="0022176F"/>
    <w:rsid w:val="00222075"/>
    <w:rsid w:val="00222A1B"/>
    <w:rsid w:val="0022496D"/>
    <w:rsid w:val="00226BC5"/>
    <w:rsid w:val="002278A9"/>
    <w:rsid w:val="002319EA"/>
    <w:rsid w:val="00233A8C"/>
    <w:rsid w:val="0023680B"/>
    <w:rsid w:val="00236FC4"/>
    <w:rsid w:val="00237696"/>
    <w:rsid w:val="00237763"/>
    <w:rsid w:val="002404AA"/>
    <w:rsid w:val="00240603"/>
    <w:rsid w:val="0024094B"/>
    <w:rsid w:val="00243A49"/>
    <w:rsid w:val="0024439C"/>
    <w:rsid w:val="002474D9"/>
    <w:rsid w:val="0024AC03"/>
    <w:rsid w:val="00252CA8"/>
    <w:rsid w:val="00252E23"/>
    <w:rsid w:val="00253B4D"/>
    <w:rsid w:val="00254EBF"/>
    <w:rsid w:val="00256328"/>
    <w:rsid w:val="00257DB4"/>
    <w:rsid w:val="002604A2"/>
    <w:rsid w:val="0026093A"/>
    <w:rsid w:val="00261F19"/>
    <w:rsid w:val="00262F98"/>
    <w:rsid w:val="00262FD5"/>
    <w:rsid w:val="00263154"/>
    <w:rsid w:val="00263BAD"/>
    <w:rsid w:val="002651FA"/>
    <w:rsid w:val="00266316"/>
    <w:rsid w:val="002669BF"/>
    <w:rsid w:val="00267709"/>
    <w:rsid w:val="002677C0"/>
    <w:rsid w:val="00267F89"/>
    <w:rsid w:val="002701B1"/>
    <w:rsid w:val="00270A95"/>
    <w:rsid w:val="00270E3B"/>
    <w:rsid w:val="002722DD"/>
    <w:rsid w:val="0027241A"/>
    <w:rsid w:val="002744E1"/>
    <w:rsid w:val="00274B67"/>
    <w:rsid w:val="002750E9"/>
    <w:rsid w:val="00281A78"/>
    <w:rsid w:val="002822E3"/>
    <w:rsid w:val="002839D9"/>
    <w:rsid w:val="0028733E"/>
    <w:rsid w:val="0028783A"/>
    <w:rsid w:val="00291076"/>
    <w:rsid w:val="002918C4"/>
    <w:rsid w:val="00291C7A"/>
    <w:rsid w:val="002959DB"/>
    <w:rsid w:val="00295A2B"/>
    <w:rsid w:val="0029628D"/>
    <w:rsid w:val="0029683B"/>
    <w:rsid w:val="002A0E13"/>
    <w:rsid w:val="002A26F8"/>
    <w:rsid w:val="002A440B"/>
    <w:rsid w:val="002A44BF"/>
    <w:rsid w:val="002A679B"/>
    <w:rsid w:val="002A6DF6"/>
    <w:rsid w:val="002B017A"/>
    <w:rsid w:val="002B1E80"/>
    <w:rsid w:val="002B3C33"/>
    <w:rsid w:val="002B55EA"/>
    <w:rsid w:val="002B7ADD"/>
    <w:rsid w:val="002C2120"/>
    <w:rsid w:val="002C4680"/>
    <w:rsid w:val="002C46E1"/>
    <w:rsid w:val="002C6B65"/>
    <w:rsid w:val="002C6C38"/>
    <w:rsid w:val="002C744C"/>
    <w:rsid w:val="002D17AD"/>
    <w:rsid w:val="002D273E"/>
    <w:rsid w:val="002D36EE"/>
    <w:rsid w:val="002D4CFB"/>
    <w:rsid w:val="002D6141"/>
    <w:rsid w:val="002D73C0"/>
    <w:rsid w:val="002D7D94"/>
    <w:rsid w:val="002E15BA"/>
    <w:rsid w:val="002E1F2F"/>
    <w:rsid w:val="002E30FD"/>
    <w:rsid w:val="002E6DD0"/>
    <w:rsid w:val="002F12D0"/>
    <w:rsid w:val="002F167F"/>
    <w:rsid w:val="002F18BE"/>
    <w:rsid w:val="002F2D23"/>
    <w:rsid w:val="002F31A8"/>
    <w:rsid w:val="002F4727"/>
    <w:rsid w:val="002F4F4A"/>
    <w:rsid w:val="002F64C4"/>
    <w:rsid w:val="00300C16"/>
    <w:rsid w:val="00300EC4"/>
    <w:rsid w:val="00305F10"/>
    <w:rsid w:val="003105F2"/>
    <w:rsid w:val="00311421"/>
    <w:rsid w:val="00311F13"/>
    <w:rsid w:val="00312CDA"/>
    <w:rsid w:val="00312EE7"/>
    <w:rsid w:val="0031608D"/>
    <w:rsid w:val="00316E93"/>
    <w:rsid w:val="0031709E"/>
    <w:rsid w:val="00317AD6"/>
    <w:rsid w:val="00321560"/>
    <w:rsid w:val="00321B19"/>
    <w:rsid w:val="0032292D"/>
    <w:rsid w:val="003231EC"/>
    <w:rsid w:val="00327230"/>
    <w:rsid w:val="00330F12"/>
    <w:rsid w:val="003310A9"/>
    <w:rsid w:val="00332DB7"/>
    <w:rsid w:val="003334A7"/>
    <w:rsid w:val="00333A89"/>
    <w:rsid w:val="00333D11"/>
    <w:rsid w:val="0033407D"/>
    <w:rsid w:val="00335C37"/>
    <w:rsid w:val="00336E1F"/>
    <w:rsid w:val="0033788E"/>
    <w:rsid w:val="00337B76"/>
    <w:rsid w:val="00340CCD"/>
    <w:rsid w:val="00341C0A"/>
    <w:rsid w:val="00341F79"/>
    <w:rsid w:val="00343F63"/>
    <w:rsid w:val="00344FE6"/>
    <w:rsid w:val="00345313"/>
    <w:rsid w:val="00347143"/>
    <w:rsid w:val="00347224"/>
    <w:rsid w:val="00350237"/>
    <w:rsid w:val="00351237"/>
    <w:rsid w:val="00353E8D"/>
    <w:rsid w:val="00355C3A"/>
    <w:rsid w:val="0036068F"/>
    <w:rsid w:val="00361E60"/>
    <w:rsid w:val="003641DA"/>
    <w:rsid w:val="00365A45"/>
    <w:rsid w:val="0037355C"/>
    <w:rsid w:val="003735F3"/>
    <w:rsid w:val="00376CFA"/>
    <w:rsid w:val="00376DC2"/>
    <w:rsid w:val="00377163"/>
    <w:rsid w:val="00381D9F"/>
    <w:rsid w:val="00381F89"/>
    <w:rsid w:val="00382D32"/>
    <w:rsid w:val="003843E8"/>
    <w:rsid w:val="0038468E"/>
    <w:rsid w:val="00385209"/>
    <w:rsid w:val="003859D0"/>
    <w:rsid w:val="0038612F"/>
    <w:rsid w:val="00386EA2"/>
    <w:rsid w:val="00390AF4"/>
    <w:rsid w:val="0039217B"/>
    <w:rsid w:val="00392672"/>
    <w:rsid w:val="00392906"/>
    <w:rsid w:val="00393CD4"/>
    <w:rsid w:val="00395120"/>
    <w:rsid w:val="003A1D1E"/>
    <w:rsid w:val="003A2910"/>
    <w:rsid w:val="003A4A76"/>
    <w:rsid w:val="003A5734"/>
    <w:rsid w:val="003A6FF4"/>
    <w:rsid w:val="003B0284"/>
    <w:rsid w:val="003B0A2D"/>
    <w:rsid w:val="003B0D67"/>
    <w:rsid w:val="003B29B2"/>
    <w:rsid w:val="003B2A48"/>
    <w:rsid w:val="003B5762"/>
    <w:rsid w:val="003B7C2B"/>
    <w:rsid w:val="003C24CC"/>
    <w:rsid w:val="003C2F88"/>
    <w:rsid w:val="003C3437"/>
    <w:rsid w:val="003C351D"/>
    <w:rsid w:val="003C4861"/>
    <w:rsid w:val="003C53BD"/>
    <w:rsid w:val="003C54D3"/>
    <w:rsid w:val="003C5B51"/>
    <w:rsid w:val="003C5BA2"/>
    <w:rsid w:val="003C71DD"/>
    <w:rsid w:val="003C7687"/>
    <w:rsid w:val="003D019C"/>
    <w:rsid w:val="003D20C9"/>
    <w:rsid w:val="003D24F9"/>
    <w:rsid w:val="003D3752"/>
    <w:rsid w:val="003D741A"/>
    <w:rsid w:val="003E0DCF"/>
    <w:rsid w:val="003E0DDC"/>
    <w:rsid w:val="003E1A3C"/>
    <w:rsid w:val="003E1BF8"/>
    <w:rsid w:val="003E28ED"/>
    <w:rsid w:val="003E2D95"/>
    <w:rsid w:val="003E79BA"/>
    <w:rsid w:val="003F20B0"/>
    <w:rsid w:val="003F3495"/>
    <w:rsid w:val="003F7C7D"/>
    <w:rsid w:val="004020DF"/>
    <w:rsid w:val="00402258"/>
    <w:rsid w:val="004052C2"/>
    <w:rsid w:val="004067E6"/>
    <w:rsid w:val="0040680C"/>
    <w:rsid w:val="00406FC2"/>
    <w:rsid w:val="00411224"/>
    <w:rsid w:val="00412A5F"/>
    <w:rsid w:val="00414F87"/>
    <w:rsid w:val="00420A3A"/>
    <w:rsid w:val="00421411"/>
    <w:rsid w:val="004227E5"/>
    <w:rsid w:val="00423990"/>
    <w:rsid w:val="00423A96"/>
    <w:rsid w:val="004247A6"/>
    <w:rsid w:val="00426AED"/>
    <w:rsid w:val="004314D5"/>
    <w:rsid w:val="00433B82"/>
    <w:rsid w:val="00435783"/>
    <w:rsid w:val="00435B7D"/>
    <w:rsid w:val="00437B65"/>
    <w:rsid w:val="00437C95"/>
    <w:rsid w:val="00437E04"/>
    <w:rsid w:val="0044245D"/>
    <w:rsid w:val="00442CFB"/>
    <w:rsid w:val="00443E93"/>
    <w:rsid w:val="004472B6"/>
    <w:rsid w:val="00447372"/>
    <w:rsid w:val="00450BD2"/>
    <w:rsid w:val="00455ACD"/>
    <w:rsid w:val="00457292"/>
    <w:rsid w:val="00457FDD"/>
    <w:rsid w:val="00460875"/>
    <w:rsid w:val="00461685"/>
    <w:rsid w:val="00461BA1"/>
    <w:rsid w:val="004662C8"/>
    <w:rsid w:val="004721B7"/>
    <w:rsid w:val="0047324B"/>
    <w:rsid w:val="0047611D"/>
    <w:rsid w:val="00476AA5"/>
    <w:rsid w:val="0047736B"/>
    <w:rsid w:val="00480DD6"/>
    <w:rsid w:val="00481212"/>
    <w:rsid w:val="004815DC"/>
    <w:rsid w:val="004821C1"/>
    <w:rsid w:val="00482A82"/>
    <w:rsid w:val="00482B88"/>
    <w:rsid w:val="00482F31"/>
    <w:rsid w:val="00483DB5"/>
    <w:rsid w:val="004841EB"/>
    <w:rsid w:val="00484805"/>
    <w:rsid w:val="00484FC4"/>
    <w:rsid w:val="00485B37"/>
    <w:rsid w:val="0048617F"/>
    <w:rsid w:val="004869F0"/>
    <w:rsid w:val="004873AC"/>
    <w:rsid w:val="00492A5F"/>
    <w:rsid w:val="00493744"/>
    <w:rsid w:val="00493862"/>
    <w:rsid w:val="004943BC"/>
    <w:rsid w:val="00495E52"/>
    <w:rsid w:val="004964B3"/>
    <w:rsid w:val="00496C3C"/>
    <w:rsid w:val="00496D12"/>
    <w:rsid w:val="00497D05"/>
    <w:rsid w:val="004A04F2"/>
    <w:rsid w:val="004A060D"/>
    <w:rsid w:val="004A078D"/>
    <w:rsid w:val="004A0912"/>
    <w:rsid w:val="004A14EC"/>
    <w:rsid w:val="004A35F3"/>
    <w:rsid w:val="004A415A"/>
    <w:rsid w:val="004A7329"/>
    <w:rsid w:val="004B0AAD"/>
    <w:rsid w:val="004B55F4"/>
    <w:rsid w:val="004B6543"/>
    <w:rsid w:val="004C064B"/>
    <w:rsid w:val="004C2B23"/>
    <w:rsid w:val="004C2B72"/>
    <w:rsid w:val="004C2BB9"/>
    <w:rsid w:val="004C4474"/>
    <w:rsid w:val="004C666C"/>
    <w:rsid w:val="004C6F68"/>
    <w:rsid w:val="004D0B85"/>
    <w:rsid w:val="004D22BD"/>
    <w:rsid w:val="004D256D"/>
    <w:rsid w:val="004D2B8A"/>
    <w:rsid w:val="004E06FA"/>
    <w:rsid w:val="004E07A2"/>
    <w:rsid w:val="004E300B"/>
    <w:rsid w:val="004E3C33"/>
    <w:rsid w:val="004E55CE"/>
    <w:rsid w:val="004E5A3A"/>
    <w:rsid w:val="004F0D77"/>
    <w:rsid w:val="004F119A"/>
    <w:rsid w:val="004F206E"/>
    <w:rsid w:val="004F3B35"/>
    <w:rsid w:val="004F67D3"/>
    <w:rsid w:val="004F6DC2"/>
    <w:rsid w:val="004F7068"/>
    <w:rsid w:val="00501399"/>
    <w:rsid w:val="00502198"/>
    <w:rsid w:val="005022D1"/>
    <w:rsid w:val="005028B8"/>
    <w:rsid w:val="00506A3D"/>
    <w:rsid w:val="005078A7"/>
    <w:rsid w:val="00507F34"/>
    <w:rsid w:val="0051020D"/>
    <w:rsid w:val="0051240D"/>
    <w:rsid w:val="00514488"/>
    <w:rsid w:val="005217D1"/>
    <w:rsid w:val="0052185A"/>
    <w:rsid w:val="00521ACE"/>
    <w:rsid w:val="00522808"/>
    <w:rsid w:val="00524FF8"/>
    <w:rsid w:val="00526787"/>
    <w:rsid w:val="005322E7"/>
    <w:rsid w:val="00532FB8"/>
    <w:rsid w:val="005343B0"/>
    <w:rsid w:val="00535F2C"/>
    <w:rsid w:val="00537B54"/>
    <w:rsid w:val="00542446"/>
    <w:rsid w:val="00542A01"/>
    <w:rsid w:val="005441E4"/>
    <w:rsid w:val="00544C5E"/>
    <w:rsid w:val="005478CC"/>
    <w:rsid w:val="00550084"/>
    <w:rsid w:val="0055052E"/>
    <w:rsid w:val="005515C0"/>
    <w:rsid w:val="00555A94"/>
    <w:rsid w:val="0055655C"/>
    <w:rsid w:val="00556DEF"/>
    <w:rsid w:val="00563651"/>
    <w:rsid w:val="0056443D"/>
    <w:rsid w:val="00564C05"/>
    <w:rsid w:val="00565F5A"/>
    <w:rsid w:val="005660EE"/>
    <w:rsid w:val="00570C45"/>
    <w:rsid w:val="0057109A"/>
    <w:rsid w:val="0057115D"/>
    <w:rsid w:val="00571805"/>
    <w:rsid w:val="00574295"/>
    <w:rsid w:val="005758C4"/>
    <w:rsid w:val="0057617D"/>
    <w:rsid w:val="00576B65"/>
    <w:rsid w:val="0057773F"/>
    <w:rsid w:val="00577C3E"/>
    <w:rsid w:val="005827B1"/>
    <w:rsid w:val="00583CB5"/>
    <w:rsid w:val="00584CD6"/>
    <w:rsid w:val="00585D93"/>
    <w:rsid w:val="00590AB5"/>
    <w:rsid w:val="005915AD"/>
    <w:rsid w:val="00593248"/>
    <w:rsid w:val="00593D5B"/>
    <w:rsid w:val="00593E5A"/>
    <w:rsid w:val="00593F1D"/>
    <w:rsid w:val="00594765"/>
    <w:rsid w:val="0059537E"/>
    <w:rsid w:val="00595446"/>
    <w:rsid w:val="005963C1"/>
    <w:rsid w:val="00596571"/>
    <w:rsid w:val="00597C39"/>
    <w:rsid w:val="005A1B2D"/>
    <w:rsid w:val="005A3453"/>
    <w:rsid w:val="005A4F4D"/>
    <w:rsid w:val="005A67D9"/>
    <w:rsid w:val="005A759D"/>
    <w:rsid w:val="005B3EF3"/>
    <w:rsid w:val="005B44FA"/>
    <w:rsid w:val="005B46EC"/>
    <w:rsid w:val="005B51BD"/>
    <w:rsid w:val="005B5ABB"/>
    <w:rsid w:val="005B5BC1"/>
    <w:rsid w:val="005B666F"/>
    <w:rsid w:val="005C1878"/>
    <w:rsid w:val="005C5230"/>
    <w:rsid w:val="005C700D"/>
    <w:rsid w:val="005C7B31"/>
    <w:rsid w:val="005D13E8"/>
    <w:rsid w:val="005D2173"/>
    <w:rsid w:val="005D235A"/>
    <w:rsid w:val="005D5269"/>
    <w:rsid w:val="005D5E26"/>
    <w:rsid w:val="005D79C0"/>
    <w:rsid w:val="005E0071"/>
    <w:rsid w:val="005E03D0"/>
    <w:rsid w:val="005E089B"/>
    <w:rsid w:val="005E1237"/>
    <w:rsid w:val="005E341C"/>
    <w:rsid w:val="005E40CB"/>
    <w:rsid w:val="005E43DA"/>
    <w:rsid w:val="005E4467"/>
    <w:rsid w:val="005E5463"/>
    <w:rsid w:val="005E7B55"/>
    <w:rsid w:val="005F0832"/>
    <w:rsid w:val="005F175B"/>
    <w:rsid w:val="005F2679"/>
    <w:rsid w:val="005F3850"/>
    <w:rsid w:val="005F3941"/>
    <w:rsid w:val="005F5899"/>
    <w:rsid w:val="005F68EC"/>
    <w:rsid w:val="005F6CBB"/>
    <w:rsid w:val="005F7184"/>
    <w:rsid w:val="0060127A"/>
    <w:rsid w:val="006012F4"/>
    <w:rsid w:val="0060190B"/>
    <w:rsid w:val="0060234D"/>
    <w:rsid w:val="0060421A"/>
    <w:rsid w:val="00605610"/>
    <w:rsid w:val="00607265"/>
    <w:rsid w:val="00610FC2"/>
    <w:rsid w:val="00615B07"/>
    <w:rsid w:val="00616D75"/>
    <w:rsid w:val="006173D2"/>
    <w:rsid w:val="0062009F"/>
    <w:rsid w:val="00621135"/>
    <w:rsid w:val="00621B8B"/>
    <w:rsid w:val="00621FC2"/>
    <w:rsid w:val="006223F4"/>
    <w:rsid w:val="006261BC"/>
    <w:rsid w:val="006264B5"/>
    <w:rsid w:val="0062654C"/>
    <w:rsid w:val="0063061E"/>
    <w:rsid w:val="00630F55"/>
    <w:rsid w:val="00631A9D"/>
    <w:rsid w:val="006336F9"/>
    <w:rsid w:val="006342DD"/>
    <w:rsid w:val="006360C9"/>
    <w:rsid w:val="00636837"/>
    <w:rsid w:val="0063760F"/>
    <w:rsid w:val="00641E38"/>
    <w:rsid w:val="00643A75"/>
    <w:rsid w:val="006468D3"/>
    <w:rsid w:val="00646CEC"/>
    <w:rsid w:val="00646D7E"/>
    <w:rsid w:val="006473A7"/>
    <w:rsid w:val="00647860"/>
    <w:rsid w:val="0065055B"/>
    <w:rsid w:val="00651FC2"/>
    <w:rsid w:val="00652529"/>
    <w:rsid w:val="00652A15"/>
    <w:rsid w:val="00652EDA"/>
    <w:rsid w:val="00652FF4"/>
    <w:rsid w:val="00654C9E"/>
    <w:rsid w:val="00655A96"/>
    <w:rsid w:val="006569CB"/>
    <w:rsid w:val="006620BF"/>
    <w:rsid w:val="006628A1"/>
    <w:rsid w:val="006720DF"/>
    <w:rsid w:val="00673A26"/>
    <w:rsid w:val="00674103"/>
    <w:rsid w:val="00674EF1"/>
    <w:rsid w:val="00675BA0"/>
    <w:rsid w:val="00681190"/>
    <w:rsid w:val="006823E9"/>
    <w:rsid w:val="0068324A"/>
    <w:rsid w:val="00683C80"/>
    <w:rsid w:val="00684374"/>
    <w:rsid w:val="006844D7"/>
    <w:rsid w:val="00686941"/>
    <w:rsid w:val="00691AE4"/>
    <w:rsid w:val="00693BD6"/>
    <w:rsid w:val="00693ECB"/>
    <w:rsid w:val="0069431F"/>
    <w:rsid w:val="00696698"/>
    <w:rsid w:val="0069796F"/>
    <w:rsid w:val="006A0F89"/>
    <w:rsid w:val="006A1E1C"/>
    <w:rsid w:val="006A2355"/>
    <w:rsid w:val="006A25AD"/>
    <w:rsid w:val="006A266E"/>
    <w:rsid w:val="006A2C0F"/>
    <w:rsid w:val="006A367B"/>
    <w:rsid w:val="006A45F5"/>
    <w:rsid w:val="006A5518"/>
    <w:rsid w:val="006A679F"/>
    <w:rsid w:val="006A6F46"/>
    <w:rsid w:val="006B15EC"/>
    <w:rsid w:val="006B3BAB"/>
    <w:rsid w:val="006B4609"/>
    <w:rsid w:val="006B47F7"/>
    <w:rsid w:val="006B523C"/>
    <w:rsid w:val="006B5EE9"/>
    <w:rsid w:val="006C0AEC"/>
    <w:rsid w:val="006C3D52"/>
    <w:rsid w:val="006C4189"/>
    <w:rsid w:val="006C5C0B"/>
    <w:rsid w:val="006C5D03"/>
    <w:rsid w:val="006D0DBA"/>
    <w:rsid w:val="006D0EA0"/>
    <w:rsid w:val="006D15E5"/>
    <w:rsid w:val="006D2290"/>
    <w:rsid w:val="006D66D7"/>
    <w:rsid w:val="006D68A0"/>
    <w:rsid w:val="006D69A8"/>
    <w:rsid w:val="006E0C50"/>
    <w:rsid w:val="006E15F9"/>
    <w:rsid w:val="006E2A34"/>
    <w:rsid w:val="006E3A11"/>
    <w:rsid w:val="006E4A7E"/>
    <w:rsid w:val="006E51EB"/>
    <w:rsid w:val="006E7517"/>
    <w:rsid w:val="006E7616"/>
    <w:rsid w:val="006F11D6"/>
    <w:rsid w:val="006F1A2C"/>
    <w:rsid w:val="006F2DF0"/>
    <w:rsid w:val="006F3692"/>
    <w:rsid w:val="006F3CBD"/>
    <w:rsid w:val="006F430E"/>
    <w:rsid w:val="006F6EBC"/>
    <w:rsid w:val="00707AB4"/>
    <w:rsid w:val="00707E30"/>
    <w:rsid w:val="00710AA4"/>
    <w:rsid w:val="0071220B"/>
    <w:rsid w:val="00712EA9"/>
    <w:rsid w:val="00713695"/>
    <w:rsid w:val="00714224"/>
    <w:rsid w:val="00715ED8"/>
    <w:rsid w:val="0071630E"/>
    <w:rsid w:val="00717923"/>
    <w:rsid w:val="0072176F"/>
    <w:rsid w:val="007226AB"/>
    <w:rsid w:val="007232D7"/>
    <w:rsid w:val="007233C2"/>
    <w:rsid w:val="00727626"/>
    <w:rsid w:val="0073014A"/>
    <w:rsid w:val="00730A3A"/>
    <w:rsid w:val="00730D34"/>
    <w:rsid w:val="00732C80"/>
    <w:rsid w:val="00733DDE"/>
    <w:rsid w:val="007352EF"/>
    <w:rsid w:val="00735975"/>
    <w:rsid w:val="007360D7"/>
    <w:rsid w:val="0073681C"/>
    <w:rsid w:val="00740148"/>
    <w:rsid w:val="007401FD"/>
    <w:rsid w:val="0074175C"/>
    <w:rsid w:val="007435ED"/>
    <w:rsid w:val="00744ACB"/>
    <w:rsid w:val="00745612"/>
    <w:rsid w:val="00746926"/>
    <w:rsid w:val="00747B3E"/>
    <w:rsid w:val="007506A6"/>
    <w:rsid w:val="00751773"/>
    <w:rsid w:val="00752AFD"/>
    <w:rsid w:val="00753730"/>
    <w:rsid w:val="007558D3"/>
    <w:rsid w:val="007560ED"/>
    <w:rsid w:val="00760758"/>
    <w:rsid w:val="00760EE9"/>
    <w:rsid w:val="00763029"/>
    <w:rsid w:val="007631CD"/>
    <w:rsid w:val="00763335"/>
    <w:rsid w:val="00763C39"/>
    <w:rsid w:val="00764261"/>
    <w:rsid w:val="00766101"/>
    <w:rsid w:val="007666CA"/>
    <w:rsid w:val="00767F5C"/>
    <w:rsid w:val="007714BF"/>
    <w:rsid w:val="00773593"/>
    <w:rsid w:val="00773C3C"/>
    <w:rsid w:val="0077502D"/>
    <w:rsid w:val="00780230"/>
    <w:rsid w:val="007837F3"/>
    <w:rsid w:val="00785C71"/>
    <w:rsid w:val="0078707D"/>
    <w:rsid w:val="007906F7"/>
    <w:rsid w:val="00794663"/>
    <w:rsid w:val="007957D5"/>
    <w:rsid w:val="00795EA7"/>
    <w:rsid w:val="00797B27"/>
    <w:rsid w:val="00797F85"/>
    <w:rsid w:val="007A06E9"/>
    <w:rsid w:val="007A0979"/>
    <w:rsid w:val="007A1C74"/>
    <w:rsid w:val="007A32AA"/>
    <w:rsid w:val="007A35A5"/>
    <w:rsid w:val="007A35CB"/>
    <w:rsid w:val="007A5AB9"/>
    <w:rsid w:val="007A5AF5"/>
    <w:rsid w:val="007B1626"/>
    <w:rsid w:val="007B510A"/>
    <w:rsid w:val="007B52F3"/>
    <w:rsid w:val="007B70AF"/>
    <w:rsid w:val="007C1613"/>
    <w:rsid w:val="007C379F"/>
    <w:rsid w:val="007C534D"/>
    <w:rsid w:val="007C5C27"/>
    <w:rsid w:val="007C78F3"/>
    <w:rsid w:val="007C7DDB"/>
    <w:rsid w:val="007CC308"/>
    <w:rsid w:val="007D3705"/>
    <w:rsid w:val="007D4ACA"/>
    <w:rsid w:val="007D4B25"/>
    <w:rsid w:val="007D72D0"/>
    <w:rsid w:val="007E0D9A"/>
    <w:rsid w:val="007E2751"/>
    <w:rsid w:val="007E2C0F"/>
    <w:rsid w:val="007E3290"/>
    <w:rsid w:val="007E71EC"/>
    <w:rsid w:val="007F1DB9"/>
    <w:rsid w:val="007F20F9"/>
    <w:rsid w:val="007F4EE4"/>
    <w:rsid w:val="007F63C8"/>
    <w:rsid w:val="008054D4"/>
    <w:rsid w:val="00807EA4"/>
    <w:rsid w:val="0081042E"/>
    <w:rsid w:val="00813C55"/>
    <w:rsid w:val="00815A2B"/>
    <w:rsid w:val="00816200"/>
    <w:rsid w:val="00822ABB"/>
    <w:rsid w:val="00823B5A"/>
    <w:rsid w:val="0082548F"/>
    <w:rsid w:val="00825E7A"/>
    <w:rsid w:val="00836EEF"/>
    <w:rsid w:val="00836EF1"/>
    <w:rsid w:val="00841DDA"/>
    <w:rsid w:val="008435E5"/>
    <w:rsid w:val="00845F20"/>
    <w:rsid w:val="00846160"/>
    <w:rsid w:val="008464C4"/>
    <w:rsid w:val="00846F26"/>
    <w:rsid w:val="008474C9"/>
    <w:rsid w:val="00851143"/>
    <w:rsid w:val="00852CDC"/>
    <w:rsid w:val="00854F2F"/>
    <w:rsid w:val="00856061"/>
    <w:rsid w:val="008563DA"/>
    <w:rsid w:val="0085662F"/>
    <w:rsid w:val="00856F1F"/>
    <w:rsid w:val="00861440"/>
    <w:rsid w:val="008614FB"/>
    <w:rsid w:val="00861835"/>
    <w:rsid w:val="00862965"/>
    <w:rsid w:val="00862F04"/>
    <w:rsid w:val="00863322"/>
    <w:rsid w:val="008640D3"/>
    <w:rsid w:val="0086457F"/>
    <w:rsid w:val="00864D5B"/>
    <w:rsid w:val="008702FB"/>
    <w:rsid w:val="00870699"/>
    <w:rsid w:val="0087276E"/>
    <w:rsid w:val="00872A02"/>
    <w:rsid w:val="00873201"/>
    <w:rsid w:val="00874F1C"/>
    <w:rsid w:val="00876584"/>
    <w:rsid w:val="008818E1"/>
    <w:rsid w:val="00882124"/>
    <w:rsid w:val="00883670"/>
    <w:rsid w:val="00885DEA"/>
    <w:rsid w:val="00885FF0"/>
    <w:rsid w:val="0089046B"/>
    <w:rsid w:val="00891E13"/>
    <w:rsid w:val="00892746"/>
    <w:rsid w:val="00892D4A"/>
    <w:rsid w:val="00895D2D"/>
    <w:rsid w:val="008965BF"/>
    <w:rsid w:val="008A007B"/>
    <w:rsid w:val="008A06D0"/>
    <w:rsid w:val="008A1413"/>
    <w:rsid w:val="008A1A66"/>
    <w:rsid w:val="008A486D"/>
    <w:rsid w:val="008A5CF6"/>
    <w:rsid w:val="008A5F9D"/>
    <w:rsid w:val="008A6664"/>
    <w:rsid w:val="008B0FE4"/>
    <w:rsid w:val="008B50C1"/>
    <w:rsid w:val="008B5851"/>
    <w:rsid w:val="008B5A4C"/>
    <w:rsid w:val="008B614A"/>
    <w:rsid w:val="008B6FBD"/>
    <w:rsid w:val="008B7AFE"/>
    <w:rsid w:val="008C079E"/>
    <w:rsid w:val="008C0D6B"/>
    <w:rsid w:val="008C3957"/>
    <w:rsid w:val="008C3F68"/>
    <w:rsid w:val="008C5ED6"/>
    <w:rsid w:val="008C7383"/>
    <w:rsid w:val="008C7DB9"/>
    <w:rsid w:val="008D268E"/>
    <w:rsid w:val="008D370B"/>
    <w:rsid w:val="008D4E3C"/>
    <w:rsid w:val="008E01D0"/>
    <w:rsid w:val="008E1ACF"/>
    <w:rsid w:val="008E3059"/>
    <w:rsid w:val="008E4911"/>
    <w:rsid w:val="008E7050"/>
    <w:rsid w:val="008E77FB"/>
    <w:rsid w:val="008F06DB"/>
    <w:rsid w:val="008F1841"/>
    <w:rsid w:val="008F270F"/>
    <w:rsid w:val="008F2BB0"/>
    <w:rsid w:val="008F406B"/>
    <w:rsid w:val="008F4385"/>
    <w:rsid w:val="008F4D96"/>
    <w:rsid w:val="008F5EEA"/>
    <w:rsid w:val="008F7143"/>
    <w:rsid w:val="00900F94"/>
    <w:rsid w:val="00900FB9"/>
    <w:rsid w:val="00902753"/>
    <w:rsid w:val="00904CED"/>
    <w:rsid w:val="00906291"/>
    <w:rsid w:val="009067D4"/>
    <w:rsid w:val="009076DC"/>
    <w:rsid w:val="00913CC3"/>
    <w:rsid w:val="00915850"/>
    <w:rsid w:val="00920B4F"/>
    <w:rsid w:val="00925EC1"/>
    <w:rsid w:val="00926133"/>
    <w:rsid w:val="009326A0"/>
    <w:rsid w:val="009328B2"/>
    <w:rsid w:val="00933699"/>
    <w:rsid w:val="00933AD1"/>
    <w:rsid w:val="00934069"/>
    <w:rsid w:val="009349A7"/>
    <w:rsid w:val="00934D67"/>
    <w:rsid w:val="00934FB1"/>
    <w:rsid w:val="00936C26"/>
    <w:rsid w:val="00936C54"/>
    <w:rsid w:val="009378EB"/>
    <w:rsid w:val="009405B2"/>
    <w:rsid w:val="009408EB"/>
    <w:rsid w:val="00940B84"/>
    <w:rsid w:val="00941A07"/>
    <w:rsid w:val="00942FEF"/>
    <w:rsid w:val="009465A9"/>
    <w:rsid w:val="009501A9"/>
    <w:rsid w:val="00950204"/>
    <w:rsid w:val="00950341"/>
    <w:rsid w:val="00951ADE"/>
    <w:rsid w:val="00953377"/>
    <w:rsid w:val="00953F90"/>
    <w:rsid w:val="0095560D"/>
    <w:rsid w:val="00956640"/>
    <w:rsid w:val="00957B3D"/>
    <w:rsid w:val="009646A4"/>
    <w:rsid w:val="009649DC"/>
    <w:rsid w:val="00965024"/>
    <w:rsid w:val="00965F78"/>
    <w:rsid w:val="009679C2"/>
    <w:rsid w:val="00970337"/>
    <w:rsid w:val="00974A28"/>
    <w:rsid w:val="009763A6"/>
    <w:rsid w:val="00976EE5"/>
    <w:rsid w:val="0097701A"/>
    <w:rsid w:val="00977A2B"/>
    <w:rsid w:val="00980595"/>
    <w:rsid w:val="009832BE"/>
    <w:rsid w:val="0098671B"/>
    <w:rsid w:val="0098713D"/>
    <w:rsid w:val="0099093D"/>
    <w:rsid w:val="009934E9"/>
    <w:rsid w:val="00993BA1"/>
    <w:rsid w:val="00994989"/>
    <w:rsid w:val="00995303"/>
    <w:rsid w:val="00996626"/>
    <w:rsid w:val="00997B1F"/>
    <w:rsid w:val="009A06E8"/>
    <w:rsid w:val="009A27E0"/>
    <w:rsid w:val="009A3BC5"/>
    <w:rsid w:val="009A3C44"/>
    <w:rsid w:val="009B188C"/>
    <w:rsid w:val="009B1C30"/>
    <w:rsid w:val="009B238F"/>
    <w:rsid w:val="009B29F8"/>
    <w:rsid w:val="009B2AB5"/>
    <w:rsid w:val="009B2DDA"/>
    <w:rsid w:val="009B5738"/>
    <w:rsid w:val="009B6573"/>
    <w:rsid w:val="009C1383"/>
    <w:rsid w:val="009C1566"/>
    <w:rsid w:val="009C2110"/>
    <w:rsid w:val="009C56B1"/>
    <w:rsid w:val="009C5DA2"/>
    <w:rsid w:val="009C6975"/>
    <w:rsid w:val="009C7A31"/>
    <w:rsid w:val="009D0C25"/>
    <w:rsid w:val="009D0F8C"/>
    <w:rsid w:val="009D2E54"/>
    <w:rsid w:val="009D6370"/>
    <w:rsid w:val="009D72DF"/>
    <w:rsid w:val="009D7B35"/>
    <w:rsid w:val="009E30A1"/>
    <w:rsid w:val="009E3713"/>
    <w:rsid w:val="009E3BF3"/>
    <w:rsid w:val="009E4761"/>
    <w:rsid w:val="009E5EB6"/>
    <w:rsid w:val="009E5F10"/>
    <w:rsid w:val="009F2330"/>
    <w:rsid w:val="009F2758"/>
    <w:rsid w:val="009F2DD6"/>
    <w:rsid w:val="009F2FEA"/>
    <w:rsid w:val="009F3FBA"/>
    <w:rsid w:val="009F6F0F"/>
    <w:rsid w:val="00A02F40"/>
    <w:rsid w:val="00A030C3"/>
    <w:rsid w:val="00A0391A"/>
    <w:rsid w:val="00A044E7"/>
    <w:rsid w:val="00A058DE"/>
    <w:rsid w:val="00A05FCA"/>
    <w:rsid w:val="00A07598"/>
    <w:rsid w:val="00A07C8B"/>
    <w:rsid w:val="00A10E4F"/>
    <w:rsid w:val="00A114E4"/>
    <w:rsid w:val="00A12CE5"/>
    <w:rsid w:val="00A130E7"/>
    <w:rsid w:val="00A1518A"/>
    <w:rsid w:val="00A15A66"/>
    <w:rsid w:val="00A15B55"/>
    <w:rsid w:val="00A20433"/>
    <w:rsid w:val="00A227F5"/>
    <w:rsid w:val="00A22C24"/>
    <w:rsid w:val="00A22ECD"/>
    <w:rsid w:val="00A23C70"/>
    <w:rsid w:val="00A24772"/>
    <w:rsid w:val="00A2491D"/>
    <w:rsid w:val="00A2494C"/>
    <w:rsid w:val="00A25849"/>
    <w:rsid w:val="00A25DFD"/>
    <w:rsid w:val="00A26705"/>
    <w:rsid w:val="00A26894"/>
    <w:rsid w:val="00A307E3"/>
    <w:rsid w:val="00A37859"/>
    <w:rsid w:val="00A403C5"/>
    <w:rsid w:val="00A423A2"/>
    <w:rsid w:val="00A42933"/>
    <w:rsid w:val="00A42D56"/>
    <w:rsid w:val="00A43129"/>
    <w:rsid w:val="00A43EDC"/>
    <w:rsid w:val="00A448EB"/>
    <w:rsid w:val="00A470CE"/>
    <w:rsid w:val="00A47DAF"/>
    <w:rsid w:val="00A512A7"/>
    <w:rsid w:val="00A51AA3"/>
    <w:rsid w:val="00A51C04"/>
    <w:rsid w:val="00A51DFE"/>
    <w:rsid w:val="00A520EA"/>
    <w:rsid w:val="00A5549E"/>
    <w:rsid w:val="00A56E4E"/>
    <w:rsid w:val="00A660DF"/>
    <w:rsid w:val="00A666CF"/>
    <w:rsid w:val="00A66964"/>
    <w:rsid w:val="00A6739C"/>
    <w:rsid w:val="00A70D96"/>
    <w:rsid w:val="00A763CA"/>
    <w:rsid w:val="00A76797"/>
    <w:rsid w:val="00A7732A"/>
    <w:rsid w:val="00A8058C"/>
    <w:rsid w:val="00A81673"/>
    <w:rsid w:val="00A85023"/>
    <w:rsid w:val="00A87390"/>
    <w:rsid w:val="00A90203"/>
    <w:rsid w:val="00A9367A"/>
    <w:rsid w:val="00A94D2D"/>
    <w:rsid w:val="00AA31F8"/>
    <w:rsid w:val="00AA4CE7"/>
    <w:rsid w:val="00AA56ED"/>
    <w:rsid w:val="00AA7DC3"/>
    <w:rsid w:val="00AB05C4"/>
    <w:rsid w:val="00AB35FA"/>
    <w:rsid w:val="00AB3ACE"/>
    <w:rsid w:val="00AB3E9D"/>
    <w:rsid w:val="00AB7CDF"/>
    <w:rsid w:val="00AC0349"/>
    <w:rsid w:val="00AC4020"/>
    <w:rsid w:val="00AC5C89"/>
    <w:rsid w:val="00AC612F"/>
    <w:rsid w:val="00AD3106"/>
    <w:rsid w:val="00AD67EC"/>
    <w:rsid w:val="00AD7804"/>
    <w:rsid w:val="00AE0406"/>
    <w:rsid w:val="00AE343C"/>
    <w:rsid w:val="00AE3FEC"/>
    <w:rsid w:val="00AE4E1D"/>
    <w:rsid w:val="00AE52C7"/>
    <w:rsid w:val="00AE6323"/>
    <w:rsid w:val="00AE7DDD"/>
    <w:rsid w:val="00AF0486"/>
    <w:rsid w:val="00AF24D6"/>
    <w:rsid w:val="00AF2FFC"/>
    <w:rsid w:val="00AF5926"/>
    <w:rsid w:val="00B00850"/>
    <w:rsid w:val="00B0482A"/>
    <w:rsid w:val="00B05A76"/>
    <w:rsid w:val="00B07054"/>
    <w:rsid w:val="00B119B5"/>
    <w:rsid w:val="00B13B08"/>
    <w:rsid w:val="00B17E91"/>
    <w:rsid w:val="00B22D00"/>
    <w:rsid w:val="00B2409B"/>
    <w:rsid w:val="00B24190"/>
    <w:rsid w:val="00B26152"/>
    <w:rsid w:val="00B26801"/>
    <w:rsid w:val="00B26CE0"/>
    <w:rsid w:val="00B300A7"/>
    <w:rsid w:val="00B32295"/>
    <w:rsid w:val="00B34666"/>
    <w:rsid w:val="00B350BE"/>
    <w:rsid w:val="00B42DA4"/>
    <w:rsid w:val="00B45213"/>
    <w:rsid w:val="00B45FC5"/>
    <w:rsid w:val="00B46527"/>
    <w:rsid w:val="00B46BE9"/>
    <w:rsid w:val="00B47D78"/>
    <w:rsid w:val="00B47FA2"/>
    <w:rsid w:val="00B5084E"/>
    <w:rsid w:val="00B50FF4"/>
    <w:rsid w:val="00B52695"/>
    <w:rsid w:val="00B549E9"/>
    <w:rsid w:val="00B5507F"/>
    <w:rsid w:val="00B60AD3"/>
    <w:rsid w:val="00B61195"/>
    <w:rsid w:val="00B61510"/>
    <w:rsid w:val="00B61BC7"/>
    <w:rsid w:val="00B635E8"/>
    <w:rsid w:val="00B63B0F"/>
    <w:rsid w:val="00B658A1"/>
    <w:rsid w:val="00B71E13"/>
    <w:rsid w:val="00B7256E"/>
    <w:rsid w:val="00B73B91"/>
    <w:rsid w:val="00B73CFE"/>
    <w:rsid w:val="00B73F14"/>
    <w:rsid w:val="00B766D8"/>
    <w:rsid w:val="00B778BB"/>
    <w:rsid w:val="00B82A25"/>
    <w:rsid w:val="00B82AD6"/>
    <w:rsid w:val="00B84F56"/>
    <w:rsid w:val="00B87B43"/>
    <w:rsid w:val="00B9012F"/>
    <w:rsid w:val="00B90571"/>
    <w:rsid w:val="00B93336"/>
    <w:rsid w:val="00B940D3"/>
    <w:rsid w:val="00B94927"/>
    <w:rsid w:val="00B94D67"/>
    <w:rsid w:val="00B96708"/>
    <w:rsid w:val="00BA2645"/>
    <w:rsid w:val="00BA7C78"/>
    <w:rsid w:val="00BB00DE"/>
    <w:rsid w:val="00BB23AD"/>
    <w:rsid w:val="00BB35E8"/>
    <w:rsid w:val="00BB3C1E"/>
    <w:rsid w:val="00BB4814"/>
    <w:rsid w:val="00BB4864"/>
    <w:rsid w:val="00BB504B"/>
    <w:rsid w:val="00BB5AD5"/>
    <w:rsid w:val="00BB6B88"/>
    <w:rsid w:val="00BB6C2E"/>
    <w:rsid w:val="00BB7441"/>
    <w:rsid w:val="00BB7BF3"/>
    <w:rsid w:val="00BC049F"/>
    <w:rsid w:val="00BC052E"/>
    <w:rsid w:val="00BC0B47"/>
    <w:rsid w:val="00BC129E"/>
    <w:rsid w:val="00BC4D11"/>
    <w:rsid w:val="00BC4F8C"/>
    <w:rsid w:val="00BC5B37"/>
    <w:rsid w:val="00BC7637"/>
    <w:rsid w:val="00BD1C82"/>
    <w:rsid w:val="00BD2EB2"/>
    <w:rsid w:val="00BD36B1"/>
    <w:rsid w:val="00BD4E61"/>
    <w:rsid w:val="00BD5C03"/>
    <w:rsid w:val="00BD6096"/>
    <w:rsid w:val="00BD61EE"/>
    <w:rsid w:val="00BD72A5"/>
    <w:rsid w:val="00BE02D3"/>
    <w:rsid w:val="00BE0E81"/>
    <w:rsid w:val="00BE4526"/>
    <w:rsid w:val="00BE6336"/>
    <w:rsid w:val="00BF03C1"/>
    <w:rsid w:val="00BF1405"/>
    <w:rsid w:val="00BF1715"/>
    <w:rsid w:val="00BF5BD6"/>
    <w:rsid w:val="00C00417"/>
    <w:rsid w:val="00C007EB"/>
    <w:rsid w:val="00C00E47"/>
    <w:rsid w:val="00C02194"/>
    <w:rsid w:val="00C02D5D"/>
    <w:rsid w:val="00C02EC3"/>
    <w:rsid w:val="00C036F7"/>
    <w:rsid w:val="00C053F7"/>
    <w:rsid w:val="00C05CD0"/>
    <w:rsid w:val="00C0714A"/>
    <w:rsid w:val="00C07BEE"/>
    <w:rsid w:val="00C12BA3"/>
    <w:rsid w:val="00C14266"/>
    <w:rsid w:val="00C14D42"/>
    <w:rsid w:val="00C16112"/>
    <w:rsid w:val="00C1786C"/>
    <w:rsid w:val="00C17E2A"/>
    <w:rsid w:val="00C21B62"/>
    <w:rsid w:val="00C21D8F"/>
    <w:rsid w:val="00C21E00"/>
    <w:rsid w:val="00C24D20"/>
    <w:rsid w:val="00C27526"/>
    <w:rsid w:val="00C305DF"/>
    <w:rsid w:val="00C30D25"/>
    <w:rsid w:val="00C31601"/>
    <w:rsid w:val="00C3254B"/>
    <w:rsid w:val="00C33092"/>
    <w:rsid w:val="00C330E1"/>
    <w:rsid w:val="00C33943"/>
    <w:rsid w:val="00C37033"/>
    <w:rsid w:val="00C375C2"/>
    <w:rsid w:val="00C42847"/>
    <w:rsid w:val="00C460E2"/>
    <w:rsid w:val="00C46F10"/>
    <w:rsid w:val="00C47DBD"/>
    <w:rsid w:val="00C51493"/>
    <w:rsid w:val="00C51786"/>
    <w:rsid w:val="00C51C49"/>
    <w:rsid w:val="00C5223B"/>
    <w:rsid w:val="00C53E7A"/>
    <w:rsid w:val="00C53FAD"/>
    <w:rsid w:val="00C562A4"/>
    <w:rsid w:val="00C57048"/>
    <w:rsid w:val="00C57600"/>
    <w:rsid w:val="00C57D37"/>
    <w:rsid w:val="00C60434"/>
    <w:rsid w:val="00C60447"/>
    <w:rsid w:val="00C60893"/>
    <w:rsid w:val="00C61026"/>
    <w:rsid w:val="00C6181C"/>
    <w:rsid w:val="00C626C6"/>
    <w:rsid w:val="00C6364E"/>
    <w:rsid w:val="00C63D39"/>
    <w:rsid w:val="00C6553B"/>
    <w:rsid w:val="00C66BEB"/>
    <w:rsid w:val="00C66CC6"/>
    <w:rsid w:val="00C71306"/>
    <w:rsid w:val="00C733A3"/>
    <w:rsid w:val="00C75D21"/>
    <w:rsid w:val="00C75EB3"/>
    <w:rsid w:val="00C766A5"/>
    <w:rsid w:val="00C802EB"/>
    <w:rsid w:val="00C82424"/>
    <w:rsid w:val="00C86F87"/>
    <w:rsid w:val="00C9188A"/>
    <w:rsid w:val="00C92B5E"/>
    <w:rsid w:val="00C941B8"/>
    <w:rsid w:val="00C97977"/>
    <w:rsid w:val="00CA06E5"/>
    <w:rsid w:val="00CA22F4"/>
    <w:rsid w:val="00CA2DC7"/>
    <w:rsid w:val="00CA38FF"/>
    <w:rsid w:val="00CA3C4C"/>
    <w:rsid w:val="00CB02CB"/>
    <w:rsid w:val="00CB0BEA"/>
    <w:rsid w:val="00CB23E1"/>
    <w:rsid w:val="00CB2CDE"/>
    <w:rsid w:val="00CB32B8"/>
    <w:rsid w:val="00CB3463"/>
    <w:rsid w:val="00CB354F"/>
    <w:rsid w:val="00CB3555"/>
    <w:rsid w:val="00CB49F0"/>
    <w:rsid w:val="00CB4C5C"/>
    <w:rsid w:val="00CB53CC"/>
    <w:rsid w:val="00CC0558"/>
    <w:rsid w:val="00CC1487"/>
    <w:rsid w:val="00CC16CB"/>
    <w:rsid w:val="00CC2273"/>
    <w:rsid w:val="00CC2688"/>
    <w:rsid w:val="00CC2CB7"/>
    <w:rsid w:val="00CC32D6"/>
    <w:rsid w:val="00CC4592"/>
    <w:rsid w:val="00CC50AC"/>
    <w:rsid w:val="00CC5F45"/>
    <w:rsid w:val="00CC673E"/>
    <w:rsid w:val="00CC6A89"/>
    <w:rsid w:val="00CC7611"/>
    <w:rsid w:val="00CD3207"/>
    <w:rsid w:val="00CD32C7"/>
    <w:rsid w:val="00CD46CA"/>
    <w:rsid w:val="00CD5803"/>
    <w:rsid w:val="00CD6C1D"/>
    <w:rsid w:val="00CE25CD"/>
    <w:rsid w:val="00CE2F2E"/>
    <w:rsid w:val="00CE36EA"/>
    <w:rsid w:val="00CE684C"/>
    <w:rsid w:val="00CE6CBC"/>
    <w:rsid w:val="00CE6F32"/>
    <w:rsid w:val="00CE78FD"/>
    <w:rsid w:val="00CE7F3B"/>
    <w:rsid w:val="00CE7F7C"/>
    <w:rsid w:val="00CF1D22"/>
    <w:rsid w:val="00CF28A1"/>
    <w:rsid w:val="00CF33A8"/>
    <w:rsid w:val="00D02772"/>
    <w:rsid w:val="00D027D2"/>
    <w:rsid w:val="00D02F5D"/>
    <w:rsid w:val="00D03B8F"/>
    <w:rsid w:val="00D054B1"/>
    <w:rsid w:val="00D11C25"/>
    <w:rsid w:val="00D12716"/>
    <w:rsid w:val="00D1417E"/>
    <w:rsid w:val="00D15649"/>
    <w:rsid w:val="00D15CF0"/>
    <w:rsid w:val="00D203A3"/>
    <w:rsid w:val="00D20D3B"/>
    <w:rsid w:val="00D20DC9"/>
    <w:rsid w:val="00D2244D"/>
    <w:rsid w:val="00D23F9A"/>
    <w:rsid w:val="00D27DD1"/>
    <w:rsid w:val="00D30EB7"/>
    <w:rsid w:val="00D3155C"/>
    <w:rsid w:val="00D32CF4"/>
    <w:rsid w:val="00D32EE1"/>
    <w:rsid w:val="00D331C0"/>
    <w:rsid w:val="00D365CA"/>
    <w:rsid w:val="00D36B63"/>
    <w:rsid w:val="00D400C2"/>
    <w:rsid w:val="00D4065E"/>
    <w:rsid w:val="00D43168"/>
    <w:rsid w:val="00D4349F"/>
    <w:rsid w:val="00D47B20"/>
    <w:rsid w:val="00D52177"/>
    <w:rsid w:val="00D5279A"/>
    <w:rsid w:val="00D5647C"/>
    <w:rsid w:val="00D576E6"/>
    <w:rsid w:val="00D579D9"/>
    <w:rsid w:val="00D6034F"/>
    <w:rsid w:val="00D61B08"/>
    <w:rsid w:val="00D61CD2"/>
    <w:rsid w:val="00D62F77"/>
    <w:rsid w:val="00D637C5"/>
    <w:rsid w:val="00D66A59"/>
    <w:rsid w:val="00D67912"/>
    <w:rsid w:val="00D67F32"/>
    <w:rsid w:val="00D7008A"/>
    <w:rsid w:val="00D710F4"/>
    <w:rsid w:val="00D724D7"/>
    <w:rsid w:val="00D73527"/>
    <w:rsid w:val="00D73955"/>
    <w:rsid w:val="00D74C9A"/>
    <w:rsid w:val="00D77E1A"/>
    <w:rsid w:val="00D80040"/>
    <w:rsid w:val="00D81EAE"/>
    <w:rsid w:val="00D82F2A"/>
    <w:rsid w:val="00D83C86"/>
    <w:rsid w:val="00D84E9F"/>
    <w:rsid w:val="00D85AB3"/>
    <w:rsid w:val="00D862E2"/>
    <w:rsid w:val="00D9157A"/>
    <w:rsid w:val="00D92682"/>
    <w:rsid w:val="00D964B7"/>
    <w:rsid w:val="00D968A4"/>
    <w:rsid w:val="00DA06AC"/>
    <w:rsid w:val="00DA79A0"/>
    <w:rsid w:val="00DA7C10"/>
    <w:rsid w:val="00DB05ED"/>
    <w:rsid w:val="00DB07FA"/>
    <w:rsid w:val="00DB2D3E"/>
    <w:rsid w:val="00DB34FC"/>
    <w:rsid w:val="00DB3AB5"/>
    <w:rsid w:val="00DB4587"/>
    <w:rsid w:val="00DB673C"/>
    <w:rsid w:val="00DB6947"/>
    <w:rsid w:val="00DB6B80"/>
    <w:rsid w:val="00DC0CCA"/>
    <w:rsid w:val="00DC0FA9"/>
    <w:rsid w:val="00DC1AFD"/>
    <w:rsid w:val="00DC1DFC"/>
    <w:rsid w:val="00DC24C1"/>
    <w:rsid w:val="00DC2729"/>
    <w:rsid w:val="00DC4697"/>
    <w:rsid w:val="00DC5E88"/>
    <w:rsid w:val="00DC6076"/>
    <w:rsid w:val="00DC7340"/>
    <w:rsid w:val="00DD01D2"/>
    <w:rsid w:val="00DD0797"/>
    <w:rsid w:val="00DD1F22"/>
    <w:rsid w:val="00DD332C"/>
    <w:rsid w:val="00DE28C9"/>
    <w:rsid w:val="00DE3D96"/>
    <w:rsid w:val="00DE4E87"/>
    <w:rsid w:val="00DE79D6"/>
    <w:rsid w:val="00DF0E82"/>
    <w:rsid w:val="00DF2FE9"/>
    <w:rsid w:val="00DF4E6F"/>
    <w:rsid w:val="00DF56B9"/>
    <w:rsid w:val="00DF7089"/>
    <w:rsid w:val="00DF7AD2"/>
    <w:rsid w:val="00E0006B"/>
    <w:rsid w:val="00E016F3"/>
    <w:rsid w:val="00E01E29"/>
    <w:rsid w:val="00E047DB"/>
    <w:rsid w:val="00E050A0"/>
    <w:rsid w:val="00E07C7F"/>
    <w:rsid w:val="00E1124D"/>
    <w:rsid w:val="00E13099"/>
    <w:rsid w:val="00E150E7"/>
    <w:rsid w:val="00E1677D"/>
    <w:rsid w:val="00E17796"/>
    <w:rsid w:val="00E205E2"/>
    <w:rsid w:val="00E2109E"/>
    <w:rsid w:val="00E24CE4"/>
    <w:rsid w:val="00E253D5"/>
    <w:rsid w:val="00E275E7"/>
    <w:rsid w:val="00E34071"/>
    <w:rsid w:val="00E36C6A"/>
    <w:rsid w:val="00E3764C"/>
    <w:rsid w:val="00E41A88"/>
    <w:rsid w:val="00E43531"/>
    <w:rsid w:val="00E441FB"/>
    <w:rsid w:val="00E507E0"/>
    <w:rsid w:val="00E53588"/>
    <w:rsid w:val="00E54AEB"/>
    <w:rsid w:val="00E57DE3"/>
    <w:rsid w:val="00E60167"/>
    <w:rsid w:val="00E6313F"/>
    <w:rsid w:val="00E63213"/>
    <w:rsid w:val="00E65664"/>
    <w:rsid w:val="00E7093E"/>
    <w:rsid w:val="00E70C59"/>
    <w:rsid w:val="00E73311"/>
    <w:rsid w:val="00E73C3D"/>
    <w:rsid w:val="00E740B7"/>
    <w:rsid w:val="00E77799"/>
    <w:rsid w:val="00E77CE7"/>
    <w:rsid w:val="00E801B2"/>
    <w:rsid w:val="00E81552"/>
    <w:rsid w:val="00E851ED"/>
    <w:rsid w:val="00E851FF"/>
    <w:rsid w:val="00E858A9"/>
    <w:rsid w:val="00E860FE"/>
    <w:rsid w:val="00E861A5"/>
    <w:rsid w:val="00E8667A"/>
    <w:rsid w:val="00E87109"/>
    <w:rsid w:val="00E87B3D"/>
    <w:rsid w:val="00E90B2E"/>
    <w:rsid w:val="00E90C54"/>
    <w:rsid w:val="00E95214"/>
    <w:rsid w:val="00E97590"/>
    <w:rsid w:val="00EA21B6"/>
    <w:rsid w:val="00EA4F20"/>
    <w:rsid w:val="00EB1568"/>
    <w:rsid w:val="00EB427B"/>
    <w:rsid w:val="00EB6914"/>
    <w:rsid w:val="00EB69C2"/>
    <w:rsid w:val="00EB7CBC"/>
    <w:rsid w:val="00EC14EA"/>
    <w:rsid w:val="00EC1BFA"/>
    <w:rsid w:val="00EC1E14"/>
    <w:rsid w:val="00EC29CB"/>
    <w:rsid w:val="00EC2EC2"/>
    <w:rsid w:val="00EC4BCD"/>
    <w:rsid w:val="00EC4C2C"/>
    <w:rsid w:val="00EC66A4"/>
    <w:rsid w:val="00ED080C"/>
    <w:rsid w:val="00ED0F44"/>
    <w:rsid w:val="00ED24E3"/>
    <w:rsid w:val="00ED2CEB"/>
    <w:rsid w:val="00ED3FC0"/>
    <w:rsid w:val="00ED6DE0"/>
    <w:rsid w:val="00EE1034"/>
    <w:rsid w:val="00EE56B2"/>
    <w:rsid w:val="00EE5BEB"/>
    <w:rsid w:val="00EE6AE7"/>
    <w:rsid w:val="00EF02DF"/>
    <w:rsid w:val="00EF14ED"/>
    <w:rsid w:val="00EF1C7B"/>
    <w:rsid w:val="00EF4060"/>
    <w:rsid w:val="00EF4284"/>
    <w:rsid w:val="00EF482F"/>
    <w:rsid w:val="00EF5213"/>
    <w:rsid w:val="00EF6ABC"/>
    <w:rsid w:val="00F0002C"/>
    <w:rsid w:val="00F00A6A"/>
    <w:rsid w:val="00F00B64"/>
    <w:rsid w:val="00F0105E"/>
    <w:rsid w:val="00F01EF8"/>
    <w:rsid w:val="00F042FE"/>
    <w:rsid w:val="00F0531D"/>
    <w:rsid w:val="00F10058"/>
    <w:rsid w:val="00F10755"/>
    <w:rsid w:val="00F10BFC"/>
    <w:rsid w:val="00F11144"/>
    <w:rsid w:val="00F11990"/>
    <w:rsid w:val="00F1588B"/>
    <w:rsid w:val="00F15D5C"/>
    <w:rsid w:val="00F15E4C"/>
    <w:rsid w:val="00F16B31"/>
    <w:rsid w:val="00F1715E"/>
    <w:rsid w:val="00F17A82"/>
    <w:rsid w:val="00F17FFE"/>
    <w:rsid w:val="00F21F7E"/>
    <w:rsid w:val="00F22C5C"/>
    <w:rsid w:val="00F243DF"/>
    <w:rsid w:val="00F245E1"/>
    <w:rsid w:val="00F26794"/>
    <w:rsid w:val="00F3033E"/>
    <w:rsid w:val="00F303B2"/>
    <w:rsid w:val="00F31947"/>
    <w:rsid w:val="00F31B90"/>
    <w:rsid w:val="00F322ED"/>
    <w:rsid w:val="00F32603"/>
    <w:rsid w:val="00F327FE"/>
    <w:rsid w:val="00F329B2"/>
    <w:rsid w:val="00F33B5F"/>
    <w:rsid w:val="00F34D6D"/>
    <w:rsid w:val="00F412B4"/>
    <w:rsid w:val="00F4137D"/>
    <w:rsid w:val="00F4168D"/>
    <w:rsid w:val="00F4428D"/>
    <w:rsid w:val="00F449F0"/>
    <w:rsid w:val="00F46F2F"/>
    <w:rsid w:val="00F506D5"/>
    <w:rsid w:val="00F53691"/>
    <w:rsid w:val="00F55A28"/>
    <w:rsid w:val="00F5677C"/>
    <w:rsid w:val="00F56B01"/>
    <w:rsid w:val="00F56CF0"/>
    <w:rsid w:val="00F57959"/>
    <w:rsid w:val="00F62F02"/>
    <w:rsid w:val="00F63E8A"/>
    <w:rsid w:val="00F64BF1"/>
    <w:rsid w:val="00F65C0E"/>
    <w:rsid w:val="00F70D2C"/>
    <w:rsid w:val="00F711CB"/>
    <w:rsid w:val="00F712F2"/>
    <w:rsid w:val="00F726CC"/>
    <w:rsid w:val="00F736BD"/>
    <w:rsid w:val="00F75748"/>
    <w:rsid w:val="00F76B0B"/>
    <w:rsid w:val="00F81E13"/>
    <w:rsid w:val="00F82E24"/>
    <w:rsid w:val="00F8492B"/>
    <w:rsid w:val="00F869D5"/>
    <w:rsid w:val="00F903CB"/>
    <w:rsid w:val="00F90430"/>
    <w:rsid w:val="00F911FB"/>
    <w:rsid w:val="00F93062"/>
    <w:rsid w:val="00F93B4B"/>
    <w:rsid w:val="00F9558D"/>
    <w:rsid w:val="00F96635"/>
    <w:rsid w:val="00FA04DA"/>
    <w:rsid w:val="00FA0961"/>
    <w:rsid w:val="00FA2C0A"/>
    <w:rsid w:val="00FA2E28"/>
    <w:rsid w:val="00FA3E44"/>
    <w:rsid w:val="00FB43EA"/>
    <w:rsid w:val="00FB499D"/>
    <w:rsid w:val="00FB5855"/>
    <w:rsid w:val="00FB5D0C"/>
    <w:rsid w:val="00FB628C"/>
    <w:rsid w:val="00FC011E"/>
    <w:rsid w:val="00FC1738"/>
    <w:rsid w:val="00FC4EA1"/>
    <w:rsid w:val="00FC714C"/>
    <w:rsid w:val="00FC7F8F"/>
    <w:rsid w:val="00FD13E7"/>
    <w:rsid w:val="00FD1517"/>
    <w:rsid w:val="00FD686F"/>
    <w:rsid w:val="00FD7361"/>
    <w:rsid w:val="00FE13A9"/>
    <w:rsid w:val="00FE1426"/>
    <w:rsid w:val="00FE1832"/>
    <w:rsid w:val="00FE1DE8"/>
    <w:rsid w:val="00FE35F1"/>
    <w:rsid w:val="00FE3B50"/>
    <w:rsid w:val="00FE5D9B"/>
    <w:rsid w:val="00FE7275"/>
    <w:rsid w:val="00FF0CEF"/>
    <w:rsid w:val="00FF12BE"/>
    <w:rsid w:val="00FF587D"/>
    <w:rsid w:val="01410B12"/>
    <w:rsid w:val="017EEEF7"/>
    <w:rsid w:val="0184F1B2"/>
    <w:rsid w:val="01F4267F"/>
    <w:rsid w:val="02557B70"/>
    <w:rsid w:val="02BD26A8"/>
    <w:rsid w:val="02DCDB73"/>
    <w:rsid w:val="031B7D27"/>
    <w:rsid w:val="03556958"/>
    <w:rsid w:val="047E3AA6"/>
    <w:rsid w:val="05E5FA54"/>
    <w:rsid w:val="06007264"/>
    <w:rsid w:val="0657FC80"/>
    <w:rsid w:val="066E9D97"/>
    <w:rsid w:val="068503DE"/>
    <w:rsid w:val="06BDD77F"/>
    <w:rsid w:val="0755F666"/>
    <w:rsid w:val="07942C03"/>
    <w:rsid w:val="07E7988F"/>
    <w:rsid w:val="08B061DC"/>
    <w:rsid w:val="08F931E6"/>
    <w:rsid w:val="0939A088"/>
    <w:rsid w:val="0989D6FA"/>
    <w:rsid w:val="09A63E59"/>
    <w:rsid w:val="0A261C1E"/>
    <w:rsid w:val="0B420EBA"/>
    <w:rsid w:val="0B667B11"/>
    <w:rsid w:val="0BAF59E1"/>
    <w:rsid w:val="0BEB4441"/>
    <w:rsid w:val="0C33EA82"/>
    <w:rsid w:val="0DB1C565"/>
    <w:rsid w:val="0DB22792"/>
    <w:rsid w:val="0DF10C39"/>
    <w:rsid w:val="0E0093C5"/>
    <w:rsid w:val="0EB56492"/>
    <w:rsid w:val="0EC86287"/>
    <w:rsid w:val="0F45E222"/>
    <w:rsid w:val="0F9BC9E0"/>
    <w:rsid w:val="0FC08E1A"/>
    <w:rsid w:val="0FC889C5"/>
    <w:rsid w:val="0FF18A08"/>
    <w:rsid w:val="10163EFE"/>
    <w:rsid w:val="105134F3"/>
    <w:rsid w:val="10AC5829"/>
    <w:rsid w:val="1163C390"/>
    <w:rsid w:val="11757FC4"/>
    <w:rsid w:val="11E3252B"/>
    <w:rsid w:val="129406F0"/>
    <w:rsid w:val="12F5E54F"/>
    <w:rsid w:val="130315C7"/>
    <w:rsid w:val="1317F9EA"/>
    <w:rsid w:val="135C6F01"/>
    <w:rsid w:val="1406957E"/>
    <w:rsid w:val="144AD11E"/>
    <w:rsid w:val="146C9161"/>
    <w:rsid w:val="14855949"/>
    <w:rsid w:val="14B0F458"/>
    <w:rsid w:val="15254CE2"/>
    <w:rsid w:val="1577A10E"/>
    <w:rsid w:val="160380FC"/>
    <w:rsid w:val="1636FFAD"/>
    <w:rsid w:val="16EFE111"/>
    <w:rsid w:val="170845DC"/>
    <w:rsid w:val="1709588C"/>
    <w:rsid w:val="1716B00E"/>
    <w:rsid w:val="1759C57A"/>
    <w:rsid w:val="17AED1B2"/>
    <w:rsid w:val="17D86535"/>
    <w:rsid w:val="188E0DBD"/>
    <w:rsid w:val="188EF54F"/>
    <w:rsid w:val="1894D121"/>
    <w:rsid w:val="19339C5E"/>
    <w:rsid w:val="193BAC66"/>
    <w:rsid w:val="1990134E"/>
    <w:rsid w:val="1A2781D3"/>
    <w:rsid w:val="1A936217"/>
    <w:rsid w:val="1AB99192"/>
    <w:rsid w:val="1B0072E5"/>
    <w:rsid w:val="1B3148B0"/>
    <w:rsid w:val="1B8A0771"/>
    <w:rsid w:val="1BA090E1"/>
    <w:rsid w:val="1BBF8293"/>
    <w:rsid w:val="1C081DAE"/>
    <w:rsid w:val="1C08314E"/>
    <w:rsid w:val="1C2E6944"/>
    <w:rsid w:val="1CEB5D40"/>
    <w:rsid w:val="1D323DC9"/>
    <w:rsid w:val="1D84CDFF"/>
    <w:rsid w:val="1DD46682"/>
    <w:rsid w:val="1EA87FD6"/>
    <w:rsid w:val="1EAE8F0A"/>
    <w:rsid w:val="1F45EC7B"/>
    <w:rsid w:val="20412342"/>
    <w:rsid w:val="2072E5D0"/>
    <w:rsid w:val="20AFB439"/>
    <w:rsid w:val="210A7E30"/>
    <w:rsid w:val="2148095B"/>
    <w:rsid w:val="21516D5D"/>
    <w:rsid w:val="216EBF1C"/>
    <w:rsid w:val="21779FF2"/>
    <w:rsid w:val="21B52A9A"/>
    <w:rsid w:val="21D87B48"/>
    <w:rsid w:val="236CB561"/>
    <w:rsid w:val="239F80F0"/>
    <w:rsid w:val="23A63F14"/>
    <w:rsid w:val="23A72C31"/>
    <w:rsid w:val="23F8DF37"/>
    <w:rsid w:val="23FD9B8F"/>
    <w:rsid w:val="244C2D43"/>
    <w:rsid w:val="244F544A"/>
    <w:rsid w:val="24703714"/>
    <w:rsid w:val="24788B83"/>
    <w:rsid w:val="24C89F3C"/>
    <w:rsid w:val="254C1186"/>
    <w:rsid w:val="2563B6D3"/>
    <w:rsid w:val="257E410F"/>
    <w:rsid w:val="266C6525"/>
    <w:rsid w:val="26BC5BA3"/>
    <w:rsid w:val="26FD3932"/>
    <w:rsid w:val="26FE80CB"/>
    <w:rsid w:val="27010138"/>
    <w:rsid w:val="2756FC07"/>
    <w:rsid w:val="27EBA4AC"/>
    <w:rsid w:val="280D1F6C"/>
    <w:rsid w:val="28A4C9B5"/>
    <w:rsid w:val="28B1339C"/>
    <w:rsid w:val="28DB76FF"/>
    <w:rsid w:val="28F827C5"/>
    <w:rsid w:val="295D6ED0"/>
    <w:rsid w:val="295DEF43"/>
    <w:rsid w:val="29833823"/>
    <w:rsid w:val="29A78B41"/>
    <w:rsid w:val="2A06E052"/>
    <w:rsid w:val="2A156D94"/>
    <w:rsid w:val="2A380511"/>
    <w:rsid w:val="2A983819"/>
    <w:rsid w:val="2B1AA5B3"/>
    <w:rsid w:val="2B381774"/>
    <w:rsid w:val="2B3EEA8F"/>
    <w:rsid w:val="2C58DA2C"/>
    <w:rsid w:val="2C5CE748"/>
    <w:rsid w:val="2C747CBD"/>
    <w:rsid w:val="2C7E0051"/>
    <w:rsid w:val="2C93F1AC"/>
    <w:rsid w:val="2CDDB681"/>
    <w:rsid w:val="2D21854C"/>
    <w:rsid w:val="2D2CEB0C"/>
    <w:rsid w:val="2D6409F3"/>
    <w:rsid w:val="2D842E23"/>
    <w:rsid w:val="2DF971E2"/>
    <w:rsid w:val="2E0245AE"/>
    <w:rsid w:val="2E1E9C93"/>
    <w:rsid w:val="2E5021EB"/>
    <w:rsid w:val="2EE8F982"/>
    <w:rsid w:val="2F3D5A48"/>
    <w:rsid w:val="2F78661D"/>
    <w:rsid w:val="3006BD9E"/>
    <w:rsid w:val="30110B49"/>
    <w:rsid w:val="302C713F"/>
    <w:rsid w:val="3078948C"/>
    <w:rsid w:val="309D8DD8"/>
    <w:rsid w:val="30B1732D"/>
    <w:rsid w:val="30B44C98"/>
    <w:rsid w:val="30CF4B7C"/>
    <w:rsid w:val="30D5AB47"/>
    <w:rsid w:val="31070A5E"/>
    <w:rsid w:val="3193CDC8"/>
    <w:rsid w:val="31C479E9"/>
    <w:rsid w:val="3244E9A4"/>
    <w:rsid w:val="32D60918"/>
    <w:rsid w:val="3332D282"/>
    <w:rsid w:val="333EDE0F"/>
    <w:rsid w:val="337B8BEB"/>
    <w:rsid w:val="33855C03"/>
    <w:rsid w:val="33B4ADCB"/>
    <w:rsid w:val="33BEF40A"/>
    <w:rsid w:val="34BE7D94"/>
    <w:rsid w:val="350906FE"/>
    <w:rsid w:val="350D4BE4"/>
    <w:rsid w:val="35721A20"/>
    <w:rsid w:val="357502B3"/>
    <w:rsid w:val="357A1C0D"/>
    <w:rsid w:val="3585C9E1"/>
    <w:rsid w:val="35CC9333"/>
    <w:rsid w:val="36ADBD8D"/>
    <w:rsid w:val="36BEA1CC"/>
    <w:rsid w:val="371F480C"/>
    <w:rsid w:val="37BA0A47"/>
    <w:rsid w:val="37CE63D8"/>
    <w:rsid w:val="37D8168B"/>
    <w:rsid w:val="38B16D41"/>
    <w:rsid w:val="38B3F857"/>
    <w:rsid w:val="396A6E97"/>
    <w:rsid w:val="39AD47D9"/>
    <w:rsid w:val="39B62252"/>
    <w:rsid w:val="39CC41BF"/>
    <w:rsid w:val="3A43DE43"/>
    <w:rsid w:val="3A5892F7"/>
    <w:rsid w:val="3A7FC032"/>
    <w:rsid w:val="3BCD86EF"/>
    <w:rsid w:val="3BFD234E"/>
    <w:rsid w:val="3C7DC9DA"/>
    <w:rsid w:val="3D00B7D0"/>
    <w:rsid w:val="3D169077"/>
    <w:rsid w:val="3D3B5B62"/>
    <w:rsid w:val="3D52C06D"/>
    <w:rsid w:val="3D55E7C5"/>
    <w:rsid w:val="3D616AEF"/>
    <w:rsid w:val="3D750CA9"/>
    <w:rsid w:val="3D755F19"/>
    <w:rsid w:val="3DFFD62A"/>
    <w:rsid w:val="3E13919F"/>
    <w:rsid w:val="3E1B329D"/>
    <w:rsid w:val="3E3127F2"/>
    <w:rsid w:val="3E70AE73"/>
    <w:rsid w:val="3EEEDEEE"/>
    <w:rsid w:val="400F1759"/>
    <w:rsid w:val="400F4D54"/>
    <w:rsid w:val="401C5E43"/>
    <w:rsid w:val="409E8D5C"/>
    <w:rsid w:val="40B41F04"/>
    <w:rsid w:val="40EEB0A9"/>
    <w:rsid w:val="41183A9A"/>
    <w:rsid w:val="414906A5"/>
    <w:rsid w:val="41756D78"/>
    <w:rsid w:val="4185CA0F"/>
    <w:rsid w:val="41F4E1BB"/>
    <w:rsid w:val="426E97C9"/>
    <w:rsid w:val="429EEA73"/>
    <w:rsid w:val="42D560DC"/>
    <w:rsid w:val="4309D3D4"/>
    <w:rsid w:val="43219A70"/>
    <w:rsid w:val="44FCE1B1"/>
    <w:rsid w:val="45186FDD"/>
    <w:rsid w:val="4604C5BF"/>
    <w:rsid w:val="4634E9A9"/>
    <w:rsid w:val="4810495A"/>
    <w:rsid w:val="48A380EF"/>
    <w:rsid w:val="48A5094F"/>
    <w:rsid w:val="48CF7E91"/>
    <w:rsid w:val="4915F303"/>
    <w:rsid w:val="4934F96A"/>
    <w:rsid w:val="49C3810B"/>
    <w:rsid w:val="4A334ADA"/>
    <w:rsid w:val="4A4A0739"/>
    <w:rsid w:val="4B0E494E"/>
    <w:rsid w:val="4B10FEC8"/>
    <w:rsid w:val="4B287AAA"/>
    <w:rsid w:val="4B37ED34"/>
    <w:rsid w:val="4B6D4BED"/>
    <w:rsid w:val="4B7779B2"/>
    <w:rsid w:val="4CB310D8"/>
    <w:rsid w:val="4CC45DEE"/>
    <w:rsid w:val="4D237C18"/>
    <w:rsid w:val="4D3028D4"/>
    <w:rsid w:val="4DB5EFDB"/>
    <w:rsid w:val="4DE33A2E"/>
    <w:rsid w:val="4E1CAF4F"/>
    <w:rsid w:val="4E31A2EF"/>
    <w:rsid w:val="4E728819"/>
    <w:rsid w:val="4EB0D188"/>
    <w:rsid w:val="4ECF6497"/>
    <w:rsid w:val="4ED264FF"/>
    <w:rsid w:val="4EF8BBE4"/>
    <w:rsid w:val="4F2AD721"/>
    <w:rsid w:val="4F8646BA"/>
    <w:rsid w:val="501C1797"/>
    <w:rsid w:val="502B7895"/>
    <w:rsid w:val="50B71D01"/>
    <w:rsid w:val="5107B377"/>
    <w:rsid w:val="51134D0F"/>
    <w:rsid w:val="511DBD92"/>
    <w:rsid w:val="51FE01C7"/>
    <w:rsid w:val="527660D7"/>
    <w:rsid w:val="52BDE77C"/>
    <w:rsid w:val="532CBA98"/>
    <w:rsid w:val="53ADD9BB"/>
    <w:rsid w:val="541D2534"/>
    <w:rsid w:val="54E4DE48"/>
    <w:rsid w:val="55164006"/>
    <w:rsid w:val="55C244F7"/>
    <w:rsid w:val="55D7325D"/>
    <w:rsid w:val="55E26993"/>
    <w:rsid w:val="55E6C710"/>
    <w:rsid w:val="55F0BCEC"/>
    <w:rsid w:val="55FBF7A7"/>
    <w:rsid w:val="5618C0A5"/>
    <w:rsid w:val="569B96C2"/>
    <w:rsid w:val="56F6D01F"/>
    <w:rsid w:val="57605533"/>
    <w:rsid w:val="576D62B2"/>
    <w:rsid w:val="57BDA75D"/>
    <w:rsid w:val="57EF887F"/>
    <w:rsid w:val="5811EFF5"/>
    <w:rsid w:val="58735478"/>
    <w:rsid w:val="587D8970"/>
    <w:rsid w:val="58807ABD"/>
    <w:rsid w:val="58DDA783"/>
    <w:rsid w:val="5A718067"/>
    <w:rsid w:val="5A7C5FAA"/>
    <w:rsid w:val="5A97C26C"/>
    <w:rsid w:val="5B1DE5B5"/>
    <w:rsid w:val="5B214BB5"/>
    <w:rsid w:val="5B4D6338"/>
    <w:rsid w:val="5BA438A3"/>
    <w:rsid w:val="5C0B6D22"/>
    <w:rsid w:val="5C1C993F"/>
    <w:rsid w:val="5C3B6D61"/>
    <w:rsid w:val="5C51A367"/>
    <w:rsid w:val="5DA990C2"/>
    <w:rsid w:val="5E23B587"/>
    <w:rsid w:val="5E4C995A"/>
    <w:rsid w:val="5ECD81F5"/>
    <w:rsid w:val="5ED996E4"/>
    <w:rsid w:val="5F4F3F20"/>
    <w:rsid w:val="5F74D46F"/>
    <w:rsid w:val="5FE1BBDC"/>
    <w:rsid w:val="60B633D9"/>
    <w:rsid w:val="60C722B0"/>
    <w:rsid w:val="60DB329F"/>
    <w:rsid w:val="611E26CF"/>
    <w:rsid w:val="61364882"/>
    <w:rsid w:val="617EF5A1"/>
    <w:rsid w:val="61D8E1F3"/>
    <w:rsid w:val="6214DF98"/>
    <w:rsid w:val="6263E75F"/>
    <w:rsid w:val="62A432C7"/>
    <w:rsid w:val="6327176C"/>
    <w:rsid w:val="635C7025"/>
    <w:rsid w:val="63671F37"/>
    <w:rsid w:val="63D6F8F6"/>
    <w:rsid w:val="63FF1547"/>
    <w:rsid w:val="641AD095"/>
    <w:rsid w:val="646CAC3D"/>
    <w:rsid w:val="64814E4C"/>
    <w:rsid w:val="64B62846"/>
    <w:rsid w:val="6502EF98"/>
    <w:rsid w:val="65C8EBCB"/>
    <w:rsid w:val="65D77676"/>
    <w:rsid w:val="664DE71E"/>
    <w:rsid w:val="66C14741"/>
    <w:rsid w:val="66E6C8FD"/>
    <w:rsid w:val="6737D662"/>
    <w:rsid w:val="67598815"/>
    <w:rsid w:val="678EC446"/>
    <w:rsid w:val="6816B756"/>
    <w:rsid w:val="681E94B1"/>
    <w:rsid w:val="68756E1A"/>
    <w:rsid w:val="68C5DA5E"/>
    <w:rsid w:val="690187A1"/>
    <w:rsid w:val="690FC880"/>
    <w:rsid w:val="69CD015C"/>
    <w:rsid w:val="6A5D6EA6"/>
    <w:rsid w:val="6A5DA7CE"/>
    <w:rsid w:val="6A5FFE3C"/>
    <w:rsid w:val="6A6A56F9"/>
    <w:rsid w:val="6A8D8888"/>
    <w:rsid w:val="6AA889A9"/>
    <w:rsid w:val="6ABA642B"/>
    <w:rsid w:val="6B7F64B6"/>
    <w:rsid w:val="6C02A9E0"/>
    <w:rsid w:val="6C140378"/>
    <w:rsid w:val="6C728F82"/>
    <w:rsid w:val="6D25AEFD"/>
    <w:rsid w:val="6D53065D"/>
    <w:rsid w:val="6D8EA692"/>
    <w:rsid w:val="6E209893"/>
    <w:rsid w:val="6E61EC1E"/>
    <w:rsid w:val="6ECD8518"/>
    <w:rsid w:val="6EF15883"/>
    <w:rsid w:val="6F3BC633"/>
    <w:rsid w:val="6F47A5EF"/>
    <w:rsid w:val="6F7C4D18"/>
    <w:rsid w:val="7006FDFB"/>
    <w:rsid w:val="70AF7731"/>
    <w:rsid w:val="70CEDA6A"/>
    <w:rsid w:val="712B26B4"/>
    <w:rsid w:val="71B594EA"/>
    <w:rsid w:val="71B86C53"/>
    <w:rsid w:val="71E47092"/>
    <w:rsid w:val="71F894C0"/>
    <w:rsid w:val="723B9C9C"/>
    <w:rsid w:val="727FF29A"/>
    <w:rsid w:val="72A920A3"/>
    <w:rsid w:val="72AABD89"/>
    <w:rsid w:val="73046AE5"/>
    <w:rsid w:val="7378024C"/>
    <w:rsid w:val="74468DEA"/>
    <w:rsid w:val="746067D1"/>
    <w:rsid w:val="74D31F75"/>
    <w:rsid w:val="752DD17D"/>
    <w:rsid w:val="755D5842"/>
    <w:rsid w:val="758DED8A"/>
    <w:rsid w:val="75A838A4"/>
    <w:rsid w:val="75C1A640"/>
    <w:rsid w:val="765227AD"/>
    <w:rsid w:val="7654CC39"/>
    <w:rsid w:val="76BDFCD8"/>
    <w:rsid w:val="76CCD14D"/>
    <w:rsid w:val="76E4F089"/>
    <w:rsid w:val="7727B070"/>
    <w:rsid w:val="77C5F738"/>
    <w:rsid w:val="77EDF80E"/>
    <w:rsid w:val="7847D4BA"/>
    <w:rsid w:val="784AE592"/>
    <w:rsid w:val="785E3E06"/>
    <w:rsid w:val="78E555E7"/>
    <w:rsid w:val="793DAB2F"/>
    <w:rsid w:val="79D470EB"/>
    <w:rsid w:val="79DAAB6D"/>
    <w:rsid w:val="79E6FF93"/>
    <w:rsid w:val="7A1E6827"/>
    <w:rsid w:val="7B348021"/>
    <w:rsid w:val="7B56B240"/>
    <w:rsid w:val="7B6446A5"/>
    <w:rsid w:val="7B6CC338"/>
    <w:rsid w:val="7B78B5D6"/>
    <w:rsid w:val="7C2FBD8A"/>
    <w:rsid w:val="7C4E51E5"/>
    <w:rsid w:val="7C52FA91"/>
    <w:rsid w:val="7C9A2993"/>
    <w:rsid w:val="7CE619A5"/>
    <w:rsid w:val="7CEC1DDE"/>
    <w:rsid w:val="7CFB82E0"/>
    <w:rsid w:val="7D155ABF"/>
    <w:rsid w:val="7DA31428"/>
    <w:rsid w:val="7DED81AB"/>
    <w:rsid w:val="7E20B259"/>
    <w:rsid w:val="7E23B804"/>
    <w:rsid w:val="7E2C070A"/>
    <w:rsid w:val="7E5805B1"/>
    <w:rsid w:val="7E971748"/>
    <w:rsid w:val="7EA40A2A"/>
    <w:rsid w:val="7ECBF460"/>
    <w:rsid w:val="7F27A941"/>
    <w:rsid w:val="7F93374F"/>
    <w:rsid w:val="7F93C095"/>
    <w:rsid w:val="7FA53AB0"/>
    <w:rsid w:val="7FC9E9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4AA8F"/>
  <w15:chartTrackingRefBased/>
  <w15:docId w15:val="{28E6EAEA-D6F9-4D8E-9313-64BA20DB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D4"/>
    <w:rPr>
      <w:lang w:val="fr-CA"/>
    </w:rPr>
  </w:style>
  <w:style w:type="paragraph" w:styleId="Heading1">
    <w:name w:val="heading 1"/>
    <w:basedOn w:val="Normal"/>
    <w:next w:val="Normal"/>
    <w:link w:val="Heading1Char"/>
    <w:uiPriority w:val="9"/>
    <w:qFormat/>
    <w:rsid w:val="002651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60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77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3776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776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5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8EB"/>
    <w:pPr>
      <w:ind w:left="720"/>
      <w:contextualSpacing/>
    </w:pPr>
  </w:style>
  <w:style w:type="character" w:styleId="Hyperlink">
    <w:name w:val="Hyperlink"/>
    <w:basedOn w:val="DefaultParagraphFont"/>
    <w:uiPriority w:val="99"/>
    <w:unhideWhenUsed/>
    <w:rsid w:val="00F64BF1"/>
    <w:rPr>
      <w:color w:val="0563C1" w:themeColor="hyperlink"/>
      <w:u w:val="single"/>
    </w:rPr>
  </w:style>
  <w:style w:type="character" w:styleId="FollowedHyperlink">
    <w:name w:val="FollowedHyperlink"/>
    <w:basedOn w:val="DefaultParagraphFont"/>
    <w:uiPriority w:val="99"/>
    <w:semiHidden/>
    <w:unhideWhenUsed/>
    <w:rsid w:val="001903EC"/>
    <w:rPr>
      <w:color w:val="954F72" w:themeColor="followedHyperlink"/>
      <w:u w:val="single"/>
    </w:rPr>
  </w:style>
  <w:style w:type="paragraph" w:styleId="BalloonText">
    <w:name w:val="Balloon Text"/>
    <w:basedOn w:val="Normal"/>
    <w:link w:val="BalloonTextChar"/>
    <w:uiPriority w:val="99"/>
    <w:semiHidden/>
    <w:unhideWhenUsed/>
    <w:rsid w:val="00763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335"/>
    <w:rPr>
      <w:rFonts w:ascii="Segoe UI" w:hAnsi="Segoe UI" w:cs="Segoe UI"/>
      <w:sz w:val="18"/>
      <w:szCs w:val="18"/>
    </w:rPr>
  </w:style>
  <w:style w:type="paragraph" w:styleId="Header">
    <w:name w:val="header"/>
    <w:basedOn w:val="Normal"/>
    <w:link w:val="HeaderChar"/>
    <w:uiPriority w:val="99"/>
    <w:unhideWhenUsed/>
    <w:rsid w:val="00E80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1B2"/>
  </w:style>
  <w:style w:type="paragraph" w:styleId="Footer">
    <w:name w:val="footer"/>
    <w:basedOn w:val="Normal"/>
    <w:link w:val="FooterChar"/>
    <w:uiPriority w:val="99"/>
    <w:unhideWhenUsed/>
    <w:rsid w:val="00E80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1B2"/>
  </w:style>
  <w:style w:type="paragraph" w:styleId="Revision">
    <w:name w:val="Revision"/>
    <w:hidden/>
    <w:uiPriority w:val="99"/>
    <w:semiHidden/>
    <w:rsid w:val="00CB354F"/>
    <w:pPr>
      <w:spacing w:after="0" w:line="240" w:lineRule="auto"/>
    </w:pPr>
  </w:style>
  <w:style w:type="character" w:styleId="CommentReference">
    <w:name w:val="annotation reference"/>
    <w:basedOn w:val="DefaultParagraphFont"/>
    <w:uiPriority w:val="99"/>
    <w:semiHidden/>
    <w:unhideWhenUsed/>
    <w:rsid w:val="00733DDE"/>
    <w:rPr>
      <w:sz w:val="16"/>
      <w:szCs w:val="16"/>
    </w:rPr>
  </w:style>
  <w:style w:type="paragraph" w:styleId="CommentText">
    <w:name w:val="annotation text"/>
    <w:basedOn w:val="Normal"/>
    <w:link w:val="CommentTextChar"/>
    <w:uiPriority w:val="99"/>
    <w:unhideWhenUsed/>
    <w:rsid w:val="00733DDE"/>
    <w:pPr>
      <w:spacing w:line="240" w:lineRule="auto"/>
    </w:pPr>
    <w:rPr>
      <w:sz w:val="20"/>
      <w:szCs w:val="20"/>
    </w:rPr>
  </w:style>
  <w:style w:type="character" w:customStyle="1" w:styleId="CommentTextChar">
    <w:name w:val="Comment Text Char"/>
    <w:basedOn w:val="DefaultParagraphFont"/>
    <w:link w:val="CommentText"/>
    <w:uiPriority w:val="99"/>
    <w:rsid w:val="00733DDE"/>
    <w:rPr>
      <w:sz w:val="20"/>
      <w:szCs w:val="20"/>
    </w:rPr>
  </w:style>
  <w:style w:type="paragraph" w:styleId="CommentSubject">
    <w:name w:val="annotation subject"/>
    <w:basedOn w:val="CommentText"/>
    <w:next w:val="CommentText"/>
    <w:link w:val="CommentSubjectChar"/>
    <w:uiPriority w:val="99"/>
    <w:semiHidden/>
    <w:unhideWhenUsed/>
    <w:rsid w:val="00A7732A"/>
    <w:rPr>
      <w:b/>
      <w:bCs/>
    </w:rPr>
  </w:style>
  <w:style w:type="character" w:customStyle="1" w:styleId="CommentSubjectChar">
    <w:name w:val="Comment Subject Char"/>
    <w:basedOn w:val="CommentTextChar"/>
    <w:link w:val="CommentSubject"/>
    <w:uiPriority w:val="99"/>
    <w:semiHidden/>
    <w:rsid w:val="00A7732A"/>
    <w:rPr>
      <w:b/>
      <w:bCs/>
      <w:sz w:val="20"/>
      <w:szCs w:val="20"/>
    </w:rPr>
  </w:style>
  <w:style w:type="character" w:customStyle="1" w:styleId="UnresolvedMention1">
    <w:name w:val="Unresolved Mention1"/>
    <w:basedOn w:val="DefaultParagraphFont"/>
    <w:uiPriority w:val="99"/>
    <w:semiHidden/>
    <w:unhideWhenUsed/>
    <w:rsid w:val="0029628D"/>
    <w:rPr>
      <w:color w:val="605E5C"/>
      <w:shd w:val="clear" w:color="auto" w:fill="E1DFDD"/>
    </w:rPr>
  </w:style>
  <w:style w:type="character" w:customStyle="1" w:styleId="UnresolvedMention2">
    <w:name w:val="Unresolved Mention2"/>
    <w:basedOn w:val="DefaultParagraphFont"/>
    <w:uiPriority w:val="99"/>
    <w:semiHidden/>
    <w:unhideWhenUsed/>
    <w:rsid w:val="007A1C74"/>
    <w:rPr>
      <w:color w:val="605E5C"/>
      <w:shd w:val="clear" w:color="auto" w:fill="E1DFDD"/>
    </w:rPr>
  </w:style>
  <w:style w:type="character" w:styleId="UnresolvedMention">
    <w:name w:val="Unresolved Mention"/>
    <w:basedOn w:val="DefaultParagraphFont"/>
    <w:uiPriority w:val="99"/>
    <w:semiHidden/>
    <w:unhideWhenUsed/>
    <w:rsid w:val="00C57D37"/>
    <w:rPr>
      <w:color w:val="605E5C"/>
      <w:shd w:val="clear" w:color="auto" w:fill="E1DFDD"/>
    </w:rPr>
  </w:style>
  <w:style w:type="character" w:styleId="Strong">
    <w:name w:val="Strong"/>
    <w:basedOn w:val="DefaultParagraphFont"/>
    <w:uiPriority w:val="22"/>
    <w:qFormat/>
    <w:rsid w:val="00385209"/>
    <w:rPr>
      <w:b/>
      <w:bCs/>
    </w:rPr>
  </w:style>
  <w:style w:type="character" w:customStyle="1" w:styleId="Heading2Char">
    <w:name w:val="Heading 2 Char"/>
    <w:basedOn w:val="DefaultParagraphFont"/>
    <w:link w:val="Heading2"/>
    <w:uiPriority w:val="9"/>
    <w:rsid w:val="003160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3776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3776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3776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2651FA"/>
    <w:rPr>
      <w:rFonts w:asciiTheme="majorHAnsi" w:eastAsiaTheme="majorEastAsia" w:hAnsiTheme="majorHAnsi" w:cstheme="majorBidi"/>
      <w:color w:val="2E74B5" w:themeColor="accent1" w:themeShade="BF"/>
      <w:sz w:val="32"/>
      <w:szCs w:val="32"/>
    </w:rPr>
  </w:style>
  <w:style w:type="character" w:customStyle="1" w:styleId="ui-provider">
    <w:name w:val="ui-provider"/>
    <w:basedOn w:val="DefaultParagraphFont"/>
    <w:rsid w:val="00872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042332">
      <w:bodyDiv w:val="1"/>
      <w:marLeft w:val="0"/>
      <w:marRight w:val="0"/>
      <w:marTop w:val="0"/>
      <w:marBottom w:val="0"/>
      <w:divBdr>
        <w:top w:val="none" w:sz="0" w:space="0" w:color="auto"/>
        <w:left w:val="none" w:sz="0" w:space="0" w:color="auto"/>
        <w:bottom w:val="none" w:sz="0" w:space="0" w:color="auto"/>
        <w:right w:val="none" w:sz="0" w:space="0" w:color="auto"/>
      </w:divBdr>
      <w:divsChild>
        <w:div w:id="1516337345">
          <w:marLeft w:val="0"/>
          <w:marRight w:val="0"/>
          <w:marTop w:val="480"/>
          <w:marBottom w:val="0"/>
          <w:divBdr>
            <w:top w:val="single" w:sz="6" w:space="0" w:color="CCCCCC"/>
            <w:left w:val="single" w:sz="2" w:space="0" w:color="CCCCCC"/>
            <w:bottom w:val="single" w:sz="6" w:space="0" w:color="CCCCCC"/>
            <w:right w:val="single" w:sz="2" w:space="0" w:color="CCCCCC"/>
          </w:divBdr>
        </w:div>
      </w:divsChild>
    </w:div>
    <w:div w:id="1041441557">
      <w:bodyDiv w:val="1"/>
      <w:marLeft w:val="0"/>
      <w:marRight w:val="0"/>
      <w:marTop w:val="0"/>
      <w:marBottom w:val="0"/>
      <w:divBdr>
        <w:top w:val="none" w:sz="0" w:space="0" w:color="auto"/>
        <w:left w:val="none" w:sz="0" w:space="0" w:color="auto"/>
        <w:bottom w:val="none" w:sz="0" w:space="0" w:color="auto"/>
        <w:right w:val="none" w:sz="0" w:space="0" w:color="auto"/>
      </w:divBdr>
    </w:div>
    <w:div w:id="1095398325">
      <w:bodyDiv w:val="1"/>
      <w:marLeft w:val="0"/>
      <w:marRight w:val="0"/>
      <w:marTop w:val="0"/>
      <w:marBottom w:val="0"/>
      <w:divBdr>
        <w:top w:val="none" w:sz="0" w:space="0" w:color="auto"/>
        <w:left w:val="none" w:sz="0" w:space="0" w:color="auto"/>
        <w:bottom w:val="none" w:sz="0" w:space="0" w:color="auto"/>
        <w:right w:val="none" w:sz="0" w:space="0" w:color="auto"/>
      </w:divBdr>
      <w:divsChild>
        <w:div w:id="529882644">
          <w:marLeft w:val="0"/>
          <w:marRight w:val="0"/>
          <w:marTop w:val="0"/>
          <w:marBottom w:val="0"/>
          <w:divBdr>
            <w:top w:val="none" w:sz="0" w:space="0" w:color="auto"/>
            <w:left w:val="none" w:sz="0" w:space="0" w:color="auto"/>
            <w:bottom w:val="none" w:sz="0" w:space="0" w:color="auto"/>
            <w:right w:val="none" w:sz="0" w:space="0" w:color="auto"/>
          </w:divBdr>
          <w:divsChild>
            <w:div w:id="1832867914">
              <w:marLeft w:val="0"/>
              <w:marRight w:val="0"/>
              <w:marTop w:val="480"/>
              <w:marBottom w:val="0"/>
              <w:divBdr>
                <w:top w:val="single" w:sz="6" w:space="0" w:color="CCCCCC"/>
                <w:left w:val="single" w:sz="2" w:space="0" w:color="CCCCCC"/>
                <w:bottom w:val="single" w:sz="6" w:space="0" w:color="CCCCCC"/>
                <w:right w:val="single" w:sz="2" w:space="0"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gc.ca/fra/declaration/fiche-fac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284AABCA0AD3438948330854908A41" ma:contentTypeVersion="22" ma:contentTypeDescription="Create a new document." ma:contentTypeScope="" ma:versionID="1e8246e5d4a406fe2b8f4e99acae915f">
  <xsd:schema xmlns:xsd="http://www.w3.org/2001/XMLSchema" xmlns:xs="http://www.w3.org/2001/XMLSchema" xmlns:p="http://schemas.microsoft.com/office/2006/metadata/properties" xmlns:ns2="7103d4f6-ee92-414b-a650-3e3b4090863e" xmlns:ns3="cc32d92f-7736-4923-8cdf-168cc5809e71" targetNamespace="http://schemas.microsoft.com/office/2006/metadata/properties" ma:root="true" ma:fieldsID="d72820052dc260f1a52aeb89f05dd353" ns2:_="" ns3:_="">
    <xsd:import namespace="7103d4f6-ee92-414b-a650-3e3b4090863e"/>
    <xsd:import namespace="cc32d92f-7736-4923-8cdf-168cc5809e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ApprovalStatus" minOccurs="0"/>
                <xsd:element ref="ns2:ApproversresponseYES" minOccurs="0"/>
                <xsd:element ref="ns2:ApproversreponseNO"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d4f6-ee92-414b-a650-3e3b40908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ApprovalStatus" ma:index="20" nillable="true" ma:displayName="Approval Status" ma:default="New" ma:format="Dropdown" ma:internalName="ApprovalStatus">
      <xsd:simpleType>
        <xsd:restriction base="dms:Choice">
          <xsd:enumeration value="New"/>
          <xsd:enumeration value="Approved"/>
          <xsd:enumeration value="Pending"/>
          <xsd:enumeration value="Rejected- make edits"/>
        </xsd:restriction>
      </xsd:simpleType>
    </xsd:element>
    <xsd:element name="ApproversresponseYES" ma:index="21" nillable="true" ma:displayName="Approved" ma:format="Dropdown" ma:list="UserInfo" ma:SharePointGroup="0" ma:internalName="ApproversresponseYE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reponseNO" ma:index="22" nillable="true" ma:displayName="Not Approved" ma:format="Dropdown" ma:list="UserInfo" ma:SharePointGroup="0" ma:internalName="ApproversreponseN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2d92f-7736-4923-8cdf-168cc5809e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0395e9e-3d45-4eed-85c7-37069cd07a9e}" ma:internalName="TaxCatchAll" ma:showField="CatchAllData" ma:web="cc32d92f-7736-4923-8cdf-168cc5809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03d4f6-ee92-414b-a650-3e3b4090863e">
      <Terms xmlns="http://schemas.microsoft.com/office/infopath/2007/PartnerControls"/>
    </lcf76f155ced4ddcb4097134ff3c332f>
    <TaxCatchAll xmlns="cc32d92f-7736-4923-8cdf-168cc5809e71" xsi:nil="true"/>
    <ApproversresponseYES xmlns="7103d4f6-ee92-414b-a650-3e3b4090863e">
      <UserInfo>
        <DisplayName/>
        <AccountId xsi:nil="true"/>
        <AccountType/>
      </UserInfo>
    </ApproversresponseYES>
    <ApprovalStatus xmlns="7103d4f6-ee92-414b-a650-3e3b4090863e">New</ApprovalStatus>
    <ApproversreponseNO xmlns="7103d4f6-ee92-414b-a650-3e3b4090863e">
      <UserInfo>
        <DisplayName/>
        <AccountId xsi:nil="true"/>
        <AccountType/>
      </UserInfo>
    </ApproversreponseNO>
    <SharedWithUsers xmlns="cc32d92f-7736-4923-8cdf-168cc5809e71">
      <UserInfo>
        <DisplayName>Pless, Robert (PHAC/ASPC)</DisplayName>
        <AccountId>389</AccountId>
        <AccountType/>
      </UserInfo>
      <UserInfo>
        <DisplayName>Jensen, Christina (PHAC/ASPC)</DisplayName>
        <AccountId>64</AccountId>
        <AccountType/>
      </UserInfo>
      <UserInfo>
        <DisplayName>Baclic, Oliver (PHAC/ASPC)</DisplayName>
        <AccountId>1010</AccountId>
        <AccountType/>
      </UserInfo>
      <UserInfo>
        <DisplayName>Crane, Fiann (PHAC/ASPC)</DisplayName>
        <AccountId>943</AccountId>
        <AccountType/>
      </UserInfo>
      <UserInfo>
        <DisplayName>Abols-mosquera, Alain (PHAC/ASPC)</DisplayName>
        <AccountId>427</AccountId>
        <AccountType/>
      </UserInfo>
      <UserInfo>
        <DisplayName>Lamontagne, Marie-Christine (PHAC/ASPC)</DisplayName>
        <AccountId>410</AccountId>
        <AccountType/>
      </UserInfo>
      <UserInfo>
        <DisplayName>Charbonneau, Danielle (PHAC/ASPC)</DisplayName>
        <AccountId>18</AccountId>
        <AccountType/>
      </UserInfo>
      <UserInfo>
        <DisplayName>Joanette, Quenby (HC/SC)</DisplayName>
        <AccountId>93</AccountId>
        <AccountType/>
      </UserInfo>
      <UserInfo>
        <DisplayName>Friesen, Andrea (HC/SC)</DisplayName>
        <AccountId>1654</AccountId>
        <AccountType/>
      </UserInfo>
      <UserInfo>
        <DisplayName>Liu, William (PHAC/ASPC)</DisplayName>
        <AccountId>628</AccountId>
        <AccountType/>
      </UserInfo>
    </SharedWithUsers>
    <MediaLengthInSeconds xmlns="7103d4f6-ee92-414b-a650-3e3b4090863e" xsi:nil="true"/>
  </documentManagement>
</p:properties>
</file>

<file path=customXml/itemProps1.xml><?xml version="1.0" encoding="utf-8"?>
<ds:datastoreItem xmlns:ds="http://schemas.openxmlformats.org/officeDocument/2006/customXml" ds:itemID="{E921E20C-7D27-4D84-9744-D54B9A53C7E9}">
  <ds:schemaRefs>
    <ds:schemaRef ds:uri="http://schemas.microsoft.com/sharepoint/v3/contenttype/forms"/>
  </ds:schemaRefs>
</ds:datastoreItem>
</file>

<file path=customXml/itemProps2.xml><?xml version="1.0" encoding="utf-8"?>
<ds:datastoreItem xmlns:ds="http://schemas.openxmlformats.org/officeDocument/2006/customXml" ds:itemID="{09652849-2F7D-41C7-860A-19F3976C1408}">
  <ds:schemaRefs>
    <ds:schemaRef ds:uri="http://schemas.openxmlformats.org/officeDocument/2006/bibliography"/>
  </ds:schemaRefs>
</ds:datastoreItem>
</file>

<file path=customXml/itemProps3.xml><?xml version="1.0" encoding="utf-8"?>
<ds:datastoreItem xmlns:ds="http://schemas.openxmlformats.org/officeDocument/2006/customXml" ds:itemID="{50211559-8B07-4D0B-93CA-64A746DE82B9}"/>
</file>

<file path=customXml/itemProps4.xml><?xml version="1.0" encoding="utf-8"?>
<ds:datastoreItem xmlns:ds="http://schemas.openxmlformats.org/officeDocument/2006/customXml" ds:itemID="{40B30588-6BC7-488D-83F9-3D2F8B18CA5E}">
  <ds:schemaRefs>
    <ds:schemaRef ds:uri="http://purl.org/dc/terms/"/>
    <ds:schemaRef ds:uri="7103d4f6-ee92-414b-a650-3e3b4090863e"/>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cc32d92f-7736-4923-8cdf-168cc5809e7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Warshawsky, Bryna (PHAC/ASPC)</dc:creator>
  <cp:keywords>, docId:71531E04F573BC6ECC465D7528866264</cp:keywords>
  <dc:description/>
  <cp:lastModifiedBy>Abols-mosquera, Alain (PHAC/ASPC)</cp:lastModifiedBy>
  <cp:revision>225</cp:revision>
  <cp:lastPrinted>2024-01-15T21:24:00Z</cp:lastPrinted>
  <dcterms:created xsi:type="dcterms:W3CDTF">2023-08-01T13:55:00Z</dcterms:created>
  <dcterms:modified xsi:type="dcterms:W3CDTF">2024-04-30T13:20:00Z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0x010100AE284AABCA0AD3438948330854908A41</vt:lpwstr>
  </property>
  <property fmtid="{D5CDD505-2E9C-101B-9397-08002B2CF9AE}" pid="3" name="MediaServiceImageTags">
    <vt:lpwstr/>
  </property>
  <property fmtid="{D5CDD505-2E9C-101B-9397-08002B2CF9AE}" pid="4" name="Order">
    <vt:r8>1441700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