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327C0" w14:textId="3421ED07" w:rsidR="0048097C" w:rsidRPr="0048097C" w:rsidRDefault="0048097C" w:rsidP="0048097C">
      <w:pPr>
        <w:rPr>
          <w:rFonts w:cstheme="minorHAnsi"/>
          <w:b/>
          <w:bCs/>
          <w:sz w:val="22"/>
          <w:szCs w:val="22"/>
          <w:highlight w:val="yellow"/>
        </w:rPr>
      </w:pPr>
    </w:p>
    <w:p w14:paraId="78F5B063" w14:textId="72DC5914" w:rsidR="0048097C" w:rsidRPr="0048097C" w:rsidRDefault="002106B4" w:rsidP="0048097C">
      <w:pPr>
        <w:rPr>
          <w:rFonts w:cstheme="minorHAnsi"/>
          <w:sz w:val="22"/>
          <w:szCs w:val="22"/>
        </w:rPr>
      </w:pPr>
      <w:r>
        <w:rPr>
          <w:rFonts w:cstheme="minorHAnsi"/>
          <w:sz w:val="22"/>
          <w:szCs w:val="22"/>
        </w:rPr>
        <w:t xml:space="preserve">September </w:t>
      </w:r>
      <w:r w:rsidR="009D3C47">
        <w:rPr>
          <w:rFonts w:cstheme="minorHAnsi"/>
          <w:sz w:val="22"/>
          <w:szCs w:val="22"/>
        </w:rPr>
        <w:t>5</w:t>
      </w:r>
      <w:r w:rsidR="009D3C47" w:rsidRPr="009D3C47">
        <w:rPr>
          <w:rFonts w:cstheme="minorHAnsi"/>
          <w:sz w:val="22"/>
          <w:szCs w:val="22"/>
          <w:vertAlign w:val="superscript"/>
        </w:rPr>
        <w:t>th</w:t>
      </w:r>
      <w:r>
        <w:rPr>
          <w:rFonts w:cstheme="minorHAnsi"/>
          <w:sz w:val="22"/>
          <w:szCs w:val="22"/>
        </w:rPr>
        <w:t>,</w:t>
      </w:r>
      <w:r w:rsidR="007E2CB3" w:rsidRPr="007E2CB3">
        <w:rPr>
          <w:rFonts w:cstheme="minorHAnsi"/>
          <w:sz w:val="22"/>
          <w:szCs w:val="22"/>
        </w:rPr>
        <w:t xml:space="preserve"> 202</w:t>
      </w:r>
      <w:r>
        <w:rPr>
          <w:rFonts w:cstheme="minorHAnsi"/>
          <w:sz w:val="22"/>
          <w:szCs w:val="22"/>
        </w:rPr>
        <w:t>4</w:t>
      </w:r>
    </w:p>
    <w:p w14:paraId="42524B5D" w14:textId="77777777" w:rsidR="0048097C" w:rsidRPr="0048097C" w:rsidRDefault="0048097C" w:rsidP="0048097C">
      <w:pPr>
        <w:rPr>
          <w:rFonts w:cstheme="minorHAnsi"/>
          <w:sz w:val="22"/>
          <w:szCs w:val="22"/>
        </w:rPr>
      </w:pPr>
    </w:p>
    <w:p w14:paraId="6A22143C" w14:textId="77777777" w:rsidR="0048097C" w:rsidRPr="0048097C" w:rsidRDefault="0048097C" w:rsidP="0048097C">
      <w:pPr>
        <w:rPr>
          <w:rFonts w:eastAsia="Times New Roman" w:cstheme="minorHAnsi"/>
          <w:sz w:val="22"/>
          <w:szCs w:val="22"/>
        </w:rPr>
      </w:pPr>
      <w:r w:rsidRPr="0048097C">
        <w:rPr>
          <w:rFonts w:eastAsia="Times New Roman" w:cstheme="minorHAnsi"/>
          <w:sz w:val="22"/>
          <w:szCs w:val="22"/>
        </w:rPr>
        <w:t xml:space="preserve">Patented Medicine Prices Review Board </w:t>
      </w:r>
    </w:p>
    <w:p w14:paraId="386F3FC1" w14:textId="77777777" w:rsidR="0048097C" w:rsidRPr="0048097C" w:rsidRDefault="0048097C" w:rsidP="0048097C">
      <w:pPr>
        <w:rPr>
          <w:rFonts w:eastAsia="Times New Roman" w:cstheme="minorHAnsi"/>
          <w:sz w:val="22"/>
          <w:szCs w:val="22"/>
        </w:rPr>
      </w:pPr>
      <w:r w:rsidRPr="0048097C">
        <w:rPr>
          <w:rFonts w:eastAsia="Times New Roman" w:cstheme="minorHAnsi"/>
          <w:sz w:val="22"/>
          <w:szCs w:val="22"/>
        </w:rPr>
        <w:t xml:space="preserve">Box L40 Standard Life Centre </w:t>
      </w:r>
    </w:p>
    <w:p w14:paraId="1EED8F8E" w14:textId="77777777" w:rsidR="0048097C" w:rsidRPr="0048097C" w:rsidRDefault="0048097C" w:rsidP="0048097C">
      <w:pPr>
        <w:rPr>
          <w:rFonts w:eastAsia="Times New Roman" w:cstheme="minorHAnsi"/>
          <w:sz w:val="22"/>
          <w:szCs w:val="22"/>
        </w:rPr>
      </w:pPr>
      <w:r w:rsidRPr="0048097C">
        <w:rPr>
          <w:rFonts w:eastAsia="Times New Roman" w:cstheme="minorHAnsi"/>
          <w:sz w:val="22"/>
          <w:szCs w:val="22"/>
        </w:rPr>
        <w:t xml:space="preserve">333 Laurier Avenue West Suite 1400 </w:t>
      </w:r>
    </w:p>
    <w:p w14:paraId="1AA8F628" w14:textId="77777777" w:rsidR="0048097C" w:rsidRPr="0048097C" w:rsidRDefault="0048097C" w:rsidP="0048097C">
      <w:pPr>
        <w:rPr>
          <w:rFonts w:eastAsia="Times New Roman" w:cstheme="minorHAnsi"/>
          <w:sz w:val="22"/>
          <w:szCs w:val="22"/>
        </w:rPr>
      </w:pPr>
      <w:r w:rsidRPr="0048097C">
        <w:rPr>
          <w:rFonts w:eastAsia="Times New Roman" w:cstheme="minorHAnsi"/>
          <w:sz w:val="22"/>
          <w:szCs w:val="22"/>
        </w:rPr>
        <w:t>Ottawa, Ontario K1P 1C1</w:t>
      </w:r>
    </w:p>
    <w:p w14:paraId="5EF81F84" w14:textId="77777777" w:rsidR="0048097C" w:rsidRPr="0048097C" w:rsidRDefault="0048097C" w:rsidP="0048097C">
      <w:pPr>
        <w:rPr>
          <w:rFonts w:cstheme="minorHAnsi"/>
          <w:sz w:val="22"/>
          <w:szCs w:val="22"/>
        </w:rPr>
      </w:pPr>
    </w:p>
    <w:p w14:paraId="6FDDF3A0" w14:textId="6B7AB82C" w:rsidR="0048097C" w:rsidRPr="00A65664" w:rsidRDefault="0048097C" w:rsidP="0048097C">
      <w:pPr>
        <w:rPr>
          <w:rFonts w:cstheme="minorHAnsi"/>
          <w:sz w:val="22"/>
          <w:szCs w:val="22"/>
          <w:lang w:val="en-US"/>
        </w:rPr>
      </w:pPr>
      <w:r w:rsidRPr="00A65664">
        <w:rPr>
          <w:rFonts w:cstheme="minorHAnsi"/>
          <w:sz w:val="22"/>
          <w:szCs w:val="22"/>
          <w:lang w:val="en-US"/>
        </w:rPr>
        <w:t>S</w:t>
      </w:r>
      <w:r w:rsidR="00A65664">
        <w:rPr>
          <w:rFonts w:cstheme="minorHAnsi"/>
          <w:sz w:val="22"/>
          <w:szCs w:val="22"/>
          <w:lang w:val="en-US"/>
        </w:rPr>
        <w:t>ubmitted online via</w:t>
      </w:r>
      <w:r w:rsidRPr="00A65664">
        <w:rPr>
          <w:rFonts w:cstheme="minorHAnsi"/>
          <w:sz w:val="22"/>
          <w:szCs w:val="22"/>
          <w:lang w:val="en-US"/>
        </w:rPr>
        <w:t xml:space="preserve">: </w:t>
      </w:r>
      <w:hyperlink r:id="rId10" w:anchor="submission" w:history="1">
        <w:r w:rsidR="00A65664" w:rsidRPr="00A65664">
          <w:rPr>
            <w:color w:val="0000FF"/>
            <w:u w:val="single"/>
          </w:rPr>
          <w:t>Shaping the Future: A Discussion Guide for PMPRB Phase 2 Consultations on New Guidelines - Canada.ca</w:t>
        </w:r>
      </w:hyperlink>
    </w:p>
    <w:p w14:paraId="30D837D0" w14:textId="77777777" w:rsidR="0048097C" w:rsidRDefault="0048097C" w:rsidP="0048097C">
      <w:pPr>
        <w:rPr>
          <w:rFonts w:cstheme="minorHAnsi"/>
          <w:sz w:val="22"/>
          <w:szCs w:val="22"/>
          <w:lang w:val="en-US"/>
        </w:rPr>
      </w:pPr>
    </w:p>
    <w:p w14:paraId="1470C67B" w14:textId="77777777" w:rsidR="009D3C47" w:rsidRPr="00A65664" w:rsidRDefault="009D3C47" w:rsidP="0048097C">
      <w:pPr>
        <w:rPr>
          <w:rFonts w:cstheme="minorHAnsi"/>
          <w:sz w:val="22"/>
          <w:szCs w:val="22"/>
          <w:lang w:val="en-US"/>
        </w:rPr>
      </w:pPr>
    </w:p>
    <w:p w14:paraId="049853B7" w14:textId="4B494598" w:rsidR="0048097C" w:rsidRPr="0048097C" w:rsidRDefault="0048097C" w:rsidP="0048097C">
      <w:pPr>
        <w:rPr>
          <w:rFonts w:cstheme="minorHAnsi"/>
          <w:b/>
          <w:bCs/>
          <w:sz w:val="22"/>
          <w:szCs w:val="22"/>
        </w:rPr>
      </w:pPr>
      <w:r w:rsidRPr="0048097C">
        <w:rPr>
          <w:rFonts w:cstheme="minorHAnsi"/>
          <w:b/>
          <w:bCs/>
          <w:sz w:val="22"/>
          <w:szCs w:val="22"/>
        </w:rPr>
        <w:t xml:space="preserve">Re: </w:t>
      </w:r>
      <w:r w:rsidR="00A65664" w:rsidRPr="00A65664">
        <w:rPr>
          <w:rFonts w:cstheme="minorHAnsi"/>
          <w:b/>
          <w:bCs/>
          <w:sz w:val="22"/>
          <w:szCs w:val="22"/>
        </w:rPr>
        <w:t>PMPRB Phase 2 Consultations on New Guidelines</w:t>
      </w:r>
    </w:p>
    <w:p w14:paraId="62D058A3" w14:textId="77777777" w:rsidR="0048097C" w:rsidRDefault="0048097C" w:rsidP="0048097C">
      <w:pPr>
        <w:rPr>
          <w:rFonts w:cstheme="minorHAnsi"/>
          <w:sz w:val="22"/>
          <w:szCs w:val="22"/>
        </w:rPr>
      </w:pPr>
    </w:p>
    <w:p w14:paraId="1DFF5CDF" w14:textId="77777777" w:rsidR="009D3C47" w:rsidRPr="0048097C" w:rsidRDefault="009D3C47" w:rsidP="0048097C">
      <w:pPr>
        <w:rPr>
          <w:rFonts w:cstheme="minorHAnsi"/>
          <w:sz w:val="22"/>
          <w:szCs w:val="22"/>
        </w:rPr>
      </w:pPr>
    </w:p>
    <w:p w14:paraId="6DE55827" w14:textId="77777777" w:rsidR="0048097C" w:rsidRPr="0048097C" w:rsidRDefault="0048097C" w:rsidP="0048097C">
      <w:pPr>
        <w:rPr>
          <w:rFonts w:cstheme="minorHAnsi"/>
          <w:sz w:val="22"/>
          <w:szCs w:val="22"/>
        </w:rPr>
      </w:pPr>
      <w:r w:rsidRPr="0048097C">
        <w:rPr>
          <w:rFonts w:cstheme="minorHAnsi"/>
          <w:sz w:val="22"/>
          <w:szCs w:val="22"/>
        </w:rPr>
        <w:t>Dear PMPRB:</w:t>
      </w:r>
    </w:p>
    <w:p w14:paraId="1273C270" w14:textId="77777777" w:rsidR="0048097C" w:rsidRPr="0048097C" w:rsidRDefault="0048097C" w:rsidP="0048097C">
      <w:pPr>
        <w:rPr>
          <w:rFonts w:cstheme="minorHAnsi"/>
          <w:sz w:val="22"/>
          <w:szCs w:val="22"/>
        </w:rPr>
      </w:pPr>
    </w:p>
    <w:p w14:paraId="7DF6F64F" w14:textId="01741DE3" w:rsidR="0048097C" w:rsidRPr="009D3C47" w:rsidRDefault="0048097C" w:rsidP="0048097C">
      <w:pPr>
        <w:jc w:val="both"/>
        <w:rPr>
          <w:rFonts w:cstheme="minorHAnsi"/>
          <w:sz w:val="22"/>
          <w:szCs w:val="22"/>
        </w:rPr>
      </w:pPr>
      <w:r w:rsidRPr="009D3C47">
        <w:rPr>
          <w:rFonts w:cstheme="minorHAnsi"/>
          <w:sz w:val="22"/>
          <w:szCs w:val="22"/>
        </w:rPr>
        <w:t xml:space="preserve">HLS Therapeutics Inc. </w:t>
      </w:r>
      <w:r w:rsidR="00BC690C" w:rsidRPr="009D3C47">
        <w:rPr>
          <w:rFonts w:cstheme="minorHAnsi"/>
          <w:sz w:val="22"/>
          <w:szCs w:val="22"/>
        </w:rPr>
        <w:t xml:space="preserve">(“HLS Therapeutics”) </w:t>
      </w:r>
      <w:r w:rsidRPr="009D3C47">
        <w:rPr>
          <w:rFonts w:cstheme="minorHAnsi"/>
          <w:sz w:val="22"/>
          <w:szCs w:val="22"/>
        </w:rPr>
        <w:t xml:space="preserve">thanks you for the opportunity provided to stakeholders to offer comments on the </w:t>
      </w:r>
      <w:r w:rsidR="00727C97" w:rsidRPr="009D3C47">
        <w:rPr>
          <w:rFonts w:cstheme="minorHAnsi"/>
          <w:sz w:val="22"/>
          <w:szCs w:val="22"/>
        </w:rPr>
        <w:t>PMPRB Phase 2 Consultations on New Guidelines</w:t>
      </w:r>
      <w:r w:rsidRPr="009D3C47">
        <w:rPr>
          <w:rFonts w:cstheme="minorHAnsi"/>
          <w:sz w:val="22"/>
          <w:szCs w:val="22"/>
        </w:rPr>
        <w:t xml:space="preserve">. </w:t>
      </w:r>
      <w:r w:rsidR="00975345" w:rsidRPr="009D3C47">
        <w:rPr>
          <w:rFonts w:cstheme="minorHAnsi"/>
          <w:sz w:val="22"/>
          <w:szCs w:val="22"/>
        </w:rPr>
        <w:t>We appreciate and support the Board’s objective to implement transparent, predictable, and procedurally fair Guidelines that provide an efficient way for rights-holders to manage risk.</w:t>
      </w:r>
      <w:r w:rsidRPr="009D3C47">
        <w:rPr>
          <w:rFonts w:cstheme="minorHAnsi"/>
          <w:sz w:val="22"/>
          <w:szCs w:val="22"/>
        </w:rPr>
        <w:t xml:space="preserve">  </w:t>
      </w:r>
    </w:p>
    <w:p w14:paraId="06543AAD" w14:textId="77777777" w:rsidR="0048097C" w:rsidRPr="009D3C47" w:rsidRDefault="0048097C" w:rsidP="0048097C">
      <w:pPr>
        <w:jc w:val="both"/>
        <w:rPr>
          <w:rFonts w:cstheme="minorHAnsi"/>
          <w:sz w:val="22"/>
          <w:szCs w:val="22"/>
        </w:rPr>
      </w:pPr>
    </w:p>
    <w:p w14:paraId="685BA9A1" w14:textId="77777777" w:rsidR="0048097C" w:rsidRPr="009D3C47" w:rsidRDefault="0048097C" w:rsidP="0048097C">
      <w:pPr>
        <w:jc w:val="both"/>
        <w:rPr>
          <w:rFonts w:cstheme="minorHAnsi"/>
          <w:b/>
          <w:bCs/>
          <w:sz w:val="22"/>
          <w:szCs w:val="22"/>
        </w:rPr>
      </w:pPr>
      <w:r w:rsidRPr="009D3C47">
        <w:rPr>
          <w:rFonts w:cstheme="minorHAnsi"/>
          <w:b/>
          <w:bCs/>
          <w:sz w:val="22"/>
          <w:szCs w:val="22"/>
        </w:rPr>
        <w:t>About HLS Therapeutics</w:t>
      </w:r>
    </w:p>
    <w:p w14:paraId="1F877AD4" w14:textId="77777777" w:rsidR="0048097C" w:rsidRPr="009D3C47" w:rsidRDefault="0048097C" w:rsidP="0048097C">
      <w:pPr>
        <w:jc w:val="both"/>
        <w:rPr>
          <w:rFonts w:cstheme="minorHAnsi"/>
          <w:sz w:val="22"/>
          <w:szCs w:val="22"/>
        </w:rPr>
      </w:pPr>
    </w:p>
    <w:p w14:paraId="329AE88F" w14:textId="3F19C37B" w:rsidR="00BC690C" w:rsidRPr="009D3C47" w:rsidRDefault="0048097C" w:rsidP="0048097C">
      <w:pPr>
        <w:jc w:val="both"/>
        <w:rPr>
          <w:rFonts w:cstheme="minorHAnsi"/>
          <w:sz w:val="22"/>
          <w:szCs w:val="22"/>
          <w:lang w:val="en-US"/>
        </w:rPr>
      </w:pPr>
      <w:r w:rsidRPr="009D3C47">
        <w:rPr>
          <w:rFonts w:cstheme="minorHAnsi"/>
          <w:sz w:val="22"/>
          <w:szCs w:val="22"/>
          <w:lang w:val="en-US"/>
        </w:rPr>
        <w:t>Formed in 2015, HLS</w:t>
      </w:r>
      <w:r w:rsidR="00BC690C" w:rsidRPr="009D3C47">
        <w:rPr>
          <w:rFonts w:cstheme="minorHAnsi"/>
          <w:sz w:val="22"/>
          <w:szCs w:val="22"/>
          <w:lang w:val="en-US"/>
        </w:rPr>
        <w:t xml:space="preserve"> Therapeutics</w:t>
      </w:r>
      <w:r w:rsidRPr="009D3C47">
        <w:rPr>
          <w:rFonts w:cstheme="minorHAnsi"/>
          <w:sz w:val="22"/>
          <w:szCs w:val="22"/>
          <w:lang w:val="en-US"/>
        </w:rPr>
        <w:t xml:space="preserve"> is a </w:t>
      </w:r>
      <w:r w:rsidR="00BC690C" w:rsidRPr="009D3C47">
        <w:rPr>
          <w:rFonts w:cstheme="minorHAnsi"/>
          <w:sz w:val="22"/>
          <w:szCs w:val="22"/>
          <w:lang w:val="en-US"/>
        </w:rPr>
        <w:t xml:space="preserve">Canadian-founded, and Canadian-based, </w:t>
      </w:r>
      <w:r w:rsidRPr="009D3C47">
        <w:rPr>
          <w:rFonts w:cstheme="minorHAnsi"/>
          <w:sz w:val="22"/>
          <w:szCs w:val="22"/>
          <w:lang w:val="en-US"/>
        </w:rPr>
        <w:t xml:space="preserve">specialty pharmaceutical company focused on the acquisition and commercialization of </w:t>
      </w:r>
      <w:r w:rsidR="009D3C47" w:rsidRPr="009D3C47">
        <w:rPr>
          <w:rFonts w:cstheme="minorHAnsi"/>
          <w:sz w:val="22"/>
          <w:szCs w:val="22"/>
          <w:lang w:val="en-US"/>
        </w:rPr>
        <w:t>late-stage</w:t>
      </w:r>
      <w:r w:rsidRPr="009D3C47">
        <w:rPr>
          <w:rFonts w:cstheme="minorHAnsi"/>
          <w:sz w:val="22"/>
          <w:szCs w:val="22"/>
          <w:lang w:val="en-US"/>
        </w:rPr>
        <w:t xml:space="preserve"> development, commercial stage promoted and established branded pharmaceutical products in the North American markets. HLS</w:t>
      </w:r>
      <w:r w:rsidR="00690DFF" w:rsidRPr="009D3C47">
        <w:rPr>
          <w:rFonts w:cstheme="minorHAnsi"/>
          <w:sz w:val="22"/>
          <w:szCs w:val="22"/>
          <w:lang w:val="en-US"/>
        </w:rPr>
        <w:t xml:space="preserve"> Therapeutic</w:t>
      </w:r>
      <w:r w:rsidR="00FE20F9" w:rsidRPr="009D3C47">
        <w:rPr>
          <w:rFonts w:cstheme="minorHAnsi"/>
          <w:sz w:val="22"/>
          <w:szCs w:val="22"/>
          <w:lang w:val="en-US"/>
        </w:rPr>
        <w:t>s</w:t>
      </w:r>
      <w:r w:rsidRPr="009D3C47">
        <w:rPr>
          <w:rFonts w:cstheme="minorHAnsi"/>
          <w:sz w:val="22"/>
          <w:szCs w:val="22"/>
          <w:lang w:val="en-US"/>
        </w:rPr>
        <w:t>' focus is on products targeting the central nervous system and cardiovascular therapeutic areas. </w:t>
      </w:r>
    </w:p>
    <w:p w14:paraId="069794A9" w14:textId="77777777" w:rsidR="00BC690C" w:rsidRPr="009D3C47" w:rsidRDefault="00BC690C" w:rsidP="0048097C">
      <w:pPr>
        <w:jc w:val="both"/>
        <w:rPr>
          <w:rFonts w:cstheme="minorHAnsi"/>
          <w:sz w:val="22"/>
          <w:szCs w:val="22"/>
          <w:lang w:val="en-US"/>
        </w:rPr>
      </w:pPr>
    </w:p>
    <w:p w14:paraId="1045A1E0" w14:textId="0DC98126" w:rsidR="00690DFF" w:rsidRPr="009D3C47" w:rsidRDefault="00690DFF" w:rsidP="00690DFF">
      <w:pPr>
        <w:jc w:val="both"/>
        <w:rPr>
          <w:rFonts w:cstheme="minorHAnsi"/>
          <w:sz w:val="22"/>
          <w:szCs w:val="22"/>
          <w:lang w:val="en-US"/>
        </w:rPr>
      </w:pPr>
      <w:r w:rsidRPr="009D3C47">
        <w:rPr>
          <w:rFonts w:cstheme="minorHAnsi"/>
          <w:sz w:val="22"/>
          <w:szCs w:val="22"/>
          <w:lang w:val="en-US"/>
        </w:rPr>
        <w:t>HLS Therapeutics has a market cap of approximately $100M, is h</w:t>
      </w:r>
      <w:r w:rsidR="0048097C" w:rsidRPr="009D3C47">
        <w:rPr>
          <w:rFonts w:cstheme="minorHAnsi"/>
          <w:sz w:val="22"/>
          <w:szCs w:val="22"/>
          <w:lang w:val="en-US"/>
        </w:rPr>
        <w:t>eadquartered in Toronto</w:t>
      </w:r>
      <w:r w:rsidRPr="009D3C47">
        <w:rPr>
          <w:rFonts w:cstheme="minorHAnsi"/>
          <w:sz w:val="22"/>
          <w:szCs w:val="22"/>
          <w:lang w:val="en-US"/>
        </w:rPr>
        <w:t>, has</w:t>
      </w:r>
      <w:r w:rsidR="0048097C" w:rsidRPr="009D3C47">
        <w:rPr>
          <w:rFonts w:cstheme="minorHAnsi"/>
          <w:sz w:val="22"/>
          <w:szCs w:val="22"/>
          <w:lang w:val="en-US"/>
        </w:rPr>
        <w:t xml:space="preserve"> a significant presence in Montreal, </w:t>
      </w:r>
      <w:r w:rsidRPr="009D3C47">
        <w:rPr>
          <w:rFonts w:cstheme="minorHAnsi"/>
          <w:sz w:val="22"/>
          <w:szCs w:val="22"/>
          <w:lang w:val="en-US"/>
        </w:rPr>
        <w:t xml:space="preserve">and in total </w:t>
      </w:r>
      <w:r w:rsidR="0048097C" w:rsidRPr="009D3C47">
        <w:rPr>
          <w:rFonts w:cstheme="minorHAnsi"/>
          <w:sz w:val="22"/>
          <w:szCs w:val="22"/>
          <w:lang w:val="en-US"/>
        </w:rPr>
        <w:t xml:space="preserve">employs </w:t>
      </w:r>
      <w:r w:rsidR="00BC690C" w:rsidRPr="009D3C47">
        <w:rPr>
          <w:rFonts w:cstheme="minorHAnsi"/>
          <w:sz w:val="22"/>
          <w:szCs w:val="22"/>
          <w:lang w:val="en-US"/>
        </w:rPr>
        <w:t xml:space="preserve">approximately </w:t>
      </w:r>
      <w:r w:rsidR="00EB56E5">
        <w:rPr>
          <w:rFonts w:cstheme="minorHAnsi"/>
          <w:sz w:val="22"/>
          <w:szCs w:val="22"/>
          <w:lang w:val="en-US"/>
        </w:rPr>
        <w:t>9</w:t>
      </w:r>
      <w:r w:rsidR="00BC690C" w:rsidRPr="008E0CDB">
        <w:rPr>
          <w:rFonts w:cstheme="minorHAnsi"/>
          <w:sz w:val="22"/>
          <w:szCs w:val="22"/>
          <w:lang w:val="en-US"/>
        </w:rPr>
        <w:t>0</w:t>
      </w:r>
      <w:r w:rsidR="0048097C" w:rsidRPr="009D3C47">
        <w:rPr>
          <w:rFonts w:cstheme="minorHAnsi"/>
          <w:sz w:val="22"/>
          <w:szCs w:val="22"/>
          <w:lang w:val="en-US"/>
        </w:rPr>
        <w:t xml:space="preserve"> </w:t>
      </w:r>
      <w:r w:rsidRPr="009D3C47">
        <w:rPr>
          <w:rFonts w:cstheme="minorHAnsi"/>
          <w:sz w:val="22"/>
          <w:szCs w:val="22"/>
          <w:lang w:val="en-US"/>
        </w:rPr>
        <w:t xml:space="preserve">people across multiple provinces </w:t>
      </w:r>
      <w:r w:rsidR="00BC690C" w:rsidRPr="009D3C47">
        <w:rPr>
          <w:rFonts w:cstheme="minorHAnsi"/>
          <w:sz w:val="22"/>
          <w:szCs w:val="22"/>
          <w:lang w:val="en-US"/>
        </w:rPr>
        <w:t xml:space="preserve">in </w:t>
      </w:r>
      <w:r w:rsidR="0048097C" w:rsidRPr="009D3C47">
        <w:rPr>
          <w:rFonts w:cstheme="minorHAnsi"/>
          <w:sz w:val="22"/>
          <w:szCs w:val="22"/>
          <w:lang w:val="en-US"/>
        </w:rPr>
        <w:t>Canad</w:t>
      </w:r>
      <w:r w:rsidR="00BC690C" w:rsidRPr="009D3C47">
        <w:rPr>
          <w:rFonts w:cstheme="minorHAnsi"/>
          <w:sz w:val="22"/>
          <w:szCs w:val="22"/>
          <w:lang w:val="en-US"/>
        </w:rPr>
        <w:t>a</w:t>
      </w:r>
      <w:r w:rsidR="0048097C" w:rsidRPr="009D3C47">
        <w:rPr>
          <w:rFonts w:cstheme="minorHAnsi"/>
          <w:sz w:val="22"/>
          <w:szCs w:val="22"/>
          <w:lang w:val="en-US"/>
        </w:rPr>
        <w:t>.</w:t>
      </w:r>
      <w:r w:rsidRPr="009D3C47">
        <w:rPr>
          <w:rFonts w:cstheme="minorHAnsi"/>
          <w:sz w:val="22"/>
          <w:szCs w:val="22"/>
          <w:lang w:val="en-US"/>
        </w:rPr>
        <w:t xml:space="preserve"> HLS Therapeutics therefore has a keen interest in the New Guidelines, and we believe that we can provide a </w:t>
      </w:r>
      <w:r w:rsidRPr="009D3C47">
        <w:rPr>
          <w:rFonts w:cstheme="minorHAnsi"/>
          <w:sz w:val="22"/>
          <w:szCs w:val="22"/>
        </w:rPr>
        <w:t>uniquely Canadian perspective on the matter</w:t>
      </w:r>
      <w:r w:rsidRPr="009D3C47">
        <w:rPr>
          <w:rFonts w:cstheme="minorHAnsi"/>
          <w:sz w:val="22"/>
          <w:szCs w:val="22"/>
          <w:lang w:val="en-US"/>
        </w:rPr>
        <w:t xml:space="preserve">. </w:t>
      </w:r>
    </w:p>
    <w:p w14:paraId="4023ECB3" w14:textId="49DC3A24" w:rsidR="00F21300" w:rsidRPr="009D3C47" w:rsidRDefault="00690DFF" w:rsidP="009D3C47">
      <w:pPr>
        <w:pStyle w:val="pf0"/>
        <w:jc w:val="both"/>
        <w:rPr>
          <w:rFonts w:asciiTheme="minorHAnsi" w:hAnsiTheme="minorHAnsi" w:cstheme="minorHAnsi"/>
          <w:sz w:val="22"/>
          <w:szCs w:val="22"/>
        </w:rPr>
      </w:pPr>
      <w:proofErr w:type="gramStart"/>
      <w:r w:rsidRPr="009D3C47">
        <w:rPr>
          <w:rFonts w:asciiTheme="minorHAnsi" w:hAnsiTheme="minorHAnsi" w:cstheme="minorHAnsi"/>
          <w:sz w:val="22"/>
          <w:szCs w:val="22"/>
        </w:rPr>
        <w:t>In particular,</w:t>
      </w:r>
      <w:r w:rsidR="000E6F53">
        <w:rPr>
          <w:rFonts w:asciiTheme="minorHAnsi" w:hAnsiTheme="minorHAnsi" w:cstheme="minorHAnsi"/>
          <w:sz w:val="22"/>
          <w:szCs w:val="22"/>
        </w:rPr>
        <w:t xml:space="preserve"> </w:t>
      </w:r>
      <w:r w:rsidRPr="009D3C47">
        <w:rPr>
          <w:rFonts w:asciiTheme="minorHAnsi" w:hAnsiTheme="minorHAnsi" w:cstheme="minorHAnsi"/>
          <w:sz w:val="22"/>
          <w:szCs w:val="22"/>
        </w:rPr>
        <w:t>while</w:t>
      </w:r>
      <w:proofErr w:type="gramEnd"/>
      <w:r w:rsidRPr="009D3C47">
        <w:rPr>
          <w:rFonts w:asciiTheme="minorHAnsi" w:hAnsiTheme="minorHAnsi" w:cstheme="minorHAnsi"/>
          <w:sz w:val="22"/>
          <w:szCs w:val="22"/>
        </w:rPr>
        <w:t xml:space="preserve"> we appreciate the efforts of the PMPRB to ensure that the prices of patented medicines sold in Canada are not excessive, we strongly believe that the New Guidelines should not become a tool to simply lower prices. HLS Therapeutics believes that taking this approach would negatively impact the Canadian biopharmaceutical industry, leading to reduced investment, fewer jobs, and less innovation. Indeed, simply lowering prices would have an adverse effect on HLS Therapeutics and could have a direct impact on this Canadian company, the many Canadians who work here</w:t>
      </w:r>
      <w:r w:rsidR="00FE20F9" w:rsidRPr="009D3C47">
        <w:rPr>
          <w:rFonts w:asciiTheme="minorHAnsi" w:hAnsiTheme="minorHAnsi" w:cstheme="minorHAnsi"/>
          <w:sz w:val="22"/>
          <w:szCs w:val="22"/>
        </w:rPr>
        <w:t>, and our various Canadian investors and other stakeholders</w:t>
      </w:r>
      <w:r w:rsidRPr="009D3C47">
        <w:rPr>
          <w:rFonts w:asciiTheme="minorHAnsi" w:hAnsiTheme="minorHAnsi" w:cstheme="minorHAnsi"/>
          <w:sz w:val="22"/>
          <w:szCs w:val="22"/>
        </w:rPr>
        <w:t>.</w:t>
      </w:r>
      <w:r w:rsidR="00F21300" w:rsidRPr="009D3C47">
        <w:rPr>
          <w:rFonts w:asciiTheme="minorHAnsi" w:hAnsiTheme="minorHAnsi" w:cstheme="minorHAnsi"/>
          <w:sz w:val="22"/>
          <w:szCs w:val="22"/>
        </w:rPr>
        <w:t xml:space="preserve"> Considering that HLS Therapeutics derives</w:t>
      </w:r>
      <w:r w:rsidR="00F21300" w:rsidRPr="009D3C47">
        <w:rPr>
          <w:rStyle w:val="cf01"/>
          <w:rFonts w:asciiTheme="minorHAnsi" w:hAnsiTheme="minorHAnsi" w:cstheme="minorHAnsi"/>
          <w:sz w:val="22"/>
          <w:szCs w:val="22"/>
        </w:rPr>
        <w:t xml:space="preserve"> </w:t>
      </w:r>
      <w:r w:rsidR="000E6F53">
        <w:rPr>
          <w:rStyle w:val="cf01"/>
          <w:rFonts w:asciiTheme="minorHAnsi" w:hAnsiTheme="minorHAnsi" w:cstheme="minorHAnsi"/>
          <w:sz w:val="22"/>
          <w:szCs w:val="22"/>
        </w:rPr>
        <w:t>roughly 75</w:t>
      </w:r>
      <w:r w:rsidR="00F21300" w:rsidRPr="009D3C47">
        <w:rPr>
          <w:rStyle w:val="cf01"/>
          <w:rFonts w:asciiTheme="minorHAnsi" w:hAnsiTheme="minorHAnsi" w:cstheme="minorHAnsi"/>
          <w:sz w:val="22"/>
          <w:szCs w:val="22"/>
        </w:rPr>
        <w:t xml:space="preserve">% of its sales in Canada, these changes could have an outsized impact on our company, as opposed to other global pharma companies. </w:t>
      </w:r>
    </w:p>
    <w:p w14:paraId="2A1CD101" w14:textId="77777777" w:rsidR="009D3C47" w:rsidRDefault="009D3C47" w:rsidP="00690DFF">
      <w:pPr>
        <w:jc w:val="both"/>
        <w:rPr>
          <w:rFonts w:cstheme="minorHAnsi"/>
          <w:sz w:val="22"/>
          <w:szCs w:val="22"/>
        </w:rPr>
      </w:pPr>
    </w:p>
    <w:p w14:paraId="09421300" w14:textId="125A37D6" w:rsidR="00690DFF" w:rsidRPr="009D3C47" w:rsidRDefault="00690DFF" w:rsidP="00690DFF">
      <w:pPr>
        <w:jc w:val="both"/>
        <w:rPr>
          <w:rFonts w:cstheme="minorHAnsi"/>
          <w:sz w:val="22"/>
          <w:szCs w:val="22"/>
        </w:rPr>
      </w:pPr>
      <w:r w:rsidRPr="009D3C47">
        <w:rPr>
          <w:rFonts w:cstheme="minorHAnsi"/>
          <w:sz w:val="22"/>
          <w:szCs w:val="22"/>
        </w:rPr>
        <w:t xml:space="preserve">To avoid these consequences, we believe that the PMPRB needs to strike the fair balance between ensuring affordable drug prices and maintaining a robust pharmaceutical industry in Canada. It is on this basis that we submit the following responses. </w:t>
      </w:r>
    </w:p>
    <w:p w14:paraId="41A3518C" w14:textId="77777777" w:rsidR="00690DFF" w:rsidRDefault="00690DFF" w:rsidP="0048097C">
      <w:pPr>
        <w:jc w:val="both"/>
        <w:rPr>
          <w:rFonts w:cstheme="minorHAnsi"/>
          <w:sz w:val="22"/>
          <w:szCs w:val="22"/>
          <w:lang w:val="en-US"/>
        </w:rPr>
      </w:pPr>
    </w:p>
    <w:p w14:paraId="1FB5785A" w14:textId="77777777" w:rsidR="009D3C47" w:rsidRPr="009D3C47" w:rsidRDefault="009D3C47" w:rsidP="0048097C">
      <w:pPr>
        <w:jc w:val="both"/>
        <w:rPr>
          <w:rFonts w:cstheme="minorHAnsi"/>
          <w:sz w:val="22"/>
          <w:szCs w:val="22"/>
          <w:lang w:val="en-US"/>
        </w:rPr>
      </w:pPr>
    </w:p>
    <w:p w14:paraId="1D66C8AC" w14:textId="3C1F64D6" w:rsidR="00690DFF" w:rsidRPr="009D3C47" w:rsidRDefault="00690DFF" w:rsidP="0048097C">
      <w:pPr>
        <w:jc w:val="both"/>
        <w:rPr>
          <w:rFonts w:cstheme="minorHAnsi"/>
          <w:b/>
          <w:bCs/>
          <w:sz w:val="22"/>
          <w:szCs w:val="22"/>
          <w:lang w:val="en-US"/>
        </w:rPr>
      </w:pPr>
      <w:r w:rsidRPr="009D3C47">
        <w:rPr>
          <w:rFonts w:cstheme="minorHAnsi"/>
          <w:b/>
          <w:bCs/>
          <w:sz w:val="22"/>
          <w:szCs w:val="22"/>
          <w:lang w:val="en-US"/>
        </w:rPr>
        <w:t>Responses to Consultation Questions</w:t>
      </w:r>
    </w:p>
    <w:p w14:paraId="2B3F18EF" w14:textId="77777777" w:rsidR="00690DFF" w:rsidRPr="009D3C47" w:rsidRDefault="00690DFF" w:rsidP="0048097C">
      <w:pPr>
        <w:jc w:val="both"/>
        <w:rPr>
          <w:rFonts w:cstheme="minorHAnsi"/>
          <w:sz w:val="22"/>
          <w:szCs w:val="22"/>
          <w:lang w:val="en-US"/>
        </w:rPr>
      </w:pPr>
    </w:p>
    <w:p w14:paraId="2B7FDBBA" w14:textId="3990D06C" w:rsidR="0048097C" w:rsidRPr="009D3C47" w:rsidRDefault="009E2236" w:rsidP="0048097C">
      <w:pPr>
        <w:jc w:val="both"/>
        <w:rPr>
          <w:rFonts w:cstheme="minorHAnsi"/>
          <w:sz w:val="22"/>
          <w:szCs w:val="22"/>
          <w:lang w:val="en-US"/>
        </w:rPr>
      </w:pPr>
      <w:r w:rsidRPr="009D3C47">
        <w:rPr>
          <w:rFonts w:cstheme="minorHAnsi"/>
          <w:sz w:val="22"/>
          <w:szCs w:val="22"/>
          <w:lang w:val="en-US"/>
        </w:rPr>
        <w:t xml:space="preserve">As requested, please find below the options </w:t>
      </w:r>
      <w:r w:rsidR="00FD54A2" w:rsidRPr="009D3C47">
        <w:rPr>
          <w:rFonts w:cstheme="minorHAnsi"/>
          <w:sz w:val="22"/>
          <w:szCs w:val="22"/>
          <w:lang w:val="en-US"/>
        </w:rPr>
        <w:t>HLS Therapeutics</w:t>
      </w:r>
      <w:r w:rsidRPr="009D3C47">
        <w:rPr>
          <w:rFonts w:cstheme="minorHAnsi"/>
          <w:sz w:val="22"/>
          <w:szCs w:val="22"/>
          <w:lang w:val="en-US"/>
        </w:rPr>
        <w:t xml:space="preserve"> f</w:t>
      </w:r>
      <w:r w:rsidR="00E732A7" w:rsidRPr="009D3C47">
        <w:rPr>
          <w:rFonts w:cstheme="minorHAnsi"/>
          <w:sz w:val="22"/>
          <w:szCs w:val="22"/>
          <w:lang w:val="en-US"/>
        </w:rPr>
        <w:t xml:space="preserve">inds most appropriate on the </w:t>
      </w:r>
      <w:r w:rsidR="004E3C42" w:rsidRPr="009D3C47">
        <w:rPr>
          <w:rFonts w:cstheme="minorHAnsi"/>
          <w:sz w:val="22"/>
          <w:szCs w:val="22"/>
          <w:lang w:val="en-US"/>
        </w:rPr>
        <w:t xml:space="preserve">seven </w:t>
      </w:r>
      <w:r w:rsidR="00E732A7" w:rsidRPr="009D3C47">
        <w:rPr>
          <w:rFonts w:cstheme="minorHAnsi"/>
          <w:sz w:val="22"/>
          <w:szCs w:val="22"/>
          <w:lang w:val="en-US"/>
        </w:rPr>
        <w:t>topics set out in the Discussion Guide</w:t>
      </w:r>
      <w:r w:rsidR="00FD54A2" w:rsidRPr="009D3C47">
        <w:rPr>
          <w:rFonts w:cstheme="minorHAnsi"/>
          <w:sz w:val="22"/>
          <w:szCs w:val="22"/>
          <w:lang w:val="en-US"/>
        </w:rPr>
        <w:t>:</w:t>
      </w:r>
    </w:p>
    <w:p w14:paraId="631D37B3" w14:textId="77777777" w:rsidR="0048097C" w:rsidRPr="009D3C47" w:rsidRDefault="0048097C" w:rsidP="0048097C">
      <w:pPr>
        <w:jc w:val="both"/>
        <w:rPr>
          <w:rFonts w:cstheme="minorHAnsi"/>
          <w:sz w:val="22"/>
          <w:szCs w:val="22"/>
          <w:lang w:val="en-US"/>
        </w:rPr>
      </w:pPr>
    </w:p>
    <w:p w14:paraId="26E8CFE1" w14:textId="67A568E2" w:rsidR="0048097C" w:rsidRPr="009D3C47" w:rsidRDefault="00727C97" w:rsidP="00727C97">
      <w:pPr>
        <w:pStyle w:val="ListParagraph"/>
        <w:numPr>
          <w:ilvl w:val="0"/>
          <w:numId w:val="8"/>
        </w:numPr>
        <w:ind w:left="360"/>
        <w:jc w:val="both"/>
        <w:rPr>
          <w:rFonts w:cstheme="minorHAnsi"/>
          <w:sz w:val="22"/>
          <w:szCs w:val="22"/>
        </w:rPr>
      </w:pPr>
      <w:r w:rsidRPr="009D3C47">
        <w:rPr>
          <w:rFonts w:cstheme="minorHAnsi"/>
          <w:b/>
          <w:bCs/>
          <w:sz w:val="22"/>
          <w:szCs w:val="22"/>
        </w:rPr>
        <w:t>Price level within the PMPRB11 to be used in the initial and post-initial price review</w:t>
      </w:r>
    </w:p>
    <w:p w14:paraId="45F6315B" w14:textId="167C17B0" w:rsidR="00041BA6" w:rsidRPr="009D3C47" w:rsidRDefault="00041BA6" w:rsidP="00041BA6">
      <w:pPr>
        <w:ind w:firstLine="360"/>
        <w:jc w:val="both"/>
        <w:rPr>
          <w:rFonts w:cstheme="minorHAnsi"/>
          <w:sz w:val="22"/>
          <w:szCs w:val="22"/>
        </w:rPr>
      </w:pPr>
      <w:r w:rsidRPr="009D3C47">
        <w:rPr>
          <w:rFonts w:cstheme="minorHAnsi"/>
          <w:sz w:val="22"/>
          <w:szCs w:val="22"/>
        </w:rPr>
        <w:t>Option 2: Highest international price</w:t>
      </w:r>
    </w:p>
    <w:p w14:paraId="346C9474" w14:textId="77777777" w:rsidR="00041BA6" w:rsidRPr="009D3C47" w:rsidRDefault="00041BA6" w:rsidP="00041BA6">
      <w:pPr>
        <w:ind w:firstLine="360"/>
        <w:jc w:val="both"/>
        <w:rPr>
          <w:rFonts w:cstheme="minorHAnsi"/>
          <w:sz w:val="22"/>
          <w:szCs w:val="22"/>
        </w:rPr>
      </w:pPr>
    </w:p>
    <w:p w14:paraId="6BB9281F" w14:textId="65B759A0" w:rsidR="00727C97" w:rsidRPr="009D3C47" w:rsidRDefault="00041BA6" w:rsidP="00727C97">
      <w:pPr>
        <w:pStyle w:val="ListParagraph"/>
        <w:numPr>
          <w:ilvl w:val="0"/>
          <w:numId w:val="8"/>
        </w:numPr>
        <w:ind w:left="360"/>
        <w:jc w:val="both"/>
        <w:rPr>
          <w:rFonts w:cstheme="minorHAnsi"/>
          <w:b/>
          <w:bCs/>
          <w:sz w:val="22"/>
          <w:szCs w:val="22"/>
        </w:rPr>
      </w:pPr>
      <w:r w:rsidRPr="009D3C47">
        <w:rPr>
          <w:rFonts w:cstheme="minorHAnsi"/>
          <w:b/>
          <w:bCs/>
          <w:sz w:val="22"/>
          <w:szCs w:val="22"/>
        </w:rPr>
        <w:t>The length of time Staff should wait, following the implementation of the Guidelines, to determine whether the IPC identification criteria for an Existing medicine is met</w:t>
      </w:r>
    </w:p>
    <w:p w14:paraId="301DD5BD" w14:textId="59DFDD35" w:rsidR="00041BA6" w:rsidRPr="009D3C47" w:rsidRDefault="00041BA6" w:rsidP="00041BA6">
      <w:pPr>
        <w:ind w:left="360"/>
        <w:jc w:val="both"/>
        <w:rPr>
          <w:rFonts w:cstheme="minorHAnsi"/>
          <w:sz w:val="22"/>
          <w:szCs w:val="22"/>
        </w:rPr>
      </w:pPr>
      <w:r w:rsidRPr="009D3C47">
        <w:rPr>
          <w:rFonts w:cstheme="minorHAnsi"/>
          <w:sz w:val="22"/>
          <w:szCs w:val="22"/>
        </w:rPr>
        <w:t>Option</w:t>
      </w:r>
      <w:r w:rsidR="008452A4" w:rsidRPr="009D3C47">
        <w:rPr>
          <w:rFonts w:cstheme="minorHAnsi"/>
          <w:sz w:val="22"/>
          <w:szCs w:val="22"/>
        </w:rPr>
        <w:t xml:space="preserve"> 3: </w:t>
      </w:r>
      <w:r w:rsidR="00306682" w:rsidRPr="009D3C47">
        <w:rPr>
          <w:rFonts w:cstheme="minorHAnsi"/>
          <w:sz w:val="22"/>
          <w:szCs w:val="22"/>
        </w:rPr>
        <w:t>T</w:t>
      </w:r>
      <w:r w:rsidR="008452A4" w:rsidRPr="009D3C47">
        <w:rPr>
          <w:rFonts w:cstheme="minorHAnsi"/>
          <w:sz w:val="22"/>
          <w:szCs w:val="22"/>
        </w:rPr>
        <w:t>hree years</w:t>
      </w:r>
    </w:p>
    <w:p w14:paraId="00F7B18B" w14:textId="77777777" w:rsidR="00041BA6" w:rsidRPr="009D3C47" w:rsidRDefault="00041BA6" w:rsidP="00041BA6">
      <w:pPr>
        <w:ind w:left="360"/>
        <w:jc w:val="both"/>
        <w:rPr>
          <w:rFonts w:cstheme="minorHAnsi"/>
          <w:sz w:val="22"/>
          <w:szCs w:val="22"/>
        </w:rPr>
      </w:pPr>
    </w:p>
    <w:p w14:paraId="282C1A6A" w14:textId="32B0BF83" w:rsidR="00041BA6" w:rsidRPr="009D3C47" w:rsidRDefault="00041BA6" w:rsidP="00727C97">
      <w:pPr>
        <w:pStyle w:val="ListParagraph"/>
        <w:numPr>
          <w:ilvl w:val="0"/>
          <w:numId w:val="8"/>
        </w:numPr>
        <w:ind w:left="360"/>
        <w:jc w:val="both"/>
        <w:rPr>
          <w:rFonts w:cstheme="minorHAnsi"/>
          <w:b/>
          <w:bCs/>
          <w:sz w:val="22"/>
          <w:szCs w:val="22"/>
        </w:rPr>
      </w:pPr>
      <w:r w:rsidRPr="009D3C47">
        <w:rPr>
          <w:rFonts w:cstheme="minorHAnsi"/>
          <w:b/>
          <w:bCs/>
          <w:sz w:val="22"/>
          <w:szCs w:val="22"/>
        </w:rPr>
        <w:t>In depth review based on CPI increase criteria</w:t>
      </w:r>
    </w:p>
    <w:p w14:paraId="4920E462" w14:textId="5C6F5C2B" w:rsidR="008452A4" w:rsidRPr="009D3C47" w:rsidRDefault="00041BA6" w:rsidP="009D3C47">
      <w:pPr>
        <w:ind w:left="1260" w:hanging="900"/>
        <w:jc w:val="both"/>
        <w:rPr>
          <w:rFonts w:cstheme="minorHAnsi"/>
          <w:sz w:val="22"/>
          <w:szCs w:val="22"/>
        </w:rPr>
      </w:pPr>
      <w:r w:rsidRPr="009D3C47">
        <w:rPr>
          <w:rFonts w:cstheme="minorHAnsi"/>
          <w:sz w:val="22"/>
          <w:szCs w:val="22"/>
        </w:rPr>
        <w:t>Option</w:t>
      </w:r>
      <w:r w:rsidR="008452A4" w:rsidRPr="009D3C47">
        <w:rPr>
          <w:rFonts w:cstheme="minorHAnsi"/>
          <w:sz w:val="22"/>
          <w:szCs w:val="22"/>
        </w:rPr>
        <w:t xml:space="preserve"> 2: </w:t>
      </w:r>
      <w:r w:rsidR="00306682" w:rsidRPr="009D3C47">
        <w:rPr>
          <w:rFonts w:cstheme="minorHAnsi"/>
          <w:sz w:val="22"/>
          <w:szCs w:val="22"/>
        </w:rPr>
        <w:t>I</w:t>
      </w:r>
      <w:r w:rsidR="008452A4" w:rsidRPr="009D3C47">
        <w:rPr>
          <w:rFonts w:cstheme="minorHAnsi"/>
          <w:sz w:val="22"/>
          <w:szCs w:val="22"/>
        </w:rPr>
        <w:t>f the cumulative increase in list price over the last two years is above the combined CPI for the past two years and the increase only took place within the last year (i.e. no increase in price in the first of the two years, followed by an increase on the second year)</w:t>
      </w:r>
    </w:p>
    <w:p w14:paraId="374108F1" w14:textId="77777777" w:rsidR="00041BA6" w:rsidRPr="009D3C47" w:rsidRDefault="00041BA6" w:rsidP="00041BA6">
      <w:pPr>
        <w:ind w:left="360"/>
        <w:jc w:val="both"/>
        <w:rPr>
          <w:rFonts w:cstheme="minorHAnsi"/>
          <w:sz w:val="22"/>
          <w:szCs w:val="22"/>
        </w:rPr>
      </w:pPr>
    </w:p>
    <w:p w14:paraId="0FD8B776" w14:textId="17752725" w:rsidR="00041BA6" w:rsidRPr="009D3C47" w:rsidRDefault="00041BA6" w:rsidP="00727C97">
      <w:pPr>
        <w:pStyle w:val="ListParagraph"/>
        <w:numPr>
          <w:ilvl w:val="0"/>
          <w:numId w:val="8"/>
        </w:numPr>
        <w:ind w:left="360"/>
        <w:jc w:val="both"/>
        <w:rPr>
          <w:rFonts w:cstheme="minorHAnsi"/>
          <w:b/>
          <w:bCs/>
          <w:sz w:val="22"/>
          <w:szCs w:val="22"/>
        </w:rPr>
      </w:pPr>
      <w:r w:rsidRPr="009D3C47">
        <w:rPr>
          <w:rFonts w:cstheme="minorHAnsi"/>
          <w:b/>
          <w:bCs/>
          <w:sz w:val="22"/>
          <w:szCs w:val="22"/>
        </w:rPr>
        <w:t>The individuals/groups permitted to submit a complaint</w:t>
      </w:r>
    </w:p>
    <w:p w14:paraId="19EC1A84" w14:textId="04F88595" w:rsidR="00041BA6" w:rsidRPr="009D3C47" w:rsidRDefault="00041BA6" w:rsidP="00041BA6">
      <w:pPr>
        <w:ind w:left="360"/>
        <w:jc w:val="both"/>
        <w:rPr>
          <w:rFonts w:cstheme="minorHAnsi"/>
          <w:sz w:val="22"/>
          <w:szCs w:val="22"/>
        </w:rPr>
      </w:pPr>
      <w:r w:rsidRPr="009D3C47">
        <w:rPr>
          <w:rFonts w:cstheme="minorHAnsi"/>
          <w:sz w:val="22"/>
          <w:szCs w:val="22"/>
        </w:rPr>
        <w:t>Option</w:t>
      </w:r>
      <w:r w:rsidR="008452A4" w:rsidRPr="009D3C47">
        <w:rPr>
          <w:rFonts w:cstheme="minorHAnsi"/>
          <w:sz w:val="22"/>
          <w:szCs w:val="22"/>
        </w:rPr>
        <w:t xml:space="preserve"> </w:t>
      </w:r>
      <w:r w:rsidR="00306682" w:rsidRPr="009D3C47">
        <w:rPr>
          <w:rFonts w:cstheme="minorHAnsi"/>
          <w:sz w:val="22"/>
          <w:szCs w:val="22"/>
        </w:rPr>
        <w:t>4: No limits/restrictions</w:t>
      </w:r>
    </w:p>
    <w:p w14:paraId="08665456" w14:textId="77777777" w:rsidR="00041BA6" w:rsidRPr="009D3C47" w:rsidRDefault="00041BA6" w:rsidP="00041BA6">
      <w:pPr>
        <w:ind w:left="360"/>
        <w:jc w:val="both"/>
        <w:rPr>
          <w:rFonts w:cstheme="minorHAnsi"/>
          <w:sz w:val="22"/>
          <w:szCs w:val="22"/>
        </w:rPr>
      </w:pPr>
    </w:p>
    <w:p w14:paraId="2749D3DD" w14:textId="1EBD27F3" w:rsidR="00041BA6" w:rsidRPr="009D3C47" w:rsidRDefault="00041BA6" w:rsidP="00727C97">
      <w:pPr>
        <w:pStyle w:val="ListParagraph"/>
        <w:numPr>
          <w:ilvl w:val="0"/>
          <w:numId w:val="8"/>
        </w:numPr>
        <w:ind w:left="360"/>
        <w:jc w:val="both"/>
        <w:rPr>
          <w:rFonts w:cstheme="minorHAnsi"/>
          <w:b/>
          <w:bCs/>
          <w:sz w:val="22"/>
          <w:szCs w:val="22"/>
        </w:rPr>
      </w:pPr>
      <w:r w:rsidRPr="009D3C47">
        <w:rPr>
          <w:rFonts w:cstheme="minorHAnsi"/>
          <w:b/>
          <w:bCs/>
          <w:sz w:val="22"/>
          <w:szCs w:val="22"/>
        </w:rPr>
        <w:t>Expanding the list of products that would only be subject to an in-depth review following a complaint to include biosimilars and/or vaccines</w:t>
      </w:r>
    </w:p>
    <w:p w14:paraId="29AE55AA" w14:textId="7E018BAF" w:rsidR="00041BA6" w:rsidRPr="009D3C47" w:rsidRDefault="00041BA6" w:rsidP="00041BA6">
      <w:pPr>
        <w:ind w:left="360"/>
        <w:jc w:val="both"/>
        <w:rPr>
          <w:rFonts w:cstheme="minorHAnsi"/>
          <w:sz w:val="22"/>
          <w:szCs w:val="22"/>
        </w:rPr>
      </w:pPr>
      <w:r w:rsidRPr="009D3C47">
        <w:rPr>
          <w:rFonts w:cstheme="minorHAnsi"/>
          <w:sz w:val="22"/>
          <w:szCs w:val="22"/>
        </w:rPr>
        <w:t>Option</w:t>
      </w:r>
      <w:r w:rsidR="00306682" w:rsidRPr="009D3C47">
        <w:rPr>
          <w:rFonts w:cstheme="minorHAnsi"/>
          <w:sz w:val="22"/>
          <w:szCs w:val="22"/>
        </w:rPr>
        <w:t xml:space="preserve"> 1: The PMPRB will treat patented biosimilars and/or vaccines the same as other medicines</w:t>
      </w:r>
    </w:p>
    <w:p w14:paraId="29407BA3" w14:textId="77777777" w:rsidR="00041BA6" w:rsidRPr="009D3C47" w:rsidRDefault="00041BA6" w:rsidP="00041BA6">
      <w:pPr>
        <w:ind w:left="360"/>
        <w:jc w:val="both"/>
        <w:rPr>
          <w:rFonts w:cstheme="minorHAnsi"/>
          <w:sz w:val="22"/>
          <w:szCs w:val="22"/>
        </w:rPr>
      </w:pPr>
    </w:p>
    <w:p w14:paraId="29E84B68" w14:textId="29D3D77C" w:rsidR="00041BA6" w:rsidRPr="009D3C47" w:rsidRDefault="00041BA6" w:rsidP="00727C97">
      <w:pPr>
        <w:pStyle w:val="ListParagraph"/>
        <w:numPr>
          <w:ilvl w:val="0"/>
          <w:numId w:val="8"/>
        </w:numPr>
        <w:ind w:left="360"/>
        <w:jc w:val="both"/>
        <w:rPr>
          <w:rFonts w:cstheme="minorHAnsi"/>
          <w:b/>
          <w:bCs/>
          <w:sz w:val="22"/>
          <w:szCs w:val="22"/>
        </w:rPr>
      </w:pPr>
      <w:r w:rsidRPr="009D3C47">
        <w:rPr>
          <w:rFonts w:cstheme="minorHAnsi"/>
          <w:b/>
          <w:bCs/>
          <w:sz w:val="22"/>
          <w:szCs w:val="22"/>
        </w:rPr>
        <w:t>Use of clinical evidence to contextualize the degree of similarity of comparators identified for the TCC</w:t>
      </w:r>
    </w:p>
    <w:p w14:paraId="4422507A" w14:textId="084ADF17" w:rsidR="00041BA6" w:rsidRPr="009D3C47" w:rsidRDefault="00041BA6" w:rsidP="00041BA6">
      <w:pPr>
        <w:ind w:left="360"/>
        <w:jc w:val="both"/>
        <w:rPr>
          <w:rFonts w:cstheme="minorHAnsi"/>
          <w:sz w:val="22"/>
          <w:szCs w:val="22"/>
        </w:rPr>
      </w:pPr>
      <w:r w:rsidRPr="009D3C47">
        <w:rPr>
          <w:rFonts w:cstheme="minorHAnsi"/>
          <w:sz w:val="22"/>
          <w:szCs w:val="22"/>
        </w:rPr>
        <w:t>Option</w:t>
      </w:r>
      <w:r w:rsidR="00306682" w:rsidRPr="009D3C47">
        <w:rPr>
          <w:rFonts w:cstheme="minorHAnsi"/>
          <w:sz w:val="22"/>
          <w:szCs w:val="22"/>
        </w:rPr>
        <w:t xml:space="preserve"> 2: Each comparator will be assigned a level of similarity </w:t>
      </w:r>
    </w:p>
    <w:p w14:paraId="3C5B7F6A" w14:textId="77777777" w:rsidR="00041BA6" w:rsidRPr="009D3C47" w:rsidRDefault="00041BA6" w:rsidP="00041BA6">
      <w:pPr>
        <w:ind w:left="360"/>
        <w:jc w:val="both"/>
        <w:rPr>
          <w:rFonts w:cstheme="minorHAnsi"/>
          <w:sz w:val="22"/>
          <w:szCs w:val="22"/>
        </w:rPr>
      </w:pPr>
    </w:p>
    <w:p w14:paraId="063AA4BA" w14:textId="0B2B2C1F" w:rsidR="00041BA6" w:rsidRPr="009D3C47" w:rsidRDefault="00041BA6" w:rsidP="00727C97">
      <w:pPr>
        <w:pStyle w:val="ListParagraph"/>
        <w:numPr>
          <w:ilvl w:val="0"/>
          <w:numId w:val="8"/>
        </w:numPr>
        <w:ind w:left="360"/>
        <w:jc w:val="both"/>
        <w:rPr>
          <w:rFonts w:cstheme="minorHAnsi"/>
          <w:b/>
          <w:bCs/>
          <w:sz w:val="22"/>
          <w:szCs w:val="22"/>
        </w:rPr>
      </w:pPr>
      <w:r w:rsidRPr="009D3C47">
        <w:rPr>
          <w:rFonts w:cstheme="minorHAnsi"/>
          <w:b/>
          <w:bCs/>
          <w:sz w:val="22"/>
          <w:szCs w:val="22"/>
        </w:rPr>
        <w:t>Future role of HDAP</w:t>
      </w:r>
    </w:p>
    <w:p w14:paraId="279D5FCD" w14:textId="33E7934A" w:rsidR="00041BA6" w:rsidRPr="009D3C47" w:rsidRDefault="00041BA6" w:rsidP="00041BA6">
      <w:pPr>
        <w:ind w:left="360"/>
        <w:jc w:val="both"/>
        <w:rPr>
          <w:rFonts w:cstheme="minorHAnsi"/>
          <w:sz w:val="22"/>
          <w:szCs w:val="22"/>
        </w:rPr>
      </w:pPr>
      <w:r w:rsidRPr="009D3C47">
        <w:rPr>
          <w:rFonts w:cstheme="minorHAnsi"/>
          <w:sz w:val="22"/>
          <w:szCs w:val="22"/>
        </w:rPr>
        <w:t>Option</w:t>
      </w:r>
      <w:r w:rsidR="00306682" w:rsidRPr="009D3C47">
        <w:rPr>
          <w:rFonts w:cstheme="minorHAnsi"/>
          <w:sz w:val="22"/>
          <w:szCs w:val="22"/>
        </w:rPr>
        <w:t xml:space="preserve"> 1: HDAP will be used only on an ad hoc basis when deemed necessary by Staff</w:t>
      </w:r>
    </w:p>
    <w:p w14:paraId="1235ADAA" w14:textId="689A87DD" w:rsidR="009D3C47" w:rsidRDefault="009D3C47">
      <w:pPr>
        <w:spacing w:after="160" w:line="259" w:lineRule="auto"/>
        <w:rPr>
          <w:rFonts w:cstheme="minorHAnsi"/>
          <w:sz w:val="22"/>
          <w:szCs w:val="22"/>
        </w:rPr>
      </w:pPr>
      <w:r>
        <w:rPr>
          <w:rFonts w:cstheme="minorHAnsi"/>
          <w:sz w:val="22"/>
          <w:szCs w:val="22"/>
        </w:rPr>
        <w:br w:type="page"/>
      </w:r>
    </w:p>
    <w:p w14:paraId="5AB4A965" w14:textId="77777777" w:rsidR="00AA7BA8" w:rsidRDefault="00AA7BA8" w:rsidP="00666B38">
      <w:pPr>
        <w:jc w:val="both"/>
        <w:rPr>
          <w:rFonts w:cstheme="minorHAnsi"/>
          <w:sz w:val="22"/>
          <w:szCs w:val="22"/>
        </w:rPr>
      </w:pPr>
    </w:p>
    <w:p w14:paraId="4DE3B276" w14:textId="77777777" w:rsidR="00AA7BA8" w:rsidRDefault="00AA7BA8" w:rsidP="00666B38">
      <w:pPr>
        <w:jc w:val="both"/>
        <w:rPr>
          <w:rFonts w:cstheme="minorHAnsi"/>
          <w:sz w:val="22"/>
          <w:szCs w:val="22"/>
        </w:rPr>
      </w:pPr>
    </w:p>
    <w:p w14:paraId="199E7822" w14:textId="5FD372B0" w:rsidR="00666B38" w:rsidRPr="009D3C47" w:rsidRDefault="00690DFF" w:rsidP="00666B38">
      <w:pPr>
        <w:jc w:val="both"/>
        <w:rPr>
          <w:rFonts w:cstheme="minorHAnsi"/>
          <w:sz w:val="22"/>
          <w:szCs w:val="22"/>
        </w:rPr>
      </w:pPr>
      <w:r w:rsidRPr="009D3C47">
        <w:rPr>
          <w:rFonts w:cstheme="minorHAnsi"/>
          <w:sz w:val="22"/>
          <w:szCs w:val="22"/>
        </w:rPr>
        <w:t xml:space="preserve">Thank you again for the opportunity to provide our uniquely Canadian perspective on the PMPRB Phase 2 Consultations on New Guidelines. Please do not hesitate to contact me directly </w:t>
      </w:r>
      <w:r w:rsidR="00FE20F9" w:rsidRPr="009D3C47">
        <w:rPr>
          <w:rFonts w:cstheme="minorHAnsi"/>
          <w:sz w:val="22"/>
          <w:szCs w:val="22"/>
        </w:rPr>
        <w:t xml:space="preserve">if you wish to discuss this or any other matter. </w:t>
      </w:r>
    </w:p>
    <w:p w14:paraId="0D1BDD44" w14:textId="77777777" w:rsidR="0048097C" w:rsidRPr="009D3C47" w:rsidRDefault="0048097C" w:rsidP="0048097C">
      <w:pPr>
        <w:jc w:val="both"/>
        <w:rPr>
          <w:rFonts w:cstheme="minorHAnsi"/>
          <w:sz w:val="22"/>
          <w:szCs w:val="22"/>
        </w:rPr>
      </w:pPr>
    </w:p>
    <w:p w14:paraId="23AE3D2E" w14:textId="77777777" w:rsidR="0048097C" w:rsidRPr="009D3C47" w:rsidRDefault="0048097C" w:rsidP="0048097C">
      <w:pPr>
        <w:rPr>
          <w:rFonts w:cstheme="minorHAnsi"/>
          <w:sz w:val="22"/>
          <w:szCs w:val="22"/>
        </w:rPr>
      </w:pPr>
      <w:r w:rsidRPr="009D3C47">
        <w:rPr>
          <w:rFonts w:cstheme="minorHAnsi"/>
          <w:sz w:val="22"/>
          <w:szCs w:val="22"/>
        </w:rPr>
        <w:t>Sincerely,</w:t>
      </w:r>
    </w:p>
    <w:p w14:paraId="6E6DC7F7" w14:textId="627E1325" w:rsidR="0048097C" w:rsidRPr="009D3C47" w:rsidRDefault="0048097C" w:rsidP="0048097C">
      <w:pPr>
        <w:rPr>
          <w:rFonts w:cstheme="minorHAnsi"/>
          <w:sz w:val="22"/>
          <w:szCs w:val="22"/>
        </w:rPr>
      </w:pPr>
    </w:p>
    <w:p w14:paraId="0856C171" w14:textId="4C33D24D" w:rsidR="007E2CB3" w:rsidRPr="009D3C47" w:rsidRDefault="007E2CB3" w:rsidP="0048097C">
      <w:pPr>
        <w:rPr>
          <w:rFonts w:cstheme="minorHAnsi"/>
          <w:sz w:val="22"/>
          <w:szCs w:val="22"/>
        </w:rPr>
      </w:pPr>
      <w:r w:rsidRPr="009D3C47">
        <w:rPr>
          <w:rFonts w:cstheme="minorHAnsi"/>
          <w:sz w:val="22"/>
          <w:szCs w:val="22"/>
        </w:rPr>
        <w:t>HLS THERAPEUTICS INC.</w:t>
      </w:r>
    </w:p>
    <w:p w14:paraId="55826119" w14:textId="77777777" w:rsidR="002C328C" w:rsidRPr="009D3C47" w:rsidRDefault="002C328C" w:rsidP="0048097C">
      <w:pPr>
        <w:rPr>
          <w:rFonts w:cstheme="minorHAnsi"/>
          <w:sz w:val="22"/>
          <w:szCs w:val="22"/>
        </w:rPr>
      </w:pPr>
    </w:p>
    <w:p w14:paraId="74F6E940" w14:textId="6965D4BC" w:rsidR="004561C9" w:rsidRPr="009D3C47" w:rsidRDefault="002C328C" w:rsidP="0048097C">
      <w:pPr>
        <w:rPr>
          <w:rFonts w:cstheme="minorHAnsi"/>
          <w:sz w:val="22"/>
          <w:szCs w:val="22"/>
        </w:rPr>
      </w:pPr>
      <w:r w:rsidRPr="009D3C47">
        <w:rPr>
          <w:rFonts w:cstheme="minorHAnsi"/>
          <w:noProof/>
          <w:sz w:val="22"/>
          <w:szCs w:val="22"/>
        </w:rPr>
        <w:drawing>
          <wp:inline distT="0" distB="0" distL="0" distR="0" wp14:anchorId="49DC111C" wp14:editId="52FBD38B">
            <wp:extent cx="1201828" cy="565150"/>
            <wp:effectExtent l="0" t="0" r="0" b="6350"/>
            <wp:docPr id="398950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060" cy="577485"/>
                    </a:xfrm>
                    <a:prstGeom prst="rect">
                      <a:avLst/>
                    </a:prstGeom>
                    <a:noFill/>
                  </pic:spPr>
                </pic:pic>
              </a:graphicData>
            </a:graphic>
          </wp:inline>
        </w:drawing>
      </w:r>
    </w:p>
    <w:p w14:paraId="5674B3B0" w14:textId="77777777" w:rsidR="004561C9" w:rsidRPr="009D3C47" w:rsidRDefault="004561C9" w:rsidP="004561C9">
      <w:pPr>
        <w:rPr>
          <w:rFonts w:eastAsia="Calibri" w:cstheme="minorHAnsi"/>
          <w:noProof/>
          <w:sz w:val="22"/>
          <w:szCs w:val="22"/>
        </w:rPr>
      </w:pPr>
      <w:r w:rsidRPr="009D3C47">
        <w:rPr>
          <w:rFonts w:eastAsia="Calibri" w:cstheme="minorHAnsi"/>
          <w:noProof/>
          <w:sz w:val="22"/>
          <w:szCs w:val="22"/>
        </w:rPr>
        <w:t>Dominique Gilbert</w:t>
      </w:r>
    </w:p>
    <w:p w14:paraId="561E475F" w14:textId="77777777" w:rsidR="004561C9" w:rsidRPr="009D3C47" w:rsidRDefault="004561C9" w:rsidP="004561C9">
      <w:pPr>
        <w:rPr>
          <w:rFonts w:eastAsia="Calibri" w:cstheme="minorHAnsi"/>
          <w:noProof/>
          <w:sz w:val="22"/>
          <w:szCs w:val="22"/>
        </w:rPr>
      </w:pPr>
      <w:r w:rsidRPr="009D3C47">
        <w:rPr>
          <w:rFonts w:eastAsia="Calibri" w:cstheme="minorHAnsi"/>
          <w:noProof/>
          <w:sz w:val="22"/>
          <w:szCs w:val="22"/>
        </w:rPr>
        <w:t>Director, Market Access &amp; Health Policy</w:t>
      </w:r>
    </w:p>
    <w:p w14:paraId="06F8F091" w14:textId="689B1C3D" w:rsidR="00FD510E" w:rsidRDefault="00FD510E" w:rsidP="0048097C">
      <w:pPr>
        <w:rPr>
          <w:rFonts w:cstheme="minorHAnsi"/>
          <w:sz w:val="22"/>
          <w:szCs w:val="22"/>
        </w:rPr>
      </w:pPr>
    </w:p>
    <w:p w14:paraId="66EBC00F" w14:textId="77777777" w:rsidR="00FD510E" w:rsidRPr="0048097C" w:rsidRDefault="00FD510E" w:rsidP="0048097C">
      <w:pPr>
        <w:rPr>
          <w:rFonts w:cstheme="minorHAnsi"/>
          <w:sz w:val="22"/>
          <w:szCs w:val="22"/>
        </w:rPr>
      </w:pPr>
    </w:p>
    <w:sectPr w:rsidR="00FD510E" w:rsidRPr="004809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C22BA" w14:textId="77777777" w:rsidR="007870D1" w:rsidRDefault="007870D1" w:rsidP="00BB4462">
      <w:r>
        <w:separator/>
      </w:r>
    </w:p>
  </w:endnote>
  <w:endnote w:type="continuationSeparator" w:id="0">
    <w:p w14:paraId="6C424F58" w14:textId="77777777" w:rsidR="007870D1" w:rsidRDefault="007870D1" w:rsidP="00BB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C3E3E" w14:textId="77777777" w:rsidR="00E46C90" w:rsidRDefault="00E46C90" w:rsidP="00E46C9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36C9F" w14:textId="77777777" w:rsidR="009E287C" w:rsidRPr="009C3C68" w:rsidRDefault="009E287C" w:rsidP="009E287C">
    <w:pPr>
      <w:pStyle w:val="NormalWeb"/>
      <w:jc w:val="center"/>
      <w:rPr>
        <w:rFonts w:asciiTheme="minorHAnsi" w:hAnsiTheme="minorHAnsi"/>
      </w:rPr>
    </w:pPr>
    <w:r>
      <w:rPr>
        <w:rFonts w:asciiTheme="minorHAnsi" w:hAnsiTheme="minorHAnsi"/>
      </w:rPr>
      <w:t>10 Carlson Court | Suite 701</w:t>
    </w:r>
    <w:r w:rsidRPr="009C3C68">
      <w:rPr>
        <w:rFonts w:asciiTheme="minorHAnsi" w:hAnsiTheme="minorHAnsi"/>
      </w:rPr>
      <w:t xml:space="preserve"> | </w:t>
    </w:r>
    <w:r>
      <w:rPr>
        <w:rFonts w:asciiTheme="minorHAnsi" w:hAnsiTheme="minorHAnsi"/>
      </w:rPr>
      <w:t xml:space="preserve">Toronto, Ontario </w:t>
    </w:r>
    <w:r w:rsidRPr="009C3C68">
      <w:rPr>
        <w:rFonts w:asciiTheme="minorHAnsi" w:hAnsiTheme="minorHAnsi"/>
      </w:rPr>
      <w:t>|</w:t>
    </w:r>
    <w:r>
      <w:rPr>
        <w:rFonts w:asciiTheme="minorHAnsi" w:hAnsiTheme="minorHAnsi"/>
      </w:rPr>
      <w:t xml:space="preserve"> Canada, M9W 6L2</w:t>
    </w:r>
  </w:p>
  <w:p w14:paraId="33A2BB71" w14:textId="77777777" w:rsidR="00E46C90" w:rsidRDefault="00E46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E21CB" w14:textId="77777777" w:rsidR="00DD7A22" w:rsidRDefault="00DD7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5F62C" w14:textId="77777777" w:rsidR="007870D1" w:rsidRDefault="007870D1" w:rsidP="00BB4462">
      <w:r>
        <w:separator/>
      </w:r>
    </w:p>
  </w:footnote>
  <w:footnote w:type="continuationSeparator" w:id="0">
    <w:p w14:paraId="3DBEA353" w14:textId="77777777" w:rsidR="007870D1" w:rsidRDefault="007870D1" w:rsidP="00BB4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25F7D" w14:textId="77777777" w:rsidR="00DD7A22" w:rsidRDefault="00DD7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E891B" w14:textId="71A4B380" w:rsidR="00BB4462" w:rsidRDefault="00BB4462" w:rsidP="00E46C90">
    <w:pPr>
      <w:pStyle w:val="Header"/>
      <w:jc w:val="center"/>
    </w:pPr>
    <w:r>
      <w:rPr>
        <w:noProof/>
      </w:rPr>
      <w:drawing>
        <wp:inline distT="0" distB="0" distL="0" distR="0" wp14:anchorId="5E0DD26D" wp14:editId="534E75C4">
          <wp:extent cx="1602740" cy="981710"/>
          <wp:effectExtent l="0" t="0" r="0" b="8890"/>
          <wp:docPr id="1" name="Picture 1" descr="HLS Oak(2)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S Oak(2)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40" cy="9817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A6D1" w14:textId="77777777" w:rsidR="00DD7A22" w:rsidRDefault="00DD7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767F4"/>
    <w:multiLevelType w:val="hybridMultilevel"/>
    <w:tmpl w:val="7FF0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7E7096"/>
    <w:multiLevelType w:val="hybridMultilevel"/>
    <w:tmpl w:val="19DA1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14AC4"/>
    <w:multiLevelType w:val="hybridMultilevel"/>
    <w:tmpl w:val="FB1ACBF6"/>
    <w:lvl w:ilvl="0" w:tplc="A0F427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080073"/>
    <w:multiLevelType w:val="hybridMultilevel"/>
    <w:tmpl w:val="324AC7B2"/>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4" w15:restartNumberingAfterBreak="0">
    <w:nsid w:val="364E0329"/>
    <w:multiLevelType w:val="hybridMultilevel"/>
    <w:tmpl w:val="5AF28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B326A8"/>
    <w:multiLevelType w:val="hybridMultilevel"/>
    <w:tmpl w:val="77A8C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942149">
    <w:abstractNumId w:val="2"/>
  </w:num>
  <w:num w:numId="2" w16cid:durableId="1055853294">
    <w:abstractNumId w:val="0"/>
  </w:num>
  <w:num w:numId="3" w16cid:durableId="1401564498">
    <w:abstractNumId w:val="0"/>
  </w:num>
  <w:num w:numId="4" w16cid:durableId="1781682461">
    <w:abstractNumId w:val="1"/>
  </w:num>
  <w:num w:numId="5" w16cid:durableId="2146241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131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0329500">
    <w:abstractNumId w:val="4"/>
  </w:num>
  <w:num w:numId="8" w16cid:durableId="1681196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62"/>
    <w:rsid w:val="00006DD5"/>
    <w:rsid w:val="00041BA6"/>
    <w:rsid w:val="000470B9"/>
    <w:rsid w:val="00047CF1"/>
    <w:rsid w:val="00092A72"/>
    <w:rsid w:val="000A1649"/>
    <w:rsid w:val="000E6F53"/>
    <w:rsid w:val="000F2703"/>
    <w:rsid w:val="00130621"/>
    <w:rsid w:val="001453EC"/>
    <w:rsid w:val="00186481"/>
    <w:rsid w:val="0019131C"/>
    <w:rsid w:val="001B67B2"/>
    <w:rsid w:val="001B68EA"/>
    <w:rsid w:val="001E6ABE"/>
    <w:rsid w:val="001F56C6"/>
    <w:rsid w:val="002106B4"/>
    <w:rsid w:val="002646BD"/>
    <w:rsid w:val="002A2C40"/>
    <w:rsid w:val="002C328C"/>
    <w:rsid w:val="00306682"/>
    <w:rsid w:val="0031387B"/>
    <w:rsid w:val="00344424"/>
    <w:rsid w:val="00365B03"/>
    <w:rsid w:val="00366CC6"/>
    <w:rsid w:val="00380ADE"/>
    <w:rsid w:val="003876C7"/>
    <w:rsid w:val="003A1691"/>
    <w:rsid w:val="004561C9"/>
    <w:rsid w:val="004577E8"/>
    <w:rsid w:val="00457A5E"/>
    <w:rsid w:val="0047570E"/>
    <w:rsid w:val="004771E9"/>
    <w:rsid w:val="0048097C"/>
    <w:rsid w:val="004B1893"/>
    <w:rsid w:val="004D3DEE"/>
    <w:rsid w:val="004D79A5"/>
    <w:rsid w:val="004E3C42"/>
    <w:rsid w:val="004F4531"/>
    <w:rsid w:val="00501556"/>
    <w:rsid w:val="005158E3"/>
    <w:rsid w:val="005168D8"/>
    <w:rsid w:val="00531EE0"/>
    <w:rsid w:val="005A11DF"/>
    <w:rsid w:val="005A6E46"/>
    <w:rsid w:val="005B202E"/>
    <w:rsid w:val="005D3D6C"/>
    <w:rsid w:val="005D7CC0"/>
    <w:rsid w:val="006038D1"/>
    <w:rsid w:val="00605BD1"/>
    <w:rsid w:val="00627429"/>
    <w:rsid w:val="006313DF"/>
    <w:rsid w:val="00666954"/>
    <w:rsid w:val="00666B38"/>
    <w:rsid w:val="006722A5"/>
    <w:rsid w:val="00690DFF"/>
    <w:rsid w:val="006A5493"/>
    <w:rsid w:val="006F6A32"/>
    <w:rsid w:val="007042F6"/>
    <w:rsid w:val="00720846"/>
    <w:rsid w:val="007269A6"/>
    <w:rsid w:val="00727C97"/>
    <w:rsid w:val="007434F8"/>
    <w:rsid w:val="00775A6A"/>
    <w:rsid w:val="007870D1"/>
    <w:rsid w:val="00796C62"/>
    <w:rsid w:val="007E2CB3"/>
    <w:rsid w:val="007E737A"/>
    <w:rsid w:val="00806A66"/>
    <w:rsid w:val="008113AD"/>
    <w:rsid w:val="008178CF"/>
    <w:rsid w:val="00837436"/>
    <w:rsid w:val="008452A4"/>
    <w:rsid w:val="008503E3"/>
    <w:rsid w:val="00861ABB"/>
    <w:rsid w:val="008E0CDB"/>
    <w:rsid w:val="00920EBD"/>
    <w:rsid w:val="00930267"/>
    <w:rsid w:val="00967F99"/>
    <w:rsid w:val="00975345"/>
    <w:rsid w:val="009813FD"/>
    <w:rsid w:val="009C3C68"/>
    <w:rsid w:val="009D3C47"/>
    <w:rsid w:val="009E2236"/>
    <w:rsid w:val="009E287C"/>
    <w:rsid w:val="009F700B"/>
    <w:rsid w:val="00A32516"/>
    <w:rsid w:val="00A65664"/>
    <w:rsid w:val="00A66DE8"/>
    <w:rsid w:val="00A97034"/>
    <w:rsid w:val="00AA55FB"/>
    <w:rsid w:val="00AA7BA8"/>
    <w:rsid w:val="00AB5292"/>
    <w:rsid w:val="00AE7D10"/>
    <w:rsid w:val="00B015DB"/>
    <w:rsid w:val="00B155E1"/>
    <w:rsid w:val="00B54A6E"/>
    <w:rsid w:val="00B612AD"/>
    <w:rsid w:val="00B67EA5"/>
    <w:rsid w:val="00B92060"/>
    <w:rsid w:val="00BA0983"/>
    <w:rsid w:val="00BA2757"/>
    <w:rsid w:val="00BB4462"/>
    <w:rsid w:val="00BC690C"/>
    <w:rsid w:val="00C615E0"/>
    <w:rsid w:val="00C61A81"/>
    <w:rsid w:val="00D01A14"/>
    <w:rsid w:val="00D30C5F"/>
    <w:rsid w:val="00D51787"/>
    <w:rsid w:val="00D80369"/>
    <w:rsid w:val="00D957D2"/>
    <w:rsid w:val="00DC1E99"/>
    <w:rsid w:val="00DC46FE"/>
    <w:rsid w:val="00DD58D7"/>
    <w:rsid w:val="00DD7A22"/>
    <w:rsid w:val="00DE23B8"/>
    <w:rsid w:val="00E03992"/>
    <w:rsid w:val="00E04D58"/>
    <w:rsid w:val="00E06B1A"/>
    <w:rsid w:val="00E27963"/>
    <w:rsid w:val="00E46C90"/>
    <w:rsid w:val="00E6575B"/>
    <w:rsid w:val="00E732A7"/>
    <w:rsid w:val="00E93B0A"/>
    <w:rsid w:val="00EA2F86"/>
    <w:rsid w:val="00EB56E5"/>
    <w:rsid w:val="00EF70D8"/>
    <w:rsid w:val="00F006FF"/>
    <w:rsid w:val="00F114F4"/>
    <w:rsid w:val="00F21300"/>
    <w:rsid w:val="00F23D49"/>
    <w:rsid w:val="00F562FA"/>
    <w:rsid w:val="00FA048A"/>
    <w:rsid w:val="00FD510E"/>
    <w:rsid w:val="00FD54A2"/>
    <w:rsid w:val="00FE20F9"/>
    <w:rsid w:val="00FF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F512B"/>
  <w15:chartTrackingRefBased/>
  <w15:docId w15:val="{1838320F-F468-46A1-9B50-6FA1CFFA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8A"/>
    <w:pPr>
      <w:spacing w:after="0" w:line="240" w:lineRule="auto"/>
    </w:pPr>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462"/>
    <w:pPr>
      <w:tabs>
        <w:tab w:val="center" w:pos="4680"/>
        <w:tab w:val="right" w:pos="9360"/>
      </w:tabs>
    </w:pPr>
  </w:style>
  <w:style w:type="character" w:customStyle="1" w:styleId="HeaderChar">
    <w:name w:val="Header Char"/>
    <w:basedOn w:val="DefaultParagraphFont"/>
    <w:link w:val="Header"/>
    <w:uiPriority w:val="99"/>
    <w:rsid w:val="00BB4462"/>
  </w:style>
  <w:style w:type="paragraph" w:styleId="Footer">
    <w:name w:val="footer"/>
    <w:basedOn w:val="Normal"/>
    <w:link w:val="FooterChar"/>
    <w:uiPriority w:val="99"/>
    <w:unhideWhenUsed/>
    <w:rsid w:val="00BB4462"/>
    <w:pPr>
      <w:tabs>
        <w:tab w:val="center" w:pos="4680"/>
        <w:tab w:val="right" w:pos="9360"/>
      </w:tabs>
    </w:pPr>
  </w:style>
  <w:style w:type="character" w:customStyle="1" w:styleId="FooterChar">
    <w:name w:val="Footer Char"/>
    <w:basedOn w:val="DefaultParagraphFont"/>
    <w:link w:val="Footer"/>
    <w:uiPriority w:val="99"/>
    <w:rsid w:val="00BB4462"/>
  </w:style>
  <w:style w:type="table" w:styleId="TableGrid">
    <w:name w:val="Table Grid"/>
    <w:basedOn w:val="TableNormal"/>
    <w:uiPriority w:val="39"/>
    <w:rsid w:val="00BB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267"/>
    <w:rPr>
      <w:rFonts w:ascii="Segoe UI" w:hAnsi="Segoe UI" w:cs="Segoe UI"/>
      <w:sz w:val="18"/>
      <w:szCs w:val="18"/>
    </w:rPr>
  </w:style>
  <w:style w:type="paragraph" w:styleId="NormalWeb">
    <w:name w:val="Normal (Web)"/>
    <w:basedOn w:val="Normal"/>
    <w:uiPriority w:val="99"/>
    <w:semiHidden/>
    <w:unhideWhenUsed/>
    <w:rsid w:val="004577E8"/>
    <w:pPr>
      <w:spacing w:before="100" w:beforeAutospacing="1" w:after="100" w:afterAutospacing="1"/>
    </w:pPr>
    <w:rPr>
      <w:rFonts w:ascii="Times New Roman" w:eastAsia="Times New Roman" w:hAnsi="Times New Roman" w:cs="Times New Roman"/>
    </w:rPr>
  </w:style>
  <w:style w:type="paragraph" w:customStyle="1" w:styleId="Default">
    <w:name w:val="Default"/>
    <w:rsid w:val="00380A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7EA5"/>
    <w:pPr>
      <w:spacing w:line="256" w:lineRule="auto"/>
      <w:ind w:left="720"/>
      <w:contextualSpacing/>
    </w:pPr>
  </w:style>
  <w:style w:type="character" w:customStyle="1" w:styleId="MainText12Char">
    <w:name w:val="Main Text (12) Char"/>
    <w:basedOn w:val="DefaultParagraphFont"/>
    <w:link w:val="MainText12"/>
    <w:uiPriority w:val="4"/>
    <w:locked/>
    <w:rsid w:val="00BA0983"/>
  </w:style>
  <w:style w:type="paragraph" w:customStyle="1" w:styleId="MainText12">
    <w:name w:val="Main Text (12)"/>
    <w:basedOn w:val="Normal"/>
    <w:link w:val="MainText12Char"/>
    <w:uiPriority w:val="4"/>
    <w:rsid w:val="00BA0983"/>
    <w:pPr>
      <w:spacing w:after="240" w:line="264" w:lineRule="auto"/>
      <w:jc w:val="both"/>
    </w:pPr>
  </w:style>
  <w:style w:type="character" w:styleId="CommentReference">
    <w:name w:val="annotation reference"/>
    <w:basedOn w:val="DefaultParagraphFont"/>
    <w:uiPriority w:val="99"/>
    <w:semiHidden/>
    <w:unhideWhenUsed/>
    <w:rsid w:val="00920EBD"/>
    <w:rPr>
      <w:sz w:val="16"/>
      <w:szCs w:val="16"/>
    </w:rPr>
  </w:style>
  <w:style w:type="paragraph" w:styleId="CommentText">
    <w:name w:val="annotation text"/>
    <w:basedOn w:val="Normal"/>
    <w:link w:val="CommentTextChar"/>
    <w:uiPriority w:val="99"/>
    <w:unhideWhenUsed/>
    <w:rsid w:val="00920EBD"/>
    <w:rPr>
      <w:sz w:val="20"/>
      <w:szCs w:val="20"/>
    </w:rPr>
  </w:style>
  <w:style w:type="character" w:customStyle="1" w:styleId="CommentTextChar">
    <w:name w:val="Comment Text Char"/>
    <w:basedOn w:val="DefaultParagraphFont"/>
    <w:link w:val="CommentText"/>
    <w:uiPriority w:val="99"/>
    <w:rsid w:val="00920EBD"/>
    <w:rPr>
      <w:sz w:val="20"/>
      <w:szCs w:val="20"/>
    </w:rPr>
  </w:style>
  <w:style w:type="paragraph" w:styleId="CommentSubject">
    <w:name w:val="annotation subject"/>
    <w:basedOn w:val="CommentText"/>
    <w:next w:val="CommentText"/>
    <w:link w:val="CommentSubjectChar"/>
    <w:uiPriority w:val="99"/>
    <w:semiHidden/>
    <w:unhideWhenUsed/>
    <w:rsid w:val="00920EBD"/>
    <w:rPr>
      <w:b/>
      <w:bCs/>
    </w:rPr>
  </w:style>
  <w:style w:type="character" w:customStyle="1" w:styleId="CommentSubjectChar">
    <w:name w:val="Comment Subject Char"/>
    <w:basedOn w:val="CommentTextChar"/>
    <w:link w:val="CommentSubject"/>
    <w:uiPriority w:val="99"/>
    <w:semiHidden/>
    <w:rsid w:val="00920EBD"/>
    <w:rPr>
      <w:b/>
      <w:bCs/>
      <w:sz w:val="20"/>
      <w:szCs w:val="20"/>
    </w:rPr>
  </w:style>
  <w:style w:type="character" w:styleId="Hyperlink">
    <w:name w:val="Hyperlink"/>
    <w:basedOn w:val="DefaultParagraphFont"/>
    <w:uiPriority w:val="99"/>
    <w:semiHidden/>
    <w:unhideWhenUsed/>
    <w:rsid w:val="00FA048A"/>
    <w:rPr>
      <w:color w:val="0563C1" w:themeColor="hyperlink"/>
      <w:u w:val="single"/>
    </w:rPr>
  </w:style>
  <w:style w:type="character" w:styleId="FollowedHyperlink">
    <w:name w:val="FollowedHyperlink"/>
    <w:basedOn w:val="DefaultParagraphFont"/>
    <w:uiPriority w:val="99"/>
    <w:semiHidden/>
    <w:unhideWhenUsed/>
    <w:rsid w:val="002106B4"/>
    <w:rPr>
      <w:color w:val="954F72" w:themeColor="followedHyperlink"/>
      <w:u w:val="single"/>
    </w:rPr>
  </w:style>
  <w:style w:type="paragraph" w:styleId="Revision">
    <w:name w:val="Revision"/>
    <w:hidden/>
    <w:uiPriority w:val="99"/>
    <w:semiHidden/>
    <w:rsid w:val="00BC690C"/>
    <w:pPr>
      <w:spacing w:after="0" w:line="240" w:lineRule="auto"/>
    </w:pPr>
    <w:rPr>
      <w:sz w:val="24"/>
      <w:szCs w:val="24"/>
      <w:lang w:val="en-CA"/>
    </w:rPr>
  </w:style>
  <w:style w:type="paragraph" w:customStyle="1" w:styleId="pf0">
    <w:name w:val="pf0"/>
    <w:basedOn w:val="Normal"/>
    <w:rsid w:val="00F21300"/>
    <w:pPr>
      <w:spacing w:before="100" w:beforeAutospacing="1" w:after="100" w:afterAutospacing="1"/>
    </w:pPr>
    <w:rPr>
      <w:rFonts w:ascii="Times New Roman" w:eastAsia="Times New Roman" w:hAnsi="Times New Roman" w:cs="Times New Roman"/>
      <w:lang w:val="en-US"/>
    </w:rPr>
  </w:style>
  <w:style w:type="character" w:customStyle="1" w:styleId="cf01">
    <w:name w:val="cf01"/>
    <w:basedOn w:val="DefaultParagraphFont"/>
    <w:rsid w:val="00F213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14602">
      <w:bodyDiv w:val="1"/>
      <w:marLeft w:val="0"/>
      <w:marRight w:val="0"/>
      <w:marTop w:val="0"/>
      <w:marBottom w:val="0"/>
      <w:divBdr>
        <w:top w:val="none" w:sz="0" w:space="0" w:color="auto"/>
        <w:left w:val="none" w:sz="0" w:space="0" w:color="auto"/>
        <w:bottom w:val="none" w:sz="0" w:space="0" w:color="auto"/>
        <w:right w:val="none" w:sz="0" w:space="0" w:color="auto"/>
      </w:divBdr>
    </w:div>
    <w:div w:id="116877714">
      <w:bodyDiv w:val="1"/>
      <w:marLeft w:val="0"/>
      <w:marRight w:val="0"/>
      <w:marTop w:val="0"/>
      <w:marBottom w:val="0"/>
      <w:divBdr>
        <w:top w:val="none" w:sz="0" w:space="0" w:color="auto"/>
        <w:left w:val="none" w:sz="0" w:space="0" w:color="auto"/>
        <w:bottom w:val="none" w:sz="0" w:space="0" w:color="auto"/>
        <w:right w:val="none" w:sz="0" w:space="0" w:color="auto"/>
      </w:divBdr>
    </w:div>
    <w:div w:id="148256378">
      <w:bodyDiv w:val="1"/>
      <w:marLeft w:val="0"/>
      <w:marRight w:val="0"/>
      <w:marTop w:val="0"/>
      <w:marBottom w:val="0"/>
      <w:divBdr>
        <w:top w:val="none" w:sz="0" w:space="0" w:color="auto"/>
        <w:left w:val="none" w:sz="0" w:space="0" w:color="auto"/>
        <w:bottom w:val="none" w:sz="0" w:space="0" w:color="auto"/>
        <w:right w:val="none" w:sz="0" w:space="0" w:color="auto"/>
      </w:divBdr>
    </w:div>
    <w:div w:id="419763417">
      <w:bodyDiv w:val="1"/>
      <w:marLeft w:val="0"/>
      <w:marRight w:val="0"/>
      <w:marTop w:val="0"/>
      <w:marBottom w:val="0"/>
      <w:divBdr>
        <w:top w:val="none" w:sz="0" w:space="0" w:color="auto"/>
        <w:left w:val="none" w:sz="0" w:space="0" w:color="auto"/>
        <w:bottom w:val="none" w:sz="0" w:space="0" w:color="auto"/>
        <w:right w:val="none" w:sz="0" w:space="0" w:color="auto"/>
      </w:divBdr>
    </w:div>
    <w:div w:id="522521892">
      <w:bodyDiv w:val="1"/>
      <w:marLeft w:val="0"/>
      <w:marRight w:val="0"/>
      <w:marTop w:val="0"/>
      <w:marBottom w:val="0"/>
      <w:divBdr>
        <w:top w:val="none" w:sz="0" w:space="0" w:color="auto"/>
        <w:left w:val="none" w:sz="0" w:space="0" w:color="auto"/>
        <w:bottom w:val="none" w:sz="0" w:space="0" w:color="auto"/>
        <w:right w:val="none" w:sz="0" w:space="0" w:color="auto"/>
      </w:divBdr>
    </w:div>
    <w:div w:id="536478650">
      <w:bodyDiv w:val="1"/>
      <w:marLeft w:val="0"/>
      <w:marRight w:val="0"/>
      <w:marTop w:val="0"/>
      <w:marBottom w:val="0"/>
      <w:divBdr>
        <w:top w:val="none" w:sz="0" w:space="0" w:color="auto"/>
        <w:left w:val="none" w:sz="0" w:space="0" w:color="auto"/>
        <w:bottom w:val="none" w:sz="0" w:space="0" w:color="auto"/>
        <w:right w:val="none" w:sz="0" w:space="0" w:color="auto"/>
      </w:divBdr>
    </w:div>
    <w:div w:id="918293059">
      <w:bodyDiv w:val="1"/>
      <w:marLeft w:val="0"/>
      <w:marRight w:val="0"/>
      <w:marTop w:val="0"/>
      <w:marBottom w:val="0"/>
      <w:divBdr>
        <w:top w:val="none" w:sz="0" w:space="0" w:color="auto"/>
        <w:left w:val="none" w:sz="0" w:space="0" w:color="auto"/>
        <w:bottom w:val="none" w:sz="0" w:space="0" w:color="auto"/>
        <w:right w:val="none" w:sz="0" w:space="0" w:color="auto"/>
      </w:divBdr>
    </w:div>
    <w:div w:id="962466898">
      <w:bodyDiv w:val="1"/>
      <w:marLeft w:val="0"/>
      <w:marRight w:val="0"/>
      <w:marTop w:val="0"/>
      <w:marBottom w:val="0"/>
      <w:divBdr>
        <w:top w:val="none" w:sz="0" w:space="0" w:color="auto"/>
        <w:left w:val="none" w:sz="0" w:space="0" w:color="auto"/>
        <w:bottom w:val="none" w:sz="0" w:space="0" w:color="auto"/>
        <w:right w:val="none" w:sz="0" w:space="0" w:color="auto"/>
      </w:divBdr>
    </w:div>
    <w:div w:id="1222792178">
      <w:bodyDiv w:val="1"/>
      <w:marLeft w:val="0"/>
      <w:marRight w:val="0"/>
      <w:marTop w:val="0"/>
      <w:marBottom w:val="0"/>
      <w:divBdr>
        <w:top w:val="none" w:sz="0" w:space="0" w:color="auto"/>
        <w:left w:val="none" w:sz="0" w:space="0" w:color="auto"/>
        <w:bottom w:val="none" w:sz="0" w:space="0" w:color="auto"/>
        <w:right w:val="none" w:sz="0" w:space="0" w:color="auto"/>
      </w:divBdr>
    </w:div>
    <w:div w:id="15475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anada.ca/en/patented-medicine-prices-review/services/consultations/discussion-guide-phase2.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E0520FBD03474792E709F86AA24840" ma:contentTypeVersion="9" ma:contentTypeDescription="Create a new document." ma:contentTypeScope="" ma:versionID="7216fd5ac4d70e28555f578b4f066cf3">
  <xsd:schema xmlns:xsd="http://www.w3.org/2001/XMLSchema" xmlns:xs="http://www.w3.org/2001/XMLSchema" xmlns:p="http://schemas.microsoft.com/office/2006/metadata/properties" xmlns:ns3="9ea942f2-cf1a-4f32-8ebf-3a9b19c4ced5" targetNamespace="http://schemas.microsoft.com/office/2006/metadata/properties" ma:root="true" ma:fieldsID="5df5b7b046458f335e77ef8d3ab57533" ns3:_="">
    <xsd:import namespace="9ea942f2-cf1a-4f32-8ebf-3a9b19c4ce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942f2-cf1a-4f32-8ebf-3a9b19c4c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EE9B9-30DC-4D2F-BB2D-39AB207A76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3E059-2681-483C-8DE4-79B8C0313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942f2-cf1a-4f32-8ebf-3a9b19c4c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EFDF3-BB6C-4351-A132-1FA247D90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Gattuso</dc:creator>
  <cp:keywords/>
  <dc:description/>
  <cp:lastModifiedBy>Dominique Gilbert</cp:lastModifiedBy>
  <cp:revision>9</cp:revision>
  <cp:lastPrinted>2016-03-22T17:08:00Z</cp:lastPrinted>
  <dcterms:created xsi:type="dcterms:W3CDTF">2024-09-05T18:00:00Z</dcterms:created>
  <dcterms:modified xsi:type="dcterms:W3CDTF">2024-09-06T15:39:00Z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0x010100AFE0520FBD03474792E709F86AA24840</vt:lpwstr>
  </property>
</Properties>
</file>