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D1C" w:rsidRPr="00DB41B7" w:rsidRDefault="008F2D1C" w:rsidP="008F2D1C">
      <w:pPr>
        <w:pStyle w:val="Title"/>
        <w:rPr>
          <w:b w:val="0"/>
        </w:rPr>
      </w:pPr>
      <w:r w:rsidRPr="00DB41B7">
        <w:t>Overview of the PSC Data Management Strategy (DMS): The Right Data, The Right Way, In The Right Hands, At The Right Time</w:t>
      </w:r>
    </w:p>
    <w:bookmarkStart w:id="0" w:name="_top"/>
    <w:bookmarkEnd w:id="0"/>
    <w:p w:rsidR="008F2D1C" w:rsidRDefault="008F2D1C" w:rsidP="008F2D1C">
      <w:r>
        <w:fldChar w:fldCharType="begin"/>
      </w:r>
      <w:r>
        <w:instrText>HYPERLINK  \l "_Text_Version"</w:instrText>
      </w:r>
      <w:r>
        <w:fldChar w:fldCharType="separate"/>
      </w:r>
      <w:r w:rsidRPr="00DB41B7">
        <w:rPr>
          <w:rStyle w:val="Hyperlink"/>
        </w:rPr>
        <w:t>Text Version</w:t>
      </w:r>
      <w:r>
        <w:fldChar w:fldCharType="end"/>
      </w:r>
    </w:p>
    <w:p w:rsidR="00DB41B7" w:rsidRDefault="004C6EC8">
      <w:pPr>
        <w:spacing w:after="16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Overview of the PSC Data Management Strategy (DMS): The Right Data, The right Way, In the Right Hands, at the Right Time" style="position:absolute;margin-left:-1.5pt;margin-top:4.6pt;width:918.1pt;height:640.45pt;z-index:251659264;mso-position-horizontal-relative:text;mso-position-vertical-relative:text">
            <v:imagedata r:id="rId8" o:title=""/>
          </v:shape>
          <o:OLEObject Type="Embed" ProgID="Visio.Drawing.15" ShapeID="_x0000_s1026" DrawAspect="Content" ObjectID="_1655642010" r:id="rId9"/>
        </w:object>
      </w:r>
      <w:r w:rsidR="00DB41B7">
        <w:br w:type="page"/>
      </w:r>
    </w:p>
    <w:p w:rsidR="00FB17C2" w:rsidRPr="00DB41B7" w:rsidRDefault="007535A8" w:rsidP="00DB41B7">
      <w:pPr>
        <w:pStyle w:val="Heading1"/>
        <w:numPr>
          <w:ilvl w:val="0"/>
          <w:numId w:val="0"/>
        </w:numPr>
        <w:ind w:left="360" w:hanging="360"/>
      </w:pPr>
      <w:bookmarkStart w:id="1" w:name="_Text_Version"/>
      <w:bookmarkEnd w:id="1"/>
      <w:r w:rsidRPr="00DB41B7">
        <w:lastRenderedPageBreak/>
        <w:t>Text Version</w:t>
      </w:r>
    </w:p>
    <w:p w:rsidR="00504C3D" w:rsidRPr="00DB41B7" w:rsidRDefault="00E70FD3" w:rsidP="00FB17C2">
      <w:pPr>
        <w:pStyle w:val="Title"/>
        <w:rPr>
          <w:b w:val="0"/>
        </w:rPr>
      </w:pPr>
      <w:r w:rsidRPr="00DB41B7">
        <w:t xml:space="preserve">Overview of the </w:t>
      </w:r>
      <w:r w:rsidR="00504C3D" w:rsidRPr="00DB41B7">
        <w:t>PSC Data Management Strategy (DMS): The Right Data, The Right Way, In The Right Hands, At The Right Time</w:t>
      </w:r>
    </w:p>
    <w:p w:rsidR="00504C3D" w:rsidRPr="00DB41B7" w:rsidRDefault="00504C3D" w:rsidP="00504C3D">
      <w:pPr>
        <w:spacing w:line="360" w:lineRule="auto"/>
        <w:rPr>
          <w:rFonts w:cs="Arial"/>
          <w:szCs w:val="24"/>
        </w:rPr>
      </w:pPr>
    </w:p>
    <w:p w:rsidR="00504C3D" w:rsidRPr="00DB41B7" w:rsidRDefault="00504C3D" w:rsidP="00A04883">
      <w:pPr>
        <w:pStyle w:val="Heading1"/>
        <w:numPr>
          <w:ilvl w:val="0"/>
          <w:numId w:val="0"/>
        </w:numPr>
        <w:ind w:left="360" w:hanging="360"/>
      </w:pPr>
      <w:bookmarkStart w:id="2" w:name="_Desired_Outcomes:"/>
      <w:bookmarkEnd w:id="2"/>
      <w:r w:rsidRPr="00DB41B7">
        <w:t>Desired Outcomes:</w:t>
      </w:r>
    </w:p>
    <w:p w:rsidR="00504C3D" w:rsidRPr="00DB41B7" w:rsidRDefault="00504C3D" w:rsidP="00504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4"/>
        </w:rPr>
      </w:pPr>
      <w:r w:rsidRPr="00DB41B7">
        <w:rPr>
          <w:rFonts w:cs="Arial"/>
          <w:bCs/>
          <w:color w:val="000000"/>
          <w:szCs w:val="24"/>
        </w:rPr>
        <w:t xml:space="preserve">Governance: </w:t>
      </w:r>
      <w:r w:rsidRPr="00DB41B7">
        <w:rPr>
          <w:rFonts w:cs="Arial"/>
          <w:color w:val="000000"/>
          <w:szCs w:val="24"/>
        </w:rPr>
        <w:t>exists at the right level to ensure that data is managed holistically as a strategic asset</w:t>
      </w:r>
    </w:p>
    <w:p w:rsidR="00504C3D" w:rsidRPr="00DB41B7" w:rsidRDefault="00504C3D" w:rsidP="00504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4"/>
        </w:rPr>
      </w:pPr>
      <w:r w:rsidRPr="00DB41B7">
        <w:rPr>
          <w:rFonts w:cs="Arial"/>
          <w:bCs/>
          <w:color w:val="000000"/>
          <w:szCs w:val="24"/>
        </w:rPr>
        <w:t>Data as an Asset:  the PSC has the data it needs, which is fit for use and available</w:t>
      </w:r>
    </w:p>
    <w:p w:rsidR="00504C3D" w:rsidRPr="00DB41B7" w:rsidRDefault="00504C3D" w:rsidP="00504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4"/>
        </w:rPr>
      </w:pPr>
      <w:r w:rsidRPr="00DB41B7">
        <w:rPr>
          <w:rFonts w:cs="Arial"/>
          <w:bCs/>
          <w:color w:val="000000"/>
          <w:szCs w:val="24"/>
        </w:rPr>
        <w:t>People and Culture: the PSC employees have access to the data they need and the talent and capacity to use, manage, interpret and understand data to maximize its value</w:t>
      </w:r>
    </w:p>
    <w:p w:rsidR="00504C3D" w:rsidRPr="00DB41B7" w:rsidRDefault="00504C3D" w:rsidP="00504C3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4"/>
        </w:rPr>
      </w:pPr>
      <w:r w:rsidRPr="00DB41B7">
        <w:rPr>
          <w:rFonts w:cs="Arial"/>
          <w:bCs/>
          <w:color w:val="000000"/>
          <w:szCs w:val="24"/>
        </w:rPr>
        <w:t>Infrastructure: the PSC has the infrastructure and tools to facilitate data management and analytics</w:t>
      </w:r>
    </w:p>
    <w:p w:rsidR="00504C3D" w:rsidRPr="00DB41B7" w:rsidRDefault="00504C3D" w:rsidP="00504C3D">
      <w:pPr>
        <w:tabs>
          <w:tab w:val="left" w:pos="2550"/>
        </w:tabs>
        <w:autoSpaceDE w:val="0"/>
        <w:autoSpaceDN w:val="0"/>
        <w:adjustRightInd w:val="0"/>
        <w:spacing w:line="360" w:lineRule="auto"/>
        <w:rPr>
          <w:rFonts w:cs="Arial"/>
          <w:bCs/>
          <w:color w:val="000000"/>
          <w:szCs w:val="24"/>
        </w:rPr>
      </w:pPr>
    </w:p>
    <w:p w:rsidR="00504C3D" w:rsidRPr="00DB41B7" w:rsidRDefault="00504C3D" w:rsidP="00A04883">
      <w:pPr>
        <w:pStyle w:val="Heading1"/>
        <w:numPr>
          <w:ilvl w:val="0"/>
          <w:numId w:val="0"/>
        </w:numPr>
        <w:ind w:left="360" w:hanging="360"/>
      </w:pPr>
      <w:r w:rsidRPr="00DB41B7">
        <w:t>Implementation Plan:</w:t>
      </w:r>
    </w:p>
    <w:p w:rsidR="00504C3D" w:rsidRPr="00DB41B7" w:rsidRDefault="00504C3D" w:rsidP="00DB41B7">
      <w:pPr>
        <w:pStyle w:val="Subtitle"/>
      </w:pPr>
      <w:r w:rsidRPr="00DB41B7">
        <w:t>PSC DMS First Pillar: Data Management</w:t>
      </w:r>
    </w:p>
    <w:p w:rsidR="00504C3D" w:rsidRPr="00DB41B7" w:rsidRDefault="00504C3D" w:rsidP="00701B98">
      <w:pPr>
        <w:pStyle w:val="Heading1"/>
        <w:numPr>
          <w:ilvl w:val="0"/>
          <w:numId w:val="37"/>
        </w:numPr>
      </w:pPr>
      <w:r w:rsidRPr="00DB41B7">
        <w:t>Establish the Foundation</w:t>
      </w:r>
    </w:p>
    <w:p w:rsidR="00504C3D" w:rsidRPr="00DB41B7" w:rsidRDefault="00504C3D" w:rsidP="009C7170">
      <w:pPr>
        <w:pStyle w:val="Heading2"/>
      </w:pPr>
      <w:r w:rsidRPr="00DB41B7">
        <w:t xml:space="preserve">Clarify data responsibilities </w:t>
      </w:r>
    </w:p>
    <w:p w:rsidR="00504C3D" w:rsidRPr="00DB41B7" w:rsidRDefault="00504C3D" w:rsidP="00A04883">
      <w:pPr>
        <w:pStyle w:val="ListParagraph"/>
        <w:numPr>
          <w:ilvl w:val="0"/>
          <w:numId w:val="18"/>
        </w:numPr>
      </w:pPr>
      <w:r w:rsidRPr="00DB41B7">
        <w:t>Formalize Committees and TORs / Define and communicate Chief Data Officer function (CDO)</w:t>
      </w:r>
    </w:p>
    <w:p w:rsidR="00504C3D" w:rsidRPr="00DB41B7" w:rsidRDefault="00504C3D" w:rsidP="00A04883">
      <w:pPr>
        <w:pStyle w:val="ListParagraph"/>
        <w:numPr>
          <w:ilvl w:val="0"/>
          <w:numId w:val="18"/>
        </w:numPr>
      </w:pPr>
      <w:r w:rsidRPr="00DB41B7">
        <w:t>Clarify roles and responsibilities related to data (CDO, Stewards/curators, Data custodians) and list of authoritative sources for PSC data elements</w:t>
      </w:r>
    </w:p>
    <w:p w:rsidR="00504C3D" w:rsidRPr="00DB41B7" w:rsidRDefault="00504C3D" w:rsidP="00A04883">
      <w:pPr>
        <w:pStyle w:val="ListParagraph"/>
        <w:numPr>
          <w:ilvl w:val="0"/>
          <w:numId w:val="18"/>
        </w:numPr>
      </w:pPr>
      <w:r w:rsidRPr="00DB41B7">
        <w:t xml:space="preserve">Establish protocols for data sharing within and outside the PSC 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224"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Define Success</w:t>
      </w:r>
    </w:p>
    <w:p w:rsidR="00504C3D" w:rsidRPr="00DB41B7" w:rsidRDefault="00504C3D" w:rsidP="00A04883">
      <w:pPr>
        <w:pStyle w:val="ListParagraph"/>
        <w:numPr>
          <w:ilvl w:val="0"/>
          <w:numId w:val="19"/>
        </w:numPr>
      </w:pPr>
      <w:r w:rsidRPr="00DB41B7">
        <w:t>Develop Results Measurement Framework for DMS Data management strategy</w:t>
      </w:r>
    </w:p>
    <w:p w:rsidR="00504C3D" w:rsidRPr="00DB41B7" w:rsidRDefault="00504C3D" w:rsidP="00A04883">
      <w:pPr>
        <w:pStyle w:val="ListParagraph"/>
        <w:numPr>
          <w:ilvl w:val="0"/>
          <w:numId w:val="19"/>
        </w:numPr>
      </w:pPr>
      <w:r w:rsidRPr="00DB41B7">
        <w:t>Develop Change Management/Communication Strategy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224"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Promote Ethical Use of Data</w:t>
      </w:r>
    </w:p>
    <w:p w:rsidR="00504C3D" w:rsidRPr="00DB41B7" w:rsidRDefault="00504C3D" w:rsidP="00A04883">
      <w:pPr>
        <w:pStyle w:val="ListParagraph"/>
        <w:numPr>
          <w:ilvl w:val="0"/>
          <w:numId w:val="20"/>
        </w:numPr>
      </w:pPr>
      <w:r w:rsidRPr="00DB41B7">
        <w:t>Create corporate list of PSC protocols and data sharing agreements</w:t>
      </w:r>
    </w:p>
    <w:p w:rsidR="00504C3D" w:rsidRPr="00DB41B7" w:rsidRDefault="00504C3D" w:rsidP="00A04883">
      <w:pPr>
        <w:pStyle w:val="ListParagraph"/>
        <w:numPr>
          <w:ilvl w:val="0"/>
          <w:numId w:val="20"/>
        </w:numPr>
      </w:pPr>
      <w:r w:rsidRPr="00DB41B7">
        <w:t>Create templates and guidelines for data sharing within and outside the PSC</w:t>
      </w:r>
    </w:p>
    <w:p w:rsidR="00504C3D" w:rsidRPr="00DB41B7" w:rsidRDefault="00504C3D" w:rsidP="00A04883">
      <w:pPr>
        <w:pStyle w:val="ListParagraph"/>
        <w:numPr>
          <w:ilvl w:val="0"/>
          <w:numId w:val="20"/>
        </w:numPr>
      </w:pPr>
      <w:r w:rsidRPr="00DB41B7">
        <w:t>Implement mechanisms to mitigate duplication of data holdings</w:t>
      </w:r>
    </w:p>
    <w:p w:rsidR="00504C3D" w:rsidRPr="00DB41B7" w:rsidRDefault="00504C3D" w:rsidP="00A04883">
      <w:pPr>
        <w:pStyle w:val="ListParagraph"/>
        <w:numPr>
          <w:ilvl w:val="0"/>
          <w:numId w:val="20"/>
        </w:numPr>
      </w:pPr>
      <w:r w:rsidRPr="00DB41B7">
        <w:t>Review privacy notice statements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224"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Assess current data situation</w:t>
      </w:r>
    </w:p>
    <w:p w:rsidR="00504C3D" w:rsidRPr="00DB41B7" w:rsidRDefault="00504C3D" w:rsidP="00A04883">
      <w:pPr>
        <w:pStyle w:val="ListParagraph"/>
        <w:numPr>
          <w:ilvl w:val="0"/>
          <w:numId w:val="21"/>
        </w:numPr>
      </w:pPr>
      <w:r w:rsidRPr="00DB41B7">
        <w:t>Assess PSC data risks</w:t>
      </w:r>
    </w:p>
    <w:p w:rsidR="00504C3D" w:rsidRPr="00DB41B7" w:rsidRDefault="00504C3D" w:rsidP="00A04883">
      <w:pPr>
        <w:pStyle w:val="ListParagraph"/>
        <w:numPr>
          <w:ilvl w:val="0"/>
          <w:numId w:val="21"/>
        </w:numPr>
      </w:pPr>
      <w:r w:rsidRPr="00DB41B7">
        <w:t>Conduct PSC data management maturity assessment</w:t>
      </w:r>
    </w:p>
    <w:p w:rsidR="00504C3D" w:rsidRPr="00DB41B7" w:rsidRDefault="00504C3D" w:rsidP="00A04883">
      <w:pPr>
        <w:pStyle w:val="ListParagraph"/>
        <w:numPr>
          <w:ilvl w:val="0"/>
          <w:numId w:val="21"/>
        </w:numPr>
      </w:pPr>
      <w:r w:rsidRPr="00DB41B7">
        <w:t>Develop action plan/mitigation strategies to address data risks and maturity findings</w:t>
      </w:r>
    </w:p>
    <w:p w:rsidR="00A04883" w:rsidRPr="00DB41B7" w:rsidRDefault="00A04883">
      <w:pPr>
        <w:spacing w:after="160"/>
        <w:rPr>
          <w:rFonts w:cs="Arial"/>
          <w:b/>
          <w:bCs/>
          <w:color w:val="000000"/>
          <w:szCs w:val="24"/>
        </w:rPr>
      </w:pPr>
      <w:r w:rsidRPr="00DB41B7">
        <w:rPr>
          <w:rFonts w:cs="Arial"/>
          <w:b/>
          <w:bCs/>
          <w:color w:val="000000"/>
          <w:szCs w:val="24"/>
        </w:rPr>
        <w:br w:type="page"/>
      </w:r>
    </w:p>
    <w:p w:rsidR="00504C3D" w:rsidRPr="00DB41B7" w:rsidRDefault="00504C3D" w:rsidP="00701B98">
      <w:pPr>
        <w:pStyle w:val="Heading1"/>
        <w:numPr>
          <w:ilvl w:val="0"/>
          <w:numId w:val="37"/>
        </w:numPr>
      </w:pPr>
      <w:r w:rsidRPr="00DB41B7">
        <w:lastRenderedPageBreak/>
        <w:t>Build Momentum</w:t>
      </w:r>
    </w:p>
    <w:p w:rsidR="00223496" w:rsidRPr="00DB41B7" w:rsidRDefault="00223496" w:rsidP="00A04883">
      <w:pPr>
        <w:autoSpaceDE w:val="0"/>
        <w:autoSpaceDN w:val="0"/>
        <w:adjustRightInd w:val="0"/>
        <w:spacing w:line="360" w:lineRule="auto"/>
        <w:rPr>
          <w:rFonts w:cs="Arial"/>
          <w:b/>
          <w:bCs/>
          <w:vanish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Manage our data</w:t>
      </w:r>
    </w:p>
    <w:p w:rsidR="00504C3D" w:rsidRPr="00DB41B7" w:rsidRDefault="00504C3D" w:rsidP="00A04883">
      <w:pPr>
        <w:pStyle w:val="ListParagraph"/>
        <w:numPr>
          <w:ilvl w:val="0"/>
          <w:numId w:val="22"/>
        </w:numPr>
      </w:pPr>
      <w:r w:rsidRPr="00DB41B7">
        <w:t>Develop PSC Policy on Data Quality</w:t>
      </w:r>
    </w:p>
    <w:p w:rsidR="00504C3D" w:rsidRPr="00DB41B7" w:rsidRDefault="00504C3D" w:rsidP="00A04883">
      <w:pPr>
        <w:pStyle w:val="ListParagraph"/>
        <w:numPr>
          <w:ilvl w:val="0"/>
          <w:numId w:val="22"/>
        </w:numPr>
      </w:pPr>
      <w:r w:rsidRPr="00DB41B7">
        <w:t>Coordinate data acquisition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224"/>
        <w:rPr>
          <w:rFonts w:cs="Arial"/>
          <w:b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Remain vigilant with security and privacy</w:t>
      </w:r>
    </w:p>
    <w:p w:rsidR="00504C3D" w:rsidRPr="00DB41B7" w:rsidRDefault="00504C3D" w:rsidP="00A04883">
      <w:pPr>
        <w:pStyle w:val="ListParagraph"/>
        <w:numPr>
          <w:ilvl w:val="0"/>
          <w:numId w:val="23"/>
        </w:numPr>
      </w:pPr>
      <w:r w:rsidRPr="00DB41B7">
        <w:t>Develop PSC Policy on Data Security and Privacy</w:t>
      </w:r>
    </w:p>
    <w:p w:rsidR="00504C3D" w:rsidRPr="00DB41B7" w:rsidRDefault="00504C3D" w:rsidP="00A04883">
      <w:pPr>
        <w:pStyle w:val="ListParagraph"/>
        <w:numPr>
          <w:ilvl w:val="0"/>
          <w:numId w:val="23"/>
        </w:numPr>
      </w:pPr>
      <w:r w:rsidRPr="00DB41B7">
        <w:t xml:space="preserve">Review, strengthen and formalize established Access Management practices 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224"/>
        <w:rPr>
          <w:rFonts w:cs="Arial"/>
          <w:b/>
          <w:bCs/>
          <w:color w:val="000000"/>
          <w:szCs w:val="24"/>
        </w:rPr>
      </w:pPr>
    </w:p>
    <w:p w:rsidR="00504C3D" w:rsidRPr="00DB41B7" w:rsidRDefault="00A04883" w:rsidP="009C7170">
      <w:pPr>
        <w:pStyle w:val="Heading2"/>
      </w:pPr>
      <w:r w:rsidRPr="00DB41B7">
        <w:t>Deliver</w:t>
      </w:r>
    </w:p>
    <w:p w:rsidR="00504C3D" w:rsidRPr="00DB41B7" w:rsidRDefault="00504C3D" w:rsidP="00A04883">
      <w:pPr>
        <w:pStyle w:val="ListParagraph"/>
        <w:numPr>
          <w:ilvl w:val="0"/>
          <w:numId w:val="24"/>
        </w:numPr>
      </w:pPr>
      <w:r w:rsidRPr="00DB41B7">
        <w:t>Implement Change Man</w:t>
      </w:r>
      <w:r w:rsidR="00A04883" w:rsidRPr="00DB41B7">
        <w:t>agement/ Communication Strategy</w:t>
      </w:r>
    </w:p>
    <w:p w:rsidR="00504C3D" w:rsidRPr="00DB41B7" w:rsidRDefault="00504C3D" w:rsidP="00A04883">
      <w:pPr>
        <w:pStyle w:val="ListParagraph"/>
        <w:numPr>
          <w:ilvl w:val="0"/>
          <w:numId w:val="24"/>
        </w:numPr>
      </w:pPr>
      <w:r w:rsidRPr="00DB41B7">
        <w:t>Assess progress against DMS using the Results Measurement Framework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224"/>
        <w:rPr>
          <w:rFonts w:cs="Arial"/>
          <w:b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Address data risks and maturity findings</w:t>
      </w:r>
    </w:p>
    <w:p w:rsidR="00504C3D" w:rsidRPr="00DB41B7" w:rsidRDefault="00504C3D" w:rsidP="00B54E28">
      <w:r w:rsidRPr="00DB41B7">
        <w:t>Prioritize and start implementing action plan/mitigation strategies</w:t>
      </w:r>
    </w:p>
    <w:p w:rsidR="000079CB" w:rsidRPr="00DB41B7" w:rsidRDefault="000079CB" w:rsidP="000079CB">
      <w:pPr>
        <w:pStyle w:val="ListParagraph"/>
      </w:pPr>
    </w:p>
    <w:p w:rsidR="00223496" w:rsidRPr="00DB41B7" w:rsidRDefault="00504C3D" w:rsidP="00701B98">
      <w:pPr>
        <w:pStyle w:val="Heading1"/>
        <w:numPr>
          <w:ilvl w:val="0"/>
          <w:numId w:val="37"/>
        </w:numPr>
      </w:pPr>
      <w:r w:rsidRPr="00DB41B7">
        <w:t>Assess and Adjust</w:t>
      </w:r>
    </w:p>
    <w:p w:rsidR="00504C3D" w:rsidRPr="00DB41B7" w:rsidRDefault="00504C3D" w:rsidP="009C7170">
      <w:pPr>
        <w:pStyle w:val="Heading2"/>
      </w:pPr>
      <w:r w:rsidRPr="00DB41B7">
        <w:t xml:space="preserve">Assess outcomes of Data Management Strategy </w:t>
      </w:r>
    </w:p>
    <w:p w:rsidR="00504C3D" w:rsidRPr="00DB41B7" w:rsidRDefault="00504C3D" w:rsidP="00A04883">
      <w:pPr>
        <w:pStyle w:val="ListParagraph"/>
        <w:numPr>
          <w:ilvl w:val="0"/>
          <w:numId w:val="25"/>
        </w:numPr>
      </w:pPr>
      <w:r w:rsidRPr="00DB41B7">
        <w:t>Measure the impact at the employee and organisational levels</w:t>
      </w:r>
    </w:p>
    <w:p w:rsidR="00504C3D" w:rsidRPr="00DB41B7" w:rsidRDefault="00504C3D" w:rsidP="00504C3D">
      <w:pPr>
        <w:autoSpaceDE w:val="0"/>
        <w:autoSpaceDN w:val="0"/>
        <w:adjustRightInd w:val="0"/>
        <w:spacing w:line="360" w:lineRule="auto"/>
        <w:ind w:left="1224"/>
        <w:contextualSpacing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Assess PSC data literacy progress</w:t>
      </w:r>
    </w:p>
    <w:p w:rsidR="00504C3D" w:rsidRPr="00DB41B7" w:rsidRDefault="00504C3D" w:rsidP="00A04883">
      <w:pPr>
        <w:pStyle w:val="ListParagraph"/>
        <w:numPr>
          <w:ilvl w:val="0"/>
          <w:numId w:val="25"/>
        </w:numPr>
      </w:pPr>
      <w:r w:rsidRPr="00DB41B7">
        <w:t>Administer second survey and analyze results</w:t>
      </w:r>
    </w:p>
    <w:p w:rsidR="00504C3D" w:rsidRPr="00DB41B7" w:rsidRDefault="00504C3D" w:rsidP="00A04883">
      <w:pPr>
        <w:pStyle w:val="ListParagraph"/>
        <w:numPr>
          <w:ilvl w:val="0"/>
          <w:numId w:val="25"/>
        </w:numPr>
      </w:pPr>
      <w:r w:rsidRPr="00DB41B7">
        <w:t>Adjust learning, change management and communication strategies</w:t>
      </w:r>
    </w:p>
    <w:p w:rsidR="00504C3D" w:rsidRPr="00DB41B7" w:rsidRDefault="00504C3D" w:rsidP="00504C3D">
      <w:pPr>
        <w:autoSpaceDE w:val="0"/>
        <w:autoSpaceDN w:val="0"/>
        <w:adjustRightInd w:val="0"/>
        <w:spacing w:line="360" w:lineRule="auto"/>
        <w:ind w:left="1224"/>
        <w:contextualSpacing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Align PSC Data Strategy with GC direction</w:t>
      </w:r>
    </w:p>
    <w:p w:rsidR="00504C3D" w:rsidRPr="00DB41B7" w:rsidRDefault="00504C3D" w:rsidP="00A04883">
      <w:pPr>
        <w:pStyle w:val="ListParagraph"/>
        <w:numPr>
          <w:ilvl w:val="0"/>
          <w:numId w:val="26"/>
        </w:numPr>
      </w:pPr>
      <w:r w:rsidRPr="00DB41B7">
        <w:t>Update PSC Data Management Strategy and align with GC direction and PSC needs</w:t>
      </w:r>
    </w:p>
    <w:p w:rsidR="00504C3D" w:rsidRPr="00DB41B7" w:rsidRDefault="00504C3D" w:rsidP="00504C3D">
      <w:pPr>
        <w:pStyle w:val="ListParagraph"/>
        <w:autoSpaceDE w:val="0"/>
        <w:autoSpaceDN w:val="0"/>
        <w:adjustRightInd w:val="0"/>
        <w:spacing w:line="360" w:lineRule="auto"/>
        <w:ind w:left="1152"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Address risks and maturity findings (cont)</w:t>
      </w:r>
    </w:p>
    <w:p w:rsidR="00504C3D" w:rsidRPr="00DB41B7" w:rsidRDefault="00504C3D" w:rsidP="00A04883">
      <w:pPr>
        <w:pStyle w:val="ListParagraph"/>
        <w:numPr>
          <w:ilvl w:val="0"/>
          <w:numId w:val="26"/>
        </w:numPr>
      </w:pPr>
      <w:r w:rsidRPr="00DB41B7">
        <w:t xml:space="preserve">Assess progress </w:t>
      </w:r>
    </w:p>
    <w:p w:rsidR="00504C3D" w:rsidRPr="00DB41B7" w:rsidRDefault="00504C3D" w:rsidP="00A04883">
      <w:pPr>
        <w:pStyle w:val="ListParagraph"/>
        <w:numPr>
          <w:ilvl w:val="0"/>
          <w:numId w:val="26"/>
        </w:numPr>
      </w:pPr>
      <w:r w:rsidRPr="00DB41B7">
        <w:t>Reassess/validate risks</w:t>
      </w:r>
    </w:p>
    <w:p w:rsidR="00504C3D" w:rsidRPr="00DB41B7" w:rsidRDefault="00504C3D" w:rsidP="00A04883">
      <w:pPr>
        <w:pStyle w:val="ListParagraph"/>
        <w:numPr>
          <w:ilvl w:val="0"/>
          <w:numId w:val="26"/>
        </w:numPr>
      </w:pPr>
      <w:r w:rsidRPr="00DB41B7">
        <w:t>Continue/adjust action plan/mitigation strategies activities</w:t>
      </w:r>
    </w:p>
    <w:p w:rsidR="00701B98" w:rsidRDefault="00701B98">
      <w:pPr>
        <w:spacing w:after="160"/>
        <w:rPr>
          <w:rFonts w:eastAsiaTheme="minorEastAsia"/>
          <w:b/>
          <w:spacing w:val="15"/>
        </w:rPr>
      </w:pPr>
      <w:r>
        <w:br w:type="page"/>
      </w:r>
    </w:p>
    <w:p w:rsidR="00504C3D" w:rsidRPr="00DB41B7" w:rsidRDefault="00504C3D" w:rsidP="001A25BB">
      <w:pPr>
        <w:pStyle w:val="Subtitle"/>
      </w:pPr>
      <w:r w:rsidRPr="00DB41B7">
        <w:lastRenderedPageBreak/>
        <w:t>PSC DMS Second Pillar: Data Users</w:t>
      </w:r>
    </w:p>
    <w:p w:rsidR="00504C3D" w:rsidRPr="00DB41B7" w:rsidRDefault="00504C3D" w:rsidP="00701B98">
      <w:pPr>
        <w:pStyle w:val="Heading1"/>
        <w:numPr>
          <w:ilvl w:val="0"/>
          <w:numId w:val="38"/>
        </w:numPr>
      </w:pPr>
      <w:r w:rsidRPr="00DB41B7">
        <w:t>Establish the foundation</w:t>
      </w:r>
    </w:p>
    <w:p w:rsidR="00504C3D" w:rsidRPr="00DB41B7" w:rsidRDefault="00504C3D" w:rsidP="009C7170">
      <w:pPr>
        <w:pStyle w:val="Heading2"/>
      </w:pPr>
      <w:r w:rsidRPr="00DB41B7">
        <w:t>Assess state of data literacy</w:t>
      </w:r>
    </w:p>
    <w:p w:rsidR="00504C3D" w:rsidRPr="00DB41B7" w:rsidRDefault="00504C3D" w:rsidP="00A04883">
      <w:pPr>
        <w:pStyle w:val="ListParagraph"/>
        <w:numPr>
          <w:ilvl w:val="0"/>
          <w:numId w:val="27"/>
        </w:numPr>
      </w:pPr>
      <w:r w:rsidRPr="00DB41B7">
        <w:t>Administer Baseline Survey and conduct analysis</w:t>
      </w:r>
    </w:p>
    <w:p w:rsidR="00504C3D" w:rsidRPr="00DB41B7" w:rsidRDefault="00504C3D" w:rsidP="00A04883">
      <w:pPr>
        <w:pStyle w:val="ListParagraph"/>
        <w:numPr>
          <w:ilvl w:val="0"/>
          <w:numId w:val="27"/>
        </w:numPr>
      </w:pPr>
      <w:r w:rsidRPr="00DB41B7">
        <w:t>Develop PSC Data Literacy Plan</w:t>
      </w:r>
    </w:p>
    <w:p w:rsidR="00504C3D" w:rsidRPr="00DB41B7" w:rsidRDefault="00504C3D" w:rsidP="00A04883">
      <w:pPr>
        <w:pStyle w:val="ListParagraph"/>
        <w:numPr>
          <w:ilvl w:val="0"/>
          <w:numId w:val="27"/>
        </w:numPr>
      </w:pPr>
      <w:r w:rsidRPr="00DB41B7">
        <w:t xml:space="preserve">Start developing data literacy material (one module at a time) </w:t>
      </w:r>
    </w:p>
    <w:p w:rsidR="00504C3D" w:rsidRPr="00DB41B7" w:rsidRDefault="00504C3D" w:rsidP="00A04883">
      <w:pPr>
        <w:pStyle w:val="ListParagraph"/>
        <w:numPr>
          <w:ilvl w:val="0"/>
          <w:numId w:val="27"/>
        </w:numPr>
      </w:pPr>
      <w:r w:rsidRPr="00DB41B7">
        <w:t>Plan for delivery of learning modules</w:t>
      </w:r>
    </w:p>
    <w:p w:rsidR="00B54E28" w:rsidRPr="00DB41B7" w:rsidRDefault="00B54E28" w:rsidP="00B54E28"/>
    <w:p w:rsidR="00504C3D" w:rsidRPr="00DB41B7" w:rsidRDefault="00504C3D" w:rsidP="009C7170">
      <w:pPr>
        <w:pStyle w:val="Heading2"/>
      </w:pPr>
      <w:r w:rsidRPr="00DB41B7">
        <w:t>Release data of value</w:t>
      </w:r>
    </w:p>
    <w:p w:rsidR="00504C3D" w:rsidRPr="00DB41B7" w:rsidRDefault="00504C3D" w:rsidP="00A04883">
      <w:pPr>
        <w:pStyle w:val="ListParagraph"/>
        <w:numPr>
          <w:ilvl w:val="0"/>
          <w:numId w:val="28"/>
        </w:numPr>
      </w:pPr>
      <w:r w:rsidRPr="00DB41B7">
        <w:t>Engage to provide value-added data</w:t>
      </w:r>
    </w:p>
    <w:p w:rsidR="00504C3D" w:rsidRPr="00DB41B7" w:rsidRDefault="00504C3D" w:rsidP="00A04883">
      <w:pPr>
        <w:pStyle w:val="ListParagraph"/>
        <w:numPr>
          <w:ilvl w:val="0"/>
          <w:numId w:val="28"/>
        </w:numPr>
      </w:pPr>
      <w:r w:rsidRPr="00DB41B7">
        <w:t>Update existing open datasets</w:t>
      </w:r>
    </w:p>
    <w:p w:rsidR="00504C3D" w:rsidRPr="00DB41B7" w:rsidRDefault="00504C3D" w:rsidP="00A04883">
      <w:pPr>
        <w:pStyle w:val="ListParagraph"/>
        <w:numPr>
          <w:ilvl w:val="0"/>
          <w:numId w:val="28"/>
        </w:numPr>
      </w:pPr>
      <w:r w:rsidRPr="00DB41B7">
        <w:t>Assess new data holdings for eligibility and release new open datasets</w:t>
      </w:r>
    </w:p>
    <w:p w:rsidR="00504C3D" w:rsidRPr="00DB41B7" w:rsidRDefault="00504C3D" w:rsidP="00A04883">
      <w:pPr>
        <w:pStyle w:val="ListParagraph"/>
        <w:numPr>
          <w:ilvl w:val="0"/>
          <w:numId w:val="28"/>
        </w:numPr>
      </w:pPr>
      <w:r w:rsidRPr="00DB41B7">
        <w:t>Update PSC Data Inventory</w:t>
      </w:r>
    </w:p>
    <w:p w:rsidR="00504C3D" w:rsidRPr="00DB41B7" w:rsidRDefault="00504C3D" w:rsidP="00504C3D">
      <w:pPr>
        <w:autoSpaceDE w:val="0"/>
        <w:autoSpaceDN w:val="0"/>
        <w:adjustRightInd w:val="0"/>
        <w:spacing w:line="360" w:lineRule="auto"/>
        <w:ind w:left="1224"/>
        <w:contextualSpacing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Strengthen analytical capacity</w:t>
      </w:r>
    </w:p>
    <w:p w:rsidR="00504C3D" w:rsidRPr="00DB41B7" w:rsidRDefault="00504C3D" w:rsidP="00A04883">
      <w:pPr>
        <w:pStyle w:val="ListParagraph"/>
        <w:numPr>
          <w:ilvl w:val="0"/>
          <w:numId w:val="29"/>
        </w:numPr>
      </w:pPr>
      <w:r w:rsidRPr="00DB41B7">
        <w:t xml:space="preserve">Develop and implement a competency-based framework for data analysts/scientists </w:t>
      </w:r>
    </w:p>
    <w:p w:rsidR="00504C3D" w:rsidRPr="00DB41B7" w:rsidRDefault="00504C3D" w:rsidP="00A04883">
      <w:pPr>
        <w:pStyle w:val="ListParagraph"/>
        <w:numPr>
          <w:ilvl w:val="0"/>
          <w:numId w:val="29"/>
        </w:numPr>
      </w:pPr>
      <w:r w:rsidRPr="00DB41B7">
        <w:t>Establish PSC Data Lab to support ad</w:t>
      </w:r>
      <w:r w:rsidR="00A04883" w:rsidRPr="00DB41B7">
        <w:t>vanced research and simulations</w:t>
      </w:r>
    </w:p>
    <w:p w:rsidR="00504C3D" w:rsidRPr="00DB41B7" w:rsidRDefault="00504C3D" w:rsidP="00A04883">
      <w:pPr>
        <w:pStyle w:val="ListParagraph"/>
        <w:numPr>
          <w:ilvl w:val="0"/>
          <w:numId w:val="29"/>
        </w:numPr>
      </w:pPr>
      <w:r w:rsidRPr="00DB41B7">
        <w:t>Establish sandbox to test and procure advanced analytical and visualization tools</w:t>
      </w:r>
    </w:p>
    <w:p w:rsidR="00504C3D" w:rsidRPr="00DB41B7" w:rsidRDefault="00504C3D" w:rsidP="00504C3D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Cs w:val="24"/>
        </w:rPr>
      </w:pPr>
    </w:p>
    <w:p w:rsidR="005E7F82" w:rsidRPr="00DB41B7" w:rsidRDefault="00504C3D" w:rsidP="00701B98">
      <w:pPr>
        <w:pStyle w:val="Heading1"/>
        <w:numPr>
          <w:ilvl w:val="0"/>
          <w:numId w:val="38"/>
        </w:numPr>
      </w:pPr>
      <w:r w:rsidRPr="00DB41B7">
        <w:t>Build momentum</w:t>
      </w:r>
    </w:p>
    <w:p w:rsidR="00504C3D" w:rsidRPr="00DB41B7" w:rsidRDefault="00504C3D" w:rsidP="009C7170">
      <w:pPr>
        <w:pStyle w:val="Heading2"/>
      </w:pPr>
      <w:r w:rsidRPr="00DB41B7">
        <w:t>Respond to data users’ needs</w:t>
      </w:r>
    </w:p>
    <w:p w:rsidR="00504C3D" w:rsidRPr="00DB41B7" w:rsidRDefault="00504C3D" w:rsidP="00A04883">
      <w:pPr>
        <w:pStyle w:val="ListParagraph"/>
        <w:numPr>
          <w:ilvl w:val="0"/>
          <w:numId w:val="30"/>
        </w:numPr>
      </w:pPr>
      <w:r w:rsidRPr="00DB41B7">
        <w:t>Deliver PSC Data Literacy Plan (one module at a time)</w:t>
      </w:r>
    </w:p>
    <w:p w:rsidR="00504C3D" w:rsidRPr="00DB41B7" w:rsidRDefault="00504C3D" w:rsidP="00A04883">
      <w:pPr>
        <w:pStyle w:val="ListParagraph"/>
        <w:numPr>
          <w:ilvl w:val="0"/>
          <w:numId w:val="30"/>
        </w:numPr>
      </w:pPr>
      <w:r w:rsidRPr="00DB41B7">
        <w:t>Deliver a series of learning modules to increase awareness and knowledge of data</w:t>
      </w:r>
    </w:p>
    <w:p w:rsidR="00504C3D" w:rsidRPr="00DB41B7" w:rsidRDefault="00504C3D" w:rsidP="00A04883">
      <w:pPr>
        <w:pStyle w:val="ListParagraph"/>
        <w:numPr>
          <w:ilvl w:val="0"/>
          <w:numId w:val="30"/>
        </w:numPr>
      </w:pPr>
      <w:r w:rsidRPr="00DB41B7">
        <w:t>Offer refresher courses on information management</w:t>
      </w:r>
    </w:p>
    <w:p w:rsidR="00504C3D" w:rsidRPr="00DB41B7" w:rsidRDefault="00504C3D" w:rsidP="00504C3D">
      <w:pPr>
        <w:autoSpaceDE w:val="0"/>
        <w:autoSpaceDN w:val="0"/>
        <w:adjustRightInd w:val="0"/>
        <w:spacing w:line="360" w:lineRule="auto"/>
        <w:ind w:left="1224"/>
        <w:contextualSpacing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Enhance access to data</w:t>
      </w:r>
    </w:p>
    <w:p w:rsidR="00504C3D" w:rsidRPr="00DB41B7" w:rsidRDefault="00504C3D" w:rsidP="00A04883">
      <w:pPr>
        <w:pStyle w:val="ListParagraph"/>
        <w:numPr>
          <w:ilvl w:val="0"/>
          <w:numId w:val="31"/>
        </w:numPr>
      </w:pPr>
      <w:r w:rsidRPr="00DB41B7">
        <w:t>Establish a PSC-wide data catalogue</w:t>
      </w:r>
    </w:p>
    <w:p w:rsidR="00504C3D" w:rsidRPr="00DB41B7" w:rsidRDefault="00504C3D" w:rsidP="00A04883">
      <w:pPr>
        <w:pStyle w:val="ListParagraph"/>
        <w:numPr>
          <w:ilvl w:val="0"/>
          <w:numId w:val="31"/>
        </w:numPr>
      </w:pPr>
      <w:r w:rsidRPr="00DB41B7">
        <w:t>Create new open datasets based on engagement findings</w:t>
      </w:r>
    </w:p>
    <w:p w:rsidR="00504C3D" w:rsidRPr="00DB41B7" w:rsidRDefault="00504C3D" w:rsidP="00A04883">
      <w:pPr>
        <w:pStyle w:val="ListParagraph"/>
        <w:numPr>
          <w:ilvl w:val="0"/>
          <w:numId w:val="31"/>
        </w:numPr>
      </w:pPr>
      <w:r w:rsidRPr="00DB41B7">
        <w:t>Promote self-service</w:t>
      </w:r>
    </w:p>
    <w:p w:rsidR="00504C3D" w:rsidRPr="00DB41B7" w:rsidRDefault="00504C3D" w:rsidP="00A04883">
      <w:pPr>
        <w:pStyle w:val="ListParagraph"/>
        <w:numPr>
          <w:ilvl w:val="0"/>
          <w:numId w:val="31"/>
        </w:numPr>
      </w:pPr>
      <w:r w:rsidRPr="00DB41B7">
        <w:t>Develop Data Access and Dissemination Plan</w:t>
      </w:r>
    </w:p>
    <w:p w:rsidR="00504C3D" w:rsidRPr="00DB41B7" w:rsidRDefault="00504C3D" w:rsidP="00A04883">
      <w:pPr>
        <w:pStyle w:val="ListParagraph"/>
        <w:numPr>
          <w:ilvl w:val="0"/>
          <w:numId w:val="31"/>
        </w:numPr>
      </w:pPr>
      <w:r w:rsidRPr="00DB41B7">
        <w:t>Communicate and provide information on new data products</w:t>
      </w:r>
    </w:p>
    <w:p w:rsidR="00504C3D" w:rsidRPr="00DB41B7" w:rsidRDefault="00504C3D" w:rsidP="00CE6DA4">
      <w:pPr>
        <w:autoSpaceDE w:val="0"/>
        <w:autoSpaceDN w:val="0"/>
        <w:adjustRightInd w:val="0"/>
        <w:spacing w:line="360" w:lineRule="auto"/>
        <w:contextualSpacing/>
        <w:rPr>
          <w:rFonts w:cs="Arial"/>
          <w:bCs/>
          <w:color w:val="000000"/>
          <w:szCs w:val="24"/>
        </w:rPr>
      </w:pPr>
    </w:p>
    <w:p w:rsidR="005E7F82" w:rsidRPr="00DB41B7" w:rsidRDefault="00504C3D" w:rsidP="00701B98">
      <w:pPr>
        <w:pStyle w:val="Heading1"/>
        <w:numPr>
          <w:ilvl w:val="0"/>
          <w:numId w:val="38"/>
        </w:numPr>
      </w:pPr>
      <w:r w:rsidRPr="00DB41B7">
        <w:t>Assess and Adjust</w:t>
      </w:r>
    </w:p>
    <w:p w:rsidR="00504C3D" w:rsidRPr="00DB41B7" w:rsidRDefault="00504C3D" w:rsidP="009C7170">
      <w:pPr>
        <w:pStyle w:val="Heading2"/>
      </w:pPr>
      <w:r w:rsidRPr="00DB41B7">
        <w:t xml:space="preserve">Bring data knowledge to a new level </w:t>
      </w:r>
    </w:p>
    <w:p w:rsidR="00504C3D" w:rsidRPr="00DB41B7" w:rsidRDefault="00504C3D" w:rsidP="00A04883">
      <w:pPr>
        <w:pStyle w:val="ListParagraph"/>
        <w:numPr>
          <w:ilvl w:val="0"/>
          <w:numId w:val="32"/>
        </w:numPr>
      </w:pPr>
      <w:r w:rsidRPr="00DB41B7">
        <w:t>Conduct learning activities on how to interpret and apply staffing data, including methodologies, limitations, standards</w:t>
      </w:r>
    </w:p>
    <w:p w:rsidR="00504C3D" w:rsidRPr="00DB41B7" w:rsidRDefault="00504C3D" w:rsidP="00A04883">
      <w:pPr>
        <w:pStyle w:val="ListParagraph"/>
        <w:numPr>
          <w:ilvl w:val="0"/>
          <w:numId w:val="32"/>
        </w:numPr>
      </w:pPr>
      <w:r w:rsidRPr="00DB41B7">
        <w:t>Deliver new products to support emerging data needs</w:t>
      </w:r>
    </w:p>
    <w:p w:rsidR="00A04883" w:rsidRPr="00DB41B7" w:rsidRDefault="00A04883">
      <w:pPr>
        <w:spacing w:after="160"/>
        <w:rPr>
          <w:rFonts w:cs="Arial"/>
          <w:b/>
          <w:bCs/>
          <w:color w:val="000000"/>
          <w:szCs w:val="24"/>
        </w:rPr>
      </w:pPr>
      <w:r w:rsidRPr="00DB41B7">
        <w:rPr>
          <w:rFonts w:cs="Arial"/>
          <w:b/>
          <w:bCs/>
          <w:color w:val="000000"/>
          <w:szCs w:val="24"/>
        </w:rPr>
        <w:br w:type="page"/>
      </w:r>
    </w:p>
    <w:p w:rsidR="00504C3D" w:rsidRPr="00DB41B7" w:rsidRDefault="00504C3D" w:rsidP="001A25BB">
      <w:pPr>
        <w:pStyle w:val="Subtitle"/>
      </w:pPr>
      <w:r w:rsidRPr="00DB41B7">
        <w:lastRenderedPageBreak/>
        <w:t>PSC DMS Third Pillar: Data Infrastructure</w:t>
      </w:r>
    </w:p>
    <w:p w:rsidR="00504C3D" w:rsidRPr="00DB41B7" w:rsidRDefault="00504C3D" w:rsidP="00701B98">
      <w:pPr>
        <w:pStyle w:val="Heading1"/>
        <w:numPr>
          <w:ilvl w:val="0"/>
          <w:numId w:val="39"/>
        </w:numPr>
      </w:pPr>
      <w:r w:rsidRPr="00DB41B7">
        <w:t>Establish the foundation</w:t>
      </w:r>
    </w:p>
    <w:p w:rsidR="005E7F82" w:rsidRPr="00DB41B7" w:rsidRDefault="005E7F82" w:rsidP="00A04883">
      <w:p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cs="Arial"/>
          <w:b/>
          <w:bCs/>
          <w:vanish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Plan future infrastructure</w:t>
      </w:r>
    </w:p>
    <w:p w:rsidR="00504C3D" w:rsidRPr="00DB41B7" w:rsidRDefault="00504C3D" w:rsidP="00DB41B7">
      <w:pPr>
        <w:pStyle w:val="ListParagraph"/>
        <w:numPr>
          <w:ilvl w:val="0"/>
          <w:numId w:val="33"/>
        </w:numPr>
      </w:pPr>
      <w:r w:rsidRPr="00DB41B7">
        <w:t>Initiate feasibility assessment for Data Lake – start with PIMS as a pilot project</w:t>
      </w:r>
    </w:p>
    <w:p w:rsidR="00504C3D" w:rsidRPr="00DB41B7" w:rsidRDefault="00504C3D" w:rsidP="00DB41B7">
      <w:pPr>
        <w:pStyle w:val="ListParagraph"/>
        <w:numPr>
          <w:ilvl w:val="0"/>
          <w:numId w:val="33"/>
        </w:numPr>
      </w:pPr>
      <w:r w:rsidRPr="00DB41B7">
        <w:t xml:space="preserve">Establish project Steering Committee for Data Lake </w:t>
      </w:r>
    </w:p>
    <w:p w:rsidR="00504C3D" w:rsidRPr="00DB41B7" w:rsidRDefault="00504C3D" w:rsidP="00DB41B7">
      <w:pPr>
        <w:pStyle w:val="ListParagraph"/>
        <w:numPr>
          <w:ilvl w:val="0"/>
          <w:numId w:val="33"/>
        </w:numPr>
      </w:pPr>
      <w:r w:rsidRPr="00DB41B7">
        <w:t>Conduct departmental consultations</w:t>
      </w:r>
    </w:p>
    <w:p w:rsidR="00504C3D" w:rsidRPr="00DB41B7" w:rsidRDefault="00504C3D" w:rsidP="00504C3D">
      <w:pPr>
        <w:autoSpaceDE w:val="0"/>
        <w:autoSpaceDN w:val="0"/>
        <w:adjustRightInd w:val="0"/>
        <w:spacing w:line="360" w:lineRule="auto"/>
        <w:ind w:left="1110"/>
        <w:contextualSpacing/>
        <w:rPr>
          <w:rFonts w:cs="Arial"/>
          <w:bCs/>
          <w:color w:val="000000"/>
          <w:szCs w:val="24"/>
        </w:rPr>
      </w:pPr>
    </w:p>
    <w:p w:rsidR="00504C3D" w:rsidRPr="00DB41B7" w:rsidRDefault="00504C3D" w:rsidP="009C7170">
      <w:pPr>
        <w:pStyle w:val="Heading2"/>
      </w:pPr>
      <w:r w:rsidRPr="00DB41B7">
        <w:t>Know the data we hold</w:t>
      </w:r>
    </w:p>
    <w:p w:rsidR="00504C3D" w:rsidRPr="00DB41B7" w:rsidRDefault="00504C3D" w:rsidP="00DB41B7">
      <w:pPr>
        <w:pStyle w:val="ListParagraph"/>
        <w:numPr>
          <w:ilvl w:val="0"/>
          <w:numId w:val="34"/>
        </w:numPr>
      </w:pPr>
      <w:r w:rsidRPr="00DB41B7">
        <w:t>Initiate PSC Corporate Data Asset Inventory (‘the untouchables’) – start with PIMS</w:t>
      </w:r>
    </w:p>
    <w:p w:rsidR="00504C3D" w:rsidRPr="00DB41B7" w:rsidRDefault="00504C3D" w:rsidP="00DB41B7">
      <w:pPr>
        <w:pStyle w:val="ListParagraph"/>
        <w:numPr>
          <w:ilvl w:val="0"/>
          <w:numId w:val="34"/>
        </w:numPr>
      </w:pPr>
      <w:r w:rsidRPr="00DB41B7">
        <w:t>Document data life cycle - start with PIMS</w:t>
      </w:r>
    </w:p>
    <w:p w:rsidR="005E7F82" w:rsidRPr="00DB41B7" w:rsidRDefault="00504C3D" w:rsidP="00701B98">
      <w:pPr>
        <w:pStyle w:val="Heading1"/>
        <w:numPr>
          <w:ilvl w:val="0"/>
          <w:numId w:val="39"/>
        </w:numPr>
      </w:pPr>
      <w:r w:rsidRPr="00DB41B7">
        <w:t>Built Momentum</w:t>
      </w:r>
    </w:p>
    <w:p w:rsidR="00504C3D" w:rsidRPr="00DB41B7" w:rsidRDefault="00504C3D" w:rsidP="009C7170">
      <w:pPr>
        <w:pStyle w:val="Heading2"/>
      </w:pPr>
      <w:r w:rsidRPr="00DB41B7">
        <w:t>Implement Data Lake environment</w:t>
      </w:r>
    </w:p>
    <w:p w:rsidR="00504C3D" w:rsidRPr="00DB41B7" w:rsidRDefault="00504C3D" w:rsidP="00DB41B7">
      <w:pPr>
        <w:pStyle w:val="ListParagraph"/>
        <w:numPr>
          <w:ilvl w:val="0"/>
          <w:numId w:val="35"/>
        </w:numPr>
      </w:pPr>
      <w:r w:rsidRPr="00DB41B7">
        <w:t>Build on pilot project to create new environment</w:t>
      </w:r>
    </w:p>
    <w:p w:rsidR="00B54E28" w:rsidRPr="00DB41B7" w:rsidRDefault="00B54E28" w:rsidP="00B54E28"/>
    <w:p w:rsidR="00504C3D" w:rsidRPr="00DB41B7" w:rsidRDefault="00504C3D" w:rsidP="009C7170">
      <w:pPr>
        <w:pStyle w:val="Heading2"/>
      </w:pPr>
      <w:r w:rsidRPr="00DB41B7">
        <w:t>Make the new environment work</w:t>
      </w:r>
    </w:p>
    <w:p w:rsidR="00504C3D" w:rsidRPr="00DB41B7" w:rsidRDefault="00504C3D" w:rsidP="00DB41B7">
      <w:pPr>
        <w:pStyle w:val="ListParagraph"/>
        <w:numPr>
          <w:ilvl w:val="0"/>
          <w:numId w:val="35"/>
        </w:numPr>
      </w:pPr>
      <w:r w:rsidRPr="00DB41B7">
        <w:t>Establish Master Data Management Plan</w:t>
      </w:r>
    </w:p>
    <w:p w:rsidR="00504C3D" w:rsidRPr="00DB41B7" w:rsidRDefault="00504C3D" w:rsidP="00DB41B7">
      <w:pPr>
        <w:pStyle w:val="ListParagraph"/>
        <w:numPr>
          <w:ilvl w:val="0"/>
          <w:numId w:val="35"/>
        </w:numPr>
      </w:pPr>
      <w:r w:rsidRPr="00DB41B7">
        <w:t>Implement PSC data dictionary solution</w:t>
      </w:r>
    </w:p>
    <w:p w:rsidR="00504C3D" w:rsidRPr="00DB41B7" w:rsidRDefault="00504C3D" w:rsidP="00DB41B7">
      <w:pPr>
        <w:pStyle w:val="ListParagraph"/>
        <w:numPr>
          <w:ilvl w:val="0"/>
          <w:numId w:val="35"/>
        </w:numPr>
      </w:pPr>
      <w:r w:rsidRPr="00DB41B7">
        <w:t>Connect with Next Gen HR data requirements to ensure operability</w:t>
      </w:r>
    </w:p>
    <w:p w:rsidR="00504C3D" w:rsidRPr="00DB41B7" w:rsidRDefault="00504C3D" w:rsidP="00DB41B7">
      <w:pPr>
        <w:pStyle w:val="ListParagraph"/>
        <w:numPr>
          <w:ilvl w:val="0"/>
          <w:numId w:val="35"/>
        </w:numPr>
      </w:pPr>
      <w:r w:rsidRPr="00DB41B7">
        <w:t>Explore new solutions for data visualization through the renewal of Impromptu</w:t>
      </w:r>
    </w:p>
    <w:p w:rsidR="00504C3D" w:rsidRPr="00DB41B7" w:rsidRDefault="00504C3D" w:rsidP="00DB41B7">
      <w:pPr>
        <w:pStyle w:val="ListParagraph"/>
        <w:numPr>
          <w:ilvl w:val="0"/>
          <w:numId w:val="35"/>
        </w:numPr>
      </w:pPr>
      <w:r w:rsidRPr="00DB41B7">
        <w:t>Grow PSC Corporate Data Asset Inventory to other data holdings including Departmental Results Framework indicators</w:t>
      </w:r>
    </w:p>
    <w:p w:rsidR="00223496" w:rsidRPr="00DB41B7" w:rsidRDefault="00504C3D" w:rsidP="00701B98">
      <w:pPr>
        <w:pStyle w:val="Heading1"/>
        <w:numPr>
          <w:ilvl w:val="0"/>
          <w:numId w:val="39"/>
        </w:numPr>
      </w:pPr>
      <w:r w:rsidRPr="00DB41B7">
        <w:t>Assess and Adjust</w:t>
      </w:r>
    </w:p>
    <w:p w:rsidR="00504C3D" w:rsidRPr="00DB41B7" w:rsidRDefault="00504C3D" w:rsidP="009C7170">
      <w:pPr>
        <w:pStyle w:val="Heading2"/>
      </w:pPr>
      <w:r w:rsidRPr="00DB41B7">
        <w:t>Leverage Data Lake</w:t>
      </w:r>
    </w:p>
    <w:p w:rsidR="00504C3D" w:rsidRPr="00DB41B7" w:rsidRDefault="00504C3D" w:rsidP="00DB41B7">
      <w:pPr>
        <w:pStyle w:val="ListParagraph"/>
        <w:numPr>
          <w:ilvl w:val="0"/>
          <w:numId w:val="36"/>
        </w:numPr>
      </w:pPr>
      <w:r w:rsidRPr="00DB41B7">
        <w:t>Onboard new data holdings in Data Lake</w:t>
      </w:r>
    </w:p>
    <w:p w:rsidR="00B54E28" w:rsidRPr="00DB41B7" w:rsidRDefault="00B54E28" w:rsidP="00B54E28"/>
    <w:p w:rsidR="00504C3D" w:rsidRPr="00DB41B7" w:rsidRDefault="00504C3D" w:rsidP="009C7170">
      <w:pPr>
        <w:pStyle w:val="Heading2"/>
      </w:pPr>
      <w:r w:rsidRPr="00DB41B7">
        <w:t>Expand data management practices</w:t>
      </w:r>
    </w:p>
    <w:p w:rsidR="00504C3D" w:rsidRPr="00DB41B7" w:rsidRDefault="00504C3D" w:rsidP="00DB41B7">
      <w:pPr>
        <w:pStyle w:val="ListParagraph"/>
        <w:numPr>
          <w:ilvl w:val="0"/>
          <w:numId w:val="36"/>
        </w:numPr>
      </w:pPr>
      <w:r w:rsidRPr="00DB41B7">
        <w:t>Establish organizational norms regarding the capture and use of metadata</w:t>
      </w:r>
    </w:p>
    <w:p w:rsidR="00083188" w:rsidRPr="00DB41B7" w:rsidRDefault="00504C3D" w:rsidP="00504C3D">
      <w:pPr>
        <w:pStyle w:val="ListParagraph"/>
        <w:numPr>
          <w:ilvl w:val="0"/>
          <w:numId w:val="36"/>
        </w:numPr>
      </w:pPr>
      <w:r w:rsidRPr="00DB41B7">
        <w:t>Implement and standardize Reference Tables for Classifications, Regions and Departments</w:t>
      </w:r>
      <w:bookmarkStart w:id="3" w:name="_GoBack"/>
      <w:bookmarkEnd w:id="3"/>
    </w:p>
    <w:sectPr w:rsidR="00083188" w:rsidRPr="00DB41B7" w:rsidSect="00BE075C">
      <w:headerReference w:type="default" r:id="rId10"/>
      <w:footerReference w:type="default" r:id="rId11"/>
      <w:pgSz w:w="24480" w:h="15840" w:orient="landscape" w:code="3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C8" w:rsidRDefault="004C6EC8" w:rsidP="00504C3D">
      <w:pPr>
        <w:spacing w:line="240" w:lineRule="auto"/>
      </w:pPr>
      <w:r>
        <w:separator/>
      </w:r>
    </w:p>
  </w:endnote>
  <w:endnote w:type="continuationSeparator" w:id="0">
    <w:p w:rsidR="004C6EC8" w:rsidRDefault="004C6EC8" w:rsidP="00504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502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075C" w:rsidRDefault="00BE07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D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075C" w:rsidRDefault="00BE0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C8" w:rsidRDefault="004C6EC8" w:rsidP="00504C3D">
      <w:pPr>
        <w:spacing w:line="240" w:lineRule="auto"/>
      </w:pPr>
      <w:r>
        <w:separator/>
      </w:r>
    </w:p>
  </w:footnote>
  <w:footnote w:type="continuationSeparator" w:id="0">
    <w:p w:rsidR="004C6EC8" w:rsidRDefault="004C6EC8" w:rsidP="00504C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883" w:rsidRDefault="00A04883">
    <w:pPr>
      <w:pStyle w:val="Header"/>
    </w:pPr>
  </w:p>
  <w:p w:rsidR="00A04883" w:rsidRDefault="00A048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50F5"/>
    <w:multiLevelType w:val="hybridMultilevel"/>
    <w:tmpl w:val="06F090C6"/>
    <w:lvl w:ilvl="0" w:tplc="7DACD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A536C"/>
    <w:multiLevelType w:val="hybridMultilevel"/>
    <w:tmpl w:val="444692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87D"/>
    <w:multiLevelType w:val="hybridMultilevel"/>
    <w:tmpl w:val="673CC9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A0EE5"/>
    <w:multiLevelType w:val="hybridMultilevel"/>
    <w:tmpl w:val="4418D5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5116"/>
    <w:multiLevelType w:val="hybridMultilevel"/>
    <w:tmpl w:val="17AED9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C2CC3"/>
    <w:multiLevelType w:val="multilevel"/>
    <w:tmpl w:val="FF004FF4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32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02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160"/>
      </w:pPr>
      <w:rPr>
        <w:rFonts w:hint="default"/>
      </w:rPr>
    </w:lvl>
  </w:abstractNum>
  <w:abstractNum w:abstractNumId="6" w15:restartNumberingAfterBreak="0">
    <w:nsid w:val="137D5FE3"/>
    <w:multiLevelType w:val="multilevel"/>
    <w:tmpl w:val="FF004FF4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232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02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160"/>
      </w:pPr>
      <w:rPr>
        <w:rFonts w:hint="default"/>
      </w:rPr>
    </w:lvl>
  </w:abstractNum>
  <w:abstractNum w:abstractNumId="7" w15:restartNumberingAfterBreak="0">
    <w:nsid w:val="177F10D3"/>
    <w:multiLevelType w:val="hybridMultilevel"/>
    <w:tmpl w:val="54F6D408"/>
    <w:lvl w:ilvl="0" w:tplc="C78E0932">
      <w:start w:val="1"/>
      <w:numFmt w:val="decimal"/>
      <w:pStyle w:val="Heading1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897294"/>
    <w:multiLevelType w:val="hybridMultilevel"/>
    <w:tmpl w:val="2F7AAF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3525F"/>
    <w:multiLevelType w:val="multilevel"/>
    <w:tmpl w:val="97004FEA"/>
    <w:lvl w:ilvl="0">
      <w:start w:val="1"/>
      <w:numFmt w:val="bullet"/>
      <w:lvlText w:val=""/>
      <w:lvlJc w:val="left"/>
      <w:pPr>
        <w:ind w:left="111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02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2160"/>
      </w:pPr>
      <w:rPr>
        <w:rFonts w:hint="default"/>
      </w:rPr>
    </w:lvl>
  </w:abstractNum>
  <w:abstractNum w:abstractNumId="10" w15:restartNumberingAfterBreak="0">
    <w:nsid w:val="1B874F6A"/>
    <w:multiLevelType w:val="hybridMultilevel"/>
    <w:tmpl w:val="02FAA7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36EBA"/>
    <w:multiLevelType w:val="multilevel"/>
    <w:tmpl w:val="2996C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196167"/>
    <w:multiLevelType w:val="multilevel"/>
    <w:tmpl w:val="E66EB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792" w:hanging="432"/>
      </w:pPr>
      <w:rPr>
        <w:rFonts w:ascii="Arial" w:eastAsiaTheme="minorHAnsi" w:hAnsi="Arial" w:cs="Arial" w:hint="default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F000715"/>
    <w:multiLevelType w:val="hybridMultilevel"/>
    <w:tmpl w:val="D00601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A197A"/>
    <w:multiLevelType w:val="hybridMultilevel"/>
    <w:tmpl w:val="2194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A316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D955DAC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59289A"/>
    <w:multiLevelType w:val="hybridMultilevel"/>
    <w:tmpl w:val="9E747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B5CDF"/>
    <w:multiLevelType w:val="hybridMultilevel"/>
    <w:tmpl w:val="3BEA1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7405A7"/>
    <w:multiLevelType w:val="hybridMultilevel"/>
    <w:tmpl w:val="545CD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8070B"/>
    <w:multiLevelType w:val="hybridMultilevel"/>
    <w:tmpl w:val="66B0C9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C1A11"/>
    <w:multiLevelType w:val="multilevel"/>
    <w:tmpl w:val="2996C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264906"/>
    <w:multiLevelType w:val="hybridMultilevel"/>
    <w:tmpl w:val="8F6E0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1A91"/>
    <w:multiLevelType w:val="hybridMultilevel"/>
    <w:tmpl w:val="A35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D5E0F"/>
    <w:multiLevelType w:val="hybridMultilevel"/>
    <w:tmpl w:val="6F601FC8"/>
    <w:lvl w:ilvl="0" w:tplc="6D48CF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971EF9"/>
    <w:multiLevelType w:val="hybridMultilevel"/>
    <w:tmpl w:val="CEA2D2F4"/>
    <w:lvl w:ilvl="0" w:tplc="1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2D56C0F"/>
    <w:multiLevelType w:val="multilevel"/>
    <w:tmpl w:val="B3845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510DB5"/>
    <w:multiLevelType w:val="hybridMultilevel"/>
    <w:tmpl w:val="4B544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E6FFE"/>
    <w:multiLevelType w:val="hybridMultilevel"/>
    <w:tmpl w:val="908E1B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10FDD"/>
    <w:multiLevelType w:val="multilevel"/>
    <w:tmpl w:val="B38451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4E15CB9"/>
    <w:multiLevelType w:val="hybridMultilevel"/>
    <w:tmpl w:val="ED36D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5788F"/>
    <w:multiLevelType w:val="hybridMultilevel"/>
    <w:tmpl w:val="4FD2B5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92C1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2E0431"/>
    <w:multiLevelType w:val="hybridMultilevel"/>
    <w:tmpl w:val="B2CCC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10B80"/>
    <w:multiLevelType w:val="hybridMultilevel"/>
    <w:tmpl w:val="A77CD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D324B"/>
    <w:multiLevelType w:val="hybridMultilevel"/>
    <w:tmpl w:val="9EBE7B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24D86"/>
    <w:multiLevelType w:val="hybridMultilevel"/>
    <w:tmpl w:val="DECE0FC2"/>
    <w:lvl w:ilvl="0" w:tplc="EE62AF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5783B"/>
    <w:multiLevelType w:val="multilevel"/>
    <w:tmpl w:val="4BBE09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9"/>
  </w:num>
  <w:num w:numId="5">
    <w:abstractNumId w:val="26"/>
  </w:num>
  <w:num w:numId="6">
    <w:abstractNumId w:val="12"/>
  </w:num>
  <w:num w:numId="7">
    <w:abstractNumId w:val="25"/>
  </w:num>
  <w:num w:numId="8">
    <w:abstractNumId w:val="16"/>
  </w:num>
  <w:num w:numId="9">
    <w:abstractNumId w:val="9"/>
  </w:num>
  <w:num w:numId="10">
    <w:abstractNumId w:val="37"/>
  </w:num>
  <w:num w:numId="11">
    <w:abstractNumId w:val="5"/>
  </w:num>
  <w:num w:numId="12">
    <w:abstractNumId w:val="6"/>
  </w:num>
  <w:num w:numId="13">
    <w:abstractNumId w:val="7"/>
  </w:num>
  <w:num w:numId="14">
    <w:abstractNumId w:val="32"/>
  </w:num>
  <w:num w:numId="15">
    <w:abstractNumId w:val="7"/>
    <w:lvlOverride w:ilvl="0">
      <w:startOverride w:val="1"/>
    </w:lvlOverride>
  </w:num>
  <w:num w:numId="16">
    <w:abstractNumId w:val="21"/>
  </w:num>
  <w:num w:numId="17">
    <w:abstractNumId w:val="36"/>
  </w:num>
  <w:num w:numId="18">
    <w:abstractNumId w:val="8"/>
  </w:num>
  <w:num w:numId="19">
    <w:abstractNumId w:val="34"/>
  </w:num>
  <w:num w:numId="20">
    <w:abstractNumId w:val="33"/>
  </w:num>
  <w:num w:numId="21">
    <w:abstractNumId w:val="23"/>
  </w:num>
  <w:num w:numId="22">
    <w:abstractNumId w:val="2"/>
  </w:num>
  <w:num w:numId="23">
    <w:abstractNumId w:val="3"/>
  </w:num>
  <w:num w:numId="24">
    <w:abstractNumId w:val="10"/>
  </w:num>
  <w:num w:numId="25">
    <w:abstractNumId w:val="28"/>
  </w:num>
  <w:num w:numId="26">
    <w:abstractNumId w:val="14"/>
  </w:num>
  <w:num w:numId="27">
    <w:abstractNumId w:val="19"/>
  </w:num>
  <w:num w:numId="28">
    <w:abstractNumId w:val="17"/>
  </w:num>
  <w:num w:numId="29">
    <w:abstractNumId w:val="27"/>
  </w:num>
  <w:num w:numId="30">
    <w:abstractNumId w:val="22"/>
  </w:num>
  <w:num w:numId="31">
    <w:abstractNumId w:val="4"/>
  </w:num>
  <w:num w:numId="32">
    <w:abstractNumId w:val="30"/>
  </w:num>
  <w:num w:numId="33">
    <w:abstractNumId w:val="1"/>
  </w:num>
  <w:num w:numId="34">
    <w:abstractNumId w:val="18"/>
  </w:num>
  <w:num w:numId="35">
    <w:abstractNumId w:val="35"/>
  </w:num>
  <w:num w:numId="36">
    <w:abstractNumId w:val="20"/>
  </w:num>
  <w:num w:numId="37">
    <w:abstractNumId w:val="31"/>
  </w:num>
  <w:num w:numId="38">
    <w:abstractNumId w:val="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3D"/>
    <w:rsid w:val="000079CB"/>
    <w:rsid w:val="001A25BB"/>
    <w:rsid w:val="00223496"/>
    <w:rsid w:val="002A209D"/>
    <w:rsid w:val="002D002A"/>
    <w:rsid w:val="004C6EC8"/>
    <w:rsid w:val="00504C3D"/>
    <w:rsid w:val="0055483D"/>
    <w:rsid w:val="005E7F82"/>
    <w:rsid w:val="006D323C"/>
    <w:rsid w:val="00701B98"/>
    <w:rsid w:val="007535A8"/>
    <w:rsid w:val="0076000B"/>
    <w:rsid w:val="007B4E6B"/>
    <w:rsid w:val="008F2D1C"/>
    <w:rsid w:val="0091523A"/>
    <w:rsid w:val="009C7170"/>
    <w:rsid w:val="00A04883"/>
    <w:rsid w:val="00A62DD9"/>
    <w:rsid w:val="00A70023"/>
    <w:rsid w:val="00B54E28"/>
    <w:rsid w:val="00BE075C"/>
    <w:rsid w:val="00CA2B49"/>
    <w:rsid w:val="00CB0237"/>
    <w:rsid w:val="00CE6DA4"/>
    <w:rsid w:val="00DA48CC"/>
    <w:rsid w:val="00DB41B7"/>
    <w:rsid w:val="00E70FD3"/>
    <w:rsid w:val="00EC4C2A"/>
    <w:rsid w:val="00EE1D1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97FC609-8C47-422B-A176-CA09A11E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E28"/>
    <w:pPr>
      <w:spacing w:after="0"/>
    </w:pPr>
    <w:rPr>
      <w:rFonts w:ascii="Arial" w:hAnsi="Arial"/>
      <w:color w:val="000000" w:themeColor="text1"/>
      <w:sz w:val="24"/>
    </w:rPr>
  </w:style>
  <w:style w:type="paragraph" w:styleId="Heading1">
    <w:name w:val="heading 1"/>
    <w:basedOn w:val="Normal"/>
    <w:next w:val="ListParagraph"/>
    <w:link w:val="Heading1Char"/>
    <w:uiPriority w:val="9"/>
    <w:qFormat/>
    <w:rsid w:val="00FB17C2"/>
    <w:pPr>
      <w:keepNext/>
      <w:keepLines/>
      <w:numPr>
        <w:numId w:val="13"/>
      </w:numPr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C717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C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C3D"/>
  </w:style>
  <w:style w:type="paragraph" w:styleId="Footer">
    <w:name w:val="footer"/>
    <w:basedOn w:val="Normal"/>
    <w:link w:val="FooterChar"/>
    <w:uiPriority w:val="99"/>
    <w:unhideWhenUsed/>
    <w:rsid w:val="00504C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C3D"/>
  </w:style>
  <w:style w:type="character" w:customStyle="1" w:styleId="Heading1Char">
    <w:name w:val="Heading 1 Char"/>
    <w:basedOn w:val="DefaultParagraphFont"/>
    <w:link w:val="Heading1"/>
    <w:uiPriority w:val="9"/>
    <w:rsid w:val="00FB17C2"/>
    <w:rPr>
      <w:rFonts w:ascii="Arial" w:eastAsiaTheme="majorEastAsia" w:hAnsi="Arial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504C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F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FD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70023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023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5BB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25BB"/>
    <w:rPr>
      <w:rFonts w:ascii="Arial" w:eastAsiaTheme="minorEastAsia" w:hAnsi="Arial"/>
      <w:b/>
      <w:color w:val="000000" w:themeColor="text1"/>
      <w:spacing w:val="15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7170"/>
    <w:rPr>
      <w:rFonts w:ascii="Arial" w:eastAsiaTheme="majorEastAsia" w:hAnsi="Arial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DB41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4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1111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724A-13FA-4510-BF1A-D72A47677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CFP-PSC</Company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Hassainya</dc:creator>
  <cp:keywords/>
  <dc:description/>
  <cp:lastModifiedBy>Snjezana Kulic</cp:lastModifiedBy>
  <cp:revision>2</cp:revision>
  <cp:lastPrinted>2020-01-17T15:10:00Z</cp:lastPrinted>
  <dcterms:created xsi:type="dcterms:W3CDTF">2020-07-07T19:47:00Z</dcterms:created>
  <dcterms:modified xsi:type="dcterms:W3CDTF">2020-07-07T19:47:00Z</dcterms:modified>
</cp:coreProperties>
</file>