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6A3" w:rsidRPr="009715D6" w:rsidRDefault="00CD56A3" w:rsidP="00CD56A3">
      <w:pPr>
        <w:pStyle w:val="Title"/>
        <w:rPr>
          <w:b w:val="0"/>
          <w:lang w:val="fr-CA"/>
        </w:rPr>
      </w:pPr>
      <w:bookmarkStart w:id="0" w:name="_GoBack"/>
      <w:bookmarkEnd w:id="0"/>
      <w:r w:rsidRPr="009715D6">
        <w:rPr>
          <w:lang w:val="fr-CA"/>
        </w:rPr>
        <w:t>Plan de mise en œuvre de la Stratégie de gestion des données (SGD) de la CFP : les bonnes données, la bonne façon, entre les bonnes mains, au bon moment</w:t>
      </w:r>
    </w:p>
    <w:p w:rsidR="00CD56A3" w:rsidRPr="009715D6" w:rsidRDefault="0084354D" w:rsidP="00CD56A3">
      <w:pPr>
        <w:pStyle w:val="Title"/>
        <w:rPr>
          <w:lang w:val="fr-CA"/>
        </w:rPr>
      </w:pPr>
      <w:hyperlink w:anchor="_Version_descriptive" w:history="1">
        <w:r w:rsidR="00CD56A3" w:rsidRPr="009715D6">
          <w:rPr>
            <w:rStyle w:val="Hyperlink"/>
            <w:lang w:val="fr-CA"/>
          </w:rPr>
          <w:t>Version descriptive</w:t>
        </w:r>
      </w:hyperlink>
    </w:p>
    <w:p w:rsidR="000A7188" w:rsidRPr="009715D6" w:rsidRDefault="0084354D">
      <w:pPr>
        <w:rPr>
          <w:lang w:val="fr-CA"/>
        </w:rPr>
      </w:pPr>
      <w:r>
        <w:rPr>
          <w:noProof/>
          <w:lang w:val="fr-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Vue d'ensemble de la Stratégie de gestion des données (SGD) de la CFP : les bonnes données, la bonne façon, entre les bonnes mains, au bon moment" style="position:absolute;margin-left:94.5pt;margin-top:7.2pt;width:941.05pt;height:656pt;z-index:251659264;mso-position-horizontal-relative:text;mso-position-vertical-relative:text">
            <v:imagedata r:id="rId8" o:title=""/>
          </v:shape>
          <o:OLEObject Type="Embed" ProgID="Visio.Drawing.15" ShapeID="_x0000_s1026" DrawAspect="Content" ObjectID="_1655642070" r:id="rId9"/>
        </w:object>
      </w:r>
      <w:r w:rsidR="000A7188" w:rsidRPr="009715D6">
        <w:rPr>
          <w:lang w:val="fr-CA"/>
        </w:rPr>
        <w:br w:type="page"/>
      </w:r>
    </w:p>
    <w:p w:rsidR="000A7188" w:rsidRPr="009715D6" w:rsidRDefault="00444BAE" w:rsidP="00CD56A3">
      <w:pPr>
        <w:pStyle w:val="Heading1"/>
        <w:numPr>
          <w:ilvl w:val="0"/>
          <w:numId w:val="0"/>
        </w:numPr>
        <w:ind w:left="720" w:hanging="360"/>
        <w:rPr>
          <w:lang w:val="fr-CA"/>
        </w:rPr>
      </w:pPr>
      <w:bookmarkStart w:id="1" w:name="_Version_descriptive"/>
      <w:bookmarkEnd w:id="1"/>
      <w:r w:rsidRPr="009715D6">
        <w:rPr>
          <w:lang w:val="fr-CA"/>
        </w:rPr>
        <w:lastRenderedPageBreak/>
        <w:t xml:space="preserve">Version </w:t>
      </w:r>
      <w:r w:rsidR="00CD56A3" w:rsidRPr="009715D6">
        <w:rPr>
          <w:lang w:val="fr-CA"/>
        </w:rPr>
        <w:t>descriptive</w:t>
      </w:r>
    </w:p>
    <w:p w:rsidR="000A7188" w:rsidRPr="009715D6" w:rsidRDefault="000A7188" w:rsidP="00444BAE">
      <w:pPr>
        <w:pStyle w:val="Title"/>
        <w:rPr>
          <w:b w:val="0"/>
          <w:lang w:val="fr-CA"/>
        </w:rPr>
      </w:pPr>
      <w:r w:rsidRPr="009715D6">
        <w:rPr>
          <w:lang w:val="fr-CA"/>
        </w:rPr>
        <w:t>Plan de mise en œuvre de la Stratégie de gestion des données (SGD) de la CFP : les bonnes données, la bonne façon, entre les bonnes mains, au bon moment</w:t>
      </w:r>
    </w:p>
    <w:p w:rsidR="000A7188" w:rsidRPr="009715D6" w:rsidRDefault="000A7188" w:rsidP="000A7188">
      <w:pPr>
        <w:spacing w:line="360" w:lineRule="auto"/>
        <w:rPr>
          <w:rFonts w:cs="Arial"/>
          <w:szCs w:val="24"/>
          <w:lang w:val="fr-CA"/>
        </w:rPr>
      </w:pPr>
    </w:p>
    <w:p w:rsidR="000A7188" w:rsidRPr="009715D6" w:rsidRDefault="000A7188" w:rsidP="00FC7CF1">
      <w:pPr>
        <w:pStyle w:val="Heading1"/>
        <w:numPr>
          <w:ilvl w:val="0"/>
          <w:numId w:val="0"/>
        </w:numPr>
        <w:rPr>
          <w:lang w:val="fr-CA"/>
        </w:rPr>
      </w:pPr>
      <w:r w:rsidRPr="009715D6">
        <w:rPr>
          <w:lang w:val="fr-CA"/>
        </w:rPr>
        <w:t>Résultats souhaités :</w:t>
      </w:r>
    </w:p>
    <w:p w:rsidR="000A7188" w:rsidRPr="009715D6" w:rsidRDefault="000A7188" w:rsidP="009715D6">
      <w:pPr>
        <w:pStyle w:val="ListParagraph"/>
        <w:numPr>
          <w:ilvl w:val="0"/>
          <w:numId w:val="26"/>
        </w:numPr>
        <w:rPr>
          <w:lang w:val="fr-CA"/>
        </w:rPr>
      </w:pPr>
      <w:r w:rsidRPr="009715D6">
        <w:rPr>
          <w:lang w:val="fr-CA"/>
        </w:rPr>
        <w:t>Gouvernance existe au bon niveau afin d’assurer que les données sont gérées de façon globale comme un actif stratégique</w:t>
      </w:r>
    </w:p>
    <w:p w:rsidR="000A7188" w:rsidRPr="009715D6" w:rsidRDefault="000A7188" w:rsidP="009715D6">
      <w:pPr>
        <w:pStyle w:val="ListParagraph"/>
        <w:numPr>
          <w:ilvl w:val="0"/>
          <w:numId w:val="26"/>
        </w:numPr>
        <w:rPr>
          <w:lang w:val="fr-CA"/>
        </w:rPr>
      </w:pPr>
      <w:r w:rsidRPr="009715D6">
        <w:rPr>
          <w:lang w:val="fr-CA"/>
        </w:rPr>
        <w:t xml:space="preserve">Données en tant qu’actif : la CFP dispose des données dont elle a besoin, lesquelles sont propres à l’usage et à la disponibilité </w:t>
      </w:r>
    </w:p>
    <w:p w:rsidR="000A7188" w:rsidRPr="009715D6" w:rsidRDefault="000A7188" w:rsidP="009715D6">
      <w:pPr>
        <w:pStyle w:val="ListParagraph"/>
        <w:numPr>
          <w:ilvl w:val="0"/>
          <w:numId w:val="26"/>
        </w:numPr>
        <w:rPr>
          <w:lang w:val="fr-CA"/>
        </w:rPr>
      </w:pPr>
      <w:r w:rsidRPr="009715D6">
        <w:rPr>
          <w:lang w:val="fr-CA"/>
        </w:rPr>
        <w:t>Gens et culture : les employés de la CFP ont accès aux données dont ils ont besoin et possèdent le talent et la capacité d’utiliser, de gérer, d’interpréter et de comprendre les données afin d’optimiser leur valeur</w:t>
      </w:r>
    </w:p>
    <w:p w:rsidR="000A7188" w:rsidRPr="009715D6" w:rsidRDefault="000A7188" w:rsidP="009715D6">
      <w:pPr>
        <w:pStyle w:val="ListParagraph"/>
        <w:numPr>
          <w:ilvl w:val="0"/>
          <w:numId w:val="26"/>
        </w:numPr>
        <w:rPr>
          <w:lang w:val="fr-CA"/>
        </w:rPr>
      </w:pPr>
      <w:r w:rsidRPr="009715D6">
        <w:rPr>
          <w:lang w:val="fr-CA"/>
        </w:rPr>
        <w:t>Infrastructure : la CFP dispose de l’infrastructure et des outils pour faciliter la gestion et l’analyse des données</w:t>
      </w:r>
      <w:r w:rsidRPr="009715D6">
        <w:rPr>
          <w:lang w:val="fr-CA"/>
        </w:rPr>
        <w:tab/>
      </w:r>
    </w:p>
    <w:p w:rsidR="000A7188" w:rsidRPr="009715D6" w:rsidRDefault="000A7188" w:rsidP="000A7188">
      <w:pPr>
        <w:autoSpaceDE w:val="0"/>
        <w:autoSpaceDN w:val="0"/>
        <w:adjustRightInd w:val="0"/>
        <w:spacing w:line="360" w:lineRule="auto"/>
        <w:rPr>
          <w:rFonts w:cs="Arial"/>
          <w:b/>
          <w:bCs/>
          <w:color w:val="000000"/>
          <w:sz w:val="28"/>
          <w:szCs w:val="24"/>
          <w:highlight w:val="yellow"/>
          <w:lang w:val="fr-CA"/>
        </w:rPr>
      </w:pPr>
    </w:p>
    <w:p w:rsidR="000A7188" w:rsidRPr="009715D6" w:rsidRDefault="000A7188" w:rsidP="00FC7CF1">
      <w:pPr>
        <w:pStyle w:val="Heading1"/>
        <w:numPr>
          <w:ilvl w:val="0"/>
          <w:numId w:val="0"/>
        </w:numPr>
        <w:rPr>
          <w:lang w:val="fr-CA"/>
        </w:rPr>
      </w:pPr>
      <w:r w:rsidRPr="009715D6">
        <w:rPr>
          <w:lang w:val="fr-CA"/>
        </w:rPr>
        <w:t>Plan de mise en œuvre</w:t>
      </w:r>
      <w:r w:rsidR="00CD0C20" w:rsidRPr="009715D6">
        <w:rPr>
          <w:lang w:val="fr-CA"/>
        </w:rPr>
        <w:t xml:space="preserve"> </w:t>
      </w:r>
      <w:r w:rsidRPr="009715D6">
        <w:rPr>
          <w:lang w:val="fr-CA"/>
        </w:rPr>
        <w:t>:</w:t>
      </w:r>
    </w:p>
    <w:p w:rsidR="000A7188" w:rsidRPr="009715D6" w:rsidRDefault="000A7188" w:rsidP="00697F0A">
      <w:pPr>
        <w:pStyle w:val="Subtitle"/>
        <w:rPr>
          <w:rFonts w:eastAsiaTheme="majorEastAsia"/>
          <w:color w:val="2E74B5" w:themeColor="accent1" w:themeShade="BF"/>
          <w:lang w:val="fr-CA"/>
        </w:rPr>
      </w:pPr>
      <w:r w:rsidRPr="009715D6">
        <w:rPr>
          <w:rFonts w:eastAsiaTheme="majorEastAsia"/>
          <w:lang w:val="fr-CA"/>
        </w:rPr>
        <w:t>Premier pilier de la SGD : Gestion de données</w:t>
      </w:r>
    </w:p>
    <w:p w:rsidR="000A7188" w:rsidRPr="009715D6" w:rsidRDefault="000A7188" w:rsidP="00697F0A">
      <w:pPr>
        <w:pStyle w:val="Heading1"/>
        <w:rPr>
          <w:lang w:val="fr-CA"/>
        </w:rPr>
      </w:pPr>
      <w:r w:rsidRPr="009715D6">
        <w:rPr>
          <w:lang w:val="fr-CA"/>
        </w:rPr>
        <w:t xml:space="preserve">Établir les bases </w:t>
      </w:r>
    </w:p>
    <w:p w:rsidR="000A7188" w:rsidRPr="009715D6" w:rsidRDefault="000A7188" w:rsidP="00CF2125">
      <w:pPr>
        <w:pStyle w:val="Heading2"/>
        <w:rPr>
          <w:lang w:val="fr-CA"/>
        </w:rPr>
      </w:pPr>
      <w:r w:rsidRPr="009715D6">
        <w:rPr>
          <w:lang w:val="fr-CA"/>
        </w:rPr>
        <w:t xml:space="preserve"> Clarifier les responsabilités relatives à la gestion des données</w:t>
      </w:r>
    </w:p>
    <w:p w:rsidR="000A7188" w:rsidRPr="009715D6" w:rsidRDefault="000A7188" w:rsidP="009715D6">
      <w:pPr>
        <w:pStyle w:val="ListParagraph"/>
        <w:numPr>
          <w:ilvl w:val="0"/>
          <w:numId w:val="27"/>
        </w:numPr>
        <w:rPr>
          <w:lang w:val="fr-CA"/>
        </w:rPr>
      </w:pPr>
      <w:r w:rsidRPr="009715D6">
        <w:rPr>
          <w:lang w:val="fr-CA"/>
        </w:rPr>
        <w:t>Établir en bonne et due forme des comités et des mandats / Définir et communiquer la fonction du dirigeant principal des données (DPD)</w:t>
      </w:r>
    </w:p>
    <w:p w:rsidR="000A7188" w:rsidRPr="009715D6" w:rsidRDefault="000A7188" w:rsidP="009715D6">
      <w:pPr>
        <w:pStyle w:val="ListParagraph"/>
        <w:numPr>
          <w:ilvl w:val="0"/>
          <w:numId w:val="27"/>
        </w:numPr>
        <w:rPr>
          <w:lang w:val="fr-CA"/>
        </w:rPr>
      </w:pPr>
      <w:r w:rsidRPr="009715D6">
        <w:rPr>
          <w:lang w:val="fr-CA"/>
        </w:rPr>
        <w:t xml:space="preserve">Clarifier les rôles et responsabilités liés à la gestion des données (DPD, intendants/conservateurs, gardiens de données) et dresser la liste des sources faisant autorité pour les éléments de données de la CFP </w:t>
      </w:r>
    </w:p>
    <w:p w:rsidR="000A7188" w:rsidRPr="009715D6" w:rsidRDefault="000A7188" w:rsidP="009715D6">
      <w:pPr>
        <w:pStyle w:val="ListParagraph"/>
        <w:numPr>
          <w:ilvl w:val="0"/>
          <w:numId w:val="27"/>
        </w:numPr>
        <w:rPr>
          <w:lang w:val="fr-CA"/>
        </w:rPr>
      </w:pPr>
      <w:r w:rsidRPr="009715D6">
        <w:rPr>
          <w:lang w:val="fr-CA"/>
        </w:rPr>
        <w:t>Établir des protocoles pour l’échange de données au sein et à l’extérieur de la CFP</w:t>
      </w:r>
    </w:p>
    <w:p w:rsidR="00297BE5" w:rsidRPr="009715D6" w:rsidRDefault="00297BE5" w:rsidP="00CF2125">
      <w:pPr>
        <w:pStyle w:val="Heading2"/>
        <w:rPr>
          <w:lang w:val="fr-CA"/>
        </w:rPr>
      </w:pPr>
    </w:p>
    <w:p w:rsidR="000A7188" w:rsidRPr="009715D6" w:rsidRDefault="000A7188" w:rsidP="00CF2125">
      <w:pPr>
        <w:pStyle w:val="Heading2"/>
        <w:rPr>
          <w:lang w:val="fr-CA"/>
        </w:rPr>
      </w:pPr>
      <w:r w:rsidRPr="009715D6">
        <w:rPr>
          <w:lang w:val="fr-CA"/>
        </w:rPr>
        <w:t>Définir la réussite</w:t>
      </w:r>
    </w:p>
    <w:p w:rsidR="000A7188" w:rsidRPr="009715D6" w:rsidRDefault="000A7188" w:rsidP="009715D6">
      <w:pPr>
        <w:pStyle w:val="ListParagraph"/>
        <w:numPr>
          <w:ilvl w:val="0"/>
          <w:numId w:val="28"/>
        </w:numPr>
        <w:rPr>
          <w:lang w:val="fr-CA"/>
        </w:rPr>
      </w:pPr>
      <w:r w:rsidRPr="009715D6">
        <w:rPr>
          <w:lang w:val="fr-CA"/>
        </w:rPr>
        <w:t xml:space="preserve">Élaborer un cadre de mesure des résultats pour la SGD </w:t>
      </w:r>
    </w:p>
    <w:p w:rsidR="000A7188" w:rsidRPr="009715D6" w:rsidRDefault="000A7188" w:rsidP="009715D6">
      <w:pPr>
        <w:pStyle w:val="ListParagraph"/>
        <w:numPr>
          <w:ilvl w:val="0"/>
          <w:numId w:val="28"/>
        </w:numPr>
        <w:rPr>
          <w:lang w:val="fr-CA"/>
        </w:rPr>
      </w:pPr>
      <w:r w:rsidRPr="009715D6">
        <w:rPr>
          <w:lang w:val="fr-CA"/>
        </w:rPr>
        <w:t>Élaborer une stratégie de gestion de changement/stratégie de communication</w:t>
      </w:r>
    </w:p>
    <w:p w:rsidR="000A7188" w:rsidRPr="009715D6" w:rsidRDefault="000A7188" w:rsidP="000A7188">
      <w:pPr>
        <w:autoSpaceDE w:val="0"/>
        <w:autoSpaceDN w:val="0"/>
        <w:adjustRightInd w:val="0"/>
        <w:spacing w:line="360" w:lineRule="auto"/>
        <w:ind w:left="1152" w:hanging="726"/>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 xml:space="preserve">Promouvoir une utilisation éthique des données </w:t>
      </w:r>
    </w:p>
    <w:p w:rsidR="000A7188" w:rsidRPr="009715D6" w:rsidRDefault="000A7188" w:rsidP="009715D6">
      <w:pPr>
        <w:pStyle w:val="ListParagraph"/>
        <w:numPr>
          <w:ilvl w:val="0"/>
          <w:numId w:val="29"/>
        </w:numPr>
        <w:rPr>
          <w:lang w:val="fr-CA"/>
        </w:rPr>
      </w:pPr>
      <w:r w:rsidRPr="009715D6">
        <w:rPr>
          <w:lang w:val="fr-CA"/>
        </w:rPr>
        <w:t>Créer une liste corporative des protocoles et des ententes de partage des données de la CFP</w:t>
      </w:r>
    </w:p>
    <w:p w:rsidR="000A7188" w:rsidRPr="009715D6" w:rsidRDefault="000A7188" w:rsidP="009715D6">
      <w:pPr>
        <w:pStyle w:val="ListParagraph"/>
        <w:numPr>
          <w:ilvl w:val="0"/>
          <w:numId w:val="29"/>
        </w:numPr>
        <w:rPr>
          <w:lang w:val="fr-CA"/>
        </w:rPr>
      </w:pPr>
      <w:r w:rsidRPr="009715D6">
        <w:rPr>
          <w:lang w:val="fr-CA"/>
        </w:rPr>
        <w:t>Créer des gabarits et des directives de partage des données au sein et à l’extérieur de la CFP</w:t>
      </w:r>
    </w:p>
    <w:p w:rsidR="000A7188" w:rsidRPr="009715D6" w:rsidRDefault="000A7188" w:rsidP="009715D6">
      <w:pPr>
        <w:pStyle w:val="ListParagraph"/>
        <w:numPr>
          <w:ilvl w:val="0"/>
          <w:numId w:val="29"/>
        </w:numPr>
        <w:rPr>
          <w:lang w:val="fr-CA"/>
        </w:rPr>
      </w:pPr>
      <w:r w:rsidRPr="009715D6">
        <w:rPr>
          <w:lang w:val="fr-CA"/>
        </w:rPr>
        <w:t>Mettre en œuvre des mécanismes pour atténuer la duplication des fonds de données</w:t>
      </w:r>
    </w:p>
    <w:p w:rsidR="000A7188" w:rsidRPr="009715D6" w:rsidRDefault="000A7188" w:rsidP="009715D6">
      <w:pPr>
        <w:pStyle w:val="ListParagraph"/>
        <w:numPr>
          <w:ilvl w:val="0"/>
          <w:numId w:val="29"/>
        </w:numPr>
        <w:rPr>
          <w:lang w:val="fr-CA"/>
        </w:rPr>
      </w:pPr>
      <w:r w:rsidRPr="009715D6">
        <w:rPr>
          <w:lang w:val="fr-CA"/>
        </w:rPr>
        <w:t>Examen des avis de confidentialité</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 xml:space="preserve">Évaluer la situation actuelle relative aux données </w:t>
      </w:r>
    </w:p>
    <w:p w:rsidR="000A7188" w:rsidRPr="009715D6" w:rsidRDefault="000A7188" w:rsidP="009715D6">
      <w:pPr>
        <w:pStyle w:val="ListParagraph"/>
        <w:numPr>
          <w:ilvl w:val="0"/>
          <w:numId w:val="30"/>
        </w:numPr>
        <w:rPr>
          <w:lang w:val="fr-CA"/>
        </w:rPr>
      </w:pPr>
      <w:r w:rsidRPr="009715D6">
        <w:rPr>
          <w:lang w:val="fr-CA"/>
        </w:rPr>
        <w:t xml:space="preserve">Évaluer les risques associés aux données de la CFP </w:t>
      </w:r>
    </w:p>
    <w:p w:rsidR="000A7188" w:rsidRPr="009715D6" w:rsidRDefault="000A7188" w:rsidP="009715D6">
      <w:pPr>
        <w:pStyle w:val="ListParagraph"/>
        <w:numPr>
          <w:ilvl w:val="0"/>
          <w:numId w:val="30"/>
        </w:numPr>
        <w:rPr>
          <w:lang w:val="fr-CA"/>
        </w:rPr>
      </w:pPr>
      <w:r w:rsidRPr="009715D6">
        <w:rPr>
          <w:lang w:val="fr-CA"/>
        </w:rPr>
        <w:t xml:space="preserve">Réaliser un diagnostic de maturité en gestion de données de la CFP </w:t>
      </w:r>
    </w:p>
    <w:p w:rsidR="000A7188" w:rsidRPr="009715D6" w:rsidRDefault="000A7188" w:rsidP="009715D6">
      <w:pPr>
        <w:pStyle w:val="ListParagraph"/>
        <w:numPr>
          <w:ilvl w:val="0"/>
          <w:numId w:val="30"/>
        </w:numPr>
        <w:rPr>
          <w:b/>
          <w:color w:val="000000"/>
          <w:lang w:val="fr-CA"/>
        </w:rPr>
      </w:pPr>
      <w:r w:rsidRPr="009715D6">
        <w:rPr>
          <w:lang w:val="fr-CA"/>
        </w:rPr>
        <w:t>Élaborer un plan d’action/des stratégies d’atténuation pour traiter les risques associés aux données et les résultats de maturité</w:t>
      </w:r>
    </w:p>
    <w:p w:rsidR="000A7188" w:rsidRPr="009715D6" w:rsidRDefault="000A7188" w:rsidP="000A7188">
      <w:pPr>
        <w:autoSpaceDE w:val="0"/>
        <w:autoSpaceDN w:val="0"/>
        <w:adjustRightInd w:val="0"/>
        <w:spacing w:line="360" w:lineRule="auto"/>
        <w:ind w:left="1080"/>
        <w:contextualSpacing/>
        <w:rPr>
          <w:rFonts w:cs="Arial"/>
          <w:b/>
          <w:bCs/>
          <w:color w:val="000000"/>
          <w:szCs w:val="24"/>
          <w:lang w:val="fr-CA"/>
        </w:rPr>
      </w:pPr>
    </w:p>
    <w:p w:rsidR="000A7188" w:rsidRPr="009715D6" w:rsidRDefault="000A7188" w:rsidP="00CF2125">
      <w:pPr>
        <w:pStyle w:val="Heading1"/>
        <w:rPr>
          <w:lang w:val="fr-CA"/>
        </w:rPr>
      </w:pPr>
      <w:r w:rsidRPr="009715D6">
        <w:rPr>
          <w:lang w:val="fr-CA"/>
        </w:rPr>
        <w:lastRenderedPageBreak/>
        <w:t>Poursuivre sur la lancée</w:t>
      </w:r>
    </w:p>
    <w:p w:rsidR="000A7188" w:rsidRPr="009715D6" w:rsidRDefault="000A7188" w:rsidP="00CF2125">
      <w:pPr>
        <w:pStyle w:val="Heading2"/>
        <w:rPr>
          <w:lang w:val="fr-CA"/>
        </w:rPr>
      </w:pPr>
      <w:r w:rsidRPr="009715D6">
        <w:rPr>
          <w:lang w:val="fr-CA"/>
        </w:rPr>
        <w:t>Gérer nos données</w:t>
      </w:r>
    </w:p>
    <w:p w:rsidR="000A7188" w:rsidRPr="009715D6" w:rsidRDefault="000A7188" w:rsidP="009715D6">
      <w:pPr>
        <w:pStyle w:val="ListParagraph"/>
        <w:numPr>
          <w:ilvl w:val="0"/>
          <w:numId w:val="31"/>
        </w:numPr>
        <w:rPr>
          <w:lang w:val="fr-CA"/>
        </w:rPr>
      </w:pPr>
      <w:r w:rsidRPr="009715D6">
        <w:rPr>
          <w:lang w:val="fr-CA"/>
        </w:rPr>
        <w:t xml:space="preserve">Élaborer une politique sur la qualité des données de la CFP </w:t>
      </w:r>
    </w:p>
    <w:p w:rsidR="000A7188" w:rsidRPr="009715D6" w:rsidRDefault="000A7188" w:rsidP="009715D6">
      <w:pPr>
        <w:pStyle w:val="ListParagraph"/>
        <w:numPr>
          <w:ilvl w:val="0"/>
          <w:numId w:val="31"/>
        </w:numPr>
        <w:rPr>
          <w:b/>
          <w:lang w:val="fr-CA"/>
        </w:rPr>
      </w:pPr>
      <w:r w:rsidRPr="009715D6">
        <w:rPr>
          <w:lang w:val="fr-CA"/>
        </w:rPr>
        <w:t>Coordonner l’acquisition de données</w:t>
      </w:r>
    </w:p>
    <w:p w:rsidR="000A7188" w:rsidRPr="009715D6" w:rsidRDefault="000A7188" w:rsidP="000A7188">
      <w:pPr>
        <w:autoSpaceDE w:val="0"/>
        <w:autoSpaceDN w:val="0"/>
        <w:adjustRightInd w:val="0"/>
        <w:spacing w:line="360" w:lineRule="auto"/>
        <w:ind w:left="1224"/>
        <w:contextualSpacing/>
        <w:rPr>
          <w:rFonts w:cs="Arial"/>
          <w:b/>
          <w:bCs/>
          <w:color w:val="000000"/>
          <w:szCs w:val="24"/>
          <w:lang w:val="fr-CA"/>
        </w:rPr>
      </w:pPr>
    </w:p>
    <w:p w:rsidR="000A7188" w:rsidRPr="009715D6" w:rsidRDefault="000A7188" w:rsidP="00CF2125">
      <w:pPr>
        <w:pStyle w:val="Heading2"/>
        <w:rPr>
          <w:lang w:val="fr-CA"/>
        </w:rPr>
      </w:pPr>
      <w:r w:rsidRPr="009715D6">
        <w:rPr>
          <w:lang w:val="fr-CA"/>
        </w:rPr>
        <w:t>Demeurer vigilant sur le plan de la sécurité et de la protection des renseignements personnels</w:t>
      </w:r>
    </w:p>
    <w:p w:rsidR="000A7188" w:rsidRPr="009715D6" w:rsidRDefault="000A7188" w:rsidP="009715D6">
      <w:pPr>
        <w:pStyle w:val="ListParagraph"/>
        <w:numPr>
          <w:ilvl w:val="0"/>
          <w:numId w:val="32"/>
        </w:numPr>
        <w:rPr>
          <w:lang w:val="fr-CA"/>
        </w:rPr>
      </w:pPr>
      <w:r w:rsidRPr="009715D6">
        <w:rPr>
          <w:lang w:val="fr-CA"/>
        </w:rPr>
        <w:t xml:space="preserve">Élaborer une politique sur la sécurité des données et la protection des renseignements personnels de la CFP </w:t>
      </w:r>
    </w:p>
    <w:p w:rsidR="000A7188" w:rsidRPr="009715D6" w:rsidRDefault="000A7188" w:rsidP="009715D6">
      <w:pPr>
        <w:pStyle w:val="ListParagraph"/>
        <w:numPr>
          <w:ilvl w:val="0"/>
          <w:numId w:val="32"/>
        </w:numPr>
        <w:rPr>
          <w:b/>
          <w:lang w:val="fr-CA"/>
        </w:rPr>
      </w:pPr>
      <w:r w:rsidRPr="009715D6">
        <w:rPr>
          <w:lang w:val="fr-CA"/>
        </w:rPr>
        <w:t>Réviser, renforcer et établir en bonne et due forme des pratiques de gestion de l’accès</w:t>
      </w:r>
    </w:p>
    <w:p w:rsidR="000A7188" w:rsidRPr="009715D6" w:rsidRDefault="000A7188" w:rsidP="000A7188">
      <w:pPr>
        <w:autoSpaceDE w:val="0"/>
        <w:autoSpaceDN w:val="0"/>
        <w:adjustRightInd w:val="0"/>
        <w:spacing w:line="360" w:lineRule="auto"/>
        <w:ind w:left="1152"/>
        <w:contextualSpacing/>
        <w:rPr>
          <w:rFonts w:cs="Arial"/>
          <w:b/>
          <w:bCs/>
          <w:color w:val="000000"/>
          <w:szCs w:val="24"/>
          <w:lang w:val="fr-CA"/>
        </w:rPr>
      </w:pPr>
    </w:p>
    <w:p w:rsidR="000A7188" w:rsidRPr="009715D6" w:rsidRDefault="000A7188" w:rsidP="00CF2125">
      <w:pPr>
        <w:pStyle w:val="Heading2"/>
        <w:rPr>
          <w:lang w:val="fr-CA"/>
        </w:rPr>
      </w:pPr>
      <w:r w:rsidRPr="009715D6">
        <w:rPr>
          <w:lang w:val="fr-CA"/>
        </w:rPr>
        <w:t xml:space="preserve">Exécuter </w:t>
      </w:r>
    </w:p>
    <w:p w:rsidR="000A7188" w:rsidRPr="009715D6" w:rsidRDefault="000A7188" w:rsidP="009715D6">
      <w:pPr>
        <w:pStyle w:val="ListParagraph"/>
        <w:numPr>
          <w:ilvl w:val="0"/>
          <w:numId w:val="33"/>
        </w:numPr>
        <w:rPr>
          <w:lang w:val="fr-CA"/>
        </w:rPr>
      </w:pPr>
      <w:r w:rsidRPr="009715D6">
        <w:rPr>
          <w:lang w:val="fr-CA"/>
        </w:rPr>
        <w:t xml:space="preserve">Mettre en œuvre la gestion la stratégie de gestion du changement/ de communication  </w:t>
      </w:r>
    </w:p>
    <w:p w:rsidR="000A7188" w:rsidRPr="009715D6" w:rsidRDefault="000A7188" w:rsidP="009715D6">
      <w:pPr>
        <w:pStyle w:val="ListParagraph"/>
        <w:numPr>
          <w:ilvl w:val="0"/>
          <w:numId w:val="33"/>
        </w:numPr>
        <w:rPr>
          <w:b/>
          <w:lang w:val="fr-CA"/>
        </w:rPr>
      </w:pPr>
      <w:r w:rsidRPr="009715D6">
        <w:rPr>
          <w:lang w:val="fr-CA"/>
        </w:rPr>
        <w:t>Évaluer les progrès réalisés par rapport à la SGD au moyen du Cadre de mesure des résultats</w:t>
      </w:r>
    </w:p>
    <w:p w:rsidR="000A7188" w:rsidRPr="009715D6" w:rsidRDefault="000A7188" w:rsidP="000A7188">
      <w:pPr>
        <w:autoSpaceDE w:val="0"/>
        <w:autoSpaceDN w:val="0"/>
        <w:adjustRightInd w:val="0"/>
        <w:spacing w:line="360" w:lineRule="auto"/>
        <w:ind w:left="1152"/>
        <w:contextualSpacing/>
        <w:rPr>
          <w:rFonts w:cs="Arial"/>
          <w:b/>
          <w:bCs/>
          <w:color w:val="000000"/>
          <w:szCs w:val="24"/>
          <w:lang w:val="fr-CA"/>
        </w:rPr>
      </w:pPr>
    </w:p>
    <w:p w:rsidR="000A7188" w:rsidRPr="009715D6" w:rsidRDefault="000A7188" w:rsidP="00CF2125">
      <w:pPr>
        <w:pStyle w:val="Heading2"/>
        <w:rPr>
          <w:lang w:val="fr-CA"/>
        </w:rPr>
      </w:pPr>
      <w:r w:rsidRPr="009715D6">
        <w:rPr>
          <w:lang w:val="fr-CA"/>
        </w:rPr>
        <w:t>Traiter les risques associés aux données et les conclusions sur l’état de maturité des données</w:t>
      </w:r>
    </w:p>
    <w:p w:rsidR="000A7188" w:rsidRPr="009715D6" w:rsidRDefault="000A7188" w:rsidP="009715D6">
      <w:pPr>
        <w:pStyle w:val="ListParagraph"/>
        <w:numPr>
          <w:ilvl w:val="0"/>
          <w:numId w:val="34"/>
        </w:numPr>
        <w:rPr>
          <w:lang w:val="fr-CA"/>
        </w:rPr>
      </w:pPr>
      <w:r w:rsidRPr="009715D6">
        <w:rPr>
          <w:lang w:val="fr-CA"/>
        </w:rPr>
        <w:t>Établir l’ordre de priorité et commencer la mise en œuvre du plan d’action/des stratégies d’atténuation</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1"/>
        <w:rPr>
          <w:lang w:val="fr-CA"/>
        </w:rPr>
      </w:pPr>
      <w:r w:rsidRPr="009715D6">
        <w:rPr>
          <w:lang w:val="fr-CA"/>
        </w:rPr>
        <w:t>Évaluer et modifier</w:t>
      </w:r>
    </w:p>
    <w:p w:rsidR="000A7188" w:rsidRPr="009715D6" w:rsidRDefault="000A7188" w:rsidP="00CF2125">
      <w:pPr>
        <w:pStyle w:val="Heading2"/>
        <w:rPr>
          <w:lang w:val="fr-CA"/>
        </w:rPr>
      </w:pPr>
      <w:r w:rsidRPr="009715D6">
        <w:rPr>
          <w:lang w:val="fr-CA"/>
        </w:rPr>
        <w:t xml:space="preserve">Évaluer les résultats de la stratégie de gestion des données </w:t>
      </w:r>
    </w:p>
    <w:p w:rsidR="000A7188" w:rsidRPr="009715D6" w:rsidRDefault="000A7188" w:rsidP="009715D6">
      <w:pPr>
        <w:pStyle w:val="ListParagraph"/>
        <w:numPr>
          <w:ilvl w:val="0"/>
          <w:numId w:val="34"/>
        </w:numPr>
        <w:rPr>
          <w:lang w:val="fr-CA"/>
        </w:rPr>
      </w:pPr>
      <w:r w:rsidRPr="009715D6">
        <w:rPr>
          <w:lang w:val="fr-CA"/>
        </w:rPr>
        <w:t>Mesurer l’impact au niveau des employés et de l’organisation</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Évaluer les progrès réalisés en termes de littératie des données à la CFP</w:t>
      </w:r>
    </w:p>
    <w:p w:rsidR="000A7188" w:rsidRPr="009715D6" w:rsidRDefault="000A7188" w:rsidP="009715D6">
      <w:pPr>
        <w:pStyle w:val="ListParagraph"/>
        <w:numPr>
          <w:ilvl w:val="0"/>
          <w:numId w:val="34"/>
        </w:numPr>
        <w:rPr>
          <w:lang w:val="fr-CA"/>
        </w:rPr>
      </w:pPr>
      <w:r w:rsidRPr="009715D6">
        <w:rPr>
          <w:lang w:val="fr-CA"/>
        </w:rPr>
        <w:t xml:space="preserve">Mener une deuxième enquête et analyser les résultats </w:t>
      </w:r>
    </w:p>
    <w:p w:rsidR="000A7188" w:rsidRPr="009715D6" w:rsidRDefault="000A7188" w:rsidP="009715D6">
      <w:pPr>
        <w:pStyle w:val="ListParagraph"/>
        <w:numPr>
          <w:ilvl w:val="0"/>
          <w:numId w:val="34"/>
        </w:numPr>
        <w:rPr>
          <w:lang w:val="fr-CA"/>
        </w:rPr>
      </w:pPr>
      <w:r w:rsidRPr="009715D6">
        <w:rPr>
          <w:lang w:val="fr-CA"/>
        </w:rPr>
        <w:t>Modifier les stratégies d’apprentissage, de gestion du changement et de communication</w:t>
      </w:r>
    </w:p>
    <w:p w:rsidR="000A7188" w:rsidRPr="009715D6" w:rsidRDefault="000A7188" w:rsidP="000A7188">
      <w:pPr>
        <w:autoSpaceDE w:val="0"/>
        <w:autoSpaceDN w:val="0"/>
        <w:adjustRightInd w:val="0"/>
        <w:spacing w:line="360" w:lineRule="auto"/>
        <w:ind w:left="1224"/>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 xml:space="preserve"> Aligner la SGD de la CFP sur l’orientation du gouvernement du Canada</w:t>
      </w:r>
    </w:p>
    <w:p w:rsidR="000A7188" w:rsidRPr="009715D6" w:rsidRDefault="000A7188" w:rsidP="009715D6">
      <w:pPr>
        <w:pStyle w:val="ListParagraph"/>
        <w:numPr>
          <w:ilvl w:val="0"/>
          <w:numId w:val="35"/>
        </w:numPr>
        <w:rPr>
          <w:lang w:val="fr-CA"/>
        </w:rPr>
      </w:pPr>
      <w:r w:rsidRPr="009715D6">
        <w:rPr>
          <w:lang w:val="fr-CA"/>
        </w:rPr>
        <w:t>Mettre à jour la SGD de la CFP et l’aligner sur l’orientation du gouvernement du Canada et les besoins de la CFP</w:t>
      </w:r>
    </w:p>
    <w:p w:rsidR="006C1C75" w:rsidRPr="009715D6" w:rsidRDefault="006C1C75" w:rsidP="006C1C75">
      <w:pPr>
        <w:rPr>
          <w:lang w:val="fr-CA"/>
        </w:rPr>
      </w:pPr>
    </w:p>
    <w:p w:rsidR="000A7188" w:rsidRPr="009715D6" w:rsidRDefault="000A7188" w:rsidP="00CF2125">
      <w:pPr>
        <w:pStyle w:val="Heading2"/>
        <w:rPr>
          <w:lang w:val="fr-CA"/>
        </w:rPr>
      </w:pPr>
      <w:r w:rsidRPr="009715D6">
        <w:rPr>
          <w:lang w:val="fr-CA"/>
        </w:rPr>
        <w:t>Traiter les risques et les résultats de maturité (suite)</w:t>
      </w:r>
    </w:p>
    <w:p w:rsidR="000A7188" w:rsidRPr="009715D6" w:rsidRDefault="000A7188" w:rsidP="009715D6">
      <w:pPr>
        <w:pStyle w:val="ListParagraph"/>
        <w:numPr>
          <w:ilvl w:val="0"/>
          <w:numId w:val="35"/>
        </w:numPr>
        <w:rPr>
          <w:lang w:val="fr-CA"/>
        </w:rPr>
      </w:pPr>
      <w:r w:rsidRPr="009715D6">
        <w:rPr>
          <w:lang w:val="fr-CA"/>
        </w:rPr>
        <w:t xml:space="preserve">Évaluer les progrès </w:t>
      </w:r>
    </w:p>
    <w:p w:rsidR="000A7188" w:rsidRPr="009715D6" w:rsidRDefault="000A7188" w:rsidP="009715D6">
      <w:pPr>
        <w:pStyle w:val="ListParagraph"/>
        <w:numPr>
          <w:ilvl w:val="0"/>
          <w:numId w:val="35"/>
        </w:numPr>
        <w:rPr>
          <w:lang w:val="fr-CA"/>
        </w:rPr>
      </w:pPr>
      <w:r w:rsidRPr="009715D6">
        <w:rPr>
          <w:lang w:val="fr-CA"/>
        </w:rPr>
        <w:t xml:space="preserve">Réévaluer/valider les risques </w:t>
      </w:r>
    </w:p>
    <w:p w:rsidR="000A7188" w:rsidRPr="009715D6" w:rsidRDefault="000A7188" w:rsidP="009715D6">
      <w:pPr>
        <w:pStyle w:val="ListParagraph"/>
        <w:numPr>
          <w:ilvl w:val="0"/>
          <w:numId w:val="35"/>
        </w:numPr>
        <w:rPr>
          <w:lang w:val="fr-CA"/>
        </w:rPr>
      </w:pPr>
      <w:r w:rsidRPr="009715D6">
        <w:rPr>
          <w:lang w:val="fr-CA"/>
        </w:rPr>
        <w:t>Poursuivre/modifier les activités liées au plan d’action/aux stratégies d’atténuation</w:t>
      </w:r>
    </w:p>
    <w:p w:rsidR="00CF2125" w:rsidRPr="009715D6" w:rsidRDefault="00CF2125" w:rsidP="00CF2125">
      <w:pPr>
        <w:pStyle w:val="Subtitle"/>
        <w:rPr>
          <w:rFonts w:eastAsiaTheme="majorEastAsia"/>
          <w:lang w:val="fr-CA"/>
        </w:rPr>
      </w:pPr>
    </w:p>
    <w:p w:rsidR="000A7188" w:rsidRPr="009715D6" w:rsidRDefault="000A7188" w:rsidP="00CF2125">
      <w:pPr>
        <w:pStyle w:val="Subtitle"/>
        <w:rPr>
          <w:rFonts w:eastAsiaTheme="majorEastAsia"/>
          <w:lang w:val="fr-CA"/>
        </w:rPr>
      </w:pPr>
      <w:r w:rsidRPr="009715D6">
        <w:rPr>
          <w:rFonts w:eastAsiaTheme="majorEastAsia"/>
          <w:lang w:val="fr-CA"/>
        </w:rPr>
        <w:t>Deuxième pilier de la SGD : utilisateurs de données</w:t>
      </w:r>
    </w:p>
    <w:p w:rsidR="000A7188" w:rsidRPr="009715D6" w:rsidRDefault="000A7188" w:rsidP="00CF2125">
      <w:pPr>
        <w:pStyle w:val="Heading1"/>
        <w:numPr>
          <w:ilvl w:val="0"/>
          <w:numId w:val="22"/>
        </w:numPr>
        <w:rPr>
          <w:lang w:val="fr-CA"/>
        </w:rPr>
      </w:pPr>
      <w:r w:rsidRPr="009715D6">
        <w:rPr>
          <w:lang w:val="fr-CA"/>
        </w:rPr>
        <w:t>Établir les bases</w:t>
      </w:r>
    </w:p>
    <w:p w:rsidR="000A7188" w:rsidRPr="009715D6" w:rsidRDefault="000A7188" w:rsidP="00CF2125">
      <w:pPr>
        <w:pStyle w:val="Heading2"/>
        <w:rPr>
          <w:lang w:val="fr-CA"/>
        </w:rPr>
      </w:pPr>
      <w:r w:rsidRPr="009715D6">
        <w:rPr>
          <w:lang w:val="fr-CA"/>
        </w:rPr>
        <w:t xml:space="preserve">Évaluer l’état de la littératie en matière de données </w:t>
      </w:r>
    </w:p>
    <w:p w:rsidR="000A7188" w:rsidRPr="009715D6" w:rsidRDefault="000A7188" w:rsidP="009715D6">
      <w:pPr>
        <w:pStyle w:val="ListParagraph"/>
        <w:numPr>
          <w:ilvl w:val="0"/>
          <w:numId w:val="36"/>
        </w:numPr>
        <w:rPr>
          <w:lang w:val="fr-CA"/>
        </w:rPr>
      </w:pPr>
      <w:r w:rsidRPr="009715D6">
        <w:rPr>
          <w:lang w:val="fr-CA"/>
        </w:rPr>
        <w:t xml:space="preserve">Mener une enquête initiale et effectuer une analyse </w:t>
      </w:r>
    </w:p>
    <w:p w:rsidR="000A7188" w:rsidRPr="009715D6" w:rsidRDefault="000A7188" w:rsidP="009715D6">
      <w:pPr>
        <w:pStyle w:val="ListParagraph"/>
        <w:numPr>
          <w:ilvl w:val="0"/>
          <w:numId w:val="36"/>
        </w:numPr>
        <w:rPr>
          <w:lang w:val="fr-CA"/>
        </w:rPr>
      </w:pPr>
      <w:r w:rsidRPr="009715D6">
        <w:rPr>
          <w:lang w:val="fr-CA"/>
        </w:rPr>
        <w:t xml:space="preserve">Élaborer le plan de littératie des données de la CFP </w:t>
      </w:r>
    </w:p>
    <w:p w:rsidR="000A7188" w:rsidRPr="009715D6" w:rsidRDefault="000A7188" w:rsidP="009715D6">
      <w:pPr>
        <w:pStyle w:val="ListParagraph"/>
        <w:numPr>
          <w:ilvl w:val="0"/>
          <w:numId w:val="36"/>
        </w:numPr>
        <w:rPr>
          <w:lang w:val="fr-CA"/>
        </w:rPr>
      </w:pPr>
      <w:r w:rsidRPr="009715D6">
        <w:rPr>
          <w:lang w:val="fr-CA"/>
        </w:rPr>
        <w:lastRenderedPageBreak/>
        <w:t xml:space="preserve">Commencer à élaborer du matériel de littératie des données (un module à la fois) </w:t>
      </w:r>
    </w:p>
    <w:p w:rsidR="000A7188" w:rsidRPr="009715D6" w:rsidRDefault="000A7188" w:rsidP="009715D6">
      <w:pPr>
        <w:pStyle w:val="ListParagraph"/>
        <w:numPr>
          <w:ilvl w:val="0"/>
          <w:numId w:val="36"/>
        </w:numPr>
        <w:rPr>
          <w:lang w:val="fr-CA"/>
        </w:rPr>
      </w:pPr>
      <w:r w:rsidRPr="009715D6">
        <w:rPr>
          <w:lang w:val="fr-CA"/>
        </w:rPr>
        <w:t>Planifier la diffusion des modules d’apprentissage</w:t>
      </w:r>
    </w:p>
    <w:p w:rsidR="000A7188" w:rsidRPr="009715D6" w:rsidRDefault="000A7188" w:rsidP="00CF2125">
      <w:pPr>
        <w:pStyle w:val="Heading2"/>
        <w:rPr>
          <w:lang w:val="fr-CA"/>
        </w:rPr>
      </w:pPr>
      <w:r w:rsidRPr="009715D6">
        <w:rPr>
          <w:lang w:val="fr-CA"/>
        </w:rPr>
        <w:t>Diffuser des données de valeur</w:t>
      </w:r>
    </w:p>
    <w:p w:rsidR="000A7188" w:rsidRPr="009715D6" w:rsidRDefault="000A7188" w:rsidP="009715D6">
      <w:pPr>
        <w:pStyle w:val="ListParagraph"/>
        <w:numPr>
          <w:ilvl w:val="0"/>
          <w:numId w:val="37"/>
        </w:numPr>
        <w:rPr>
          <w:lang w:val="fr-CA"/>
        </w:rPr>
      </w:pPr>
      <w:r w:rsidRPr="009715D6">
        <w:rPr>
          <w:lang w:val="fr-CA"/>
        </w:rPr>
        <w:t xml:space="preserve">S’engager à fournir des données à valeur ajoutée </w:t>
      </w:r>
    </w:p>
    <w:p w:rsidR="000A7188" w:rsidRPr="009715D6" w:rsidRDefault="000A7188" w:rsidP="009715D6">
      <w:pPr>
        <w:pStyle w:val="ListParagraph"/>
        <w:numPr>
          <w:ilvl w:val="0"/>
          <w:numId w:val="37"/>
        </w:numPr>
        <w:rPr>
          <w:lang w:val="fr-CA"/>
        </w:rPr>
      </w:pPr>
      <w:r w:rsidRPr="009715D6">
        <w:rPr>
          <w:lang w:val="fr-CA"/>
        </w:rPr>
        <w:t xml:space="preserve">Mettre à jour les jeux de données ouvertes existantes </w:t>
      </w:r>
    </w:p>
    <w:p w:rsidR="000A7188" w:rsidRPr="009715D6" w:rsidRDefault="000A7188" w:rsidP="009715D6">
      <w:pPr>
        <w:pStyle w:val="ListParagraph"/>
        <w:numPr>
          <w:ilvl w:val="0"/>
          <w:numId w:val="37"/>
        </w:numPr>
        <w:rPr>
          <w:lang w:val="fr-CA"/>
        </w:rPr>
      </w:pPr>
      <w:r w:rsidRPr="009715D6">
        <w:rPr>
          <w:lang w:val="fr-CA"/>
        </w:rPr>
        <w:t>Évaluer les nouveaux fonds de données aux fins d’admissibilité et diffuser de nouveaux jeux de données ouvertes</w:t>
      </w:r>
    </w:p>
    <w:p w:rsidR="000A7188" w:rsidRPr="009715D6" w:rsidRDefault="000A7188" w:rsidP="009715D6">
      <w:pPr>
        <w:pStyle w:val="ListParagraph"/>
        <w:numPr>
          <w:ilvl w:val="0"/>
          <w:numId w:val="37"/>
        </w:numPr>
        <w:rPr>
          <w:lang w:val="fr-CA"/>
        </w:rPr>
      </w:pPr>
      <w:r w:rsidRPr="009715D6">
        <w:rPr>
          <w:lang w:val="fr-CA"/>
        </w:rPr>
        <w:t>Mettre à jour l’inventaire des données de la CFP</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Renforcer la capacité analytique</w:t>
      </w:r>
    </w:p>
    <w:p w:rsidR="000A7188" w:rsidRPr="009715D6" w:rsidRDefault="000A7188" w:rsidP="009715D6">
      <w:pPr>
        <w:pStyle w:val="ListParagraph"/>
        <w:numPr>
          <w:ilvl w:val="0"/>
          <w:numId w:val="38"/>
        </w:numPr>
        <w:rPr>
          <w:lang w:val="fr-CA"/>
        </w:rPr>
      </w:pPr>
      <w:r w:rsidRPr="009715D6">
        <w:rPr>
          <w:lang w:val="fr-CA"/>
        </w:rPr>
        <w:t>Élaborer et mettre en œuvre un cadre de gestion fondé sur les compétences pour les analystes/scientifiques des données</w:t>
      </w:r>
    </w:p>
    <w:p w:rsidR="000A7188" w:rsidRPr="009715D6" w:rsidRDefault="000A7188" w:rsidP="009715D6">
      <w:pPr>
        <w:pStyle w:val="ListParagraph"/>
        <w:numPr>
          <w:ilvl w:val="0"/>
          <w:numId w:val="38"/>
        </w:numPr>
        <w:rPr>
          <w:lang w:val="fr-CA"/>
        </w:rPr>
      </w:pPr>
      <w:r w:rsidRPr="009715D6">
        <w:rPr>
          <w:lang w:val="fr-CA"/>
        </w:rPr>
        <w:t>Créer un laboratoire de données de la CFP pour soutenir la recherche avancée et les simulations</w:t>
      </w:r>
    </w:p>
    <w:p w:rsidR="000A7188" w:rsidRPr="009715D6" w:rsidRDefault="000A7188" w:rsidP="009715D6">
      <w:pPr>
        <w:pStyle w:val="ListParagraph"/>
        <w:numPr>
          <w:ilvl w:val="0"/>
          <w:numId w:val="38"/>
        </w:numPr>
        <w:rPr>
          <w:b/>
          <w:lang w:val="fr-CA"/>
        </w:rPr>
      </w:pPr>
      <w:r w:rsidRPr="009715D6">
        <w:rPr>
          <w:lang w:val="fr-CA"/>
        </w:rPr>
        <w:t>Créer un bac à sable pour mettre à l’essai et obtenir des outils d’analyse et de visualisation perfectionnés</w:t>
      </w:r>
    </w:p>
    <w:p w:rsidR="000A7188" w:rsidRPr="009715D6" w:rsidRDefault="000A7188" w:rsidP="000A7188">
      <w:pPr>
        <w:autoSpaceDE w:val="0"/>
        <w:autoSpaceDN w:val="0"/>
        <w:adjustRightInd w:val="0"/>
        <w:spacing w:line="360" w:lineRule="auto"/>
        <w:ind w:left="1080"/>
        <w:contextualSpacing/>
        <w:rPr>
          <w:rFonts w:cs="Arial"/>
          <w:b/>
          <w:bCs/>
          <w:color w:val="000000"/>
          <w:szCs w:val="24"/>
          <w:lang w:val="fr-CA"/>
        </w:rPr>
      </w:pPr>
    </w:p>
    <w:p w:rsidR="000A7188" w:rsidRPr="009715D6" w:rsidRDefault="000A7188" w:rsidP="00CF2125">
      <w:pPr>
        <w:pStyle w:val="Heading1"/>
        <w:rPr>
          <w:lang w:val="fr-CA"/>
        </w:rPr>
      </w:pPr>
      <w:r w:rsidRPr="009715D6">
        <w:rPr>
          <w:lang w:val="fr-CA"/>
        </w:rPr>
        <w:t>Poursuivre sur la lancée</w:t>
      </w:r>
    </w:p>
    <w:p w:rsidR="000A7188" w:rsidRPr="009715D6" w:rsidRDefault="000A7188" w:rsidP="00CF2125">
      <w:pPr>
        <w:pStyle w:val="Heading2"/>
        <w:rPr>
          <w:lang w:val="fr-CA"/>
        </w:rPr>
      </w:pPr>
      <w:r w:rsidRPr="009715D6">
        <w:rPr>
          <w:lang w:val="fr-CA"/>
        </w:rPr>
        <w:t xml:space="preserve"> Répondre aux besoins des utilisateurs de données </w:t>
      </w:r>
    </w:p>
    <w:p w:rsidR="000A7188" w:rsidRPr="009715D6" w:rsidRDefault="000A7188" w:rsidP="009715D6">
      <w:pPr>
        <w:pStyle w:val="ListParagraph"/>
        <w:numPr>
          <w:ilvl w:val="0"/>
          <w:numId w:val="39"/>
        </w:numPr>
        <w:rPr>
          <w:lang w:val="fr-CA"/>
        </w:rPr>
      </w:pPr>
      <w:r w:rsidRPr="009715D6">
        <w:rPr>
          <w:lang w:val="fr-CA"/>
        </w:rPr>
        <w:t xml:space="preserve">Produire le plan de la stratégie de littératie des données de la CFP (un module à la fois) </w:t>
      </w:r>
    </w:p>
    <w:p w:rsidR="000A7188" w:rsidRPr="009715D6" w:rsidRDefault="000A7188" w:rsidP="009715D6">
      <w:pPr>
        <w:pStyle w:val="ListParagraph"/>
        <w:numPr>
          <w:ilvl w:val="0"/>
          <w:numId w:val="39"/>
        </w:numPr>
        <w:rPr>
          <w:lang w:val="fr-CA"/>
        </w:rPr>
      </w:pPr>
      <w:r w:rsidRPr="009715D6">
        <w:rPr>
          <w:lang w:val="fr-CA"/>
        </w:rPr>
        <w:t xml:space="preserve">Produire une série de modules d’apprentissage visant à accroître la sensibilisation et les connaissances relatives aux données </w:t>
      </w:r>
    </w:p>
    <w:p w:rsidR="000A7188" w:rsidRPr="009715D6" w:rsidRDefault="000A7188" w:rsidP="009715D6">
      <w:pPr>
        <w:pStyle w:val="ListParagraph"/>
        <w:numPr>
          <w:ilvl w:val="0"/>
          <w:numId w:val="39"/>
        </w:numPr>
        <w:rPr>
          <w:lang w:val="fr-CA"/>
        </w:rPr>
      </w:pPr>
      <w:r w:rsidRPr="009715D6">
        <w:rPr>
          <w:lang w:val="fr-CA"/>
        </w:rPr>
        <w:t>Offrir des cours de recyclage sur la gestion de l’information</w:t>
      </w:r>
    </w:p>
    <w:p w:rsidR="000A7188" w:rsidRPr="009715D6" w:rsidRDefault="000A7188" w:rsidP="000A7188">
      <w:pPr>
        <w:autoSpaceDE w:val="0"/>
        <w:autoSpaceDN w:val="0"/>
        <w:adjustRightInd w:val="0"/>
        <w:spacing w:line="360" w:lineRule="auto"/>
        <w:ind w:left="1134"/>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 xml:space="preserve">Améliorer l’accès aux données </w:t>
      </w:r>
    </w:p>
    <w:p w:rsidR="000A7188" w:rsidRPr="009715D6" w:rsidRDefault="000A7188" w:rsidP="009715D6">
      <w:pPr>
        <w:pStyle w:val="ListParagraph"/>
        <w:numPr>
          <w:ilvl w:val="0"/>
          <w:numId w:val="40"/>
        </w:numPr>
        <w:rPr>
          <w:lang w:val="fr-CA"/>
        </w:rPr>
      </w:pPr>
      <w:r w:rsidRPr="009715D6">
        <w:rPr>
          <w:lang w:val="fr-CA"/>
        </w:rPr>
        <w:t xml:space="preserve">Établir un catalogue de données à l’échelle de la CFP </w:t>
      </w:r>
    </w:p>
    <w:p w:rsidR="000A7188" w:rsidRPr="009715D6" w:rsidRDefault="000A7188" w:rsidP="009715D6">
      <w:pPr>
        <w:pStyle w:val="ListParagraph"/>
        <w:numPr>
          <w:ilvl w:val="0"/>
          <w:numId w:val="40"/>
        </w:numPr>
        <w:rPr>
          <w:lang w:val="fr-CA"/>
        </w:rPr>
      </w:pPr>
      <w:r w:rsidRPr="009715D6">
        <w:rPr>
          <w:lang w:val="fr-CA"/>
        </w:rPr>
        <w:t xml:space="preserve">Créer de nouveaux jeux de données ouvertes en fonction de la conclusion de l’engagement </w:t>
      </w:r>
    </w:p>
    <w:p w:rsidR="000A7188" w:rsidRPr="009715D6" w:rsidRDefault="000A7188" w:rsidP="009715D6">
      <w:pPr>
        <w:pStyle w:val="ListParagraph"/>
        <w:numPr>
          <w:ilvl w:val="0"/>
          <w:numId w:val="40"/>
        </w:numPr>
        <w:rPr>
          <w:lang w:val="fr-CA"/>
        </w:rPr>
      </w:pPr>
      <w:r w:rsidRPr="009715D6">
        <w:rPr>
          <w:lang w:val="fr-CA"/>
        </w:rPr>
        <w:t xml:space="preserve">Promouvoir le libre-service </w:t>
      </w:r>
    </w:p>
    <w:p w:rsidR="000A7188" w:rsidRPr="009715D6" w:rsidRDefault="000A7188" w:rsidP="009715D6">
      <w:pPr>
        <w:pStyle w:val="ListParagraph"/>
        <w:numPr>
          <w:ilvl w:val="0"/>
          <w:numId w:val="40"/>
        </w:numPr>
        <w:rPr>
          <w:lang w:val="fr-CA"/>
        </w:rPr>
      </w:pPr>
      <w:r w:rsidRPr="009715D6">
        <w:rPr>
          <w:lang w:val="fr-CA"/>
        </w:rPr>
        <w:t xml:space="preserve">Élaborer un plan d’accès et de diffusion des données </w:t>
      </w:r>
    </w:p>
    <w:p w:rsidR="000A7188" w:rsidRPr="009715D6" w:rsidRDefault="000A7188" w:rsidP="009715D6">
      <w:pPr>
        <w:pStyle w:val="ListParagraph"/>
        <w:numPr>
          <w:ilvl w:val="0"/>
          <w:numId w:val="40"/>
        </w:numPr>
        <w:rPr>
          <w:lang w:val="fr-CA"/>
        </w:rPr>
      </w:pPr>
      <w:r w:rsidRPr="009715D6">
        <w:rPr>
          <w:lang w:val="fr-CA"/>
        </w:rPr>
        <w:t>Communiquer et fournir de l’information sur les nouveaux produits de données</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1"/>
        <w:rPr>
          <w:lang w:val="fr-CA"/>
        </w:rPr>
      </w:pPr>
      <w:r w:rsidRPr="009715D6">
        <w:rPr>
          <w:lang w:val="fr-CA"/>
        </w:rPr>
        <w:t>Évaluer et modifier</w:t>
      </w:r>
    </w:p>
    <w:p w:rsidR="000A7188" w:rsidRPr="009715D6" w:rsidRDefault="000A7188" w:rsidP="00CF2125">
      <w:pPr>
        <w:pStyle w:val="Heading2"/>
        <w:rPr>
          <w:lang w:val="fr-CA"/>
        </w:rPr>
      </w:pPr>
      <w:r w:rsidRPr="009715D6">
        <w:rPr>
          <w:lang w:val="fr-CA"/>
        </w:rPr>
        <w:t xml:space="preserve"> Rehausser le niveau de connaissances des données </w:t>
      </w:r>
    </w:p>
    <w:p w:rsidR="000A7188" w:rsidRPr="009715D6" w:rsidRDefault="000A7188" w:rsidP="009715D6">
      <w:pPr>
        <w:pStyle w:val="ListParagraph"/>
        <w:numPr>
          <w:ilvl w:val="0"/>
          <w:numId w:val="41"/>
        </w:numPr>
        <w:rPr>
          <w:lang w:val="fr-CA"/>
        </w:rPr>
      </w:pPr>
      <w:r w:rsidRPr="009715D6">
        <w:rPr>
          <w:lang w:val="fr-CA"/>
        </w:rPr>
        <w:t xml:space="preserve">Mener des activités d’apprentissage sur la façon d’interpréter et d’appliquer les données de dotation, y compris les méthodologies, les restrictions et les normes </w:t>
      </w:r>
    </w:p>
    <w:p w:rsidR="000A7188" w:rsidRPr="009715D6" w:rsidRDefault="000A7188" w:rsidP="009715D6">
      <w:pPr>
        <w:pStyle w:val="ListParagraph"/>
        <w:numPr>
          <w:ilvl w:val="0"/>
          <w:numId w:val="41"/>
        </w:numPr>
        <w:rPr>
          <w:lang w:val="fr-CA"/>
        </w:rPr>
      </w:pPr>
      <w:r w:rsidRPr="009715D6">
        <w:rPr>
          <w:lang w:val="fr-CA"/>
        </w:rPr>
        <w:t>Lancer de nouveaux produits pour répondre aux besoins émergents en matière de données</w:t>
      </w:r>
    </w:p>
    <w:p w:rsidR="00400747" w:rsidRDefault="00400747">
      <w:pPr>
        <w:spacing w:after="160"/>
        <w:rPr>
          <w:rFonts w:eastAsiaTheme="majorEastAsia"/>
          <w:b/>
          <w:spacing w:val="15"/>
          <w:lang w:val="fr-CA"/>
        </w:rPr>
      </w:pPr>
      <w:r>
        <w:rPr>
          <w:rFonts w:eastAsiaTheme="majorEastAsia"/>
          <w:lang w:val="fr-CA"/>
        </w:rPr>
        <w:br w:type="page"/>
      </w:r>
    </w:p>
    <w:p w:rsidR="000A7188" w:rsidRPr="009715D6" w:rsidRDefault="000A7188" w:rsidP="00CF2125">
      <w:pPr>
        <w:pStyle w:val="Subtitle"/>
        <w:rPr>
          <w:rFonts w:eastAsiaTheme="majorEastAsia"/>
          <w:lang w:val="fr-CA"/>
        </w:rPr>
      </w:pPr>
      <w:r w:rsidRPr="009715D6">
        <w:rPr>
          <w:rFonts w:eastAsiaTheme="majorEastAsia"/>
          <w:lang w:val="fr-CA"/>
        </w:rPr>
        <w:lastRenderedPageBreak/>
        <w:t xml:space="preserve">Troisième pilier de la SGD : Infrastructure des données </w:t>
      </w:r>
    </w:p>
    <w:p w:rsidR="000A7188" w:rsidRPr="009715D6" w:rsidRDefault="000A7188" w:rsidP="00CF2125">
      <w:pPr>
        <w:pStyle w:val="Heading1"/>
        <w:numPr>
          <w:ilvl w:val="0"/>
          <w:numId w:val="23"/>
        </w:numPr>
        <w:rPr>
          <w:lang w:val="fr-CA"/>
        </w:rPr>
      </w:pPr>
      <w:r w:rsidRPr="009715D6">
        <w:rPr>
          <w:lang w:val="fr-CA"/>
        </w:rPr>
        <w:t>Établir les bases</w:t>
      </w:r>
    </w:p>
    <w:p w:rsidR="000A7188" w:rsidRPr="009715D6" w:rsidRDefault="000A7188" w:rsidP="00CF2125">
      <w:pPr>
        <w:pStyle w:val="Heading2"/>
        <w:rPr>
          <w:lang w:val="fr-CA"/>
        </w:rPr>
      </w:pPr>
      <w:r w:rsidRPr="009715D6">
        <w:rPr>
          <w:lang w:val="fr-CA"/>
        </w:rPr>
        <w:t>Planifier l’infrastructure de l’avenir</w:t>
      </w:r>
    </w:p>
    <w:p w:rsidR="000A7188" w:rsidRPr="009715D6" w:rsidRDefault="000A7188" w:rsidP="009715D6">
      <w:pPr>
        <w:pStyle w:val="ListParagraph"/>
        <w:numPr>
          <w:ilvl w:val="0"/>
          <w:numId w:val="42"/>
        </w:numPr>
        <w:rPr>
          <w:lang w:val="fr-CA"/>
        </w:rPr>
      </w:pPr>
      <w:r w:rsidRPr="009715D6">
        <w:rPr>
          <w:lang w:val="fr-CA"/>
        </w:rPr>
        <w:t xml:space="preserve">Entreprendre une évaluation de faisabilité pour le lac de données – commencer par le SGIP à titre de projet pilote </w:t>
      </w:r>
    </w:p>
    <w:p w:rsidR="000A7188" w:rsidRPr="009715D6" w:rsidRDefault="000A7188" w:rsidP="009715D6">
      <w:pPr>
        <w:pStyle w:val="ListParagraph"/>
        <w:numPr>
          <w:ilvl w:val="0"/>
          <w:numId w:val="42"/>
        </w:numPr>
        <w:rPr>
          <w:lang w:val="fr-CA"/>
        </w:rPr>
      </w:pPr>
      <w:r w:rsidRPr="009715D6">
        <w:rPr>
          <w:lang w:val="fr-CA"/>
        </w:rPr>
        <w:t xml:space="preserve">Mettre sur pied un comité directeur du projet pilote pour le lac de données </w:t>
      </w:r>
    </w:p>
    <w:p w:rsidR="000A7188" w:rsidRPr="009715D6" w:rsidRDefault="000A7188" w:rsidP="009715D6">
      <w:pPr>
        <w:pStyle w:val="ListParagraph"/>
        <w:numPr>
          <w:ilvl w:val="0"/>
          <w:numId w:val="42"/>
        </w:numPr>
        <w:rPr>
          <w:lang w:val="fr-CA"/>
        </w:rPr>
      </w:pPr>
      <w:r w:rsidRPr="009715D6">
        <w:rPr>
          <w:lang w:val="fr-CA"/>
        </w:rPr>
        <w:t>Mener des consultations ministérielles</w:t>
      </w:r>
    </w:p>
    <w:p w:rsidR="000A7188" w:rsidRPr="009715D6" w:rsidRDefault="000A7188" w:rsidP="00CF2125">
      <w:pPr>
        <w:pStyle w:val="Heading2"/>
        <w:rPr>
          <w:lang w:val="fr-CA"/>
        </w:rPr>
      </w:pPr>
      <w:r w:rsidRPr="009715D6">
        <w:rPr>
          <w:lang w:val="fr-CA"/>
        </w:rPr>
        <w:t>Connaître les données que nous détenons</w:t>
      </w:r>
    </w:p>
    <w:p w:rsidR="000A7188" w:rsidRPr="009715D6" w:rsidRDefault="000A7188" w:rsidP="009715D6">
      <w:pPr>
        <w:pStyle w:val="ListParagraph"/>
        <w:numPr>
          <w:ilvl w:val="0"/>
          <w:numId w:val="43"/>
        </w:numPr>
        <w:rPr>
          <w:lang w:val="fr-CA"/>
        </w:rPr>
      </w:pPr>
      <w:r w:rsidRPr="009715D6">
        <w:rPr>
          <w:lang w:val="fr-CA"/>
        </w:rPr>
        <w:t xml:space="preserve">Entreprendre un inventaire des actifs de données ministériels de la CFP (« les intouchables ») – commencer par le SGIP </w:t>
      </w:r>
    </w:p>
    <w:p w:rsidR="000A7188" w:rsidRPr="009715D6" w:rsidRDefault="000A7188" w:rsidP="009715D6">
      <w:pPr>
        <w:pStyle w:val="ListParagraph"/>
        <w:numPr>
          <w:ilvl w:val="0"/>
          <w:numId w:val="43"/>
        </w:numPr>
        <w:rPr>
          <w:lang w:val="fr-CA"/>
        </w:rPr>
      </w:pPr>
      <w:r w:rsidRPr="009715D6">
        <w:rPr>
          <w:lang w:val="fr-CA"/>
        </w:rPr>
        <w:t>Documenter le cycle de vie des données – commencer par le SGIP</w:t>
      </w:r>
    </w:p>
    <w:p w:rsidR="000A7188" w:rsidRPr="009715D6" w:rsidRDefault="000A7188" w:rsidP="000A7188">
      <w:pPr>
        <w:autoSpaceDE w:val="0"/>
        <w:autoSpaceDN w:val="0"/>
        <w:adjustRightInd w:val="0"/>
        <w:spacing w:line="360" w:lineRule="auto"/>
        <w:ind w:left="1152"/>
        <w:contextualSpacing/>
        <w:rPr>
          <w:rFonts w:cs="Arial"/>
          <w:bCs/>
          <w:color w:val="000000"/>
          <w:szCs w:val="24"/>
          <w:lang w:val="fr-CA"/>
        </w:rPr>
      </w:pPr>
    </w:p>
    <w:p w:rsidR="000A7188" w:rsidRPr="009715D6" w:rsidRDefault="000A7188" w:rsidP="00CF2125">
      <w:pPr>
        <w:pStyle w:val="Heading1"/>
        <w:rPr>
          <w:lang w:val="fr-CA"/>
        </w:rPr>
      </w:pPr>
      <w:r w:rsidRPr="009715D6">
        <w:rPr>
          <w:lang w:val="fr-CA"/>
        </w:rPr>
        <w:t>Poursuivre sur la lancée</w:t>
      </w:r>
    </w:p>
    <w:p w:rsidR="000A7188" w:rsidRPr="009715D6" w:rsidRDefault="000A7188" w:rsidP="00CF2125">
      <w:pPr>
        <w:pStyle w:val="Heading2"/>
        <w:rPr>
          <w:lang w:val="fr-CA"/>
        </w:rPr>
      </w:pPr>
      <w:r w:rsidRPr="009715D6">
        <w:rPr>
          <w:lang w:val="fr-CA"/>
        </w:rPr>
        <w:t>Mettre en œuvre l’environnement du lac de données</w:t>
      </w:r>
    </w:p>
    <w:p w:rsidR="000A7188" w:rsidRPr="009715D6" w:rsidRDefault="000A7188" w:rsidP="009715D6">
      <w:pPr>
        <w:pStyle w:val="ListParagraph"/>
        <w:numPr>
          <w:ilvl w:val="0"/>
          <w:numId w:val="44"/>
        </w:numPr>
        <w:rPr>
          <w:lang w:val="fr-CA"/>
        </w:rPr>
      </w:pPr>
      <w:r w:rsidRPr="009715D6">
        <w:rPr>
          <w:lang w:val="fr-CA"/>
        </w:rPr>
        <w:t>S’appuyer sur un projet pilote pour créer le nouvel environnement</w:t>
      </w:r>
    </w:p>
    <w:p w:rsidR="000A7188" w:rsidRPr="009715D6" w:rsidRDefault="000A7188" w:rsidP="000A7188">
      <w:pPr>
        <w:autoSpaceDE w:val="0"/>
        <w:autoSpaceDN w:val="0"/>
        <w:adjustRightInd w:val="0"/>
        <w:spacing w:line="360" w:lineRule="auto"/>
        <w:ind w:left="1080"/>
        <w:contextualSpacing/>
        <w:rPr>
          <w:rFonts w:cs="Arial"/>
          <w:bCs/>
          <w:color w:val="000000"/>
          <w:szCs w:val="24"/>
          <w:lang w:val="fr-CA"/>
        </w:rPr>
      </w:pPr>
    </w:p>
    <w:p w:rsidR="000A7188" w:rsidRPr="009715D6" w:rsidRDefault="000A7188" w:rsidP="00CF2125">
      <w:pPr>
        <w:pStyle w:val="Heading2"/>
        <w:rPr>
          <w:lang w:val="fr-CA"/>
        </w:rPr>
      </w:pPr>
      <w:r w:rsidRPr="009715D6">
        <w:rPr>
          <w:lang w:val="fr-CA"/>
        </w:rPr>
        <w:t>Faire fonctionner le nouvel environnement</w:t>
      </w:r>
    </w:p>
    <w:p w:rsidR="000A7188" w:rsidRPr="009715D6" w:rsidRDefault="000A7188" w:rsidP="009715D6">
      <w:pPr>
        <w:pStyle w:val="ListParagraph"/>
        <w:numPr>
          <w:ilvl w:val="0"/>
          <w:numId w:val="44"/>
        </w:numPr>
        <w:rPr>
          <w:lang w:val="fr-CA"/>
        </w:rPr>
      </w:pPr>
      <w:r w:rsidRPr="009715D6">
        <w:rPr>
          <w:lang w:val="fr-CA"/>
        </w:rPr>
        <w:t xml:space="preserve">Établir un plan de gestion des données maîtres </w:t>
      </w:r>
    </w:p>
    <w:p w:rsidR="000A7188" w:rsidRPr="009715D6" w:rsidRDefault="000A7188" w:rsidP="009715D6">
      <w:pPr>
        <w:pStyle w:val="ListParagraph"/>
        <w:numPr>
          <w:ilvl w:val="0"/>
          <w:numId w:val="44"/>
        </w:numPr>
        <w:rPr>
          <w:lang w:val="fr-CA"/>
        </w:rPr>
      </w:pPr>
      <w:r w:rsidRPr="009715D6">
        <w:rPr>
          <w:lang w:val="fr-CA"/>
        </w:rPr>
        <w:t xml:space="preserve">Mettre en œuvre un dictionnaire de données de la CFP </w:t>
      </w:r>
    </w:p>
    <w:p w:rsidR="000A7188" w:rsidRPr="009715D6" w:rsidRDefault="000A7188" w:rsidP="009715D6">
      <w:pPr>
        <w:pStyle w:val="ListParagraph"/>
        <w:numPr>
          <w:ilvl w:val="0"/>
          <w:numId w:val="44"/>
        </w:numPr>
        <w:rPr>
          <w:lang w:val="fr-CA"/>
        </w:rPr>
      </w:pPr>
      <w:r w:rsidRPr="009715D6">
        <w:rPr>
          <w:lang w:val="fr-CA"/>
        </w:rPr>
        <w:t xml:space="preserve">Comprendre les besoins de données des RH de la prochaine génération afin d’assurer l’opérabilité </w:t>
      </w:r>
    </w:p>
    <w:p w:rsidR="000A7188" w:rsidRPr="009715D6" w:rsidRDefault="000A7188" w:rsidP="009715D6">
      <w:pPr>
        <w:pStyle w:val="ListParagraph"/>
        <w:numPr>
          <w:ilvl w:val="0"/>
          <w:numId w:val="44"/>
        </w:numPr>
        <w:rPr>
          <w:lang w:val="fr-CA"/>
        </w:rPr>
      </w:pPr>
      <w:r w:rsidRPr="009715D6">
        <w:rPr>
          <w:lang w:val="fr-CA"/>
        </w:rPr>
        <w:t>Chercher de nouvelles solutions pour visualiser des données en renouvelant Impromptu</w:t>
      </w:r>
    </w:p>
    <w:p w:rsidR="000A7188" w:rsidRPr="009715D6" w:rsidRDefault="000A7188" w:rsidP="009715D6">
      <w:pPr>
        <w:pStyle w:val="ListParagraph"/>
        <w:numPr>
          <w:ilvl w:val="0"/>
          <w:numId w:val="44"/>
        </w:numPr>
        <w:rPr>
          <w:lang w:val="fr-CA"/>
        </w:rPr>
      </w:pPr>
      <w:r w:rsidRPr="009715D6">
        <w:rPr>
          <w:lang w:val="fr-CA"/>
        </w:rPr>
        <w:t>Augmenter l’inventaire des biens de données ministériels de la CFP pour y inclure des fonds de données, y compris les indicateurs du Cadre ministériel des résultats</w:t>
      </w:r>
    </w:p>
    <w:p w:rsidR="000A7188" w:rsidRPr="009715D6" w:rsidRDefault="000A7188" w:rsidP="000A7188">
      <w:pPr>
        <w:autoSpaceDE w:val="0"/>
        <w:autoSpaceDN w:val="0"/>
        <w:adjustRightInd w:val="0"/>
        <w:spacing w:line="360" w:lineRule="auto"/>
        <w:ind w:left="1110"/>
        <w:contextualSpacing/>
        <w:rPr>
          <w:rFonts w:cs="Arial"/>
          <w:bCs/>
          <w:color w:val="000000"/>
          <w:szCs w:val="24"/>
          <w:highlight w:val="yellow"/>
          <w:lang w:val="fr-CA"/>
        </w:rPr>
      </w:pPr>
    </w:p>
    <w:p w:rsidR="000A7188" w:rsidRPr="009715D6" w:rsidRDefault="000A7188" w:rsidP="00CF2125">
      <w:pPr>
        <w:pStyle w:val="Heading1"/>
        <w:rPr>
          <w:lang w:val="fr-CA"/>
        </w:rPr>
      </w:pPr>
      <w:r w:rsidRPr="009715D6">
        <w:rPr>
          <w:lang w:val="fr-CA"/>
        </w:rPr>
        <w:t>Évaluer et modifier</w:t>
      </w:r>
    </w:p>
    <w:p w:rsidR="000A7188" w:rsidRPr="009715D6" w:rsidRDefault="000A7188" w:rsidP="00CF2125">
      <w:pPr>
        <w:pStyle w:val="Heading2"/>
        <w:rPr>
          <w:lang w:val="fr-CA"/>
        </w:rPr>
      </w:pPr>
      <w:r w:rsidRPr="009715D6">
        <w:rPr>
          <w:lang w:val="fr-CA"/>
        </w:rPr>
        <w:t>Exploiter le lac de données</w:t>
      </w:r>
    </w:p>
    <w:p w:rsidR="000A7188" w:rsidRPr="009715D6" w:rsidRDefault="000A7188" w:rsidP="009715D6">
      <w:pPr>
        <w:pStyle w:val="ListParagraph"/>
        <w:numPr>
          <w:ilvl w:val="0"/>
          <w:numId w:val="45"/>
        </w:numPr>
        <w:rPr>
          <w:b/>
          <w:lang w:val="fr-CA"/>
        </w:rPr>
      </w:pPr>
      <w:r w:rsidRPr="009715D6">
        <w:rPr>
          <w:lang w:val="fr-CA"/>
        </w:rPr>
        <w:t>Intégrer de nouveaux fonds de données dans le lac de données</w:t>
      </w:r>
    </w:p>
    <w:p w:rsidR="000A7188" w:rsidRPr="009715D6" w:rsidRDefault="000A7188" w:rsidP="000A7188">
      <w:pPr>
        <w:autoSpaceDE w:val="0"/>
        <w:autoSpaceDN w:val="0"/>
        <w:adjustRightInd w:val="0"/>
        <w:spacing w:line="360" w:lineRule="auto"/>
        <w:rPr>
          <w:rFonts w:cs="Arial"/>
          <w:color w:val="000000"/>
          <w:szCs w:val="24"/>
          <w:lang w:val="fr-CA"/>
        </w:rPr>
      </w:pPr>
    </w:p>
    <w:p w:rsidR="000A7188" w:rsidRPr="009715D6" w:rsidRDefault="000A7188" w:rsidP="00CF2125">
      <w:pPr>
        <w:pStyle w:val="Heading2"/>
        <w:rPr>
          <w:lang w:val="fr-CA"/>
        </w:rPr>
      </w:pPr>
      <w:r w:rsidRPr="009715D6">
        <w:rPr>
          <w:lang w:val="fr-CA"/>
        </w:rPr>
        <w:t>Élargir les pratiques de gestion de données</w:t>
      </w:r>
    </w:p>
    <w:p w:rsidR="000A7188" w:rsidRPr="009715D6" w:rsidRDefault="000A7188" w:rsidP="009715D6">
      <w:pPr>
        <w:pStyle w:val="ListParagraph"/>
        <w:numPr>
          <w:ilvl w:val="0"/>
          <w:numId w:val="45"/>
        </w:numPr>
        <w:rPr>
          <w:lang w:val="fr-CA"/>
        </w:rPr>
      </w:pPr>
      <w:r w:rsidRPr="009715D6">
        <w:rPr>
          <w:lang w:val="fr-CA"/>
        </w:rPr>
        <w:t xml:space="preserve">Établir des normes organisationnelles concernant la saisie et l’utilisation des métadonnées </w:t>
      </w:r>
    </w:p>
    <w:p w:rsidR="00083188" w:rsidRPr="009715D6" w:rsidRDefault="000A7188" w:rsidP="009715D6">
      <w:pPr>
        <w:pStyle w:val="ListParagraph"/>
        <w:numPr>
          <w:ilvl w:val="0"/>
          <w:numId w:val="45"/>
        </w:numPr>
        <w:rPr>
          <w:lang w:val="fr-CA"/>
        </w:rPr>
      </w:pPr>
      <w:r w:rsidRPr="009715D6">
        <w:rPr>
          <w:lang w:val="fr-CA"/>
        </w:rPr>
        <w:t>Mettre en œuvre et normaliser les tableaux de référence pour les classifications, les régions et les ministères</w:t>
      </w:r>
    </w:p>
    <w:sectPr w:rsidR="00083188" w:rsidRPr="009715D6" w:rsidSect="000A7188">
      <w:footerReference w:type="default" r:id="rId10"/>
      <w:pgSz w:w="24480" w:h="15840" w:orient="landscape"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4D" w:rsidRDefault="0084354D" w:rsidP="000A7188">
      <w:pPr>
        <w:spacing w:line="240" w:lineRule="auto"/>
      </w:pPr>
      <w:r>
        <w:separator/>
      </w:r>
    </w:p>
    <w:p w:rsidR="0084354D" w:rsidRDefault="0084354D"/>
    <w:p w:rsidR="0084354D" w:rsidRDefault="0084354D" w:rsidP="008F4717"/>
  </w:endnote>
  <w:endnote w:type="continuationSeparator" w:id="0">
    <w:p w:rsidR="0084354D" w:rsidRDefault="0084354D" w:rsidP="000A7188">
      <w:pPr>
        <w:spacing w:line="240" w:lineRule="auto"/>
      </w:pPr>
      <w:r>
        <w:continuationSeparator/>
      </w:r>
    </w:p>
    <w:p w:rsidR="0084354D" w:rsidRDefault="0084354D"/>
    <w:p w:rsidR="0084354D" w:rsidRDefault="0084354D" w:rsidP="008F4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264006"/>
      <w:docPartObj>
        <w:docPartGallery w:val="Page Numbers (Bottom of Page)"/>
        <w:docPartUnique/>
      </w:docPartObj>
    </w:sdtPr>
    <w:sdtEndPr>
      <w:rPr>
        <w:noProof/>
      </w:rPr>
    </w:sdtEndPr>
    <w:sdtContent>
      <w:p w:rsidR="000A7188" w:rsidRDefault="000A7188">
        <w:pPr>
          <w:pStyle w:val="Footer"/>
          <w:jc w:val="right"/>
        </w:pPr>
        <w:r>
          <w:fldChar w:fldCharType="begin"/>
        </w:r>
        <w:r>
          <w:instrText xml:space="preserve"> PAGE   \* MERGEFORMAT </w:instrText>
        </w:r>
        <w:r>
          <w:fldChar w:fldCharType="separate"/>
        </w:r>
        <w:r w:rsidR="007D74F6">
          <w:rPr>
            <w:noProof/>
          </w:rPr>
          <w:t>2</w:t>
        </w:r>
        <w:r>
          <w:rPr>
            <w:noProof/>
          </w:rPr>
          <w:fldChar w:fldCharType="end"/>
        </w:r>
      </w:p>
    </w:sdtContent>
  </w:sdt>
  <w:p w:rsidR="009E1CC5" w:rsidRDefault="009E1CC5" w:rsidP="008F4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4D" w:rsidRDefault="0084354D" w:rsidP="000A7188">
      <w:pPr>
        <w:spacing w:line="240" w:lineRule="auto"/>
      </w:pPr>
      <w:r>
        <w:separator/>
      </w:r>
    </w:p>
    <w:p w:rsidR="0084354D" w:rsidRDefault="0084354D"/>
    <w:p w:rsidR="0084354D" w:rsidRDefault="0084354D" w:rsidP="008F4717"/>
  </w:footnote>
  <w:footnote w:type="continuationSeparator" w:id="0">
    <w:p w:rsidR="0084354D" w:rsidRDefault="0084354D" w:rsidP="000A7188">
      <w:pPr>
        <w:spacing w:line="240" w:lineRule="auto"/>
      </w:pPr>
      <w:r>
        <w:continuationSeparator/>
      </w:r>
    </w:p>
    <w:p w:rsidR="0084354D" w:rsidRDefault="0084354D"/>
    <w:p w:rsidR="0084354D" w:rsidRDefault="0084354D" w:rsidP="008F47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FCD6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74DAD"/>
    <w:multiLevelType w:val="hybridMultilevel"/>
    <w:tmpl w:val="DC4AA08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 w15:restartNumberingAfterBreak="0">
    <w:nsid w:val="090D7913"/>
    <w:multiLevelType w:val="hybridMultilevel"/>
    <w:tmpl w:val="1BAA918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 w15:restartNumberingAfterBreak="0">
    <w:nsid w:val="0A3425E6"/>
    <w:multiLevelType w:val="hybridMultilevel"/>
    <w:tmpl w:val="29446D74"/>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4" w15:restartNumberingAfterBreak="0">
    <w:nsid w:val="0ACF56E0"/>
    <w:multiLevelType w:val="hybridMultilevel"/>
    <w:tmpl w:val="28AA8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9264BF"/>
    <w:multiLevelType w:val="hybridMultilevel"/>
    <w:tmpl w:val="67A46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4B3813"/>
    <w:multiLevelType w:val="hybridMultilevel"/>
    <w:tmpl w:val="DD9A03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B465E2"/>
    <w:multiLevelType w:val="hybridMultilevel"/>
    <w:tmpl w:val="CFE87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7D5FE3"/>
    <w:multiLevelType w:val="multilevel"/>
    <w:tmpl w:val="FF004FF4"/>
    <w:lvl w:ilvl="0">
      <w:start w:val="1"/>
      <w:numFmt w:val="bullet"/>
      <w:lvlText w:val=""/>
      <w:lvlJc w:val="left"/>
      <w:pPr>
        <w:ind w:left="1110" w:hanging="390"/>
      </w:pPr>
      <w:rPr>
        <w:rFonts w:ascii="Symbol" w:hAnsi="Symbol" w:hint="default"/>
      </w:rPr>
    </w:lvl>
    <w:lvl w:ilvl="1">
      <w:start w:val="1"/>
      <w:numFmt w:val="bullet"/>
      <w:lvlText w:val=""/>
      <w:lvlJc w:val="left"/>
      <w:pPr>
        <w:ind w:left="2232" w:hanging="720"/>
      </w:pPr>
      <w:rPr>
        <w:rFonts w:ascii="Symbol" w:hAnsi="Symbol" w:hint="default"/>
      </w:rPr>
    </w:lvl>
    <w:lvl w:ilvl="2">
      <w:start w:val="1"/>
      <w:numFmt w:val="bullet"/>
      <w:lvlText w:val=""/>
      <w:lvlJc w:val="left"/>
      <w:pPr>
        <w:ind w:left="3024" w:hanging="720"/>
      </w:pPr>
      <w:rPr>
        <w:rFonts w:ascii="Symbol" w:hAnsi="Symbol" w:hint="default"/>
      </w:rPr>
    </w:lvl>
    <w:lvl w:ilvl="3">
      <w:start w:val="1"/>
      <w:numFmt w:val="decimal"/>
      <w:lvlText w:val="%1.%2.%3.%4."/>
      <w:lvlJc w:val="left"/>
      <w:pPr>
        <w:ind w:left="417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064" w:hanging="1800"/>
      </w:pPr>
      <w:rPr>
        <w:rFonts w:hint="default"/>
      </w:rPr>
    </w:lvl>
    <w:lvl w:ilvl="8">
      <w:start w:val="1"/>
      <w:numFmt w:val="decimal"/>
      <w:lvlText w:val="%1.%2.%3.%4.%5.%6.%7.%8.%9."/>
      <w:lvlJc w:val="left"/>
      <w:pPr>
        <w:ind w:left="9216" w:hanging="2160"/>
      </w:pPr>
      <w:rPr>
        <w:rFonts w:hint="default"/>
      </w:rPr>
    </w:lvl>
  </w:abstractNum>
  <w:abstractNum w:abstractNumId="9" w15:restartNumberingAfterBreak="0">
    <w:nsid w:val="1A196F3F"/>
    <w:multiLevelType w:val="hybridMultilevel"/>
    <w:tmpl w:val="077CA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000715"/>
    <w:multiLevelType w:val="hybridMultilevel"/>
    <w:tmpl w:val="D0060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8A2F62"/>
    <w:multiLevelType w:val="hybridMultilevel"/>
    <w:tmpl w:val="D85E4E6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2" w15:restartNumberingAfterBreak="0">
    <w:nsid w:val="24B269D2"/>
    <w:multiLevelType w:val="hybridMultilevel"/>
    <w:tmpl w:val="CFF43ED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3" w15:restartNumberingAfterBreak="0">
    <w:nsid w:val="28FA316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4B6132"/>
    <w:multiLevelType w:val="hybridMultilevel"/>
    <w:tmpl w:val="1B701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955DA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7420E"/>
    <w:multiLevelType w:val="hybridMultilevel"/>
    <w:tmpl w:val="33DA9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2F5B35"/>
    <w:multiLevelType w:val="hybridMultilevel"/>
    <w:tmpl w:val="ACACB4DC"/>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8" w15:restartNumberingAfterBreak="0">
    <w:nsid w:val="43350108"/>
    <w:multiLevelType w:val="hybridMultilevel"/>
    <w:tmpl w:val="6C06C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8E4569"/>
    <w:multiLevelType w:val="hybridMultilevel"/>
    <w:tmpl w:val="3EB883B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0" w15:restartNumberingAfterBreak="0">
    <w:nsid w:val="458C553C"/>
    <w:multiLevelType w:val="hybridMultilevel"/>
    <w:tmpl w:val="CB70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AD76A9"/>
    <w:multiLevelType w:val="hybridMultilevel"/>
    <w:tmpl w:val="20C81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6D711F"/>
    <w:multiLevelType w:val="hybridMultilevel"/>
    <w:tmpl w:val="F5C42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AD7D0D"/>
    <w:multiLevelType w:val="hybridMultilevel"/>
    <w:tmpl w:val="6A4ED16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4" w15:restartNumberingAfterBreak="0">
    <w:nsid w:val="52D56C0F"/>
    <w:multiLevelType w:val="multilevel"/>
    <w:tmpl w:val="B3845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67578A"/>
    <w:multiLevelType w:val="hybridMultilevel"/>
    <w:tmpl w:val="27C06D2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6" w15:restartNumberingAfterBreak="0">
    <w:nsid w:val="53E2451F"/>
    <w:multiLevelType w:val="hybridMultilevel"/>
    <w:tmpl w:val="1730D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C72931"/>
    <w:multiLevelType w:val="hybridMultilevel"/>
    <w:tmpl w:val="E6BEC8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5FA222B"/>
    <w:multiLevelType w:val="hybridMultilevel"/>
    <w:tmpl w:val="E028E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825A6B"/>
    <w:multiLevelType w:val="hybridMultilevel"/>
    <w:tmpl w:val="8FEE448A"/>
    <w:lvl w:ilvl="0" w:tplc="45FE7464">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301C37"/>
    <w:multiLevelType w:val="hybridMultilevel"/>
    <w:tmpl w:val="2AB0F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4063EB"/>
    <w:multiLevelType w:val="hybridMultilevel"/>
    <w:tmpl w:val="10B8C9B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1">
      <w:start w:val="1"/>
      <w:numFmt w:val="bullet"/>
      <w:lvlText w:val=""/>
      <w:lvlJc w:val="left"/>
      <w:pPr>
        <w:ind w:left="2520" w:hanging="360"/>
      </w:pPr>
      <w:rPr>
        <w:rFonts w:ascii="Symbol" w:hAnsi="Symbol"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3310FDD"/>
    <w:multiLevelType w:val="multilevel"/>
    <w:tmpl w:val="B3845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8F2DD9"/>
    <w:multiLevelType w:val="hybridMultilevel"/>
    <w:tmpl w:val="42A2D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4C6844"/>
    <w:multiLevelType w:val="hybridMultilevel"/>
    <w:tmpl w:val="7A6A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613E74"/>
    <w:multiLevelType w:val="hybridMultilevel"/>
    <w:tmpl w:val="5CE8964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6" w15:restartNumberingAfterBreak="0">
    <w:nsid w:val="67642BB2"/>
    <w:multiLevelType w:val="hybridMultilevel"/>
    <w:tmpl w:val="FF62D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7C6CF3"/>
    <w:multiLevelType w:val="hybridMultilevel"/>
    <w:tmpl w:val="40149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C737E1"/>
    <w:multiLevelType w:val="hybridMultilevel"/>
    <w:tmpl w:val="BF9AE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DE2BC7"/>
    <w:multiLevelType w:val="hybridMultilevel"/>
    <w:tmpl w:val="5BA09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2550C9"/>
    <w:multiLevelType w:val="hybridMultilevel"/>
    <w:tmpl w:val="F4F4B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B4D08D8"/>
    <w:multiLevelType w:val="hybridMultilevel"/>
    <w:tmpl w:val="E4704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95783B"/>
    <w:multiLevelType w:val="multilevel"/>
    <w:tmpl w:val="4BBE097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3"/>
  </w:num>
  <w:num w:numId="3">
    <w:abstractNumId w:val="32"/>
  </w:num>
  <w:num w:numId="4">
    <w:abstractNumId w:val="24"/>
  </w:num>
  <w:num w:numId="5">
    <w:abstractNumId w:val="15"/>
  </w:num>
  <w:num w:numId="6">
    <w:abstractNumId w:val="42"/>
  </w:num>
  <w:num w:numId="7">
    <w:abstractNumId w:val="8"/>
  </w:num>
  <w:num w:numId="8">
    <w:abstractNumId w:val="17"/>
  </w:num>
  <w:num w:numId="9">
    <w:abstractNumId w:val="11"/>
  </w:num>
  <w:num w:numId="10">
    <w:abstractNumId w:val="35"/>
  </w:num>
  <w:num w:numId="11">
    <w:abstractNumId w:val="6"/>
  </w:num>
  <w:num w:numId="12">
    <w:abstractNumId w:val="19"/>
  </w:num>
  <w:num w:numId="13">
    <w:abstractNumId w:val="23"/>
  </w:num>
  <w:num w:numId="14">
    <w:abstractNumId w:val="2"/>
  </w:num>
  <w:num w:numId="15">
    <w:abstractNumId w:val="12"/>
  </w:num>
  <w:num w:numId="16">
    <w:abstractNumId w:val="3"/>
  </w:num>
  <w:num w:numId="17">
    <w:abstractNumId w:val="27"/>
  </w:num>
  <w:num w:numId="18">
    <w:abstractNumId w:val="31"/>
  </w:num>
  <w:num w:numId="19">
    <w:abstractNumId w:val="25"/>
  </w:num>
  <w:num w:numId="20">
    <w:abstractNumId w:val="1"/>
  </w:num>
  <w:num w:numId="21">
    <w:abstractNumId w:val="29"/>
  </w:num>
  <w:num w:numId="22">
    <w:abstractNumId w:val="29"/>
    <w:lvlOverride w:ilvl="0">
      <w:startOverride w:val="1"/>
    </w:lvlOverride>
  </w:num>
  <w:num w:numId="23">
    <w:abstractNumId w:val="29"/>
    <w:lvlOverride w:ilvl="0">
      <w:startOverride w:val="1"/>
    </w:lvlOverride>
  </w:num>
  <w:num w:numId="24">
    <w:abstractNumId w:val="0"/>
  </w:num>
  <w:num w:numId="25">
    <w:abstractNumId w:val="38"/>
  </w:num>
  <w:num w:numId="26">
    <w:abstractNumId w:val="33"/>
  </w:num>
  <w:num w:numId="27">
    <w:abstractNumId w:val="22"/>
  </w:num>
  <w:num w:numId="28">
    <w:abstractNumId w:val="5"/>
  </w:num>
  <w:num w:numId="29">
    <w:abstractNumId w:val="34"/>
  </w:num>
  <w:num w:numId="30">
    <w:abstractNumId w:val="39"/>
  </w:num>
  <w:num w:numId="31">
    <w:abstractNumId w:val="40"/>
  </w:num>
  <w:num w:numId="32">
    <w:abstractNumId w:val="41"/>
  </w:num>
  <w:num w:numId="33">
    <w:abstractNumId w:val="30"/>
  </w:num>
  <w:num w:numId="34">
    <w:abstractNumId w:val="28"/>
  </w:num>
  <w:num w:numId="35">
    <w:abstractNumId w:val="16"/>
  </w:num>
  <w:num w:numId="36">
    <w:abstractNumId w:val="37"/>
  </w:num>
  <w:num w:numId="37">
    <w:abstractNumId w:val="36"/>
  </w:num>
  <w:num w:numId="38">
    <w:abstractNumId w:val="18"/>
  </w:num>
  <w:num w:numId="39">
    <w:abstractNumId w:val="7"/>
  </w:num>
  <w:num w:numId="40">
    <w:abstractNumId w:val="9"/>
  </w:num>
  <w:num w:numId="41">
    <w:abstractNumId w:val="14"/>
  </w:num>
  <w:num w:numId="42">
    <w:abstractNumId w:val="26"/>
  </w:num>
  <w:num w:numId="43">
    <w:abstractNumId w:val="21"/>
  </w:num>
  <w:num w:numId="44">
    <w:abstractNumId w:val="4"/>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88"/>
    <w:rsid w:val="00010542"/>
    <w:rsid w:val="000A7188"/>
    <w:rsid w:val="00297BE5"/>
    <w:rsid w:val="00400747"/>
    <w:rsid w:val="00444BAE"/>
    <w:rsid w:val="00461205"/>
    <w:rsid w:val="00697F0A"/>
    <w:rsid w:val="006C1C75"/>
    <w:rsid w:val="006D447D"/>
    <w:rsid w:val="00777743"/>
    <w:rsid w:val="007B4E6B"/>
    <w:rsid w:val="007D74F6"/>
    <w:rsid w:val="0084354D"/>
    <w:rsid w:val="008B4080"/>
    <w:rsid w:val="008F4717"/>
    <w:rsid w:val="009715D6"/>
    <w:rsid w:val="009E1CC5"/>
    <w:rsid w:val="009E5EF0"/>
    <w:rsid w:val="00BF2A76"/>
    <w:rsid w:val="00BF72F1"/>
    <w:rsid w:val="00CA2B49"/>
    <w:rsid w:val="00CD0C20"/>
    <w:rsid w:val="00CD56A3"/>
    <w:rsid w:val="00CF2125"/>
    <w:rsid w:val="00E737AD"/>
    <w:rsid w:val="00FC7C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D070EAC-A9EB-4A91-B22F-A26FF424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75"/>
    <w:pPr>
      <w:spacing w:after="0"/>
    </w:pPr>
    <w:rPr>
      <w:rFonts w:ascii="Arial" w:hAnsi="Arial"/>
      <w:sz w:val="24"/>
    </w:rPr>
  </w:style>
  <w:style w:type="paragraph" w:styleId="Heading1">
    <w:name w:val="heading 1"/>
    <w:basedOn w:val="Normal"/>
    <w:next w:val="Normal"/>
    <w:link w:val="Heading1Char"/>
    <w:uiPriority w:val="9"/>
    <w:qFormat/>
    <w:rsid w:val="00CF2125"/>
    <w:pPr>
      <w:keepNext/>
      <w:keepLines/>
      <w:numPr>
        <w:numId w:val="21"/>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F212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188"/>
    <w:pPr>
      <w:tabs>
        <w:tab w:val="center" w:pos="4680"/>
        <w:tab w:val="right" w:pos="9360"/>
      </w:tabs>
      <w:spacing w:line="240" w:lineRule="auto"/>
    </w:pPr>
  </w:style>
  <w:style w:type="character" w:customStyle="1" w:styleId="HeaderChar">
    <w:name w:val="Header Char"/>
    <w:basedOn w:val="DefaultParagraphFont"/>
    <w:link w:val="Header"/>
    <w:uiPriority w:val="99"/>
    <w:rsid w:val="000A7188"/>
  </w:style>
  <w:style w:type="paragraph" w:styleId="Footer">
    <w:name w:val="footer"/>
    <w:basedOn w:val="Normal"/>
    <w:link w:val="FooterChar"/>
    <w:uiPriority w:val="99"/>
    <w:unhideWhenUsed/>
    <w:rsid w:val="000A7188"/>
    <w:pPr>
      <w:tabs>
        <w:tab w:val="center" w:pos="4680"/>
        <w:tab w:val="right" w:pos="9360"/>
      </w:tabs>
      <w:spacing w:line="240" w:lineRule="auto"/>
    </w:pPr>
  </w:style>
  <w:style w:type="character" w:customStyle="1" w:styleId="FooterChar">
    <w:name w:val="Footer Char"/>
    <w:basedOn w:val="DefaultParagraphFont"/>
    <w:link w:val="Footer"/>
    <w:uiPriority w:val="99"/>
    <w:rsid w:val="000A7188"/>
  </w:style>
  <w:style w:type="paragraph" w:styleId="Title">
    <w:name w:val="Title"/>
    <w:basedOn w:val="Normal"/>
    <w:next w:val="Normal"/>
    <w:link w:val="TitleChar"/>
    <w:uiPriority w:val="10"/>
    <w:qFormat/>
    <w:rsid w:val="006D447D"/>
    <w:pPr>
      <w:spacing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D447D"/>
    <w:rPr>
      <w:rFonts w:ascii="Arial" w:eastAsiaTheme="majorEastAsia" w:hAnsi="Arial" w:cstheme="majorBidi"/>
      <w:b/>
      <w:spacing w:val="-10"/>
      <w:kern w:val="28"/>
      <w:sz w:val="28"/>
      <w:szCs w:val="56"/>
    </w:rPr>
  </w:style>
  <w:style w:type="character" w:customStyle="1" w:styleId="Heading1Char">
    <w:name w:val="Heading 1 Char"/>
    <w:basedOn w:val="DefaultParagraphFont"/>
    <w:link w:val="Heading1"/>
    <w:uiPriority w:val="9"/>
    <w:rsid w:val="00CF2125"/>
    <w:rPr>
      <w:rFonts w:ascii="Arial" w:eastAsiaTheme="majorEastAsia" w:hAnsi="Arial" w:cstheme="majorBidi"/>
      <w:b/>
      <w:sz w:val="24"/>
      <w:szCs w:val="32"/>
    </w:rPr>
  </w:style>
  <w:style w:type="paragraph" w:styleId="Subtitle">
    <w:name w:val="Subtitle"/>
    <w:basedOn w:val="Normal"/>
    <w:next w:val="Normal"/>
    <w:link w:val="SubtitleChar"/>
    <w:uiPriority w:val="11"/>
    <w:qFormat/>
    <w:rsid w:val="00CF2125"/>
    <w:pPr>
      <w:numPr>
        <w:ilvl w:val="1"/>
      </w:numPr>
    </w:pPr>
    <w:rPr>
      <w:rFonts w:eastAsiaTheme="minorEastAsia"/>
      <w:b/>
      <w:spacing w:val="15"/>
    </w:rPr>
  </w:style>
  <w:style w:type="character" w:customStyle="1" w:styleId="SubtitleChar">
    <w:name w:val="Subtitle Char"/>
    <w:basedOn w:val="DefaultParagraphFont"/>
    <w:link w:val="Subtitle"/>
    <w:uiPriority w:val="11"/>
    <w:rsid w:val="00CF2125"/>
    <w:rPr>
      <w:rFonts w:ascii="Arial" w:eastAsiaTheme="minorEastAsia" w:hAnsi="Arial"/>
      <w:b/>
      <w:spacing w:val="15"/>
      <w:sz w:val="24"/>
    </w:rPr>
  </w:style>
  <w:style w:type="character" w:customStyle="1" w:styleId="Heading2Char">
    <w:name w:val="Heading 2 Char"/>
    <w:basedOn w:val="DefaultParagraphFont"/>
    <w:link w:val="Heading2"/>
    <w:uiPriority w:val="9"/>
    <w:rsid w:val="00CF2125"/>
    <w:rPr>
      <w:rFonts w:ascii="Arial" w:eastAsiaTheme="majorEastAsia" w:hAnsi="Arial" w:cstheme="majorBidi"/>
      <w:b/>
      <w:sz w:val="24"/>
      <w:szCs w:val="26"/>
    </w:rPr>
  </w:style>
  <w:style w:type="paragraph" w:styleId="ListParagraph">
    <w:name w:val="List Paragraph"/>
    <w:basedOn w:val="Normal"/>
    <w:next w:val="ListBullet"/>
    <w:uiPriority w:val="34"/>
    <w:qFormat/>
    <w:rsid w:val="00461205"/>
    <w:pPr>
      <w:ind w:left="720"/>
      <w:contextualSpacing/>
    </w:pPr>
  </w:style>
  <w:style w:type="paragraph" w:styleId="ListBullet">
    <w:name w:val="List Bullet"/>
    <w:basedOn w:val="Normal"/>
    <w:uiPriority w:val="99"/>
    <w:semiHidden/>
    <w:unhideWhenUsed/>
    <w:rsid w:val="00461205"/>
    <w:pPr>
      <w:numPr>
        <w:numId w:val="24"/>
      </w:numPr>
      <w:contextualSpacing/>
    </w:pPr>
  </w:style>
  <w:style w:type="character" w:styleId="Hyperlink">
    <w:name w:val="Hyperlink"/>
    <w:basedOn w:val="DefaultParagraphFont"/>
    <w:uiPriority w:val="99"/>
    <w:unhideWhenUsed/>
    <w:rsid w:val="00CD56A3"/>
    <w:rPr>
      <w:color w:val="0563C1" w:themeColor="hyperlink"/>
      <w:u w:val="single"/>
    </w:rPr>
  </w:style>
  <w:style w:type="character" w:styleId="FollowedHyperlink">
    <w:name w:val="FollowedHyperlink"/>
    <w:basedOn w:val="DefaultParagraphFont"/>
    <w:uiPriority w:val="99"/>
    <w:semiHidden/>
    <w:unhideWhenUsed/>
    <w:rsid w:val="00CD5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11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DDE4-EE8A-419A-A192-DA33C4DA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Hassainya</dc:creator>
  <cp:keywords/>
  <dc:description/>
  <cp:lastModifiedBy>Snjezana Kulic</cp:lastModifiedBy>
  <cp:revision>2</cp:revision>
  <dcterms:created xsi:type="dcterms:W3CDTF">2020-07-07T19:48:00Z</dcterms:created>
  <dcterms:modified xsi:type="dcterms:W3CDTF">2020-07-07T19:48:00Z</dcterms:modified>
</cp:coreProperties>
</file>