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C1D4B4" w14:textId="77777777" w:rsidR="00E921A8" w:rsidRPr="00D675DF" w:rsidRDefault="00E95AE0" w:rsidP="00966524">
      <w:pPr>
        <w:pStyle w:val="BodyText"/>
        <w:sectPr w:rsidR="00E921A8" w:rsidRPr="00D675DF" w:rsidSect="00E07E25">
          <w:footerReference w:type="even" r:id="rId9"/>
          <w:footerReference w:type="default" r:id="rId10"/>
          <w:pgSz w:w="12240" w:h="15840"/>
          <w:pgMar w:top="1440" w:right="1440" w:bottom="1440" w:left="1440" w:header="708" w:footer="708" w:gutter="0"/>
          <w:cols w:space="708"/>
          <w:titlePg/>
          <w:docGrid w:linePitch="360"/>
        </w:sectPr>
      </w:pPr>
      <w:r>
        <w:rPr>
          <w:noProof/>
          <w:lang w:val="en-CA" w:eastAsia="en-CA" w:bidi="ar-SA"/>
        </w:rPr>
        <mc:AlternateContent>
          <mc:Choice Requires="wps">
            <w:drawing>
              <wp:anchor distT="0" distB="0" distL="114300" distR="114300" simplePos="0" relativeHeight="251751424" behindDoc="1" locked="0" layoutInCell="1" allowOverlap="1" wp14:anchorId="20DEF341" wp14:editId="0631C927">
                <wp:simplePos x="0" y="0"/>
                <wp:positionH relativeFrom="margin">
                  <wp:posOffset>-344384</wp:posOffset>
                </wp:positionH>
                <wp:positionV relativeFrom="paragraph">
                  <wp:posOffset>5628904</wp:posOffset>
                </wp:positionV>
                <wp:extent cx="6555179" cy="55499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5179" cy="554990"/>
                        </a:xfrm>
                        <a:prstGeom prst="rect">
                          <a:avLst/>
                        </a:prstGeom>
                        <a:solidFill>
                          <a:schemeClr val="accent1"/>
                        </a:solidFill>
                        <a:ln w="9525">
                          <a:noFill/>
                          <a:miter lim="800000"/>
                          <a:headEnd/>
                          <a:tailEnd/>
                        </a:ln>
                      </wps:spPr>
                      <wps:txbx>
                        <w:txbxContent>
                          <w:p w14:paraId="0CB78C0B" w14:textId="77777777" w:rsidR="00E95AE0" w:rsidRPr="00E95AE0" w:rsidRDefault="00E95AE0" w:rsidP="00E95AE0">
                            <w:pPr>
                              <w:rPr>
                                <w:rFonts w:asciiTheme="majorHAnsi" w:hAnsiTheme="majorHAnsi" w:cstheme="majorHAnsi"/>
                                <w:color w:val="FFFFFF" w:themeColor="background1"/>
                                <w:sz w:val="44"/>
                              </w:rPr>
                            </w:pPr>
                            <w:r w:rsidRPr="00E95AE0">
                              <w:rPr>
                                <w:rFonts w:asciiTheme="majorHAnsi" w:hAnsiTheme="majorHAnsi" w:cstheme="majorHAnsi"/>
                                <w:color w:val="FFFFFF" w:themeColor="background1"/>
                                <w:sz w:val="44"/>
                                <w:lang w:val="fr-FR"/>
                              </w:rPr>
                              <w:t>Direction des services de données et de l'analyse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20DEF341" id="_x0000_t202" coordsize="21600,21600" o:spt="202" path="m,l,21600r21600,l21600,xe">
                <v:stroke joinstyle="miter"/>
                <v:path gradientshapeok="t" o:connecttype="rect"/>
              </v:shapetype>
              <v:shape id="Text Box 2" o:spid="_x0000_s1026" type="#_x0000_t202" style="position:absolute;margin-left:-27.1pt;margin-top:443.2pt;width:516.15pt;height:43.7pt;z-index:-251565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" fillcolor="#00a995 [3204]" stroked="f">
                <v:textbox style="mso-fit-shape-to-text:t">
                  <w:txbxContent>
                    <w:p w14:paraId="0CB78C0B" w14:textId="77777777" w:rsidR="00E95AE0" w:rsidRPr="00E95AE0" w:rsidRDefault="00E95AE0" w:rsidP="00E95AE0">
                      <w:pPr>
                        <w:rPr>
                          <w:rFonts w:asciiTheme="majorHAnsi" w:hAnsiTheme="majorHAnsi" w:cstheme="majorHAnsi"/>
                          <w:color w:val="FFFFFF" w:themeColor="background1"/>
                          <w:sz w:val="44"/>
                        </w:rPr>
                      </w:pPr>
                      <w:r w:rsidRPr="00E95AE0">
                        <w:rPr>
                          <w:rFonts w:asciiTheme="majorHAnsi" w:hAnsiTheme="majorHAnsi" w:cstheme="majorHAnsi"/>
                          <w:color w:val="FFFFFF" w:themeColor="background1"/>
                          <w:sz w:val="44"/>
                          <w:lang w:val="fr-FR"/>
                        </w:rPr>
                        <w:t>Direction des services de données et de l'analyse</w:t>
                      </w:r>
                    </w:p>
                  </w:txbxContent>
                </v:textbox>
                <w10:wrap anchorx="margin"/>
              </v:shape>
            </w:pict>
          </mc:Fallback>
        </mc:AlternateContent>
      </w:r>
      <w:r w:rsidR="003C346E">
        <w:rPr>
          <w:noProof/>
          <w:lang w:val="en-CA" w:eastAsia="en-CA" w:bidi="ar-SA"/>
        </w:rPr>
        <mc:AlternateContent>
          <mc:Choice Requires="wps">
            <w:drawing>
              <wp:anchor distT="0" distB="0" distL="114300" distR="114300" simplePos="0" relativeHeight="251659264" behindDoc="0" locked="0" layoutInCell="1" allowOverlap="1" wp14:anchorId="71B6AC82" wp14:editId="05A8CB72">
                <wp:simplePos x="0" y="0"/>
                <wp:positionH relativeFrom="page">
                  <wp:posOffset>787940</wp:posOffset>
                </wp:positionH>
                <wp:positionV relativeFrom="page">
                  <wp:posOffset>2762655</wp:posOffset>
                </wp:positionV>
                <wp:extent cx="6546715" cy="1495425"/>
                <wp:effectExtent l="0" t="0" r="0" b="0"/>
                <wp:wrapTight wrapText="bothSides">
                  <wp:wrapPolygon edited="0">
                    <wp:start x="126" y="825"/>
                    <wp:lineTo x="126" y="20637"/>
                    <wp:lineTo x="21372" y="20637"/>
                    <wp:lineTo x="21372" y="825"/>
                    <wp:lineTo x="126" y="825"/>
                  </wp:wrapPolygon>
                </wp:wrapTight>
                <wp:docPr id="15" name="Text Box 15" descr="Boîte de texte : [SOUS-TI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715"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ial" w:hAnsi="Arial"/>
                                <w:caps/>
                                <w:color w:val="9ACA3C" w:themeColor="accent2"/>
                                <w:sz w:val="44"/>
                                <w:szCs w:val="40"/>
                              </w:rPr>
                              <w:alias w:val="Subject"/>
                              <w:id w:val="-899511949"/>
                              <w:dataBinding w:prefixMappings="xmlns:ns0='http://purl.org/dc/elements/1.1/' xmlns:ns1='http://schemas.openxmlformats.org/package/2006/metadata/core-properties' " w:xpath="/ns1:coreProperties[1]/ns0:subject[1]" w:storeItemID="{6C3C8BC8-F283-45AE-878A-BAB7291924A1}"/>
                              <w:text/>
                            </w:sdtPr>
                            <w:sdtEndPr/>
                            <w:sdtContent>
                              <w:p w14:paraId="05237C31" w14:textId="77777777" w:rsidR="00CD4D66" w:rsidRPr="003C346E" w:rsidRDefault="00BD1C05" w:rsidP="005B5955">
                                <w:pPr>
                                  <w:rPr>
                                    <w:rFonts w:asciiTheme="majorHAnsi" w:hAnsiTheme="majorHAnsi"/>
                                    <w:caps/>
                                    <w:color w:val="9ACA3C" w:themeColor="accent2"/>
                                    <w:sz w:val="44"/>
                                    <w:szCs w:val="40"/>
                                  </w:rPr>
                                </w:pPr>
                                <w:r w:rsidRPr="003C346E">
                                  <w:rPr>
                                    <w:rFonts w:ascii="Arial" w:hAnsi="Arial"/>
                                    <w:caps/>
                                    <w:color w:val="9ACA3C" w:themeColor="accent2"/>
                                    <w:sz w:val="44"/>
                                    <w:szCs w:val="40"/>
                                  </w:rPr>
                                  <w:t>Stratégie de gestion des données de la Commission de la fonction publique : composantes et catalyseurs</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6AC82" id="Text Box 15" o:spid="_x0000_s1027" type="#_x0000_t202" alt="Boîte de texte : [SOUS-TITRE]" style="position:absolute;margin-left:62.05pt;margin-top:217.55pt;width:515.5pt;height:117.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" filled="f" stroked="f">
                <v:textbox inset=",7.2pt,,7.2pt">
                  <w:txbxContent>
                    <w:sdt>
                      <w:sdtPr>
                        <w:rPr>
                          <w:rFonts w:ascii="Arial" w:hAnsi="Arial"/>
                          <w:caps/>
                          <w:color w:val="9ACA3C" w:themeColor="accent2"/>
                          <w:sz w:val="44"/>
                          <w:szCs w:val="40"/>
                        </w:rPr>
                        <w:alias w:val="Subject"/>
                        <w:id w:val="-899511949"/>
                        <w:dataBinding w:prefixMappings="xmlns:ns0='http://purl.org/dc/elements/1.1/' xmlns:ns1='http://schemas.openxmlformats.org/package/2006/metadata/core-properties' " w:xpath="/ns1:coreProperties[1]/ns0:subject[1]" w:storeItemID="{6C3C8BC8-F283-45AE-878A-BAB7291924A1}"/>
                        <w:text/>
                      </w:sdtPr>
                      <w:sdtEndPr/>
                      <w:sdtContent>
                        <w:p w14:paraId="05237C31" w14:textId="77777777" w:rsidR="00CD4D66" w:rsidRPr="003C346E" w:rsidRDefault="00BD1C05" w:rsidP="005B5955">
                          <w:pPr>
                            <w:rPr>
                              <w:rFonts w:asciiTheme="majorHAnsi" w:hAnsiTheme="majorHAnsi"/>
                              <w:caps/>
                              <w:color w:val="9ACA3C" w:themeColor="accent2"/>
                              <w:sz w:val="44"/>
                              <w:szCs w:val="40"/>
                            </w:rPr>
                          </w:pPr>
                          <w:r w:rsidRPr="003C346E">
                            <w:rPr>
                              <w:rFonts w:ascii="Arial" w:hAnsi="Arial"/>
                              <w:caps/>
                              <w:color w:val="9ACA3C" w:themeColor="accent2"/>
                              <w:sz w:val="44"/>
                              <w:szCs w:val="40"/>
                            </w:rPr>
                            <w:t>Stratégie de gestion des données de la Commission de la fonction publique : composantes et catalyseurs</w:t>
                          </w:r>
                        </w:p>
                      </w:sdtContent>
                    </w:sdt>
                  </w:txbxContent>
                </v:textbox>
                <w10:wrap type="tight" anchorx="page" anchory="page"/>
              </v:shape>
            </w:pict>
          </mc:Fallback>
        </mc:AlternateContent>
      </w:r>
      <w:r w:rsidR="00D063F3">
        <w:rPr>
          <w:rFonts w:ascii="Calibri" w:eastAsia="Calibri" w:hAnsi="Calibri" w:cs="Times New Roman"/>
          <w:noProof/>
          <w:color w:val="auto"/>
          <w:spacing w:val="0"/>
          <w:lang w:val="en-CA" w:eastAsia="en-CA" w:bidi="ar-SA"/>
        </w:rPr>
        <mc:AlternateContent>
          <mc:Choice Requires="wps">
            <w:drawing>
              <wp:inline distT="0" distB="0" distL="0" distR="0" wp14:anchorId="0EB50972" wp14:editId="509ABFB5">
                <wp:extent cx="2737485" cy="316230"/>
                <wp:effectExtent l="0" t="0" r="24765" b="24765"/>
                <wp:docPr id="4" name="TextBox 4" descr="Logo " title="Candidat pour le gouvernement ouvert"/>
                <wp:cNvGraphicFramePr/>
                <a:graphic xmlns:a="http://schemas.openxmlformats.org/drawingml/2006/main">
                  <a:graphicData uri="http://schemas.microsoft.com/office/word/2010/wordprocessingShape">
                    <wps:wsp>
                      <wps:cNvSpPr txBox="1"/>
                      <wps:spPr>
                        <a:xfrm>
                          <a:off x="0" y="0"/>
                          <a:ext cx="2737485" cy="316230"/>
                        </a:xfrm>
                        <a:prstGeom prst="rect">
                          <a:avLst/>
                        </a:prstGeom>
                        <a:noFill/>
                        <a:ln w="19050">
                          <a:solidFill>
                            <a:sysClr val="windowText" lastClr="000000"/>
                          </a:solidFill>
                        </a:ln>
                      </wps:spPr>
                      <wps:txbx>
                        <w:txbxContent>
                          <w:p w14:paraId="289DE529" w14:textId="77777777" w:rsidR="00CD4D66" w:rsidRPr="003C346E" w:rsidRDefault="00CD4D66" w:rsidP="00D063F3">
                            <w:pPr>
                              <w:pStyle w:val="NormalWeb"/>
                              <w:kinsoku w:val="0"/>
                              <w:overflowPunct w:val="0"/>
                              <w:spacing w:after="0"/>
                              <w:jc w:val="center"/>
                              <w:textAlignment w:val="baseline"/>
                              <w:rPr>
                                <w:rFonts w:asciiTheme="majorHAnsi" w:hAnsiTheme="majorHAnsi" w:cstheme="majorHAnsi"/>
                                <w:sz w:val="22"/>
                              </w:rPr>
                            </w:pPr>
                            <w:r w:rsidRPr="003C346E">
                              <w:rPr>
                                <w:rFonts w:asciiTheme="majorHAnsi" w:hAnsiTheme="majorHAnsi" w:cstheme="majorHAnsi"/>
                                <w:color w:val="000000"/>
                                <w:kern w:val="24"/>
                                <w:sz w:val="28"/>
                              </w:rPr>
                              <w:t>Candidat pour le gouvernement ouvert</w:t>
                            </w:r>
                          </w:p>
                        </w:txbxContent>
                      </wps:txbx>
                      <wps:bodyPr wrap="square" rtlCol="0">
                        <a:spAutoFit/>
                      </wps:bodyPr>
                    </wps:wsp>
                  </a:graphicData>
                </a:graphic>
              </wp:inline>
            </w:drawing>
          </mc:Choice>
          <mc:Fallback>
            <w:pict>
              <v:shape w14:anchorId="0EB50972" id="TextBox 4" o:spid="_x0000_s1028" type="#_x0000_t202" alt="Title: Candidat pour le gouvernement ouvert - Description: Logo " style="width:215.55pt;height: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" filled="f" strokecolor="windowText" strokeweight="1.5pt">
                <v:textbox style="mso-fit-shape-to-text:t">
                  <w:txbxContent>
                    <w:p w14:paraId="289DE529" w14:textId="77777777" w:rsidR="00CD4D66" w:rsidRPr="003C346E" w:rsidRDefault="00CD4D66" w:rsidP="00D063F3">
                      <w:pPr>
                        <w:pStyle w:val="NormalWeb"/>
                        <w:kinsoku w:val="0"/>
                        <w:overflowPunct w:val="0"/>
                        <w:spacing w:after="0"/>
                        <w:jc w:val="center"/>
                        <w:textAlignment w:val="baseline"/>
                        <w:rPr>
                          <w:rFonts w:asciiTheme="majorHAnsi" w:hAnsiTheme="majorHAnsi" w:cstheme="majorHAnsi"/>
                          <w:sz w:val="22"/>
                        </w:rPr>
                      </w:pPr>
                      <w:r w:rsidRPr="003C346E">
                        <w:rPr>
                          <w:rFonts w:asciiTheme="majorHAnsi" w:hAnsiTheme="majorHAnsi" w:cstheme="majorHAnsi"/>
                          <w:color w:val="000000"/>
                          <w:kern w:val="24"/>
                          <w:sz w:val="28"/>
                        </w:rPr>
                        <w:t>Candidat pour le gouvernement ouvert</w:t>
                      </w:r>
                    </w:p>
                  </w:txbxContent>
                </v:textbox>
                <w10:anchorlock/>
              </v:shape>
            </w:pict>
          </mc:Fallback>
        </mc:AlternateContent>
      </w:r>
      <w:r w:rsidR="00D063F3">
        <w:rPr>
          <w:noProof/>
          <w:lang w:val="en-CA" w:eastAsia="en-CA" w:bidi="ar-SA"/>
        </w:rPr>
        <w:drawing>
          <wp:anchor distT="0" distB="0" distL="114300" distR="114300" simplePos="0" relativeHeight="251661312" behindDoc="1" locked="0" layoutInCell="1" allowOverlap="1" wp14:anchorId="3E1710DB" wp14:editId="4E9A208A">
            <wp:simplePos x="0" y="0"/>
            <wp:positionH relativeFrom="margin">
              <wp:posOffset>-963247</wp:posOffset>
            </wp:positionH>
            <wp:positionV relativeFrom="page">
              <wp:align>bottom</wp:align>
            </wp:positionV>
            <wp:extent cx="7759613" cy="10041852"/>
            <wp:effectExtent l="0" t="0" r="0" b="0"/>
            <wp:wrapNone/>
            <wp:docPr id="1" name="Picture 1" descr="F:\20140123\couverture\couverture_FR.jpg" title="Page de couver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40123\couverture\couverture_FR.jpg"/>
                    <pic:cNvPicPr>
                      <a:picLocks noChangeAspect="1" noChangeArrowheads="1"/>
                    </pic:cNvPicPr>
                  </pic:nvPicPr>
                  <pic:blipFill>
                    <a:blip r:embed="rId11" cstate="print"/>
                    <a:stretch>
                      <a:fillRect/>
                    </a:stretch>
                  </pic:blipFill>
                  <pic:spPr bwMode="auto">
                    <a:xfrm>
                      <a:off x="0" y="0"/>
                      <a:ext cx="7759613" cy="10041852"/>
                    </a:xfrm>
                    <a:prstGeom prst="rect">
                      <a:avLst/>
                    </a:prstGeom>
                    <a:noFill/>
                    <a:ln w="9525">
                      <a:noFill/>
                      <a:miter lim="800000"/>
                      <a:headEnd/>
                      <a:tailEnd/>
                    </a:ln>
                  </pic:spPr>
                </pic:pic>
              </a:graphicData>
            </a:graphic>
            <wp14:sizeRelH relativeFrom="margin">
              <wp14:pctWidth>0</wp14:pctWidth>
            </wp14:sizeRelH>
          </wp:anchor>
        </w:drawing>
      </w:r>
      <w:r w:rsidR="00D063F3">
        <w:rPr>
          <w:noProof/>
          <w:lang w:val="en-CA" w:eastAsia="en-CA" w:bidi="ar-SA"/>
        </w:rPr>
        <mc:AlternateContent>
          <mc:Choice Requires="wps">
            <w:drawing>
              <wp:anchor distT="0" distB="0" distL="114300" distR="114300" simplePos="0" relativeHeight="251750400" behindDoc="0" locked="0" layoutInCell="1" allowOverlap="1" wp14:anchorId="758891AF" wp14:editId="22C878DC">
                <wp:simplePos x="0" y="0"/>
                <wp:positionH relativeFrom="column">
                  <wp:posOffset>27305</wp:posOffset>
                </wp:positionH>
                <wp:positionV relativeFrom="paragraph">
                  <wp:posOffset>8404860</wp:posOffset>
                </wp:positionV>
                <wp:extent cx="2152015" cy="300990"/>
                <wp:effectExtent l="0" t="0" r="0" b="381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0078C" w14:textId="77777777" w:rsidR="00CD4D66" w:rsidRPr="00970BD8" w:rsidRDefault="00CD4D66" w:rsidP="00774C9E">
                            <w:pPr>
                              <w:rPr>
                                <w:rFonts w:asciiTheme="majorHAnsi" w:hAnsiTheme="majorHAnsi" w:cstheme="majorHAnsi"/>
                                <w:b/>
                                <w:sz w:val="20"/>
                                <w:szCs w:val="20"/>
                              </w:rPr>
                            </w:pPr>
                            <w:r>
                              <w:fldChar w:fldCharType="begin"/>
                            </w:r>
                            <w:r>
                              <w:instrText>AUTHOR SSDDI-RDIMMS# \* MERGEFORMAT</w:instrText>
                            </w:r>
                            <w:r>
                              <w:fldChar w:fldCharType="end"/>
                            </w:r>
                            <w:r>
                              <w:rPr>
                                <w:rFonts w:asciiTheme="majorHAnsi" w:hAnsiTheme="majorHAnsi" w:cstheme="majorHAnsi"/>
                                <w:b/>
                                <w:noProof/>
                                <w:sz w:val="20"/>
                              </w:rPr>
                              <w:t>GCDOCS N</w:t>
                            </w:r>
                            <w:r>
                              <w:rPr>
                                <w:rFonts w:asciiTheme="majorHAnsi" w:hAnsiTheme="majorHAnsi" w:cstheme="majorHAnsi"/>
                                <w:b/>
                                <w:noProof/>
                                <w:sz w:val="20"/>
                                <w:vertAlign w:val="superscript"/>
                              </w:rPr>
                              <w:t>O</w:t>
                            </w:r>
                            <w:r w:rsidR="009F1447">
                              <w:rPr>
                                <w:rFonts w:asciiTheme="majorHAnsi" w:hAnsiTheme="majorHAnsi" w:cstheme="majorHAnsi"/>
                                <w:b/>
                                <w:noProof/>
                                <w:sz w:val="20"/>
                              </w:rPr>
                              <w:t xml:space="preserve"> </w:t>
                            </w:r>
                            <w:r w:rsidR="00AD02DE">
                              <w:rPr>
                                <w:rFonts w:asciiTheme="majorHAnsi" w:hAnsiTheme="majorHAnsi" w:cstheme="majorHAnsi"/>
                                <w:b/>
                                <w:noProof/>
                                <w:sz w:val="20"/>
                              </w:rPr>
                              <w:t>748199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891AF" id="Text Box 21" o:spid="_x0000_s1029" type="#_x0000_t202" style="position:absolute;margin-left:2.15pt;margin-top:661.8pt;width:169.45pt;height:23.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FfugIAAMI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" filled="f" stroked="f">
                <v:textbox>
                  <w:txbxContent>
                    <w:p w14:paraId="0F10078C" w14:textId="77777777" w:rsidR="00CD4D66" w:rsidRPr="00970BD8" w:rsidRDefault="00CD4D66" w:rsidP="00774C9E">
                      <w:pPr>
                        <w:rPr>
                          <w:rFonts w:asciiTheme="majorHAnsi" w:hAnsiTheme="majorHAnsi" w:cstheme="majorHAnsi"/>
                          <w:b/>
                          <w:sz w:val="20"/>
                          <w:szCs w:val="20"/>
                        </w:rPr>
                      </w:pPr>
                      <w:r>
                        <w:fldChar w:fldCharType="begin"/>
                      </w:r>
                      <w:r>
                        <w:instrText>AUTHOR SSDDI-RDIMMS# \* MERGEFORMAT</w:instrText>
                      </w:r>
                      <w:r>
                        <w:fldChar w:fldCharType="end"/>
                      </w:r>
                      <w:r>
                        <w:rPr>
                          <w:rFonts w:asciiTheme="majorHAnsi" w:hAnsiTheme="majorHAnsi" w:cstheme="majorHAnsi"/>
                          <w:b/>
                          <w:noProof/>
                          <w:sz w:val="20"/>
                        </w:rPr>
                        <w:t>GCDOCS N</w:t>
                      </w:r>
                      <w:r>
                        <w:rPr>
                          <w:rFonts w:asciiTheme="majorHAnsi" w:hAnsiTheme="majorHAnsi" w:cstheme="majorHAnsi"/>
                          <w:b/>
                          <w:noProof/>
                          <w:sz w:val="20"/>
                          <w:vertAlign w:val="superscript"/>
                        </w:rPr>
                        <w:t>O</w:t>
                      </w:r>
                      <w:r w:rsidR="009F1447">
                        <w:rPr>
                          <w:rFonts w:asciiTheme="majorHAnsi" w:hAnsiTheme="majorHAnsi" w:cstheme="majorHAnsi"/>
                          <w:b/>
                          <w:noProof/>
                          <w:sz w:val="20"/>
                        </w:rPr>
                        <w:t xml:space="preserve"> </w:t>
                      </w:r>
                      <w:r w:rsidR="00AD02DE">
                        <w:rPr>
                          <w:rFonts w:asciiTheme="majorHAnsi" w:hAnsiTheme="majorHAnsi" w:cstheme="majorHAnsi"/>
                          <w:b/>
                          <w:noProof/>
                          <w:sz w:val="20"/>
                        </w:rPr>
                        <w:t>748199</w:t>
                      </w:r>
                    </w:p>
                  </w:txbxContent>
                </v:textbox>
              </v:shape>
            </w:pict>
          </mc:Fallback>
        </mc:AlternateContent>
      </w:r>
    </w:p>
    <w:bookmarkStart w:id="0" w:name="_Toc512263595" w:displacedByCustomXml="next"/>
    <w:bookmarkStart w:id="1" w:name="_Toc528845182" w:displacedByCustomXml="next"/>
    <w:sdt>
      <w:sdtPr>
        <w:rPr>
          <w:rFonts w:ascii="Arial" w:eastAsiaTheme="minorHAnsi" w:hAnsi="Arial" w:cstheme="minorBidi"/>
          <w:b/>
          <w:bCs/>
          <w:caps/>
          <w:noProof/>
          <w:color w:val="000000"/>
          <w:sz w:val="22"/>
          <w:szCs w:val="22"/>
        </w:rPr>
        <w:id w:val="80352222"/>
        <w:docPartObj>
          <w:docPartGallery w:val="Table of Contents"/>
          <w:docPartUnique/>
        </w:docPartObj>
      </w:sdtPr>
      <w:sdtEndPr>
        <w:rPr>
          <w:b w:val="0"/>
          <w:bCs w:val="0"/>
          <w:caps w:val="0"/>
          <w:sz w:val="20"/>
        </w:rPr>
      </w:sdtEndPr>
      <w:sdtContent>
        <w:p w14:paraId="7C09E59D" w14:textId="77777777" w:rsidR="00EE2495" w:rsidRPr="00006075" w:rsidRDefault="00EE2495" w:rsidP="00EE2495">
          <w:pPr>
            <w:pStyle w:val="Heading2"/>
          </w:pPr>
          <w:r>
            <w:t>Contenu</w:t>
          </w:r>
          <w:bookmarkEnd w:id="1"/>
          <w:bookmarkEnd w:id="0"/>
        </w:p>
        <w:p w14:paraId="22BAAB47" w14:textId="77777777" w:rsidR="00EE2495" w:rsidRPr="004A1F52" w:rsidRDefault="00EE2495" w:rsidP="00F9047D">
          <w:pPr>
            <w:pStyle w:val="TOC2"/>
            <w:rPr>
              <w:rStyle w:val="Hyperlink"/>
              <w:b/>
            </w:rPr>
          </w:pPr>
        </w:p>
        <w:p w14:paraId="6E49845A" w14:textId="77777777" w:rsidR="00C904E9" w:rsidRDefault="00F17C00">
          <w:pPr>
            <w:pStyle w:val="TOC2"/>
            <w:rPr>
              <w:rFonts w:asciiTheme="minorHAnsi" w:eastAsiaTheme="minorEastAsia" w:hAnsiTheme="minorHAnsi"/>
              <w:sz w:val="22"/>
              <w:lang w:val="en-CA" w:eastAsia="en-CA" w:bidi="ar-SA"/>
            </w:rPr>
          </w:pPr>
          <w:r w:rsidRPr="004A1F52">
            <w:rPr>
              <w:rStyle w:val="Hyperlink"/>
              <w:rFonts w:eastAsiaTheme="minorEastAsia" w:cs="Times New Roman"/>
              <w:caps/>
            </w:rPr>
            <w:fldChar w:fldCharType="begin"/>
          </w:r>
          <w:r w:rsidR="00EE2495" w:rsidRPr="004A1F52">
            <w:rPr>
              <w:rStyle w:val="Hyperlink"/>
            </w:rPr>
            <w:instrText xml:space="preserve"> TOC \o "1-5" \h \z \u </w:instrText>
          </w:r>
          <w:r w:rsidRPr="004A1F52">
            <w:rPr>
              <w:rStyle w:val="Hyperlink"/>
              <w:rFonts w:eastAsiaTheme="minorEastAsia" w:cs="Times New Roman"/>
              <w:caps/>
            </w:rPr>
            <w:fldChar w:fldCharType="separate"/>
          </w:r>
          <w:hyperlink w:anchor="_Toc528845182" w:history="1">
            <w:r w:rsidR="00C904E9" w:rsidRPr="00CC6B1D">
              <w:rPr>
                <w:rStyle w:val="Hyperlink"/>
              </w:rPr>
              <w:t>Contenu</w:t>
            </w:r>
            <w:r w:rsidR="00C904E9">
              <w:rPr>
                <w:webHidden/>
              </w:rPr>
              <w:tab/>
            </w:r>
            <w:r w:rsidR="00C904E9">
              <w:rPr>
                <w:webHidden/>
              </w:rPr>
              <w:fldChar w:fldCharType="begin"/>
            </w:r>
            <w:r w:rsidR="00C904E9">
              <w:rPr>
                <w:webHidden/>
              </w:rPr>
              <w:instrText xml:space="preserve"> PAGEREF _Toc528845182 \h </w:instrText>
            </w:r>
            <w:r w:rsidR="00C904E9">
              <w:rPr>
                <w:webHidden/>
              </w:rPr>
            </w:r>
            <w:r w:rsidR="00C904E9">
              <w:rPr>
                <w:webHidden/>
              </w:rPr>
              <w:fldChar w:fldCharType="separate"/>
            </w:r>
            <w:r w:rsidR="00AD02DE">
              <w:rPr>
                <w:webHidden/>
              </w:rPr>
              <w:t>i</w:t>
            </w:r>
            <w:r w:rsidR="00C904E9">
              <w:rPr>
                <w:webHidden/>
              </w:rPr>
              <w:fldChar w:fldCharType="end"/>
            </w:r>
          </w:hyperlink>
        </w:p>
        <w:p w14:paraId="15676E6E" w14:textId="77777777" w:rsidR="00C904E9" w:rsidRDefault="005474A1">
          <w:pPr>
            <w:pStyle w:val="TOC2"/>
            <w:rPr>
              <w:rFonts w:asciiTheme="minorHAnsi" w:eastAsiaTheme="minorEastAsia" w:hAnsiTheme="minorHAnsi"/>
              <w:sz w:val="22"/>
              <w:lang w:val="en-CA" w:eastAsia="en-CA" w:bidi="ar-SA"/>
            </w:rPr>
          </w:pPr>
          <w:hyperlink w:anchor="_Toc528845183" w:history="1">
            <w:r w:rsidR="00C904E9" w:rsidRPr="00CC6B1D">
              <w:rPr>
                <w:rStyle w:val="Hyperlink"/>
              </w:rPr>
              <w:t>Énoncé de vision</w:t>
            </w:r>
            <w:r w:rsidR="00C904E9">
              <w:rPr>
                <w:webHidden/>
              </w:rPr>
              <w:tab/>
            </w:r>
            <w:r w:rsidR="00C904E9">
              <w:rPr>
                <w:webHidden/>
              </w:rPr>
              <w:fldChar w:fldCharType="begin"/>
            </w:r>
            <w:r w:rsidR="00C904E9">
              <w:rPr>
                <w:webHidden/>
              </w:rPr>
              <w:instrText xml:space="preserve"> PAGEREF _Toc528845183 \h </w:instrText>
            </w:r>
            <w:r w:rsidR="00C904E9">
              <w:rPr>
                <w:webHidden/>
              </w:rPr>
            </w:r>
            <w:r w:rsidR="00C904E9">
              <w:rPr>
                <w:webHidden/>
              </w:rPr>
              <w:fldChar w:fldCharType="separate"/>
            </w:r>
            <w:r w:rsidR="00AD02DE">
              <w:rPr>
                <w:webHidden/>
              </w:rPr>
              <w:t>1</w:t>
            </w:r>
            <w:r w:rsidR="00C904E9">
              <w:rPr>
                <w:webHidden/>
              </w:rPr>
              <w:fldChar w:fldCharType="end"/>
            </w:r>
          </w:hyperlink>
        </w:p>
        <w:p w14:paraId="3C041DA5" w14:textId="77777777" w:rsidR="00C904E9" w:rsidRDefault="005474A1">
          <w:pPr>
            <w:pStyle w:val="TOC2"/>
            <w:rPr>
              <w:rFonts w:asciiTheme="minorHAnsi" w:eastAsiaTheme="minorEastAsia" w:hAnsiTheme="minorHAnsi"/>
              <w:sz w:val="22"/>
              <w:lang w:val="en-CA" w:eastAsia="en-CA" w:bidi="ar-SA"/>
            </w:rPr>
          </w:pPr>
          <w:hyperlink w:anchor="_Toc528845184" w:history="1">
            <w:r w:rsidR="00C904E9" w:rsidRPr="00CC6B1D">
              <w:rPr>
                <w:rStyle w:val="Hyperlink"/>
              </w:rPr>
              <w:t>1. Stratégie de gestion des données de la CFP - Introduction</w:t>
            </w:r>
            <w:r w:rsidR="00C904E9">
              <w:rPr>
                <w:webHidden/>
              </w:rPr>
              <w:tab/>
            </w:r>
            <w:r w:rsidR="00C904E9">
              <w:rPr>
                <w:webHidden/>
              </w:rPr>
              <w:fldChar w:fldCharType="begin"/>
            </w:r>
            <w:r w:rsidR="00C904E9">
              <w:rPr>
                <w:webHidden/>
              </w:rPr>
              <w:instrText xml:space="preserve"> PAGEREF _Toc528845184 \h </w:instrText>
            </w:r>
            <w:r w:rsidR="00C904E9">
              <w:rPr>
                <w:webHidden/>
              </w:rPr>
            </w:r>
            <w:r w:rsidR="00C904E9">
              <w:rPr>
                <w:webHidden/>
              </w:rPr>
              <w:fldChar w:fldCharType="separate"/>
            </w:r>
            <w:r w:rsidR="00AD02DE">
              <w:rPr>
                <w:webHidden/>
              </w:rPr>
              <w:t>1</w:t>
            </w:r>
            <w:r w:rsidR="00C904E9">
              <w:rPr>
                <w:webHidden/>
              </w:rPr>
              <w:fldChar w:fldCharType="end"/>
            </w:r>
          </w:hyperlink>
        </w:p>
        <w:p w14:paraId="04F218D0" w14:textId="77777777" w:rsidR="00C904E9" w:rsidRDefault="005474A1">
          <w:pPr>
            <w:pStyle w:val="TOC2"/>
            <w:rPr>
              <w:rFonts w:asciiTheme="minorHAnsi" w:eastAsiaTheme="minorEastAsia" w:hAnsiTheme="minorHAnsi"/>
              <w:sz w:val="22"/>
              <w:lang w:val="en-CA" w:eastAsia="en-CA" w:bidi="ar-SA"/>
            </w:rPr>
          </w:pPr>
          <w:hyperlink w:anchor="_Toc528845185" w:history="1">
            <w:r w:rsidR="00C904E9" w:rsidRPr="00CC6B1D">
              <w:rPr>
                <w:rStyle w:val="Hyperlink"/>
              </w:rPr>
              <w:t>2. Contexte</w:t>
            </w:r>
            <w:r w:rsidR="00C904E9">
              <w:rPr>
                <w:webHidden/>
              </w:rPr>
              <w:tab/>
            </w:r>
            <w:r w:rsidR="00C904E9">
              <w:rPr>
                <w:webHidden/>
              </w:rPr>
              <w:fldChar w:fldCharType="begin"/>
            </w:r>
            <w:r w:rsidR="00C904E9">
              <w:rPr>
                <w:webHidden/>
              </w:rPr>
              <w:instrText xml:space="preserve"> PAGEREF _Toc528845185 \h </w:instrText>
            </w:r>
            <w:r w:rsidR="00C904E9">
              <w:rPr>
                <w:webHidden/>
              </w:rPr>
            </w:r>
            <w:r w:rsidR="00C904E9">
              <w:rPr>
                <w:webHidden/>
              </w:rPr>
              <w:fldChar w:fldCharType="separate"/>
            </w:r>
            <w:r w:rsidR="00AD02DE">
              <w:rPr>
                <w:webHidden/>
              </w:rPr>
              <w:t>2</w:t>
            </w:r>
            <w:r w:rsidR="00C904E9">
              <w:rPr>
                <w:webHidden/>
              </w:rPr>
              <w:fldChar w:fldCharType="end"/>
            </w:r>
          </w:hyperlink>
        </w:p>
        <w:p w14:paraId="56AE9D2E" w14:textId="77777777" w:rsidR="00C904E9" w:rsidRDefault="005474A1">
          <w:pPr>
            <w:pStyle w:val="TOC2"/>
            <w:rPr>
              <w:rFonts w:asciiTheme="minorHAnsi" w:eastAsiaTheme="minorEastAsia" w:hAnsiTheme="minorHAnsi"/>
              <w:sz w:val="22"/>
              <w:lang w:val="en-CA" w:eastAsia="en-CA" w:bidi="ar-SA"/>
            </w:rPr>
          </w:pPr>
          <w:hyperlink w:anchor="_Toc528845186" w:history="1">
            <w:r w:rsidR="00C904E9" w:rsidRPr="00CC6B1D">
              <w:rPr>
                <w:rStyle w:val="Hyperlink"/>
              </w:rPr>
              <w:t>3. Analyse de rentabilité</w:t>
            </w:r>
            <w:r w:rsidR="00C904E9">
              <w:rPr>
                <w:webHidden/>
              </w:rPr>
              <w:tab/>
            </w:r>
            <w:r w:rsidR="00C904E9">
              <w:rPr>
                <w:webHidden/>
              </w:rPr>
              <w:fldChar w:fldCharType="begin"/>
            </w:r>
            <w:r w:rsidR="00C904E9">
              <w:rPr>
                <w:webHidden/>
              </w:rPr>
              <w:instrText xml:space="preserve"> PAGEREF _Toc528845186 \h </w:instrText>
            </w:r>
            <w:r w:rsidR="00C904E9">
              <w:rPr>
                <w:webHidden/>
              </w:rPr>
            </w:r>
            <w:r w:rsidR="00C904E9">
              <w:rPr>
                <w:webHidden/>
              </w:rPr>
              <w:fldChar w:fldCharType="separate"/>
            </w:r>
            <w:r w:rsidR="00AD02DE">
              <w:rPr>
                <w:webHidden/>
              </w:rPr>
              <w:t>4</w:t>
            </w:r>
            <w:r w:rsidR="00C904E9">
              <w:rPr>
                <w:webHidden/>
              </w:rPr>
              <w:fldChar w:fldCharType="end"/>
            </w:r>
          </w:hyperlink>
        </w:p>
        <w:p w14:paraId="03D0E1B4" w14:textId="77777777" w:rsidR="00C904E9" w:rsidRDefault="005474A1">
          <w:pPr>
            <w:pStyle w:val="TOC2"/>
            <w:rPr>
              <w:rFonts w:asciiTheme="minorHAnsi" w:eastAsiaTheme="minorEastAsia" w:hAnsiTheme="minorHAnsi"/>
              <w:sz w:val="22"/>
              <w:lang w:val="en-CA" w:eastAsia="en-CA" w:bidi="ar-SA"/>
            </w:rPr>
          </w:pPr>
          <w:hyperlink w:anchor="_Toc528845187" w:history="1">
            <w:r w:rsidR="00C904E9" w:rsidRPr="00CC6B1D">
              <w:rPr>
                <w:rStyle w:val="Hyperlink"/>
              </w:rPr>
              <w:t>4. Composantes de la Stratégie de gestion des données de la CFP</w:t>
            </w:r>
            <w:r w:rsidR="00C904E9">
              <w:rPr>
                <w:webHidden/>
              </w:rPr>
              <w:tab/>
            </w:r>
            <w:r w:rsidR="00C904E9">
              <w:rPr>
                <w:webHidden/>
              </w:rPr>
              <w:fldChar w:fldCharType="begin"/>
            </w:r>
            <w:r w:rsidR="00C904E9">
              <w:rPr>
                <w:webHidden/>
              </w:rPr>
              <w:instrText xml:space="preserve"> PAGEREF _Toc528845187 \h </w:instrText>
            </w:r>
            <w:r w:rsidR="00C904E9">
              <w:rPr>
                <w:webHidden/>
              </w:rPr>
            </w:r>
            <w:r w:rsidR="00C904E9">
              <w:rPr>
                <w:webHidden/>
              </w:rPr>
              <w:fldChar w:fldCharType="separate"/>
            </w:r>
            <w:r w:rsidR="00AD02DE">
              <w:rPr>
                <w:webHidden/>
              </w:rPr>
              <w:t>5</w:t>
            </w:r>
            <w:r w:rsidR="00C904E9">
              <w:rPr>
                <w:webHidden/>
              </w:rPr>
              <w:fldChar w:fldCharType="end"/>
            </w:r>
          </w:hyperlink>
        </w:p>
        <w:p w14:paraId="7F6F70C2" w14:textId="77777777" w:rsidR="00C904E9" w:rsidRDefault="005474A1">
          <w:pPr>
            <w:pStyle w:val="TOC3"/>
            <w:rPr>
              <w:rFonts w:asciiTheme="minorHAnsi" w:eastAsiaTheme="minorEastAsia" w:hAnsiTheme="minorHAnsi"/>
              <w:sz w:val="22"/>
              <w:lang w:val="en-CA" w:eastAsia="en-CA" w:bidi="ar-SA"/>
            </w:rPr>
          </w:pPr>
          <w:hyperlink w:anchor="_Toc528845188" w:history="1">
            <w:r w:rsidR="00C904E9" w:rsidRPr="00CC6B1D">
              <w:rPr>
                <w:rStyle w:val="Hyperlink"/>
              </w:rPr>
              <w:t>4.1 Gestion des données</w:t>
            </w:r>
            <w:r w:rsidR="00C904E9">
              <w:rPr>
                <w:webHidden/>
              </w:rPr>
              <w:tab/>
            </w:r>
            <w:r w:rsidR="00C904E9">
              <w:rPr>
                <w:webHidden/>
              </w:rPr>
              <w:fldChar w:fldCharType="begin"/>
            </w:r>
            <w:r w:rsidR="00C904E9">
              <w:rPr>
                <w:webHidden/>
              </w:rPr>
              <w:instrText xml:space="preserve"> PAGEREF _Toc528845188 \h </w:instrText>
            </w:r>
            <w:r w:rsidR="00C904E9">
              <w:rPr>
                <w:webHidden/>
              </w:rPr>
            </w:r>
            <w:r w:rsidR="00C904E9">
              <w:rPr>
                <w:webHidden/>
              </w:rPr>
              <w:fldChar w:fldCharType="separate"/>
            </w:r>
            <w:r w:rsidR="00AD02DE">
              <w:rPr>
                <w:webHidden/>
              </w:rPr>
              <w:t>5</w:t>
            </w:r>
            <w:r w:rsidR="00C904E9">
              <w:rPr>
                <w:webHidden/>
              </w:rPr>
              <w:fldChar w:fldCharType="end"/>
            </w:r>
          </w:hyperlink>
        </w:p>
        <w:p w14:paraId="7145AF6B" w14:textId="77777777" w:rsidR="00C904E9" w:rsidRDefault="005474A1">
          <w:pPr>
            <w:pStyle w:val="TOC3"/>
            <w:rPr>
              <w:rFonts w:asciiTheme="minorHAnsi" w:eastAsiaTheme="minorEastAsia" w:hAnsiTheme="minorHAnsi"/>
              <w:sz w:val="22"/>
              <w:lang w:val="en-CA" w:eastAsia="en-CA" w:bidi="ar-SA"/>
            </w:rPr>
          </w:pPr>
          <w:hyperlink w:anchor="_Toc528845192" w:history="1">
            <w:r w:rsidR="00C904E9" w:rsidRPr="00CC6B1D">
              <w:rPr>
                <w:rStyle w:val="Hyperlink"/>
              </w:rPr>
              <w:t>4.2 Infrastructure de données</w:t>
            </w:r>
            <w:r w:rsidR="00C904E9">
              <w:rPr>
                <w:webHidden/>
              </w:rPr>
              <w:tab/>
            </w:r>
            <w:r w:rsidR="00C904E9">
              <w:rPr>
                <w:webHidden/>
              </w:rPr>
              <w:fldChar w:fldCharType="begin"/>
            </w:r>
            <w:r w:rsidR="00C904E9">
              <w:rPr>
                <w:webHidden/>
              </w:rPr>
              <w:instrText xml:space="preserve"> PAGEREF _Toc528845192 \h </w:instrText>
            </w:r>
            <w:r w:rsidR="00C904E9">
              <w:rPr>
                <w:webHidden/>
              </w:rPr>
            </w:r>
            <w:r w:rsidR="00C904E9">
              <w:rPr>
                <w:webHidden/>
              </w:rPr>
              <w:fldChar w:fldCharType="separate"/>
            </w:r>
            <w:r w:rsidR="00AD02DE">
              <w:rPr>
                <w:webHidden/>
              </w:rPr>
              <w:t>8</w:t>
            </w:r>
            <w:r w:rsidR="00C904E9">
              <w:rPr>
                <w:webHidden/>
              </w:rPr>
              <w:fldChar w:fldCharType="end"/>
            </w:r>
          </w:hyperlink>
        </w:p>
        <w:p w14:paraId="1967A046" w14:textId="77777777" w:rsidR="00C904E9" w:rsidRDefault="005474A1">
          <w:pPr>
            <w:pStyle w:val="TOC3"/>
            <w:rPr>
              <w:rFonts w:asciiTheme="minorHAnsi" w:eastAsiaTheme="minorEastAsia" w:hAnsiTheme="minorHAnsi"/>
              <w:sz w:val="22"/>
              <w:lang w:val="en-CA" w:eastAsia="en-CA" w:bidi="ar-SA"/>
            </w:rPr>
          </w:pPr>
          <w:hyperlink w:anchor="_Toc528845195" w:history="1">
            <w:r w:rsidR="00C904E9" w:rsidRPr="00CC6B1D">
              <w:rPr>
                <w:rStyle w:val="Hyperlink"/>
              </w:rPr>
              <w:t>4.3 Utilisateurs de données - « Connaître, Comprendre, Présenter, Défendre »</w:t>
            </w:r>
            <w:r w:rsidR="00C904E9">
              <w:rPr>
                <w:webHidden/>
              </w:rPr>
              <w:tab/>
            </w:r>
            <w:r w:rsidR="00C904E9">
              <w:rPr>
                <w:webHidden/>
              </w:rPr>
              <w:fldChar w:fldCharType="begin"/>
            </w:r>
            <w:r w:rsidR="00C904E9">
              <w:rPr>
                <w:webHidden/>
              </w:rPr>
              <w:instrText xml:space="preserve"> PAGEREF _Toc528845195 \h </w:instrText>
            </w:r>
            <w:r w:rsidR="00C904E9">
              <w:rPr>
                <w:webHidden/>
              </w:rPr>
            </w:r>
            <w:r w:rsidR="00C904E9">
              <w:rPr>
                <w:webHidden/>
              </w:rPr>
              <w:fldChar w:fldCharType="separate"/>
            </w:r>
            <w:r w:rsidR="00AD02DE">
              <w:rPr>
                <w:webHidden/>
              </w:rPr>
              <w:t>11</w:t>
            </w:r>
            <w:r w:rsidR="00C904E9">
              <w:rPr>
                <w:webHidden/>
              </w:rPr>
              <w:fldChar w:fldCharType="end"/>
            </w:r>
          </w:hyperlink>
        </w:p>
        <w:p w14:paraId="377C4F68" w14:textId="77777777" w:rsidR="00C904E9" w:rsidRDefault="005474A1">
          <w:pPr>
            <w:pStyle w:val="TOC2"/>
            <w:rPr>
              <w:rFonts w:asciiTheme="minorHAnsi" w:eastAsiaTheme="minorEastAsia" w:hAnsiTheme="minorHAnsi"/>
              <w:sz w:val="22"/>
              <w:lang w:val="en-CA" w:eastAsia="en-CA" w:bidi="ar-SA"/>
            </w:rPr>
          </w:pPr>
          <w:hyperlink w:anchor="_Toc528845197" w:history="1">
            <w:r w:rsidR="00C904E9" w:rsidRPr="00CC6B1D">
              <w:rPr>
                <w:rStyle w:val="Hyperlink"/>
              </w:rPr>
              <w:t>Annexe A - Structure de gouvernance pour la Stratégie de gestion des données</w:t>
            </w:r>
            <w:r w:rsidR="00C904E9">
              <w:rPr>
                <w:webHidden/>
              </w:rPr>
              <w:tab/>
            </w:r>
            <w:r w:rsidR="00C904E9">
              <w:rPr>
                <w:webHidden/>
              </w:rPr>
              <w:fldChar w:fldCharType="begin"/>
            </w:r>
            <w:r w:rsidR="00C904E9">
              <w:rPr>
                <w:webHidden/>
              </w:rPr>
              <w:instrText xml:space="preserve"> PAGEREF _Toc528845197 \h </w:instrText>
            </w:r>
            <w:r w:rsidR="00C904E9">
              <w:rPr>
                <w:webHidden/>
              </w:rPr>
            </w:r>
            <w:r w:rsidR="00C904E9">
              <w:rPr>
                <w:webHidden/>
              </w:rPr>
              <w:fldChar w:fldCharType="separate"/>
            </w:r>
            <w:r w:rsidR="00AD02DE">
              <w:rPr>
                <w:webHidden/>
              </w:rPr>
              <w:t>13</w:t>
            </w:r>
            <w:r w:rsidR="00C904E9">
              <w:rPr>
                <w:webHidden/>
              </w:rPr>
              <w:fldChar w:fldCharType="end"/>
            </w:r>
          </w:hyperlink>
        </w:p>
        <w:p w14:paraId="36FF288A" w14:textId="77777777" w:rsidR="00C904E9" w:rsidRDefault="005474A1">
          <w:pPr>
            <w:pStyle w:val="TOC2"/>
            <w:rPr>
              <w:rFonts w:asciiTheme="minorHAnsi" w:eastAsiaTheme="minorEastAsia" w:hAnsiTheme="minorHAnsi"/>
              <w:sz w:val="22"/>
              <w:lang w:val="en-CA" w:eastAsia="en-CA" w:bidi="ar-SA"/>
            </w:rPr>
          </w:pPr>
          <w:hyperlink w:anchor="_Toc528845198" w:history="1">
            <w:r w:rsidR="00C904E9" w:rsidRPr="00CC6B1D">
              <w:rPr>
                <w:rStyle w:val="Hyperlink"/>
              </w:rPr>
              <w:t>Annexe B - Dirigeant principal des données et dirigeant principal de l’information : Rôles et responsabilités</w:t>
            </w:r>
            <w:r w:rsidR="00C904E9">
              <w:rPr>
                <w:webHidden/>
              </w:rPr>
              <w:tab/>
            </w:r>
            <w:r w:rsidR="00C904E9">
              <w:rPr>
                <w:webHidden/>
              </w:rPr>
              <w:fldChar w:fldCharType="begin"/>
            </w:r>
            <w:r w:rsidR="00C904E9">
              <w:rPr>
                <w:webHidden/>
              </w:rPr>
              <w:instrText xml:space="preserve"> PAGEREF _Toc528845198 \h </w:instrText>
            </w:r>
            <w:r w:rsidR="00C904E9">
              <w:rPr>
                <w:webHidden/>
              </w:rPr>
            </w:r>
            <w:r w:rsidR="00C904E9">
              <w:rPr>
                <w:webHidden/>
              </w:rPr>
              <w:fldChar w:fldCharType="separate"/>
            </w:r>
            <w:r w:rsidR="00AD02DE">
              <w:rPr>
                <w:webHidden/>
              </w:rPr>
              <w:t>15</w:t>
            </w:r>
            <w:r w:rsidR="00C904E9">
              <w:rPr>
                <w:webHidden/>
              </w:rPr>
              <w:fldChar w:fldCharType="end"/>
            </w:r>
          </w:hyperlink>
        </w:p>
        <w:p w14:paraId="75C31537" w14:textId="77777777" w:rsidR="00C904E9" w:rsidRDefault="005474A1">
          <w:pPr>
            <w:pStyle w:val="TOC2"/>
            <w:rPr>
              <w:rFonts w:asciiTheme="minorHAnsi" w:eastAsiaTheme="minorEastAsia" w:hAnsiTheme="minorHAnsi"/>
              <w:sz w:val="22"/>
              <w:lang w:val="en-CA" w:eastAsia="en-CA" w:bidi="ar-SA"/>
            </w:rPr>
          </w:pPr>
          <w:hyperlink w:anchor="_Toc528845199" w:history="1">
            <w:r w:rsidR="00C904E9" w:rsidRPr="00CC6B1D">
              <w:rPr>
                <w:rStyle w:val="Hyperlink"/>
              </w:rPr>
              <w:t>Annexe C : Modèle de maturité pour la gestion de données (MMGD)</w:t>
            </w:r>
            <w:r w:rsidR="00C904E9">
              <w:rPr>
                <w:webHidden/>
              </w:rPr>
              <w:tab/>
            </w:r>
            <w:r w:rsidR="00C904E9">
              <w:rPr>
                <w:webHidden/>
              </w:rPr>
              <w:fldChar w:fldCharType="begin"/>
            </w:r>
            <w:r w:rsidR="00C904E9">
              <w:rPr>
                <w:webHidden/>
              </w:rPr>
              <w:instrText xml:space="preserve"> PAGEREF _Toc528845199 \h </w:instrText>
            </w:r>
            <w:r w:rsidR="00C904E9">
              <w:rPr>
                <w:webHidden/>
              </w:rPr>
            </w:r>
            <w:r w:rsidR="00C904E9">
              <w:rPr>
                <w:webHidden/>
              </w:rPr>
              <w:fldChar w:fldCharType="separate"/>
            </w:r>
            <w:r w:rsidR="00AD02DE">
              <w:rPr>
                <w:webHidden/>
              </w:rPr>
              <w:t>16</w:t>
            </w:r>
            <w:r w:rsidR="00C904E9">
              <w:rPr>
                <w:webHidden/>
              </w:rPr>
              <w:fldChar w:fldCharType="end"/>
            </w:r>
          </w:hyperlink>
        </w:p>
        <w:p w14:paraId="5811CC13" w14:textId="77777777" w:rsidR="00C904E9" w:rsidRDefault="005474A1">
          <w:pPr>
            <w:pStyle w:val="TOC2"/>
            <w:rPr>
              <w:rFonts w:asciiTheme="minorHAnsi" w:eastAsiaTheme="minorEastAsia" w:hAnsiTheme="minorHAnsi"/>
              <w:sz w:val="22"/>
              <w:lang w:val="en-CA" w:eastAsia="en-CA" w:bidi="ar-SA"/>
            </w:rPr>
          </w:pPr>
          <w:hyperlink w:anchor="_Toc528845200" w:history="1">
            <w:r w:rsidR="00C904E9" w:rsidRPr="00CC6B1D">
              <w:rPr>
                <w:rStyle w:val="Hyperlink"/>
              </w:rPr>
              <w:t>Annexe D : Acronymes</w:t>
            </w:r>
            <w:r w:rsidR="00C904E9">
              <w:rPr>
                <w:webHidden/>
              </w:rPr>
              <w:tab/>
            </w:r>
            <w:r w:rsidR="00C904E9">
              <w:rPr>
                <w:webHidden/>
              </w:rPr>
              <w:fldChar w:fldCharType="begin"/>
            </w:r>
            <w:r w:rsidR="00C904E9">
              <w:rPr>
                <w:webHidden/>
              </w:rPr>
              <w:instrText xml:space="preserve"> PAGEREF _Toc528845200 \h </w:instrText>
            </w:r>
            <w:r w:rsidR="00C904E9">
              <w:rPr>
                <w:webHidden/>
              </w:rPr>
            </w:r>
            <w:r w:rsidR="00C904E9">
              <w:rPr>
                <w:webHidden/>
              </w:rPr>
              <w:fldChar w:fldCharType="separate"/>
            </w:r>
            <w:r w:rsidR="00AD02DE">
              <w:rPr>
                <w:webHidden/>
              </w:rPr>
              <w:t>18</w:t>
            </w:r>
            <w:r w:rsidR="00C904E9">
              <w:rPr>
                <w:webHidden/>
              </w:rPr>
              <w:fldChar w:fldCharType="end"/>
            </w:r>
          </w:hyperlink>
        </w:p>
        <w:p w14:paraId="3DCEE0BA" w14:textId="77777777" w:rsidR="0052448C" w:rsidRDefault="00F17C00">
          <w:pPr>
            <w:pStyle w:val="TOC2"/>
            <w:rPr>
              <w:rFonts w:asciiTheme="minorHAnsi" w:eastAsiaTheme="minorEastAsia" w:hAnsiTheme="minorHAnsi"/>
              <w:sz w:val="22"/>
            </w:rPr>
          </w:pPr>
          <w:r w:rsidRPr="004A1F52">
            <w:rPr>
              <w:rStyle w:val="Hyperlink"/>
              <w:b/>
            </w:rPr>
            <w:fldChar w:fldCharType="end"/>
          </w:r>
        </w:p>
      </w:sdtContent>
    </w:sdt>
    <w:p w14:paraId="449001A8" w14:textId="77777777" w:rsidR="00EE2495" w:rsidRPr="004A1F52" w:rsidRDefault="00EE2495" w:rsidP="00EE2495">
      <w:pPr>
        <w:tabs>
          <w:tab w:val="left" w:pos="855"/>
          <w:tab w:val="left" w:pos="1695"/>
          <w:tab w:val="left" w:pos="6555"/>
        </w:tabs>
        <w:rPr>
          <w:highlight w:val="yellow"/>
        </w:rPr>
      </w:pPr>
    </w:p>
    <w:p w14:paraId="639C6BD0" w14:textId="77777777" w:rsidR="000B3066" w:rsidRDefault="000B3066" w:rsidP="000B3066">
      <w:pPr>
        <w:tabs>
          <w:tab w:val="left" w:pos="8390"/>
        </w:tabs>
        <w:rPr>
          <w:highlight w:val="yellow"/>
        </w:rPr>
      </w:pPr>
    </w:p>
    <w:p w14:paraId="02E0E5FB" w14:textId="77777777" w:rsidR="00EE2495" w:rsidRPr="000B3066" w:rsidRDefault="00EE2495" w:rsidP="000B3066">
      <w:pPr>
        <w:tabs>
          <w:tab w:val="left" w:pos="8390"/>
        </w:tabs>
        <w:rPr>
          <w:highlight w:val="yellow"/>
        </w:rPr>
        <w:sectPr w:rsidR="00EE2495" w:rsidRPr="000B3066" w:rsidSect="006F3C47">
          <w:footerReference w:type="default" r:id="rId12"/>
          <w:pgSz w:w="12240" w:h="15840"/>
          <w:pgMar w:top="1247" w:right="1183" w:bottom="1247" w:left="1247" w:header="57" w:footer="0" w:gutter="0"/>
          <w:pgNumType w:fmt="lowerRoman" w:start="1"/>
          <w:cols w:space="720"/>
          <w:noEndnote/>
          <w:docGrid w:linePitch="326"/>
        </w:sectPr>
      </w:pPr>
    </w:p>
    <w:p w14:paraId="08E37261" w14:textId="77777777" w:rsidR="0050130A" w:rsidRPr="007F0487" w:rsidRDefault="0050130A" w:rsidP="0050130A">
      <w:pPr>
        <w:pStyle w:val="Heading2"/>
      </w:pPr>
      <w:bookmarkStart w:id="2" w:name="_Toc528845183"/>
      <w:bookmarkStart w:id="3" w:name="_Toc512263596"/>
      <w:bookmarkStart w:id="4" w:name="_Toc503960203"/>
      <w:r>
        <w:lastRenderedPageBreak/>
        <w:t>Énoncé de vision</w:t>
      </w:r>
      <w:bookmarkEnd w:id="2"/>
      <w:r>
        <w:t xml:space="preserve"> </w:t>
      </w:r>
      <w:bookmarkEnd w:id="3"/>
      <w:r>
        <w:t xml:space="preserve"> </w:t>
      </w:r>
    </w:p>
    <w:p w14:paraId="18A79C74" w14:textId="77777777" w:rsidR="004F41CF" w:rsidRPr="004F41CF" w:rsidRDefault="0050130A" w:rsidP="004F41CF">
      <w:pPr>
        <w:spacing w:line="240" w:lineRule="auto"/>
        <w:ind w:right="567"/>
        <w:jc w:val="both"/>
        <w:rPr>
          <w:rFonts w:asciiTheme="majorHAnsi" w:hAnsiTheme="majorHAnsi" w:cstheme="majorHAnsi"/>
          <w:sz w:val="22"/>
        </w:rPr>
      </w:pPr>
      <w:r>
        <w:rPr>
          <w:rFonts w:asciiTheme="majorHAnsi" w:hAnsiTheme="majorHAnsi" w:cstheme="majorHAnsi"/>
          <w:sz w:val="22"/>
        </w:rPr>
        <w:t>La vision suivante pour la gestion des données à la CFP a été a</w:t>
      </w:r>
      <w:r w:rsidR="008C1BD6">
        <w:rPr>
          <w:rFonts w:asciiTheme="majorHAnsi" w:hAnsiTheme="majorHAnsi" w:cstheme="majorHAnsi"/>
          <w:sz w:val="22"/>
        </w:rPr>
        <w:t>pprouvée par la haute direction :</w:t>
      </w:r>
      <w:r>
        <w:rPr>
          <w:rFonts w:asciiTheme="majorHAnsi" w:hAnsiTheme="majorHAnsi" w:cstheme="majorHAnsi"/>
          <w:sz w:val="22"/>
        </w:rPr>
        <w:t xml:space="preserve"> </w:t>
      </w:r>
    </w:p>
    <w:p w14:paraId="7129D4DC" w14:textId="77777777" w:rsidR="00AF4F22" w:rsidRPr="0050130A" w:rsidRDefault="00663D02" w:rsidP="002464E3">
      <w:pPr>
        <w:spacing w:line="240" w:lineRule="auto"/>
        <w:ind w:right="567"/>
        <w:jc w:val="center"/>
        <w:rPr>
          <w:rFonts w:asciiTheme="majorHAnsi" w:hAnsiTheme="majorHAnsi" w:cstheme="majorHAnsi"/>
          <w:i/>
          <w:color w:val="00544A" w:themeColor="accent1" w:themeShade="80"/>
          <w:sz w:val="28"/>
        </w:rPr>
      </w:pPr>
      <w:r>
        <w:rPr>
          <w:rFonts w:asciiTheme="majorHAnsi" w:hAnsiTheme="majorHAnsi" w:cstheme="majorHAnsi"/>
          <w:i/>
          <w:color w:val="00544A" w:themeColor="accent1" w:themeShade="80"/>
          <w:sz w:val="28"/>
        </w:rPr>
        <w:t xml:space="preserve">Les bonnes données, la bonne façon, entre </w:t>
      </w:r>
      <w:r w:rsidR="00C272DD">
        <w:rPr>
          <w:rFonts w:asciiTheme="majorHAnsi" w:hAnsiTheme="majorHAnsi" w:cstheme="majorHAnsi"/>
          <w:i/>
          <w:color w:val="00544A" w:themeColor="accent1" w:themeShade="80"/>
          <w:sz w:val="28"/>
        </w:rPr>
        <w:t xml:space="preserve">les </w:t>
      </w:r>
      <w:r>
        <w:rPr>
          <w:rFonts w:asciiTheme="majorHAnsi" w:hAnsiTheme="majorHAnsi" w:cstheme="majorHAnsi"/>
          <w:i/>
          <w:color w:val="00544A" w:themeColor="accent1" w:themeShade="80"/>
          <w:sz w:val="28"/>
        </w:rPr>
        <w:t>bonnes mains, au bon moment.</w:t>
      </w:r>
      <w:bookmarkEnd w:id="4"/>
    </w:p>
    <w:p w14:paraId="6CD7FEDB" w14:textId="77777777" w:rsidR="006C66D4" w:rsidRPr="007F0487" w:rsidRDefault="005E49BD" w:rsidP="006C66D4">
      <w:pPr>
        <w:pStyle w:val="Heading2"/>
      </w:pPr>
      <w:bookmarkStart w:id="5" w:name="_Toc512263597"/>
      <w:bookmarkStart w:id="6" w:name="_Toc528845184"/>
      <w:r>
        <w:t>1. Stratégie de gestion des données de la CFP - Introduction</w:t>
      </w:r>
      <w:bookmarkEnd w:id="5"/>
      <w:bookmarkEnd w:id="6"/>
      <w:r>
        <w:t xml:space="preserve"> </w:t>
      </w:r>
    </w:p>
    <w:p w14:paraId="3559149D" w14:textId="77777777" w:rsidR="006C66D4" w:rsidRPr="006C66D4" w:rsidRDefault="006C66D4" w:rsidP="006C66D4">
      <w:pPr>
        <w:jc w:val="both"/>
        <w:rPr>
          <w:rFonts w:asciiTheme="majorHAnsi" w:hAnsiTheme="majorHAnsi" w:cstheme="majorHAnsi"/>
          <w:sz w:val="22"/>
        </w:rPr>
      </w:pPr>
      <w:r>
        <w:rPr>
          <w:rFonts w:asciiTheme="majorHAnsi" w:hAnsiTheme="majorHAnsi" w:cstheme="majorHAnsi"/>
          <w:sz w:val="22"/>
        </w:rPr>
        <w:t>Une stratégie de gestion des données est le processus de la planification ou de la création de stratégies/plans visant à manipuler les données créées, stockées, gérées et traitées par une organisation</w:t>
      </w:r>
      <w:r>
        <w:rPr>
          <w:rStyle w:val="FootnoteReference"/>
          <w:rFonts w:asciiTheme="majorHAnsi" w:hAnsiTheme="majorHAnsi" w:cstheme="majorHAnsi"/>
          <w:sz w:val="22"/>
        </w:rPr>
        <w:footnoteReference w:id="1"/>
      </w:r>
      <w:r>
        <w:rPr>
          <w:rFonts w:asciiTheme="majorHAnsi" w:hAnsiTheme="majorHAnsi" w:cstheme="majorHAnsi"/>
          <w:sz w:val="22"/>
        </w:rPr>
        <w:t>. Il s’agit d’un processus de gouvernance qui vise à créer et à mettre en œuvre une approche bien planifiée pour gérer des actifs de données d’une organisation.</w:t>
      </w:r>
    </w:p>
    <w:p w14:paraId="3578AB05" w14:textId="77777777" w:rsidR="006C66D4" w:rsidRDefault="006C66D4" w:rsidP="006C66D4">
      <w:pPr>
        <w:jc w:val="both"/>
        <w:rPr>
          <w:rFonts w:asciiTheme="majorHAnsi" w:hAnsiTheme="majorHAnsi" w:cstheme="majorHAnsi"/>
          <w:sz w:val="22"/>
        </w:rPr>
      </w:pPr>
      <w:r>
        <w:rPr>
          <w:rFonts w:asciiTheme="majorHAnsi" w:hAnsiTheme="majorHAnsi" w:cstheme="majorHAnsi"/>
          <w:sz w:val="22"/>
        </w:rPr>
        <w:t xml:space="preserve">La Stratégie de gestion des données de la CFP (la Stratégie) a été élaborée selon les normes de l’industrie et des éléments personnalisés qui répondent le mieux aux besoins de la CFP (p. ex. qualité des données, solutions d’infrastructure, considérations relatives au gouvernement ouvert). </w:t>
      </w:r>
    </w:p>
    <w:p w14:paraId="7145AC70" w14:textId="77777777" w:rsidR="005B5245" w:rsidRDefault="00B424A5" w:rsidP="006C66D4">
      <w:pPr>
        <w:jc w:val="both"/>
        <w:rPr>
          <w:rFonts w:ascii="Arial" w:eastAsia="Calibri" w:hAnsi="Arial" w:cs="Times New Roman"/>
          <w:noProof/>
          <w:sz w:val="22"/>
          <w:lang w:eastAsia="en-CA" w:bidi="ar-SA"/>
        </w:rPr>
      </w:pPr>
      <w:r>
        <w:rPr>
          <w:rFonts w:asciiTheme="majorHAnsi" w:hAnsiTheme="majorHAnsi" w:cstheme="majorHAnsi"/>
          <w:sz w:val="22"/>
        </w:rPr>
        <w:t>La Stratégie comprend un certain</w:t>
      </w:r>
      <w:r w:rsidR="009C1B07">
        <w:rPr>
          <w:rFonts w:asciiTheme="majorHAnsi" w:hAnsiTheme="majorHAnsi" w:cstheme="majorHAnsi"/>
          <w:sz w:val="22"/>
        </w:rPr>
        <w:t xml:space="preserve"> nombre d’éléments interreliés, </w:t>
      </w:r>
      <w:r>
        <w:rPr>
          <w:rFonts w:asciiTheme="majorHAnsi" w:hAnsiTheme="majorHAnsi" w:cstheme="majorHAnsi"/>
          <w:sz w:val="22"/>
        </w:rPr>
        <w:t>notamment des pratiques de gestion des données, une infrastructure de</w:t>
      </w:r>
      <w:r w:rsidR="00747075">
        <w:rPr>
          <w:rFonts w:asciiTheme="majorHAnsi" w:hAnsiTheme="majorHAnsi" w:cstheme="majorHAnsi"/>
          <w:sz w:val="22"/>
        </w:rPr>
        <w:t>s</w:t>
      </w:r>
      <w:r>
        <w:rPr>
          <w:rFonts w:asciiTheme="majorHAnsi" w:hAnsiTheme="majorHAnsi" w:cstheme="majorHAnsi"/>
          <w:sz w:val="22"/>
        </w:rPr>
        <w:t xml:space="preserve"> données et </w:t>
      </w:r>
      <w:r w:rsidR="00A16907">
        <w:rPr>
          <w:rFonts w:asciiTheme="majorHAnsi" w:hAnsiTheme="majorHAnsi" w:cstheme="majorHAnsi"/>
          <w:sz w:val="22"/>
        </w:rPr>
        <w:t>l</w:t>
      </w:r>
      <w:r>
        <w:rPr>
          <w:rFonts w:asciiTheme="majorHAnsi" w:hAnsiTheme="majorHAnsi" w:cstheme="majorHAnsi"/>
          <w:sz w:val="22"/>
        </w:rPr>
        <w:t xml:space="preserve">es utilisateurs </w:t>
      </w:r>
      <w:r w:rsidR="00A16907">
        <w:rPr>
          <w:rFonts w:asciiTheme="majorHAnsi" w:hAnsiTheme="majorHAnsi" w:cstheme="majorHAnsi"/>
          <w:sz w:val="22"/>
        </w:rPr>
        <w:t>d</w:t>
      </w:r>
      <w:r>
        <w:rPr>
          <w:rFonts w:asciiTheme="majorHAnsi" w:hAnsiTheme="majorHAnsi" w:cstheme="majorHAnsi"/>
          <w:sz w:val="22"/>
        </w:rPr>
        <w:t>e</w:t>
      </w:r>
      <w:r w:rsidR="00747075">
        <w:rPr>
          <w:rFonts w:asciiTheme="majorHAnsi" w:hAnsiTheme="majorHAnsi" w:cstheme="majorHAnsi"/>
          <w:sz w:val="22"/>
        </w:rPr>
        <w:t>s</w:t>
      </w:r>
      <w:r>
        <w:rPr>
          <w:rFonts w:asciiTheme="majorHAnsi" w:hAnsiTheme="majorHAnsi" w:cstheme="majorHAnsi"/>
          <w:sz w:val="22"/>
        </w:rPr>
        <w:t xml:space="preserve"> données, ainsi qu’une unité fonctionnelle pour soutenir l’exécution de la Stratégie.</w:t>
      </w:r>
      <w:r w:rsidR="001F7808" w:rsidRPr="001F7808">
        <w:rPr>
          <w:rFonts w:ascii="Arial" w:eastAsia="Calibri" w:hAnsi="Arial" w:cs="Times New Roman"/>
          <w:noProof/>
          <w:sz w:val="22"/>
          <w:lang w:eastAsia="en-CA" w:bidi="ar-SA"/>
        </w:rPr>
        <w:t xml:space="preserve"> </w:t>
      </w:r>
    </w:p>
    <w:p w14:paraId="18F54BC9" w14:textId="77777777" w:rsidR="005B5245" w:rsidRPr="00AC7624" w:rsidRDefault="00AC7624" w:rsidP="00AC7624">
      <w:pPr>
        <w:jc w:val="center"/>
        <w:rPr>
          <w:rFonts w:ascii="Calibri Light" w:eastAsia="Calibri" w:hAnsi="Calibri Light" w:cs="Calibri Light"/>
          <w:b/>
          <w:color w:val="FFFFFF"/>
          <w:sz w:val="20"/>
          <w:lang w:eastAsia="en-US" w:bidi="ar-SA"/>
          <w14:textOutline w14:w="0" w14:cap="flat" w14:cmpd="sng" w14:algn="ctr">
            <w14:noFill/>
            <w14:prstDash w14:val="solid"/>
            <w14:round/>
          </w14:textOutline>
        </w:rPr>
      </w:pPr>
      <w:r w:rsidRPr="00AC7624">
        <w:rPr>
          <w:rFonts w:ascii="Calibri Light" w:eastAsia="Calibri" w:hAnsi="Calibri Light" w:cs="Calibri Light"/>
          <w:b/>
          <w:color w:val="FFFFFF"/>
          <w:sz w:val="20"/>
          <w:lang w:eastAsia="en-US" w:bidi="ar-SA"/>
          <w14:textOutline w14:w="0" w14:cap="flat" w14:cmpd="sng" w14:algn="ctr">
            <w14:noFill/>
            <w14:prstDash w14:val="solid"/>
            <w14:round/>
          </w14:textOutline>
        </w:rPr>
        <w:lastRenderedPageBreak/>
        <w:t xml:space="preserve"> Bu</w:t>
      </w:r>
      <w:r w:rsidR="003425D6">
        <w:rPr>
          <w:rFonts w:ascii="Calibri Light" w:eastAsia="Calibri" w:hAnsi="Calibri Light" w:cs="Calibri Light"/>
          <w:b/>
          <w:noProof/>
          <w:color w:val="FFFFFF"/>
          <w:sz w:val="20"/>
          <w:lang w:val="en-CA" w:eastAsia="en-CA" w:bidi="ar-SA"/>
          <w14:textOutline w14:w="0" w14:cap="flat" w14:cmpd="sng" w14:algn="ctr">
            <w14:noFill/>
            <w14:prstDash w14:val="solid"/>
            <w14:round/>
          </w14:textOutline>
        </w:rPr>
        <w:drawing>
          <wp:inline distT="0" distB="0" distL="0" distR="0" wp14:anchorId="2371BA7B" wp14:editId="2AE7BC08">
            <wp:extent cx="5500800" cy="3535200"/>
            <wp:effectExtent l="0" t="0" r="5080" b="8255"/>
            <wp:docPr id="19" name="Picture 19" descr="Graphique circulaire représentant les éléments et sous-éléments de la stratégie de gestion des données de la CFP. La version textuelle su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0800" cy="3535200"/>
                    </a:xfrm>
                    <a:prstGeom prst="rect">
                      <a:avLst/>
                    </a:prstGeom>
                    <a:noFill/>
                  </pic:spPr>
                </pic:pic>
              </a:graphicData>
            </a:graphic>
          </wp:inline>
        </w:drawing>
      </w:r>
      <w:r w:rsidRPr="00AC7624">
        <w:rPr>
          <w:rFonts w:ascii="Calibri Light" w:eastAsia="Calibri" w:hAnsi="Calibri Light" w:cs="Calibri Light"/>
          <w:b/>
          <w:color w:val="FFFFFF"/>
          <w:sz w:val="20"/>
          <w:lang w:eastAsia="en-US" w:bidi="ar-SA"/>
          <w14:textOutline w14:w="0" w14:cap="flat" w14:cmpd="sng" w14:algn="ctr">
            <w14:noFill/>
            <w14:prstDash w14:val="solid"/>
            <w14:round/>
          </w14:textOutline>
        </w:rPr>
        <w:t>reau de la gestion des données</w:t>
      </w:r>
    </w:p>
    <w:p w14:paraId="156924AE" w14:textId="77777777" w:rsidR="005B5245" w:rsidRDefault="00A822CE" w:rsidP="006F1C39">
      <w:pPr>
        <w:jc w:val="center"/>
        <w:rPr>
          <w:rFonts w:asciiTheme="majorHAnsi" w:hAnsiTheme="majorHAnsi" w:cstheme="majorHAnsi"/>
          <w:szCs w:val="24"/>
        </w:rPr>
      </w:pPr>
      <w:r w:rsidRPr="00216CA3">
        <w:rPr>
          <w:rFonts w:asciiTheme="majorHAnsi" w:hAnsiTheme="majorHAnsi" w:cstheme="majorHAnsi"/>
          <w:b/>
          <w:szCs w:val="24"/>
        </w:rPr>
        <w:t xml:space="preserve">Figure </w:t>
      </w:r>
      <w:r w:rsidRPr="00216CA3">
        <w:rPr>
          <w:rFonts w:asciiTheme="majorHAnsi" w:hAnsiTheme="majorHAnsi" w:cstheme="majorHAnsi"/>
          <w:b/>
          <w:i/>
          <w:szCs w:val="24"/>
        </w:rPr>
        <w:fldChar w:fldCharType="begin"/>
      </w:r>
      <w:r w:rsidRPr="00216CA3">
        <w:rPr>
          <w:rFonts w:asciiTheme="majorHAnsi" w:hAnsiTheme="majorHAnsi" w:cstheme="majorHAnsi"/>
          <w:b/>
          <w:szCs w:val="24"/>
        </w:rPr>
        <w:instrText xml:space="preserve"> SEQ Figure \* ARABIC </w:instrText>
      </w:r>
      <w:r w:rsidRPr="00216CA3">
        <w:rPr>
          <w:rFonts w:asciiTheme="majorHAnsi" w:hAnsiTheme="majorHAnsi" w:cstheme="majorHAnsi"/>
          <w:b/>
          <w:i/>
          <w:szCs w:val="24"/>
        </w:rPr>
        <w:fldChar w:fldCharType="separate"/>
      </w:r>
      <w:r w:rsidR="00AD02DE">
        <w:rPr>
          <w:rFonts w:asciiTheme="majorHAnsi" w:hAnsiTheme="majorHAnsi" w:cstheme="majorHAnsi"/>
          <w:b/>
          <w:noProof/>
          <w:szCs w:val="24"/>
        </w:rPr>
        <w:t>1</w:t>
      </w:r>
      <w:r w:rsidRPr="00216CA3">
        <w:rPr>
          <w:rFonts w:asciiTheme="majorHAnsi" w:hAnsiTheme="majorHAnsi" w:cstheme="majorHAnsi"/>
          <w:b/>
          <w:i/>
          <w:szCs w:val="24"/>
        </w:rPr>
        <w:fldChar w:fldCharType="end"/>
      </w:r>
      <w:r w:rsidRPr="00216CA3">
        <w:rPr>
          <w:rFonts w:asciiTheme="majorHAnsi" w:hAnsiTheme="majorHAnsi" w:cstheme="majorHAnsi"/>
          <w:szCs w:val="24"/>
        </w:rPr>
        <w:t xml:space="preserve"> : Éléments de la Stratégie de gestion </w:t>
      </w:r>
      <w:r w:rsidR="00287DFA">
        <w:rPr>
          <w:rFonts w:asciiTheme="majorHAnsi" w:hAnsiTheme="majorHAnsi" w:cstheme="majorHAnsi"/>
          <w:szCs w:val="24"/>
        </w:rPr>
        <w:t xml:space="preserve">des données </w:t>
      </w:r>
      <w:r w:rsidRPr="00216CA3">
        <w:rPr>
          <w:rFonts w:asciiTheme="majorHAnsi" w:hAnsiTheme="majorHAnsi" w:cstheme="majorHAnsi"/>
          <w:szCs w:val="24"/>
        </w:rPr>
        <w:t>de la CFP</w:t>
      </w:r>
      <w:bookmarkStart w:id="7" w:name="_Toc512263598"/>
    </w:p>
    <w:p w14:paraId="7DB0E5B3" w14:textId="77777777" w:rsidR="0086663B" w:rsidRPr="00C66507" w:rsidRDefault="0086663B" w:rsidP="00C654CE">
      <w:pPr>
        <w:spacing w:after="0"/>
        <w:jc w:val="both"/>
        <w:rPr>
          <w:rFonts w:asciiTheme="majorHAnsi" w:hAnsiTheme="majorHAnsi" w:cstheme="majorHAnsi"/>
          <w:sz w:val="22"/>
          <w:szCs w:val="24"/>
        </w:rPr>
      </w:pPr>
      <w:r w:rsidRPr="00C66507">
        <w:rPr>
          <w:rFonts w:asciiTheme="majorHAnsi" w:hAnsiTheme="majorHAnsi" w:cstheme="majorHAnsi"/>
          <w:sz w:val="22"/>
          <w:szCs w:val="24"/>
        </w:rPr>
        <w:t>Les sous-éléments reliés à l'infrastructure des données sont la définition des besoins d'affaires, les technologies habilitantes et les outils de rapport.</w:t>
      </w:r>
    </w:p>
    <w:p w14:paraId="0668F09A" w14:textId="77777777" w:rsidR="0086663B" w:rsidRPr="00C66507" w:rsidRDefault="0086663B" w:rsidP="00C654CE">
      <w:pPr>
        <w:spacing w:after="0"/>
        <w:jc w:val="both"/>
        <w:rPr>
          <w:rFonts w:asciiTheme="majorHAnsi" w:hAnsiTheme="majorHAnsi" w:cstheme="majorHAnsi"/>
          <w:sz w:val="22"/>
          <w:szCs w:val="24"/>
        </w:rPr>
      </w:pPr>
      <w:r w:rsidRPr="00C66507">
        <w:rPr>
          <w:rFonts w:asciiTheme="majorHAnsi" w:hAnsiTheme="majorHAnsi" w:cstheme="majorHAnsi"/>
          <w:sz w:val="22"/>
          <w:szCs w:val="24"/>
        </w:rPr>
        <w:t>Les sous-éléments reliés aux utilisateurs des données sont le libre-service, la culture "ouverte par défaut" et les données et informations à valeur ajoutée.</w:t>
      </w:r>
    </w:p>
    <w:p w14:paraId="02E2FF11" w14:textId="77777777" w:rsidR="0086663B" w:rsidRPr="00C66507" w:rsidRDefault="0086663B" w:rsidP="00C654CE">
      <w:pPr>
        <w:spacing w:after="0"/>
        <w:jc w:val="both"/>
        <w:rPr>
          <w:rFonts w:asciiTheme="majorHAnsi" w:hAnsiTheme="majorHAnsi" w:cstheme="majorHAnsi"/>
          <w:sz w:val="22"/>
          <w:szCs w:val="24"/>
        </w:rPr>
      </w:pPr>
      <w:r w:rsidRPr="00C66507">
        <w:rPr>
          <w:rFonts w:asciiTheme="majorHAnsi" w:hAnsiTheme="majorHAnsi" w:cstheme="majorHAnsi"/>
          <w:sz w:val="22"/>
          <w:szCs w:val="24"/>
        </w:rPr>
        <w:t>Les sous-éléments reliés à la gestion des données sont la vision et gouvernance, les rôles et responsabilités, l'intégrité des données incluant la qualité, la sécurité et la confidentialité.</w:t>
      </w:r>
    </w:p>
    <w:p w14:paraId="595FEEB7" w14:textId="77777777" w:rsidR="0086663B" w:rsidRPr="00C654CE" w:rsidRDefault="0086663B" w:rsidP="00C654CE">
      <w:pPr>
        <w:spacing w:after="0"/>
        <w:jc w:val="both"/>
        <w:rPr>
          <w:rFonts w:asciiTheme="majorHAnsi" w:hAnsiTheme="majorHAnsi" w:cstheme="majorHAnsi"/>
          <w:sz w:val="22"/>
          <w:szCs w:val="24"/>
        </w:rPr>
      </w:pPr>
      <w:r w:rsidRPr="00C66507">
        <w:rPr>
          <w:rFonts w:asciiTheme="majorHAnsi" w:hAnsiTheme="majorHAnsi" w:cstheme="majorHAnsi"/>
          <w:sz w:val="22"/>
          <w:szCs w:val="24"/>
        </w:rPr>
        <w:t>Les sous-éléments reliés au bureau de la gestion des données sont la culture du changement, la gestion de projet, la mesure de performance et l'alignement du GC.</w:t>
      </w:r>
    </w:p>
    <w:p w14:paraId="5055BD85" w14:textId="77777777" w:rsidR="00EE2495" w:rsidRPr="00F52838" w:rsidRDefault="005E49BD" w:rsidP="00B4185B">
      <w:pPr>
        <w:pStyle w:val="Heading2"/>
      </w:pPr>
      <w:bookmarkStart w:id="8" w:name="_Toc528845185"/>
      <w:r>
        <w:t>2. Contexte</w:t>
      </w:r>
      <w:bookmarkEnd w:id="7"/>
      <w:bookmarkEnd w:id="8"/>
    </w:p>
    <w:p w14:paraId="04547C66" w14:textId="77777777" w:rsidR="00AC553C" w:rsidRPr="00637C5F" w:rsidRDefault="00AC30B5" w:rsidP="00C654CE">
      <w:pPr>
        <w:rPr>
          <w:rFonts w:asciiTheme="majorHAnsi" w:hAnsiTheme="majorHAnsi" w:cstheme="majorHAnsi"/>
          <w:sz w:val="22"/>
        </w:rPr>
      </w:pPr>
      <w:r>
        <w:rPr>
          <w:rFonts w:asciiTheme="majorHAnsi" w:hAnsiTheme="majorHAnsi" w:cstheme="majorHAnsi"/>
          <w:sz w:val="22"/>
        </w:rPr>
        <w:t xml:space="preserve">La Commission de </w:t>
      </w:r>
      <w:r w:rsidR="00CA67A7">
        <w:rPr>
          <w:rFonts w:asciiTheme="majorHAnsi" w:hAnsiTheme="majorHAnsi" w:cstheme="majorHAnsi"/>
          <w:sz w:val="22"/>
        </w:rPr>
        <w:t>l</w:t>
      </w:r>
      <w:r>
        <w:rPr>
          <w:rFonts w:asciiTheme="majorHAnsi" w:hAnsiTheme="majorHAnsi" w:cstheme="majorHAnsi"/>
          <w:sz w:val="22"/>
        </w:rPr>
        <w:t xml:space="preserve">a fonction publique (CFP) a pour mandat de promouvoir et de préserver une fonction publique fondée sur le mérite, représentative et non partisane. Pour remplir son mandat, la CFP </w:t>
      </w:r>
      <w:r w:rsidR="00695535">
        <w:rPr>
          <w:rFonts w:asciiTheme="majorHAnsi" w:hAnsiTheme="majorHAnsi" w:cstheme="majorHAnsi"/>
          <w:sz w:val="22"/>
        </w:rPr>
        <w:t xml:space="preserve">recueille </w:t>
      </w:r>
      <w:r>
        <w:rPr>
          <w:rFonts w:asciiTheme="majorHAnsi" w:hAnsiTheme="majorHAnsi" w:cstheme="majorHAnsi"/>
          <w:sz w:val="22"/>
        </w:rPr>
        <w:t xml:space="preserve">de grands volumes de données à des étapes </w:t>
      </w:r>
      <w:r>
        <w:rPr>
          <w:rFonts w:asciiTheme="majorHAnsi" w:hAnsiTheme="majorHAnsi" w:cstheme="majorHAnsi"/>
          <w:sz w:val="22"/>
        </w:rPr>
        <w:lastRenderedPageBreak/>
        <w:t>clés du processus de nomination.</w:t>
      </w:r>
      <w:r w:rsidR="00A74230">
        <w:rPr>
          <w:rFonts w:asciiTheme="majorHAnsi" w:hAnsiTheme="majorHAnsi" w:cstheme="majorHAnsi"/>
          <w:sz w:val="22"/>
        </w:rPr>
        <w:t xml:space="preserve"> </w:t>
      </w:r>
      <w:r>
        <w:rPr>
          <w:rFonts w:asciiTheme="majorHAnsi" w:hAnsiTheme="majorHAnsi" w:cstheme="majorHAnsi"/>
          <w:sz w:val="22"/>
        </w:rPr>
        <w:t>Ces données peuvent être obtenues à partir de plusieurs sources, notamment :</w:t>
      </w:r>
    </w:p>
    <w:p w14:paraId="383509CE" w14:textId="77777777" w:rsidR="00AC553C" w:rsidRPr="00B24627" w:rsidRDefault="00AC553C" w:rsidP="00AB3798">
      <w:pPr>
        <w:pStyle w:val="ListParagraph"/>
        <w:numPr>
          <w:ilvl w:val="0"/>
          <w:numId w:val="4"/>
        </w:numPr>
        <w:rPr>
          <w:rFonts w:asciiTheme="majorHAnsi" w:hAnsiTheme="majorHAnsi" w:cstheme="majorHAnsi"/>
        </w:rPr>
      </w:pPr>
      <w:r>
        <w:rPr>
          <w:rFonts w:asciiTheme="majorHAnsi" w:hAnsiTheme="majorHAnsi" w:cstheme="majorHAnsi"/>
        </w:rPr>
        <w:t xml:space="preserve">Système de recrutement de la fonction publique (SRFP) </w:t>
      </w:r>
    </w:p>
    <w:p w14:paraId="65C5F8E1" w14:textId="77777777" w:rsidR="00AC553C" w:rsidRPr="00B24627" w:rsidRDefault="00AC553C" w:rsidP="00AB3798">
      <w:pPr>
        <w:pStyle w:val="ListParagraph"/>
        <w:numPr>
          <w:ilvl w:val="0"/>
          <w:numId w:val="4"/>
        </w:numPr>
        <w:rPr>
          <w:rFonts w:asciiTheme="majorHAnsi" w:hAnsiTheme="majorHAnsi" w:cstheme="majorHAnsi"/>
        </w:rPr>
      </w:pPr>
      <w:r>
        <w:rPr>
          <w:rFonts w:asciiTheme="majorHAnsi" w:hAnsiTheme="majorHAnsi" w:cstheme="majorHAnsi"/>
        </w:rPr>
        <w:t>Système de gestion de l'information sur les priorités (SGI</w:t>
      </w:r>
      <w:r w:rsidR="00C550CC">
        <w:rPr>
          <w:rFonts w:asciiTheme="majorHAnsi" w:hAnsiTheme="majorHAnsi" w:cstheme="majorHAnsi"/>
        </w:rPr>
        <w:t>P</w:t>
      </w:r>
      <w:r>
        <w:rPr>
          <w:rFonts w:asciiTheme="majorHAnsi" w:hAnsiTheme="majorHAnsi" w:cstheme="majorHAnsi"/>
        </w:rPr>
        <w:t>)</w:t>
      </w:r>
    </w:p>
    <w:p w14:paraId="76E9AFCB" w14:textId="77777777" w:rsidR="00AC553C" w:rsidRPr="00B24627" w:rsidRDefault="00AC553C" w:rsidP="00AB3798">
      <w:pPr>
        <w:pStyle w:val="ListParagraph"/>
        <w:numPr>
          <w:ilvl w:val="0"/>
          <w:numId w:val="4"/>
        </w:numPr>
        <w:rPr>
          <w:rFonts w:asciiTheme="majorHAnsi" w:hAnsiTheme="majorHAnsi" w:cstheme="majorHAnsi"/>
        </w:rPr>
      </w:pPr>
      <w:r>
        <w:rPr>
          <w:rFonts w:asciiTheme="majorHAnsi" w:hAnsiTheme="majorHAnsi" w:cstheme="majorHAnsi"/>
        </w:rPr>
        <w:t>Système d’information analytique sur les emplois (SIAE)</w:t>
      </w:r>
    </w:p>
    <w:p w14:paraId="7E09F9B3" w14:textId="77777777" w:rsidR="00AC553C" w:rsidRPr="00B24627" w:rsidRDefault="00AC553C" w:rsidP="00AB3798">
      <w:pPr>
        <w:pStyle w:val="ListParagraph"/>
        <w:numPr>
          <w:ilvl w:val="0"/>
          <w:numId w:val="4"/>
        </w:numPr>
        <w:rPr>
          <w:rFonts w:asciiTheme="majorHAnsi" w:hAnsiTheme="majorHAnsi" w:cstheme="majorHAnsi"/>
        </w:rPr>
      </w:pPr>
      <w:r>
        <w:rPr>
          <w:rFonts w:asciiTheme="majorHAnsi" w:hAnsiTheme="majorHAnsi" w:cstheme="majorHAnsi"/>
        </w:rPr>
        <w:t>Sondage sur la dotation (SD)</w:t>
      </w:r>
    </w:p>
    <w:p w14:paraId="5FBD4B13" w14:textId="77777777" w:rsidR="00AC553C" w:rsidRPr="00B24627" w:rsidRDefault="00AC553C" w:rsidP="00AB3798">
      <w:pPr>
        <w:pStyle w:val="ListParagraph"/>
        <w:numPr>
          <w:ilvl w:val="0"/>
          <w:numId w:val="4"/>
        </w:numPr>
        <w:rPr>
          <w:rFonts w:asciiTheme="majorHAnsi" w:hAnsiTheme="majorHAnsi" w:cstheme="majorHAnsi"/>
        </w:rPr>
      </w:pPr>
      <w:r>
        <w:rPr>
          <w:rFonts w:asciiTheme="majorHAnsi" w:hAnsiTheme="majorHAnsi" w:cstheme="majorHAnsi"/>
        </w:rPr>
        <w:t>Banque de données sur l’équité en emploi (BDEE)</w:t>
      </w:r>
    </w:p>
    <w:p w14:paraId="7BF60C43" w14:textId="77777777" w:rsidR="00AC553C" w:rsidRPr="00B24627" w:rsidRDefault="00AC553C" w:rsidP="00AB3798">
      <w:pPr>
        <w:pStyle w:val="ListParagraph"/>
        <w:numPr>
          <w:ilvl w:val="0"/>
          <w:numId w:val="4"/>
        </w:numPr>
        <w:rPr>
          <w:rFonts w:asciiTheme="majorHAnsi" w:hAnsiTheme="majorHAnsi" w:cstheme="majorHAnsi"/>
        </w:rPr>
      </w:pPr>
      <w:r>
        <w:rPr>
          <w:rFonts w:asciiTheme="majorHAnsi" w:hAnsiTheme="majorHAnsi" w:cstheme="majorHAnsi"/>
        </w:rPr>
        <w:t>Système de correction des examens et de production de rapports (SCEPR)</w:t>
      </w:r>
    </w:p>
    <w:p w14:paraId="294169EA" w14:textId="77777777" w:rsidR="000E29B1" w:rsidRDefault="005A0B9F" w:rsidP="000E29B1">
      <w:pPr>
        <w:jc w:val="both"/>
        <w:rPr>
          <w:rFonts w:asciiTheme="majorHAnsi" w:hAnsiTheme="majorHAnsi" w:cstheme="majorHAnsi"/>
          <w:sz w:val="22"/>
        </w:rPr>
      </w:pPr>
      <w:r>
        <w:rPr>
          <w:rFonts w:asciiTheme="majorHAnsi" w:hAnsiTheme="majorHAnsi" w:cstheme="majorHAnsi"/>
          <w:sz w:val="22"/>
        </w:rPr>
        <w:t xml:space="preserve">Par le passé, la CFP a </w:t>
      </w:r>
      <w:r w:rsidR="00695535">
        <w:rPr>
          <w:rFonts w:asciiTheme="majorHAnsi" w:hAnsiTheme="majorHAnsi" w:cstheme="majorHAnsi"/>
          <w:sz w:val="22"/>
        </w:rPr>
        <w:t xml:space="preserve">recueilli </w:t>
      </w:r>
      <w:r>
        <w:rPr>
          <w:rFonts w:asciiTheme="majorHAnsi" w:hAnsiTheme="majorHAnsi" w:cstheme="majorHAnsi"/>
          <w:sz w:val="22"/>
        </w:rPr>
        <w:t>et regroupé des données transactionnelles à des fins de production de rapports; toutefois, le milieu de la dotation a évolué, tout comme nos besoins en matière de données.</w:t>
      </w:r>
      <w:r w:rsidR="00A74230">
        <w:rPr>
          <w:rFonts w:asciiTheme="majorHAnsi" w:hAnsiTheme="majorHAnsi" w:cstheme="majorHAnsi"/>
          <w:sz w:val="22"/>
        </w:rPr>
        <w:t xml:space="preserve"> </w:t>
      </w:r>
      <w:r>
        <w:rPr>
          <w:rFonts w:asciiTheme="majorHAnsi" w:hAnsiTheme="majorHAnsi" w:cstheme="majorHAnsi"/>
          <w:sz w:val="22"/>
        </w:rPr>
        <w:t>Le gouvernement du Canada (GC) a un intérêt renouvelé sur la transparence, l</w:t>
      </w:r>
      <w:r w:rsidR="00695535">
        <w:rPr>
          <w:rFonts w:asciiTheme="majorHAnsi" w:hAnsiTheme="majorHAnsi" w:cstheme="majorHAnsi"/>
          <w:sz w:val="22"/>
        </w:rPr>
        <w:t>es</w:t>
      </w:r>
      <w:r>
        <w:rPr>
          <w:rFonts w:asciiTheme="majorHAnsi" w:hAnsiTheme="majorHAnsi" w:cstheme="majorHAnsi"/>
          <w:sz w:val="22"/>
        </w:rPr>
        <w:t xml:space="preserve"> politique</w:t>
      </w:r>
      <w:r w:rsidR="00695535">
        <w:rPr>
          <w:rFonts w:asciiTheme="majorHAnsi" w:hAnsiTheme="majorHAnsi" w:cstheme="majorHAnsi"/>
          <w:sz w:val="22"/>
        </w:rPr>
        <w:t>s</w:t>
      </w:r>
      <w:r>
        <w:rPr>
          <w:rFonts w:asciiTheme="majorHAnsi" w:hAnsiTheme="majorHAnsi" w:cstheme="majorHAnsi"/>
          <w:sz w:val="22"/>
        </w:rPr>
        <w:t xml:space="preserve"> fondée</w:t>
      </w:r>
      <w:r w:rsidR="00695535">
        <w:rPr>
          <w:rFonts w:asciiTheme="majorHAnsi" w:hAnsiTheme="majorHAnsi" w:cstheme="majorHAnsi"/>
          <w:sz w:val="22"/>
        </w:rPr>
        <w:t>s</w:t>
      </w:r>
      <w:r>
        <w:rPr>
          <w:rFonts w:asciiTheme="majorHAnsi" w:hAnsiTheme="majorHAnsi" w:cstheme="majorHAnsi"/>
          <w:sz w:val="22"/>
        </w:rPr>
        <w:t xml:space="preserve"> sur les données probantes et le processus décisionnel, ainsi que sur les résultats mesurables pour les Canadiens : </w:t>
      </w:r>
      <w:r w:rsidR="00695535">
        <w:rPr>
          <w:rFonts w:asciiTheme="majorHAnsi" w:hAnsiTheme="majorHAnsi" w:cstheme="majorHAnsi"/>
          <w:sz w:val="22"/>
        </w:rPr>
        <w:t>l</w:t>
      </w:r>
      <w:r>
        <w:rPr>
          <w:rFonts w:asciiTheme="majorHAnsi" w:hAnsiTheme="majorHAnsi" w:cstheme="majorHAnsi"/>
          <w:sz w:val="22"/>
        </w:rPr>
        <w:t xml:space="preserve">es données de la CFP jouent un rôle important dans le soutien de ces domaines. </w:t>
      </w:r>
    </w:p>
    <w:p w14:paraId="4D890E59" w14:textId="77777777" w:rsidR="000E29B1" w:rsidRPr="000E29B1" w:rsidRDefault="000E29B1" w:rsidP="000E29B1">
      <w:pPr>
        <w:pStyle w:val="BodyText"/>
        <w:jc w:val="both"/>
        <w:rPr>
          <w:rFonts w:asciiTheme="majorHAnsi" w:hAnsiTheme="majorHAnsi" w:cstheme="majorHAnsi"/>
          <w:sz w:val="22"/>
        </w:rPr>
      </w:pPr>
      <w:r>
        <w:rPr>
          <w:rFonts w:asciiTheme="majorHAnsi" w:eastAsiaTheme="minorHAnsi" w:hAnsiTheme="majorHAnsi" w:cstheme="majorHAnsi"/>
          <w:color w:val="auto"/>
          <w:spacing w:val="0"/>
          <w:sz w:val="22"/>
        </w:rPr>
        <w:t>Un certain nombre de nouvelles tendances dans la fonction publique ont augmenté la nécessité de gérer les données au</w:t>
      </w:r>
      <w:r w:rsidR="00E83AEE">
        <w:rPr>
          <w:rFonts w:asciiTheme="majorHAnsi" w:eastAsiaTheme="minorHAnsi" w:hAnsiTheme="majorHAnsi" w:cstheme="majorHAnsi"/>
          <w:color w:val="auto"/>
          <w:spacing w:val="0"/>
          <w:sz w:val="22"/>
        </w:rPr>
        <w:t xml:space="preserve"> sein de la CFP,</w:t>
      </w:r>
      <w:r>
        <w:rPr>
          <w:rFonts w:asciiTheme="majorHAnsi" w:eastAsiaTheme="minorHAnsi" w:hAnsiTheme="majorHAnsi" w:cstheme="majorHAnsi"/>
          <w:color w:val="auto"/>
          <w:spacing w:val="0"/>
          <w:sz w:val="22"/>
        </w:rPr>
        <w:t xml:space="preserve"> notamment :</w:t>
      </w:r>
    </w:p>
    <w:p w14:paraId="1DF84C18" w14:textId="77777777" w:rsidR="000E29B1" w:rsidRDefault="000E29B1" w:rsidP="00AC553C">
      <w:pPr>
        <w:jc w:val="both"/>
        <w:rPr>
          <w:rFonts w:asciiTheme="majorHAnsi" w:hAnsiTheme="majorHAnsi" w:cstheme="majorHAnsi"/>
          <w:sz w:val="22"/>
        </w:rPr>
      </w:pPr>
      <w:r>
        <w:rPr>
          <w:noProof/>
          <w:lang w:val="en-CA" w:eastAsia="en-CA" w:bidi="ar-SA"/>
        </w:rPr>
        <w:lastRenderedPageBreak/>
        <w:drawing>
          <wp:inline distT="0" distB="0" distL="0" distR="0" wp14:anchorId="44695694" wp14:editId="724DF791">
            <wp:extent cx="6001200" cy="4316400"/>
            <wp:effectExtent l="0" t="0" r="0" b="8255"/>
            <wp:docPr id="3" name="Diagram 3" descr="Schéma présentant les nouvelles tendances au niveau des gens et processus, de la technologie et des données. La version textuelle suit.&#10;"/>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98BED70" w14:textId="77777777" w:rsidR="0086663B" w:rsidRPr="00C66507" w:rsidRDefault="0086663B" w:rsidP="00C654CE">
      <w:pPr>
        <w:spacing w:after="0"/>
        <w:jc w:val="both"/>
        <w:rPr>
          <w:rFonts w:asciiTheme="majorHAnsi" w:hAnsiTheme="majorHAnsi" w:cstheme="majorHAnsi"/>
          <w:sz w:val="22"/>
        </w:rPr>
      </w:pPr>
      <w:r w:rsidRPr="00C66507">
        <w:rPr>
          <w:rFonts w:asciiTheme="majorHAnsi" w:hAnsiTheme="majorHAnsi" w:cstheme="majorHAnsi"/>
          <w:sz w:val="22"/>
        </w:rPr>
        <w:t>Les nouvelles tendances au niveau des gens et processus sont plus de latitude pour les gestionnaires responsables de l’embauche (Nouvelle orientation en matière de dotation), l’utilisation de données pour améliorer les programmes et les services (Directives sur les résultats du GC) et le renouvellement et diversité de la fonction publique (Objectif 2020).</w:t>
      </w:r>
    </w:p>
    <w:p w14:paraId="6820CEC8" w14:textId="77777777" w:rsidR="0086663B" w:rsidRPr="00C66507" w:rsidRDefault="0086663B" w:rsidP="00C654CE">
      <w:pPr>
        <w:spacing w:after="0"/>
        <w:jc w:val="both"/>
        <w:rPr>
          <w:rFonts w:asciiTheme="majorHAnsi" w:hAnsiTheme="majorHAnsi" w:cstheme="majorHAnsi"/>
          <w:sz w:val="22"/>
        </w:rPr>
      </w:pPr>
      <w:r w:rsidRPr="00C66507">
        <w:rPr>
          <w:rFonts w:asciiTheme="majorHAnsi" w:hAnsiTheme="majorHAnsi" w:cstheme="majorHAnsi"/>
          <w:sz w:val="22"/>
        </w:rPr>
        <w:t>Les nouvelles tendances au niveau de la technologie sont l’importance accordée à l’échelle du gouvernement à la mise en place d’une infrastructure pour l’échange collaboratif de données (Cadre du GC pour relever des défis stratégiques canadiens avec des données), la connectivité et interopérabilité afin de faciliter l’analyse de « mégadonnées  » (Plan stratégique de TI du GC 2017-2021) et la protection de la confidentialité des données et sécurité contre les cyberattaques (Plan stratégique de TI du GC 2017-2021).</w:t>
      </w:r>
    </w:p>
    <w:p w14:paraId="4DA9BA7A" w14:textId="77777777" w:rsidR="0086663B" w:rsidRDefault="0086663B" w:rsidP="00C654CE">
      <w:pPr>
        <w:spacing w:after="0"/>
        <w:jc w:val="both"/>
        <w:rPr>
          <w:rFonts w:asciiTheme="majorHAnsi" w:hAnsiTheme="majorHAnsi" w:cstheme="majorHAnsi"/>
          <w:sz w:val="22"/>
        </w:rPr>
      </w:pPr>
      <w:r w:rsidRPr="00C66507">
        <w:rPr>
          <w:rFonts w:asciiTheme="majorHAnsi" w:hAnsiTheme="majorHAnsi" w:cstheme="majorHAnsi"/>
          <w:sz w:val="22"/>
        </w:rPr>
        <w:t xml:space="preserve">Les nouvelles tendances au niveau des données sont les structures de gouvernance et mécanismes pour gérer des fonds de renseignements (Politique sur la gestion de l’information du GC), l’utilisation des données de grande qualité du gouvernement pour éclairer la prise de décisions (Plan stratégique de TI du GC 2017-2021) et rendre les </w:t>
      </w:r>
      <w:r w:rsidRPr="00C66507">
        <w:rPr>
          <w:rFonts w:asciiTheme="majorHAnsi" w:hAnsiTheme="majorHAnsi" w:cstheme="majorHAnsi"/>
          <w:sz w:val="22"/>
        </w:rPr>
        <w:lastRenderedPageBreak/>
        <w:t>ressources d’information plus accessibles aux Canadiens (Directive du gouvernement ouvert du GC).</w:t>
      </w:r>
    </w:p>
    <w:p w14:paraId="0363C2C6" w14:textId="77777777" w:rsidR="0086663B" w:rsidRDefault="0086663B" w:rsidP="00831C0B">
      <w:pPr>
        <w:jc w:val="both"/>
        <w:rPr>
          <w:rFonts w:asciiTheme="majorHAnsi" w:hAnsiTheme="majorHAnsi" w:cstheme="majorHAnsi"/>
          <w:sz w:val="22"/>
        </w:rPr>
      </w:pPr>
    </w:p>
    <w:p w14:paraId="2533E15A" w14:textId="77777777" w:rsidR="0086663B" w:rsidRDefault="0086663B" w:rsidP="00831C0B">
      <w:pPr>
        <w:jc w:val="both"/>
        <w:rPr>
          <w:rFonts w:asciiTheme="majorHAnsi" w:hAnsiTheme="majorHAnsi" w:cstheme="majorHAnsi"/>
          <w:sz w:val="22"/>
        </w:rPr>
      </w:pPr>
    </w:p>
    <w:p w14:paraId="5258EEBE" w14:textId="77777777" w:rsidR="00831C0B" w:rsidRPr="00523BD8" w:rsidRDefault="00831C0B" w:rsidP="00831C0B">
      <w:pPr>
        <w:jc w:val="both"/>
        <w:rPr>
          <w:rFonts w:asciiTheme="majorHAnsi" w:hAnsiTheme="majorHAnsi" w:cstheme="majorHAnsi"/>
          <w:sz w:val="22"/>
          <w:szCs w:val="24"/>
        </w:rPr>
      </w:pPr>
      <w:r>
        <w:rPr>
          <w:rFonts w:asciiTheme="majorHAnsi" w:hAnsiTheme="majorHAnsi" w:cstheme="majorHAnsi"/>
          <w:sz w:val="22"/>
        </w:rPr>
        <w:t>Un premier diagnostic</w:t>
      </w:r>
      <w:r w:rsidR="00B12274">
        <w:rPr>
          <w:rFonts w:asciiTheme="majorHAnsi" w:hAnsiTheme="majorHAnsi" w:cstheme="majorHAnsi"/>
          <w:sz w:val="22"/>
          <w:vertAlign w:val="superscript"/>
        </w:rPr>
        <w:footnoteReference w:id="2"/>
      </w:r>
      <w:r w:rsidR="00B12274">
        <w:rPr>
          <w:rFonts w:asciiTheme="majorHAnsi" w:hAnsiTheme="majorHAnsi" w:cstheme="majorHAnsi"/>
          <w:sz w:val="22"/>
        </w:rPr>
        <w:t xml:space="preserve"> </w:t>
      </w:r>
      <w:r>
        <w:rPr>
          <w:rFonts w:asciiTheme="majorHAnsi" w:hAnsiTheme="majorHAnsi" w:cstheme="majorHAnsi"/>
          <w:sz w:val="22"/>
        </w:rPr>
        <w:t xml:space="preserve">de nos pratiques de gestion des données indique que nous devons renforcer nos processus actuels et notre capacité afin d’améliorer les compétences relatives à la gestion des données, les outils et l’infrastructure pour l’avenir. Les </w:t>
      </w:r>
      <w:r w:rsidR="00567452">
        <w:rPr>
          <w:rFonts w:asciiTheme="majorHAnsi" w:hAnsiTheme="majorHAnsi" w:cstheme="majorHAnsi"/>
          <w:sz w:val="22"/>
        </w:rPr>
        <w:t>enjeux</w:t>
      </w:r>
      <w:r w:rsidR="00AE3130">
        <w:rPr>
          <w:rFonts w:asciiTheme="majorHAnsi" w:hAnsiTheme="majorHAnsi" w:cstheme="majorHAnsi"/>
          <w:sz w:val="22"/>
        </w:rPr>
        <w:t xml:space="preserve"> relevés sont les suivants </w:t>
      </w:r>
      <w:r>
        <w:rPr>
          <w:rFonts w:asciiTheme="majorHAnsi" w:hAnsiTheme="majorHAnsi" w:cstheme="majorHAnsi"/>
          <w:sz w:val="22"/>
        </w:rPr>
        <w:t xml:space="preserve">: </w:t>
      </w:r>
    </w:p>
    <w:p w14:paraId="38CBDFF1" w14:textId="77777777" w:rsidR="000E29B1" w:rsidRPr="00523BD8" w:rsidRDefault="00063CBD" w:rsidP="00E83AEE">
      <w:pPr>
        <w:pStyle w:val="ListParagraph"/>
        <w:numPr>
          <w:ilvl w:val="0"/>
          <w:numId w:val="6"/>
        </w:numPr>
        <w:rPr>
          <w:rFonts w:asciiTheme="majorHAnsi" w:hAnsiTheme="majorHAnsi" w:cstheme="majorHAnsi"/>
          <w:szCs w:val="24"/>
        </w:rPr>
      </w:pPr>
      <w:r>
        <w:rPr>
          <w:rStyle w:val="Strong"/>
          <w:rFonts w:asciiTheme="majorHAnsi" w:hAnsiTheme="majorHAnsi" w:cstheme="majorHAnsi"/>
        </w:rPr>
        <w:t>Manque de gouvernance axée sur les données :</w:t>
      </w:r>
      <w:r>
        <w:rPr>
          <w:rFonts w:asciiTheme="majorHAnsi" w:hAnsiTheme="majorHAnsi" w:cstheme="majorHAnsi"/>
        </w:rPr>
        <w:t xml:space="preserve"> Lors </w:t>
      </w:r>
      <w:r w:rsidRPr="00356A96">
        <w:rPr>
          <w:rFonts w:asciiTheme="majorHAnsi" w:hAnsiTheme="majorHAnsi" w:cstheme="majorHAnsi"/>
        </w:rPr>
        <w:t>du déclassement</w:t>
      </w:r>
      <w:r>
        <w:rPr>
          <w:rFonts w:asciiTheme="majorHAnsi" w:hAnsiTheme="majorHAnsi" w:cstheme="majorHAnsi"/>
        </w:rPr>
        <w:t xml:space="preserve"> du programme « </w:t>
      </w:r>
      <w:r w:rsidR="00695535">
        <w:rPr>
          <w:rFonts w:asciiTheme="majorHAnsi" w:hAnsiTheme="majorHAnsi" w:cstheme="majorHAnsi"/>
        </w:rPr>
        <w:t xml:space="preserve">Intelligence d’affaires </w:t>
      </w:r>
      <w:r w:rsidR="003A7BA9">
        <w:rPr>
          <w:rFonts w:asciiTheme="majorHAnsi" w:hAnsiTheme="majorHAnsi" w:cstheme="majorHAnsi"/>
        </w:rPr>
        <w:t>et entrepôt de données d’entreprise</w:t>
      </w:r>
      <w:r>
        <w:rPr>
          <w:rFonts w:asciiTheme="majorHAnsi" w:hAnsiTheme="majorHAnsi" w:cstheme="majorHAnsi"/>
        </w:rPr>
        <w:t xml:space="preserve"> », nous </w:t>
      </w:r>
      <w:r w:rsidR="00695535">
        <w:rPr>
          <w:rFonts w:asciiTheme="majorHAnsi" w:hAnsiTheme="majorHAnsi" w:cstheme="majorHAnsi"/>
        </w:rPr>
        <w:t xml:space="preserve">avons appris </w:t>
      </w:r>
      <w:r>
        <w:rPr>
          <w:rFonts w:asciiTheme="majorHAnsi" w:hAnsiTheme="majorHAnsi" w:cstheme="majorHAnsi"/>
        </w:rPr>
        <w:t xml:space="preserve">que les projets de données sont mieux servis par une gouvernance axée sur les données, par opposition à une gouvernance axée sur les TI, même si le projet </w:t>
      </w:r>
      <w:r w:rsidR="00695535">
        <w:rPr>
          <w:rFonts w:asciiTheme="majorHAnsi" w:hAnsiTheme="majorHAnsi" w:cstheme="majorHAnsi"/>
        </w:rPr>
        <w:t>est</w:t>
      </w:r>
      <w:r>
        <w:rPr>
          <w:rFonts w:asciiTheme="majorHAnsi" w:hAnsiTheme="majorHAnsi" w:cstheme="majorHAnsi"/>
        </w:rPr>
        <w:t xml:space="preserve"> réalisé à l’aide de la technologie.</w:t>
      </w:r>
    </w:p>
    <w:p w14:paraId="005AF021" w14:textId="77777777" w:rsidR="00831C0B" w:rsidRPr="00523BD8" w:rsidRDefault="00831C0B" w:rsidP="00E83AEE">
      <w:pPr>
        <w:pStyle w:val="ListParagraph"/>
        <w:numPr>
          <w:ilvl w:val="0"/>
          <w:numId w:val="6"/>
        </w:numPr>
        <w:rPr>
          <w:rFonts w:asciiTheme="majorHAnsi" w:hAnsiTheme="majorHAnsi" w:cstheme="majorHAnsi"/>
          <w:szCs w:val="24"/>
        </w:rPr>
      </w:pPr>
      <w:r>
        <w:rPr>
          <w:rFonts w:asciiTheme="majorHAnsi" w:hAnsiTheme="majorHAnsi" w:cstheme="majorHAnsi"/>
          <w:b/>
        </w:rPr>
        <w:t xml:space="preserve">Travailler dans des </w:t>
      </w:r>
      <w:r w:rsidR="006272C8">
        <w:rPr>
          <w:rFonts w:asciiTheme="majorHAnsi" w:hAnsiTheme="majorHAnsi" w:cstheme="majorHAnsi"/>
          <w:b/>
        </w:rPr>
        <w:t xml:space="preserve">silos </w:t>
      </w:r>
      <w:r>
        <w:rPr>
          <w:rFonts w:asciiTheme="majorHAnsi" w:hAnsiTheme="majorHAnsi" w:cstheme="majorHAnsi"/>
          <w:b/>
        </w:rPr>
        <w:t>de données :</w:t>
      </w:r>
      <w:r>
        <w:rPr>
          <w:rFonts w:asciiTheme="majorHAnsi" w:hAnsiTheme="majorHAnsi" w:cstheme="majorHAnsi"/>
        </w:rPr>
        <w:t xml:space="preserve"> Pour combler leurs besoins opérationnels et en production de rapports, les secteurs de l’organisation ont élaboré leurs propres pratiques de gestion de données et processus connexes. Ces pratiques ont mené à des approches incohérentes de gestion de données et ont créé des risques pour la qualité des données.</w:t>
      </w:r>
    </w:p>
    <w:p w14:paraId="3BBAD1B8" w14:textId="77777777" w:rsidR="00606F37" w:rsidRPr="00523BD8" w:rsidRDefault="00606F37" w:rsidP="00E83AEE">
      <w:pPr>
        <w:pStyle w:val="ListParagraph"/>
        <w:keepNext/>
        <w:keepLines/>
        <w:numPr>
          <w:ilvl w:val="0"/>
          <w:numId w:val="6"/>
        </w:numPr>
        <w:ind w:left="714" w:hanging="357"/>
        <w:rPr>
          <w:rFonts w:ascii="Segoe UI" w:eastAsia="Times New Roman" w:hAnsi="Segoe UI" w:cs="Segoe UI"/>
          <w:szCs w:val="24"/>
        </w:rPr>
      </w:pPr>
      <w:r>
        <w:rPr>
          <w:b/>
        </w:rPr>
        <w:t xml:space="preserve">Travailler à partir de bases de données en </w:t>
      </w:r>
      <w:r w:rsidR="00695535">
        <w:rPr>
          <w:b/>
        </w:rPr>
        <w:t xml:space="preserve">direct </w:t>
      </w:r>
      <w:r>
        <w:rPr>
          <w:b/>
        </w:rPr>
        <w:t>:</w:t>
      </w:r>
      <w:r>
        <w:t xml:space="preserve"> </w:t>
      </w:r>
      <w:r w:rsidRPr="00E83AEE">
        <w:rPr>
          <w:rFonts w:asciiTheme="majorHAnsi" w:hAnsiTheme="majorHAnsi" w:cstheme="majorHAnsi"/>
        </w:rPr>
        <w:t xml:space="preserve">Le fait de travailler à partir de bases de données en </w:t>
      </w:r>
      <w:r w:rsidR="00695535" w:rsidRPr="00E83AEE">
        <w:rPr>
          <w:rFonts w:asciiTheme="majorHAnsi" w:hAnsiTheme="majorHAnsi" w:cstheme="majorHAnsi"/>
        </w:rPr>
        <w:t xml:space="preserve">direct </w:t>
      </w:r>
      <w:r w:rsidRPr="00E83AEE">
        <w:rPr>
          <w:rFonts w:asciiTheme="majorHAnsi" w:hAnsiTheme="majorHAnsi" w:cstheme="majorHAnsi"/>
        </w:rPr>
        <w:t xml:space="preserve">représente un risque pour l’intégrité des données, ainsi que pour le rendement des systèmes. Cela signifie aussi que la CFP n’est pas en mesure de garantir constamment les mêmes données étant donné que les renseignements sont en perpétuel changement. Il y a donc un risque de produire </w:t>
      </w:r>
      <w:r w:rsidR="00CB7A85" w:rsidRPr="00E83AEE">
        <w:rPr>
          <w:rFonts w:asciiTheme="majorHAnsi" w:hAnsiTheme="majorHAnsi" w:cstheme="majorHAnsi"/>
        </w:rPr>
        <w:t>des chiffres différents</w:t>
      </w:r>
      <w:r w:rsidRPr="00E83AEE">
        <w:rPr>
          <w:rFonts w:asciiTheme="majorHAnsi" w:hAnsiTheme="majorHAnsi" w:cstheme="majorHAnsi"/>
        </w:rPr>
        <w:t xml:space="preserve"> pour la même demande.</w:t>
      </w:r>
      <w:r>
        <w:t xml:space="preserve"> </w:t>
      </w:r>
    </w:p>
    <w:p w14:paraId="090C4E60" w14:textId="77777777" w:rsidR="00831C0B" w:rsidRPr="00523BD8" w:rsidRDefault="00831C0B" w:rsidP="00E83AEE">
      <w:pPr>
        <w:pStyle w:val="ListParagraph"/>
        <w:numPr>
          <w:ilvl w:val="0"/>
          <w:numId w:val="6"/>
        </w:numPr>
        <w:rPr>
          <w:rFonts w:asciiTheme="majorHAnsi" w:hAnsiTheme="majorHAnsi" w:cstheme="majorHAnsi"/>
        </w:rPr>
      </w:pPr>
      <w:r>
        <w:rPr>
          <w:rFonts w:asciiTheme="majorHAnsi" w:hAnsiTheme="majorHAnsi" w:cstheme="majorHAnsi"/>
          <w:b/>
        </w:rPr>
        <w:t>Accent mis sur la mesure plutôt que sur l’analyse :</w:t>
      </w:r>
      <w:r>
        <w:rPr>
          <w:rFonts w:asciiTheme="majorHAnsi" w:hAnsiTheme="majorHAnsi" w:cstheme="majorHAnsi"/>
        </w:rPr>
        <w:t xml:space="preserve"> L’utilisation des donnés de la CFP était principalement axée sur le passé, c</w:t>
      </w:r>
      <w:r w:rsidR="00695535">
        <w:rPr>
          <w:rFonts w:asciiTheme="majorHAnsi" w:hAnsiTheme="majorHAnsi" w:cstheme="majorHAnsi"/>
        </w:rPr>
        <w:t>’est-à-dire</w:t>
      </w:r>
      <w:r>
        <w:rPr>
          <w:rFonts w:asciiTheme="majorHAnsi" w:hAnsiTheme="majorHAnsi" w:cstheme="majorHAnsi"/>
        </w:rPr>
        <w:t xml:space="preserve"> rendre compte des transactions qui ont eu lieu et retransmettre les données d</w:t>
      </w:r>
      <w:r w:rsidR="00695535">
        <w:rPr>
          <w:rFonts w:asciiTheme="majorHAnsi" w:hAnsiTheme="majorHAnsi" w:cstheme="majorHAnsi"/>
        </w:rPr>
        <w:t>es</w:t>
      </w:r>
      <w:r>
        <w:rPr>
          <w:rFonts w:asciiTheme="majorHAnsi" w:hAnsiTheme="majorHAnsi" w:cstheme="majorHAnsi"/>
        </w:rPr>
        <w:t xml:space="preserve"> programme</w:t>
      </w:r>
      <w:r w:rsidR="00695535">
        <w:rPr>
          <w:rFonts w:asciiTheme="majorHAnsi" w:hAnsiTheme="majorHAnsi" w:cstheme="majorHAnsi"/>
        </w:rPr>
        <w:t>s</w:t>
      </w:r>
      <w:r>
        <w:rPr>
          <w:rFonts w:asciiTheme="majorHAnsi" w:hAnsiTheme="majorHAnsi" w:cstheme="majorHAnsi"/>
        </w:rPr>
        <w:t xml:space="preserve">. Les données relatives aux transactions sont généralement utilisées comme </w:t>
      </w:r>
      <w:r w:rsidR="00E050EE">
        <w:rPr>
          <w:rFonts w:asciiTheme="majorHAnsi" w:hAnsiTheme="majorHAnsi" w:cstheme="majorHAnsi"/>
        </w:rPr>
        <w:t>un intrant</w:t>
      </w:r>
      <w:r>
        <w:rPr>
          <w:rFonts w:asciiTheme="majorHAnsi" w:hAnsiTheme="majorHAnsi" w:cstheme="majorHAnsi"/>
        </w:rPr>
        <w:t xml:space="preserve"> </w:t>
      </w:r>
      <w:r>
        <w:rPr>
          <w:rFonts w:asciiTheme="majorHAnsi" w:hAnsiTheme="majorHAnsi" w:cstheme="majorHAnsi"/>
        </w:rPr>
        <w:lastRenderedPageBreak/>
        <w:t xml:space="preserve">servant à la prise de décision (plutôt qu’un </w:t>
      </w:r>
      <w:r w:rsidR="001E7511">
        <w:rPr>
          <w:rFonts w:asciiTheme="majorHAnsi" w:hAnsiTheme="majorHAnsi" w:cstheme="majorHAnsi"/>
        </w:rPr>
        <w:t>catalyseur)</w:t>
      </w:r>
      <w:r>
        <w:rPr>
          <w:rFonts w:asciiTheme="majorHAnsi" w:hAnsiTheme="majorHAnsi" w:cstheme="majorHAnsi"/>
        </w:rPr>
        <w:t xml:space="preserve"> et fournissent peu </w:t>
      </w:r>
      <w:r w:rsidR="00E050EE">
        <w:rPr>
          <w:rFonts w:asciiTheme="majorHAnsi" w:hAnsiTheme="majorHAnsi" w:cstheme="majorHAnsi"/>
        </w:rPr>
        <w:t>de renseignement</w:t>
      </w:r>
      <w:r w:rsidR="007E7CA5">
        <w:rPr>
          <w:rFonts w:asciiTheme="majorHAnsi" w:hAnsiTheme="majorHAnsi" w:cstheme="majorHAnsi"/>
        </w:rPr>
        <w:t>s</w:t>
      </w:r>
      <w:r w:rsidR="00E050EE">
        <w:rPr>
          <w:rFonts w:asciiTheme="majorHAnsi" w:hAnsiTheme="majorHAnsi" w:cstheme="majorHAnsi"/>
        </w:rPr>
        <w:t>.</w:t>
      </w:r>
    </w:p>
    <w:p w14:paraId="38276229" w14:textId="77777777" w:rsidR="008C442E" w:rsidRDefault="008C442E" w:rsidP="00E83AEE">
      <w:pPr>
        <w:pStyle w:val="ListParagraph"/>
        <w:numPr>
          <w:ilvl w:val="0"/>
          <w:numId w:val="6"/>
        </w:numPr>
        <w:ind w:left="714" w:hanging="357"/>
        <w:rPr>
          <w:rFonts w:asciiTheme="majorHAnsi" w:hAnsiTheme="majorHAnsi" w:cstheme="majorHAnsi"/>
        </w:rPr>
      </w:pPr>
      <w:r>
        <w:rPr>
          <w:rFonts w:asciiTheme="majorHAnsi" w:hAnsiTheme="majorHAnsi" w:cstheme="majorHAnsi"/>
          <w:b/>
        </w:rPr>
        <w:t>Besoin d’une infrastructure qui appuie l’intégration des données :</w:t>
      </w:r>
      <w:r>
        <w:rPr>
          <w:rFonts w:asciiTheme="majorHAnsi" w:hAnsiTheme="majorHAnsi" w:cstheme="majorHAnsi"/>
        </w:rPr>
        <w:t xml:space="preserve"> La CFP s’emploie à mettre à jour et à améliorer son infrastructure de données en vue de centraliser, de normaliser et d’intégrer les données et de mieux soutenir les fonctions d’analyse et de production de rapports dans l’organisation. Cependant, on n’a encore trouvé aucune solution, et la modernisation de notre infrastructure est particulièrement essentielle étant donné que nous prévoyons remplacer deux systèmes importants, soit le</w:t>
      </w:r>
      <w:r w:rsidR="00A74230">
        <w:rPr>
          <w:rFonts w:asciiTheme="majorHAnsi" w:hAnsiTheme="majorHAnsi" w:cstheme="majorHAnsi"/>
        </w:rPr>
        <w:t xml:space="preserve"> </w:t>
      </w:r>
      <w:r>
        <w:rPr>
          <w:rFonts w:asciiTheme="majorHAnsi" w:hAnsiTheme="majorHAnsi" w:cstheme="majorHAnsi"/>
        </w:rPr>
        <w:t>SRFP et le S</w:t>
      </w:r>
      <w:r w:rsidR="00E050EE">
        <w:rPr>
          <w:rFonts w:asciiTheme="majorHAnsi" w:hAnsiTheme="majorHAnsi" w:cstheme="majorHAnsi"/>
        </w:rPr>
        <w:t>GI</w:t>
      </w:r>
      <w:r w:rsidR="00C550CC">
        <w:rPr>
          <w:rFonts w:asciiTheme="majorHAnsi" w:hAnsiTheme="majorHAnsi" w:cstheme="majorHAnsi"/>
        </w:rPr>
        <w:t>P</w:t>
      </w:r>
      <w:r w:rsidR="00E050EE">
        <w:rPr>
          <w:rFonts w:asciiTheme="majorHAnsi" w:hAnsiTheme="majorHAnsi" w:cstheme="majorHAnsi"/>
        </w:rPr>
        <w:t>.</w:t>
      </w:r>
    </w:p>
    <w:p w14:paraId="59ED9BF4" w14:textId="77777777" w:rsidR="00D81E8B" w:rsidRPr="00D81E8B" w:rsidRDefault="00D81E8B" w:rsidP="00D81E8B">
      <w:pPr>
        <w:pStyle w:val="ListParagraph"/>
        <w:rPr>
          <w:rFonts w:asciiTheme="majorHAnsi" w:hAnsiTheme="majorHAnsi" w:cstheme="majorHAnsi"/>
        </w:rPr>
      </w:pPr>
    </w:p>
    <w:p w14:paraId="0B84D069" w14:textId="77777777" w:rsidR="00F9047D" w:rsidRPr="00F9047D" w:rsidRDefault="005E49BD" w:rsidP="00B4185B">
      <w:pPr>
        <w:pStyle w:val="Heading2"/>
      </w:pPr>
      <w:bookmarkStart w:id="9" w:name="_Toc512263599"/>
      <w:bookmarkStart w:id="10" w:name="_Toc528845186"/>
      <w:r>
        <w:t xml:space="preserve">3. </w:t>
      </w:r>
      <w:bookmarkEnd w:id="9"/>
      <w:r w:rsidR="00FF724B">
        <w:t>Analyse de rentabilité</w:t>
      </w:r>
      <w:bookmarkEnd w:id="10"/>
      <w:r>
        <w:t xml:space="preserve"> </w:t>
      </w:r>
    </w:p>
    <w:p w14:paraId="013C0DC9" w14:textId="77777777" w:rsidR="00061ADD" w:rsidRPr="00523BD8" w:rsidRDefault="00A21185" w:rsidP="00061ADD">
      <w:pPr>
        <w:rPr>
          <w:rFonts w:ascii="Arial" w:hAnsi="Arial" w:cs="Arial"/>
          <w:sz w:val="22"/>
        </w:rPr>
      </w:pPr>
      <w:r>
        <w:rPr>
          <w:rFonts w:ascii="Arial" w:hAnsi="Arial"/>
          <w:sz w:val="22"/>
        </w:rPr>
        <w:t>Les avantages découlant de la Stratégie permettront non seulement de surmonter les défis actuels liés aux données, mais également de positionner l’organisation en prévision de l’avenir en appuyant le travail fondamental de la CFP.</w:t>
      </w:r>
    </w:p>
    <w:p w14:paraId="77E98FFD" w14:textId="77777777" w:rsidR="00061ADD" w:rsidRPr="00523BD8" w:rsidRDefault="00061ADD" w:rsidP="003B72E3">
      <w:pPr>
        <w:pStyle w:val="ListParagraph"/>
        <w:numPr>
          <w:ilvl w:val="0"/>
          <w:numId w:val="7"/>
        </w:numPr>
        <w:spacing w:after="0" w:line="240" w:lineRule="auto"/>
        <w:ind w:left="720"/>
        <w:rPr>
          <w:rFonts w:cs="Arial"/>
        </w:rPr>
      </w:pPr>
      <w:r>
        <w:t xml:space="preserve">Rendre </w:t>
      </w:r>
      <w:r w:rsidR="00E050EE">
        <w:t>c</w:t>
      </w:r>
      <w:r>
        <w:t xml:space="preserve">ompte au Parlement </w:t>
      </w:r>
      <w:r w:rsidR="00E050EE">
        <w:t>sur le</w:t>
      </w:r>
      <w:r>
        <w:t xml:space="preserve"> r</w:t>
      </w:r>
      <w:r w:rsidR="007E7BA6">
        <w:t xml:space="preserve">endement du système de dotation </w:t>
      </w:r>
      <w:r>
        <w:t>et de l’impartialité politique de la fonction publique.</w:t>
      </w:r>
    </w:p>
    <w:p w14:paraId="5645D10D" w14:textId="77777777" w:rsidR="00061ADD" w:rsidRPr="00523BD8" w:rsidRDefault="00061ADD" w:rsidP="003B72E3">
      <w:pPr>
        <w:pStyle w:val="ListParagraph"/>
        <w:numPr>
          <w:ilvl w:val="0"/>
          <w:numId w:val="7"/>
        </w:numPr>
        <w:spacing w:after="0" w:line="240" w:lineRule="auto"/>
        <w:ind w:left="720"/>
        <w:rPr>
          <w:rFonts w:cs="Arial"/>
        </w:rPr>
      </w:pPr>
      <w:r>
        <w:t>Appuyer les rajustements aux politiques fondés sur des données probantes.</w:t>
      </w:r>
    </w:p>
    <w:p w14:paraId="4F71B391" w14:textId="77777777" w:rsidR="00061ADD" w:rsidRPr="00523BD8" w:rsidRDefault="00061ADD" w:rsidP="003B72E3">
      <w:pPr>
        <w:pStyle w:val="ListParagraph"/>
        <w:numPr>
          <w:ilvl w:val="0"/>
          <w:numId w:val="7"/>
        </w:numPr>
        <w:spacing w:after="0" w:line="240" w:lineRule="auto"/>
        <w:ind w:left="720"/>
        <w:rPr>
          <w:rFonts w:cs="Arial"/>
        </w:rPr>
      </w:pPr>
      <w:r>
        <w:t xml:space="preserve">Favoriser l’amélioration de la prestation de </w:t>
      </w:r>
      <w:r w:rsidR="00E050EE">
        <w:t>programmes</w:t>
      </w:r>
      <w:r>
        <w:t>.</w:t>
      </w:r>
    </w:p>
    <w:p w14:paraId="5802A554" w14:textId="77777777" w:rsidR="00061ADD" w:rsidRPr="004D3B71" w:rsidRDefault="00061ADD" w:rsidP="004E7919">
      <w:pPr>
        <w:pStyle w:val="ListParagraph"/>
        <w:numPr>
          <w:ilvl w:val="0"/>
          <w:numId w:val="7"/>
        </w:numPr>
        <w:spacing w:after="0" w:line="240" w:lineRule="auto"/>
        <w:ind w:left="720"/>
        <w:rPr>
          <w:rFonts w:cs="Arial"/>
        </w:rPr>
      </w:pPr>
      <w:r>
        <w:t>Renforcer la capacité de la fonction de surveillance afin de cerner les risques au début et d</w:t>
      </w:r>
      <w:r w:rsidR="004D3B71">
        <w:t>’intervenir en temps opportun.</w:t>
      </w:r>
    </w:p>
    <w:p w14:paraId="788D77AE" w14:textId="77777777" w:rsidR="004D3B71" w:rsidRPr="004D3B71" w:rsidRDefault="004D3B71" w:rsidP="004D3B71">
      <w:pPr>
        <w:pStyle w:val="ListParagraph"/>
        <w:spacing w:after="0" w:line="240" w:lineRule="auto"/>
        <w:rPr>
          <w:rFonts w:cs="Arial"/>
        </w:rPr>
      </w:pPr>
    </w:p>
    <w:p w14:paraId="66354B30" w14:textId="77777777" w:rsidR="00725CA7" w:rsidRPr="00523BD8" w:rsidRDefault="00B6527B" w:rsidP="004E7919">
      <w:pPr>
        <w:spacing w:after="0" w:line="240" w:lineRule="auto"/>
        <w:rPr>
          <w:rFonts w:ascii="Arial" w:hAnsi="Arial" w:cs="Arial"/>
          <w:sz w:val="22"/>
        </w:rPr>
      </w:pPr>
      <w:r>
        <w:rPr>
          <w:rFonts w:ascii="Arial" w:hAnsi="Arial"/>
          <w:sz w:val="22"/>
        </w:rPr>
        <w:t>Étant donné que les besoins de l’organisation en matière d’analyse continuent de croître en nombre et en complexité en raison des exigences, des pratiques et des attentes qui évoluent, la Stratégie permettra également ce qui suit :</w:t>
      </w:r>
    </w:p>
    <w:p w14:paraId="25926FBE" w14:textId="77777777" w:rsidR="004E7919" w:rsidRPr="00523BD8" w:rsidRDefault="004E7919" w:rsidP="004E7919">
      <w:pPr>
        <w:spacing w:after="0" w:line="240" w:lineRule="auto"/>
        <w:rPr>
          <w:rFonts w:ascii="Arial" w:hAnsi="Arial" w:cs="Arial"/>
          <w:sz w:val="22"/>
        </w:rPr>
      </w:pPr>
    </w:p>
    <w:p w14:paraId="7DD596CC" w14:textId="77777777" w:rsidR="00725CA7" w:rsidRPr="00523BD8" w:rsidRDefault="00725CA7" w:rsidP="0093400E">
      <w:pPr>
        <w:pStyle w:val="ListParagraph"/>
        <w:numPr>
          <w:ilvl w:val="0"/>
          <w:numId w:val="5"/>
        </w:numPr>
        <w:spacing w:after="0" w:line="240" w:lineRule="auto"/>
        <w:ind w:left="720"/>
        <w:rPr>
          <w:rFonts w:cs="Arial"/>
        </w:rPr>
      </w:pPr>
      <w:r>
        <w:t>Des liens plus solides entre les systèmes de données cloisonnées – réduisant les coûts de fonctionnement et augmentant la valeur des données.</w:t>
      </w:r>
    </w:p>
    <w:p w14:paraId="06071AF5" w14:textId="77777777" w:rsidR="004E7919" w:rsidRPr="00523BD8" w:rsidRDefault="00DF53FF" w:rsidP="0093400E">
      <w:pPr>
        <w:pStyle w:val="ListParagraph"/>
        <w:numPr>
          <w:ilvl w:val="0"/>
          <w:numId w:val="5"/>
        </w:numPr>
        <w:spacing w:after="0" w:line="240" w:lineRule="auto"/>
        <w:ind w:left="720"/>
        <w:rPr>
          <w:rFonts w:cs="Arial"/>
        </w:rPr>
      </w:pPr>
      <w:r>
        <w:t>Meilleures pratiques de gestion des données pour protéger et publier les données et en faire le suivi.</w:t>
      </w:r>
    </w:p>
    <w:p w14:paraId="59A1CC72" w14:textId="77777777" w:rsidR="004E7919" w:rsidRPr="00523BD8" w:rsidRDefault="004E7919" w:rsidP="0093400E">
      <w:pPr>
        <w:pStyle w:val="ListParagraph"/>
        <w:numPr>
          <w:ilvl w:val="0"/>
          <w:numId w:val="5"/>
        </w:numPr>
        <w:spacing w:after="0" w:line="240" w:lineRule="auto"/>
        <w:ind w:left="720"/>
        <w:rPr>
          <w:rFonts w:cs="Arial"/>
        </w:rPr>
      </w:pPr>
      <w:r>
        <w:t>Capacité accrue de transformer des données et d’y accéder.</w:t>
      </w:r>
    </w:p>
    <w:p w14:paraId="2F2D0808" w14:textId="77777777" w:rsidR="00061ADD" w:rsidRPr="00B469E6" w:rsidRDefault="004E7919" w:rsidP="0093400E">
      <w:pPr>
        <w:pStyle w:val="ListParagraph"/>
        <w:numPr>
          <w:ilvl w:val="0"/>
          <w:numId w:val="5"/>
        </w:numPr>
        <w:spacing w:after="0" w:line="240" w:lineRule="auto"/>
        <w:ind w:left="720"/>
        <w:rPr>
          <w:rFonts w:cs="Arial"/>
        </w:rPr>
      </w:pPr>
      <w:r>
        <w:lastRenderedPageBreak/>
        <w:t>Capacité accrue de répondre à des questions de plus en plus c</w:t>
      </w:r>
      <w:r w:rsidR="00B469E6">
        <w:t>omplexes et de les approfondir.</w:t>
      </w:r>
    </w:p>
    <w:p w14:paraId="6D99F3D8" w14:textId="77777777" w:rsidR="00B469E6" w:rsidRPr="00523BD8" w:rsidRDefault="00B469E6" w:rsidP="00B469E6">
      <w:pPr>
        <w:pStyle w:val="ListParagraph"/>
        <w:spacing w:after="0" w:line="240" w:lineRule="auto"/>
        <w:rPr>
          <w:rFonts w:cs="Arial"/>
        </w:rPr>
      </w:pPr>
    </w:p>
    <w:p w14:paraId="462C969C" w14:textId="77777777" w:rsidR="007F1274" w:rsidRDefault="004F41CF" w:rsidP="004F41CF">
      <w:pPr>
        <w:pStyle w:val="Heading2"/>
      </w:pPr>
      <w:bookmarkStart w:id="11" w:name="_Toc512263600"/>
      <w:bookmarkStart w:id="12" w:name="_Toc528845187"/>
      <w:bookmarkStart w:id="13" w:name="_Toc500667712"/>
      <w:bookmarkStart w:id="14" w:name="_Toc502228705"/>
      <w:bookmarkStart w:id="15" w:name="_Toc502229020"/>
      <w:r>
        <w:t>4. Composantes de la Stratégie de gestion des données de la CFP</w:t>
      </w:r>
      <w:bookmarkEnd w:id="11"/>
      <w:bookmarkEnd w:id="12"/>
      <w:r>
        <w:t xml:space="preserve"> </w:t>
      </w:r>
      <w:r>
        <w:rPr>
          <w:rFonts w:asciiTheme="majorHAnsi" w:hAnsiTheme="majorHAnsi" w:cstheme="majorHAnsi"/>
          <w:b/>
          <w:i/>
        </w:rPr>
        <w:t xml:space="preserve"> </w:t>
      </w:r>
    </w:p>
    <w:p w14:paraId="379AC34D" w14:textId="77777777" w:rsidR="004D2753" w:rsidRPr="004D2753" w:rsidRDefault="000E29B1" w:rsidP="004D2753">
      <w:pPr>
        <w:jc w:val="both"/>
        <w:rPr>
          <w:sz w:val="22"/>
          <w:szCs w:val="24"/>
        </w:rPr>
      </w:pPr>
      <w:r>
        <w:rPr>
          <w:rFonts w:asciiTheme="majorHAnsi" w:hAnsiTheme="majorHAnsi" w:cstheme="majorHAnsi"/>
          <w:sz w:val="22"/>
        </w:rPr>
        <w:t xml:space="preserve">Les éléments centraux de la Stratégie – gestion des données, infrastructure des données et utilisateurs des données – ont été établis pour appuyer la réalisation de la vision relative aux données de la CFP qui consiste à avoir « les bonnes données, la bonne façon, entre </w:t>
      </w:r>
      <w:r w:rsidR="00E050EE">
        <w:rPr>
          <w:rFonts w:asciiTheme="majorHAnsi" w:hAnsiTheme="majorHAnsi" w:cstheme="majorHAnsi"/>
          <w:sz w:val="22"/>
        </w:rPr>
        <w:t xml:space="preserve">les </w:t>
      </w:r>
      <w:r>
        <w:rPr>
          <w:rFonts w:asciiTheme="majorHAnsi" w:hAnsiTheme="majorHAnsi" w:cstheme="majorHAnsi"/>
          <w:sz w:val="22"/>
        </w:rPr>
        <w:t>bonnes mains</w:t>
      </w:r>
      <w:r w:rsidR="007E7BA6">
        <w:rPr>
          <w:rFonts w:asciiTheme="majorHAnsi" w:hAnsiTheme="majorHAnsi" w:cstheme="majorHAnsi"/>
          <w:sz w:val="22"/>
        </w:rPr>
        <w:t>,</w:t>
      </w:r>
      <w:r>
        <w:rPr>
          <w:rFonts w:asciiTheme="majorHAnsi" w:hAnsiTheme="majorHAnsi" w:cstheme="majorHAnsi"/>
          <w:sz w:val="22"/>
        </w:rPr>
        <w:t xml:space="preserve"> au bon moment ».</w:t>
      </w:r>
      <w:r w:rsidR="00A74230">
        <w:rPr>
          <w:rFonts w:asciiTheme="majorHAnsi" w:hAnsiTheme="majorHAnsi" w:cstheme="majorHAnsi"/>
          <w:i/>
          <w:sz w:val="22"/>
        </w:rPr>
        <w:t xml:space="preserve"> </w:t>
      </w:r>
      <w:r>
        <w:rPr>
          <w:rFonts w:asciiTheme="majorHAnsi" w:hAnsiTheme="majorHAnsi" w:cstheme="majorHAnsi"/>
          <w:sz w:val="22"/>
        </w:rPr>
        <w:t>Ces éléments centraux sont fondés sur les normes de l’industrie et les pratiques exemplaires, ainsi que sur les besoins particuliers de la CFP, tel qu’il a été établi au moyen d’un diagnostic initial des capacités de données de la CFP. Pour chacune des composantes de la Stratégie, un certain nombre de catalyseurs ont été définis pour réaliser la vision. On élaborera un plan distinct afin de fournir des détails sur l</w:t>
      </w:r>
      <w:bookmarkStart w:id="16" w:name="_Toc512263601"/>
      <w:r w:rsidR="004D2753">
        <w:rPr>
          <w:rFonts w:asciiTheme="majorHAnsi" w:hAnsiTheme="majorHAnsi" w:cstheme="majorHAnsi"/>
          <w:sz w:val="22"/>
        </w:rPr>
        <w:t>es actions et les échéanciers.</w:t>
      </w:r>
    </w:p>
    <w:p w14:paraId="474338A3" w14:textId="77777777" w:rsidR="007F1274" w:rsidRDefault="004F41CF" w:rsidP="004F41CF">
      <w:pPr>
        <w:pStyle w:val="Heading3"/>
      </w:pPr>
      <w:bookmarkStart w:id="17" w:name="_Toc528845188"/>
      <w:r>
        <w:t>4.1 Gestion des données</w:t>
      </w:r>
      <w:bookmarkEnd w:id="17"/>
      <w:r>
        <w:t xml:space="preserve"> </w:t>
      </w:r>
      <w:bookmarkEnd w:id="16"/>
    </w:p>
    <w:p w14:paraId="78E0B2FB" w14:textId="77777777" w:rsidR="00BC3679" w:rsidRDefault="00440A68" w:rsidP="006A383F">
      <w:pPr>
        <w:rPr>
          <w:rFonts w:asciiTheme="majorHAnsi" w:hAnsiTheme="majorHAnsi" w:cstheme="majorHAnsi"/>
          <w:b/>
          <w:i/>
        </w:rPr>
      </w:pPr>
      <w:r>
        <w:rPr>
          <w:rFonts w:asciiTheme="majorHAnsi" w:hAnsiTheme="majorHAnsi" w:cstheme="majorHAnsi"/>
          <w:sz w:val="22"/>
        </w:rPr>
        <w:t>La composante de gestion des données vise à établir une norme organisationnelle sur la façon don</w:t>
      </w:r>
      <w:r w:rsidR="00A74230">
        <w:rPr>
          <w:rFonts w:asciiTheme="majorHAnsi" w:hAnsiTheme="majorHAnsi" w:cstheme="majorHAnsi"/>
          <w:sz w:val="22"/>
        </w:rPr>
        <w:t>t</w:t>
      </w:r>
      <w:r>
        <w:rPr>
          <w:rFonts w:asciiTheme="majorHAnsi" w:hAnsiTheme="majorHAnsi" w:cstheme="majorHAnsi"/>
          <w:sz w:val="22"/>
        </w:rPr>
        <w:t xml:space="preserve"> nous gérons nos données. Cette composante sera axée sur quatre domaines, soit la gouvernance, la qualité, la sécurité et la protection des renseignements personnels, et les risques afin d’accélérer la maturité des pratiques de gestion des données dans l’organisation.</w:t>
      </w:r>
      <w:r w:rsidR="00A74230">
        <w:rPr>
          <w:rFonts w:asciiTheme="majorHAnsi" w:hAnsiTheme="majorHAnsi" w:cstheme="majorHAnsi"/>
          <w:sz w:val="22"/>
        </w:rPr>
        <w:t xml:space="preserve"> </w:t>
      </w:r>
      <w:r>
        <w:rPr>
          <w:rFonts w:asciiTheme="majorHAnsi" w:hAnsiTheme="majorHAnsi" w:cstheme="majorHAnsi"/>
          <w:sz w:val="22"/>
        </w:rPr>
        <w:t>Ces quatre domaines ont été reconnus comme des domaines clés selon les examens des pratiques exemplaires en matière de gestion des données dans les secteurs public et privé.</w:t>
      </w:r>
    </w:p>
    <w:p w14:paraId="5F3F4B5B" w14:textId="77777777" w:rsidR="004F41CF" w:rsidRPr="00DE72BC" w:rsidRDefault="006377C5" w:rsidP="00DE72BC">
      <w:pPr>
        <w:rPr>
          <w:rFonts w:asciiTheme="majorHAnsi" w:hAnsiTheme="majorHAnsi" w:cstheme="majorHAnsi"/>
          <w:sz w:val="22"/>
        </w:rPr>
      </w:pPr>
      <w:r>
        <w:rPr>
          <w:rFonts w:asciiTheme="majorHAnsi" w:hAnsiTheme="majorHAnsi" w:cstheme="majorHAnsi"/>
          <w:b/>
          <w:i/>
          <w:sz w:val="22"/>
        </w:rPr>
        <w:t xml:space="preserve">4.1.1 </w:t>
      </w:r>
      <w:r w:rsidR="007825EE">
        <w:rPr>
          <w:rFonts w:asciiTheme="majorHAnsi" w:hAnsiTheme="majorHAnsi" w:cstheme="majorHAnsi"/>
          <w:b/>
          <w:i/>
          <w:sz w:val="22"/>
        </w:rPr>
        <w:t>Gouvernance des données</w:t>
      </w:r>
      <w:r w:rsidR="007825EE">
        <w:t xml:space="preserve"> :</w:t>
      </w:r>
      <w:r w:rsidR="007825EE">
        <w:rPr>
          <w:rFonts w:asciiTheme="majorHAnsi" w:hAnsiTheme="majorHAnsi" w:cstheme="majorHAnsi"/>
          <w:sz w:val="22"/>
        </w:rPr>
        <w:t xml:space="preserve"> La gouvernance des données a une incidence sur tous les domaines de la gestion des données et influe directement sur les priorités, ainsi que sur la prise de décision relative à la disposition de la Stratégie. Il est important de faire la distinction entre la gouvernance des données et une autre gouvernance organisationnelle.</w:t>
      </w:r>
      <w:r w:rsidR="00A74230">
        <w:rPr>
          <w:rFonts w:asciiTheme="majorHAnsi" w:hAnsiTheme="majorHAnsi" w:cstheme="majorHAnsi"/>
          <w:sz w:val="22"/>
        </w:rPr>
        <w:t xml:space="preserve"> </w:t>
      </w:r>
      <w:r w:rsidR="007825EE">
        <w:rPr>
          <w:rFonts w:asciiTheme="majorHAnsi" w:hAnsiTheme="majorHAnsi" w:cstheme="majorHAnsi"/>
          <w:sz w:val="22"/>
        </w:rPr>
        <w:t xml:space="preserve">La gouvernance des données est un partenariat entre des </w:t>
      </w:r>
      <w:r w:rsidR="00DE72BC">
        <w:rPr>
          <w:rFonts w:asciiTheme="majorHAnsi" w:hAnsiTheme="majorHAnsi" w:cstheme="majorHAnsi"/>
          <w:sz w:val="22"/>
        </w:rPr>
        <w:t>associés d’affaires</w:t>
      </w:r>
      <w:r w:rsidR="007825EE">
        <w:rPr>
          <w:rFonts w:asciiTheme="majorHAnsi" w:hAnsiTheme="majorHAnsi" w:cstheme="majorHAnsi"/>
          <w:sz w:val="22"/>
        </w:rPr>
        <w:t xml:space="preserve">, des experts en données et des </w:t>
      </w:r>
      <w:r w:rsidR="00E050EE">
        <w:rPr>
          <w:rFonts w:asciiTheme="majorHAnsi" w:hAnsiTheme="majorHAnsi" w:cstheme="majorHAnsi"/>
          <w:sz w:val="22"/>
        </w:rPr>
        <w:t xml:space="preserve">responsables </w:t>
      </w:r>
      <w:r w:rsidR="00A74230">
        <w:rPr>
          <w:rFonts w:asciiTheme="majorHAnsi" w:hAnsiTheme="majorHAnsi" w:cstheme="majorHAnsi"/>
          <w:sz w:val="22"/>
        </w:rPr>
        <w:t>en technologie</w:t>
      </w:r>
      <w:r w:rsidR="007825EE">
        <w:rPr>
          <w:rFonts w:asciiTheme="majorHAnsi" w:hAnsiTheme="majorHAnsi" w:cstheme="majorHAnsi"/>
          <w:sz w:val="22"/>
        </w:rPr>
        <w:t>.</w:t>
      </w:r>
    </w:p>
    <w:p w14:paraId="1A3ACBC9" w14:textId="77777777" w:rsidR="005F7F75" w:rsidRPr="00523BD8" w:rsidRDefault="007825EE" w:rsidP="006A383F">
      <w:pPr>
        <w:rPr>
          <w:rFonts w:asciiTheme="majorHAnsi" w:hAnsiTheme="majorHAnsi" w:cstheme="majorHAnsi"/>
          <w:sz w:val="22"/>
        </w:rPr>
      </w:pPr>
      <w:r>
        <w:rPr>
          <w:rFonts w:asciiTheme="majorHAnsi" w:hAnsiTheme="majorHAnsi" w:cstheme="majorHAnsi"/>
          <w:sz w:val="22"/>
        </w:rPr>
        <w:lastRenderedPageBreak/>
        <w:t>Comme il a été reconnu qu’il faut une gouvernance intégrée rassemblant les perspectives opérationnelles et techniques, on a créé un nouveau modèle d</w:t>
      </w:r>
      <w:r w:rsidR="0002190F">
        <w:rPr>
          <w:rFonts w:asciiTheme="majorHAnsi" w:hAnsiTheme="majorHAnsi" w:cstheme="majorHAnsi"/>
          <w:sz w:val="22"/>
        </w:rPr>
        <w:t>e gouvernance - voir l’annexe A : structure de gouvernance pour la Stratégie de gestion des données.</w:t>
      </w:r>
      <w:r>
        <w:rPr>
          <w:rFonts w:asciiTheme="majorHAnsi" w:hAnsiTheme="majorHAnsi" w:cstheme="majorHAnsi"/>
          <w:sz w:val="22"/>
        </w:rPr>
        <w:t xml:space="preserve"> Le Comité de la gestion de l’information/technologie de l’information (CGITI) et le Comité d’intégration (CI) se rencontreront afin de superviser </w:t>
      </w:r>
      <w:r w:rsidR="001C7B89">
        <w:rPr>
          <w:rFonts w:asciiTheme="majorHAnsi" w:hAnsiTheme="majorHAnsi" w:cstheme="majorHAnsi"/>
          <w:sz w:val="22"/>
        </w:rPr>
        <w:t xml:space="preserve">conjointement </w:t>
      </w:r>
      <w:r>
        <w:rPr>
          <w:rFonts w:asciiTheme="majorHAnsi" w:hAnsiTheme="majorHAnsi" w:cstheme="majorHAnsi"/>
          <w:sz w:val="22"/>
        </w:rPr>
        <w:t>la mise en œuvre de la Stratégie et de fournir une orientation à cet égard et sur d’autres questions liées aux données. Ils s’assureront que les changements apportés à la conception et à la mise en œuvre des solutions opérationnel</w:t>
      </w:r>
      <w:r w:rsidR="00F44F6A">
        <w:rPr>
          <w:rFonts w:asciiTheme="majorHAnsi" w:hAnsiTheme="majorHAnsi" w:cstheme="majorHAnsi"/>
          <w:sz w:val="22"/>
        </w:rPr>
        <w:t>les</w:t>
      </w:r>
      <w:r>
        <w:rPr>
          <w:rFonts w:asciiTheme="majorHAnsi" w:hAnsiTheme="majorHAnsi" w:cstheme="majorHAnsi"/>
          <w:sz w:val="22"/>
        </w:rPr>
        <w:t xml:space="preserve"> et des systèmes tiennent compte des besoins à plus long terme des actifs de données de la CFP. </w:t>
      </w:r>
    </w:p>
    <w:p w14:paraId="5CA89CCF" w14:textId="77777777" w:rsidR="00F47B99" w:rsidRPr="00523BD8" w:rsidRDefault="005F7F75" w:rsidP="00F47B99">
      <w:pPr>
        <w:rPr>
          <w:rFonts w:asciiTheme="majorHAnsi" w:hAnsiTheme="majorHAnsi" w:cstheme="majorHAnsi"/>
          <w:sz w:val="22"/>
          <w:shd w:val="clear" w:color="auto" w:fill="FFFFFF"/>
        </w:rPr>
      </w:pPr>
      <w:r>
        <w:rPr>
          <w:rFonts w:asciiTheme="majorHAnsi" w:hAnsiTheme="majorHAnsi" w:cstheme="majorHAnsi"/>
          <w:sz w:val="22"/>
        </w:rPr>
        <w:t>En outre, pour exercer un leadership à l’échelle de l’organisation pour les données et les questions connexes, la CFP a nommé un dirigeant principal des données (DPD). Le DPD assumera les responsabilités suivantes :</w:t>
      </w:r>
    </w:p>
    <w:p w14:paraId="4B949348" w14:textId="77777777" w:rsidR="00F47B99" w:rsidRPr="00523BD8" w:rsidRDefault="00F47B99" w:rsidP="003B72E3">
      <w:pPr>
        <w:pStyle w:val="ListParagraph"/>
        <w:numPr>
          <w:ilvl w:val="0"/>
          <w:numId w:val="9"/>
        </w:numPr>
        <w:rPr>
          <w:rFonts w:asciiTheme="majorHAnsi" w:hAnsiTheme="majorHAnsi" w:cstheme="majorHAnsi"/>
          <w:shd w:val="clear" w:color="auto" w:fill="FFFFFF"/>
        </w:rPr>
      </w:pPr>
      <w:r>
        <w:rPr>
          <w:rFonts w:asciiTheme="majorHAnsi" w:hAnsiTheme="majorHAnsi" w:cstheme="majorHAnsi"/>
          <w:shd w:val="clear" w:color="auto" w:fill="FFFFFF"/>
        </w:rPr>
        <w:t xml:space="preserve">Élaborer et exécuter la mise en œuvre de la Stratégie et en rendre compte. </w:t>
      </w:r>
    </w:p>
    <w:p w14:paraId="1DE30215" w14:textId="77777777" w:rsidR="00F47B99" w:rsidRPr="00523BD8" w:rsidRDefault="00F47B99" w:rsidP="003B72E3">
      <w:pPr>
        <w:pStyle w:val="ListParagraph"/>
        <w:numPr>
          <w:ilvl w:val="0"/>
          <w:numId w:val="9"/>
        </w:numPr>
        <w:rPr>
          <w:rFonts w:asciiTheme="majorHAnsi" w:hAnsiTheme="majorHAnsi" w:cstheme="majorHAnsi"/>
          <w:shd w:val="clear" w:color="auto" w:fill="FFFFFF"/>
        </w:rPr>
      </w:pPr>
      <w:r>
        <w:rPr>
          <w:rFonts w:asciiTheme="majorHAnsi" w:hAnsiTheme="majorHAnsi" w:cstheme="majorHAnsi"/>
          <w:shd w:val="clear" w:color="auto" w:fill="FFFFFF"/>
        </w:rPr>
        <w:t>Effectuer le changement culturel requis pour gérer les données comme un actif de l’organisation.</w:t>
      </w:r>
    </w:p>
    <w:p w14:paraId="28D399B3" w14:textId="77777777" w:rsidR="005F7F75" w:rsidRDefault="00F47B99" w:rsidP="003B72E3">
      <w:pPr>
        <w:pStyle w:val="ListParagraph"/>
        <w:numPr>
          <w:ilvl w:val="0"/>
          <w:numId w:val="9"/>
        </w:numPr>
        <w:rPr>
          <w:rFonts w:asciiTheme="majorHAnsi" w:hAnsiTheme="majorHAnsi" w:cstheme="majorHAnsi"/>
        </w:rPr>
      </w:pPr>
      <w:r>
        <w:rPr>
          <w:rFonts w:asciiTheme="majorHAnsi" w:hAnsiTheme="majorHAnsi" w:cstheme="majorHAnsi"/>
          <w:shd w:val="clear" w:color="auto" w:fill="FFFFFF"/>
        </w:rPr>
        <w:t xml:space="preserve">Créer une synergie entre les divers secteurs fonctionnels, y compris le dirigeant principal de la gestion de l’information et le dirigeant principal de l’information. </w:t>
      </w:r>
      <w:r>
        <w:rPr>
          <w:rFonts w:asciiTheme="majorHAnsi" w:hAnsiTheme="majorHAnsi" w:cstheme="majorHAnsi"/>
        </w:rPr>
        <w:t>(Voir l’annexe B pour les rôles et les responsabilités</w:t>
      </w:r>
      <w:r w:rsidR="00C124FE">
        <w:rPr>
          <w:rFonts w:asciiTheme="majorHAnsi" w:hAnsiTheme="majorHAnsi" w:cstheme="majorHAnsi"/>
        </w:rPr>
        <w:t>).</w:t>
      </w:r>
    </w:p>
    <w:p w14:paraId="58BC3919" w14:textId="77777777" w:rsidR="00A03226" w:rsidRPr="006667DC" w:rsidRDefault="006667DC" w:rsidP="003B72E3">
      <w:pPr>
        <w:pStyle w:val="ListParagraph"/>
        <w:numPr>
          <w:ilvl w:val="0"/>
          <w:numId w:val="9"/>
        </w:numPr>
        <w:rPr>
          <w:rFonts w:asciiTheme="majorHAnsi" w:hAnsiTheme="majorHAnsi" w:cstheme="majorHAnsi"/>
        </w:rPr>
      </w:pPr>
      <w:r>
        <w:rPr>
          <w:rFonts w:asciiTheme="majorHAnsi" w:hAnsiTheme="majorHAnsi" w:cstheme="majorHAnsi"/>
        </w:rPr>
        <w:t>La qualité globale, l’interprétation et l’utilisation des données à l’appui de l’élaboration des politiques, de l’amélioration des programmes et de la production de rapports.</w:t>
      </w:r>
    </w:p>
    <w:p w14:paraId="47E76274" w14:textId="77777777" w:rsidR="006667DC" w:rsidRDefault="006667DC" w:rsidP="006667DC">
      <w:pPr>
        <w:pStyle w:val="ListParagraph"/>
        <w:ind w:left="360"/>
        <w:rPr>
          <w:rFonts w:asciiTheme="majorHAnsi" w:hAnsiTheme="majorHAnsi" w:cstheme="majorHAnsi"/>
        </w:rPr>
      </w:pPr>
    </w:p>
    <w:p w14:paraId="12B8C4F9" w14:textId="77777777" w:rsidR="007825EE" w:rsidRPr="003418C4" w:rsidRDefault="005A0F32" w:rsidP="00F77AFE">
      <w:pPr>
        <w:pStyle w:val="Heading3"/>
      </w:pPr>
      <w:bookmarkStart w:id="18" w:name="_Toc521922870"/>
      <w:bookmarkStart w:id="19" w:name="_Toc528324047"/>
      <w:bookmarkStart w:id="20" w:name="_Toc528576564"/>
      <w:bookmarkStart w:id="21" w:name="_Toc528845189"/>
      <w:r>
        <w:t>Catalyseurs</w:t>
      </w:r>
      <w:r w:rsidR="00581869">
        <w:t xml:space="preserve"> de la Stratégie :</w:t>
      </w:r>
      <w:bookmarkEnd w:id="18"/>
      <w:bookmarkEnd w:id="19"/>
      <w:bookmarkEnd w:id="20"/>
      <w:bookmarkEnd w:id="21"/>
    </w:p>
    <w:p w14:paraId="55694D36" w14:textId="77777777" w:rsidR="00A93583" w:rsidRPr="000A27FD" w:rsidRDefault="00A93583" w:rsidP="003B72E3">
      <w:pPr>
        <w:pStyle w:val="ListParagraph"/>
        <w:numPr>
          <w:ilvl w:val="3"/>
          <w:numId w:val="8"/>
        </w:numPr>
        <w:rPr>
          <w:rFonts w:cs="Arial"/>
          <w:b/>
          <w:i/>
          <w:szCs w:val="24"/>
        </w:rPr>
      </w:pPr>
      <w:r>
        <w:rPr>
          <w:b/>
          <w:i/>
        </w:rPr>
        <w:t xml:space="preserve">Mettre en place la gouvernance de la gestion des données grâce à la création d’un comité mixte GI/TI et d’intégration </w:t>
      </w:r>
    </w:p>
    <w:p w14:paraId="43C3F8C5" w14:textId="77777777" w:rsidR="00A93583" w:rsidRDefault="00A93583" w:rsidP="003B72E3">
      <w:pPr>
        <w:pStyle w:val="ListParagraph"/>
        <w:numPr>
          <w:ilvl w:val="0"/>
          <w:numId w:val="10"/>
        </w:numPr>
        <w:rPr>
          <w:rFonts w:cs="Arial"/>
          <w:szCs w:val="24"/>
        </w:rPr>
      </w:pPr>
      <w:r>
        <w:t xml:space="preserve">Mettre à jour le mandat du Comité de GI/TI, du Comité d’intégration et d’autres groupes de travail, tels que le </w:t>
      </w:r>
      <w:r w:rsidR="00F518AC">
        <w:t xml:space="preserve">Groupe </w:t>
      </w:r>
      <w:r w:rsidR="00DA197B">
        <w:t>consultatif sur les données et</w:t>
      </w:r>
      <w:r w:rsidR="00F518AC">
        <w:t xml:space="preserve"> gouvernement ouvert</w:t>
      </w:r>
      <w:r>
        <w:t>.</w:t>
      </w:r>
    </w:p>
    <w:p w14:paraId="502B6379" w14:textId="77777777" w:rsidR="00A93583" w:rsidRDefault="00A93583" w:rsidP="00A93583">
      <w:pPr>
        <w:pStyle w:val="ListParagraph"/>
        <w:ind w:left="1080"/>
        <w:rPr>
          <w:rFonts w:asciiTheme="majorHAnsi" w:hAnsiTheme="majorHAnsi" w:cstheme="majorHAnsi"/>
          <w:b/>
          <w:szCs w:val="24"/>
        </w:rPr>
      </w:pPr>
    </w:p>
    <w:p w14:paraId="2B9404DB" w14:textId="77777777" w:rsidR="005C6231" w:rsidRPr="000A27FD" w:rsidRDefault="005C6231" w:rsidP="003B72E3">
      <w:pPr>
        <w:pStyle w:val="ListParagraph"/>
        <w:numPr>
          <w:ilvl w:val="3"/>
          <w:numId w:val="8"/>
        </w:numPr>
        <w:rPr>
          <w:rFonts w:asciiTheme="majorHAnsi" w:hAnsiTheme="majorHAnsi" w:cstheme="majorHAnsi"/>
          <w:b/>
          <w:i/>
          <w:szCs w:val="24"/>
        </w:rPr>
      </w:pPr>
      <w:r>
        <w:rPr>
          <w:rFonts w:asciiTheme="majorHAnsi" w:hAnsiTheme="majorHAnsi" w:cstheme="majorHAnsi"/>
          <w:b/>
          <w:i/>
        </w:rPr>
        <w:lastRenderedPageBreak/>
        <w:t xml:space="preserve">Mettre en place le Bureau de gestion des données (BGD) </w:t>
      </w:r>
      <w:r w:rsidR="00C151B7">
        <w:rPr>
          <w:rFonts w:asciiTheme="majorHAnsi" w:hAnsiTheme="majorHAnsi" w:cstheme="majorHAnsi"/>
          <w:b/>
          <w:i/>
        </w:rPr>
        <w:t>afin d’</w:t>
      </w:r>
      <w:r>
        <w:rPr>
          <w:rFonts w:asciiTheme="majorHAnsi" w:hAnsiTheme="majorHAnsi" w:cstheme="majorHAnsi"/>
          <w:b/>
          <w:i/>
        </w:rPr>
        <w:t xml:space="preserve">appuyer le DPD et le champion du gouvernement ouvert </w:t>
      </w:r>
    </w:p>
    <w:p w14:paraId="688B0E9D" w14:textId="77777777" w:rsidR="00995903" w:rsidRPr="00523BD8" w:rsidRDefault="00995903" w:rsidP="003B72E3">
      <w:pPr>
        <w:pStyle w:val="ListParagraph"/>
        <w:numPr>
          <w:ilvl w:val="0"/>
          <w:numId w:val="10"/>
        </w:numPr>
        <w:rPr>
          <w:rFonts w:cs="Arial"/>
          <w:szCs w:val="24"/>
        </w:rPr>
      </w:pPr>
      <w:r>
        <w:t>Faire connaître le concept et les responsabilités du DPD dans l’organisation.</w:t>
      </w:r>
    </w:p>
    <w:p w14:paraId="39BC7AB2" w14:textId="77777777" w:rsidR="005C6231" w:rsidRPr="00523BD8" w:rsidRDefault="005C6231" w:rsidP="003B72E3">
      <w:pPr>
        <w:pStyle w:val="ListParagraph"/>
        <w:numPr>
          <w:ilvl w:val="0"/>
          <w:numId w:val="10"/>
        </w:numPr>
        <w:rPr>
          <w:rFonts w:cs="Arial"/>
          <w:szCs w:val="24"/>
        </w:rPr>
      </w:pPr>
      <w:r>
        <w:t>Fournir un soutien dans les domaines des pratiques exemplaires en gestion de données, de la sensibilisation, de l’apprentissage, de la gestion du changement et de la communication.</w:t>
      </w:r>
    </w:p>
    <w:p w14:paraId="0EBBDA74" w14:textId="77777777" w:rsidR="005C6231" w:rsidRPr="00523BD8" w:rsidRDefault="005C6231" w:rsidP="003B72E3">
      <w:pPr>
        <w:pStyle w:val="ListParagraph"/>
        <w:numPr>
          <w:ilvl w:val="0"/>
          <w:numId w:val="10"/>
        </w:numPr>
        <w:rPr>
          <w:rFonts w:cs="Arial"/>
          <w:szCs w:val="24"/>
        </w:rPr>
      </w:pPr>
      <w:r>
        <w:t>Établir des mesures de rendement pour déterminer la maturité actuelle de la gestion des données et faire le suivi des améliorations progressive</w:t>
      </w:r>
      <w:r w:rsidR="00F44F6A">
        <w:t xml:space="preserve">s </w:t>
      </w:r>
      <w:r w:rsidR="00EE5610">
        <w:t xml:space="preserve">au fil du temps. (Voir l’annexe C : </w:t>
      </w:r>
      <w:r w:rsidRPr="00F518AC">
        <w:t xml:space="preserve">Modèle de maturité </w:t>
      </w:r>
      <w:r w:rsidR="00F518AC" w:rsidRPr="00F518AC">
        <w:t>pour la gestion de</w:t>
      </w:r>
      <w:r w:rsidRPr="00F518AC">
        <w:t xml:space="preserve"> données</w:t>
      </w:r>
      <w:r w:rsidR="00EE5610">
        <w:t>).</w:t>
      </w:r>
    </w:p>
    <w:p w14:paraId="57B85B2C" w14:textId="77777777" w:rsidR="00575AD5" w:rsidRPr="00523BD8" w:rsidRDefault="00F643A8" w:rsidP="003B72E3">
      <w:pPr>
        <w:pStyle w:val="ListParagraph"/>
        <w:numPr>
          <w:ilvl w:val="0"/>
          <w:numId w:val="10"/>
        </w:numPr>
        <w:rPr>
          <w:rFonts w:cs="Arial"/>
          <w:szCs w:val="24"/>
        </w:rPr>
      </w:pPr>
      <w:r>
        <w:t>Coordonner et exécuter le Plan de mise en œuvre pour le gouvernement ouvert</w:t>
      </w:r>
      <w:r w:rsidR="00C151B7">
        <w:t>.</w:t>
      </w:r>
    </w:p>
    <w:p w14:paraId="568E8851" w14:textId="77777777" w:rsidR="00575AD5" w:rsidRPr="00523BD8" w:rsidRDefault="00575AD5" w:rsidP="00575AD5">
      <w:pPr>
        <w:pStyle w:val="ListParagraph"/>
        <w:ind w:left="360"/>
        <w:rPr>
          <w:rFonts w:cs="Arial"/>
          <w:szCs w:val="24"/>
        </w:rPr>
      </w:pPr>
    </w:p>
    <w:p w14:paraId="35106365" w14:textId="77777777" w:rsidR="005C6231" w:rsidRPr="000A27FD" w:rsidRDefault="005C6231" w:rsidP="003B72E3">
      <w:pPr>
        <w:pStyle w:val="ListParagraph"/>
        <w:numPr>
          <w:ilvl w:val="3"/>
          <w:numId w:val="8"/>
        </w:numPr>
        <w:rPr>
          <w:rFonts w:cs="Arial"/>
          <w:b/>
          <w:i/>
          <w:szCs w:val="24"/>
        </w:rPr>
      </w:pPr>
      <w:r>
        <w:rPr>
          <w:b/>
          <w:i/>
        </w:rPr>
        <w:t xml:space="preserve">Adopter une approche de gestion de projet robuste pour mettre en œuvre la Stratégie de gestion des données de la CFP </w:t>
      </w:r>
    </w:p>
    <w:p w14:paraId="50C1D69B" w14:textId="77777777" w:rsidR="007825EE" w:rsidRPr="00523BD8" w:rsidRDefault="007825EE" w:rsidP="003B72E3">
      <w:pPr>
        <w:pStyle w:val="ListParagraph"/>
        <w:numPr>
          <w:ilvl w:val="0"/>
          <w:numId w:val="10"/>
        </w:numPr>
        <w:rPr>
          <w:rFonts w:cs="Arial"/>
          <w:szCs w:val="24"/>
        </w:rPr>
      </w:pPr>
      <w:r>
        <w:t>Élaborer une charte de projet et un plan d’action pour exécuter la Stratégie et</w:t>
      </w:r>
      <w:r w:rsidR="00A718B8">
        <w:t xml:space="preserve"> rendre compte des progrès au CGITI/CI chaque trimestre.</w:t>
      </w:r>
    </w:p>
    <w:p w14:paraId="3752EC00" w14:textId="77777777" w:rsidR="0050130A" w:rsidRPr="00523BD8" w:rsidRDefault="004718C8" w:rsidP="003B72E3">
      <w:pPr>
        <w:pStyle w:val="ListParagraph"/>
        <w:numPr>
          <w:ilvl w:val="0"/>
          <w:numId w:val="10"/>
        </w:numPr>
        <w:rPr>
          <w:rFonts w:cs="Arial"/>
          <w:szCs w:val="24"/>
        </w:rPr>
      </w:pPr>
      <w:r>
        <w:t>Maintenir une communication rapide sur</w:t>
      </w:r>
      <w:r w:rsidR="00A74230">
        <w:t xml:space="preserve"> </w:t>
      </w:r>
      <w:r>
        <w:t>la vision et les progrès de la Stratégie par le biais de divers canaux.</w:t>
      </w:r>
    </w:p>
    <w:p w14:paraId="033480DD" w14:textId="77777777" w:rsidR="00843FC5" w:rsidRPr="00523BD8" w:rsidRDefault="00843FC5" w:rsidP="00843FC5">
      <w:pPr>
        <w:pStyle w:val="ListParagraph"/>
        <w:ind w:left="1080"/>
        <w:rPr>
          <w:rFonts w:cs="Arial"/>
          <w:szCs w:val="24"/>
        </w:rPr>
      </w:pPr>
    </w:p>
    <w:p w14:paraId="10404EFE" w14:textId="77777777" w:rsidR="007F1274" w:rsidRPr="00523BD8" w:rsidRDefault="000C7EF1" w:rsidP="00050555">
      <w:pPr>
        <w:jc w:val="both"/>
        <w:rPr>
          <w:rFonts w:asciiTheme="majorHAnsi" w:hAnsiTheme="majorHAnsi" w:cstheme="majorHAnsi"/>
          <w:sz w:val="22"/>
          <w:szCs w:val="24"/>
        </w:rPr>
      </w:pPr>
      <w:r>
        <w:rPr>
          <w:rFonts w:ascii="Arial" w:hAnsi="Arial"/>
          <w:b/>
          <w:i/>
          <w:sz w:val="22"/>
        </w:rPr>
        <w:t>4.1.2 Qualité des données</w:t>
      </w:r>
      <w:r w:rsidR="00A718B8">
        <w:rPr>
          <w:rFonts w:ascii="Arial" w:hAnsi="Arial"/>
          <w:b/>
          <w:i/>
          <w:sz w:val="22"/>
        </w:rPr>
        <w:t> :</w:t>
      </w:r>
      <w:r>
        <w:rPr>
          <w:rFonts w:ascii="Arial" w:hAnsi="Arial"/>
          <w:b/>
          <w:i/>
          <w:sz w:val="22"/>
        </w:rPr>
        <w:t xml:space="preserve"> </w:t>
      </w:r>
      <w:r>
        <w:rPr>
          <w:rFonts w:ascii="Arial" w:hAnsi="Arial"/>
          <w:sz w:val="22"/>
        </w:rPr>
        <w:t>Il existe de nombreuses définitions de la qualité des données, mais les données sont généralement considérées comme éta</w:t>
      </w:r>
      <w:r w:rsidR="00EF15AF">
        <w:rPr>
          <w:rFonts w:ascii="Arial" w:hAnsi="Arial"/>
          <w:sz w:val="22"/>
        </w:rPr>
        <w:t>nt de grande qualité si elles « </w:t>
      </w:r>
      <w:r>
        <w:rPr>
          <w:rFonts w:ascii="Arial" w:hAnsi="Arial"/>
          <w:sz w:val="22"/>
        </w:rPr>
        <w:t xml:space="preserve">conviennent aux utilisations prévues dans les </w:t>
      </w:r>
      <w:hyperlink r:id="rId19" w:tooltip="Activités opérationnelles">
        <w:r>
          <w:rPr>
            <w:rFonts w:ascii="Arial" w:hAnsi="Arial"/>
            <w:sz w:val="22"/>
          </w:rPr>
          <w:t>opérations</w:t>
        </w:r>
      </w:hyperlink>
      <w:r>
        <w:rPr>
          <w:rFonts w:ascii="Arial" w:hAnsi="Arial"/>
          <w:sz w:val="22"/>
        </w:rPr>
        <w:t xml:space="preserve">, </w:t>
      </w:r>
      <w:hyperlink r:id="rId20" w:tooltip="Prise de décisions">
        <w:r>
          <w:rPr>
            <w:rFonts w:ascii="Arial" w:hAnsi="Arial"/>
            <w:sz w:val="22"/>
          </w:rPr>
          <w:t>le processus décisionnel</w:t>
        </w:r>
      </w:hyperlink>
      <w:r>
        <w:rPr>
          <w:rFonts w:ascii="Arial" w:hAnsi="Arial"/>
          <w:sz w:val="22"/>
        </w:rPr>
        <w:t xml:space="preserve"> et </w:t>
      </w:r>
      <w:r w:rsidR="00A718B8">
        <w:rPr>
          <w:rFonts w:ascii="Arial" w:hAnsi="Arial"/>
          <w:sz w:val="22"/>
        </w:rPr>
        <w:t>l</w:t>
      </w:r>
      <w:hyperlink r:id="rId21" w:tooltip="Planification">
        <w:r>
          <w:rPr>
            <w:rFonts w:ascii="Arial" w:hAnsi="Arial"/>
            <w:sz w:val="22"/>
          </w:rPr>
          <w:t>a planification</w:t>
        </w:r>
      </w:hyperlink>
      <w:r>
        <w:t> »</w:t>
      </w:r>
      <w:r>
        <w:rPr>
          <w:rFonts w:ascii="Arial" w:hAnsi="Arial"/>
          <w:sz w:val="22"/>
        </w:rPr>
        <w:t>.</w:t>
      </w:r>
      <w:r>
        <w:rPr>
          <w:rFonts w:ascii="Arial" w:hAnsi="Arial"/>
          <w:sz w:val="22"/>
          <w:vertAlign w:val="superscript"/>
        </w:rPr>
        <w:footnoteReference w:id="3"/>
      </w:r>
      <w:r>
        <w:rPr>
          <w:rFonts w:ascii="Arial" w:hAnsi="Arial"/>
          <w:sz w:val="22"/>
        </w:rPr>
        <w:t xml:space="preserve"> Entre autres, l’exactitude, l’intégralité, la pertinence, </w:t>
      </w:r>
      <w:r w:rsidR="00A718B8">
        <w:rPr>
          <w:rFonts w:ascii="Arial" w:hAnsi="Arial"/>
          <w:sz w:val="22"/>
        </w:rPr>
        <w:t>la rapidité</w:t>
      </w:r>
      <w:r>
        <w:rPr>
          <w:rFonts w:ascii="Arial" w:hAnsi="Arial"/>
          <w:sz w:val="22"/>
        </w:rPr>
        <w:t>, l’accessibilité et l’interprétabilité sont des éléments clés de la qualité des données</w:t>
      </w:r>
      <w:r>
        <w:rPr>
          <w:rFonts w:asciiTheme="majorHAnsi" w:hAnsiTheme="majorHAnsi" w:cstheme="majorHAnsi"/>
          <w:sz w:val="22"/>
        </w:rPr>
        <w:t>.</w:t>
      </w:r>
    </w:p>
    <w:p w14:paraId="0E231C4D" w14:textId="77777777" w:rsidR="00523BD8" w:rsidRPr="00050555" w:rsidRDefault="00606D78" w:rsidP="00050555">
      <w:pPr>
        <w:jc w:val="both"/>
        <w:rPr>
          <w:rFonts w:asciiTheme="majorHAnsi" w:hAnsiTheme="majorHAnsi" w:cstheme="majorHAnsi"/>
          <w:szCs w:val="24"/>
        </w:rPr>
      </w:pPr>
      <w:r>
        <w:rPr>
          <w:rFonts w:asciiTheme="majorHAnsi" w:hAnsiTheme="majorHAnsi" w:cstheme="majorHAnsi"/>
          <w:sz w:val="22"/>
        </w:rPr>
        <w:t xml:space="preserve">Il est essentiel de </w:t>
      </w:r>
      <w:r w:rsidR="001C7B89">
        <w:rPr>
          <w:rFonts w:asciiTheme="majorHAnsi" w:hAnsiTheme="majorHAnsi" w:cstheme="majorHAnsi"/>
          <w:sz w:val="22"/>
        </w:rPr>
        <w:t xml:space="preserve">détenir </w:t>
      </w:r>
      <w:r>
        <w:rPr>
          <w:rFonts w:asciiTheme="majorHAnsi" w:hAnsiTheme="majorHAnsi" w:cstheme="majorHAnsi"/>
          <w:sz w:val="22"/>
        </w:rPr>
        <w:t>de</w:t>
      </w:r>
      <w:r w:rsidR="00C101A9">
        <w:rPr>
          <w:rFonts w:asciiTheme="majorHAnsi" w:hAnsiTheme="majorHAnsi" w:cstheme="majorHAnsi"/>
          <w:sz w:val="22"/>
        </w:rPr>
        <w:t>s</w:t>
      </w:r>
      <w:r>
        <w:rPr>
          <w:rFonts w:asciiTheme="majorHAnsi" w:hAnsiTheme="majorHAnsi" w:cstheme="majorHAnsi"/>
          <w:sz w:val="22"/>
        </w:rPr>
        <w:t xml:space="preserve"> données de grande qualité pour appuyer le processus décisionnel et la production de rapports </w:t>
      </w:r>
      <w:r w:rsidR="00F518AC">
        <w:rPr>
          <w:rFonts w:asciiTheme="majorHAnsi" w:hAnsiTheme="majorHAnsi" w:cstheme="majorHAnsi"/>
          <w:sz w:val="22"/>
        </w:rPr>
        <w:t>et permettre à</w:t>
      </w:r>
      <w:r>
        <w:rPr>
          <w:rFonts w:asciiTheme="majorHAnsi" w:hAnsiTheme="majorHAnsi" w:cstheme="majorHAnsi"/>
          <w:sz w:val="22"/>
        </w:rPr>
        <w:t xml:space="preserve"> la CFP </w:t>
      </w:r>
      <w:r w:rsidR="00F518AC">
        <w:rPr>
          <w:rFonts w:asciiTheme="majorHAnsi" w:hAnsiTheme="majorHAnsi" w:cstheme="majorHAnsi"/>
          <w:sz w:val="22"/>
        </w:rPr>
        <w:t xml:space="preserve">de </w:t>
      </w:r>
      <w:r>
        <w:rPr>
          <w:rFonts w:asciiTheme="majorHAnsi" w:hAnsiTheme="majorHAnsi" w:cstheme="majorHAnsi"/>
          <w:sz w:val="22"/>
        </w:rPr>
        <w:t>s’acquitte</w:t>
      </w:r>
      <w:r w:rsidR="00F518AC">
        <w:rPr>
          <w:rFonts w:asciiTheme="majorHAnsi" w:hAnsiTheme="majorHAnsi" w:cstheme="majorHAnsi"/>
          <w:sz w:val="22"/>
        </w:rPr>
        <w:t>r</w:t>
      </w:r>
      <w:r>
        <w:rPr>
          <w:rFonts w:asciiTheme="majorHAnsi" w:hAnsiTheme="majorHAnsi" w:cstheme="majorHAnsi"/>
          <w:sz w:val="22"/>
        </w:rPr>
        <w:t xml:space="preserve"> de son </w:t>
      </w:r>
      <w:r>
        <w:rPr>
          <w:rFonts w:asciiTheme="majorHAnsi" w:hAnsiTheme="majorHAnsi" w:cstheme="majorHAnsi"/>
          <w:sz w:val="22"/>
        </w:rPr>
        <w:lastRenderedPageBreak/>
        <w:t>mandat, et il incombe à tous les employés de soutenir la promotion, le développement et la transmission de données de qualité</w:t>
      </w:r>
      <w:r>
        <w:rPr>
          <w:rFonts w:asciiTheme="majorHAnsi" w:hAnsiTheme="majorHAnsi" w:cstheme="majorHAnsi"/>
        </w:rPr>
        <w:t>.</w:t>
      </w:r>
    </w:p>
    <w:p w14:paraId="74017F06" w14:textId="77777777" w:rsidR="00606D78" w:rsidRPr="00523BD8" w:rsidRDefault="00F518AC" w:rsidP="000A27FD">
      <w:pPr>
        <w:pStyle w:val="Heading3"/>
      </w:pPr>
      <w:bookmarkStart w:id="22" w:name="_Toc521922871"/>
      <w:bookmarkStart w:id="23" w:name="_Toc528324048"/>
      <w:bookmarkStart w:id="24" w:name="_Toc528576565"/>
      <w:bookmarkStart w:id="25" w:name="_Toc528845190"/>
      <w:r>
        <w:t>Catalyseurs</w:t>
      </w:r>
      <w:bookmarkEnd w:id="22"/>
      <w:r w:rsidR="00930CD2">
        <w:t xml:space="preserve"> de la Stratégie :</w:t>
      </w:r>
      <w:bookmarkEnd w:id="23"/>
      <w:bookmarkEnd w:id="24"/>
      <w:bookmarkEnd w:id="25"/>
    </w:p>
    <w:p w14:paraId="78730D33" w14:textId="77777777" w:rsidR="0088109D" w:rsidRPr="0088109D" w:rsidRDefault="0088109D" w:rsidP="003B72E3">
      <w:pPr>
        <w:pStyle w:val="ListParagraph"/>
        <w:numPr>
          <w:ilvl w:val="0"/>
          <w:numId w:val="11"/>
        </w:numPr>
        <w:rPr>
          <w:b/>
          <w:i/>
          <w:vanish/>
        </w:rPr>
      </w:pPr>
    </w:p>
    <w:p w14:paraId="70CE5FD3" w14:textId="77777777" w:rsidR="0088109D" w:rsidRPr="0088109D" w:rsidRDefault="0088109D" w:rsidP="003B72E3">
      <w:pPr>
        <w:pStyle w:val="ListParagraph"/>
        <w:numPr>
          <w:ilvl w:val="2"/>
          <w:numId w:val="11"/>
        </w:numPr>
        <w:rPr>
          <w:b/>
          <w:i/>
          <w:vanish/>
        </w:rPr>
      </w:pPr>
    </w:p>
    <w:p w14:paraId="383F1D0F" w14:textId="77777777" w:rsidR="0088109D" w:rsidRPr="0088109D" w:rsidRDefault="0088109D" w:rsidP="003B72E3">
      <w:pPr>
        <w:pStyle w:val="ListParagraph"/>
        <w:numPr>
          <w:ilvl w:val="2"/>
          <w:numId w:val="11"/>
        </w:numPr>
        <w:rPr>
          <w:b/>
          <w:i/>
          <w:vanish/>
        </w:rPr>
      </w:pPr>
    </w:p>
    <w:p w14:paraId="684AA895" w14:textId="77777777" w:rsidR="007F1274" w:rsidRPr="000A27FD" w:rsidRDefault="00C426BD" w:rsidP="003B72E3">
      <w:pPr>
        <w:pStyle w:val="ListParagraph"/>
        <w:numPr>
          <w:ilvl w:val="3"/>
          <w:numId w:val="11"/>
        </w:numPr>
        <w:rPr>
          <w:rFonts w:cs="Arial"/>
          <w:b/>
          <w:i/>
        </w:rPr>
      </w:pPr>
      <w:r>
        <w:rPr>
          <w:b/>
          <w:i/>
        </w:rPr>
        <w:t>Élaborer et mettre en œuvre une politique sur la qualité des données de la CFP</w:t>
      </w:r>
    </w:p>
    <w:p w14:paraId="133237B2" w14:textId="77777777" w:rsidR="00BA3686" w:rsidRPr="000A27FD" w:rsidRDefault="007F6F49" w:rsidP="003B72E3">
      <w:pPr>
        <w:pStyle w:val="ListParagraph"/>
        <w:numPr>
          <w:ilvl w:val="0"/>
          <w:numId w:val="10"/>
        </w:numPr>
        <w:rPr>
          <w:rFonts w:cs="Arial"/>
        </w:rPr>
      </w:pPr>
      <w:r>
        <w:t>Effectuer des travaux de recherche, mener des consultations et mettre en œuvre une politique sur la qualité des données de la CFP.</w:t>
      </w:r>
    </w:p>
    <w:p w14:paraId="088F59CB" w14:textId="77777777" w:rsidR="00F643A8" w:rsidRPr="000A27FD" w:rsidRDefault="00F643A8" w:rsidP="003B72E3">
      <w:pPr>
        <w:pStyle w:val="ListParagraph"/>
        <w:numPr>
          <w:ilvl w:val="0"/>
          <w:numId w:val="10"/>
        </w:numPr>
        <w:rPr>
          <w:rFonts w:cs="Arial"/>
        </w:rPr>
      </w:pPr>
      <w:r>
        <w:t xml:space="preserve">Surveiller la conformité à la politique sur la qualité des données de la CFP. </w:t>
      </w:r>
    </w:p>
    <w:p w14:paraId="7E748813" w14:textId="77777777" w:rsidR="00BA3686" w:rsidRPr="000A27FD" w:rsidRDefault="00BA3686" w:rsidP="003B72E3">
      <w:pPr>
        <w:pStyle w:val="ListParagraph"/>
        <w:numPr>
          <w:ilvl w:val="0"/>
          <w:numId w:val="10"/>
        </w:numPr>
        <w:rPr>
          <w:rFonts w:cs="Arial"/>
        </w:rPr>
      </w:pPr>
      <w:r>
        <w:t xml:space="preserve">Instituer des Permis de </w:t>
      </w:r>
      <w:r w:rsidR="003A7BA9">
        <w:t>construire</w:t>
      </w:r>
      <w:r>
        <w:t xml:space="preserve"> pour assurer la tenue de consultations dans l’organisation lorsque les données peuvent être touchées par </w:t>
      </w:r>
      <w:r w:rsidR="00F518AC">
        <w:t xml:space="preserve">un </w:t>
      </w:r>
      <w:r>
        <w:t>changement de technologie ou de processus opérationnel.</w:t>
      </w:r>
    </w:p>
    <w:p w14:paraId="57953E1B" w14:textId="77777777" w:rsidR="00BA3686" w:rsidRPr="00D82B20" w:rsidRDefault="00BA3686" w:rsidP="00BA3686">
      <w:pPr>
        <w:pStyle w:val="ListParagraph"/>
        <w:ind w:left="360"/>
        <w:rPr>
          <w:rFonts w:cs="Arial"/>
        </w:rPr>
      </w:pPr>
    </w:p>
    <w:p w14:paraId="137C7FBB" w14:textId="77777777" w:rsidR="007F6F49" w:rsidRPr="000A27FD" w:rsidRDefault="00606D78" w:rsidP="003B72E3">
      <w:pPr>
        <w:pStyle w:val="ListParagraph"/>
        <w:numPr>
          <w:ilvl w:val="3"/>
          <w:numId w:val="11"/>
        </w:numPr>
        <w:rPr>
          <w:rFonts w:cs="Arial"/>
          <w:b/>
          <w:i/>
        </w:rPr>
      </w:pPr>
      <w:r>
        <w:rPr>
          <w:b/>
          <w:i/>
        </w:rPr>
        <w:t>Examiner les processus opérationnels et les responsabilités de la</w:t>
      </w:r>
      <w:r w:rsidR="00A74230">
        <w:rPr>
          <w:b/>
          <w:i/>
        </w:rPr>
        <w:t xml:space="preserve"> </w:t>
      </w:r>
      <w:r w:rsidR="008E6F96">
        <w:rPr>
          <w:b/>
          <w:i/>
        </w:rPr>
        <w:t>DSDA</w:t>
      </w:r>
    </w:p>
    <w:p w14:paraId="2A3CEE52" w14:textId="77777777" w:rsidR="00606D78" w:rsidRPr="00D81E8B" w:rsidRDefault="007F6F49" w:rsidP="00D81E8B">
      <w:pPr>
        <w:pStyle w:val="ListParagraph"/>
        <w:numPr>
          <w:ilvl w:val="0"/>
          <w:numId w:val="10"/>
        </w:numPr>
        <w:rPr>
          <w:rFonts w:cs="Arial"/>
        </w:rPr>
      </w:pPr>
      <w:r>
        <w:t>Assurer l’utilisation de méthodologies uniformes qui répondent aux besoins du client et communiquer celles-ci dans l’organisation.</w:t>
      </w:r>
    </w:p>
    <w:p w14:paraId="7E8F7AE7" w14:textId="77777777" w:rsidR="00D81E8B" w:rsidRPr="00D81E8B" w:rsidRDefault="00D81E8B" w:rsidP="00D81E8B">
      <w:pPr>
        <w:pStyle w:val="ListParagraph"/>
        <w:ind w:left="1080"/>
        <w:rPr>
          <w:rFonts w:cs="Arial"/>
        </w:rPr>
      </w:pPr>
    </w:p>
    <w:p w14:paraId="616AFC2F" w14:textId="77777777" w:rsidR="007F6F49" w:rsidRPr="000A27FD" w:rsidRDefault="00A757C9" w:rsidP="003B72E3">
      <w:pPr>
        <w:pStyle w:val="ListParagraph"/>
        <w:numPr>
          <w:ilvl w:val="3"/>
          <w:numId w:val="11"/>
        </w:numPr>
        <w:rPr>
          <w:rFonts w:cs="Arial"/>
          <w:i/>
        </w:rPr>
      </w:pPr>
      <w:r>
        <w:rPr>
          <w:b/>
          <w:i/>
        </w:rPr>
        <w:t>Accroître la sensibilisation à l’égard de la qualité des données</w:t>
      </w:r>
    </w:p>
    <w:p w14:paraId="6059721C" w14:textId="77777777" w:rsidR="007F6F49" w:rsidRPr="00D82B20" w:rsidRDefault="007F6F49" w:rsidP="003B72E3">
      <w:pPr>
        <w:pStyle w:val="ListParagraph"/>
        <w:numPr>
          <w:ilvl w:val="0"/>
          <w:numId w:val="10"/>
        </w:numPr>
        <w:rPr>
          <w:rFonts w:cs="Arial"/>
        </w:rPr>
      </w:pPr>
      <w:r>
        <w:t>Développer du matériel sur la qualité des données et les pratiques exemplaires.</w:t>
      </w:r>
    </w:p>
    <w:p w14:paraId="627B909C" w14:textId="77777777" w:rsidR="00A2141F" w:rsidRPr="00D82B20" w:rsidRDefault="007F6F49" w:rsidP="003B72E3">
      <w:pPr>
        <w:pStyle w:val="ListParagraph"/>
        <w:numPr>
          <w:ilvl w:val="0"/>
          <w:numId w:val="10"/>
        </w:numPr>
        <w:rPr>
          <w:rFonts w:cs="Arial"/>
        </w:rPr>
      </w:pPr>
      <w:r>
        <w:t xml:space="preserve">Offrir des séances d’information sur la qualité des données dans l’ensemble de la CFP. </w:t>
      </w:r>
    </w:p>
    <w:p w14:paraId="396794DA" w14:textId="77777777" w:rsidR="00537F6A" w:rsidRDefault="00537F6A" w:rsidP="0019539B">
      <w:pPr>
        <w:rPr>
          <w:rFonts w:asciiTheme="majorHAnsi" w:hAnsiTheme="majorHAnsi" w:cstheme="majorHAnsi"/>
          <w:b/>
          <w:i/>
          <w:sz w:val="22"/>
        </w:rPr>
      </w:pPr>
    </w:p>
    <w:p w14:paraId="55C6436A" w14:textId="77777777" w:rsidR="0019539B" w:rsidRPr="00D82B20" w:rsidRDefault="004F41CF" w:rsidP="0019539B">
      <w:pPr>
        <w:rPr>
          <w:rFonts w:ascii="Arial" w:hAnsi="Arial" w:cs="Arial"/>
          <w:sz w:val="22"/>
        </w:rPr>
      </w:pPr>
      <w:r>
        <w:rPr>
          <w:rFonts w:asciiTheme="majorHAnsi" w:hAnsiTheme="majorHAnsi" w:cstheme="majorHAnsi"/>
          <w:b/>
          <w:i/>
          <w:sz w:val="22"/>
        </w:rPr>
        <w:t xml:space="preserve">4.1.3 Sécurité </w:t>
      </w:r>
      <w:r w:rsidR="00F518AC">
        <w:rPr>
          <w:rFonts w:asciiTheme="majorHAnsi" w:hAnsiTheme="majorHAnsi" w:cstheme="majorHAnsi"/>
          <w:b/>
          <w:i/>
          <w:sz w:val="22"/>
        </w:rPr>
        <w:t xml:space="preserve">et confidentialité </w:t>
      </w:r>
      <w:r>
        <w:rPr>
          <w:rFonts w:asciiTheme="majorHAnsi" w:hAnsiTheme="majorHAnsi" w:cstheme="majorHAnsi"/>
          <w:b/>
          <w:i/>
          <w:sz w:val="22"/>
        </w:rPr>
        <w:t>des données :</w:t>
      </w:r>
      <w:r>
        <w:rPr>
          <w:rFonts w:asciiTheme="majorHAnsi" w:hAnsiTheme="majorHAnsi" w:cstheme="majorHAnsi"/>
          <w:sz w:val="22"/>
        </w:rPr>
        <w:t xml:space="preserve"> La planification, l’élaboration et l’exécution des politiques et des procédures sur la sécurité des données visant à fournir une authentification et une autorisation appropriées sont essentiel</w:t>
      </w:r>
      <w:r w:rsidR="00F44F6A">
        <w:rPr>
          <w:rFonts w:asciiTheme="majorHAnsi" w:hAnsiTheme="majorHAnsi" w:cstheme="majorHAnsi"/>
          <w:sz w:val="22"/>
        </w:rPr>
        <w:t>les</w:t>
      </w:r>
      <w:r>
        <w:rPr>
          <w:rFonts w:asciiTheme="majorHAnsi" w:hAnsiTheme="majorHAnsi" w:cstheme="majorHAnsi"/>
          <w:sz w:val="22"/>
        </w:rPr>
        <w:t xml:space="preserve"> à toute stratégie de gestion des données. Au fur et à mesure que des changements sont apportés à la façon dont la CFP gère ses données, l’organisation devra évaluer et examiner les impacts que ces changements peuvent avoir sur la sécurité et la confidentialité de ses</w:t>
      </w:r>
      <w:r w:rsidR="001C7B89">
        <w:rPr>
          <w:rFonts w:asciiTheme="majorHAnsi" w:hAnsiTheme="majorHAnsi" w:cstheme="majorHAnsi"/>
          <w:sz w:val="22"/>
        </w:rPr>
        <w:t xml:space="preserve"> ensembles </w:t>
      </w:r>
      <w:r>
        <w:rPr>
          <w:rFonts w:asciiTheme="majorHAnsi" w:hAnsiTheme="majorHAnsi" w:cstheme="majorHAnsi"/>
          <w:sz w:val="22"/>
        </w:rPr>
        <w:t>de données</w:t>
      </w:r>
      <w:r>
        <w:rPr>
          <w:rFonts w:ascii="Arial" w:hAnsi="Arial"/>
          <w:sz w:val="22"/>
        </w:rPr>
        <w:t>.</w:t>
      </w:r>
    </w:p>
    <w:p w14:paraId="321519A4" w14:textId="77777777" w:rsidR="0019539B" w:rsidRPr="00D82B20" w:rsidRDefault="0019539B" w:rsidP="00050555">
      <w:pPr>
        <w:jc w:val="both"/>
        <w:rPr>
          <w:rFonts w:ascii="Arial" w:hAnsi="Arial" w:cs="Arial"/>
          <w:sz w:val="22"/>
        </w:rPr>
      </w:pPr>
      <w:r>
        <w:rPr>
          <w:rFonts w:asciiTheme="majorHAnsi" w:hAnsiTheme="majorHAnsi" w:cstheme="majorHAnsi"/>
          <w:sz w:val="22"/>
        </w:rPr>
        <w:lastRenderedPageBreak/>
        <w:t xml:space="preserve">Étant donné que la CFP possède et reçoit des renseignements personnels sensibles, elle doit accorder une attention particulière à la sécurité et à la confidentialité. À l’heure actuelle, la CFP a en place un protocole d’entente (PE) avec le Secrétariat du Conseil du Trésor permettant d’avoir accès aux dossiers des titulaires, ce qui est essentiel pour rendre compte du recrutement, de la mobilité et de l’équité en matière d’emploi. De plus, la CFP possède une grande quantité de renseignements personnels qui se trouvent dans plusieurs </w:t>
      </w:r>
      <w:r w:rsidR="001C7B89">
        <w:rPr>
          <w:rFonts w:asciiTheme="majorHAnsi" w:hAnsiTheme="majorHAnsi" w:cstheme="majorHAnsi"/>
          <w:sz w:val="22"/>
        </w:rPr>
        <w:t>ensembles</w:t>
      </w:r>
      <w:r>
        <w:rPr>
          <w:rFonts w:asciiTheme="majorHAnsi" w:hAnsiTheme="majorHAnsi" w:cstheme="majorHAnsi"/>
          <w:sz w:val="22"/>
        </w:rPr>
        <w:t xml:space="preserve"> de donné</w:t>
      </w:r>
      <w:r w:rsidR="00F44F6A">
        <w:rPr>
          <w:rFonts w:asciiTheme="majorHAnsi" w:hAnsiTheme="majorHAnsi" w:cstheme="majorHAnsi"/>
          <w:sz w:val="22"/>
        </w:rPr>
        <w:t>es</w:t>
      </w:r>
      <w:r>
        <w:rPr>
          <w:rFonts w:asciiTheme="majorHAnsi" w:hAnsiTheme="majorHAnsi" w:cstheme="majorHAnsi"/>
          <w:sz w:val="22"/>
        </w:rPr>
        <w:t xml:space="preserve"> de l’organisation</w:t>
      </w:r>
      <w:r>
        <w:rPr>
          <w:rFonts w:ascii="Arial" w:hAnsi="Arial"/>
          <w:sz w:val="22"/>
        </w:rPr>
        <w:t xml:space="preserve">. Étant donné que ces </w:t>
      </w:r>
      <w:r w:rsidR="001C7B89">
        <w:rPr>
          <w:rFonts w:ascii="Arial" w:hAnsi="Arial"/>
          <w:sz w:val="22"/>
        </w:rPr>
        <w:t>ensembles</w:t>
      </w:r>
      <w:r>
        <w:rPr>
          <w:rFonts w:ascii="Arial" w:hAnsi="Arial"/>
          <w:sz w:val="22"/>
        </w:rPr>
        <w:t xml:space="preserve"> de données ne sont pas centralisés, il incombe à tous les employés de la CFP de protéger les données/les renseignements contre tout accès, utilisation, divulgation, modification ou destruction non autorisé</w:t>
      </w:r>
      <w:r w:rsidR="00F44F6A">
        <w:rPr>
          <w:rFonts w:ascii="Arial" w:hAnsi="Arial"/>
          <w:sz w:val="22"/>
        </w:rPr>
        <w:t>s,</w:t>
      </w:r>
      <w:r>
        <w:rPr>
          <w:rFonts w:ascii="Arial" w:hAnsi="Arial"/>
          <w:sz w:val="22"/>
        </w:rPr>
        <w:t xml:space="preserve"> ainsi que de protéger les intérêts du sujet des données/renseignements. </w:t>
      </w:r>
    </w:p>
    <w:p w14:paraId="6E858423" w14:textId="77777777" w:rsidR="004502E5" w:rsidRPr="00D82B20" w:rsidRDefault="00F518AC" w:rsidP="00010559">
      <w:pPr>
        <w:pStyle w:val="Heading3"/>
      </w:pPr>
      <w:bookmarkStart w:id="26" w:name="_Toc521922872"/>
      <w:bookmarkStart w:id="27" w:name="_Toc528324049"/>
      <w:bookmarkStart w:id="28" w:name="_Toc528576566"/>
      <w:bookmarkStart w:id="29" w:name="_Toc528845191"/>
      <w:r>
        <w:t>Catalyseurs</w:t>
      </w:r>
      <w:r w:rsidR="004502E5">
        <w:t xml:space="preserve"> de la Stratégie :</w:t>
      </w:r>
      <w:bookmarkEnd w:id="26"/>
      <w:bookmarkEnd w:id="27"/>
      <w:bookmarkEnd w:id="28"/>
      <w:bookmarkEnd w:id="29"/>
    </w:p>
    <w:p w14:paraId="132B3192" w14:textId="77777777" w:rsidR="0019539B" w:rsidRPr="00010559" w:rsidRDefault="00F643A8" w:rsidP="003B72E3">
      <w:pPr>
        <w:pStyle w:val="ListParagraph"/>
        <w:numPr>
          <w:ilvl w:val="3"/>
          <w:numId w:val="12"/>
        </w:numPr>
        <w:spacing w:after="0" w:line="240" w:lineRule="auto"/>
        <w:rPr>
          <w:rFonts w:cs="Arial"/>
          <w:b/>
          <w:i/>
        </w:rPr>
      </w:pPr>
      <w:r>
        <w:rPr>
          <w:b/>
          <w:i/>
        </w:rPr>
        <w:t xml:space="preserve">Élaborer et mettre en œuvre une politique sur la sécurité </w:t>
      </w:r>
      <w:r w:rsidR="008E6F96">
        <w:rPr>
          <w:b/>
          <w:i/>
        </w:rPr>
        <w:t>et la confidentialité d</w:t>
      </w:r>
      <w:r>
        <w:rPr>
          <w:b/>
          <w:i/>
        </w:rPr>
        <w:t>es données de la CFP</w:t>
      </w:r>
    </w:p>
    <w:p w14:paraId="7B197571" w14:textId="77777777" w:rsidR="00F643A8" w:rsidRPr="00D82B20" w:rsidRDefault="00F643A8" w:rsidP="003B72E3">
      <w:pPr>
        <w:pStyle w:val="ListParagraph"/>
        <w:numPr>
          <w:ilvl w:val="0"/>
          <w:numId w:val="10"/>
        </w:numPr>
        <w:rPr>
          <w:rFonts w:cs="Arial"/>
        </w:rPr>
      </w:pPr>
      <w:r>
        <w:t xml:space="preserve">Effectuer des travaux de recherche, mener des consultations et mettre en œuvre une politique sur la sécurité </w:t>
      </w:r>
      <w:r w:rsidR="008E6F96">
        <w:t xml:space="preserve">et la confidentialité </w:t>
      </w:r>
      <w:r>
        <w:t>des données de la CFP</w:t>
      </w:r>
      <w:r w:rsidR="00BC69DB">
        <w:t>.</w:t>
      </w:r>
    </w:p>
    <w:p w14:paraId="1ABB743A" w14:textId="77777777" w:rsidR="00F643A8" w:rsidRPr="00D82B20" w:rsidRDefault="00F643A8" w:rsidP="003B72E3">
      <w:pPr>
        <w:pStyle w:val="ListParagraph"/>
        <w:numPr>
          <w:ilvl w:val="0"/>
          <w:numId w:val="10"/>
        </w:numPr>
        <w:rPr>
          <w:rFonts w:cs="Arial"/>
        </w:rPr>
      </w:pPr>
      <w:r>
        <w:t xml:space="preserve">Surveiller la conformité à la politique sur la sécurité </w:t>
      </w:r>
      <w:r w:rsidR="008E6F96">
        <w:t xml:space="preserve">et la confidentialité </w:t>
      </w:r>
      <w:r>
        <w:t>des données de la CFP.</w:t>
      </w:r>
    </w:p>
    <w:p w14:paraId="2466986F" w14:textId="77777777" w:rsidR="0019539B" w:rsidRDefault="00F643A8" w:rsidP="003B72E3">
      <w:pPr>
        <w:pStyle w:val="ListParagraph"/>
        <w:numPr>
          <w:ilvl w:val="0"/>
          <w:numId w:val="10"/>
        </w:numPr>
        <w:rPr>
          <w:rFonts w:cs="Arial"/>
        </w:rPr>
      </w:pPr>
      <w:r>
        <w:t>Documenter les processus de gestion de l’accès et rendre compte des violations; déterminer le processus de résolution et les leçons apprises.</w:t>
      </w:r>
    </w:p>
    <w:p w14:paraId="0EF2991E" w14:textId="77777777" w:rsidR="0048242F" w:rsidRPr="00D82B20" w:rsidRDefault="00135C01" w:rsidP="003B72E3">
      <w:pPr>
        <w:pStyle w:val="ListParagraph"/>
        <w:numPr>
          <w:ilvl w:val="0"/>
          <w:numId w:val="10"/>
        </w:numPr>
        <w:rPr>
          <w:rFonts w:cs="Arial"/>
        </w:rPr>
      </w:pPr>
      <w:r>
        <w:t xml:space="preserve">Choisir une solution d’infrastructure qui </w:t>
      </w:r>
      <w:r w:rsidR="001C7B89">
        <w:t xml:space="preserve">assure la </w:t>
      </w:r>
      <w:r>
        <w:t>confidentialité</w:t>
      </w:r>
      <w:r w:rsidR="00EA00B2">
        <w:t xml:space="preserve"> par « design »</w:t>
      </w:r>
      <w:r w:rsidR="00BC69DB">
        <w:t>.</w:t>
      </w:r>
    </w:p>
    <w:p w14:paraId="0BE8CF9F" w14:textId="77777777" w:rsidR="00BA1345" w:rsidRPr="00010559" w:rsidRDefault="00BA1345" w:rsidP="00BA1345">
      <w:pPr>
        <w:pStyle w:val="ListParagraph"/>
        <w:ind w:left="360"/>
        <w:rPr>
          <w:rFonts w:cs="Arial"/>
          <w:i/>
        </w:rPr>
      </w:pPr>
    </w:p>
    <w:p w14:paraId="7D71B151" w14:textId="77777777" w:rsidR="00BA1345" w:rsidRPr="00010559" w:rsidRDefault="00BA1345" w:rsidP="003B72E3">
      <w:pPr>
        <w:pStyle w:val="ListParagraph"/>
        <w:numPr>
          <w:ilvl w:val="3"/>
          <w:numId w:val="12"/>
        </w:numPr>
        <w:rPr>
          <w:rFonts w:cs="Arial"/>
          <w:b/>
          <w:i/>
        </w:rPr>
      </w:pPr>
      <w:r>
        <w:rPr>
          <w:b/>
          <w:i/>
        </w:rPr>
        <w:t xml:space="preserve">Examiner et établir des protocoles </w:t>
      </w:r>
      <w:r w:rsidR="008E6F96">
        <w:rPr>
          <w:b/>
          <w:i/>
        </w:rPr>
        <w:t>régissant</w:t>
      </w:r>
      <w:r>
        <w:rPr>
          <w:b/>
          <w:i/>
        </w:rPr>
        <w:t xml:space="preserve"> l’échange de données au sein et à l’extérieur de la CFP</w:t>
      </w:r>
    </w:p>
    <w:p w14:paraId="0DAC773A" w14:textId="77777777" w:rsidR="00BA1345" w:rsidRPr="00D82B20" w:rsidRDefault="00BA1345" w:rsidP="003B72E3">
      <w:pPr>
        <w:pStyle w:val="ListParagraph"/>
        <w:numPr>
          <w:ilvl w:val="0"/>
          <w:numId w:val="10"/>
        </w:numPr>
        <w:rPr>
          <w:rFonts w:cs="Arial"/>
        </w:rPr>
      </w:pPr>
      <w:r>
        <w:t xml:space="preserve">Créer une liste ministérielle de tous les protocoles et ententes </w:t>
      </w:r>
      <w:r w:rsidR="008E6F96">
        <w:t>d’échange</w:t>
      </w:r>
      <w:r>
        <w:t xml:space="preserve"> de données de la CFP, p. ex. protocole d’entente, accords sur les niveaux de service, etc.</w:t>
      </w:r>
    </w:p>
    <w:p w14:paraId="2C6696DB" w14:textId="77777777" w:rsidR="00BA1345" w:rsidRPr="00D82B20" w:rsidRDefault="00BA1345" w:rsidP="003B72E3">
      <w:pPr>
        <w:pStyle w:val="ListParagraph"/>
        <w:numPr>
          <w:ilvl w:val="0"/>
          <w:numId w:val="10"/>
        </w:numPr>
        <w:rPr>
          <w:rFonts w:cs="Arial"/>
        </w:rPr>
      </w:pPr>
      <w:r>
        <w:t>Clarifier les rôles et les responsabilités liés aux données afin d’empêcher que l’information soit mal utilisée ou mal interprétée.</w:t>
      </w:r>
    </w:p>
    <w:p w14:paraId="76B61E88" w14:textId="77777777" w:rsidR="004E02DE" w:rsidRPr="00D82B20" w:rsidRDefault="004E02DE" w:rsidP="003B72E3">
      <w:pPr>
        <w:pStyle w:val="ListParagraph"/>
        <w:numPr>
          <w:ilvl w:val="0"/>
          <w:numId w:val="10"/>
        </w:numPr>
        <w:rPr>
          <w:rFonts w:cs="Arial"/>
        </w:rPr>
      </w:pPr>
      <w:r>
        <w:lastRenderedPageBreak/>
        <w:t>Élaborer et communiquer la liste des sources d’autori</w:t>
      </w:r>
      <w:r w:rsidR="001C7B89">
        <w:t>té</w:t>
      </w:r>
      <w:r>
        <w:t xml:space="preserve"> pour les éléments de données de la CFP. Par exemple, la DS</w:t>
      </w:r>
      <w:r w:rsidR="008E6F96">
        <w:t>DA</w:t>
      </w:r>
      <w:r>
        <w:t xml:space="preserve"> est l’autorité qui rend compte des annonces, des demandes d’emploi, de l’embauche, etc., alors que l</w:t>
      </w:r>
      <w:r w:rsidR="001C7B89">
        <w:t>e Centre de psychologie du personnel (CPP)</w:t>
      </w:r>
      <w:r>
        <w:t xml:space="preserve"> est l’autorité qui rend compte des évaluations en langue seconde, des examens sur papier et en ligne, etc. Cette liste contribuera à assurer que les données sont produites selon les méthodes reconnues et établies et à empêcher que des données soient produit</w:t>
      </w:r>
      <w:r w:rsidR="00F44F6A">
        <w:t>es</w:t>
      </w:r>
      <w:r>
        <w:t xml:space="preserve"> en dehors du champ de compétences.  </w:t>
      </w:r>
    </w:p>
    <w:p w14:paraId="43BE327B" w14:textId="77777777" w:rsidR="00BA1345" w:rsidRDefault="00B21CE8" w:rsidP="003B72E3">
      <w:pPr>
        <w:pStyle w:val="ListParagraph"/>
        <w:numPr>
          <w:ilvl w:val="0"/>
          <w:numId w:val="10"/>
        </w:numPr>
        <w:spacing w:after="0" w:line="240" w:lineRule="auto"/>
        <w:jc w:val="left"/>
        <w:rPr>
          <w:rFonts w:cs="Arial"/>
        </w:rPr>
      </w:pPr>
      <w:r>
        <w:t>Évaluer la nécessité d’acquérir de nouvelles données auprès d’autres organisations ou à partir d’autres sources.</w:t>
      </w:r>
    </w:p>
    <w:p w14:paraId="72A361E3" w14:textId="77777777" w:rsidR="00D82B20" w:rsidRPr="00D82B20" w:rsidRDefault="00D82B20" w:rsidP="00D82B20">
      <w:pPr>
        <w:pStyle w:val="ListParagraph"/>
        <w:spacing w:after="0" w:line="240" w:lineRule="auto"/>
        <w:ind w:left="1080"/>
        <w:jc w:val="left"/>
        <w:rPr>
          <w:rFonts w:cs="Arial"/>
        </w:rPr>
      </w:pPr>
    </w:p>
    <w:p w14:paraId="00EF2D11" w14:textId="77777777" w:rsidR="0095734D" w:rsidRPr="00D82B20" w:rsidRDefault="0095734D" w:rsidP="0095734D">
      <w:pPr>
        <w:pStyle w:val="ListParagraph"/>
        <w:spacing w:after="0" w:line="240" w:lineRule="auto"/>
        <w:ind w:left="1080"/>
        <w:jc w:val="left"/>
        <w:rPr>
          <w:rFonts w:cs="Arial"/>
        </w:rPr>
      </w:pPr>
    </w:p>
    <w:p w14:paraId="72A0925B" w14:textId="77777777" w:rsidR="00306C9F" w:rsidRPr="00D82B20" w:rsidRDefault="004F41CF" w:rsidP="00306C9F">
      <w:pPr>
        <w:rPr>
          <w:rFonts w:asciiTheme="majorHAnsi" w:hAnsiTheme="majorHAnsi" w:cstheme="majorHAnsi"/>
          <w:sz w:val="22"/>
        </w:rPr>
      </w:pPr>
      <w:r>
        <w:rPr>
          <w:rFonts w:asciiTheme="majorHAnsi" w:hAnsiTheme="majorHAnsi" w:cstheme="majorHAnsi"/>
          <w:b/>
          <w:i/>
          <w:sz w:val="22"/>
        </w:rPr>
        <w:t xml:space="preserve">4.1.4 Risques liés aux données : </w:t>
      </w:r>
      <w:r>
        <w:rPr>
          <w:rFonts w:asciiTheme="majorHAnsi" w:hAnsiTheme="majorHAnsi" w:cstheme="majorHAnsi"/>
          <w:sz w:val="22"/>
        </w:rPr>
        <w:t xml:space="preserve">En dépit du grand volume de données conservées dans l’ensemble de l’organisation et à cause </w:t>
      </w:r>
      <w:r w:rsidR="008E6F96">
        <w:rPr>
          <w:rFonts w:asciiTheme="majorHAnsi" w:hAnsiTheme="majorHAnsi" w:cstheme="majorHAnsi"/>
          <w:sz w:val="22"/>
        </w:rPr>
        <w:t xml:space="preserve">en partie </w:t>
      </w:r>
      <w:r>
        <w:rPr>
          <w:rFonts w:asciiTheme="majorHAnsi" w:hAnsiTheme="majorHAnsi" w:cstheme="majorHAnsi"/>
          <w:sz w:val="22"/>
        </w:rPr>
        <w:t xml:space="preserve">de la décentralisation de ces </w:t>
      </w:r>
      <w:r w:rsidR="001C7B89">
        <w:rPr>
          <w:rFonts w:asciiTheme="majorHAnsi" w:hAnsiTheme="majorHAnsi" w:cstheme="majorHAnsi"/>
          <w:sz w:val="22"/>
        </w:rPr>
        <w:t>ensembles</w:t>
      </w:r>
      <w:r>
        <w:rPr>
          <w:rFonts w:asciiTheme="majorHAnsi" w:hAnsiTheme="majorHAnsi" w:cstheme="majorHAnsi"/>
          <w:sz w:val="22"/>
        </w:rPr>
        <w:t xml:space="preserve"> de données, nous n’avons pas une perspective globale des risques auxquels sont exposées les données de la CFP.</w:t>
      </w:r>
      <w:r w:rsidR="00A74230">
        <w:rPr>
          <w:rFonts w:asciiTheme="majorHAnsi" w:hAnsiTheme="majorHAnsi" w:cstheme="majorHAnsi"/>
          <w:sz w:val="22"/>
        </w:rPr>
        <w:t xml:space="preserve"> </w:t>
      </w:r>
      <w:r>
        <w:rPr>
          <w:rFonts w:asciiTheme="majorHAnsi" w:hAnsiTheme="majorHAnsi" w:cstheme="majorHAnsi"/>
          <w:sz w:val="22"/>
        </w:rPr>
        <w:t>Pour que la CFP comprenne mieux ces risques, tous les secteurs de l’organisation devront contribuer à une identification collective et à une analyse des domaines et des systèmes qui sont le plus à risque ou qui présente</w:t>
      </w:r>
      <w:r w:rsidR="00F44F6A">
        <w:rPr>
          <w:rFonts w:asciiTheme="majorHAnsi" w:hAnsiTheme="majorHAnsi" w:cstheme="majorHAnsi"/>
          <w:sz w:val="22"/>
        </w:rPr>
        <w:t xml:space="preserve">nt </w:t>
      </w:r>
      <w:r>
        <w:rPr>
          <w:rFonts w:asciiTheme="majorHAnsi" w:hAnsiTheme="majorHAnsi" w:cstheme="majorHAnsi"/>
          <w:sz w:val="22"/>
        </w:rPr>
        <w:t xml:space="preserve">la plus grande valeur ou le plus grand impact pour l’organisation et nos </w:t>
      </w:r>
      <w:r w:rsidR="001C7B89">
        <w:rPr>
          <w:rFonts w:asciiTheme="majorHAnsi" w:hAnsiTheme="majorHAnsi" w:cstheme="majorHAnsi"/>
          <w:sz w:val="22"/>
        </w:rPr>
        <w:t>parties prenantes</w:t>
      </w:r>
      <w:r>
        <w:rPr>
          <w:rFonts w:asciiTheme="majorHAnsi" w:hAnsiTheme="majorHAnsi" w:cstheme="majorHAnsi"/>
          <w:sz w:val="22"/>
        </w:rPr>
        <w:t>.</w:t>
      </w:r>
      <w:r>
        <w:rPr>
          <w:sz w:val="22"/>
        </w:rPr>
        <w:t xml:space="preserve"> </w:t>
      </w:r>
    </w:p>
    <w:p w14:paraId="151B9B35" w14:textId="77777777" w:rsidR="00C17D55" w:rsidRPr="00936904" w:rsidRDefault="00852BCF" w:rsidP="00936904">
      <w:pPr>
        <w:rPr>
          <w:rFonts w:ascii="Georgia-Bold" w:eastAsiaTheme="minorEastAsia" w:hAnsi="Georgia-Bold" w:cs="Georgia-Bold"/>
          <w:b/>
          <w:bCs/>
          <w:color w:val="00A995" w:themeColor="accent1"/>
          <w:sz w:val="26"/>
          <w:szCs w:val="26"/>
        </w:rPr>
      </w:pPr>
      <w:bookmarkStart w:id="30" w:name="_Toc521922873"/>
      <w:r w:rsidRPr="00936904">
        <w:rPr>
          <w:rFonts w:ascii="Georgia-Bold" w:eastAsiaTheme="minorEastAsia" w:hAnsi="Georgia-Bold" w:cs="Georgia-Bold"/>
          <w:b/>
          <w:bCs/>
          <w:color w:val="00A995" w:themeColor="accent1"/>
          <w:sz w:val="26"/>
          <w:szCs w:val="26"/>
        </w:rPr>
        <w:t>Catalyseurs</w:t>
      </w:r>
      <w:r w:rsidR="004502E5" w:rsidRPr="00936904">
        <w:rPr>
          <w:rFonts w:ascii="Georgia-Bold" w:eastAsiaTheme="minorEastAsia" w:hAnsi="Georgia-Bold" w:cs="Georgia-Bold"/>
          <w:b/>
          <w:bCs/>
          <w:color w:val="00A995" w:themeColor="accent1"/>
          <w:sz w:val="26"/>
          <w:szCs w:val="26"/>
        </w:rPr>
        <w:t xml:space="preserve"> de la Stratégie :</w:t>
      </w:r>
      <w:bookmarkEnd w:id="30"/>
    </w:p>
    <w:p w14:paraId="5F1DFFB7" w14:textId="77777777" w:rsidR="00D82CE0" w:rsidRPr="00010559" w:rsidRDefault="00E62602" w:rsidP="003B72E3">
      <w:pPr>
        <w:pStyle w:val="ListParagraph"/>
        <w:numPr>
          <w:ilvl w:val="3"/>
          <w:numId w:val="13"/>
        </w:numPr>
        <w:rPr>
          <w:rFonts w:cs="Arial"/>
          <w:b/>
          <w:i/>
        </w:rPr>
      </w:pPr>
      <w:r>
        <w:rPr>
          <w:b/>
          <w:i/>
        </w:rPr>
        <w:t>Évaluer les risques liés aux données</w:t>
      </w:r>
    </w:p>
    <w:p w14:paraId="1CE809EA" w14:textId="77777777" w:rsidR="00036400" w:rsidRPr="00D82B20" w:rsidRDefault="00036400" w:rsidP="003B72E3">
      <w:pPr>
        <w:pStyle w:val="ListParagraph"/>
        <w:numPr>
          <w:ilvl w:val="0"/>
          <w:numId w:val="10"/>
        </w:numPr>
        <w:rPr>
          <w:rFonts w:cs="Arial"/>
        </w:rPr>
      </w:pPr>
      <w:r>
        <w:t>Animer des ateliers (à l’échelon opérationnel et de direction) afin d’évaluer les risques liés aux données</w:t>
      </w:r>
      <w:r>
        <w:rPr>
          <w:vertAlign w:val="superscript"/>
        </w:rPr>
        <w:footnoteReference w:id="4"/>
      </w:r>
      <w:r>
        <w:t xml:space="preserve"> dans l’organisation. </w:t>
      </w:r>
    </w:p>
    <w:p w14:paraId="0CD12835" w14:textId="77777777" w:rsidR="00843FC5" w:rsidRPr="00D82B20" w:rsidRDefault="00036400" w:rsidP="003B72E3">
      <w:pPr>
        <w:pStyle w:val="ListParagraph"/>
        <w:numPr>
          <w:ilvl w:val="0"/>
          <w:numId w:val="10"/>
        </w:numPr>
        <w:rPr>
          <w:rFonts w:cs="Arial"/>
        </w:rPr>
      </w:pPr>
      <w:r>
        <w:lastRenderedPageBreak/>
        <w:t>Élaborer un processus de triage et d’établissement des priorités afin de déterminer l’ordre dans lequel les risques liés aux données doivent être abordés/atténués et d’élaborer un plan d’action.</w:t>
      </w:r>
    </w:p>
    <w:p w14:paraId="4F0036B2" w14:textId="77777777" w:rsidR="008E69A9" w:rsidRDefault="004F41CF" w:rsidP="008E69A9">
      <w:pPr>
        <w:pStyle w:val="Heading3"/>
      </w:pPr>
      <w:bookmarkStart w:id="31" w:name="_Toc512263602"/>
      <w:bookmarkStart w:id="32" w:name="_Toc528845192"/>
      <w:r>
        <w:t>4.2 Infrastructure de données</w:t>
      </w:r>
      <w:bookmarkEnd w:id="31"/>
      <w:bookmarkEnd w:id="32"/>
    </w:p>
    <w:p w14:paraId="563F2267" w14:textId="77777777" w:rsidR="00915E11" w:rsidRPr="00523BD8" w:rsidRDefault="00915E11" w:rsidP="00915E11">
      <w:pPr>
        <w:rPr>
          <w:rFonts w:ascii="Arial" w:hAnsi="Arial" w:cs="Arial"/>
          <w:sz w:val="22"/>
          <w:szCs w:val="24"/>
        </w:rPr>
      </w:pPr>
      <w:r>
        <w:rPr>
          <w:rFonts w:ascii="Arial" w:hAnsi="Arial"/>
          <w:sz w:val="22"/>
        </w:rPr>
        <w:t>Cette composante de la St</w:t>
      </w:r>
      <w:r w:rsidR="00852BCF">
        <w:rPr>
          <w:rFonts w:ascii="Arial" w:hAnsi="Arial"/>
          <w:sz w:val="22"/>
        </w:rPr>
        <w:t>ratégie vise à mettre en place l</w:t>
      </w:r>
      <w:r>
        <w:rPr>
          <w:rFonts w:ascii="Arial" w:hAnsi="Arial"/>
          <w:sz w:val="22"/>
        </w:rPr>
        <w:t>es éléments fondamentaux d’une infrastructure de données moderne et des pratiques à l’appui. L</w:t>
      </w:r>
      <w:r w:rsidR="001B2FB6">
        <w:rPr>
          <w:rFonts w:ascii="Arial" w:hAnsi="Arial"/>
          <w:sz w:val="22"/>
        </w:rPr>
        <w:t>a</w:t>
      </w:r>
      <w:r>
        <w:rPr>
          <w:rFonts w:ascii="Arial" w:hAnsi="Arial"/>
          <w:sz w:val="22"/>
        </w:rPr>
        <w:t xml:space="preserve"> figure 2 ci-dessous illustre les composantes relationnelles envisagées pour l’infrastructure de données. </w:t>
      </w:r>
    </w:p>
    <w:p w14:paraId="4F17BE28" w14:textId="77777777" w:rsidR="00E47D38" w:rsidRDefault="00944CD1" w:rsidP="00E47D38">
      <w:pPr>
        <w:keepNext/>
      </w:pPr>
      <w:r>
        <w:rPr>
          <w:noProof/>
          <w:lang w:val="en-CA" w:eastAsia="en-CA" w:bidi="ar-SA"/>
        </w:rPr>
        <w:drawing>
          <wp:inline distT="0" distB="0" distL="0" distR="0" wp14:anchorId="477AAFA9" wp14:editId="7E6BC25B">
            <wp:extent cx="6142355" cy="2874445"/>
            <wp:effectExtent l="0" t="0" r="0" b="2540"/>
            <wp:docPr id="11" name="Picture 11" descr="Graphique représentant les composantes de l'infrastructure de données qui sont les sources, le lac de données, la plateforme analytique, le portail web d'affichage de données (données ouvertes) et les utilisateurs. La version textuelle su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262" t="20228" r="15545" b="21367"/>
                    <a:stretch/>
                  </pic:blipFill>
                  <pic:spPr bwMode="auto">
                    <a:xfrm>
                      <a:off x="0" y="0"/>
                      <a:ext cx="6142355" cy="2874445"/>
                    </a:xfrm>
                    <a:prstGeom prst="rect">
                      <a:avLst/>
                    </a:prstGeom>
                    <a:ln>
                      <a:noFill/>
                    </a:ln>
                    <a:extLst>
                      <a:ext uri="{53640926-AAD7-44D8-BBD7-CCE9431645EC}">
                        <a14:shadowObscured xmlns:a14="http://schemas.microsoft.com/office/drawing/2010/main"/>
                      </a:ext>
                    </a:extLst>
                  </pic:spPr>
                </pic:pic>
              </a:graphicData>
            </a:graphic>
          </wp:inline>
        </w:drawing>
      </w:r>
    </w:p>
    <w:p w14:paraId="5CE6DE38" w14:textId="77777777" w:rsidR="00915E11" w:rsidRDefault="00E47D38" w:rsidP="00E47D38">
      <w:pPr>
        <w:pStyle w:val="Caption"/>
        <w:jc w:val="center"/>
        <w:rPr>
          <w:rFonts w:asciiTheme="majorHAnsi" w:hAnsiTheme="majorHAnsi" w:cstheme="majorHAnsi"/>
          <w:i w:val="0"/>
          <w:color w:val="auto"/>
          <w:sz w:val="22"/>
          <w:szCs w:val="24"/>
        </w:rPr>
      </w:pPr>
      <w:r w:rsidRPr="001F1D57">
        <w:rPr>
          <w:rFonts w:asciiTheme="majorHAnsi" w:hAnsiTheme="majorHAnsi" w:cstheme="majorHAnsi"/>
          <w:b/>
          <w:i w:val="0"/>
          <w:color w:val="auto"/>
          <w:sz w:val="22"/>
          <w:szCs w:val="24"/>
        </w:rPr>
        <w:t xml:space="preserve">Figure </w:t>
      </w:r>
      <w:r w:rsidRPr="001F1D57">
        <w:rPr>
          <w:rFonts w:asciiTheme="majorHAnsi" w:hAnsiTheme="majorHAnsi" w:cstheme="majorHAnsi"/>
          <w:b/>
          <w:i w:val="0"/>
          <w:color w:val="auto"/>
          <w:sz w:val="22"/>
          <w:szCs w:val="24"/>
        </w:rPr>
        <w:fldChar w:fldCharType="begin"/>
      </w:r>
      <w:r w:rsidRPr="001F1D57">
        <w:rPr>
          <w:rFonts w:asciiTheme="majorHAnsi" w:hAnsiTheme="majorHAnsi" w:cstheme="majorHAnsi"/>
          <w:b/>
          <w:i w:val="0"/>
          <w:color w:val="auto"/>
          <w:sz w:val="22"/>
          <w:szCs w:val="24"/>
        </w:rPr>
        <w:instrText xml:space="preserve"> SEQ Figure \* ARABIC </w:instrText>
      </w:r>
      <w:r w:rsidRPr="001F1D57">
        <w:rPr>
          <w:rFonts w:asciiTheme="majorHAnsi" w:hAnsiTheme="majorHAnsi" w:cstheme="majorHAnsi"/>
          <w:b/>
          <w:i w:val="0"/>
          <w:color w:val="auto"/>
          <w:sz w:val="22"/>
          <w:szCs w:val="24"/>
        </w:rPr>
        <w:fldChar w:fldCharType="separate"/>
      </w:r>
      <w:r w:rsidR="00AD02DE">
        <w:rPr>
          <w:rFonts w:asciiTheme="majorHAnsi" w:hAnsiTheme="majorHAnsi" w:cstheme="majorHAnsi"/>
          <w:b/>
          <w:i w:val="0"/>
          <w:noProof/>
          <w:color w:val="auto"/>
          <w:sz w:val="22"/>
          <w:szCs w:val="24"/>
        </w:rPr>
        <w:t>2</w:t>
      </w:r>
      <w:r w:rsidRPr="001F1D57">
        <w:rPr>
          <w:rFonts w:asciiTheme="majorHAnsi" w:hAnsiTheme="majorHAnsi" w:cstheme="majorHAnsi"/>
          <w:b/>
          <w:i w:val="0"/>
          <w:color w:val="auto"/>
          <w:sz w:val="22"/>
          <w:szCs w:val="24"/>
        </w:rPr>
        <w:fldChar w:fldCharType="end"/>
      </w:r>
      <w:r w:rsidRPr="001F1D57">
        <w:rPr>
          <w:rFonts w:asciiTheme="majorHAnsi" w:hAnsiTheme="majorHAnsi" w:cstheme="majorHAnsi"/>
          <w:i w:val="0"/>
          <w:color w:val="auto"/>
          <w:sz w:val="22"/>
          <w:szCs w:val="24"/>
        </w:rPr>
        <w:t xml:space="preserve"> : Concept de l'infrastructure de données</w:t>
      </w:r>
    </w:p>
    <w:p w14:paraId="1FE7F472" w14:textId="77777777" w:rsidR="0086663B" w:rsidRPr="00C66507" w:rsidRDefault="0086663B" w:rsidP="00C654CE">
      <w:pPr>
        <w:spacing w:after="0"/>
        <w:jc w:val="both"/>
        <w:rPr>
          <w:rFonts w:asciiTheme="majorHAnsi" w:hAnsiTheme="majorHAnsi" w:cstheme="majorHAnsi"/>
          <w:sz w:val="22"/>
        </w:rPr>
      </w:pPr>
      <w:r w:rsidRPr="00C66507">
        <w:rPr>
          <w:rFonts w:asciiTheme="majorHAnsi" w:hAnsiTheme="majorHAnsi" w:cstheme="majorHAnsi"/>
          <w:sz w:val="22"/>
        </w:rPr>
        <w:t>Les sources sont le PRFP, le SGIP, le système PPC, Phénix, et autres.</w:t>
      </w:r>
    </w:p>
    <w:p w14:paraId="209974AF" w14:textId="77777777" w:rsidR="0086663B" w:rsidRPr="00C66507" w:rsidRDefault="0086663B" w:rsidP="00C654CE">
      <w:pPr>
        <w:spacing w:after="0"/>
        <w:jc w:val="both"/>
        <w:rPr>
          <w:rFonts w:asciiTheme="majorHAnsi" w:hAnsiTheme="majorHAnsi" w:cstheme="majorHAnsi"/>
          <w:sz w:val="22"/>
        </w:rPr>
      </w:pPr>
      <w:r w:rsidRPr="00C66507">
        <w:rPr>
          <w:rFonts w:asciiTheme="majorHAnsi" w:hAnsiTheme="majorHAnsi" w:cstheme="majorHAnsi"/>
          <w:sz w:val="22"/>
        </w:rPr>
        <w:t>Le lac de données est un miroir et permet de centraliser et d'harmoniser.</w:t>
      </w:r>
    </w:p>
    <w:p w14:paraId="3A1E2B0D" w14:textId="77777777" w:rsidR="0086663B" w:rsidRPr="00C66507" w:rsidRDefault="0086663B" w:rsidP="00C654CE">
      <w:pPr>
        <w:spacing w:after="0"/>
        <w:jc w:val="both"/>
        <w:rPr>
          <w:rFonts w:asciiTheme="majorHAnsi" w:hAnsiTheme="majorHAnsi" w:cstheme="majorHAnsi"/>
          <w:sz w:val="22"/>
        </w:rPr>
      </w:pPr>
      <w:r w:rsidRPr="00C66507">
        <w:rPr>
          <w:rFonts w:asciiTheme="majorHAnsi" w:hAnsiTheme="majorHAnsi" w:cstheme="majorHAnsi"/>
          <w:sz w:val="22"/>
        </w:rPr>
        <w:t>La plateforme analytique permet de nettoyer, dépersonnaliser, transformer, agréger et analyser.</w:t>
      </w:r>
    </w:p>
    <w:p w14:paraId="32666485" w14:textId="77777777" w:rsidR="0086663B" w:rsidRPr="00C66507" w:rsidRDefault="0086663B" w:rsidP="00C654CE">
      <w:pPr>
        <w:spacing w:after="0"/>
        <w:jc w:val="both"/>
        <w:rPr>
          <w:rFonts w:asciiTheme="majorHAnsi" w:hAnsiTheme="majorHAnsi" w:cstheme="majorHAnsi"/>
          <w:sz w:val="22"/>
        </w:rPr>
      </w:pPr>
      <w:r w:rsidRPr="00C66507">
        <w:rPr>
          <w:rFonts w:asciiTheme="majorHAnsi" w:hAnsiTheme="majorHAnsi" w:cstheme="majorHAnsi"/>
          <w:sz w:val="22"/>
        </w:rPr>
        <w:t>Le portail web d'affichage de données (données ouvertes) permet de partager et d'exploiter.</w:t>
      </w:r>
    </w:p>
    <w:p w14:paraId="1D2B1125" w14:textId="77777777" w:rsidR="0086663B" w:rsidRPr="0086663B" w:rsidRDefault="0086663B" w:rsidP="00C654CE">
      <w:pPr>
        <w:spacing w:after="0"/>
        <w:jc w:val="both"/>
        <w:rPr>
          <w:rFonts w:asciiTheme="majorHAnsi" w:hAnsiTheme="majorHAnsi" w:cstheme="majorHAnsi"/>
          <w:sz w:val="22"/>
        </w:rPr>
      </w:pPr>
      <w:r w:rsidRPr="00C66507">
        <w:rPr>
          <w:rFonts w:asciiTheme="majorHAnsi" w:hAnsiTheme="majorHAnsi" w:cstheme="majorHAnsi"/>
          <w:sz w:val="22"/>
        </w:rPr>
        <w:t xml:space="preserve">Les utilisateurs sont les citoyens, la direction, les </w:t>
      </w:r>
      <w:r w:rsidR="00C654CE" w:rsidRPr="00C66507">
        <w:rPr>
          <w:rFonts w:asciiTheme="majorHAnsi" w:hAnsiTheme="majorHAnsi" w:cstheme="majorHAnsi"/>
          <w:sz w:val="22"/>
        </w:rPr>
        <w:t xml:space="preserve">employés, les départements, les </w:t>
      </w:r>
      <w:r w:rsidRPr="00C66507">
        <w:rPr>
          <w:rFonts w:asciiTheme="majorHAnsi" w:hAnsiTheme="majorHAnsi" w:cstheme="majorHAnsi"/>
          <w:sz w:val="22"/>
        </w:rPr>
        <w:t>secteurs d'activités interne/externe, les décideurs politiques et les chercheurs.</w:t>
      </w:r>
    </w:p>
    <w:p w14:paraId="183D6F37" w14:textId="77777777" w:rsidR="00CD5ECD" w:rsidRDefault="00CD5ECD">
      <w:pPr>
        <w:rPr>
          <w:rFonts w:asciiTheme="majorHAnsi" w:hAnsiTheme="majorHAnsi" w:cstheme="majorHAnsi"/>
          <w:b/>
          <w:i/>
          <w:sz w:val="22"/>
        </w:rPr>
      </w:pPr>
    </w:p>
    <w:p w14:paraId="07E0625B" w14:textId="77777777" w:rsidR="006A383F" w:rsidRDefault="00782867" w:rsidP="00782867">
      <w:pPr>
        <w:rPr>
          <w:rFonts w:asciiTheme="majorHAnsi" w:hAnsiTheme="majorHAnsi" w:cstheme="majorHAnsi"/>
          <w:sz w:val="22"/>
        </w:rPr>
      </w:pPr>
      <w:r>
        <w:rPr>
          <w:rFonts w:asciiTheme="majorHAnsi" w:hAnsiTheme="majorHAnsi" w:cstheme="majorHAnsi"/>
          <w:b/>
          <w:i/>
          <w:sz w:val="22"/>
        </w:rPr>
        <w:lastRenderedPageBreak/>
        <w:t>4.2.1 Lac de données :</w:t>
      </w:r>
      <w:r w:rsidR="00A74230">
        <w:rPr>
          <w:rFonts w:asciiTheme="majorHAnsi" w:hAnsiTheme="majorHAnsi" w:cstheme="majorHAnsi"/>
          <w:b/>
          <w:sz w:val="22"/>
        </w:rPr>
        <w:t xml:space="preserve"> </w:t>
      </w:r>
      <w:r>
        <w:rPr>
          <w:rFonts w:asciiTheme="majorHAnsi" w:hAnsiTheme="majorHAnsi" w:cstheme="majorHAnsi"/>
          <w:sz w:val="22"/>
        </w:rPr>
        <w:t xml:space="preserve">La nécessité d’aborder les enjeux liés au stockage, à l’intégration, </w:t>
      </w:r>
      <w:r w:rsidR="00FF3C28">
        <w:rPr>
          <w:rFonts w:asciiTheme="majorHAnsi" w:hAnsiTheme="majorHAnsi" w:cstheme="majorHAnsi"/>
          <w:sz w:val="22"/>
        </w:rPr>
        <w:t>à la fonction de rapports</w:t>
      </w:r>
      <w:r>
        <w:rPr>
          <w:rFonts w:asciiTheme="majorHAnsi" w:hAnsiTheme="majorHAnsi" w:cstheme="majorHAnsi"/>
          <w:sz w:val="22"/>
        </w:rPr>
        <w:t>, à la diffusion des données et à l’accessibilité de celles-ci dans les bases de données et les systèmes de la CFP a créé le besoin d’une nouvelle solution d’infrastructure. Le Secteur de la surveillance et des enquêtes (SSE) a été désigné</w:t>
      </w:r>
      <w:r w:rsidR="00440825">
        <w:rPr>
          <w:rFonts w:asciiTheme="majorHAnsi" w:hAnsiTheme="majorHAnsi" w:cstheme="majorHAnsi"/>
          <w:sz w:val="22"/>
        </w:rPr>
        <w:t xml:space="preserve"> </w:t>
      </w:r>
      <w:r>
        <w:rPr>
          <w:rFonts w:asciiTheme="majorHAnsi" w:hAnsiTheme="majorHAnsi" w:cstheme="majorHAnsi"/>
          <w:sz w:val="22"/>
        </w:rPr>
        <w:t xml:space="preserve">le responsable de la création d’un lac de données de la CFP qui augmentera l’accès aux données intégrées provenant de diverses </w:t>
      </w:r>
      <w:r w:rsidR="00994829">
        <w:rPr>
          <w:rFonts w:asciiTheme="majorHAnsi" w:hAnsiTheme="majorHAnsi" w:cstheme="majorHAnsi"/>
          <w:sz w:val="22"/>
        </w:rPr>
        <w:t xml:space="preserve">sources. </w:t>
      </w:r>
      <w:r>
        <w:rPr>
          <w:rFonts w:asciiTheme="majorHAnsi" w:hAnsiTheme="majorHAnsi" w:cstheme="majorHAnsi"/>
          <w:sz w:val="22"/>
        </w:rPr>
        <w:t xml:space="preserve">Il sera conçu pour obtenir des instantanés/copies des données de façon régulière afin de combler le besoin de données « en temps réel » sans mettre en péril les systèmes informatiques opérationnels et d’assurer la capacité à reproduire l’information de manière uniforme. La nouvelle infrastructure facilitera également la conduite d’analyses plus complexes et une visualisation plus rapide et contribuera à publier de manière efficace des produits de plus grande valeur comme des ensembles de données ouverts. </w:t>
      </w:r>
    </w:p>
    <w:p w14:paraId="4629FA93" w14:textId="77777777" w:rsidR="00782867" w:rsidRPr="00C970E4" w:rsidRDefault="00F746A6" w:rsidP="00C970E4">
      <w:pPr>
        <w:pStyle w:val="Heading3"/>
        <w:rPr>
          <w:rFonts w:asciiTheme="majorHAnsi" w:hAnsiTheme="majorHAnsi" w:cstheme="majorHAnsi"/>
          <w:sz w:val="22"/>
        </w:rPr>
      </w:pPr>
      <w:bookmarkStart w:id="33" w:name="_Toc521922875"/>
      <w:bookmarkStart w:id="34" w:name="_Toc528324051"/>
      <w:bookmarkStart w:id="35" w:name="_Toc528576568"/>
      <w:bookmarkStart w:id="36" w:name="_Toc528845193"/>
      <w:r>
        <w:t>Catalyseurs</w:t>
      </w:r>
      <w:r w:rsidR="00782867">
        <w:t xml:space="preserve"> de la Stratégie :</w:t>
      </w:r>
      <w:bookmarkEnd w:id="33"/>
      <w:bookmarkEnd w:id="34"/>
      <w:bookmarkEnd w:id="35"/>
      <w:bookmarkEnd w:id="36"/>
    </w:p>
    <w:p w14:paraId="537EB81C" w14:textId="77777777" w:rsidR="00782867" w:rsidRPr="00010559" w:rsidRDefault="00FA5C74" w:rsidP="003B72E3">
      <w:pPr>
        <w:pStyle w:val="ListParagraph"/>
        <w:numPr>
          <w:ilvl w:val="3"/>
          <w:numId w:val="14"/>
        </w:numPr>
        <w:rPr>
          <w:rFonts w:asciiTheme="majorHAnsi" w:hAnsiTheme="majorHAnsi" w:cstheme="majorHAnsi"/>
          <w:b/>
          <w:i/>
        </w:rPr>
      </w:pPr>
      <w:r>
        <w:rPr>
          <w:rFonts w:asciiTheme="majorHAnsi" w:hAnsiTheme="majorHAnsi" w:cstheme="majorHAnsi"/>
          <w:b/>
          <w:i/>
        </w:rPr>
        <w:t>Favoriser la collaboration entre les secteurs de la CFP afin de planifier et de mettre en œuvre le lac de données</w:t>
      </w:r>
    </w:p>
    <w:p w14:paraId="3F69FACA" w14:textId="77777777" w:rsidR="002D6890" w:rsidRPr="00C175EB" w:rsidRDefault="00951A3F" w:rsidP="003B72E3">
      <w:pPr>
        <w:pStyle w:val="ListParagraph"/>
        <w:numPr>
          <w:ilvl w:val="0"/>
          <w:numId w:val="20"/>
        </w:numPr>
        <w:rPr>
          <w:rFonts w:asciiTheme="majorHAnsi" w:hAnsiTheme="majorHAnsi" w:cstheme="majorHAnsi"/>
        </w:rPr>
      </w:pPr>
      <w:r>
        <w:rPr>
          <w:rFonts w:asciiTheme="majorHAnsi" w:hAnsiTheme="majorHAnsi" w:cstheme="majorHAnsi"/>
        </w:rPr>
        <w:t xml:space="preserve">Mobiliser des experts en données et en TI, ainsi que des </w:t>
      </w:r>
      <w:r w:rsidR="00FF3C28">
        <w:rPr>
          <w:rFonts w:asciiTheme="majorHAnsi" w:hAnsiTheme="majorHAnsi" w:cstheme="majorHAnsi"/>
        </w:rPr>
        <w:t>associés d’affaires</w:t>
      </w:r>
      <w:r>
        <w:rPr>
          <w:rFonts w:asciiTheme="majorHAnsi" w:hAnsiTheme="majorHAnsi" w:cstheme="majorHAnsi"/>
        </w:rPr>
        <w:t>, au sein de la CFP et maintenir son engagement envers la réussite d</w:t>
      </w:r>
      <w:r w:rsidR="00994829">
        <w:rPr>
          <w:rFonts w:asciiTheme="majorHAnsi" w:hAnsiTheme="majorHAnsi" w:cstheme="majorHAnsi"/>
        </w:rPr>
        <w:t>u</w:t>
      </w:r>
      <w:r>
        <w:rPr>
          <w:rFonts w:asciiTheme="majorHAnsi" w:hAnsiTheme="majorHAnsi" w:cstheme="majorHAnsi"/>
        </w:rPr>
        <w:t xml:space="preserve"> lac de données.</w:t>
      </w:r>
    </w:p>
    <w:p w14:paraId="5FC6F172" w14:textId="77777777" w:rsidR="00FA5C74" w:rsidRPr="00C175EB" w:rsidRDefault="00131790" w:rsidP="003B72E3">
      <w:pPr>
        <w:pStyle w:val="ListParagraph"/>
        <w:numPr>
          <w:ilvl w:val="0"/>
          <w:numId w:val="20"/>
        </w:numPr>
        <w:rPr>
          <w:rFonts w:asciiTheme="majorHAnsi" w:hAnsiTheme="majorHAnsi" w:cstheme="majorHAnsi"/>
        </w:rPr>
      </w:pPr>
      <w:r>
        <w:rPr>
          <w:rFonts w:asciiTheme="majorHAnsi" w:hAnsiTheme="majorHAnsi" w:cstheme="majorHAnsi"/>
        </w:rPr>
        <w:t>Consulter l</w:t>
      </w:r>
      <w:r w:rsidR="00FA5C74">
        <w:rPr>
          <w:rFonts w:asciiTheme="majorHAnsi" w:hAnsiTheme="majorHAnsi" w:cstheme="majorHAnsi"/>
        </w:rPr>
        <w:t xml:space="preserve">es </w:t>
      </w:r>
      <w:r w:rsidR="008B530A">
        <w:rPr>
          <w:rFonts w:asciiTheme="majorHAnsi" w:hAnsiTheme="majorHAnsi" w:cstheme="majorHAnsi"/>
        </w:rPr>
        <w:t xml:space="preserve">associés </w:t>
      </w:r>
      <w:r w:rsidR="00FF3C28">
        <w:rPr>
          <w:rFonts w:asciiTheme="majorHAnsi" w:hAnsiTheme="majorHAnsi" w:cstheme="majorHAnsi"/>
        </w:rPr>
        <w:t>d’affaires</w:t>
      </w:r>
      <w:r w:rsidR="00FA5C74">
        <w:rPr>
          <w:rFonts w:asciiTheme="majorHAnsi" w:hAnsiTheme="majorHAnsi" w:cstheme="majorHAnsi"/>
        </w:rPr>
        <w:t xml:space="preserve"> à l’étape du concept et de la planification afin de prendre en compte leurs besoins opérationnels dans la conception du lac de données.</w:t>
      </w:r>
    </w:p>
    <w:p w14:paraId="6E2988FD" w14:textId="77777777" w:rsidR="00FB0CFF" w:rsidRPr="00C175EB" w:rsidRDefault="00A3181A" w:rsidP="003B72E3">
      <w:pPr>
        <w:pStyle w:val="ListParagraph"/>
        <w:numPr>
          <w:ilvl w:val="0"/>
          <w:numId w:val="20"/>
        </w:numPr>
        <w:rPr>
          <w:rFonts w:asciiTheme="majorHAnsi" w:hAnsiTheme="majorHAnsi" w:cstheme="majorHAnsi"/>
        </w:rPr>
      </w:pPr>
      <w:r>
        <w:rPr>
          <w:rFonts w:asciiTheme="majorHAnsi" w:hAnsiTheme="majorHAnsi" w:cstheme="majorHAnsi"/>
        </w:rPr>
        <w:t xml:space="preserve">Déterminer les ressources de la CFP dédiées à l’initiative du lac de données. </w:t>
      </w:r>
    </w:p>
    <w:p w14:paraId="4A79454D" w14:textId="77777777" w:rsidR="00915E11" w:rsidRPr="00C175EB" w:rsidRDefault="00364087" w:rsidP="003B72E3">
      <w:pPr>
        <w:pStyle w:val="ListParagraph"/>
        <w:numPr>
          <w:ilvl w:val="0"/>
          <w:numId w:val="20"/>
        </w:numPr>
        <w:rPr>
          <w:rFonts w:asciiTheme="majorHAnsi" w:hAnsiTheme="majorHAnsi" w:cstheme="majorHAnsi"/>
        </w:rPr>
      </w:pPr>
      <w:r>
        <w:rPr>
          <w:rFonts w:asciiTheme="majorHAnsi" w:hAnsiTheme="majorHAnsi" w:cstheme="majorHAnsi"/>
        </w:rPr>
        <w:t>Élaborer un plan de communication et de gestion du changement à l’appui du lac de données.</w:t>
      </w:r>
    </w:p>
    <w:p w14:paraId="29646A53" w14:textId="77777777" w:rsidR="00364087" w:rsidRPr="00C175EB" w:rsidRDefault="00364087" w:rsidP="00364087">
      <w:pPr>
        <w:pStyle w:val="ListParagraph"/>
        <w:rPr>
          <w:rFonts w:asciiTheme="majorHAnsi" w:hAnsiTheme="majorHAnsi" w:cstheme="majorHAnsi"/>
        </w:rPr>
      </w:pPr>
    </w:p>
    <w:p w14:paraId="0C4FB358" w14:textId="77777777" w:rsidR="00364087" w:rsidRPr="00BF61E1" w:rsidRDefault="00364087" w:rsidP="003B72E3">
      <w:pPr>
        <w:pStyle w:val="ListParagraph"/>
        <w:numPr>
          <w:ilvl w:val="3"/>
          <w:numId w:val="16"/>
        </w:numPr>
        <w:rPr>
          <w:rFonts w:asciiTheme="majorHAnsi" w:hAnsiTheme="majorHAnsi" w:cstheme="majorHAnsi"/>
          <w:b/>
          <w:i/>
        </w:rPr>
      </w:pPr>
      <w:r>
        <w:rPr>
          <w:rFonts w:asciiTheme="majorHAnsi" w:hAnsiTheme="majorHAnsi" w:cstheme="majorHAnsi"/>
          <w:b/>
          <w:i/>
        </w:rPr>
        <w:t>Apprendre des autres organisations</w:t>
      </w:r>
    </w:p>
    <w:p w14:paraId="689FEB7E" w14:textId="77777777" w:rsidR="00364087" w:rsidRPr="00C175EB" w:rsidRDefault="007D6BE0" w:rsidP="003B72E3">
      <w:pPr>
        <w:pStyle w:val="ListParagraph"/>
        <w:numPr>
          <w:ilvl w:val="0"/>
          <w:numId w:val="10"/>
        </w:numPr>
        <w:rPr>
          <w:rFonts w:asciiTheme="majorHAnsi" w:hAnsiTheme="majorHAnsi" w:cstheme="majorHAnsi"/>
        </w:rPr>
      </w:pPr>
      <w:r>
        <w:rPr>
          <w:rFonts w:asciiTheme="majorHAnsi" w:hAnsiTheme="majorHAnsi" w:cstheme="majorHAnsi"/>
        </w:rPr>
        <w:t xml:space="preserve">Consulter </w:t>
      </w:r>
      <w:r w:rsidR="00364087">
        <w:rPr>
          <w:rFonts w:asciiTheme="majorHAnsi" w:hAnsiTheme="majorHAnsi" w:cstheme="majorHAnsi"/>
        </w:rPr>
        <w:t>d’autres ministères et organismes fédéraux concernant des initiatives similaires.</w:t>
      </w:r>
    </w:p>
    <w:p w14:paraId="5A1A2746" w14:textId="77777777" w:rsidR="00364087" w:rsidRPr="00C175EB" w:rsidRDefault="00364087" w:rsidP="003B72E3">
      <w:pPr>
        <w:pStyle w:val="ListParagraph"/>
        <w:numPr>
          <w:ilvl w:val="0"/>
          <w:numId w:val="10"/>
        </w:numPr>
        <w:rPr>
          <w:rFonts w:asciiTheme="majorHAnsi" w:hAnsiTheme="majorHAnsi" w:cstheme="majorHAnsi"/>
        </w:rPr>
      </w:pPr>
      <w:r>
        <w:rPr>
          <w:rFonts w:asciiTheme="majorHAnsi" w:hAnsiTheme="majorHAnsi" w:cstheme="majorHAnsi"/>
        </w:rPr>
        <w:t xml:space="preserve">Obtenir une expertise de pointe pour orienter la planification et la mise en œuvre du lac de données. </w:t>
      </w:r>
    </w:p>
    <w:p w14:paraId="386194DA" w14:textId="77777777" w:rsidR="00342E9F" w:rsidRPr="00C175EB" w:rsidRDefault="00342E9F" w:rsidP="004F41CF">
      <w:pPr>
        <w:pStyle w:val="ListParagraph"/>
        <w:ind w:left="360"/>
        <w:rPr>
          <w:rFonts w:asciiTheme="majorHAnsi" w:hAnsiTheme="majorHAnsi" w:cstheme="majorHAnsi"/>
        </w:rPr>
      </w:pPr>
    </w:p>
    <w:p w14:paraId="129842AB" w14:textId="77777777" w:rsidR="00C343C4" w:rsidRPr="00C175EB" w:rsidRDefault="00C343C4" w:rsidP="003B72E3">
      <w:pPr>
        <w:pStyle w:val="ListParagraph"/>
        <w:numPr>
          <w:ilvl w:val="2"/>
          <w:numId w:val="16"/>
        </w:numPr>
        <w:spacing w:after="0" w:line="240" w:lineRule="auto"/>
        <w:ind w:left="0" w:firstLine="0"/>
        <w:jc w:val="left"/>
        <w:rPr>
          <w:rFonts w:asciiTheme="majorHAnsi" w:hAnsiTheme="majorHAnsi" w:cstheme="majorHAnsi"/>
          <w:b/>
          <w:i/>
        </w:rPr>
      </w:pPr>
      <w:r>
        <w:rPr>
          <w:rFonts w:asciiTheme="majorHAnsi" w:hAnsiTheme="majorHAnsi" w:cstheme="majorHAnsi"/>
          <w:b/>
          <w:i/>
        </w:rPr>
        <w:lastRenderedPageBreak/>
        <w:t xml:space="preserve">Mettre en œuvre des pratiques exemplaires en matière de gestion des données : </w:t>
      </w:r>
      <w:r>
        <w:rPr>
          <w:rFonts w:asciiTheme="majorHAnsi" w:hAnsiTheme="majorHAnsi" w:cstheme="majorHAnsi"/>
        </w:rPr>
        <w:t>La mise en œuvre de pratiques exemplaires dans les disciplines de la gestion de données sera utilis</w:t>
      </w:r>
      <w:r w:rsidR="00F44F6A">
        <w:rPr>
          <w:rFonts w:asciiTheme="majorHAnsi" w:hAnsiTheme="majorHAnsi" w:cstheme="majorHAnsi"/>
        </w:rPr>
        <w:t>ée</w:t>
      </w:r>
      <w:r>
        <w:rPr>
          <w:rFonts w:asciiTheme="majorHAnsi" w:hAnsiTheme="majorHAnsi" w:cstheme="majorHAnsi"/>
        </w:rPr>
        <w:t xml:space="preserve"> pour le lac de données et sera effectuée en prévision de la mise en œuvre de la nouvelle infrastructure et parallèlement à sa mise en œuvre. Voici les pratiques inter</w:t>
      </w:r>
      <w:r w:rsidR="00F44F6A">
        <w:rPr>
          <w:rFonts w:asciiTheme="majorHAnsi" w:hAnsiTheme="majorHAnsi" w:cstheme="majorHAnsi"/>
        </w:rPr>
        <w:t>re</w:t>
      </w:r>
      <w:r>
        <w:rPr>
          <w:rFonts w:asciiTheme="majorHAnsi" w:hAnsiTheme="majorHAnsi" w:cstheme="majorHAnsi"/>
        </w:rPr>
        <w:t xml:space="preserve">liées sur lesquelles nous mettrons l’accent : </w:t>
      </w:r>
      <w:r w:rsidR="00F746A6">
        <w:rPr>
          <w:rFonts w:asciiTheme="majorHAnsi" w:hAnsiTheme="majorHAnsi" w:cstheme="majorHAnsi"/>
        </w:rPr>
        <w:t>g</w:t>
      </w:r>
      <w:r>
        <w:rPr>
          <w:rFonts w:asciiTheme="majorHAnsi" w:hAnsiTheme="majorHAnsi" w:cstheme="majorHAnsi"/>
        </w:rPr>
        <w:t>estion des données, données de référence et données maîtres et gestion de documents et du contenu. Au fur et à mesure que l’organisation évolue, d’autres disciplines de gestion des données peuvent être ajoutées à la portée du projet.</w:t>
      </w:r>
      <w:r>
        <w:rPr>
          <w:rFonts w:asciiTheme="majorHAnsi" w:hAnsiTheme="majorHAnsi" w:cstheme="majorHAnsi"/>
          <w:i/>
        </w:rPr>
        <w:t xml:space="preserve"> </w:t>
      </w:r>
    </w:p>
    <w:p w14:paraId="76425AEE" w14:textId="77777777" w:rsidR="00C343C4" w:rsidRPr="00C175EB" w:rsidRDefault="00C343C4" w:rsidP="00C343C4">
      <w:pPr>
        <w:pStyle w:val="ListParagraph"/>
        <w:spacing w:after="0" w:line="240" w:lineRule="auto"/>
        <w:rPr>
          <w:rFonts w:asciiTheme="majorHAnsi" w:hAnsiTheme="majorHAnsi" w:cstheme="majorHAnsi"/>
          <w:b/>
          <w:i/>
        </w:rPr>
      </w:pPr>
    </w:p>
    <w:p w14:paraId="6AA7613B" w14:textId="77777777" w:rsidR="009D022F" w:rsidRPr="00342E9F" w:rsidRDefault="0019539B" w:rsidP="00342E9F">
      <w:pPr>
        <w:pStyle w:val="ListParagraph"/>
        <w:spacing w:after="0" w:line="240" w:lineRule="auto"/>
        <w:ind w:left="0"/>
        <w:jc w:val="left"/>
        <w:rPr>
          <w:rStyle w:val="y0nh2b"/>
          <w:rFonts w:asciiTheme="majorHAnsi" w:hAnsiTheme="majorHAnsi" w:cstheme="majorHAnsi"/>
          <w:b/>
        </w:rPr>
      </w:pPr>
      <w:r>
        <w:rPr>
          <w:rFonts w:asciiTheme="majorHAnsi" w:hAnsiTheme="majorHAnsi" w:cstheme="majorHAnsi"/>
          <w:b/>
          <w:i/>
        </w:rPr>
        <w:t xml:space="preserve">Gestion des métadonnées : </w:t>
      </w:r>
      <w:r>
        <w:rPr>
          <w:rFonts w:asciiTheme="majorHAnsi" w:hAnsiTheme="majorHAnsi" w:cstheme="majorHAnsi"/>
        </w:rPr>
        <w:t xml:space="preserve">Les métadonnées résument l’information de base au sujet des données. L’auteur, la date de création, la date de modification et la taille du fichier sont des exemples de métadonnées de document très fondamentales. Les métadonnées aident à organiser, à trouver et à comprendre les données. La gestion des métadonnées sert à s’assurer que les </w:t>
      </w:r>
      <w:r>
        <w:rPr>
          <w:rStyle w:val="y0nh2b"/>
          <w:rFonts w:asciiTheme="majorHAnsi" w:hAnsiTheme="majorHAnsi" w:cstheme="majorHAnsi"/>
          <w:color w:val="222222"/>
        </w:rPr>
        <w:t>renseignements précieux contenus dans les métadonnées peuvent être intégrés, accessibles et analysés pour une utilisation plus efficace dans l’organisation. La gestion des métadonnées touchera tous les secteurs de la CFP alors que nous allons de l’avant avec une nouvelle infrastructure et une intégration renforcée des données. Les normes applicables aux métadonnées à la CFP doivent être établies en partenariat avec</w:t>
      </w:r>
      <w:r w:rsidR="00670215">
        <w:rPr>
          <w:rStyle w:val="y0nh2b"/>
          <w:rFonts w:asciiTheme="majorHAnsi" w:hAnsiTheme="majorHAnsi" w:cstheme="majorHAnsi"/>
          <w:color w:val="222222"/>
        </w:rPr>
        <w:t xml:space="preserve"> des</w:t>
      </w:r>
      <w:r>
        <w:rPr>
          <w:rStyle w:val="y0nh2b"/>
          <w:rFonts w:asciiTheme="majorHAnsi" w:hAnsiTheme="majorHAnsi" w:cstheme="majorHAnsi"/>
          <w:color w:val="222222"/>
        </w:rPr>
        <w:t xml:space="preserve"> </w:t>
      </w:r>
      <w:r w:rsidR="00FF3C28">
        <w:rPr>
          <w:rStyle w:val="y0nh2b"/>
          <w:rFonts w:asciiTheme="majorHAnsi" w:hAnsiTheme="majorHAnsi" w:cstheme="majorHAnsi"/>
          <w:color w:val="222222"/>
        </w:rPr>
        <w:t xml:space="preserve">associés d’affaires </w:t>
      </w:r>
      <w:r>
        <w:rPr>
          <w:rStyle w:val="y0nh2b"/>
          <w:rFonts w:asciiTheme="majorHAnsi" w:hAnsiTheme="majorHAnsi" w:cstheme="majorHAnsi"/>
          <w:color w:val="222222"/>
        </w:rPr>
        <w:t>afin de permettre un certain nombre de processus automatisés qui optimiseront l’utilisation d’un grand volume d’actifs de données.</w:t>
      </w:r>
    </w:p>
    <w:p w14:paraId="324A0F8B" w14:textId="77777777" w:rsidR="009D022F" w:rsidRPr="00342E9F" w:rsidRDefault="009D022F" w:rsidP="00342E9F">
      <w:pPr>
        <w:pStyle w:val="ListParagraph"/>
        <w:spacing w:after="0" w:line="240" w:lineRule="auto"/>
        <w:ind w:left="0"/>
        <w:jc w:val="left"/>
        <w:rPr>
          <w:rFonts w:asciiTheme="majorHAnsi" w:hAnsiTheme="majorHAnsi" w:cstheme="majorHAnsi"/>
          <w:b/>
          <w:i/>
        </w:rPr>
      </w:pPr>
    </w:p>
    <w:p w14:paraId="5E430BAE" w14:textId="77777777" w:rsidR="00A872EE" w:rsidRPr="00342E9F" w:rsidRDefault="003122AE" w:rsidP="00A872EE">
      <w:pPr>
        <w:pStyle w:val="ListParagraph"/>
        <w:spacing w:after="0" w:line="240" w:lineRule="auto"/>
        <w:ind w:left="0"/>
        <w:jc w:val="left"/>
        <w:rPr>
          <w:rStyle w:val="y0nh2b"/>
          <w:rFonts w:asciiTheme="majorHAnsi" w:hAnsiTheme="majorHAnsi" w:cstheme="majorHAnsi"/>
          <w:b/>
        </w:rPr>
      </w:pPr>
      <w:r>
        <w:rPr>
          <w:b/>
          <w:i/>
        </w:rPr>
        <w:t>Données de référence et données maîtres</w:t>
      </w:r>
      <w:r w:rsidR="00F746A6">
        <w:rPr>
          <w:b/>
          <w:i/>
        </w:rPr>
        <w:t> :</w:t>
      </w:r>
      <w:r>
        <w:t xml:space="preserve"> Les données de référence renvoient aux concepts qui ont une incidence sur les processus opérationnels.</w:t>
      </w:r>
      <w:r w:rsidR="00A74230">
        <w:t xml:space="preserve"> </w:t>
      </w:r>
      <w:r>
        <w:t xml:space="preserve">Les données maîtres sont des renseignements opérationnels clés qui appuient les transactions et sont communément appelées des endroits (lieux, géographie, sites), des parties (personnes, employés) et des choses (produits, articles, matériel). Les données entrées dans différentes applications (SRFP, SGIP, etc.) peuvent ne pas être exactes ou suffisamment complètes pour être utilisées aux fins prévues parce qu’elles sont axées sur une situation propre à l’application et en raison d’un manque de tableaux de référence partagés. À la CFP, par exemple, cela donne lieu à un </w:t>
      </w:r>
      <w:r w:rsidR="00A74230">
        <w:t>m</w:t>
      </w:r>
      <w:r>
        <w:t>inistère qui est identifié de différentes façons dans les divers systèmes opérationnels actuellement en utilisation. La CFP a besoin de pratiques plus robustes en matière de données de références et de données maîtres, lesquelles sont essentiel</w:t>
      </w:r>
      <w:r w:rsidR="00F44F6A">
        <w:t>les</w:t>
      </w:r>
      <w:r>
        <w:t xml:space="preserve"> pour consolider l’information provenant de diverses sources.</w:t>
      </w:r>
    </w:p>
    <w:p w14:paraId="4D23F74A" w14:textId="77777777" w:rsidR="00A872EE" w:rsidRPr="00342E9F" w:rsidRDefault="00A872EE" w:rsidP="00A872EE">
      <w:pPr>
        <w:pStyle w:val="ListParagraph"/>
        <w:spacing w:after="0" w:line="240" w:lineRule="auto"/>
        <w:ind w:left="0"/>
        <w:jc w:val="left"/>
        <w:rPr>
          <w:rFonts w:asciiTheme="majorHAnsi" w:hAnsiTheme="majorHAnsi" w:cstheme="majorHAnsi"/>
          <w:b/>
          <w:i/>
        </w:rPr>
      </w:pPr>
    </w:p>
    <w:p w14:paraId="77D2ACFE" w14:textId="77777777" w:rsidR="002863CC" w:rsidRPr="006A383F" w:rsidRDefault="008E154E" w:rsidP="006A383F">
      <w:pPr>
        <w:spacing w:after="0" w:line="240" w:lineRule="auto"/>
        <w:rPr>
          <w:rFonts w:ascii="Arial" w:hAnsi="Arial" w:cs="Arial"/>
          <w:sz w:val="22"/>
        </w:rPr>
      </w:pPr>
      <w:r>
        <w:rPr>
          <w:rFonts w:asciiTheme="majorHAnsi" w:hAnsiTheme="majorHAnsi" w:cstheme="majorHAnsi"/>
          <w:b/>
          <w:i/>
          <w:sz w:val="22"/>
        </w:rPr>
        <w:lastRenderedPageBreak/>
        <w:t>Gestion des documents et du contenu :</w:t>
      </w:r>
      <w:r>
        <w:rPr>
          <w:rFonts w:asciiTheme="majorHAnsi" w:hAnsiTheme="majorHAnsi" w:cstheme="majorHAnsi"/>
          <w:sz w:val="22"/>
        </w:rPr>
        <w:t xml:space="preserve"> </w:t>
      </w:r>
      <w:r>
        <w:rPr>
          <w:rFonts w:ascii="Arial" w:hAnsi="Arial"/>
          <w:sz w:val="22"/>
        </w:rPr>
        <w:t>La gestion des documents et du contenu fait référence au système en place qui sert à organiser, à stocker, à gérer les données et l’information et à en faire le suivi. Les processus de gestion des documents et du contenu doivent être revus avec attention afin d’établir les meilleures pratiques et les normes pour la CFP, y compris la façon dont les actifs de données sont partagés et mis à la disposition des utilisateurs tout au long de leur cycle de vie.</w:t>
      </w:r>
    </w:p>
    <w:p w14:paraId="684387AE" w14:textId="77777777" w:rsidR="005D6120" w:rsidRDefault="005D6120" w:rsidP="005D6120">
      <w:bookmarkStart w:id="37" w:name="_Toc521922876"/>
    </w:p>
    <w:p w14:paraId="01B8FE59" w14:textId="77777777" w:rsidR="008E154E" w:rsidRPr="005D6120" w:rsidRDefault="00A74230" w:rsidP="005D6120">
      <w:pPr>
        <w:pStyle w:val="Heading3"/>
      </w:pPr>
      <w:bookmarkStart w:id="38" w:name="_Toc528324052"/>
      <w:bookmarkStart w:id="39" w:name="_Toc528576569"/>
      <w:bookmarkStart w:id="40" w:name="_Toc528845194"/>
      <w:r>
        <w:t>Catalyseurs</w:t>
      </w:r>
      <w:r w:rsidR="00F315C1">
        <w:t xml:space="preserve"> de la Stratégie :</w:t>
      </w:r>
      <w:bookmarkEnd w:id="37"/>
      <w:bookmarkEnd w:id="38"/>
      <w:bookmarkEnd w:id="39"/>
      <w:bookmarkEnd w:id="40"/>
    </w:p>
    <w:p w14:paraId="31025188" w14:textId="77777777" w:rsidR="00476E90" w:rsidRPr="00A440E6" w:rsidRDefault="00476E90" w:rsidP="003B72E3">
      <w:pPr>
        <w:pStyle w:val="ListParagraph"/>
        <w:numPr>
          <w:ilvl w:val="3"/>
          <w:numId w:val="15"/>
        </w:numPr>
        <w:spacing w:after="0" w:line="240" w:lineRule="auto"/>
        <w:rPr>
          <w:rFonts w:asciiTheme="majorHAnsi" w:hAnsiTheme="majorHAnsi" w:cstheme="majorHAnsi"/>
          <w:b/>
        </w:rPr>
      </w:pPr>
      <w:r>
        <w:rPr>
          <w:rFonts w:asciiTheme="majorHAnsi" w:hAnsiTheme="majorHAnsi" w:cstheme="majorHAnsi"/>
          <w:b/>
          <w:i/>
        </w:rPr>
        <w:t>Établir des normes organisationnelles concernant la saisie et l’utilisation des métadonnées</w:t>
      </w:r>
      <w:r>
        <w:rPr>
          <w:rFonts w:asciiTheme="majorHAnsi" w:hAnsiTheme="majorHAnsi" w:cstheme="majorHAnsi"/>
          <w:b/>
        </w:rPr>
        <w:t xml:space="preserve">  </w:t>
      </w:r>
    </w:p>
    <w:p w14:paraId="40FEA6E6" w14:textId="77777777" w:rsidR="00523BD8" w:rsidRDefault="00523BD8" w:rsidP="003B72E3">
      <w:pPr>
        <w:pStyle w:val="ListParagraph"/>
        <w:numPr>
          <w:ilvl w:val="0"/>
          <w:numId w:val="21"/>
        </w:numPr>
        <w:spacing w:after="0" w:line="240" w:lineRule="auto"/>
        <w:rPr>
          <w:rFonts w:asciiTheme="majorHAnsi" w:hAnsiTheme="majorHAnsi" w:cstheme="majorHAnsi"/>
        </w:rPr>
      </w:pPr>
      <w:r>
        <w:rPr>
          <w:rFonts w:asciiTheme="majorHAnsi" w:hAnsiTheme="majorHAnsi" w:cstheme="majorHAnsi"/>
        </w:rPr>
        <w:t>Souligner l’importance et les avantages de l’accès à des métadonnées solides.</w:t>
      </w:r>
    </w:p>
    <w:p w14:paraId="0455A3E5" w14:textId="77777777" w:rsidR="00007F07" w:rsidRPr="004E02DE" w:rsidRDefault="00523BD8" w:rsidP="003B72E3">
      <w:pPr>
        <w:pStyle w:val="ListParagraph"/>
        <w:numPr>
          <w:ilvl w:val="0"/>
          <w:numId w:val="21"/>
        </w:numPr>
        <w:spacing w:after="0" w:line="240" w:lineRule="auto"/>
        <w:rPr>
          <w:rFonts w:asciiTheme="majorHAnsi" w:hAnsiTheme="majorHAnsi" w:cstheme="majorHAnsi"/>
        </w:rPr>
      </w:pPr>
      <w:r>
        <w:rPr>
          <w:rFonts w:asciiTheme="majorHAnsi" w:hAnsiTheme="majorHAnsi" w:cstheme="majorHAnsi"/>
        </w:rPr>
        <w:t xml:space="preserve">Mettre en œuvre des lignes directrices sur les </w:t>
      </w:r>
      <w:r w:rsidR="00FB0675">
        <w:rPr>
          <w:rFonts w:asciiTheme="majorHAnsi" w:hAnsiTheme="majorHAnsi" w:cstheme="majorHAnsi"/>
        </w:rPr>
        <w:t>normes</w:t>
      </w:r>
      <w:r>
        <w:rPr>
          <w:rFonts w:asciiTheme="majorHAnsi" w:hAnsiTheme="majorHAnsi" w:cstheme="majorHAnsi"/>
        </w:rPr>
        <w:t xml:space="preserve"> de métadonnées.</w:t>
      </w:r>
    </w:p>
    <w:p w14:paraId="647D2F9A" w14:textId="77777777" w:rsidR="00007F07" w:rsidRPr="00C175EB" w:rsidRDefault="00007F07" w:rsidP="00007F07">
      <w:pPr>
        <w:pStyle w:val="ListParagraph"/>
        <w:spacing w:after="0" w:line="240" w:lineRule="auto"/>
        <w:ind w:left="1800"/>
        <w:rPr>
          <w:rFonts w:asciiTheme="majorHAnsi" w:hAnsiTheme="majorHAnsi" w:cstheme="majorHAnsi"/>
        </w:rPr>
      </w:pPr>
    </w:p>
    <w:p w14:paraId="3198159E" w14:textId="77777777" w:rsidR="007F09E6" w:rsidRPr="00BF61E1" w:rsidRDefault="007F09E6" w:rsidP="003B72E3">
      <w:pPr>
        <w:pStyle w:val="ListParagraph"/>
        <w:numPr>
          <w:ilvl w:val="3"/>
          <w:numId w:val="15"/>
        </w:numPr>
        <w:spacing w:after="0" w:line="240" w:lineRule="auto"/>
        <w:rPr>
          <w:rFonts w:asciiTheme="majorHAnsi" w:hAnsiTheme="majorHAnsi" w:cstheme="majorHAnsi"/>
          <w:b/>
          <w:i/>
        </w:rPr>
      </w:pPr>
      <w:r>
        <w:rPr>
          <w:rFonts w:asciiTheme="majorHAnsi" w:hAnsiTheme="majorHAnsi" w:cstheme="majorHAnsi"/>
          <w:b/>
          <w:i/>
        </w:rPr>
        <w:t xml:space="preserve">Mettre à jour les données de référence et les données maîtres en révisant les tableaux de données communs </w:t>
      </w:r>
    </w:p>
    <w:p w14:paraId="32820CBD" w14:textId="77777777" w:rsidR="00007F07" w:rsidRPr="00C175EB" w:rsidRDefault="00007F07" w:rsidP="003B72E3">
      <w:pPr>
        <w:pStyle w:val="ListParagraph"/>
        <w:numPr>
          <w:ilvl w:val="0"/>
          <w:numId w:val="19"/>
        </w:numPr>
        <w:spacing w:after="0" w:line="240" w:lineRule="auto"/>
        <w:rPr>
          <w:rFonts w:asciiTheme="majorHAnsi" w:hAnsiTheme="majorHAnsi" w:cstheme="majorHAnsi"/>
        </w:rPr>
      </w:pPr>
      <w:r>
        <w:rPr>
          <w:rFonts w:asciiTheme="majorHAnsi" w:hAnsiTheme="majorHAnsi" w:cstheme="majorHAnsi"/>
        </w:rPr>
        <w:t>Commencer par la classification, les régions et les ministères.</w:t>
      </w:r>
    </w:p>
    <w:p w14:paraId="422F8D4B" w14:textId="77777777" w:rsidR="00007F07" w:rsidRPr="00C175EB" w:rsidRDefault="00C2059E" w:rsidP="003B72E3">
      <w:pPr>
        <w:pStyle w:val="ListParagraph"/>
        <w:numPr>
          <w:ilvl w:val="0"/>
          <w:numId w:val="19"/>
        </w:numPr>
        <w:spacing w:after="0" w:line="240" w:lineRule="auto"/>
        <w:rPr>
          <w:rFonts w:asciiTheme="majorHAnsi" w:hAnsiTheme="majorHAnsi" w:cstheme="majorHAnsi"/>
        </w:rPr>
      </w:pPr>
      <w:r>
        <w:rPr>
          <w:rFonts w:asciiTheme="majorHAnsi" w:hAnsiTheme="majorHAnsi" w:cstheme="majorHAnsi"/>
        </w:rPr>
        <w:t xml:space="preserve">Déterminer les autres données maîtres existantes utilisées dans les systèmes opérationnels. </w:t>
      </w:r>
    </w:p>
    <w:p w14:paraId="354C5FE5" w14:textId="77777777" w:rsidR="00C175EB" w:rsidRDefault="00C175EB" w:rsidP="003B72E3">
      <w:pPr>
        <w:pStyle w:val="ListParagraph"/>
        <w:numPr>
          <w:ilvl w:val="0"/>
          <w:numId w:val="19"/>
        </w:numPr>
        <w:spacing w:after="0" w:line="240" w:lineRule="auto"/>
        <w:rPr>
          <w:rFonts w:asciiTheme="majorHAnsi" w:hAnsiTheme="majorHAnsi" w:cstheme="majorHAnsi"/>
        </w:rPr>
      </w:pPr>
      <w:r>
        <w:rPr>
          <w:rFonts w:asciiTheme="majorHAnsi" w:hAnsiTheme="majorHAnsi" w:cstheme="majorHAnsi"/>
        </w:rPr>
        <w:t>Favoriser la collaboration entre les secteurs pour ce qui est de l’élaboration d’un dictionnaire/glossaire de données opérationnelles pour le lac de données.</w:t>
      </w:r>
    </w:p>
    <w:p w14:paraId="4E07B260" w14:textId="77777777" w:rsidR="00622985" w:rsidRPr="00C175EB" w:rsidRDefault="00622985" w:rsidP="00622985">
      <w:pPr>
        <w:pStyle w:val="ListParagraph"/>
        <w:spacing w:after="0" w:line="240" w:lineRule="auto"/>
        <w:ind w:left="1080"/>
        <w:rPr>
          <w:rFonts w:asciiTheme="majorHAnsi" w:hAnsiTheme="majorHAnsi" w:cstheme="majorHAnsi"/>
        </w:rPr>
      </w:pPr>
    </w:p>
    <w:p w14:paraId="1852F314" w14:textId="77777777" w:rsidR="001C5ABE" w:rsidRPr="00BF61E1" w:rsidRDefault="00DE061E" w:rsidP="003B72E3">
      <w:pPr>
        <w:pStyle w:val="ListParagraph"/>
        <w:numPr>
          <w:ilvl w:val="3"/>
          <w:numId w:val="15"/>
        </w:numPr>
        <w:spacing w:after="0" w:line="240" w:lineRule="auto"/>
        <w:rPr>
          <w:rFonts w:asciiTheme="majorHAnsi" w:hAnsiTheme="majorHAnsi" w:cstheme="majorHAnsi"/>
          <w:b/>
          <w:i/>
        </w:rPr>
      </w:pPr>
      <w:r>
        <w:rPr>
          <w:rFonts w:asciiTheme="majorHAnsi" w:hAnsiTheme="majorHAnsi" w:cstheme="majorHAnsi"/>
          <w:b/>
          <w:i/>
        </w:rPr>
        <w:t xml:space="preserve">Créer un inventaire des actifs de données ministériels de la CFP </w:t>
      </w:r>
    </w:p>
    <w:p w14:paraId="414416D0" w14:textId="77777777" w:rsidR="001C5ABE" w:rsidRPr="00C175EB" w:rsidRDefault="001C5ABE" w:rsidP="003B72E3">
      <w:pPr>
        <w:pStyle w:val="ListParagraph"/>
        <w:numPr>
          <w:ilvl w:val="0"/>
          <w:numId w:val="17"/>
        </w:numPr>
        <w:spacing w:after="0" w:line="240" w:lineRule="auto"/>
        <w:rPr>
          <w:rFonts w:asciiTheme="majorHAnsi" w:hAnsiTheme="majorHAnsi" w:cstheme="majorHAnsi"/>
        </w:rPr>
      </w:pPr>
      <w:r>
        <w:rPr>
          <w:rFonts w:asciiTheme="majorHAnsi" w:hAnsiTheme="majorHAnsi" w:cstheme="majorHAnsi"/>
        </w:rPr>
        <w:t xml:space="preserve">Déterminer les actifs de données </w:t>
      </w:r>
      <w:r w:rsidR="00EA6D67">
        <w:rPr>
          <w:rFonts w:asciiTheme="majorHAnsi" w:hAnsiTheme="majorHAnsi" w:cstheme="majorHAnsi"/>
        </w:rPr>
        <w:t xml:space="preserve">critiques </w:t>
      </w:r>
      <w:r>
        <w:rPr>
          <w:rFonts w:asciiTheme="majorHAnsi" w:hAnsiTheme="majorHAnsi" w:cstheme="majorHAnsi"/>
        </w:rPr>
        <w:t xml:space="preserve">de la CFP qui sont requis pour rendre compte du mandat et des engagements de la CFP, tels que le Cadre ministériel des résultats. </w:t>
      </w:r>
    </w:p>
    <w:p w14:paraId="6C2C0D84" w14:textId="77777777" w:rsidR="00DE061E" w:rsidRPr="00C175EB" w:rsidRDefault="001C5ABE" w:rsidP="003B72E3">
      <w:pPr>
        <w:pStyle w:val="ListParagraph"/>
        <w:numPr>
          <w:ilvl w:val="0"/>
          <w:numId w:val="17"/>
        </w:numPr>
        <w:spacing w:after="0" w:line="240" w:lineRule="auto"/>
        <w:rPr>
          <w:rFonts w:asciiTheme="majorHAnsi" w:hAnsiTheme="majorHAnsi" w:cstheme="majorHAnsi"/>
        </w:rPr>
      </w:pPr>
      <w:r>
        <w:rPr>
          <w:rFonts w:asciiTheme="majorHAnsi" w:hAnsiTheme="majorHAnsi" w:cstheme="majorHAnsi"/>
        </w:rPr>
        <w:t>S’accorder sur les données qui doivent être préservées alors que nous planifions la prochaine solution d’infrastructure et le remplacement ou la modernisation des systèmes.</w:t>
      </w:r>
    </w:p>
    <w:p w14:paraId="710F66A1" w14:textId="77777777" w:rsidR="001C5ABE" w:rsidRPr="00C175EB" w:rsidRDefault="001C5ABE" w:rsidP="001C5ABE">
      <w:pPr>
        <w:spacing w:after="0" w:line="240" w:lineRule="auto"/>
        <w:rPr>
          <w:rFonts w:asciiTheme="majorHAnsi" w:hAnsiTheme="majorHAnsi" w:cstheme="majorHAnsi"/>
          <w:sz w:val="22"/>
        </w:rPr>
      </w:pPr>
    </w:p>
    <w:p w14:paraId="76E11B0E" w14:textId="77777777" w:rsidR="00DE061E" w:rsidRPr="00BF61E1" w:rsidRDefault="00B85D57" w:rsidP="003B72E3">
      <w:pPr>
        <w:pStyle w:val="ListParagraph"/>
        <w:numPr>
          <w:ilvl w:val="3"/>
          <w:numId w:val="15"/>
        </w:numPr>
        <w:spacing w:after="0" w:line="240" w:lineRule="auto"/>
        <w:rPr>
          <w:rFonts w:asciiTheme="majorHAnsi" w:hAnsiTheme="majorHAnsi" w:cstheme="majorHAnsi"/>
          <w:b/>
          <w:i/>
        </w:rPr>
      </w:pPr>
      <w:r>
        <w:rPr>
          <w:rFonts w:asciiTheme="majorHAnsi" w:hAnsiTheme="majorHAnsi" w:cstheme="majorHAnsi"/>
          <w:b/>
          <w:i/>
        </w:rPr>
        <w:t>Documenter le cycle de vi</w:t>
      </w:r>
      <w:r w:rsidR="00EA6D67">
        <w:rPr>
          <w:rFonts w:asciiTheme="majorHAnsi" w:hAnsiTheme="majorHAnsi" w:cstheme="majorHAnsi"/>
          <w:b/>
          <w:i/>
        </w:rPr>
        <w:t>e</w:t>
      </w:r>
      <w:r>
        <w:rPr>
          <w:rFonts w:asciiTheme="majorHAnsi" w:hAnsiTheme="majorHAnsi" w:cstheme="majorHAnsi"/>
          <w:b/>
          <w:i/>
        </w:rPr>
        <w:t xml:space="preserve"> des actifs de données ministériels de la CFP </w:t>
      </w:r>
    </w:p>
    <w:p w14:paraId="34D7EFEF" w14:textId="77777777" w:rsidR="00853FB8" w:rsidRPr="00C175EB" w:rsidRDefault="00853FB8" w:rsidP="003B72E3">
      <w:pPr>
        <w:pStyle w:val="ListParagraph"/>
        <w:numPr>
          <w:ilvl w:val="0"/>
          <w:numId w:val="18"/>
        </w:numPr>
        <w:spacing w:after="0" w:line="240" w:lineRule="auto"/>
        <w:rPr>
          <w:rFonts w:asciiTheme="majorHAnsi" w:hAnsiTheme="majorHAnsi" w:cstheme="majorHAnsi"/>
        </w:rPr>
      </w:pPr>
      <w:r>
        <w:rPr>
          <w:rFonts w:asciiTheme="majorHAnsi" w:hAnsiTheme="majorHAnsi" w:cstheme="majorHAnsi"/>
        </w:rPr>
        <w:t>Documenter les responsabilités dans la CFP qui sont liées au cycle de vie complet des actifs de données ministériels, de la collecte au stockage, à l’utilisation, au partage, à la conservation et à la disposition.</w:t>
      </w:r>
    </w:p>
    <w:p w14:paraId="5B1C6370" w14:textId="77777777" w:rsidR="00853FB8" w:rsidRPr="0048242F" w:rsidRDefault="0048242F" w:rsidP="003B72E3">
      <w:pPr>
        <w:pStyle w:val="ListParagraph"/>
        <w:numPr>
          <w:ilvl w:val="0"/>
          <w:numId w:val="18"/>
        </w:numPr>
        <w:spacing w:after="0" w:line="240" w:lineRule="auto"/>
        <w:rPr>
          <w:rFonts w:cs="Arial"/>
        </w:rPr>
      </w:pPr>
      <w:r>
        <w:rPr>
          <w:rFonts w:asciiTheme="majorHAnsi" w:hAnsiTheme="majorHAnsi" w:cstheme="majorHAnsi"/>
        </w:rPr>
        <w:lastRenderedPageBreak/>
        <w:t>Déterminer les interdépendances entre les actifs de données ministériels et leur utilisation opérationnelle.</w:t>
      </w:r>
    </w:p>
    <w:p w14:paraId="6B1FA1B1" w14:textId="77777777" w:rsidR="00A74230" w:rsidRPr="00D81E8B" w:rsidRDefault="0048242F" w:rsidP="00D81E8B">
      <w:pPr>
        <w:pStyle w:val="ListParagraph"/>
        <w:numPr>
          <w:ilvl w:val="0"/>
          <w:numId w:val="18"/>
        </w:numPr>
        <w:spacing w:after="0" w:line="240" w:lineRule="auto"/>
        <w:rPr>
          <w:rFonts w:cs="Arial"/>
        </w:rPr>
      </w:pPr>
      <w:r>
        <w:rPr>
          <w:rFonts w:asciiTheme="majorHAnsi" w:hAnsiTheme="majorHAnsi" w:cstheme="majorHAnsi"/>
        </w:rPr>
        <w:t>Établir des no</w:t>
      </w:r>
      <w:r w:rsidR="00A74230">
        <w:rPr>
          <w:rFonts w:asciiTheme="majorHAnsi" w:hAnsiTheme="majorHAnsi" w:cstheme="majorHAnsi"/>
        </w:rPr>
        <w:t>r</w:t>
      </w:r>
      <w:r>
        <w:rPr>
          <w:rFonts w:asciiTheme="majorHAnsi" w:hAnsiTheme="majorHAnsi" w:cstheme="majorHAnsi"/>
        </w:rPr>
        <w:t>mes de conservation et de disposition pour le cadre analytique de la DS</w:t>
      </w:r>
      <w:r w:rsidR="00FB0675">
        <w:rPr>
          <w:rFonts w:asciiTheme="majorHAnsi" w:hAnsiTheme="majorHAnsi" w:cstheme="majorHAnsi"/>
        </w:rPr>
        <w:t>DA</w:t>
      </w:r>
      <w:r>
        <w:rPr>
          <w:rFonts w:asciiTheme="majorHAnsi" w:hAnsiTheme="majorHAnsi" w:cstheme="majorHAnsi"/>
        </w:rPr>
        <w:t>.</w:t>
      </w:r>
      <w:bookmarkStart w:id="41" w:name="_Toc512263603"/>
    </w:p>
    <w:p w14:paraId="378AF39E" w14:textId="77777777" w:rsidR="00D81E8B" w:rsidRDefault="00D81E8B" w:rsidP="000B10BD">
      <w:pPr>
        <w:pStyle w:val="Heading3"/>
      </w:pPr>
    </w:p>
    <w:p w14:paraId="68B0D906" w14:textId="77777777" w:rsidR="000B10BD" w:rsidRPr="000B10BD" w:rsidRDefault="006C32B5" w:rsidP="000B10BD">
      <w:pPr>
        <w:pStyle w:val="Heading3"/>
      </w:pPr>
      <w:bookmarkStart w:id="42" w:name="_Toc528845195"/>
      <w:r>
        <w:t>4.3 Utilisateurs de données - « Connaître, Comprendre, Présenter, Défendre »</w:t>
      </w:r>
      <w:bookmarkEnd w:id="41"/>
      <w:bookmarkEnd w:id="42"/>
    </w:p>
    <w:p w14:paraId="6382B935" w14:textId="77777777" w:rsidR="000B10BD" w:rsidRPr="00415395" w:rsidRDefault="000B10BD" w:rsidP="006A383F">
      <w:pPr>
        <w:spacing w:after="0" w:line="240" w:lineRule="auto"/>
        <w:rPr>
          <w:rFonts w:asciiTheme="majorHAnsi" w:hAnsiTheme="majorHAnsi" w:cstheme="majorHAnsi"/>
          <w:sz w:val="22"/>
        </w:rPr>
      </w:pPr>
      <w:r>
        <w:rPr>
          <w:rFonts w:asciiTheme="majorHAnsi" w:hAnsiTheme="majorHAnsi" w:cstheme="majorHAnsi"/>
          <w:sz w:val="22"/>
        </w:rPr>
        <w:t xml:space="preserve">La CFP s’engage à soutenir les utilisateurs de données en misant sur le renouvellement de son infrastructure </w:t>
      </w:r>
      <w:r w:rsidR="00F06935">
        <w:rPr>
          <w:rFonts w:asciiTheme="majorHAnsi" w:hAnsiTheme="majorHAnsi" w:cstheme="majorHAnsi"/>
          <w:sz w:val="22"/>
        </w:rPr>
        <w:t>qui vise</w:t>
      </w:r>
      <w:r>
        <w:rPr>
          <w:rFonts w:asciiTheme="majorHAnsi" w:hAnsiTheme="majorHAnsi" w:cstheme="majorHAnsi"/>
          <w:sz w:val="22"/>
        </w:rPr>
        <w:t xml:space="preserve"> à créer des canaux et des produits modernes, tels que des rapports automatisés</w:t>
      </w:r>
      <w:r w:rsidR="00A74230">
        <w:rPr>
          <w:rFonts w:asciiTheme="majorHAnsi" w:hAnsiTheme="majorHAnsi" w:cstheme="majorHAnsi"/>
          <w:sz w:val="22"/>
        </w:rPr>
        <w:t xml:space="preserve"> </w:t>
      </w:r>
      <w:r>
        <w:rPr>
          <w:rFonts w:asciiTheme="majorHAnsi" w:hAnsiTheme="majorHAnsi" w:cstheme="majorHAnsi"/>
          <w:sz w:val="22"/>
        </w:rPr>
        <w:t>et des ensembles de données ouverts. En adoptant une approche axée sur le client, la CFP sera plus en mesure de nouer le dialogue avec</w:t>
      </w:r>
      <w:r w:rsidR="00A74230">
        <w:rPr>
          <w:rFonts w:asciiTheme="majorHAnsi" w:hAnsiTheme="majorHAnsi" w:cstheme="majorHAnsi"/>
          <w:sz w:val="22"/>
        </w:rPr>
        <w:t xml:space="preserve"> </w:t>
      </w:r>
      <w:r>
        <w:rPr>
          <w:rFonts w:asciiTheme="majorHAnsi" w:hAnsiTheme="majorHAnsi" w:cstheme="majorHAnsi"/>
          <w:sz w:val="22"/>
        </w:rPr>
        <w:t>les intervenants du domaine des données afin de fournir des produits et des services à valeur ajoutée et de favoriser l’apprentissage et le renforcement des capacités dans les domaines de la gestion et de l’analyse des données, le cas échéant.</w:t>
      </w:r>
      <w:r w:rsidR="00A74230">
        <w:rPr>
          <w:rFonts w:asciiTheme="majorHAnsi" w:hAnsiTheme="majorHAnsi" w:cstheme="majorHAnsi"/>
          <w:sz w:val="22"/>
        </w:rPr>
        <w:t xml:space="preserve"> </w:t>
      </w:r>
      <w:r>
        <w:rPr>
          <w:rFonts w:asciiTheme="majorHAnsi" w:hAnsiTheme="majorHAnsi" w:cstheme="majorHAnsi"/>
          <w:sz w:val="22"/>
        </w:rPr>
        <w:t xml:space="preserve">La CFP demeure résolue à renforcer la capacité dont elle a besoin pour gérer, analyser et utiliser pleinement ses </w:t>
      </w:r>
      <w:r w:rsidR="00EA6D67">
        <w:rPr>
          <w:rFonts w:asciiTheme="majorHAnsi" w:hAnsiTheme="majorHAnsi" w:cstheme="majorHAnsi"/>
          <w:sz w:val="22"/>
        </w:rPr>
        <w:t>ensembles</w:t>
      </w:r>
      <w:r>
        <w:rPr>
          <w:rFonts w:asciiTheme="majorHAnsi" w:hAnsiTheme="majorHAnsi" w:cstheme="majorHAnsi"/>
          <w:sz w:val="22"/>
        </w:rPr>
        <w:t xml:space="preserve"> de données actuels et futurs. </w:t>
      </w:r>
    </w:p>
    <w:p w14:paraId="29081407" w14:textId="77777777" w:rsidR="000B10BD" w:rsidRPr="00415395" w:rsidRDefault="00F06935" w:rsidP="003418C4">
      <w:pPr>
        <w:pStyle w:val="Heading3"/>
      </w:pPr>
      <w:bookmarkStart w:id="43" w:name="_Toc521922878"/>
      <w:bookmarkStart w:id="44" w:name="_Toc528324054"/>
      <w:bookmarkStart w:id="45" w:name="_Toc528576571"/>
      <w:bookmarkStart w:id="46" w:name="_Toc528845196"/>
      <w:r>
        <w:t>Catalyseurs</w:t>
      </w:r>
      <w:r w:rsidR="00F315C1">
        <w:t xml:space="preserve"> de la Stratégie :</w:t>
      </w:r>
      <w:bookmarkEnd w:id="43"/>
      <w:bookmarkEnd w:id="44"/>
      <w:bookmarkEnd w:id="45"/>
      <w:bookmarkEnd w:id="46"/>
      <w:r w:rsidR="00F315C1">
        <w:t xml:space="preserve"> </w:t>
      </w:r>
    </w:p>
    <w:p w14:paraId="35F507FE" w14:textId="77777777" w:rsidR="00FB19D0" w:rsidRPr="00360CA4" w:rsidRDefault="00741A5B" w:rsidP="003B72E3">
      <w:pPr>
        <w:pStyle w:val="ListParagraph"/>
        <w:numPr>
          <w:ilvl w:val="2"/>
          <w:numId w:val="27"/>
        </w:numPr>
        <w:rPr>
          <w:rFonts w:asciiTheme="majorHAnsi" w:hAnsiTheme="majorHAnsi" w:cstheme="majorHAnsi"/>
          <w:b/>
          <w:i/>
        </w:rPr>
      </w:pPr>
      <w:r w:rsidRPr="00360CA4">
        <w:rPr>
          <w:rFonts w:asciiTheme="majorHAnsi" w:hAnsiTheme="majorHAnsi" w:cstheme="majorHAnsi"/>
          <w:b/>
          <w:i/>
        </w:rPr>
        <w:t>Communiquer les produits de données</w:t>
      </w:r>
    </w:p>
    <w:p w14:paraId="14405EA3" w14:textId="77777777" w:rsidR="00621271" w:rsidRPr="00415395" w:rsidRDefault="00741A5B" w:rsidP="003B72E3">
      <w:pPr>
        <w:pStyle w:val="ListParagraph"/>
        <w:numPr>
          <w:ilvl w:val="0"/>
          <w:numId w:val="22"/>
        </w:numPr>
        <w:jc w:val="left"/>
        <w:rPr>
          <w:rFonts w:asciiTheme="majorHAnsi" w:hAnsiTheme="majorHAnsi" w:cstheme="majorHAnsi"/>
        </w:rPr>
      </w:pPr>
      <w:r>
        <w:rPr>
          <w:rFonts w:asciiTheme="majorHAnsi" w:hAnsiTheme="majorHAnsi" w:cstheme="majorHAnsi"/>
        </w:rPr>
        <w:t>Créer un catalogue de données à l’échelle de la CFP qui fournit aux utilisateurs de données quotidiens l’information sur le contexte, le but, le lieu, le format, le contenu et la fréquence des mises à jour.</w:t>
      </w:r>
    </w:p>
    <w:p w14:paraId="047B5202" w14:textId="77777777" w:rsidR="00FB19D0" w:rsidRPr="00415395" w:rsidRDefault="00621271" w:rsidP="003B72E3">
      <w:pPr>
        <w:pStyle w:val="ListParagraph"/>
        <w:numPr>
          <w:ilvl w:val="0"/>
          <w:numId w:val="22"/>
        </w:numPr>
        <w:rPr>
          <w:rFonts w:asciiTheme="majorHAnsi" w:hAnsiTheme="majorHAnsi" w:cstheme="majorHAnsi"/>
        </w:rPr>
      </w:pPr>
      <w:r>
        <w:rPr>
          <w:rFonts w:asciiTheme="majorHAnsi" w:hAnsiTheme="majorHAnsi" w:cstheme="majorHAnsi"/>
        </w:rPr>
        <w:t>Élaborer et communiquer des données de service pour les produits de données.</w:t>
      </w:r>
    </w:p>
    <w:p w14:paraId="0A05D273" w14:textId="77777777" w:rsidR="00621271" w:rsidRPr="003418C4" w:rsidRDefault="00621271" w:rsidP="00621271">
      <w:pPr>
        <w:pStyle w:val="ListParagraph"/>
        <w:ind w:left="1440"/>
        <w:rPr>
          <w:rFonts w:asciiTheme="majorHAnsi" w:hAnsiTheme="majorHAnsi" w:cstheme="majorHAnsi"/>
          <w:i/>
        </w:rPr>
      </w:pPr>
    </w:p>
    <w:p w14:paraId="1C673057" w14:textId="77777777" w:rsidR="00FB19D0" w:rsidRPr="00360CA4" w:rsidRDefault="00C2645B" w:rsidP="003B72E3">
      <w:pPr>
        <w:pStyle w:val="ListParagraph"/>
        <w:numPr>
          <w:ilvl w:val="2"/>
          <w:numId w:val="27"/>
        </w:numPr>
        <w:rPr>
          <w:rFonts w:asciiTheme="majorHAnsi" w:hAnsiTheme="majorHAnsi" w:cstheme="majorHAnsi"/>
          <w:b/>
          <w:i/>
        </w:rPr>
      </w:pPr>
      <w:r w:rsidRPr="00360CA4">
        <w:rPr>
          <w:rFonts w:asciiTheme="majorHAnsi" w:hAnsiTheme="majorHAnsi" w:cstheme="majorHAnsi"/>
          <w:b/>
          <w:i/>
        </w:rPr>
        <w:t>Promouvoir une culture axée sur le libre-service</w:t>
      </w:r>
    </w:p>
    <w:p w14:paraId="3DB633AD" w14:textId="77777777" w:rsidR="008464B4" w:rsidRPr="009203DE" w:rsidRDefault="00621271" w:rsidP="003B72E3">
      <w:pPr>
        <w:pStyle w:val="ListParagraph"/>
        <w:numPr>
          <w:ilvl w:val="0"/>
          <w:numId w:val="23"/>
        </w:numPr>
        <w:rPr>
          <w:rFonts w:asciiTheme="majorHAnsi" w:hAnsiTheme="majorHAnsi" w:cstheme="majorHAnsi"/>
        </w:rPr>
      </w:pPr>
      <w:r>
        <w:rPr>
          <w:rFonts w:asciiTheme="majorHAnsi" w:hAnsiTheme="majorHAnsi" w:cstheme="majorHAnsi"/>
        </w:rPr>
        <w:t>Communiquer et fournir de l’information sur les nouveaux produits de données (ensembles de données ouverts, rapports, etc.).</w:t>
      </w:r>
    </w:p>
    <w:p w14:paraId="11E944EC" w14:textId="77777777" w:rsidR="00FB19D0" w:rsidRPr="00622985" w:rsidRDefault="00FB19D0" w:rsidP="003B72E3">
      <w:pPr>
        <w:pStyle w:val="ListParagraph"/>
        <w:numPr>
          <w:ilvl w:val="0"/>
          <w:numId w:val="23"/>
        </w:numPr>
        <w:rPr>
          <w:rFonts w:asciiTheme="majorHAnsi" w:hAnsiTheme="majorHAnsi" w:cstheme="majorHAnsi"/>
        </w:rPr>
      </w:pPr>
      <w:r>
        <w:rPr>
          <w:rFonts w:asciiTheme="majorHAnsi" w:hAnsiTheme="majorHAnsi" w:cstheme="majorHAnsi"/>
        </w:rPr>
        <w:t>Explorer de nouvelles solutions pour mieux répondre aux besoins des utilisateurs, y compris de nouveaux outils de visualisation et des applications d’analyse de données.</w:t>
      </w:r>
    </w:p>
    <w:p w14:paraId="3D05D9BE" w14:textId="77777777" w:rsidR="00097B2E" w:rsidRDefault="00135C01" w:rsidP="003B72E3">
      <w:pPr>
        <w:pStyle w:val="ListParagraph"/>
        <w:numPr>
          <w:ilvl w:val="0"/>
          <w:numId w:val="23"/>
        </w:numPr>
        <w:rPr>
          <w:rFonts w:asciiTheme="majorHAnsi" w:hAnsiTheme="majorHAnsi" w:cstheme="majorHAnsi"/>
        </w:rPr>
      </w:pPr>
      <w:r>
        <w:rPr>
          <w:rFonts w:asciiTheme="majorHAnsi" w:hAnsiTheme="majorHAnsi" w:cstheme="majorHAnsi"/>
        </w:rPr>
        <w:lastRenderedPageBreak/>
        <w:t xml:space="preserve">Appuyer l’initiative pour un gouvernement ouvert en créant une culture « ouverte par défaut » à la CFP. </w:t>
      </w:r>
    </w:p>
    <w:p w14:paraId="247F16DB" w14:textId="77777777" w:rsidR="00DE4AF8" w:rsidRDefault="00097B2E" w:rsidP="00DE4AF8">
      <w:pPr>
        <w:pStyle w:val="ListParagraph"/>
        <w:numPr>
          <w:ilvl w:val="0"/>
          <w:numId w:val="23"/>
        </w:numPr>
        <w:rPr>
          <w:rFonts w:asciiTheme="majorHAnsi" w:hAnsiTheme="majorHAnsi" w:cstheme="majorHAnsi"/>
        </w:rPr>
      </w:pPr>
      <w:r>
        <w:rPr>
          <w:rFonts w:asciiTheme="majorHAnsi" w:hAnsiTheme="majorHAnsi" w:cstheme="majorHAnsi"/>
        </w:rPr>
        <w:t>Mobiliser des intervenants afin de fournir des données à valeur ajoutée.</w:t>
      </w:r>
    </w:p>
    <w:p w14:paraId="3A9C9851" w14:textId="77777777" w:rsidR="0085164E" w:rsidRPr="0085164E" w:rsidRDefault="0085164E" w:rsidP="0085164E">
      <w:pPr>
        <w:pStyle w:val="ListParagraph"/>
        <w:rPr>
          <w:rFonts w:asciiTheme="majorHAnsi" w:hAnsiTheme="majorHAnsi" w:cstheme="majorHAnsi"/>
        </w:rPr>
      </w:pPr>
    </w:p>
    <w:p w14:paraId="248C1D37" w14:textId="77777777" w:rsidR="00525FE6" w:rsidRPr="003418C4" w:rsidRDefault="00C129D3" w:rsidP="003B72E3">
      <w:pPr>
        <w:pStyle w:val="ListParagraph"/>
        <w:numPr>
          <w:ilvl w:val="2"/>
          <w:numId w:val="27"/>
        </w:numPr>
        <w:rPr>
          <w:rFonts w:asciiTheme="majorHAnsi" w:hAnsiTheme="majorHAnsi" w:cstheme="majorHAnsi"/>
          <w:b/>
          <w:i/>
        </w:rPr>
      </w:pPr>
      <w:r>
        <w:rPr>
          <w:rFonts w:asciiTheme="majorHAnsi" w:hAnsiTheme="majorHAnsi" w:cstheme="majorHAnsi"/>
          <w:b/>
          <w:i/>
        </w:rPr>
        <w:t>Renforcer les capacités</w:t>
      </w:r>
    </w:p>
    <w:p w14:paraId="2E498CE4" w14:textId="77777777" w:rsidR="004847FD" w:rsidRDefault="004847FD" w:rsidP="007D6BE0">
      <w:pPr>
        <w:pStyle w:val="ListParagraph"/>
        <w:numPr>
          <w:ilvl w:val="0"/>
          <w:numId w:val="26"/>
        </w:numPr>
        <w:rPr>
          <w:rFonts w:asciiTheme="majorHAnsi" w:hAnsiTheme="majorHAnsi" w:cstheme="majorHAnsi"/>
        </w:rPr>
      </w:pPr>
      <w:r>
        <w:t xml:space="preserve">Mener une enquête de référence à l’échelle de la CFP afin d’aider à établir un niveau de compréhension sur les données, les compétences et les questions liées aux données et à favoriser l’établissement des domaines prioritaires et des étapes de la planification.  </w:t>
      </w:r>
    </w:p>
    <w:p w14:paraId="56AECC5C" w14:textId="77777777" w:rsidR="000B10BD" w:rsidRPr="00415395" w:rsidRDefault="000B10BD" w:rsidP="007D6BE0">
      <w:pPr>
        <w:pStyle w:val="ListParagraph"/>
        <w:numPr>
          <w:ilvl w:val="0"/>
          <w:numId w:val="24"/>
        </w:numPr>
        <w:rPr>
          <w:rFonts w:asciiTheme="majorHAnsi" w:hAnsiTheme="majorHAnsi" w:cstheme="majorHAnsi"/>
          <w:b/>
        </w:rPr>
      </w:pPr>
      <w:r>
        <w:t>Élaborer une série de modules d’apprentissage afin de susciter l’intérêt et de renforcer les connaissances des données et des disciplines de gestion des données à la CFP.</w:t>
      </w:r>
      <w:r>
        <w:rPr>
          <w:highlight w:val="yellow"/>
        </w:rPr>
        <w:t xml:space="preserve"> </w:t>
      </w:r>
    </w:p>
    <w:p w14:paraId="0AE2D4D8" w14:textId="77777777" w:rsidR="008464B4" w:rsidRPr="00415395" w:rsidRDefault="00525FE6" w:rsidP="007D6BE0">
      <w:pPr>
        <w:pStyle w:val="ListParagraph"/>
        <w:numPr>
          <w:ilvl w:val="0"/>
          <w:numId w:val="24"/>
        </w:numPr>
        <w:spacing w:after="0"/>
        <w:ind w:left="714" w:hanging="357"/>
      </w:pPr>
      <w:r>
        <w:t>Organiser des ateliers à l’intention des utilisateurs de données de la CFP portant sur la façon d’interpréter et d’appliquer les données de dotation, y compris les méthodes et les limitations.</w:t>
      </w:r>
    </w:p>
    <w:p w14:paraId="3B0C19C4" w14:textId="77777777" w:rsidR="000B10BD" w:rsidRPr="00415395" w:rsidRDefault="00C2645B" w:rsidP="007D6BE0">
      <w:pPr>
        <w:pStyle w:val="ListParagraph"/>
        <w:numPr>
          <w:ilvl w:val="0"/>
          <w:numId w:val="24"/>
        </w:numPr>
        <w:spacing w:after="0"/>
      </w:pPr>
      <w:r>
        <w:t>Offrir des cours de recyclage sur la gestion de l’information aux employés de la CFP.</w:t>
      </w:r>
    </w:p>
    <w:p w14:paraId="5A454FFD" w14:textId="77777777" w:rsidR="00741A5B" w:rsidRPr="00937035" w:rsidRDefault="00741A5B" w:rsidP="007D6BE0">
      <w:pPr>
        <w:pStyle w:val="ListParagraph"/>
        <w:numPr>
          <w:ilvl w:val="0"/>
          <w:numId w:val="24"/>
        </w:numPr>
        <w:spacing w:after="0"/>
        <w:rPr>
          <w:sz w:val="24"/>
        </w:rPr>
      </w:pPr>
      <w:r>
        <w:t>Analyser les demandes de données reçues dans la DS</w:t>
      </w:r>
      <w:r w:rsidR="00F06935">
        <w:t>DA</w:t>
      </w:r>
      <w:r>
        <w:t xml:space="preserve"> afin d’orienter les produits de données futurs et les normes de service.</w:t>
      </w:r>
    </w:p>
    <w:p w14:paraId="301A8A4F" w14:textId="77777777" w:rsidR="009E605F" w:rsidRPr="00C129D3" w:rsidRDefault="00062299" w:rsidP="007D6BE0">
      <w:pPr>
        <w:pStyle w:val="ListParagraph"/>
        <w:numPr>
          <w:ilvl w:val="0"/>
          <w:numId w:val="24"/>
        </w:numPr>
        <w:rPr>
          <w:rFonts w:asciiTheme="majorHAnsi" w:hAnsiTheme="majorHAnsi" w:cstheme="majorHAnsi"/>
          <w:b/>
        </w:rPr>
      </w:pPr>
      <w:r>
        <w:t>Élaborer et mettre en œuvre un cadre de gestion des ressources humaines fondé sur les compétences pour les analystes de données et les scientifiques des données.</w:t>
      </w:r>
    </w:p>
    <w:p w14:paraId="0538B3AC" w14:textId="77777777" w:rsidR="00C129D3" w:rsidRPr="009E605F" w:rsidRDefault="00C129D3" w:rsidP="00C129D3">
      <w:pPr>
        <w:pStyle w:val="ListParagraph"/>
        <w:rPr>
          <w:rFonts w:asciiTheme="majorHAnsi" w:hAnsiTheme="majorHAnsi" w:cstheme="majorHAnsi"/>
          <w:b/>
        </w:rPr>
      </w:pPr>
    </w:p>
    <w:p w14:paraId="6B517F16" w14:textId="77777777" w:rsidR="00525FE6" w:rsidRDefault="00525FE6">
      <w:pPr>
        <w:rPr>
          <w:rFonts w:ascii="ArialMT" w:hAnsi="ArialMT" w:cs="ArialMT"/>
          <w:color w:val="00A995" w:themeColor="accent1"/>
          <w:sz w:val="34"/>
          <w:szCs w:val="34"/>
        </w:rPr>
      </w:pPr>
      <w:bookmarkStart w:id="47" w:name="_Toc512263604"/>
      <w:bookmarkStart w:id="48" w:name="_Ref503529511"/>
      <w:bookmarkStart w:id="49" w:name="_Ref503529525"/>
      <w:bookmarkStart w:id="50" w:name="_Toc503960214"/>
      <w:bookmarkStart w:id="51" w:name="_Toc502229018"/>
      <w:bookmarkStart w:id="52" w:name="_Toc500667718"/>
      <w:r>
        <w:br w:type="page"/>
      </w:r>
    </w:p>
    <w:p w14:paraId="30855246" w14:textId="77777777" w:rsidR="00397582" w:rsidRPr="003B0CFB" w:rsidRDefault="00EC2A32" w:rsidP="003B0CFB">
      <w:pPr>
        <w:pStyle w:val="Heading2"/>
        <w:rPr>
          <w:rFonts w:eastAsiaTheme="minorHAnsi"/>
        </w:rPr>
      </w:pPr>
      <w:bookmarkStart w:id="53" w:name="_Toc528845197"/>
      <w:r>
        <w:lastRenderedPageBreak/>
        <w:t>Annexe A - Structure de gouvernance pour la Stratégie de gestion des données</w:t>
      </w:r>
      <w:bookmarkEnd w:id="47"/>
      <w:bookmarkEnd w:id="53"/>
    </w:p>
    <w:bookmarkEnd w:id="13"/>
    <w:bookmarkEnd w:id="14"/>
    <w:bookmarkEnd w:id="15"/>
    <w:bookmarkEnd w:id="48"/>
    <w:bookmarkEnd w:id="49"/>
    <w:bookmarkEnd w:id="50"/>
    <w:bookmarkEnd w:id="51"/>
    <w:bookmarkEnd w:id="52"/>
    <w:p w14:paraId="05B214D6" w14:textId="77777777" w:rsidR="00AB3798" w:rsidRDefault="00AB3798" w:rsidP="007A2BA2">
      <w:pPr>
        <w:rPr>
          <w:rFonts w:asciiTheme="majorHAnsi" w:hAnsiTheme="majorHAnsi" w:cstheme="majorHAnsi"/>
          <w:sz w:val="22"/>
        </w:rPr>
      </w:pPr>
    </w:p>
    <w:p w14:paraId="1BD5FB35" w14:textId="77777777" w:rsidR="0085164E" w:rsidRPr="00F03AE6" w:rsidRDefault="00B667DC">
      <w:pPr>
        <w:rPr>
          <w:rFonts w:ascii="Calibri" w:eastAsia="Calibri" w:hAnsi="Calibri" w:cs="Times New Roman"/>
          <w:sz w:val="22"/>
          <w:highlight w:val="yellow"/>
          <w:lang w:eastAsia="en-US" w:bidi="ar-SA"/>
        </w:rPr>
      </w:pPr>
      <w:r w:rsidRPr="00F835B9">
        <w:rPr>
          <w:rFonts w:ascii="Calibri" w:eastAsia="Calibri" w:hAnsi="Calibri" w:cs="Times New Roman"/>
          <w:sz w:val="22"/>
          <w:lang w:eastAsia="en-US" w:bidi="ar-SA"/>
        </w:rPr>
        <w:object w:dxaOrig="8445" w:dyaOrig="8295" w14:anchorId="1BF8E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ersion textuelle suit." style="width:443.35pt;height:438pt" o:ole="">
            <v:imagedata r:id="rId23" o:title=""/>
          </v:shape>
          <o:OLEObject Type="Embed" ProgID="Visio.Drawing.15" ShapeID="_x0000_i1025" DrawAspect="Content" ObjectID="_1617782747" r:id="rId24"/>
        </w:object>
      </w:r>
    </w:p>
    <w:p w14:paraId="7B12F332" w14:textId="77777777" w:rsidR="0085164E" w:rsidRPr="00C66507" w:rsidRDefault="00B667DC" w:rsidP="0085164E">
      <w:pPr>
        <w:spacing w:after="0"/>
        <w:rPr>
          <w:rFonts w:ascii="Arial" w:hAnsi="Arial"/>
          <w:sz w:val="22"/>
        </w:rPr>
      </w:pPr>
      <w:r w:rsidRPr="00C66507">
        <w:rPr>
          <w:rFonts w:ascii="Arial" w:hAnsi="Arial"/>
          <w:sz w:val="22"/>
        </w:rPr>
        <w:t>Structure hiérarchique</w:t>
      </w:r>
    </w:p>
    <w:p w14:paraId="2108C84A" w14:textId="77777777" w:rsidR="0085164E" w:rsidRPr="00C66507" w:rsidRDefault="0085164E" w:rsidP="0085164E">
      <w:pPr>
        <w:spacing w:after="0"/>
        <w:rPr>
          <w:rFonts w:ascii="Arial" w:hAnsi="Arial"/>
          <w:sz w:val="22"/>
        </w:rPr>
      </w:pPr>
      <w:r w:rsidRPr="00C66507">
        <w:rPr>
          <w:rFonts w:ascii="Arial" w:hAnsi="Arial"/>
          <w:sz w:val="22"/>
        </w:rPr>
        <w:t xml:space="preserve">1. Groupes de travail sur </w:t>
      </w:r>
      <w:r w:rsidR="003B67D1" w:rsidRPr="00C66507">
        <w:rPr>
          <w:rFonts w:ascii="Arial" w:hAnsi="Arial"/>
          <w:sz w:val="22"/>
        </w:rPr>
        <w:t>le gouvernement ouvert rapporte au</w:t>
      </w:r>
      <w:r w:rsidRPr="00C66507">
        <w:rPr>
          <w:rFonts w:ascii="Arial" w:hAnsi="Arial"/>
          <w:sz w:val="22"/>
        </w:rPr>
        <w:t xml:space="preserve"> Secrétariat du gouvernement ouvert</w:t>
      </w:r>
    </w:p>
    <w:p w14:paraId="68F893ED" w14:textId="77777777" w:rsidR="0085164E" w:rsidRPr="00C66507" w:rsidRDefault="0085164E" w:rsidP="0085164E">
      <w:pPr>
        <w:spacing w:after="0"/>
        <w:rPr>
          <w:rFonts w:ascii="Arial" w:hAnsi="Arial"/>
          <w:sz w:val="22"/>
        </w:rPr>
      </w:pPr>
      <w:r w:rsidRPr="00C66507">
        <w:rPr>
          <w:rFonts w:ascii="Arial" w:hAnsi="Arial"/>
          <w:sz w:val="22"/>
        </w:rPr>
        <w:t xml:space="preserve">2. Secrétariat du gouvernement ouvert </w:t>
      </w:r>
      <w:r w:rsidR="003B67D1" w:rsidRPr="00C66507">
        <w:rPr>
          <w:rFonts w:ascii="Arial" w:hAnsi="Arial"/>
          <w:sz w:val="22"/>
        </w:rPr>
        <w:t>rapporte au</w:t>
      </w:r>
      <w:r w:rsidRPr="00C66507">
        <w:rPr>
          <w:rFonts w:ascii="Arial" w:hAnsi="Arial"/>
          <w:sz w:val="22"/>
        </w:rPr>
        <w:t xml:space="preserve"> Champion des données et du gouvernement ouvert</w:t>
      </w:r>
      <w:r w:rsidR="00A0660C" w:rsidRPr="00C66507">
        <w:rPr>
          <w:rFonts w:ascii="Arial" w:hAnsi="Arial"/>
          <w:sz w:val="22"/>
        </w:rPr>
        <w:t xml:space="preserve"> (vice-président du secteur de la surveillance et des enquêtes)</w:t>
      </w:r>
    </w:p>
    <w:p w14:paraId="234FCB28" w14:textId="77777777" w:rsidR="0085164E" w:rsidRPr="00C66507" w:rsidRDefault="0085164E" w:rsidP="0085164E">
      <w:pPr>
        <w:spacing w:after="0"/>
        <w:rPr>
          <w:rFonts w:ascii="Arial" w:hAnsi="Arial"/>
          <w:sz w:val="22"/>
        </w:rPr>
      </w:pPr>
      <w:r w:rsidRPr="00C66507">
        <w:rPr>
          <w:rFonts w:ascii="Arial" w:hAnsi="Arial"/>
          <w:sz w:val="22"/>
        </w:rPr>
        <w:lastRenderedPageBreak/>
        <w:t>3. Champion des données et du gouverneme</w:t>
      </w:r>
      <w:r w:rsidR="003B67D1" w:rsidRPr="00C66507">
        <w:rPr>
          <w:rFonts w:ascii="Arial" w:hAnsi="Arial"/>
          <w:sz w:val="22"/>
        </w:rPr>
        <w:t>nt ouvert</w:t>
      </w:r>
      <w:r w:rsidR="00A0660C" w:rsidRPr="00C66507">
        <w:rPr>
          <w:rFonts w:ascii="Arial" w:hAnsi="Arial"/>
          <w:sz w:val="22"/>
        </w:rPr>
        <w:t xml:space="preserve"> (vice-président du secteur de la surveillance et des enquêtes)</w:t>
      </w:r>
      <w:r w:rsidR="003B67D1" w:rsidRPr="00C66507">
        <w:rPr>
          <w:rFonts w:ascii="Arial" w:hAnsi="Arial"/>
          <w:sz w:val="22"/>
        </w:rPr>
        <w:t xml:space="preserve"> rapporte au </w:t>
      </w:r>
      <w:r w:rsidRPr="00C66507">
        <w:rPr>
          <w:rFonts w:ascii="Arial" w:hAnsi="Arial"/>
          <w:sz w:val="22"/>
        </w:rPr>
        <w:t>président</w:t>
      </w:r>
    </w:p>
    <w:p w14:paraId="47319220" w14:textId="77777777" w:rsidR="0085164E" w:rsidRPr="00C66507" w:rsidRDefault="0085164E" w:rsidP="0085164E">
      <w:pPr>
        <w:spacing w:after="0"/>
        <w:rPr>
          <w:rFonts w:ascii="Arial" w:hAnsi="Arial"/>
          <w:sz w:val="22"/>
        </w:rPr>
      </w:pPr>
    </w:p>
    <w:p w14:paraId="53BFB23C" w14:textId="77777777" w:rsidR="0085164E" w:rsidRPr="00C66507" w:rsidRDefault="0085164E" w:rsidP="0085164E">
      <w:pPr>
        <w:spacing w:after="0"/>
        <w:rPr>
          <w:rFonts w:ascii="Arial" w:hAnsi="Arial"/>
          <w:sz w:val="22"/>
        </w:rPr>
      </w:pPr>
      <w:r w:rsidRPr="00C66507">
        <w:rPr>
          <w:rFonts w:ascii="Arial" w:hAnsi="Arial"/>
          <w:sz w:val="22"/>
        </w:rPr>
        <w:t xml:space="preserve">1. Groupes de travail sur la gestion des données </w:t>
      </w:r>
      <w:r w:rsidR="003B67D1" w:rsidRPr="00C66507">
        <w:rPr>
          <w:rFonts w:ascii="Arial" w:hAnsi="Arial"/>
          <w:sz w:val="22"/>
        </w:rPr>
        <w:t>rapporte au</w:t>
      </w:r>
      <w:r w:rsidRPr="00C66507">
        <w:rPr>
          <w:rFonts w:ascii="Arial" w:hAnsi="Arial"/>
          <w:sz w:val="22"/>
        </w:rPr>
        <w:t xml:space="preserve"> Bureau de gestion des données</w:t>
      </w:r>
    </w:p>
    <w:p w14:paraId="7C25951D" w14:textId="77777777" w:rsidR="0085164E" w:rsidRPr="00C66507" w:rsidRDefault="0085164E" w:rsidP="0085164E">
      <w:pPr>
        <w:spacing w:after="0"/>
        <w:rPr>
          <w:rFonts w:ascii="Arial" w:hAnsi="Arial"/>
          <w:sz w:val="22"/>
        </w:rPr>
      </w:pPr>
      <w:r w:rsidRPr="00C66507">
        <w:rPr>
          <w:rFonts w:ascii="Arial" w:hAnsi="Arial"/>
          <w:sz w:val="22"/>
        </w:rPr>
        <w:t>2. Bureau de gestion des données r</w:t>
      </w:r>
      <w:r w:rsidR="003B67D1" w:rsidRPr="00C66507">
        <w:rPr>
          <w:rFonts w:ascii="Arial" w:hAnsi="Arial"/>
          <w:sz w:val="22"/>
        </w:rPr>
        <w:t xml:space="preserve">apporte </w:t>
      </w:r>
      <w:r w:rsidRPr="00C66507">
        <w:rPr>
          <w:rFonts w:ascii="Arial" w:hAnsi="Arial"/>
          <w:sz w:val="22"/>
        </w:rPr>
        <w:t>au Champion des données et du gouvernement ouvert</w:t>
      </w:r>
      <w:r w:rsidR="00A0660C" w:rsidRPr="00C66507">
        <w:rPr>
          <w:rFonts w:ascii="Arial" w:hAnsi="Arial"/>
          <w:sz w:val="22"/>
        </w:rPr>
        <w:t>(vice-président du secteur de la surveillance et des enquêtes)</w:t>
      </w:r>
    </w:p>
    <w:p w14:paraId="48D67A43" w14:textId="77777777" w:rsidR="0085164E" w:rsidRPr="00C66507" w:rsidRDefault="0085164E" w:rsidP="0085164E">
      <w:pPr>
        <w:spacing w:after="0"/>
        <w:rPr>
          <w:rFonts w:ascii="Arial" w:hAnsi="Arial"/>
          <w:sz w:val="22"/>
        </w:rPr>
      </w:pPr>
      <w:r w:rsidRPr="00C66507">
        <w:rPr>
          <w:rFonts w:ascii="Arial" w:hAnsi="Arial"/>
          <w:sz w:val="22"/>
        </w:rPr>
        <w:t>3. Champion des donné</w:t>
      </w:r>
      <w:r w:rsidR="003B67D1" w:rsidRPr="00C66507">
        <w:rPr>
          <w:rFonts w:ascii="Arial" w:hAnsi="Arial"/>
          <w:sz w:val="22"/>
        </w:rPr>
        <w:t>es et du gouvernement ouvert</w:t>
      </w:r>
      <w:r w:rsidR="00A0660C" w:rsidRPr="00C66507">
        <w:rPr>
          <w:rFonts w:ascii="Arial" w:hAnsi="Arial"/>
          <w:sz w:val="22"/>
        </w:rPr>
        <w:t xml:space="preserve"> (vice-président du secteur de la surveillance et des enquêtes)</w:t>
      </w:r>
      <w:r w:rsidR="003B67D1" w:rsidRPr="00C66507">
        <w:rPr>
          <w:rFonts w:ascii="Arial" w:hAnsi="Arial"/>
          <w:sz w:val="22"/>
        </w:rPr>
        <w:t xml:space="preserve"> rapporte au</w:t>
      </w:r>
      <w:r w:rsidRPr="00C66507">
        <w:rPr>
          <w:rFonts w:ascii="Arial" w:hAnsi="Arial"/>
          <w:sz w:val="22"/>
        </w:rPr>
        <w:t xml:space="preserve"> président</w:t>
      </w:r>
    </w:p>
    <w:p w14:paraId="671D3893" w14:textId="77777777" w:rsidR="0085164E" w:rsidRPr="00C66507" w:rsidRDefault="0085164E" w:rsidP="0085164E">
      <w:pPr>
        <w:spacing w:after="0"/>
        <w:rPr>
          <w:rFonts w:ascii="Arial" w:hAnsi="Arial"/>
          <w:sz w:val="22"/>
        </w:rPr>
      </w:pPr>
    </w:p>
    <w:p w14:paraId="6710503E" w14:textId="77777777" w:rsidR="0085164E" w:rsidRPr="00C66507" w:rsidRDefault="0085164E" w:rsidP="0085164E">
      <w:pPr>
        <w:spacing w:after="0"/>
        <w:rPr>
          <w:rFonts w:ascii="Arial" w:hAnsi="Arial"/>
          <w:sz w:val="22"/>
        </w:rPr>
      </w:pPr>
      <w:r w:rsidRPr="00C66507">
        <w:rPr>
          <w:rFonts w:ascii="Arial" w:hAnsi="Arial"/>
          <w:sz w:val="22"/>
        </w:rPr>
        <w:t xml:space="preserve">1. Comité consultatif sur les données et le gouvernement ouvert </w:t>
      </w:r>
      <w:r w:rsidR="003B67D1" w:rsidRPr="00C66507">
        <w:rPr>
          <w:rFonts w:ascii="Arial" w:hAnsi="Arial"/>
          <w:sz w:val="22"/>
        </w:rPr>
        <w:t>rapporte au</w:t>
      </w:r>
      <w:r w:rsidRPr="00C66507">
        <w:rPr>
          <w:rFonts w:ascii="Arial" w:hAnsi="Arial"/>
          <w:sz w:val="22"/>
        </w:rPr>
        <w:t xml:space="preserve"> Comité mixte GI/TI et Comité d’intégration</w:t>
      </w:r>
    </w:p>
    <w:p w14:paraId="77E3497D" w14:textId="77777777" w:rsidR="0085164E" w:rsidRPr="00C66507" w:rsidRDefault="0085164E" w:rsidP="0085164E">
      <w:pPr>
        <w:spacing w:after="0"/>
        <w:rPr>
          <w:rFonts w:ascii="Arial" w:hAnsi="Arial"/>
          <w:sz w:val="22"/>
        </w:rPr>
      </w:pPr>
      <w:r w:rsidRPr="00C66507">
        <w:rPr>
          <w:rFonts w:ascii="Arial" w:hAnsi="Arial"/>
          <w:sz w:val="22"/>
        </w:rPr>
        <w:t>2. Comité mixte GI/TI et Comité d’intégration rapporte au comité exécutif de gestion</w:t>
      </w:r>
    </w:p>
    <w:p w14:paraId="658740FC" w14:textId="77777777" w:rsidR="0085164E" w:rsidRPr="00C66507" w:rsidRDefault="0085164E" w:rsidP="0085164E">
      <w:pPr>
        <w:spacing w:after="0"/>
        <w:rPr>
          <w:rFonts w:ascii="Arial" w:hAnsi="Arial"/>
          <w:sz w:val="22"/>
        </w:rPr>
      </w:pPr>
    </w:p>
    <w:p w14:paraId="10D4F810" w14:textId="77777777" w:rsidR="0085164E" w:rsidRPr="00C66507" w:rsidRDefault="0085164E" w:rsidP="0085164E">
      <w:pPr>
        <w:spacing w:after="0"/>
        <w:rPr>
          <w:rFonts w:ascii="Arial" w:hAnsi="Arial"/>
          <w:sz w:val="22"/>
        </w:rPr>
      </w:pPr>
      <w:r w:rsidRPr="00C66507">
        <w:rPr>
          <w:rFonts w:ascii="Arial" w:hAnsi="Arial"/>
          <w:sz w:val="22"/>
        </w:rPr>
        <w:t>Adhésion</w:t>
      </w:r>
    </w:p>
    <w:p w14:paraId="553D4299" w14:textId="77777777" w:rsidR="0085164E" w:rsidRPr="00C66507" w:rsidRDefault="0085164E" w:rsidP="0085164E">
      <w:pPr>
        <w:spacing w:after="0"/>
        <w:rPr>
          <w:rFonts w:ascii="Arial" w:hAnsi="Arial"/>
          <w:sz w:val="22"/>
        </w:rPr>
      </w:pPr>
      <w:r w:rsidRPr="00C66507">
        <w:rPr>
          <w:rFonts w:ascii="Arial" w:hAnsi="Arial"/>
          <w:sz w:val="22"/>
        </w:rPr>
        <w:t>1. La composition du comité exécutif de gestion comprend:</w:t>
      </w:r>
    </w:p>
    <w:p w14:paraId="2A30B7AF" w14:textId="77777777" w:rsidR="0085164E" w:rsidRPr="00C66507" w:rsidRDefault="0085164E" w:rsidP="0085164E">
      <w:pPr>
        <w:spacing w:after="0"/>
        <w:rPr>
          <w:rFonts w:ascii="Arial" w:hAnsi="Arial"/>
          <w:sz w:val="22"/>
        </w:rPr>
      </w:pPr>
      <w:r w:rsidRPr="00C66507">
        <w:rPr>
          <w:rFonts w:ascii="Arial" w:hAnsi="Arial"/>
          <w:sz w:val="22"/>
        </w:rPr>
        <w:t>- Président</w:t>
      </w:r>
    </w:p>
    <w:p w14:paraId="2A036EB8" w14:textId="77777777" w:rsidR="0085164E" w:rsidRPr="00C66507" w:rsidRDefault="0085164E" w:rsidP="0085164E">
      <w:pPr>
        <w:spacing w:after="0"/>
        <w:rPr>
          <w:rFonts w:ascii="Arial" w:hAnsi="Arial"/>
          <w:sz w:val="22"/>
        </w:rPr>
      </w:pPr>
      <w:r w:rsidRPr="00C66507">
        <w:rPr>
          <w:rFonts w:ascii="Arial" w:hAnsi="Arial"/>
          <w:sz w:val="22"/>
        </w:rPr>
        <w:t>- Champion des données et du gouvernement ouvert</w:t>
      </w:r>
      <w:r w:rsidR="00A0660C" w:rsidRPr="00C66507">
        <w:rPr>
          <w:rFonts w:ascii="Arial" w:hAnsi="Arial"/>
          <w:sz w:val="22"/>
        </w:rPr>
        <w:t xml:space="preserve"> (vice-président du secteur de la surveillance et des enquêtes)</w:t>
      </w:r>
    </w:p>
    <w:p w14:paraId="60BB60E2" w14:textId="77777777" w:rsidR="0085164E" w:rsidRPr="00C66507" w:rsidRDefault="0085164E" w:rsidP="0085164E">
      <w:pPr>
        <w:spacing w:after="0"/>
        <w:rPr>
          <w:rFonts w:ascii="Arial" w:hAnsi="Arial"/>
          <w:sz w:val="22"/>
        </w:rPr>
      </w:pPr>
    </w:p>
    <w:p w14:paraId="0F80A85A" w14:textId="77777777" w:rsidR="0085164E" w:rsidRPr="00C66507" w:rsidRDefault="0085164E" w:rsidP="0085164E">
      <w:pPr>
        <w:spacing w:after="0"/>
        <w:rPr>
          <w:rFonts w:ascii="Arial" w:hAnsi="Arial"/>
          <w:sz w:val="22"/>
        </w:rPr>
      </w:pPr>
      <w:r w:rsidRPr="00C66507">
        <w:rPr>
          <w:rFonts w:ascii="Arial" w:hAnsi="Arial"/>
          <w:sz w:val="22"/>
        </w:rPr>
        <w:t>2. Comité mixte GI/TI et Comité d’intégration comprend:</w:t>
      </w:r>
    </w:p>
    <w:p w14:paraId="55C74DE6" w14:textId="77777777" w:rsidR="0085164E" w:rsidRPr="00C66507" w:rsidRDefault="0085164E" w:rsidP="0085164E">
      <w:pPr>
        <w:spacing w:after="0"/>
        <w:rPr>
          <w:rFonts w:ascii="Arial" w:hAnsi="Arial"/>
          <w:sz w:val="22"/>
        </w:rPr>
      </w:pPr>
      <w:r w:rsidRPr="00C66507">
        <w:rPr>
          <w:rFonts w:ascii="Arial" w:hAnsi="Arial"/>
          <w:sz w:val="22"/>
        </w:rPr>
        <w:t>- Comité de gestion de l'information et technologie de l'information</w:t>
      </w:r>
    </w:p>
    <w:p w14:paraId="5A045C27" w14:textId="77777777" w:rsidR="0085164E" w:rsidRPr="00C66507" w:rsidRDefault="0085164E" w:rsidP="0085164E">
      <w:pPr>
        <w:spacing w:after="0"/>
        <w:rPr>
          <w:rFonts w:ascii="Arial" w:hAnsi="Arial"/>
          <w:sz w:val="22"/>
        </w:rPr>
      </w:pPr>
      <w:r w:rsidRPr="00C66507">
        <w:rPr>
          <w:rFonts w:ascii="Arial" w:hAnsi="Arial"/>
          <w:sz w:val="22"/>
        </w:rPr>
        <w:t>- Comité d'intégration</w:t>
      </w:r>
    </w:p>
    <w:p w14:paraId="745017B6" w14:textId="77777777" w:rsidR="0085164E" w:rsidRPr="00C66507" w:rsidRDefault="0085164E" w:rsidP="0085164E">
      <w:pPr>
        <w:spacing w:after="0"/>
        <w:rPr>
          <w:rFonts w:ascii="Arial" w:hAnsi="Arial"/>
          <w:sz w:val="22"/>
        </w:rPr>
      </w:pPr>
    </w:p>
    <w:p w14:paraId="3FAA8F43" w14:textId="77777777" w:rsidR="0085164E" w:rsidRPr="00C66507" w:rsidRDefault="0085164E" w:rsidP="0085164E">
      <w:pPr>
        <w:spacing w:after="0"/>
        <w:rPr>
          <w:rFonts w:ascii="Arial" w:hAnsi="Arial"/>
          <w:sz w:val="22"/>
        </w:rPr>
      </w:pPr>
      <w:r w:rsidRPr="00C66507">
        <w:rPr>
          <w:rFonts w:ascii="Arial" w:hAnsi="Arial"/>
          <w:sz w:val="22"/>
        </w:rPr>
        <w:t>3. Comité de gestion de l'information et technologie de l'information comprend:</w:t>
      </w:r>
    </w:p>
    <w:p w14:paraId="0D46D7C8" w14:textId="77777777" w:rsidR="0085164E" w:rsidRPr="00C66507" w:rsidRDefault="0085164E" w:rsidP="0085164E">
      <w:pPr>
        <w:spacing w:after="0"/>
        <w:rPr>
          <w:rFonts w:ascii="Arial" w:hAnsi="Arial"/>
          <w:sz w:val="22"/>
        </w:rPr>
      </w:pPr>
      <w:r w:rsidRPr="00C66507">
        <w:rPr>
          <w:rFonts w:ascii="Arial" w:hAnsi="Arial"/>
          <w:sz w:val="22"/>
        </w:rPr>
        <w:t>- Champion des données et du gouvernement ouvert</w:t>
      </w:r>
      <w:r w:rsidR="00A0660C" w:rsidRPr="00C66507">
        <w:rPr>
          <w:rFonts w:ascii="Arial" w:hAnsi="Arial"/>
          <w:sz w:val="22"/>
        </w:rPr>
        <w:t xml:space="preserve"> (vice-président du secteur de la surveillance et des enquêtes)</w:t>
      </w:r>
    </w:p>
    <w:p w14:paraId="71D0D058" w14:textId="77777777" w:rsidR="0085164E" w:rsidRPr="00C66507" w:rsidRDefault="0085164E" w:rsidP="0085164E">
      <w:pPr>
        <w:spacing w:after="0"/>
        <w:rPr>
          <w:rFonts w:ascii="Arial" w:hAnsi="Arial"/>
          <w:sz w:val="22"/>
        </w:rPr>
      </w:pPr>
      <w:r w:rsidRPr="00C66507">
        <w:rPr>
          <w:rFonts w:ascii="Arial" w:hAnsi="Arial"/>
          <w:sz w:val="22"/>
        </w:rPr>
        <w:t>- Cadre supérieur responsable de la gestion de l'information / DPI</w:t>
      </w:r>
    </w:p>
    <w:p w14:paraId="72D5C51D" w14:textId="77777777" w:rsidR="0085164E" w:rsidRPr="00C66507" w:rsidRDefault="0085164E" w:rsidP="0085164E">
      <w:pPr>
        <w:spacing w:after="0"/>
        <w:rPr>
          <w:rFonts w:ascii="Arial" w:hAnsi="Arial"/>
          <w:sz w:val="22"/>
        </w:rPr>
      </w:pPr>
    </w:p>
    <w:p w14:paraId="0DF7E133" w14:textId="77777777" w:rsidR="0085164E" w:rsidRPr="00C66507" w:rsidRDefault="0085164E" w:rsidP="0085164E">
      <w:pPr>
        <w:spacing w:after="0"/>
        <w:rPr>
          <w:rFonts w:ascii="Arial" w:hAnsi="Arial"/>
          <w:sz w:val="22"/>
        </w:rPr>
      </w:pPr>
      <w:r w:rsidRPr="00C66507">
        <w:rPr>
          <w:rFonts w:ascii="Arial" w:hAnsi="Arial"/>
          <w:sz w:val="22"/>
        </w:rPr>
        <w:t>4. Comité consultatif sur les données et le gouvernement ouvert comprend:</w:t>
      </w:r>
    </w:p>
    <w:p w14:paraId="79871826" w14:textId="77777777" w:rsidR="0085164E" w:rsidRPr="00C66507" w:rsidRDefault="0085164E" w:rsidP="0085164E">
      <w:pPr>
        <w:spacing w:after="0"/>
        <w:rPr>
          <w:rFonts w:ascii="Arial" w:hAnsi="Arial"/>
          <w:sz w:val="22"/>
        </w:rPr>
      </w:pPr>
      <w:r w:rsidRPr="00C66507">
        <w:rPr>
          <w:rFonts w:ascii="Arial" w:hAnsi="Arial"/>
          <w:sz w:val="22"/>
        </w:rPr>
        <w:t>- Secrétariat du gouvernement ouvert</w:t>
      </w:r>
    </w:p>
    <w:p w14:paraId="4EB6539A" w14:textId="77777777" w:rsidR="0085164E" w:rsidRPr="00C66507" w:rsidRDefault="0085164E" w:rsidP="0085164E">
      <w:pPr>
        <w:spacing w:after="0"/>
        <w:rPr>
          <w:rFonts w:ascii="Arial" w:hAnsi="Arial"/>
          <w:sz w:val="22"/>
        </w:rPr>
      </w:pPr>
      <w:r w:rsidRPr="00C66507">
        <w:rPr>
          <w:rFonts w:ascii="Arial" w:hAnsi="Arial"/>
          <w:sz w:val="22"/>
        </w:rPr>
        <w:lastRenderedPageBreak/>
        <w:t>- Bureau de gestion des données</w:t>
      </w:r>
    </w:p>
    <w:p w14:paraId="43B22711" w14:textId="77777777" w:rsidR="0085164E" w:rsidRPr="00C66507" w:rsidRDefault="0085164E" w:rsidP="0085164E">
      <w:pPr>
        <w:spacing w:after="0"/>
        <w:rPr>
          <w:rFonts w:ascii="Arial" w:hAnsi="Arial"/>
          <w:sz w:val="22"/>
        </w:rPr>
      </w:pPr>
    </w:p>
    <w:p w14:paraId="24919523" w14:textId="77777777" w:rsidR="0085164E" w:rsidRPr="00C66507" w:rsidRDefault="0085164E" w:rsidP="0085164E">
      <w:pPr>
        <w:spacing w:after="0"/>
        <w:rPr>
          <w:rFonts w:ascii="Arial" w:hAnsi="Arial"/>
          <w:sz w:val="22"/>
        </w:rPr>
      </w:pPr>
      <w:r w:rsidRPr="00C66507">
        <w:rPr>
          <w:rFonts w:ascii="Arial" w:hAnsi="Arial"/>
          <w:sz w:val="22"/>
        </w:rPr>
        <w:t>Collaboration</w:t>
      </w:r>
    </w:p>
    <w:p w14:paraId="00133104" w14:textId="77777777" w:rsidR="0085164E" w:rsidRPr="00C66507" w:rsidRDefault="0085164E" w:rsidP="0085164E">
      <w:pPr>
        <w:spacing w:after="0"/>
        <w:rPr>
          <w:rFonts w:ascii="Arial" w:hAnsi="Arial"/>
          <w:sz w:val="22"/>
        </w:rPr>
      </w:pPr>
      <w:r w:rsidRPr="00C66507">
        <w:rPr>
          <w:rFonts w:ascii="Arial" w:hAnsi="Arial"/>
          <w:sz w:val="22"/>
        </w:rPr>
        <w:t>- Secrétariat du gouvernement ouvert et le Bureau de gestion des données (si nécessaire)</w:t>
      </w:r>
    </w:p>
    <w:p w14:paraId="7B4C1CFF" w14:textId="77777777" w:rsidR="007A3E17" w:rsidRDefault="0085164E" w:rsidP="0085164E">
      <w:pPr>
        <w:spacing w:after="0"/>
        <w:rPr>
          <w:rFonts w:asciiTheme="majorHAnsi" w:hAnsiTheme="majorHAnsi" w:cstheme="majorHAnsi"/>
          <w:sz w:val="22"/>
        </w:rPr>
      </w:pPr>
      <w:r w:rsidRPr="00C66507">
        <w:rPr>
          <w:rFonts w:ascii="Arial" w:hAnsi="Arial"/>
          <w:sz w:val="22"/>
        </w:rPr>
        <w:t>- Groupes de travail sur le gouvernement ouvert et les groupes de travail sur la gestion des données (si nécessaire)</w:t>
      </w:r>
      <w:r w:rsidR="007A3E17">
        <w:br w:type="page"/>
      </w:r>
    </w:p>
    <w:p w14:paraId="32016BD5" w14:textId="77777777" w:rsidR="006705EF" w:rsidRPr="00BD1C05" w:rsidRDefault="008A022D" w:rsidP="00BD1C05">
      <w:pPr>
        <w:pStyle w:val="Heading2"/>
        <w:rPr>
          <w:rFonts w:eastAsiaTheme="minorHAnsi"/>
        </w:rPr>
      </w:pPr>
      <w:bookmarkStart w:id="54" w:name="_Toc512263605"/>
      <w:bookmarkStart w:id="55" w:name="_Toc528845198"/>
      <w:r>
        <w:lastRenderedPageBreak/>
        <w:t>Annexe B - Dirigeant principal des données et dirigeant principal de l’information : Rôles et responsabilités</w:t>
      </w:r>
      <w:bookmarkEnd w:id="54"/>
      <w:bookmarkEnd w:id="55"/>
      <w:r>
        <w:t xml:space="preserve"> </w:t>
      </w:r>
    </w:p>
    <w:tbl>
      <w:tblPr>
        <w:tblW w:w="980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20" w:firstRow="1" w:lastRow="0" w:firstColumn="0" w:lastColumn="0" w:noHBand="0" w:noVBand="1"/>
      </w:tblPr>
      <w:tblGrid>
        <w:gridCol w:w="843"/>
        <w:gridCol w:w="1229"/>
        <w:gridCol w:w="2662"/>
        <w:gridCol w:w="2769"/>
        <w:gridCol w:w="2300"/>
      </w:tblGrid>
      <w:tr w:rsidR="003B72E3" w:rsidRPr="00910EFE" w14:paraId="1F45AB59" w14:textId="77777777" w:rsidTr="001A3393">
        <w:trPr>
          <w:trHeight w:val="329"/>
          <w:jc w:val="center"/>
        </w:trPr>
        <w:tc>
          <w:tcPr>
            <w:tcW w:w="2072" w:type="dxa"/>
            <w:gridSpan w:val="2"/>
            <w:shd w:val="clear" w:color="auto" w:fill="auto"/>
            <w:tcMar>
              <w:top w:w="15" w:type="dxa"/>
              <w:left w:w="57" w:type="dxa"/>
              <w:bottom w:w="0" w:type="dxa"/>
              <w:right w:w="57" w:type="dxa"/>
            </w:tcMar>
            <w:hideMark/>
          </w:tcPr>
          <w:p w14:paraId="7B92A1F7" w14:textId="77777777" w:rsidR="003B72E3" w:rsidRPr="00927910" w:rsidRDefault="003B72E3" w:rsidP="001A3393">
            <w:pPr>
              <w:spacing w:after="0" w:line="240" w:lineRule="auto"/>
              <w:rPr>
                <w:rFonts w:ascii="Arial" w:eastAsia="Times New Roman" w:hAnsi="Arial" w:cs="Arial"/>
                <w:sz w:val="36"/>
                <w:szCs w:val="36"/>
              </w:rPr>
            </w:pPr>
            <w:r w:rsidRPr="00927910">
              <w:rPr>
                <w:rFonts w:ascii="Arial" w:hAnsi="Arial" w:cs="Arial"/>
                <w:b/>
                <w:color w:val="01A895"/>
                <w:kern w:val="24"/>
              </w:rPr>
              <w:t>Responsabilités et synergies</w:t>
            </w:r>
          </w:p>
        </w:tc>
        <w:tc>
          <w:tcPr>
            <w:tcW w:w="2662" w:type="dxa"/>
            <w:shd w:val="clear" w:color="auto" w:fill="53B9B4"/>
            <w:tcMar>
              <w:top w:w="57" w:type="dxa"/>
              <w:left w:w="144" w:type="dxa"/>
              <w:bottom w:w="57" w:type="dxa"/>
              <w:right w:w="144" w:type="dxa"/>
            </w:tcMar>
            <w:vAlign w:val="center"/>
            <w:hideMark/>
          </w:tcPr>
          <w:p w14:paraId="435C8DE5" w14:textId="77777777" w:rsidR="003B72E3" w:rsidRPr="00910EFE" w:rsidRDefault="00CD5C02" w:rsidP="00CD5C02">
            <w:pPr>
              <w:spacing w:after="0" w:line="240" w:lineRule="auto"/>
              <w:jc w:val="center"/>
              <w:rPr>
                <w:rFonts w:ascii="Arial" w:eastAsia="Times New Roman" w:hAnsi="Arial" w:cs="Arial"/>
                <w:sz w:val="36"/>
                <w:szCs w:val="36"/>
              </w:rPr>
            </w:pPr>
            <w:r>
              <w:rPr>
                <w:rFonts w:ascii="Arial" w:hAnsi="Arial" w:cs="Arial"/>
                <w:b/>
                <w:color w:val="FFFFFF"/>
                <w:kern w:val="24"/>
                <w:sz w:val="18"/>
              </w:rPr>
              <w:t>DPI</w:t>
            </w:r>
          </w:p>
        </w:tc>
        <w:tc>
          <w:tcPr>
            <w:tcW w:w="2769" w:type="dxa"/>
            <w:shd w:val="clear" w:color="auto" w:fill="53B9B4"/>
            <w:tcMar>
              <w:top w:w="57" w:type="dxa"/>
              <w:left w:w="144" w:type="dxa"/>
              <w:bottom w:w="57" w:type="dxa"/>
              <w:right w:w="144" w:type="dxa"/>
            </w:tcMar>
            <w:vAlign w:val="center"/>
            <w:hideMark/>
          </w:tcPr>
          <w:p w14:paraId="50BC6C1F" w14:textId="77777777" w:rsidR="003B72E3" w:rsidRPr="00910EFE" w:rsidRDefault="003B72E3" w:rsidP="001A3393">
            <w:pPr>
              <w:spacing w:after="0" w:line="240" w:lineRule="auto"/>
              <w:jc w:val="center"/>
              <w:rPr>
                <w:rFonts w:ascii="Arial" w:eastAsia="Times New Roman" w:hAnsi="Arial" w:cs="Arial"/>
                <w:sz w:val="36"/>
                <w:szCs w:val="36"/>
              </w:rPr>
            </w:pPr>
            <w:r w:rsidRPr="00910EFE">
              <w:rPr>
                <w:rFonts w:ascii="Arial" w:hAnsi="Arial" w:cs="Arial"/>
                <w:b/>
                <w:color w:val="FFFFFF"/>
                <w:kern w:val="24"/>
                <w:sz w:val="18"/>
              </w:rPr>
              <w:t>DPD</w:t>
            </w:r>
          </w:p>
        </w:tc>
        <w:tc>
          <w:tcPr>
            <w:tcW w:w="2300" w:type="dxa"/>
            <w:shd w:val="clear" w:color="auto" w:fill="53B9B4"/>
            <w:tcMar>
              <w:top w:w="57" w:type="dxa"/>
              <w:left w:w="144" w:type="dxa"/>
              <w:bottom w:w="57" w:type="dxa"/>
              <w:right w:w="144" w:type="dxa"/>
            </w:tcMar>
            <w:vAlign w:val="center"/>
            <w:hideMark/>
          </w:tcPr>
          <w:p w14:paraId="678CCA9C" w14:textId="77777777" w:rsidR="003B72E3" w:rsidRPr="00910EFE" w:rsidRDefault="003B72E3" w:rsidP="001A3393">
            <w:pPr>
              <w:spacing w:after="0" w:line="240" w:lineRule="auto"/>
              <w:jc w:val="center"/>
              <w:rPr>
                <w:rFonts w:ascii="Arial" w:eastAsia="Times New Roman" w:hAnsi="Arial" w:cs="Arial"/>
                <w:sz w:val="36"/>
                <w:szCs w:val="36"/>
              </w:rPr>
            </w:pPr>
            <w:r w:rsidRPr="00910EFE">
              <w:rPr>
                <w:rFonts w:ascii="Arial" w:hAnsi="Arial" w:cs="Arial"/>
                <w:b/>
                <w:color w:val="FFFFFF"/>
                <w:kern w:val="24"/>
                <w:sz w:val="18"/>
              </w:rPr>
              <w:t>Programmes</w:t>
            </w:r>
          </w:p>
        </w:tc>
      </w:tr>
      <w:tr w:rsidR="003B72E3" w:rsidRPr="00910EFE" w14:paraId="2DD4601B" w14:textId="77777777" w:rsidTr="001A3393">
        <w:trPr>
          <w:trHeight w:val="1385"/>
          <w:jc w:val="center"/>
        </w:trPr>
        <w:tc>
          <w:tcPr>
            <w:tcW w:w="843" w:type="dxa"/>
            <w:tcBorders>
              <w:bottom w:val="single" w:sz="6" w:space="0" w:color="auto"/>
            </w:tcBorders>
            <w:shd w:val="clear" w:color="auto" w:fill="CBE2DD"/>
            <w:tcMar>
              <w:top w:w="57" w:type="dxa"/>
              <w:left w:w="57" w:type="dxa"/>
              <w:bottom w:w="57" w:type="dxa"/>
              <w:right w:w="57" w:type="dxa"/>
            </w:tcMar>
            <w:hideMark/>
          </w:tcPr>
          <w:p w14:paraId="4ECB45A8" w14:textId="77777777" w:rsidR="003B72E3" w:rsidRPr="0037177B" w:rsidRDefault="003B72E3" w:rsidP="001A3393">
            <w:pPr>
              <w:spacing w:after="0" w:line="240" w:lineRule="auto"/>
              <w:rPr>
                <w:rFonts w:ascii="Arial" w:eastAsia="Times New Roman" w:hAnsi="Arial" w:cs="Arial"/>
                <w:sz w:val="17"/>
                <w:szCs w:val="17"/>
              </w:rPr>
            </w:pPr>
            <w:r w:rsidRPr="0037177B">
              <w:rPr>
                <w:rFonts w:ascii="Arial" w:hAnsi="Arial" w:cs="Arial"/>
                <w:color w:val="3C3C3B"/>
                <w:kern w:val="24"/>
                <w:sz w:val="17"/>
                <w:szCs w:val="17"/>
              </w:rPr>
              <w:t>Plan d’action de GI</w:t>
            </w:r>
          </w:p>
        </w:tc>
        <w:tc>
          <w:tcPr>
            <w:tcW w:w="1229" w:type="dxa"/>
            <w:tcBorders>
              <w:bottom w:val="single" w:sz="6" w:space="0" w:color="auto"/>
            </w:tcBorders>
            <w:shd w:val="clear" w:color="auto" w:fill="CBE2DD"/>
            <w:tcMar>
              <w:top w:w="57" w:type="dxa"/>
              <w:left w:w="57" w:type="dxa"/>
              <w:bottom w:w="57" w:type="dxa"/>
              <w:right w:w="57" w:type="dxa"/>
            </w:tcMar>
            <w:hideMark/>
          </w:tcPr>
          <w:p w14:paraId="673C0D14" w14:textId="77777777" w:rsidR="003B72E3" w:rsidRPr="0037177B" w:rsidRDefault="003B72E3" w:rsidP="001A3393">
            <w:pPr>
              <w:spacing w:after="0" w:line="240" w:lineRule="auto"/>
              <w:rPr>
                <w:rFonts w:ascii="Arial" w:eastAsia="Times New Roman" w:hAnsi="Arial" w:cs="Arial"/>
                <w:sz w:val="17"/>
                <w:szCs w:val="17"/>
              </w:rPr>
            </w:pPr>
            <w:r w:rsidRPr="0037177B">
              <w:rPr>
                <w:rFonts w:ascii="Arial" w:hAnsi="Arial" w:cs="Arial"/>
                <w:color w:val="3C3C3B"/>
                <w:kern w:val="24"/>
                <w:sz w:val="17"/>
                <w:szCs w:val="17"/>
              </w:rPr>
              <w:t>Élabore et met en œuvre le plan d’action de GI de la CFP</w:t>
            </w:r>
          </w:p>
        </w:tc>
        <w:tc>
          <w:tcPr>
            <w:tcW w:w="2662" w:type="dxa"/>
            <w:tcBorders>
              <w:bottom w:val="single" w:sz="6" w:space="0" w:color="auto"/>
            </w:tcBorders>
            <w:shd w:val="clear" w:color="auto" w:fill="CBE2DD"/>
            <w:tcMar>
              <w:top w:w="57" w:type="dxa"/>
              <w:left w:w="57" w:type="dxa"/>
              <w:bottom w:w="57" w:type="dxa"/>
              <w:right w:w="57" w:type="dxa"/>
            </w:tcMar>
            <w:hideMark/>
          </w:tcPr>
          <w:p w14:paraId="05CEAA4F" w14:textId="77777777" w:rsidR="003B72E3" w:rsidRPr="0037177B" w:rsidRDefault="003B72E3" w:rsidP="001A3393">
            <w:pPr>
              <w:tabs>
                <w:tab w:val="left" w:pos="264"/>
              </w:tabs>
              <w:spacing w:after="0" w:line="240" w:lineRule="auto"/>
              <w:jc w:val="center"/>
              <w:rPr>
                <w:rFonts w:ascii="Arial" w:eastAsia="Times New Roman" w:hAnsi="Arial" w:cs="Arial"/>
                <w:sz w:val="17"/>
                <w:szCs w:val="17"/>
              </w:rPr>
            </w:pPr>
            <w:r w:rsidRPr="0037177B">
              <w:rPr>
                <w:rFonts w:ascii="Arial" w:hAnsi="Arial" w:cs="Arial"/>
                <w:b/>
                <w:color w:val="3C3C3B"/>
                <w:kern w:val="24"/>
                <w:sz w:val="17"/>
                <w:szCs w:val="17"/>
              </w:rPr>
              <w:t>Primaire</w:t>
            </w:r>
          </w:p>
          <w:p w14:paraId="64685DB5" w14:textId="77777777" w:rsidR="003B72E3" w:rsidRPr="0037177B" w:rsidRDefault="003B72E3" w:rsidP="003B72E3">
            <w:pPr>
              <w:pStyle w:val="ListParagraph"/>
              <w:numPr>
                <w:ilvl w:val="0"/>
                <w:numId w:val="25"/>
              </w:numPr>
              <w:tabs>
                <w:tab w:val="left" w:pos="162"/>
              </w:tabs>
              <w:spacing w:after="0" w:line="240" w:lineRule="auto"/>
              <w:ind w:left="522"/>
              <w:jc w:val="left"/>
              <w:rPr>
                <w:rFonts w:cs="Arial"/>
                <w:color w:val="3C3C3B"/>
                <w:kern w:val="24"/>
                <w:sz w:val="17"/>
                <w:szCs w:val="17"/>
              </w:rPr>
            </w:pPr>
            <w:r w:rsidRPr="0037177B">
              <w:rPr>
                <w:rFonts w:cs="Arial"/>
                <w:color w:val="3C3C3B"/>
                <w:kern w:val="24"/>
                <w:sz w:val="17"/>
                <w:szCs w:val="17"/>
              </w:rPr>
              <w:t>Responsable du plan d’action de la GI de la CFP. Responsable de l’élaboration, de la planification, de la mise en œuvre et des rapports sur les progrès</w:t>
            </w:r>
            <w:r w:rsidR="00EF1894">
              <w:rPr>
                <w:rFonts w:cs="Arial"/>
                <w:color w:val="3C3C3B"/>
                <w:kern w:val="24"/>
                <w:sz w:val="17"/>
                <w:szCs w:val="17"/>
              </w:rPr>
              <w:t>.</w:t>
            </w:r>
            <w:r w:rsidRPr="0037177B">
              <w:rPr>
                <w:rFonts w:cs="Arial"/>
                <w:color w:val="3C3C3B"/>
                <w:kern w:val="24"/>
                <w:sz w:val="17"/>
                <w:szCs w:val="17"/>
              </w:rPr>
              <w:t xml:space="preserve"> </w:t>
            </w:r>
          </w:p>
          <w:p w14:paraId="12DFCDC3" w14:textId="77777777" w:rsidR="003B72E3" w:rsidRPr="0037177B" w:rsidRDefault="003B72E3" w:rsidP="003B72E3">
            <w:pPr>
              <w:pStyle w:val="ListParagraph"/>
              <w:numPr>
                <w:ilvl w:val="0"/>
                <w:numId w:val="25"/>
              </w:numPr>
              <w:tabs>
                <w:tab w:val="left" w:pos="162"/>
              </w:tabs>
              <w:spacing w:after="0" w:line="240" w:lineRule="auto"/>
              <w:ind w:left="522"/>
              <w:jc w:val="left"/>
              <w:rPr>
                <w:rFonts w:eastAsia="Times New Roman" w:cs="Arial"/>
                <w:sz w:val="17"/>
                <w:szCs w:val="17"/>
              </w:rPr>
            </w:pPr>
            <w:r w:rsidRPr="0037177B">
              <w:rPr>
                <w:rFonts w:cs="Arial"/>
                <w:color w:val="3C3C3B"/>
                <w:kern w:val="24"/>
                <w:sz w:val="17"/>
                <w:szCs w:val="17"/>
              </w:rPr>
              <w:t>DPI : Participant actif de la conception du plan d’action de la GI</w:t>
            </w:r>
            <w:r w:rsidR="00EF1894">
              <w:rPr>
                <w:rFonts w:cs="Arial"/>
                <w:color w:val="3C3C3B"/>
                <w:kern w:val="24"/>
                <w:sz w:val="17"/>
                <w:szCs w:val="17"/>
              </w:rPr>
              <w:t>.</w:t>
            </w:r>
            <w:r w:rsidRPr="0037177B">
              <w:rPr>
                <w:rFonts w:cs="Arial"/>
                <w:color w:val="3C3C3B"/>
                <w:kern w:val="24"/>
                <w:sz w:val="17"/>
                <w:szCs w:val="17"/>
              </w:rPr>
              <w:t xml:space="preserve"> </w:t>
            </w:r>
          </w:p>
        </w:tc>
        <w:tc>
          <w:tcPr>
            <w:tcW w:w="2769" w:type="dxa"/>
            <w:tcBorders>
              <w:bottom w:val="single" w:sz="6" w:space="0" w:color="auto"/>
            </w:tcBorders>
            <w:shd w:val="clear" w:color="auto" w:fill="CBE2DD"/>
            <w:tcMar>
              <w:top w:w="57" w:type="dxa"/>
              <w:left w:w="57" w:type="dxa"/>
              <w:bottom w:w="57" w:type="dxa"/>
              <w:right w:w="57" w:type="dxa"/>
            </w:tcMar>
            <w:hideMark/>
          </w:tcPr>
          <w:p w14:paraId="2EE55F9F" w14:textId="77777777" w:rsidR="003B72E3" w:rsidRPr="0037177B" w:rsidRDefault="003B72E3" w:rsidP="001A3393">
            <w:pPr>
              <w:spacing w:after="0" w:line="240" w:lineRule="auto"/>
              <w:jc w:val="center"/>
              <w:rPr>
                <w:rFonts w:ascii="Arial" w:eastAsia="Times New Roman" w:hAnsi="Arial" w:cs="Arial"/>
                <w:b/>
                <w:sz w:val="17"/>
                <w:szCs w:val="17"/>
              </w:rPr>
            </w:pPr>
            <w:r w:rsidRPr="0037177B">
              <w:rPr>
                <w:rFonts w:ascii="Arial" w:hAnsi="Arial" w:cs="Arial"/>
                <w:b/>
                <w:color w:val="3C3C3B"/>
                <w:kern w:val="24"/>
                <w:sz w:val="17"/>
                <w:szCs w:val="17"/>
              </w:rPr>
              <w:t>Intervenant</w:t>
            </w:r>
          </w:p>
          <w:p w14:paraId="30922FED" w14:textId="77777777" w:rsidR="003B72E3" w:rsidRPr="0037177B" w:rsidRDefault="003B72E3" w:rsidP="003B72E3">
            <w:pPr>
              <w:pStyle w:val="ListParagraph"/>
              <w:numPr>
                <w:ilvl w:val="0"/>
                <w:numId w:val="28"/>
              </w:numPr>
              <w:tabs>
                <w:tab w:val="left" w:pos="162"/>
              </w:tabs>
              <w:spacing w:after="0" w:line="240" w:lineRule="auto"/>
              <w:jc w:val="left"/>
              <w:rPr>
                <w:rFonts w:cs="Arial"/>
                <w:color w:val="3C3C3B"/>
                <w:kern w:val="24"/>
                <w:sz w:val="17"/>
                <w:szCs w:val="17"/>
              </w:rPr>
            </w:pPr>
            <w:r w:rsidRPr="0037177B">
              <w:rPr>
                <w:rFonts w:cs="Arial"/>
                <w:color w:val="3C3C3B"/>
                <w:kern w:val="24"/>
                <w:sz w:val="17"/>
                <w:szCs w:val="17"/>
              </w:rPr>
              <w:t>Contributeur à la conception du plan d’action de la GI.</w:t>
            </w:r>
          </w:p>
          <w:p w14:paraId="734576C7" w14:textId="77777777" w:rsidR="003B72E3" w:rsidRPr="0037177B" w:rsidRDefault="003B72E3" w:rsidP="003B72E3">
            <w:pPr>
              <w:pStyle w:val="ListParagraph"/>
              <w:numPr>
                <w:ilvl w:val="0"/>
                <w:numId w:val="28"/>
              </w:numPr>
              <w:tabs>
                <w:tab w:val="left" w:pos="162"/>
              </w:tabs>
              <w:spacing w:after="0" w:line="240" w:lineRule="auto"/>
              <w:jc w:val="left"/>
              <w:rPr>
                <w:rFonts w:eastAsia="Times New Roman" w:cs="Arial"/>
                <w:sz w:val="17"/>
                <w:szCs w:val="17"/>
              </w:rPr>
            </w:pPr>
            <w:r w:rsidRPr="0037177B">
              <w:rPr>
                <w:rFonts w:cs="Arial"/>
                <w:color w:val="3C3C3B"/>
                <w:kern w:val="24"/>
                <w:sz w:val="17"/>
                <w:szCs w:val="17"/>
              </w:rPr>
              <w:t>Assure l’intégration et l’alignement avec la Stratégie de données.</w:t>
            </w:r>
          </w:p>
        </w:tc>
        <w:tc>
          <w:tcPr>
            <w:tcW w:w="2300" w:type="dxa"/>
            <w:tcBorders>
              <w:bottom w:val="single" w:sz="6" w:space="0" w:color="auto"/>
            </w:tcBorders>
            <w:shd w:val="clear" w:color="auto" w:fill="CBE2DD"/>
            <w:tcMar>
              <w:top w:w="57" w:type="dxa"/>
              <w:left w:w="57" w:type="dxa"/>
              <w:bottom w:w="57" w:type="dxa"/>
              <w:right w:w="57" w:type="dxa"/>
            </w:tcMar>
            <w:hideMark/>
          </w:tcPr>
          <w:p w14:paraId="4AEAAEC6" w14:textId="77777777" w:rsidR="003B72E3" w:rsidRPr="0037177B" w:rsidRDefault="003B72E3" w:rsidP="001A3393">
            <w:pPr>
              <w:spacing w:after="0" w:line="240" w:lineRule="auto"/>
              <w:jc w:val="center"/>
              <w:rPr>
                <w:rFonts w:ascii="Arial" w:eastAsia="Times New Roman" w:hAnsi="Arial" w:cs="Arial"/>
                <w:b/>
                <w:sz w:val="17"/>
                <w:szCs w:val="17"/>
              </w:rPr>
            </w:pPr>
            <w:r w:rsidRPr="0037177B">
              <w:rPr>
                <w:rFonts w:ascii="Arial" w:hAnsi="Arial" w:cs="Arial"/>
                <w:b/>
                <w:color w:val="3C3C3B"/>
                <w:kern w:val="24"/>
                <w:sz w:val="17"/>
                <w:szCs w:val="17"/>
              </w:rPr>
              <w:t>Intervenant</w:t>
            </w:r>
          </w:p>
          <w:p w14:paraId="283FACC9" w14:textId="77777777" w:rsidR="003B72E3" w:rsidRPr="0037177B" w:rsidRDefault="003B72E3" w:rsidP="003B72E3">
            <w:pPr>
              <w:pStyle w:val="ListParagraph"/>
              <w:numPr>
                <w:ilvl w:val="0"/>
                <w:numId w:val="32"/>
              </w:numPr>
              <w:tabs>
                <w:tab w:val="left" w:pos="162"/>
              </w:tabs>
              <w:spacing w:after="0" w:line="240" w:lineRule="auto"/>
              <w:ind w:left="512"/>
              <w:jc w:val="left"/>
              <w:rPr>
                <w:rFonts w:eastAsia="Times New Roman" w:cs="Arial"/>
                <w:sz w:val="17"/>
                <w:szCs w:val="17"/>
              </w:rPr>
            </w:pPr>
            <w:r w:rsidRPr="0037177B">
              <w:rPr>
                <w:rFonts w:cs="Arial"/>
                <w:color w:val="3C3C3B"/>
                <w:kern w:val="24"/>
                <w:sz w:val="17"/>
                <w:szCs w:val="17"/>
              </w:rPr>
              <w:t>Contributeurs à la conception du plan d’action de la GI.</w:t>
            </w:r>
          </w:p>
        </w:tc>
      </w:tr>
      <w:tr w:rsidR="003B72E3" w:rsidRPr="0037177B" w14:paraId="50206440" w14:textId="77777777" w:rsidTr="001A3393">
        <w:trPr>
          <w:trHeight w:val="2801"/>
          <w:jc w:val="center"/>
        </w:trPr>
        <w:tc>
          <w:tcPr>
            <w:tcW w:w="843" w:type="dxa"/>
            <w:shd w:val="clear" w:color="auto" w:fill="CBE2DD"/>
            <w:tcMar>
              <w:top w:w="57" w:type="dxa"/>
              <w:left w:w="57" w:type="dxa"/>
              <w:bottom w:w="57" w:type="dxa"/>
              <w:right w:w="57" w:type="dxa"/>
            </w:tcMar>
            <w:hideMark/>
          </w:tcPr>
          <w:p w14:paraId="4777B16B" w14:textId="77777777" w:rsidR="003B72E3" w:rsidRPr="0037177B" w:rsidRDefault="003B72E3" w:rsidP="001A3393">
            <w:pPr>
              <w:spacing w:after="0" w:line="240" w:lineRule="auto"/>
              <w:rPr>
                <w:rFonts w:ascii="Arial" w:eastAsia="Times New Roman" w:hAnsi="Arial" w:cs="Arial"/>
                <w:sz w:val="17"/>
                <w:szCs w:val="17"/>
              </w:rPr>
            </w:pPr>
            <w:r w:rsidRPr="0037177B">
              <w:rPr>
                <w:rFonts w:ascii="Arial" w:hAnsi="Arial" w:cs="Arial"/>
                <w:color w:val="3C3C3B"/>
                <w:kern w:val="24"/>
                <w:sz w:val="17"/>
                <w:szCs w:val="17"/>
              </w:rPr>
              <w:t>Stratégie de gestion des données</w:t>
            </w:r>
          </w:p>
        </w:tc>
        <w:tc>
          <w:tcPr>
            <w:tcW w:w="1229" w:type="dxa"/>
            <w:shd w:val="clear" w:color="auto" w:fill="CBE2DD"/>
            <w:tcMar>
              <w:top w:w="57" w:type="dxa"/>
              <w:left w:w="57" w:type="dxa"/>
              <w:bottom w:w="57" w:type="dxa"/>
              <w:right w:w="57" w:type="dxa"/>
            </w:tcMar>
            <w:hideMark/>
          </w:tcPr>
          <w:p w14:paraId="55DE25E5" w14:textId="77777777" w:rsidR="003B72E3" w:rsidRPr="0037177B" w:rsidRDefault="003B72E3" w:rsidP="001A3393">
            <w:pPr>
              <w:spacing w:after="0" w:line="240" w:lineRule="auto"/>
              <w:rPr>
                <w:rFonts w:ascii="Arial" w:eastAsia="Times New Roman" w:hAnsi="Arial" w:cs="Arial"/>
                <w:sz w:val="17"/>
                <w:szCs w:val="17"/>
              </w:rPr>
            </w:pPr>
            <w:r w:rsidRPr="0037177B">
              <w:rPr>
                <w:rFonts w:ascii="Arial" w:hAnsi="Arial" w:cs="Arial"/>
                <w:color w:val="3C3C3B"/>
                <w:kern w:val="24"/>
                <w:sz w:val="17"/>
                <w:szCs w:val="17"/>
              </w:rPr>
              <w:t>Dirige et élabore la Stratégie de la gestion des données de la CFP</w:t>
            </w:r>
          </w:p>
        </w:tc>
        <w:tc>
          <w:tcPr>
            <w:tcW w:w="2662" w:type="dxa"/>
            <w:shd w:val="clear" w:color="auto" w:fill="CBE2DD"/>
            <w:tcMar>
              <w:top w:w="57" w:type="dxa"/>
              <w:left w:w="57" w:type="dxa"/>
              <w:bottom w:w="57" w:type="dxa"/>
              <w:right w:w="57" w:type="dxa"/>
            </w:tcMar>
            <w:hideMark/>
          </w:tcPr>
          <w:p w14:paraId="46609BBB" w14:textId="77777777" w:rsidR="003B72E3" w:rsidRPr="0037177B" w:rsidRDefault="003B72E3" w:rsidP="001A3393">
            <w:pPr>
              <w:tabs>
                <w:tab w:val="left" w:pos="162"/>
              </w:tabs>
              <w:spacing w:after="0" w:line="240" w:lineRule="auto"/>
              <w:ind w:left="162"/>
              <w:jc w:val="center"/>
              <w:rPr>
                <w:rFonts w:ascii="Arial" w:eastAsia="Times New Roman" w:hAnsi="Arial" w:cs="Arial"/>
                <w:b/>
                <w:sz w:val="17"/>
                <w:szCs w:val="17"/>
              </w:rPr>
            </w:pPr>
            <w:r w:rsidRPr="0037177B">
              <w:rPr>
                <w:rFonts w:ascii="Arial" w:hAnsi="Arial" w:cs="Arial"/>
                <w:b/>
                <w:color w:val="3C3C3B"/>
                <w:kern w:val="24"/>
                <w:sz w:val="17"/>
                <w:szCs w:val="17"/>
              </w:rPr>
              <w:t>Partenaire</w:t>
            </w:r>
          </w:p>
          <w:p w14:paraId="03433119" w14:textId="77777777" w:rsidR="003B72E3" w:rsidRPr="0037177B" w:rsidRDefault="003B72E3" w:rsidP="003B72E3">
            <w:pPr>
              <w:pStyle w:val="ListParagraph"/>
              <w:numPr>
                <w:ilvl w:val="0"/>
                <w:numId w:val="25"/>
              </w:numPr>
              <w:tabs>
                <w:tab w:val="left" w:pos="162"/>
              </w:tabs>
              <w:spacing w:after="0" w:line="240" w:lineRule="auto"/>
              <w:ind w:left="522"/>
              <w:jc w:val="left"/>
              <w:rPr>
                <w:rFonts w:eastAsia="Times New Roman" w:cs="Arial"/>
                <w:sz w:val="17"/>
                <w:szCs w:val="17"/>
              </w:rPr>
            </w:pPr>
            <w:r w:rsidRPr="0037177B">
              <w:rPr>
                <w:rFonts w:cs="Arial"/>
                <w:color w:val="3C3C3B"/>
                <w:kern w:val="24"/>
                <w:sz w:val="17"/>
                <w:szCs w:val="17"/>
              </w:rPr>
              <w:t xml:space="preserve">Assure l’intégration de la vision de la CFP pour les données ouvertes et avec la politique sur la GI. </w:t>
            </w:r>
          </w:p>
          <w:p w14:paraId="43BF4F98" w14:textId="77777777" w:rsidR="003B72E3" w:rsidRPr="0037177B" w:rsidRDefault="003B72E3" w:rsidP="003B72E3">
            <w:pPr>
              <w:pStyle w:val="ListParagraph"/>
              <w:numPr>
                <w:ilvl w:val="0"/>
                <w:numId w:val="25"/>
              </w:numPr>
              <w:tabs>
                <w:tab w:val="left" w:pos="162"/>
              </w:tabs>
              <w:spacing w:after="0" w:line="240" w:lineRule="auto"/>
              <w:ind w:left="522"/>
              <w:jc w:val="left"/>
              <w:rPr>
                <w:rFonts w:eastAsia="Times New Roman" w:cs="Arial"/>
                <w:sz w:val="17"/>
                <w:szCs w:val="17"/>
              </w:rPr>
            </w:pPr>
            <w:r w:rsidRPr="0037177B">
              <w:rPr>
                <w:rFonts w:cs="Arial"/>
                <w:color w:val="3C3C3B"/>
                <w:kern w:val="24"/>
                <w:sz w:val="17"/>
                <w:szCs w:val="17"/>
              </w:rPr>
              <w:t xml:space="preserve">Assure l’alignement avec la Stratégie de gestion des données du point de vue des technologies habilitantes. </w:t>
            </w:r>
          </w:p>
          <w:p w14:paraId="1D5D46F3" w14:textId="77777777" w:rsidR="003B72E3" w:rsidRPr="0037177B" w:rsidRDefault="003B72E3" w:rsidP="003B72E3">
            <w:pPr>
              <w:pStyle w:val="ListParagraph"/>
              <w:numPr>
                <w:ilvl w:val="0"/>
                <w:numId w:val="25"/>
              </w:numPr>
              <w:tabs>
                <w:tab w:val="left" w:pos="162"/>
              </w:tabs>
              <w:spacing w:after="0" w:line="240" w:lineRule="auto"/>
              <w:ind w:left="522"/>
              <w:jc w:val="left"/>
              <w:rPr>
                <w:rFonts w:eastAsia="Times New Roman" w:cs="Arial"/>
                <w:sz w:val="17"/>
                <w:szCs w:val="17"/>
              </w:rPr>
            </w:pPr>
            <w:r w:rsidRPr="0037177B">
              <w:rPr>
                <w:rFonts w:cs="Arial"/>
                <w:color w:val="3C3C3B"/>
                <w:kern w:val="24"/>
                <w:sz w:val="17"/>
                <w:szCs w:val="17"/>
              </w:rPr>
              <w:t>Principalement responsable de la sécurité et de l’infrastructure de TI liées aux données.</w:t>
            </w:r>
          </w:p>
        </w:tc>
        <w:tc>
          <w:tcPr>
            <w:tcW w:w="2769" w:type="dxa"/>
            <w:shd w:val="clear" w:color="auto" w:fill="CBE2DD"/>
            <w:tcMar>
              <w:top w:w="57" w:type="dxa"/>
              <w:left w:w="57" w:type="dxa"/>
              <w:bottom w:w="57" w:type="dxa"/>
              <w:right w:w="57" w:type="dxa"/>
            </w:tcMar>
            <w:hideMark/>
          </w:tcPr>
          <w:p w14:paraId="1E77A2C2" w14:textId="77777777" w:rsidR="003B72E3" w:rsidRPr="0037177B" w:rsidRDefault="003B72E3" w:rsidP="001A3393">
            <w:pPr>
              <w:tabs>
                <w:tab w:val="left" w:pos="162"/>
              </w:tabs>
              <w:spacing w:after="0" w:line="240" w:lineRule="auto"/>
              <w:ind w:left="162"/>
              <w:jc w:val="center"/>
              <w:rPr>
                <w:rFonts w:ascii="Arial" w:eastAsia="Times New Roman" w:hAnsi="Arial" w:cs="Arial"/>
                <w:sz w:val="17"/>
                <w:szCs w:val="17"/>
              </w:rPr>
            </w:pPr>
            <w:r w:rsidRPr="0037177B">
              <w:rPr>
                <w:rFonts w:ascii="Arial" w:hAnsi="Arial" w:cs="Arial"/>
                <w:b/>
                <w:color w:val="3C3C3B"/>
                <w:kern w:val="24"/>
                <w:sz w:val="17"/>
                <w:szCs w:val="17"/>
              </w:rPr>
              <w:t>Primaire</w:t>
            </w:r>
          </w:p>
          <w:p w14:paraId="6EABB514" w14:textId="77777777" w:rsidR="003B72E3" w:rsidRPr="0037177B" w:rsidRDefault="003B72E3" w:rsidP="003B72E3">
            <w:pPr>
              <w:pStyle w:val="ListParagraph"/>
              <w:numPr>
                <w:ilvl w:val="0"/>
                <w:numId w:val="29"/>
              </w:numPr>
              <w:tabs>
                <w:tab w:val="left" w:pos="162"/>
              </w:tabs>
              <w:spacing w:after="0" w:line="240" w:lineRule="auto"/>
              <w:jc w:val="left"/>
              <w:rPr>
                <w:rFonts w:cs="Arial"/>
                <w:color w:val="3C3C3B"/>
                <w:kern w:val="24"/>
                <w:sz w:val="17"/>
                <w:szCs w:val="17"/>
              </w:rPr>
            </w:pPr>
            <w:r w:rsidRPr="0037177B">
              <w:rPr>
                <w:rFonts w:cs="Arial"/>
                <w:color w:val="3C3C3B"/>
                <w:kern w:val="24"/>
                <w:sz w:val="17"/>
                <w:szCs w:val="17"/>
              </w:rPr>
              <w:t>Champion exécutif de la vision de la Stratégie de données et du Plan de mise en œuvre.</w:t>
            </w:r>
          </w:p>
          <w:p w14:paraId="4C4EC0D8" w14:textId="77777777" w:rsidR="003B72E3" w:rsidRPr="0037177B" w:rsidRDefault="003B72E3" w:rsidP="003B72E3">
            <w:pPr>
              <w:pStyle w:val="ListParagraph"/>
              <w:numPr>
                <w:ilvl w:val="0"/>
                <w:numId w:val="29"/>
              </w:numPr>
              <w:tabs>
                <w:tab w:val="left" w:pos="162"/>
              </w:tabs>
              <w:spacing w:after="0" w:line="240" w:lineRule="auto"/>
              <w:jc w:val="left"/>
              <w:rPr>
                <w:rFonts w:cs="Arial"/>
                <w:color w:val="3C3C3B"/>
                <w:kern w:val="24"/>
                <w:sz w:val="17"/>
                <w:szCs w:val="17"/>
              </w:rPr>
            </w:pPr>
            <w:r w:rsidRPr="0037177B">
              <w:rPr>
                <w:rFonts w:cs="Arial"/>
                <w:color w:val="3C3C3B"/>
                <w:kern w:val="24"/>
                <w:sz w:val="17"/>
                <w:szCs w:val="17"/>
              </w:rPr>
              <w:t xml:space="preserve">Dirige des initiatives de gestion du changement de l’organisation. </w:t>
            </w:r>
          </w:p>
          <w:p w14:paraId="0448EC9F" w14:textId="77777777" w:rsidR="003B72E3" w:rsidRPr="0037177B" w:rsidRDefault="003B72E3" w:rsidP="003B72E3">
            <w:pPr>
              <w:pStyle w:val="ListParagraph"/>
              <w:numPr>
                <w:ilvl w:val="0"/>
                <w:numId w:val="29"/>
              </w:numPr>
              <w:tabs>
                <w:tab w:val="left" w:pos="162"/>
              </w:tabs>
              <w:spacing w:after="0" w:line="240" w:lineRule="auto"/>
              <w:jc w:val="left"/>
              <w:rPr>
                <w:rFonts w:cs="Arial"/>
                <w:color w:val="3C3C3B"/>
                <w:kern w:val="24"/>
                <w:sz w:val="17"/>
                <w:szCs w:val="17"/>
              </w:rPr>
            </w:pPr>
            <w:r w:rsidRPr="0037177B">
              <w:rPr>
                <w:rFonts w:cs="Arial"/>
                <w:color w:val="3C3C3B"/>
                <w:kern w:val="24"/>
                <w:sz w:val="17"/>
                <w:szCs w:val="17"/>
              </w:rPr>
              <w:t>Rédige la Stratégie de données et assure l’engagement des intervenants (au sein et à l’extérieur de la CFP).</w:t>
            </w:r>
          </w:p>
          <w:p w14:paraId="7CAA548B" w14:textId="77777777" w:rsidR="003B72E3" w:rsidRPr="0037177B" w:rsidRDefault="003B72E3" w:rsidP="003B72E3">
            <w:pPr>
              <w:pStyle w:val="ListParagraph"/>
              <w:numPr>
                <w:ilvl w:val="0"/>
                <w:numId w:val="29"/>
              </w:numPr>
              <w:tabs>
                <w:tab w:val="left" w:pos="162"/>
              </w:tabs>
              <w:spacing w:after="0" w:line="240" w:lineRule="auto"/>
              <w:jc w:val="left"/>
              <w:rPr>
                <w:rFonts w:cs="Arial"/>
                <w:color w:val="3C3C3B"/>
                <w:kern w:val="24"/>
                <w:sz w:val="17"/>
                <w:szCs w:val="17"/>
              </w:rPr>
            </w:pPr>
            <w:r w:rsidRPr="0037177B">
              <w:rPr>
                <w:rFonts w:cs="Arial"/>
                <w:color w:val="3C3C3B"/>
                <w:kern w:val="24"/>
                <w:sz w:val="17"/>
                <w:szCs w:val="17"/>
              </w:rPr>
              <w:t>Assure l’alignement des organismes de gouvernance avec la</w:t>
            </w:r>
            <w:r w:rsidR="0062049B">
              <w:rPr>
                <w:rFonts w:cs="Arial"/>
                <w:color w:val="3C3C3B"/>
                <w:kern w:val="24"/>
                <w:sz w:val="17"/>
                <w:szCs w:val="17"/>
              </w:rPr>
              <w:t xml:space="preserve"> Stratégie de données de la CFP.</w:t>
            </w:r>
          </w:p>
          <w:p w14:paraId="2D7A4EF6" w14:textId="77777777" w:rsidR="003B72E3" w:rsidRPr="0037177B" w:rsidRDefault="003B72E3" w:rsidP="003B72E3">
            <w:pPr>
              <w:pStyle w:val="ListParagraph"/>
              <w:numPr>
                <w:ilvl w:val="0"/>
                <w:numId w:val="29"/>
              </w:numPr>
              <w:tabs>
                <w:tab w:val="left" w:pos="162"/>
              </w:tabs>
              <w:spacing w:after="0" w:line="240" w:lineRule="auto"/>
              <w:jc w:val="left"/>
              <w:rPr>
                <w:rFonts w:cs="Arial"/>
                <w:color w:val="3C3C3B"/>
                <w:kern w:val="24"/>
                <w:sz w:val="17"/>
                <w:szCs w:val="17"/>
              </w:rPr>
            </w:pPr>
            <w:r w:rsidRPr="0037177B">
              <w:rPr>
                <w:rFonts w:cs="Arial"/>
                <w:color w:val="3C3C3B"/>
                <w:kern w:val="24"/>
                <w:sz w:val="17"/>
                <w:szCs w:val="17"/>
              </w:rPr>
              <w:t>Détermine les risques liés à la capacité de ressources pour la mise en œuvre, y compris les gens, les outils et les processus, et crée une tribune pour l’identification des stratégies d’atténuation.</w:t>
            </w:r>
          </w:p>
          <w:p w14:paraId="4833ED96" w14:textId="77777777" w:rsidR="003B72E3" w:rsidRPr="0037177B" w:rsidRDefault="003B72E3" w:rsidP="003B72E3">
            <w:pPr>
              <w:pStyle w:val="ListParagraph"/>
              <w:numPr>
                <w:ilvl w:val="0"/>
                <w:numId w:val="29"/>
              </w:numPr>
              <w:tabs>
                <w:tab w:val="left" w:pos="162"/>
              </w:tabs>
              <w:spacing w:after="0" w:line="240" w:lineRule="auto"/>
              <w:jc w:val="left"/>
              <w:rPr>
                <w:rFonts w:eastAsia="Times New Roman" w:cs="Arial"/>
                <w:sz w:val="17"/>
                <w:szCs w:val="17"/>
              </w:rPr>
            </w:pPr>
            <w:r w:rsidRPr="0037177B">
              <w:rPr>
                <w:rFonts w:cs="Arial"/>
                <w:color w:val="3C3C3B"/>
                <w:kern w:val="24"/>
                <w:sz w:val="17"/>
                <w:szCs w:val="17"/>
              </w:rPr>
              <w:t>Responsable de la qualité globale, de l’interprétation et de l’utilisation des données à l’appui de l’élaboration des politiques, de l’amélioration des programmes et de la production de rapports.</w:t>
            </w:r>
          </w:p>
        </w:tc>
        <w:tc>
          <w:tcPr>
            <w:tcW w:w="2300" w:type="dxa"/>
            <w:shd w:val="clear" w:color="auto" w:fill="CBE2DD"/>
            <w:tcMar>
              <w:top w:w="57" w:type="dxa"/>
              <w:left w:w="57" w:type="dxa"/>
              <w:bottom w:w="57" w:type="dxa"/>
              <w:right w:w="57" w:type="dxa"/>
            </w:tcMar>
            <w:hideMark/>
          </w:tcPr>
          <w:p w14:paraId="0B2E7281" w14:textId="77777777" w:rsidR="003B72E3" w:rsidRPr="0037177B" w:rsidRDefault="003B72E3" w:rsidP="001A3393">
            <w:pPr>
              <w:tabs>
                <w:tab w:val="left" w:pos="162"/>
              </w:tabs>
              <w:spacing w:after="0" w:line="240" w:lineRule="auto"/>
              <w:ind w:left="162"/>
              <w:jc w:val="center"/>
              <w:rPr>
                <w:rFonts w:ascii="Arial" w:eastAsia="Times New Roman" w:hAnsi="Arial" w:cs="Arial"/>
                <w:b/>
                <w:sz w:val="17"/>
                <w:szCs w:val="17"/>
              </w:rPr>
            </w:pPr>
            <w:r w:rsidRPr="0037177B">
              <w:rPr>
                <w:rFonts w:ascii="Arial" w:hAnsi="Arial" w:cs="Arial"/>
                <w:b/>
                <w:color w:val="3C3C3B"/>
                <w:kern w:val="24"/>
                <w:sz w:val="17"/>
                <w:szCs w:val="17"/>
              </w:rPr>
              <w:t>Intervenant</w:t>
            </w:r>
          </w:p>
          <w:p w14:paraId="0FEB7EA1" w14:textId="77777777" w:rsidR="003B72E3" w:rsidRPr="0037177B" w:rsidRDefault="003B72E3" w:rsidP="003B72E3">
            <w:pPr>
              <w:pStyle w:val="ListParagraph"/>
              <w:numPr>
                <w:ilvl w:val="0"/>
                <w:numId w:val="31"/>
              </w:numPr>
              <w:tabs>
                <w:tab w:val="left" w:pos="162"/>
              </w:tabs>
              <w:spacing w:after="0" w:line="240" w:lineRule="auto"/>
              <w:jc w:val="left"/>
              <w:rPr>
                <w:rFonts w:cs="Arial"/>
                <w:color w:val="3C3C3B"/>
                <w:kern w:val="24"/>
                <w:sz w:val="17"/>
                <w:szCs w:val="17"/>
              </w:rPr>
            </w:pPr>
            <w:r w:rsidRPr="0037177B">
              <w:rPr>
                <w:rFonts w:cs="Arial"/>
                <w:color w:val="3C3C3B"/>
                <w:kern w:val="24"/>
                <w:sz w:val="17"/>
                <w:szCs w:val="17"/>
              </w:rPr>
              <w:t>Formule des commentaires sur la vision.</w:t>
            </w:r>
          </w:p>
          <w:p w14:paraId="5865B011" w14:textId="77777777" w:rsidR="003B72E3" w:rsidRPr="0037177B" w:rsidRDefault="003B72E3" w:rsidP="001A3393">
            <w:pPr>
              <w:pStyle w:val="ListParagraph"/>
              <w:tabs>
                <w:tab w:val="left" w:pos="162"/>
              </w:tabs>
              <w:spacing w:after="0" w:line="240" w:lineRule="auto"/>
              <w:ind w:left="87"/>
              <w:jc w:val="left"/>
              <w:rPr>
                <w:rFonts w:eastAsia="Times New Roman" w:cs="Arial"/>
                <w:sz w:val="17"/>
                <w:szCs w:val="17"/>
              </w:rPr>
            </w:pPr>
          </w:p>
        </w:tc>
      </w:tr>
      <w:tr w:rsidR="003B72E3" w:rsidRPr="00910EFE" w14:paraId="486420CE" w14:textId="77777777" w:rsidTr="001A3393">
        <w:trPr>
          <w:trHeight w:val="1649"/>
          <w:jc w:val="center"/>
        </w:trPr>
        <w:tc>
          <w:tcPr>
            <w:tcW w:w="843" w:type="dxa"/>
            <w:shd w:val="clear" w:color="auto" w:fill="E7F1EF"/>
            <w:tcMar>
              <w:top w:w="57" w:type="dxa"/>
              <w:left w:w="57" w:type="dxa"/>
              <w:bottom w:w="57" w:type="dxa"/>
              <w:right w:w="57" w:type="dxa"/>
            </w:tcMar>
            <w:hideMark/>
          </w:tcPr>
          <w:p w14:paraId="05B2D08F" w14:textId="77777777" w:rsidR="003B72E3" w:rsidRPr="0037177B" w:rsidRDefault="003B72E3" w:rsidP="001A3393">
            <w:pPr>
              <w:spacing w:after="0" w:line="240" w:lineRule="auto"/>
              <w:rPr>
                <w:rFonts w:ascii="Arial" w:eastAsia="Times New Roman" w:hAnsi="Arial" w:cs="Arial"/>
                <w:sz w:val="17"/>
                <w:szCs w:val="17"/>
              </w:rPr>
            </w:pPr>
          </w:p>
        </w:tc>
        <w:tc>
          <w:tcPr>
            <w:tcW w:w="1229" w:type="dxa"/>
            <w:shd w:val="clear" w:color="auto" w:fill="E7F1EF"/>
            <w:tcMar>
              <w:top w:w="57" w:type="dxa"/>
              <w:left w:w="57" w:type="dxa"/>
              <w:bottom w:w="57" w:type="dxa"/>
              <w:right w:w="57" w:type="dxa"/>
            </w:tcMar>
            <w:hideMark/>
          </w:tcPr>
          <w:p w14:paraId="37F7A13E" w14:textId="77777777" w:rsidR="003B72E3" w:rsidRPr="0037177B" w:rsidRDefault="003B72E3" w:rsidP="001A3393">
            <w:pPr>
              <w:spacing w:after="0" w:line="240" w:lineRule="auto"/>
              <w:rPr>
                <w:rFonts w:ascii="Arial" w:eastAsia="Times New Roman" w:hAnsi="Arial" w:cs="Arial"/>
                <w:sz w:val="17"/>
                <w:szCs w:val="17"/>
              </w:rPr>
            </w:pPr>
            <w:r w:rsidRPr="0037177B">
              <w:rPr>
                <w:rFonts w:ascii="Arial" w:hAnsi="Arial" w:cs="Arial"/>
                <w:color w:val="3C3C3B"/>
                <w:kern w:val="24"/>
                <w:sz w:val="17"/>
                <w:szCs w:val="17"/>
              </w:rPr>
              <w:t>Met en œuvre et communique les progrès réali</w:t>
            </w:r>
            <w:r w:rsidR="003E6824">
              <w:rPr>
                <w:rFonts w:ascii="Arial" w:hAnsi="Arial" w:cs="Arial"/>
                <w:color w:val="3C3C3B"/>
                <w:kern w:val="24"/>
                <w:sz w:val="17"/>
                <w:szCs w:val="17"/>
              </w:rPr>
              <w:t>sés sur la Stratégie de données</w:t>
            </w:r>
          </w:p>
        </w:tc>
        <w:tc>
          <w:tcPr>
            <w:tcW w:w="2662" w:type="dxa"/>
            <w:shd w:val="clear" w:color="auto" w:fill="E7F1EF"/>
            <w:tcMar>
              <w:top w:w="57" w:type="dxa"/>
              <w:left w:w="57" w:type="dxa"/>
              <w:bottom w:w="57" w:type="dxa"/>
              <w:right w:w="57" w:type="dxa"/>
            </w:tcMar>
            <w:hideMark/>
          </w:tcPr>
          <w:p w14:paraId="31F19034" w14:textId="77777777" w:rsidR="003B72E3" w:rsidRPr="0037177B" w:rsidRDefault="003B72E3" w:rsidP="001A3393">
            <w:pPr>
              <w:tabs>
                <w:tab w:val="left" w:pos="162"/>
              </w:tabs>
              <w:spacing w:after="0" w:line="240" w:lineRule="auto"/>
              <w:ind w:left="162"/>
              <w:jc w:val="center"/>
              <w:rPr>
                <w:rFonts w:ascii="Arial" w:eastAsia="Times New Roman" w:hAnsi="Arial" w:cs="Arial"/>
                <w:b/>
                <w:sz w:val="17"/>
                <w:szCs w:val="17"/>
              </w:rPr>
            </w:pPr>
            <w:r w:rsidRPr="0037177B">
              <w:rPr>
                <w:rFonts w:ascii="Arial" w:hAnsi="Arial" w:cs="Arial"/>
                <w:b/>
                <w:color w:val="3C3C3B"/>
                <w:kern w:val="24"/>
                <w:sz w:val="17"/>
                <w:szCs w:val="17"/>
              </w:rPr>
              <w:t>Partenaire</w:t>
            </w:r>
          </w:p>
          <w:p w14:paraId="1B35FC13" w14:textId="77777777" w:rsidR="003B72E3" w:rsidRPr="0037177B" w:rsidRDefault="003B72E3" w:rsidP="003B72E3">
            <w:pPr>
              <w:pStyle w:val="ListParagraph"/>
              <w:numPr>
                <w:ilvl w:val="0"/>
                <w:numId w:val="25"/>
              </w:numPr>
              <w:tabs>
                <w:tab w:val="left" w:pos="162"/>
              </w:tabs>
              <w:spacing w:after="0" w:line="240" w:lineRule="auto"/>
              <w:ind w:left="522"/>
              <w:jc w:val="left"/>
              <w:rPr>
                <w:rFonts w:eastAsia="Times New Roman" w:cs="Arial"/>
                <w:sz w:val="17"/>
                <w:szCs w:val="17"/>
              </w:rPr>
            </w:pPr>
            <w:r w:rsidRPr="0037177B">
              <w:rPr>
                <w:rFonts w:cs="Arial"/>
                <w:color w:val="3C3C3B"/>
                <w:kern w:val="24"/>
                <w:sz w:val="17"/>
                <w:szCs w:val="17"/>
              </w:rPr>
              <w:t>Responsable de l’achèvement des activités liées aux données de GI/TI découlant de la Stratégie de données.</w:t>
            </w:r>
          </w:p>
        </w:tc>
        <w:tc>
          <w:tcPr>
            <w:tcW w:w="2769" w:type="dxa"/>
            <w:shd w:val="clear" w:color="auto" w:fill="E7F1EF"/>
            <w:tcMar>
              <w:top w:w="57" w:type="dxa"/>
              <w:left w:w="57" w:type="dxa"/>
              <w:bottom w:w="57" w:type="dxa"/>
              <w:right w:w="57" w:type="dxa"/>
            </w:tcMar>
            <w:hideMark/>
          </w:tcPr>
          <w:p w14:paraId="01142EF0" w14:textId="77777777" w:rsidR="003B72E3" w:rsidRPr="0037177B" w:rsidRDefault="003B72E3" w:rsidP="001A3393">
            <w:pPr>
              <w:tabs>
                <w:tab w:val="left" w:pos="162"/>
              </w:tabs>
              <w:spacing w:after="0" w:line="240" w:lineRule="auto"/>
              <w:ind w:left="162"/>
              <w:jc w:val="center"/>
              <w:rPr>
                <w:rFonts w:ascii="Arial" w:eastAsia="Times New Roman" w:hAnsi="Arial" w:cs="Arial"/>
                <w:sz w:val="17"/>
                <w:szCs w:val="17"/>
              </w:rPr>
            </w:pPr>
            <w:r w:rsidRPr="0037177B">
              <w:rPr>
                <w:rFonts w:ascii="Arial" w:hAnsi="Arial" w:cs="Arial"/>
                <w:b/>
                <w:color w:val="3C3C3B"/>
                <w:kern w:val="24"/>
                <w:sz w:val="17"/>
                <w:szCs w:val="17"/>
              </w:rPr>
              <w:t>Primaire</w:t>
            </w:r>
          </w:p>
          <w:p w14:paraId="7E594BFB" w14:textId="77777777" w:rsidR="003B72E3" w:rsidRPr="0037177B" w:rsidRDefault="003B72E3" w:rsidP="003B72E3">
            <w:pPr>
              <w:pStyle w:val="ListParagraph"/>
              <w:numPr>
                <w:ilvl w:val="0"/>
                <w:numId w:val="25"/>
              </w:numPr>
              <w:tabs>
                <w:tab w:val="left" w:pos="162"/>
              </w:tabs>
              <w:spacing w:after="0" w:line="240" w:lineRule="auto"/>
              <w:ind w:left="522"/>
              <w:jc w:val="left"/>
              <w:rPr>
                <w:rFonts w:eastAsia="Times New Roman" w:cs="Arial"/>
                <w:iCs/>
                <w:color w:val="3C3C3B"/>
                <w:kern w:val="24"/>
                <w:sz w:val="17"/>
                <w:szCs w:val="17"/>
              </w:rPr>
            </w:pPr>
            <w:r w:rsidRPr="0037177B">
              <w:rPr>
                <w:rFonts w:cs="Arial"/>
                <w:color w:val="3C3C3B"/>
                <w:kern w:val="24"/>
                <w:sz w:val="17"/>
                <w:szCs w:val="17"/>
              </w:rPr>
              <w:t>Responsable de la création d’un plan de projet et de la gestion de la mise en œuvre de la Stratégie de données dans la CFP.</w:t>
            </w:r>
          </w:p>
          <w:p w14:paraId="42C4CF20" w14:textId="77777777" w:rsidR="003B72E3" w:rsidRPr="0037177B" w:rsidRDefault="003B72E3" w:rsidP="003B72E3">
            <w:pPr>
              <w:pStyle w:val="ListParagraph"/>
              <w:numPr>
                <w:ilvl w:val="0"/>
                <w:numId w:val="25"/>
              </w:numPr>
              <w:tabs>
                <w:tab w:val="left" w:pos="162"/>
              </w:tabs>
              <w:spacing w:after="0" w:line="240" w:lineRule="auto"/>
              <w:ind w:left="522"/>
              <w:jc w:val="left"/>
              <w:rPr>
                <w:rFonts w:eastAsia="Times New Roman" w:cs="Arial"/>
                <w:sz w:val="17"/>
                <w:szCs w:val="17"/>
              </w:rPr>
            </w:pPr>
            <w:r w:rsidRPr="0037177B">
              <w:rPr>
                <w:rFonts w:cs="Arial"/>
                <w:color w:val="3C3C3B"/>
                <w:kern w:val="24"/>
                <w:sz w:val="17"/>
                <w:szCs w:val="17"/>
              </w:rPr>
              <w:t xml:space="preserve">Surveille et communique les progrès réalisés sur la </w:t>
            </w:r>
            <w:r w:rsidRPr="0037177B">
              <w:rPr>
                <w:rFonts w:cs="Arial"/>
                <w:color w:val="3C3C3B"/>
                <w:kern w:val="24"/>
                <w:sz w:val="17"/>
                <w:szCs w:val="17"/>
              </w:rPr>
              <w:lastRenderedPageBreak/>
              <w:t>mise en œuvre de la Stratégie de données.</w:t>
            </w:r>
          </w:p>
        </w:tc>
        <w:tc>
          <w:tcPr>
            <w:tcW w:w="2300" w:type="dxa"/>
            <w:shd w:val="clear" w:color="auto" w:fill="E7F1EF"/>
            <w:tcMar>
              <w:top w:w="57" w:type="dxa"/>
              <w:left w:w="57" w:type="dxa"/>
              <w:bottom w:w="57" w:type="dxa"/>
              <w:right w:w="57" w:type="dxa"/>
            </w:tcMar>
            <w:hideMark/>
          </w:tcPr>
          <w:p w14:paraId="134AD612" w14:textId="77777777" w:rsidR="003B72E3" w:rsidRPr="0037177B" w:rsidRDefault="003B72E3" w:rsidP="001A3393">
            <w:pPr>
              <w:tabs>
                <w:tab w:val="left" w:pos="162"/>
              </w:tabs>
              <w:spacing w:after="0" w:line="240" w:lineRule="auto"/>
              <w:jc w:val="center"/>
              <w:rPr>
                <w:rFonts w:ascii="Arial" w:eastAsia="Times New Roman" w:hAnsi="Arial" w:cs="Arial"/>
                <w:b/>
                <w:bCs/>
                <w:color w:val="3C3C3B"/>
                <w:kern w:val="24"/>
                <w:sz w:val="17"/>
                <w:szCs w:val="17"/>
              </w:rPr>
            </w:pPr>
            <w:r w:rsidRPr="0037177B">
              <w:rPr>
                <w:rFonts w:ascii="Arial" w:hAnsi="Arial" w:cs="Arial"/>
                <w:b/>
                <w:color w:val="3C3C3B"/>
                <w:kern w:val="24"/>
                <w:sz w:val="17"/>
                <w:szCs w:val="17"/>
              </w:rPr>
              <w:lastRenderedPageBreak/>
              <w:t>Partenaire</w:t>
            </w:r>
          </w:p>
          <w:p w14:paraId="3903230B" w14:textId="77777777" w:rsidR="003B72E3" w:rsidRPr="0037177B" w:rsidRDefault="003B72E3" w:rsidP="003B72E3">
            <w:pPr>
              <w:pStyle w:val="ListParagraph"/>
              <w:numPr>
                <w:ilvl w:val="0"/>
                <w:numId w:val="30"/>
              </w:numPr>
              <w:tabs>
                <w:tab w:val="left" w:pos="162"/>
              </w:tabs>
              <w:spacing w:after="0" w:line="240" w:lineRule="auto"/>
              <w:jc w:val="left"/>
              <w:rPr>
                <w:rFonts w:eastAsia="Times New Roman" w:cs="Arial"/>
                <w:sz w:val="17"/>
                <w:szCs w:val="17"/>
              </w:rPr>
            </w:pPr>
            <w:r w:rsidRPr="0037177B">
              <w:rPr>
                <w:rFonts w:cs="Arial"/>
                <w:color w:val="3C3C3B"/>
                <w:kern w:val="24"/>
                <w:sz w:val="17"/>
                <w:szCs w:val="17"/>
              </w:rPr>
              <w:t xml:space="preserve">Responsable de l’achèvement des activités liées aux données </w:t>
            </w:r>
            <w:r w:rsidR="004D3B71">
              <w:rPr>
                <w:rFonts w:cs="Arial"/>
                <w:color w:val="3C3C3B"/>
                <w:kern w:val="24"/>
                <w:sz w:val="17"/>
                <w:szCs w:val="17"/>
              </w:rPr>
              <w:t>d</w:t>
            </w:r>
            <w:r w:rsidRPr="0037177B">
              <w:rPr>
                <w:rFonts w:cs="Arial"/>
                <w:color w:val="3C3C3B"/>
                <w:kern w:val="24"/>
                <w:sz w:val="17"/>
                <w:szCs w:val="17"/>
              </w:rPr>
              <w:t>écoulant de la Stratégie de données.</w:t>
            </w:r>
          </w:p>
        </w:tc>
      </w:tr>
    </w:tbl>
    <w:p w14:paraId="444B6770" w14:textId="77777777" w:rsidR="004C10C4" w:rsidRDefault="004C10C4" w:rsidP="00892520">
      <w:pPr>
        <w:pStyle w:val="Heading2"/>
      </w:pPr>
      <w:bookmarkStart w:id="56" w:name="_Toc512263606"/>
      <w:bookmarkStart w:id="57" w:name="_Toc528845199"/>
    </w:p>
    <w:p w14:paraId="1BCBFD0B" w14:textId="77777777" w:rsidR="00AB3798" w:rsidRDefault="00A72CC9" w:rsidP="00892520">
      <w:pPr>
        <w:pStyle w:val="Heading2"/>
        <w:rPr>
          <w:rFonts w:eastAsiaTheme="minorHAnsi"/>
        </w:rPr>
      </w:pPr>
      <w:r>
        <w:t xml:space="preserve">Annexe C : Modèle de maturité </w:t>
      </w:r>
      <w:r w:rsidR="00F06935">
        <w:t>pour</w:t>
      </w:r>
      <w:r>
        <w:t xml:space="preserve"> la gestion de données (MMGD)</w:t>
      </w:r>
      <w:bookmarkEnd w:id="56"/>
      <w:bookmarkEnd w:id="57"/>
      <w:r>
        <w:t xml:space="preserve"> </w:t>
      </w:r>
    </w:p>
    <w:p w14:paraId="7BB7622A" w14:textId="77777777" w:rsidR="00892520" w:rsidRPr="00892520" w:rsidRDefault="00892520" w:rsidP="00892520"/>
    <w:p w14:paraId="453DD6ED" w14:textId="77777777" w:rsidR="00AB3798" w:rsidRPr="006F3CBE" w:rsidRDefault="00937035" w:rsidP="00961818">
      <w:pPr>
        <w:rPr>
          <w:rFonts w:ascii="Arial" w:hAnsi="Arial" w:cs="Arial"/>
          <w:szCs w:val="24"/>
        </w:rPr>
      </w:pPr>
      <w:r>
        <w:rPr>
          <w:rFonts w:ascii="Arial" w:hAnsi="Arial"/>
        </w:rPr>
        <w:t>Le MMGD aidera à cerner les lacunes, les possibilités et les risques liés à la capacité de la CFP à fournir des données sur la dotation dans la fo</w:t>
      </w:r>
      <w:r w:rsidR="00DE4AF8">
        <w:rPr>
          <w:rFonts w:ascii="Arial" w:hAnsi="Arial"/>
        </w:rPr>
        <w:t>nction publique qui sont de gran</w:t>
      </w:r>
      <w:r>
        <w:rPr>
          <w:rFonts w:ascii="Arial" w:hAnsi="Arial"/>
        </w:rPr>
        <w:t>de qualité et qui font autorité. Le MMGD servira également d’outil pour dresser une liste des activités qui doivent être entreprises pour éliminer tout risque imminent pour l’organisation. Cette approche assurera l’harmonisation à court terme et permettra d’obtenir des gains rapides.</w:t>
      </w:r>
    </w:p>
    <w:p w14:paraId="5586759A" w14:textId="21DADF38" w:rsidR="00E47D38" w:rsidRDefault="005474A1" w:rsidP="005474A1">
      <w:r>
        <w:rPr>
          <w:noProof/>
          <w:lang w:val="en-CA" w:eastAsia="en-CA" w:bidi="ar-SA"/>
        </w:rPr>
        <w:lastRenderedPageBreak/>
        <w:drawing>
          <wp:inline distT="0" distB="0" distL="0" distR="0" wp14:anchorId="64B23904" wp14:editId="6C655718">
            <wp:extent cx="4690004" cy="44237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960" t="14547" r="36542" b="14198"/>
                    <a:stretch/>
                  </pic:blipFill>
                  <pic:spPr bwMode="auto">
                    <a:xfrm>
                      <a:off x="0" y="0"/>
                      <a:ext cx="4690247" cy="4423948"/>
                    </a:xfrm>
                    <a:prstGeom prst="rect">
                      <a:avLst/>
                    </a:prstGeom>
                    <a:ln>
                      <a:noFill/>
                    </a:ln>
                    <a:extLst>
                      <a:ext uri="{53640926-AAD7-44D8-BBD7-CCE9431645EC}">
                        <a14:shadowObscured xmlns:a14="http://schemas.microsoft.com/office/drawing/2010/main"/>
                      </a:ext>
                    </a:extLst>
                  </pic:spPr>
                </pic:pic>
              </a:graphicData>
            </a:graphic>
          </wp:inline>
        </w:drawing>
      </w:r>
    </w:p>
    <w:p w14:paraId="225A8976" w14:textId="77777777" w:rsidR="00E47D38" w:rsidRPr="00E47D38" w:rsidRDefault="00E47D38" w:rsidP="00E47D38">
      <w:pPr>
        <w:pStyle w:val="Caption"/>
        <w:jc w:val="center"/>
        <w:rPr>
          <w:rFonts w:asciiTheme="majorHAnsi" w:hAnsiTheme="majorHAnsi" w:cstheme="majorHAnsi"/>
          <w:i w:val="0"/>
          <w:color w:val="auto"/>
          <w:sz w:val="20"/>
          <w:szCs w:val="24"/>
        </w:rPr>
      </w:pPr>
      <w:r w:rsidRPr="00E47D38">
        <w:rPr>
          <w:rFonts w:asciiTheme="majorHAnsi" w:hAnsiTheme="majorHAnsi" w:cstheme="majorHAnsi"/>
          <w:b/>
          <w:i w:val="0"/>
          <w:color w:val="auto"/>
          <w:sz w:val="20"/>
          <w:szCs w:val="24"/>
        </w:rPr>
        <w:t xml:space="preserve">Figure </w:t>
      </w:r>
      <w:r w:rsidRPr="00E47D38">
        <w:rPr>
          <w:rFonts w:asciiTheme="majorHAnsi" w:hAnsiTheme="majorHAnsi" w:cstheme="majorHAnsi"/>
          <w:b/>
          <w:i w:val="0"/>
          <w:color w:val="auto"/>
          <w:sz w:val="20"/>
          <w:szCs w:val="24"/>
        </w:rPr>
        <w:fldChar w:fldCharType="begin"/>
      </w:r>
      <w:r w:rsidRPr="00E47D38">
        <w:rPr>
          <w:rFonts w:asciiTheme="majorHAnsi" w:hAnsiTheme="majorHAnsi" w:cstheme="majorHAnsi"/>
          <w:b/>
          <w:i w:val="0"/>
          <w:color w:val="auto"/>
          <w:sz w:val="20"/>
          <w:szCs w:val="24"/>
        </w:rPr>
        <w:instrText xml:space="preserve"> SEQ Figure \* ARABIC </w:instrText>
      </w:r>
      <w:r w:rsidRPr="00E47D38">
        <w:rPr>
          <w:rFonts w:asciiTheme="majorHAnsi" w:hAnsiTheme="majorHAnsi" w:cstheme="majorHAnsi"/>
          <w:b/>
          <w:i w:val="0"/>
          <w:color w:val="auto"/>
          <w:sz w:val="20"/>
          <w:szCs w:val="24"/>
        </w:rPr>
        <w:fldChar w:fldCharType="separate"/>
      </w:r>
      <w:r w:rsidR="00AD02DE">
        <w:rPr>
          <w:rFonts w:asciiTheme="majorHAnsi" w:hAnsiTheme="majorHAnsi" w:cstheme="majorHAnsi"/>
          <w:b/>
          <w:i w:val="0"/>
          <w:noProof/>
          <w:color w:val="auto"/>
          <w:sz w:val="20"/>
          <w:szCs w:val="24"/>
        </w:rPr>
        <w:t>3</w:t>
      </w:r>
      <w:r w:rsidRPr="00E47D38">
        <w:rPr>
          <w:rFonts w:asciiTheme="majorHAnsi" w:hAnsiTheme="majorHAnsi" w:cstheme="majorHAnsi"/>
          <w:b/>
          <w:i w:val="0"/>
          <w:color w:val="auto"/>
          <w:sz w:val="20"/>
          <w:szCs w:val="24"/>
        </w:rPr>
        <w:fldChar w:fldCharType="end"/>
      </w:r>
      <w:r w:rsidRPr="00E47D38">
        <w:rPr>
          <w:rFonts w:asciiTheme="majorHAnsi" w:hAnsiTheme="majorHAnsi" w:cstheme="majorHAnsi"/>
          <w:i w:val="0"/>
          <w:color w:val="auto"/>
          <w:sz w:val="20"/>
          <w:szCs w:val="24"/>
        </w:rPr>
        <w:t xml:space="preserve"> : Discipline de gestion des données</w:t>
      </w:r>
    </w:p>
    <w:p w14:paraId="065838A8" w14:textId="77777777" w:rsidR="00E47D38" w:rsidRPr="00E47D38" w:rsidRDefault="00E47D38" w:rsidP="00E47D38">
      <w:pPr>
        <w:pStyle w:val="Caption"/>
        <w:jc w:val="center"/>
        <w:rPr>
          <w:rFonts w:asciiTheme="majorHAnsi" w:hAnsiTheme="majorHAnsi" w:cstheme="majorHAnsi"/>
          <w:i w:val="0"/>
          <w:color w:val="auto"/>
          <w:sz w:val="20"/>
          <w:szCs w:val="24"/>
        </w:rPr>
      </w:pPr>
      <w:r w:rsidRPr="00E47D38">
        <w:rPr>
          <w:rFonts w:asciiTheme="majorHAnsi" w:hAnsiTheme="majorHAnsi" w:cstheme="majorHAnsi"/>
          <w:i w:val="0"/>
          <w:color w:val="auto"/>
          <w:sz w:val="20"/>
          <w:szCs w:val="24"/>
        </w:rPr>
        <w:t>Adapté de la Carnegie Mellon University – Institut de génie logiciel</w:t>
      </w:r>
      <w:r w:rsidR="00375170">
        <w:rPr>
          <w:rFonts w:asciiTheme="majorHAnsi" w:hAnsiTheme="majorHAnsi" w:cstheme="majorHAnsi"/>
          <w:i w:val="0"/>
          <w:color w:val="auto"/>
          <w:sz w:val="20"/>
          <w:szCs w:val="24"/>
        </w:rPr>
        <w:t xml:space="preserve"> </w:t>
      </w:r>
    </w:p>
    <w:p w14:paraId="0CCAC015" w14:textId="77777777" w:rsidR="005474A1" w:rsidRDefault="005474A1" w:rsidP="00961818">
      <w:pPr>
        <w:rPr>
          <w:rFonts w:asciiTheme="majorHAnsi" w:hAnsiTheme="majorHAnsi" w:cstheme="majorHAnsi"/>
          <w:sz w:val="22"/>
        </w:rPr>
      </w:pPr>
    </w:p>
    <w:p w14:paraId="01822EC5" w14:textId="77777777" w:rsidR="00F06935" w:rsidRPr="00C654CE" w:rsidRDefault="0085164E" w:rsidP="00961818">
      <w:pPr>
        <w:rPr>
          <w:rFonts w:asciiTheme="majorHAnsi" w:hAnsiTheme="majorHAnsi" w:cstheme="majorHAnsi"/>
          <w:sz w:val="22"/>
        </w:rPr>
      </w:pPr>
      <w:bookmarkStart w:id="58" w:name="_GoBack"/>
      <w:bookmarkEnd w:id="58"/>
      <w:r w:rsidRPr="00C66507">
        <w:rPr>
          <w:rFonts w:asciiTheme="majorHAnsi" w:hAnsiTheme="majorHAnsi" w:cstheme="majorHAnsi"/>
          <w:sz w:val="22"/>
        </w:rPr>
        <w:t>Les personnes et la gouvernance sont l'élément central du modèle. Les autres éléments du modèle sont l'architecture des données, le stockage des données et opérations, la modélisation et design des données, l'intégration des données et interopérabilité, la gestion de documents et contenu, les métadonnées, les données de référence et données maîtres, la sécurité des données et la qualité des données.</w:t>
      </w:r>
      <w:r w:rsidRPr="0085164E">
        <w:rPr>
          <w:rFonts w:asciiTheme="majorHAnsi" w:hAnsiTheme="majorHAnsi" w:cstheme="majorHAnsi"/>
          <w:sz w:val="22"/>
        </w:rPr>
        <w:t xml:space="preserve"> </w:t>
      </w:r>
    </w:p>
    <w:tbl>
      <w:tblPr>
        <w:tblpPr w:leftFromText="180" w:rightFromText="180" w:vertAnchor="text" w:horzAnchor="margin" w:tblpY="318"/>
        <w:tblW w:w="9894" w:type="dxa"/>
        <w:tblCellMar>
          <w:left w:w="0" w:type="dxa"/>
          <w:right w:w="0" w:type="dxa"/>
        </w:tblCellMar>
        <w:tblLook w:val="0420" w:firstRow="1" w:lastRow="0" w:firstColumn="0" w:lastColumn="0" w:noHBand="0" w:noVBand="1"/>
      </w:tblPr>
      <w:tblGrid>
        <w:gridCol w:w="1956"/>
        <w:gridCol w:w="7938"/>
      </w:tblGrid>
      <w:tr w:rsidR="00936904" w:rsidRPr="00612124" w14:paraId="18433765" w14:textId="77777777" w:rsidTr="008B23DC">
        <w:trPr>
          <w:trHeight w:val="552"/>
        </w:trPr>
        <w:tc>
          <w:tcPr>
            <w:tcW w:w="1956" w:type="dxa"/>
            <w:tcBorders>
              <w:top w:val="nil"/>
              <w:left w:val="nil"/>
              <w:bottom w:val="nil"/>
              <w:right w:val="nil"/>
            </w:tcBorders>
            <w:shd w:val="clear" w:color="auto" w:fill="1F8585"/>
            <w:tcMar>
              <w:left w:w="113" w:type="dxa"/>
              <w:right w:w="113" w:type="dxa"/>
            </w:tcMar>
            <w:vAlign w:val="center"/>
            <w:hideMark/>
          </w:tcPr>
          <w:p w14:paraId="7A48F5B5" w14:textId="77777777" w:rsidR="00936904" w:rsidRPr="004D4C3B" w:rsidRDefault="00936904" w:rsidP="008B23DC">
            <w:pPr>
              <w:spacing w:after="0" w:line="240" w:lineRule="auto"/>
              <w:rPr>
                <w:rFonts w:asciiTheme="majorHAnsi" w:eastAsia="Times New Roman" w:hAnsiTheme="majorHAnsi" w:cstheme="majorHAnsi"/>
                <w:sz w:val="18"/>
                <w:szCs w:val="36"/>
              </w:rPr>
            </w:pPr>
            <w:r w:rsidRPr="004D4C3B">
              <w:rPr>
                <w:rFonts w:asciiTheme="majorHAnsi" w:hAnsiTheme="majorHAnsi" w:cstheme="majorHAnsi"/>
                <w:b/>
                <w:color w:val="FFFFFF"/>
                <w:kern w:val="24"/>
                <w:sz w:val="18"/>
              </w:rPr>
              <w:t>Domaine d’intérêt</w:t>
            </w:r>
          </w:p>
        </w:tc>
        <w:tc>
          <w:tcPr>
            <w:tcW w:w="7938" w:type="dxa"/>
            <w:tcBorders>
              <w:top w:val="nil"/>
              <w:left w:val="nil"/>
              <w:bottom w:val="nil"/>
              <w:right w:val="nil"/>
            </w:tcBorders>
            <w:shd w:val="clear" w:color="auto" w:fill="1F8585"/>
            <w:tcMar>
              <w:left w:w="144" w:type="dxa"/>
              <w:right w:w="144" w:type="dxa"/>
            </w:tcMar>
            <w:vAlign w:val="center"/>
            <w:hideMark/>
          </w:tcPr>
          <w:p w14:paraId="5C071F28" w14:textId="77777777" w:rsidR="00936904" w:rsidRPr="004D4C3B" w:rsidRDefault="00936904" w:rsidP="008B23DC">
            <w:pPr>
              <w:spacing w:after="0" w:line="240" w:lineRule="auto"/>
              <w:rPr>
                <w:rFonts w:asciiTheme="majorHAnsi" w:eastAsia="Times New Roman" w:hAnsiTheme="majorHAnsi" w:cstheme="majorHAnsi"/>
                <w:sz w:val="18"/>
                <w:szCs w:val="36"/>
              </w:rPr>
            </w:pPr>
            <w:r w:rsidRPr="004D4C3B">
              <w:rPr>
                <w:rFonts w:asciiTheme="majorHAnsi" w:hAnsiTheme="majorHAnsi" w:cstheme="majorHAnsi"/>
                <w:b/>
                <w:color w:val="FFFFFF"/>
                <w:kern w:val="24"/>
                <w:sz w:val="18"/>
              </w:rPr>
              <w:t>Objet de la demande d’évaluation et des mesures</w:t>
            </w:r>
          </w:p>
        </w:tc>
      </w:tr>
      <w:tr w:rsidR="00936904" w:rsidRPr="00612124" w14:paraId="11A9284B" w14:textId="77777777" w:rsidTr="008B23DC">
        <w:trPr>
          <w:trHeight w:val="552"/>
        </w:trPr>
        <w:tc>
          <w:tcPr>
            <w:tcW w:w="1956" w:type="dxa"/>
            <w:tcBorders>
              <w:top w:val="nil"/>
              <w:left w:val="nil"/>
              <w:bottom w:val="nil"/>
              <w:right w:val="nil"/>
            </w:tcBorders>
            <w:shd w:val="clear" w:color="auto" w:fill="8FC7C4"/>
            <w:tcMar>
              <w:left w:w="113" w:type="dxa"/>
              <w:right w:w="113" w:type="dxa"/>
            </w:tcMar>
            <w:vAlign w:val="center"/>
            <w:hideMark/>
          </w:tcPr>
          <w:p w14:paraId="65B0ECD0" w14:textId="77777777" w:rsidR="00936904" w:rsidRPr="004D4C3B" w:rsidRDefault="00936904" w:rsidP="00936904">
            <w:pPr>
              <w:spacing w:after="0" w:line="240" w:lineRule="auto"/>
              <w:rPr>
                <w:rFonts w:asciiTheme="majorHAnsi" w:eastAsia="Times New Roman" w:hAnsiTheme="majorHAnsi" w:cstheme="majorHAnsi"/>
                <w:sz w:val="18"/>
                <w:szCs w:val="36"/>
              </w:rPr>
            </w:pPr>
            <w:r w:rsidRPr="004D4C3B">
              <w:rPr>
                <w:rFonts w:asciiTheme="majorHAnsi" w:hAnsiTheme="majorHAnsi" w:cstheme="majorHAnsi"/>
                <w:color w:val="000000"/>
                <w:kern w:val="24"/>
                <w:sz w:val="18"/>
              </w:rPr>
              <w:t xml:space="preserve">Qualité des données </w:t>
            </w:r>
          </w:p>
        </w:tc>
        <w:tc>
          <w:tcPr>
            <w:tcW w:w="7938" w:type="dxa"/>
            <w:tcBorders>
              <w:top w:val="nil"/>
              <w:left w:val="nil"/>
              <w:bottom w:val="nil"/>
              <w:right w:val="nil"/>
            </w:tcBorders>
            <w:shd w:val="clear" w:color="auto" w:fill="8FC7C4"/>
            <w:tcMar>
              <w:left w:w="144" w:type="dxa"/>
              <w:right w:w="144" w:type="dxa"/>
            </w:tcMar>
            <w:vAlign w:val="center"/>
            <w:hideMark/>
          </w:tcPr>
          <w:p w14:paraId="4F79E092" w14:textId="77777777" w:rsidR="00936904" w:rsidRPr="004D4C3B" w:rsidRDefault="00936904" w:rsidP="00936904">
            <w:pPr>
              <w:spacing w:after="0" w:line="240" w:lineRule="auto"/>
              <w:rPr>
                <w:rFonts w:asciiTheme="majorHAnsi" w:eastAsia="Times New Roman" w:hAnsiTheme="majorHAnsi" w:cstheme="majorHAnsi"/>
                <w:sz w:val="18"/>
                <w:szCs w:val="36"/>
              </w:rPr>
            </w:pPr>
            <w:r w:rsidRPr="004D4C3B">
              <w:rPr>
                <w:rFonts w:asciiTheme="majorHAnsi" w:hAnsiTheme="majorHAnsi" w:cstheme="majorHAnsi"/>
                <w:color w:val="000000"/>
                <w:kern w:val="24"/>
                <w:sz w:val="18"/>
              </w:rPr>
              <w:t>Exactitude, exhaustivité, pertinence, rapidité d’exécution</w:t>
            </w:r>
          </w:p>
        </w:tc>
      </w:tr>
      <w:tr w:rsidR="00936904" w:rsidRPr="00612124" w14:paraId="4D499E4A" w14:textId="77777777" w:rsidTr="008B23DC">
        <w:trPr>
          <w:trHeight w:val="552"/>
        </w:trPr>
        <w:tc>
          <w:tcPr>
            <w:tcW w:w="1956" w:type="dxa"/>
            <w:tcBorders>
              <w:top w:val="nil"/>
              <w:left w:val="nil"/>
              <w:bottom w:val="nil"/>
              <w:right w:val="nil"/>
            </w:tcBorders>
            <w:shd w:val="clear" w:color="auto" w:fill="C2E0DF"/>
            <w:tcMar>
              <w:left w:w="113" w:type="dxa"/>
              <w:right w:w="113" w:type="dxa"/>
            </w:tcMar>
            <w:vAlign w:val="center"/>
            <w:hideMark/>
          </w:tcPr>
          <w:p w14:paraId="217B8443" w14:textId="77777777" w:rsidR="00936904" w:rsidRPr="004D4C3B" w:rsidRDefault="00936904" w:rsidP="00936904">
            <w:pPr>
              <w:spacing w:after="0" w:line="240" w:lineRule="auto"/>
              <w:rPr>
                <w:rFonts w:asciiTheme="majorHAnsi" w:eastAsia="Times New Roman" w:hAnsiTheme="majorHAnsi" w:cstheme="majorHAnsi"/>
                <w:sz w:val="18"/>
                <w:szCs w:val="36"/>
              </w:rPr>
            </w:pPr>
            <w:r w:rsidRPr="004D4C3B">
              <w:rPr>
                <w:rFonts w:asciiTheme="majorHAnsi" w:hAnsiTheme="majorHAnsi" w:cstheme="majorHAnsi"/>
                <w:color w:val="000000"/>
                <w:kern w:val="24"/>
                <w:sz w:val="18"/>
              </w:rPr>
              <w:t>Sécurité des données</w:t>
            </w:r>
          </w:p>
        </w:tc>
        <w:tc>
          <w:tcPr>
            <w:tcW w:w="7938" w:type="dxa"/>
            <w:tcBorders>
              <w:top w:val="nil"/>
              <w:left w:val="nil"/>
              <w:bottom w:val="nil"/>
              <w:right w:val="nil"/>
            </w:tcBorders>
            <w:shd w:val="clear" w:color="auto" w:fill="C2E0DF"/>
            <w:tcMar>
              <w:left w:w="144" w:type="dxa"/>
              <w:right w:w="144" w:type="dxa"/>
            </w:tcMar>
            <w:vAlign w:val="center"/>
            <w:hideMark/>
          </w:tcPr>
          <w:p w14:paraId="1A8DCEF7" w14:textId="77777777" w:rsidR="00936904" w:rsidRPr="004D4C3B" w:rsidRDefault="00936904" w:rsidP="00936904">
            <w:pPr>
              <w:spacing w:after="0" w:line="240" w:lineRule="auto"/>
              <w:rPr>
                <w:rFonts w:asciiTheme="majorHAnsi" w:eastAsia="Times New Roman" w:hAnsiTheme="majorHAnsi" w:cstheme="majorHAnsi"/>
                <w:sz w:val="18"/>
                <w:szCs w:val="36"/>
              </w:rPr>
            </w:pPr>
            <w:r w:rsidRPr="004D4C3B">
              <w:rPr>
                <w:rFonts w:asciiTheme="majorHAnsi" w:hAnsiTheme="majorHAnsi" w:cstheme="majorHAnsi"/>
                <w:color w:val="000000"/>
                <w:kern w:val="24"/>
                <w:sz w:val="18"/>
              </w:rPr>
              <w:t>Confidentialité, accès, sécurité, rôles, évaluation des facteurs relatifs à la vie privée, contenu de l’utilisateur/divulgation</w:t>
            </w:r>
          </w:p>
        </w:tc>
      </w:tr>
      <w:tr w:rsidR="00936904" w:rsidRPr="00612124" w14:paraId="1D94D3DE" w14:textId="77777777" w:rsidTr="008B23DC">
        <w:trPr>
          <w:trHeight w:val="552"/>
        </w:trPr>
        <w:tc>
          <w:tcPr>
            <w:tcW w:w="1956" w:type="dxa"/>
            <w:tcBorders>
              <w:top w:val="nil"/>
              <w:left w:val="nil"/>
              <w:bottom w:val="nil"/>
              <w:right w:val="nil"/>
            </w:tcBorders>
            <w:shd w:val="clear" w:color="auto" w:fill="8FC7C4"/>
            <w:tcMar>
              <w:left w:w="113" w:type="dxa"/>
              <w:right w:w="113" w:type="dxa"/>
            </w:tcMar>
            <w:vAlign w:val="center"/>
            <w:hideMark/>
          </w:tcPr>
          <w:p w14:paraId="1C4A5E71" w14:textId="77777777" w:rsidR="00936904" w:rsidRPr="004D4C3B" w:rsidRDefault="00936904" w:rsidP="00936904">
            <w:pPr>
              <w:spacing w:after="0" w:line="240" w:lineRule="auto"/>
              <w:rPr>
                <w:rFonts w:asciiTheme="majorHAnsi" w:eastAsia="Times New Roman" w:hAnsiTheme="majorHAnsi" w:cstheme="majorHAnsi"/>
                <w:sz w:val="18"/>
                <w:szCs w:val="36"/>
              </w:rPr>
            </w:pPr>
            <w:r w:rsidRPr="004D4C3B">
              <w:rPr>
                <w:rFonts w:asciiTheme="majorHAnsi" w:hAnsiTheme="majorHAnsi" w:cstheme="majorHAnsi"/>
                <w:color w:val="000000"/>
                <w:kern w:val="24"/>
                <w:sz w:val="18"/>
              </w:rPr>
              <w:lastRenderedPageBreak/>
              <w:t>Données de référence et données maîtres</w:t>
            </w:r>
          </w:p>
        </w:tc>
        <w:tc>
          <w:tcPr>
            <w:tcW w:w="7938" w:type="dxa"/>
            <w:tcBorders>
              <w:top w:val="nil"/>
              <w:left w:val="nil"/>
              <w:bottom w:val="nil"/>
              <w:right w:val="nil"/>
            </w:tcBorders>
            <w:shd w:val="clear" w:color="auto" w:fill="8FC7C4"/>
            <w:tcMar>
              <w:left w:w="144" w:type="dxa"/>
              <w:right w:w="144" w:type="dxa"/>
            </w:tcMar>
            <w:vAlign w:val="center"/>
            <w:hideMark/>
          </w:tcPr>
          <w:p w14:paraId="6C15DB8E" w14:textId="77777777" w:rsidR="00936904" w:rsidRPr="004D4C3B" w:rsidRDefault="00936904" w:rsidP="00936904">
            <w:pPr>
              <w:spacing w:after="0" w:line="240" w:lineRule="auto"/>
              <w:rPr>
                <w:rFonts w:asciiTheme="majorHAnsi" w:eastAsia="Times New Roman" w:hAnsiTheme="majorHAnsi" w:cstheme="majorHAnsi"/>
                <w:sz w:val="18"/>
                <w:szCs w:val="36"/>
              </w:rPr>
            </w:pPr>
            <w:r w:rsidRPr="004D4C3B">
              <w:rPr>
                <w:rFonts w:asciiTheme="majorHAnsi" w:hAnsiTheme="majorHAnsi" w:cstheme="majorHAnsi"/>
                <w:color w:val="000000"/>
                <w:kern w:val="24"/>
                <w:sz w:val="18"/>
              </w:rPr>
              <w:t>Identificateurs communs (p. ex. CIDP, DN, nom, etc.), profil complet du demandeur, liste « officielle » des ministères, etc.</w:t>
            </w:r>
          </w:p>
        </w:tc>
      </w:tr>
      <w:tr w:rsidR="00936904" w:rsidRPr="00612124" w14:paraId="31C105CA" w14:textId="77777777" w:rsidTr="008B23DC">
        <w:trPr>
          <w:trHeight w:val="552"/>
        </w:trPr>
        <w:tc>
          <w:tcPr>
            <w:tcW w:w="1956" w:type="dxa"/>
            <w:tcBorders>
              <w:top w:val="nil"/>
              <w:left w:val="nil"/>
              <w:bottom w:val="nil"/>
              <w:right w:val="nil"/>
            </w:tcBorders>
            <w:shd w:val="clear" w:color="auto" w:fill="C2E0DF"/>
            <w:tcMar>
              <w:left w:w="113" w:type="dxa"/>
              <w:right w:w="113" w:type="dxa"/>
            </w:tcMar>
            <w:vAlign w:val="center"/>
            <w:hideMark/>
          </w:tcPr>
          <w:p w14:paraId="7190BA18" w14:textId="77777777" w:rsidR="00936904" w:rsidRPr="004D4C3B" w:rsidRDefault="00936904" w:rsidP="00936904">
            <w:pPr>
              <w:spacing w:after="0" w:line="240" w:lineRule="auto"/>
              <w:rPr>
                <w:rFonts w:asciiTheme="majorHAnsi" w:eastAsia="Times New Roman" w:hAnsiTheme="majorHAnsi" w:cstheme="majorHAnsi"/>
                <w:sz w:val="18"/>
                <w:szCs w:val="36"/>
              </w:rPr>
            </w:pPr>
            <w:r w:rsidRPr="004D4C3B">
              <w:rPr>
                <w:rFonts w:asciiTheme="majorHAnsi" w:hAnsiTheme="majorHAnsi" w:cstheme="majorHAnsi"/>
                <w:color w:val="000000"/>
                <w:kern w:val="24"/>
                <w:sz w:val="18"/>
              </w:rPr>
              <w:t>Métadonnées</w:t>
            </w:r>
          </w:p>
        </w:tc>
        <w:tc>
          <w:tcPr>
            <w:tcW w:w="7938" w:type="dxa"/>
            <w:tcBorders>
              <w:top w:val="nil"/>
              <w:left w:val="nil"/>
              <w:bottom w:val="nil"/>
              <w:right w:val="nil"/>
            </w:tcBorders>
            <w:shd w:val="clear" w:color="auto" w:fill="C2E0DF"/>
            <w:tcMar>
              <w:left w:w="144" w:type="dxa"/>
              <w:right w:w="144" w:type="dxa"/>
            </w:tcMar>
            <w:vAlign w:val="center"/>
            <w:hideMark/>
          </w:tcPr>
          <w:p w14:paraId="584031BD" w14:textId="77777777" w:rsidR="00936904" w:rsidRPr="004D4C3B" w:rsidRDefault="00936904" w:rsidP="00936904">
            <w:pPr>
              <w:spacing w:after="0" w:line="240" w:lineRule="auto"/>
              <w:rPr>
                <w:rFonts w:asciiTheme="majorHAnsi" w:eastAsia="Times New Roman" w:hAnsiTheme="majorHAnsi" w:cstheme="majorHAnsi"/>
                <w:sz w:val="18"/>
                <w:szCs w:val="36"/>
              </w:rPr>
            </w:pPr>
            <w:r w:rsidRPr="004D4C3B">
              <w:rPr>
                <w:rFonts w:asciiTheme="majorHAnsi" w:hAnsiTheme="majorHAnsi" w:cstheme="majorHAnsi"/>
                <w:color w:val="000000"/>
                <w:kern w:val="24"/>
                <w:sz w:val="18"/>
              </w:rPr>
              <w:t>Balises utilisées pour la conservation, la disposition; balises utilisées pour décrire le contenu et le format, les caractéristiques pour aider à comprendre les données.</w:t>
            </w:r>
          </w:p>
        </w:tc>
      </w:tr>
      <w:tr w:rsidR="00936904" w:rsidRPr="00612124" w14:paraId="53417C5A" w14:textId="77777777" w:rsidTr="008B23DC">
        <w:trPr>
          <w:trHeight w:val="552"/>
        </w:trPr>
        <w:tc>
          <w:tcPr>
            <w:tcW w:w="1956" w:type="dxa"/>
            <w:tcBorders>
              <w:top w:val="nil"/>
              <w:left w:val="nil"/>
              <w:bottom w:val="nil"/>
              <w:right w:val="nil"/>
            </w:tcBorders>
            <w:shd w:val="clear" w:color="auto" w:fill="8FC7C4"/>
            <w:tcMar>
              <w:left w:w="113" w:type="dxa"/>
              <w:right w:w="113" w:type="dxa"/>
            </w:tcMar>
            <w:vAlign w:val="center"/>
            <w:hideMark/>
          </w:tcPr>
          <w:p w14:paraId="5507DFF6" w14:textId="77777777" w:rsidR="00936904" w:rsidRPr="004D4C3B" w:rsidRDefault="00936904" w:rsidP="00936904">
            <w:pPr>
              <w:spacing w:after="0" w:line="240" w:lineRule="auto"/>
              <w:rPr>
                <w:rFonts w:asciiTheme="majorHAnsi" w:eastAsia="Times New Roman" w:hAnsiTheme="majorHAnsi" w:cstheme="majorHAnsi"/>
                <w:sz w:val="18"/>
                <w:szCs w:val="36"/>
              </w:rPr>
            </w:pPr>
            <w:r w:rsidRPr="004D4C3B">
              <w:rPr>
                <w:rFonts w:asciiTheme="majorHAnsi" w:hAnsiTheme="majorHAnsi" w:cstheme="majorHAnsi"/>
                <w:color w:val="000000"/>
                <w:kern w:val="24"/>
                <w:sz w:val="18"/>
              </w:rPr>
              <w:t xml:space="preserve">Gestion des documents et du contenu </w:t>
            </w:r>
          </w:p>
        </w:tc>
        <w:tc>
          <w:tcPr>
            <w:tcW w:w="7938" w:type="dxa"/>
            <w:tcBorders>
              <w:top w:val="nil"/>
              <w:left w:val="nil"/>
              <w:bottom w:val="nil"/>
              <w:right w:val="nil"/>
            </w:tcBorders>
            <w:shd w:val="clear" w:color="auto" w:fill="8FC7C4"/>
            <w:tcMar>
              <w:left w:w="144" w:type="dxa"/>
              <w:right w:w="144" w:type="dxa"/>
            </w:tcMar>
            <w:vAlign w:val="center"/>
            <w:hideMark/>
          </w:tcPr>
          <w:p w14:paraId="2A27C872" w14:textId="77777777" w:rsidR="00936904" w:rsidRPr="004D4C3B" w:rsidRDefault="00936904" w:rsidP="00936904">
            <w:pPr>
              <w:spacing w:after="0" w:line="240" w:lineRule="auto"/>
              <w:rPr>
                <w:rFonts w:asciiTheme="majorHAnsi" w:eastAsia="Times New Roman" w:hAnsiTheme="majorHAnsi" w:cstheme="majorHAnsi"/>
                <w:sz w:val="18"/>
                <w:szCs w:val="36"/>
              </w:rPr>
            </w:pPr>
            <w:r w:rsidRPr="004D4C3B">
              <w:rPr>
                <w:rFonts w:asciiTheme="majorHAnsi" w:hAnsiTheme="majorHAnsi" w:cstheme="majorHAnsi"/>
                <w:color w:val="000000"/>
                <w:kern w:val="24"/>
                <w:sz w:val="18"/>
              </w:rPr>
              <w:t>Recensement des données, planification du cycle de vie de l’actif, rapports et données utilisés à l’interne et à l’externe, besoins axés sur le client.</w:t>
            </w:r>
          </w:p>
        </w:tc>
      </w:tr>
      <w:tr w:rsidR="00936904" w:rsidRPr="00612124" w14:paraId="4B2E7F13" w14:textId="77777777" w:rsidTr="008B23DC">
        <w:trPr>
          <w:trHeight w:val="552"/>
        </w:trPr>
        <w:tc>
          <w:tcPr>
            <w:tcW w:w="1956" w:type="dxa"/>
            <w:tcBorders>
              <w:top w:val="nil"/>
              <w:left w:val="nil"/>
              <w:bottom w:val="nil"/>
              <w:right w:val="nil"/>
            </w:tcBorders>
            <w:shd w:val="clear" w:color="auto" w:fill="C2E0DF"/>
            <w:tcMar>
              <w:left w:w="113" w:type="dxa"/>
              <w:right w:w="113" w:type="dxa"/>
            </w:tcMar>
            <w:vAlign w:val="center"/>
            <w:hideMark/>
          </w:tcPr>
          <w:p w14:paraId="124C78B7" w14:textId="77777777" w:rsidR="00936904" w:rsidRPr="004D4C3B" w:rsidRDefault="00936904" w:rsidP="00936904">
            <w:pPr>
              <w:spacing w:after="0" w:line="240" w:lineRule="auto"/>
              <w:rPr>
                <w:rFonts w:asciiTheme="majorHAnsi" w:eastAsia="Times New Roman" w:hAnsiTheme="majorHAnsi" w:cstheme="majorHAnsi"/>
                <w:sz w:val="18"/>
                <w:szCs w:val="36"/>
              </w:rPr>
            </w:pPr>
            <w:r w:rsidRPr="004D4C3B">
              <w:rPr>
                <w:rFonts w:asciiTheme="majorHAnsi" w:hAnsiTheme="majorHAnsi" w:cstheme="majorHAnsi"/>
                <w:color w:val="000000"/>
                <w:kern w:val="24"/>
                <w:sz w:val="18"/>
              </w:rPr>
              <w:t>Intégration et interopérabilité des données</w:t>
            </w:r>
          </w:p>
        </w:tc>
        <w:tc>
          <w:tcPr>
            <w:tcW w:w="7938" w:type="dxa"/>
            <w:tcBorders>
              <w:top w:val="nil"/>
              <w:left w:val="nil"/>
              <w:bottom w:val="nil"/>
              <w:right w:val="nil"/>
            </w:tcBorders>
            <w:shd w:val="clear" w:color="auto" w:fill="C2E0DF"/>
            <w:tcMar>
              <w:left w:w="144" w:type="dxa"/>
              <w:right w:w="144" w:type="dxa"/>
            </w:tcMar>
            <w:vAlign w:val="center"/>
            <w:hideMark/>
          </w:tcPr>
          <w:p w14:paraId="1ABFCD2A" w14:textId="77777777" w:rsidR="00936904" w:rsidRPr="004D4C3B" w:rsidRDefault="00936904" w:rsidP="00936904">
            <w:pPr>
              <w:spacing w:after="0" w:line="240" w:lineRule="auto"/>
              <w:rPr>
                <w:rFonts w:asciiTheme="majorHAnsi" w:eastAsia="Times New Roman" w:hAnsiTheme="majorHAnsi" w:cstheme="majorHAnsi"/>
                <w:sz w:val="18"/>
                <w:szCs w:val="36"/>
              </w:rPr>
            </w:pPr>
            <w:r w:rsidRPr="004D4C3B">
              <w:rPr>
                <w:rFonts w:asciiTheme="majorHAnsi" w:hAnsiTheme="majorHAnsi" w:cstheme="majorHAnsi"/>
                <w:color w:val="000000"/>
                <w:kern w:val="24"/>
                <w:sz w:val="18"/>
              </w:rPr>
              <w:t xml:space="preserve">Utilité et objet des données, assurant que les données peuvent être utilisées dans de nombreux systèmes pour les besoins des utilisateurs multiples. </w:t>
            </w:r>
          </w:p>
        </w:tc>
      </w:tr>
      <w:tr w:rsidR="00936904" w:rsidRPr="00612124" w14:paraId="5ECB2624" w14:textId="77777777" w:rsidTr="008B23DC">
        <w:trPr>
          <w:trHeight w:val="552"/>
        </w:trPr>
        <w:tc>
          <w:tcPr>
            <w:tcW w:w="1956" w:type="dxa"/>
            <w:tcBorders>
              <w:top w:val="nil"/>
              <w:left w:val="nil"/>
              <w:bottom w:val="nil"/>
              <w:right w:val="nil"/>
            </w:tcBorders>
            <w:shd w:val="clear" w:color="auto" w:fill="8FC7C4"/>
            <w:tcMar>
              <w:left w:w="113" w:type="dxa"/>
              <w:right w:w="113" w:type="dxa"/>
            </w:tcMar>
            <w:vAlign w:val="center"/>
            <w:hideMark/>
          </w:tcPr>
          <w:p w14:paraId="51CDEC4B" w14:textId="77777777" w:rsidR="00936904" w:rsidRPr="004D4C3B" w:rsidRDefault="00936904" w:rsidP="00936904">
            <w:pPr>
              <w:spacing w:after="0" w:line="240" w:lineRule="auto"/>
              <w:rPr>
                <w:rFonts w:asciiTheme="majorHAnsi" w:eastAsia="Times New Roman" w:hAnsiTheme="majorHAnsi" w:cstheme="majorHAnsi"/>
                <w:sz w:val="18"/>
                <w:szCs w:val="36"/>
              </w:rPr>
            </w:pPr>
            <w:r w:rsidRPr="004D4C3B">
              <w:rPr>
                <w:rFonts w:asciiTheme="majorHAnsi" w:hAnsiTheme="majorHAnsi" w:cstheme="majorHAnsi"/>
                <w:color w:val="000000"/>
                <w:kern w:val="24"/>
                <w:sz w:val="18"/>
              </w:rPr>
              <w:t>Modélisation et conception des données</w:t>
            </w:r>
          </w:p>
        </w:tc>
        <w:tc>
          <w:tcPr>
            <w:tcW w:w="7938" w:type="dxa"/>
            <w:tcBorders>
              <w:top w:val="nil"/>
              <w:left w:val="nil"/>
              <w:bottom w:val="nil"/>
              <w:right w:val="nil"/>
            </w:tcBorders>
            <w:shd w:val="clear" w:color="auto" w:fill="8FC7C4"/>
            <w:tcMar>
              <w:left w:w="144" w:type="dxa"/>
              <w:right w:w="144" w:type="dxa"/>
            </w:tcMar>
            <w:vAlign w:val="center"/>
            <w:hideMark/>
          </w:tcPr>
          <w:p w14:paraId="63EEE4C4" w14:textId="77777777" w:rsidR="00936904" w:rsidRPr="004D4C3B" w:rsidRDefault="00936904" w:rsidP="00936904">
            <w:pPr>
              <w:spacing w:after="0" w:line="240" w:lineRule="auto"/>
              <w:rPr>
                <w:rFonts w:asciiTheme="majorHAnsi" w:eastAsia="Times New Roman" w:hAnsiTheme="majorHAnsi" w:cstheme="majorHAnsi"/>
                <w:sz w:val="18"/>
                <w:szCs w:val="36"/>
              </w:rPr>
            </w:pPr>
            <w:r w:rsidRPr="004D4C3B">
              <w:rPr>
                <w:rFonts w:asciiTheme="majorHAnsi" w:hAnsiTheme="majorHAnsi" w:cstheme="majorHAnsi"/>
                <w:color w:val="000000"/>
                <w:kern w:val="24"/>
                <w:sz w:val="18"/>
              </w:rPr>
              <w:t>Établissement de normes et de procédures « étape par étape »; création systémique et itération du perfectionnement des blocs fonctionnels utilisés dans les requêtes et les rapports.</w:t>
            </w:r>
          </w:p>
        </w:tc>
      </w:tr>
      <w:tr w:rsidR="00936904" w:rsidRPr="00612124" w14:paraId="674308BD" w14:textId="77777777" w:rsidTr="008B23DC">
        <w:trPr>
          <w:trHeight w:val="552"/>
        </w:trPr>
        <w:tc>
          <w:tcPr>
            <w:tcW w:w="1956" w:type="dxa"/>
            <w:tcBorders>
              <w:top w:val="nil"/>
              <w:left w:val="nil"/>
              <w:bottom w:val="nil"/>
              <w:right w:val="nil"/>
            </w:tcBorders>
            <w:shd w:val="clear" w:color="auto" w:fill="C2E0DF"/>
            <w:tcMar>
              <w:left w:w="113" w:type="dxa"/>
              <w:right w:w="113" w:type="dxa"/>
            </w:tcMar>
            <w:vAlign w:val="center"/>
            <w:hideMark/>
          </w:tcPr>
          <w:p w14:paraId="32832558" w14:textId="77777777" w:rsidR="00936904" w:rsidRPr="004D4C3B" w:rsidRDefault="00936904" w:rsidP="00936904">
            <w:pPr>
              <w:spacing w:after="0" w:line="240" w:lineRule="auto"/>
              <w:rPr>
                <w:rFonts w:asciiTheme="majorHAnsi" w:eastAsia="Times New Roman" w:hAnsiTheme="majorHAnsi" w:cstheme="majorHAnsi"/>
                <w:sz w:val="18"/>
                <w:szCs w:val="36"/>
              </w:rPr>
            </w:pPr>
            <w:r w:rsidRPr="004D4C3B">
              <w:rPr>
                <w:rFonts w:asciiTheme="majorHAnsi" w:hAnsiTheme="majorHAnsi" w:cstheme="majorHAnsi"/>
                <w:color w:val="000000"/>
                <w:kern w:val="24"/>
                <w:sz w:val="18"/>
              </w:rPr>
              <w:t>Stockage des données et opérations</w:t>
            </w:r>
          </w:p>
        </w:tc>
        <w:tc>
          <w:tcPr>
            <w:tcW w:w="7938" w:type="dxa"/>
            <w:tcBorders>
              <w:top w:val="nil"/>
              <w:left w:val="nil"/>
              <w:bottom w:val="nil"/>
              <w:right w:val="nil"/>
            </w:tcBorders>
            <w:shd w:val="clear" w:color="auto" w:fill="C2E0DF"/>
            <w:tcMar>
              <w:left w:w="144" w:type="dxa"/>
              <w:right w:w="144" w:type="dxa"/>
            </w:tcMar>
            <w:vAlign w:val="center"/>
            <w:hideMark/>
          </w:tcPr>
          <w:p w14:paraId="6C3C7AE1" w14:textId="77777777" w:rsidR="00936904" w:rsidRPr="004D4C3B" w:rsidRDefault="00936904" w:rsidP="00936904">
            <w:pPr>
              <w:spacing w:after="0" w:line="240" w:lineRule="auto"/>
              <w:rPr>
                <w:rFonts w:asciiTheme="majorHAnsi" w:eastAsia="Times New Roman" w:hAnsiTheme="majorHAnsi" w:cstheme="majorHAnsi"/>
                <w:sz w:val="18"/>
                <w:szCs w:val="36"/>
              </w:rPr>
            </w:pPr>
            <w:r w:rsidRPr="004D4C3B">
              <w:rPr>
                <w:rFonts w:asciiTheme="majorHAnsi" w:hAnsiTheme="majorHAnsi" w:cstheme="majorHAnsi"/>
                <w:color w:val="000000"/>
                <w:kern w:val="24"/>
                <w:sz w:val="18"/>
              </w:rPr>
              <w:t>Lac de données, Carrefour de données, portail du gouvernement ouvert, etc. (infrastructure technique pour faciliter le stockage, l’organisation, l’analyse, le libre-service, l’innovation), exigences auxquelles font face les clients (fondées sur les besoins).</w:t>
            </w:r>
          </w:p>
        </w:tc>
      </w:tr>
      <w:tr w:rsidR="00936904" w:rsidRPr="00612124" w14:paraId="71651BF3" w14:textId="77777777" w:rsidTr="008B23DC">
        <w:trPr>
          <w:trHeight w:val="552"/>
        </w:trPr>
        <w:tc>
          <w:tcPr>
            <w:tcW w:w="1956" w:type="dxa"/>
            <w:tcBorders>
              <w:top w:val="nil"/>
              <w:left w:val="nil"/>
              <w:bottom w:val="nil"/>
              <w:right w:val="nil"/>
            </w:tcBorders>
            <w:shd w:val="clear" w:color="auto" w:fill="8FC7C4"/>
            <w:tcMar>
              <w:left w:w="113" w:type="dxa"/>
              <w:right w:w="113" w:type="dxa"/>
            </w:tcMar>
            <w:vAlign w:val="center"/>
            <w:hideMark/>
          </w:tcPr>
          <w:p w14:paraId="11B3365F" w14:textId="77777777" w:rsidR="00936904" w:rsidRPr="004D4C3B" w:rsidRDefault="00936904" w:rsidP="00936904">
            <w:pPr>
              <w:spacing w:after="0" w:line="240" w:lineRule="auto"/>
              <w:rPr>
                <w:rFonts w:asciiTheme="majorHAnsi" w:eastAsia="Times New Roman" w:hAnsiTheme="majorHAnsi" w:cstheme="majorHAnsi"/>
                <w:sz w:val="18"/>
                <w:szCs w:val="36"/>
              </w:rPr>
            </w:pPr>
            <w:r w:rsidRPr="004D4C3B">
              <w:rPr>
                <w:rFonts w:asciiTheme="majorHAnsi" w:hAnsiTheme="majorHAnsi" w:cstheme="majorHAnsi"/>
                <w:color w:val="000000"/>
                <w:kern w:val="24"/>
                <w:sz w:val="18"/>
              </w:rPr>
              <w:t>Architecture de données</w:t>
            </w:r>
          </w:p>
        </w:tc>
        <w:tc>
          <w:tcPr>
            <w:tcW w:w="7938" w:type="dxa"/>
            <w:tcBorders>
              <w:top w:val="nil"/>
              <w:left w:val="nil"/>
              <w:bottom w:val="nil"/>
              <w:right w:val="nil"/>
            </w:tcBorders>
            <w:shd w:val="clear" w:color="auto" w:fill="8FC7C4"/>
            <w:tcMar>
              <w:left w:w="144" w:type="dxa"/>
              <w:right w:w="144" w:type="dxa"/>
            </w:tcMar>
            <w:vAlign w:val="center"/>
            <w:hideMark/>
          </w:tcPr>
          <w:p w14:paraId="233989B8" w14:textId="77777777" w:rsidR="00936904" w:rsidRPr="004D4C3B" w:rsidRDefault="00936904" w:rsidP="00936904">
            <w:pPr>
              <w:spacing w:after="0" w:line="240" w:lineRule="auto"/>
              <w:rPr>
                <w:rFonts w:asciiTheme="majorHAnsi" w:eastAsia="Times New Roman" w:hAnsiTheme="majorHAnsi" w:cstheme="majorHAnsi"/>
                <w:sz w:val="18"/>
                <w:szCs w:val="36"/>
              </w:rPr>
            </w:pPr>
            <w:r w:rsidRPr="004D4C3B">
              <w:rPr>
                <w:rFonts w:asciiTheme="majorHAnsi" w:hAnsiTheme="majorHAnsi" w:cstheme="majorHAnsi"/>
                <w:color w:val="000000"/>
                <w:kern w:val="24"/>
                <w:sz w:val="18"/>
              </w:rPr>
              <w:t>Mappage des données, compréhension du flux des données</w:t>
            </w:r>
          </w:p>
        </w:tc>
      </w:tr>
    </w:tbl>
    <w:p w14:paraId="4EEE3DC0" w14:textId="77777777" w:rsidR="00F06935" w:rsidRDefault="00F06935" w:rsidP="00961818"/>
    <w:p w14:paraId="24C3CDFC" w14:textId="77777777" w:rsidR="001F1D57" w:rsidRDefault="001F1D57" w:rsidP="00C867D8">
      <w:pPr>
        <w:pStyle w:val="Heading2"/>
      </w:pPr>
    </w:p>
    <w:p w14:paraId="06C21138" w14:textId="77777777" w:rsidR="00F05862" w:rsidRDefault="00F05862" w:rsidP="00C867D8">
      <w:pPr>
        <w:pStyle w:val="Heading2"/>
      </w:pPr>
      <w:r>
        <w:br w:type="page"/>
      </w:r>
    </w:p>
    <w:p w14:paraId="5E1B4E8F" w14:textId="77777777" w:rsidR="00C867D8" w:rsidRDefault="00C867D8" w:rsidP="00C867D8">
      <w:pPr>
        <w:pStyle w:val="Heading2"/>
      </w:pPr>
      <w:bookmarkStart w:id="59" w:name="_Toc528845200"/>
      <w:r>
        <w:lastRenderedPageBreak/>
        <w:t xml:space="preserve">Annexe D : </w:t>
      </w:r>
      <w:r w:rsidR="00DB5A16">
        <w:t>Acronymes</w:t>
      </w:r>
      <w:bookmarkEnd w:id="59"/>
    </w:p>
    <w:p w14:paraId="58A1AD26" w14:textId="77777777" w:rsidR="00C867D8" w:rsidRDefault="00C867D8" w:rsidP="00C867D8"/>
    <w:tbl>
      <w:tblPr>
        <w:tblStyle w:val="TableGrid"/>
        <w:tblW w:w="0" w:type="auto"/>
        <w:tblLook w:val="04A0" w:firstRow="1" w:lastRow="0" w:firstColumn="1" w:lastColumn="0" w:noHBand="0" w:noVBand="1"/>
        <w:tblDescription w:val="Liste des acronymes et définitions"/>
      </w:tblPr>
      <w:tblGrid>
        <w:gridCol w:w="1555"/>
        <w:gridCol w:w="7795"/>
      </w:tblGrid>
      <w:tr w:rsidR="00C867D8" w:rsidRPr="003237D5" w14:paraId="7E355A1C" w14:textId="77777777" w:rsidTr="001A3393">
        <w:trPr>
          <w:tblHeader/>
        </w:trPr>
        <w:tc>
          <w:tcPr>
            <w:tcW w:w="1555" w:type="dxa"/>
            <w:shd w:val="clear" w:color="auto" w:fill="D9D9D9" w:themeFill="background1" w:themeFillShade="D9"/>
          </w:tcPr>
          <w:p w14:paraId="4D7C658B" w14:textId="77777777" w:rsidR="00C867D8" w:rsidRPr="003237D5" w:rsidRDefault="00C867D8" w:rsidP="001A3393">
            <w:pPr>
              <w:jc w:val="center"/>
              <w:rPr>
                <w:rFonts w:ascii="Arial" w:hAnsi="Arial" w:cs="Arial"/>
                <w:b/>
                <w:color w:val="3C3C3B" w:themeColor="text1"/>
                <w:szCs w:val="24"/>
              </w:rPr>
            </w:pPr>
            <w:r>
              <w:rPr>
                <w:rFonts w:ascii="Arial" w:hAnsi="Arial" w:cs="Arial"/>
                <w:b/>
                <w:color w:val="3C3C3B" w:themeColor="text1"/>
                <w:szCs w:val="24"/>
              </w:rPr>
              <w:t>Acronymes</w:t>
            </w:r>
          </w:p>
        </w:tc>
        <w:tc>
          <w:tcPr>
            <w:tcW w:w="7795" w:type="dxa"/>
            <w:shd w:val="clear" w:color="auto" w:fill="D9D9D9" w:themeFill="background1" w:themeFillShade="D9"/>
          </w:tcPr>
          <w:p w14:paraId="38505E10" w14:textId="77777777" w:rsidR="00C867D8" w:rsidRPr="003237D5" w:rsidRDefault="00C867D8" w:rsidP="001A3393">
            <w:pPr>
              <w:jc w:val="center"/>
              <w:rPr>
                <w:rFonts w:ascii="Arial" w:hAnsi="Arial" w:cs="Arial"/>
                <w:b/>
                <w:color w:val="3C3C3B" w:themeColor="text1"/>
                <w:szCs w:val="24"/>
              </w:rPr>
            </w:pPr>
            <w:r w:rsidRPr="003237D5">
              <w:rPr>
                <w:rFonts w:ascii="Arial" w:hAnsi="Arial" w:cs="Arial"/>
                <w:b/>
                <w:color w:val="3C3C3B" w:themeColor="text1"/>
                <w:szCs w:val="24"/>
              </w:rPr>
              <w:t>Définition</w:t>
            </w:r>
          </w:p>
        </w:tc>
      </w:tr>
      <w:tr w:rsidR="00BF1B98" w:rsidRPr="003237D5" w14:paraId="255F70A3" w14:textId="77777777" w:rsidTr="001A3393">
        <w:tc>
          <w:tcPr>
            <w:tcW w:w="1555" w:type="dxa"/>
            <w:shd w:val="clear" w:color="auto" w:fill="auto"/>
          </w:tcPr>
          <w:p w14:paraId="5FCEDD41" w14:textId="77777777" w:rsidR="00BF1B98" w:rsidRPr="00BF1B98" w:rsidRDefault="00BF1B98" w:rsidP="001A3393">
            <w:pPr>
              <w:rPr>
                <w:rFonts w:ascii="Arial" w:hAnsi="Arial" w:cs="Arial"/>
                <w:color w:val="3C3C3B" w:themeColor="text1"/>
                <w:szCs w:val="24"/>
              </w:rPr>
            </w:pPr>
            <w:r>
              <w:rPr>
                <w:rFonts w:ascii="Arial" w:hAnsi="Arial" w:cs="Arial"/>
                <w:color w:val="3C3C3B" w:themeColor="text1"/>
                <w:szCs w:val="24"/>
              </w:rPr>
              <w:t>BDEE</w:t>
            </w:r>
          </w:p>
        </w:tc>
        <w:tc>
          <w:tcPr>
            <w:tcW w:w="7795" w:type="dxa"/>
            <w:shd w:val="clear" w:color="auto" w:fill="auto"/>
          </w:tcPr>
          <w:p w14:paraId="1E0AF4D6" w14:textId="77777777" w:rsidR="00BF1B98" w:rsidRPr="00BF1B98" w:rsidRDefault="00BF1B98" w:rsidP="001A3393">
            <w:pPr>
              <w:rPr>
                <w:rFonts w:ascii="Arial" w:hAnsi="Arial" w:cs="Arial"/>
                <w:color w:val="3C3C3B" w:themeColor="text1"/>
                <w:szCs w:val="24"/>
              </w:rPr>
            </w:pPr>
            <w:r>
              <w:rPr>
                <w:rFonts w:ascii="Arial" w:hAnsi="Arial" w:cs="Arial"/>
                <w:color w:val="3C3C3B" w:themeColor="text1"/>
                <w:szCs w:val="24"/>
              </w:rPr>
              <w:t>Bureau de données sur l’équité en emploi</w:t>
            </w:r>
          </w:p>
        </w:tc>
      </w:tr>
      <w:tr w:rsidR="00187C3B" w:rsidRPr="003237D5" w14:paraId="3AE90DC5" w14:textId="77777777" w:rsidTr="001A3393">
        <w:tc>
          <w:tcPr>
            <w:tcW w:w="1555" w:type="dxa"/>
            <w:shd w:val="clear" w:color="auto" w:fill="auto"/>
          </w:tcPr>
          <w:p w14:paraId="5970EE36" w14:textId="77777777" w:rsidR="00187C3B" w:rsidRDefault="00187C3B" w:rsidP="001A3393">
            <w:pPr>
              <w:rPr>
                <w:rFonts w:ascii="Arial" w:hAnsi="Arial" w:cs="Arial"/>
                <w:color w:val="3C3C3B" w:themeColor="text1"/>
                <w:szCs w:val="24"/>
              </w:rPr>
            </w:pPr>
            <w:r>
              <w:rPr>
                <w:rFonts w:ascii="Arial" w:hAnsi="Arial" w:cs="Arial"/>
                <w:color w:val="3C3C3B" w:themeColor="text1"/>
                <w:szCs w:val="24"/>
              </w:rPr>
              <w:t>BGD</w:t>
            </w:r>
          </w:p>
        </w:tc>
        <w:tc>
          <w:tcPr>
            <w:tcW w:w="7795" w:type="dxa"/>
            <w:shd w:val="clear" w:color="auto" w:fill="auto"/>
          </w:tcPr>
          <w:p w14:paraId="5C6F7504" w14:textId="77777777" w:rsidR="00187C3B" w:rsidRDefault="00187C3B" w:rsidP="005940C1">
            <w:pPr>
              <w:rPr>
                <w:rFonts w:ascii="Arial" w:hAnsi="Arial" w:cs="Arial"/>
                <w:color w:val="3C3C3B" w:themeColor="text1"/>
                <w:szCs w:val="24"/>
              </w:rPr>
            </w:pPr>
            <w:r>
              <w:rPr>
                <w:rFonts w:ascii="Arial" w:hAnsi="Arial" w:cs="Arial"/>
                <w:color w:val="3C3C3B" w:themeColor="text1"/>
                <w:szCs w:val="24"/>
              </w:rPr>
              <w:t xml:space="preserve">Bureau de </w:t>
            </w:r>
            <w:r w:rsidR="005940C1">
              <w:rPr>
                <w:rFonts w:ascii="Arial" w:hAnsi="Arial" w:cs="Arial"/>
                <w:color w:val="3C3C3B" w:themeColor="text1"/>
                <w:szCs w:val="24"/>
              </w:rPr>
              <w:t>g</w:t>
            </w:r>
            <w:r>
              <w:rPr>
                <w:rFonts w:ascii="Arial" w:hAnsi="Arial" w:cs="Arial"/>
                <w:color w:val="3C3C3B" w:themeColor="text1"/>
                <w:szCs w:val="24"/>
              </w:rPr>
              <w:t xml:space="preserve">estion des </w:t>
            </w:r>
            <w:r w:rsidR="005940C1">
              <w:rPr>
                <w:rFonts w:ascii="Arial" w:hAnsi="Arial" w:cs="Arial"/>
                <w:color w:val="3C3C3B" w:themeColor="text1"/>
                <w:szCs w:val="24"/>
              </w:rPr>
              <w:t>d</w:t>
            </w:r>
            <w:r>
              <w:rPr>
                <w:rFonts w:ascii="Arial" w:hAnsi="Arial" w:cs="Arial"/>
                <w:color w:val="3C3C3B" w:themeColor="text1"/>
                <w:szCs w:val="24"/>
              </w:rPr>
              <w:t>onnées</w:t>
            </w:r>
          </w:p>
        </w:tc>
      </w:tr>
      <w:tr w:rsidR="00C867D8" w:rsidRPr="003237D5" w14:paraId="3AC01E02" w14:textId="77777777" w:rsidTr="001A3393">
        <w:tc>
          <w:tcPr>
            <w:tcW w:w="1555" w:type="dxa"/>
            <w:shd w:val="clear" w:color="auto" w:fill="auto"/>
          </w:tcPr>
          <w:p w14:paraId="19C206F3" w14:textId="77777777" w:rsidR="00C867D8" w:rsidRPr="00BF1B98" w:rsidRDefault="00C867D8" w:rsidP="001A3393">
            <w:pPr>
              <w:rPr>
                <w:rFonts w:ascii="Arial" w:hAnsi="Arial" w:cs="Arial"/>
                <w:color w:val="3C3C3B" w:themeColor="text1"/>
                <w:szCs w:val="24"/>
              </w:rPr>
            </w:pPr>
            <w:r w:rsidRPr="00BF1B98">
              <w:rPr>
                <w:rFonts w:ascii="Arial" w:hAnsi="Arial" w:cs="Arial"/>
                <w:color w:val="3C3C3B" w:themeColor="text1"/>
                <w:szCs w:val="24"/>
              </w:rPr>
              <w:t>CFP</w:t>
            </w:r>
          </w:p>
        </w:tc>
        <w:tc>
          <w:tcPr>
            <w:tcW w:w="7795" w:type="dxa"/>
            <w:shd w:val="clear" w:color="auto" w:fill="auto"/>
          </w:tcPr>
          <w:p w14:paraId="43915D96" w14:textId="77777777" w:rsidR="00C867D8" w:rsidRPr="00BF1B98" w:rsidRDefault="00C867D8" w:rsidP="001A3393">
            <w:pPr>
              <w:rPr>
                <w:rFonts w:ascii="Arial" w:hAnsi="Arial" w:cs="Arial"/>
                <w:color w:val="3C3C3B" w:themeColor="text1"/>
                <w:szCs w:val="24"/>
              </w:rPr>
            </w:pPr>
            <w:r w:rsidRPr="00BF1B98">
              <w:rPr>
                <w:rFonts w:ascii="Arial" w:hAnsi="Arial" w:cs="Arial"/>
                <w:color w:val="3C3C3B" w:themeColor="text1"/>
                <w:szCs w:val="24"/>
              </w:rPr>
              <w:t>Commission de la fonction publique du Canada</w:t>
            </w:r>
          </w:p>
        </w:tc>
      </w:tr>
      <w:tr w:rsidR="00C867D8" w:rsidRPr="003237D5" w14:paraId="5996083C" w14:textId="77777777" w:rsidTr="001A3393">
        <w:tc>
          <w:tcPr>
            <w:tcW w:w="1555" w:type="dxa"/>
            <w:shd w:val="clear" w:color="auto" w:fill="auto"/>
          </w:tcPr>
          <w:p w14:paraId="774BF662" w14:textId="77777777" w:rsidR="00C867D8" w:rsidRPr="00BF1B98" w:rsidRDefault="00E32B32" w:rsidP="001A3393">
            <w:pPr>
              <w:rPr>
                <w:rFonts w:ascii="Arial" w:hAnsi="Arial" w:cs="Arial"/>
                <w:color w:val="3C3C3B" w:themeColor="text1"/>
                <w:szCs w:val="24"/>
              </w:rPr>
            </w:pPr>
            <w:r>
              <w:rPr>
                <w:rFonts w:ascii="Arial" w:hAnsi="Arial" w:cs="Arial"/>
                <w:color w:val="3C3C3B" w:themeColor="text1"/>
                <w:szCs w:val="24"/>
              </w:rPr>
              <w:t>CGI</w:t>
            </w:r>
            <w:r w:rsidR="00C867D8" w:rsidRPr="00BF1B98">
              <w:rPr>
                <w:rFonts w:ascii="Arial" w:hAnsi="Arial" w:cs="Arial"/>
                <w:color w:val="3C3C3B" w:themeColor="text1"/>
                <w:szCs w:val="24"/>
              </w:rPr>
              <w:t>TI</w:t>
            </w:r>
          </w:p>
        </w:tc>
        <w:tc>
          <w:tcPr>
            <w:tcW w:w="7795" w:type="dxa"/>
            <w:shd w:val="clear" w:color="auto" w:fill="auto"/>
          </w:tcPr>
          <w:p w14:paraId="38380EA1" w14:textId="77777777" w:rsidR="00C867D8" w:rsidRPr="00BF1B98" w:rsidRDefault="00C867D8" w:rsidP="001A3393">
            <w:pPr>
              <w:rPr>
                <w:rFonts w:ascii="Arial" w:hAnsi="Arial" w:cs="Arial"/>
                <w:color w:val="3C3C3B" w:themeColor="text1"/>
                <w:szCs w:val="24"/>
              </w:rPr>
            </w:pPr>
            <w:r w:rsidRPr="00BF1B98">
              <w:rPr>
                <w:rFonts w:ascii="Arial" w:hAnsi="Arial" w:cs="Arial"/>
                <w:color w:val="3C3C3B" w:themeColor="text1"/>
                <w:szCs w:val="24"/>
              </w:rPr>
              <w:t>Comité de la gestion de l’information/technologie de l’information</w:t>
            </w:r>
          </w:p>
        </w:tc>
      </w:tr>
      <w:tr w:rsidR="002D78CF" w:rsidRPr="003237D5" w14:paraId="53E7576B" w14:textId="77777777" w:rsidTr="001A3393">
        <w:tc>
          <w:tcPr>
            <w:tcW w:w="1555" w:type="dxa"/>
            <w:shd w:val="clear" w:color="auto" w:fill="auto"/>
          </w:tcPr>
          <w:p w14:paraId="6BC6C627" w14:textId="77777777" w:rsidR="002D78CF" w:rsidRPr="002D78CF" w:rsidRDefault="002D78CF" w:rsidP="002D78CF">
            <w:pPr>
              <w:rPr>
                <w:rFonts w:asciiTheme="majorHAnsi" w:hAnsiTheme="majorHAnsi" w:cstheme="majorHAnsi"/>
                <w:color w:val="3C3C3B" w:themeColor="text1"/>
                <w:szCs w:val="24"/>
              </w:rPr>
            </w:pPr>
            <w:r w:rsidRPr="002D78CF">
              <w:rPr>
                <w:rFonts w:asciiTheme="majorHAnsi" w:hAnsiTheme="majorHAnsi" w:cstheme="majorHAnsi"/>
              </w:rPr>
              <w:t>CGITI/CI</w:t>
            </w:r>
          </w:p>
        </w:tc>
        <w:tc>
          <w:tcPr>
            <w:tcW w:w="7795" w:type="dxa"/>
            <w:shd w:val="clear" w:color="auto" w:fill="auto"/>
          </w:tcPr>
          <w:p w14:paraId="43ACB6A3" w14:textId="77777777" w:rsidR="002D78CF" w:rsidRPr="002D78CF" w:rsidRDefault="002D78CF" w:rsidP="00B145FF">
            <w:pPr>
              <w:rPr>
                <w:rFonts w:asciiTheme="majorHAnsi" w:hAnsiTheme="majorHAnsi" w:cstheme="majorHAnsi"/>
                <w:color w:val="3C3C3B" w:themeColor="text1"/>
                <w:szCs w:val="24"/>
              </w:rPr>
            </w:pPr>
            <w:r w:rsidRPr="002D78CF">
              <w:rPr>
                <w:rFonts w:asciiTheme="majorHAnsi" w:hAnsiTheme="majorHAnsi" w:cstheme="majorHAnsi"/>
              </w:rPr>
              <w:t>Comité de la gestion de l’information/technologie de l’information</w:t>
            </w:r>
            <w:r>
              <w:rPr>
                <w:rFonts w:asciiTheme="majorHAnsi" w:hAnsiTheme="majorHAnsi" w:cstheme="majorHAnsi"/>
              </w:rPr>
              <w:t xml:space="preserve"> et Comité d’intégration</w:t>
            </w:r>
          </w:p>
        </w:tc>
      </w:tr>
      <w:tr w:rsidR="00C867D8" w:rsidRPr="003237D5" w14:paraId="5AEE200B" w14:textId="77777777" w:rsidTr="001A3393">
        <w:tc>
          <w:tcPr>
            <w:tcW w:w="1555" w:type="dxa"/>
            <w:shd w:val="clear" w:color="auto" w:fill="auto"/>
          </w:tcPr>
          <w:p w14:paraId="6D11734B" w14:textId="77777777" w:rsidR="00C867D8" w:rsidRPr="00BF1B98" w:rsidRDefault="00C867D8" w:rsidP="001A3393">
            <w:pPr>
              <w:rPr>
                <w:rFonts w:ascii="Arial" w:hAnsi="Arial" w:cs="Arial"/>
                <w:color w:val="3C3C3B" w:themeColor="text1"/>
                <w:szCs w:val="24"/>
              </w:rPr>
            </w:pPr>
            <w:r w:rsidRPr="00BF1B98">
              <w:rPr>
                <w:rFonts w:ascii="Arial" w:hAnsi="Arial" w:cs="Arial"/>
                <w:color w:val="3C3C3B" w:themeColor="text1"/>
                <w:szCs w:val="24"/>
              </w:rPr>
              <w:t>CI</w:t>
            </w:r>
          </w:p>
        </w:tc>
        <w:tc>
          <w:tcPr>
            <w:tcW w:w="7795" w:type="dxa"/>
            <w:shd w:val="clear" w:color="auto" w:fill="auto"/>
          </w:tcPr>
          <w:p w14:paraId="5180F2C4" w14:textId="77777777" w:rsidR="00C867D8" w:rsidRPr="00BF1B98" w:rsidRDefault="00C867D8" w:rsidP="001A3393">
            <w:pPr>
              <w:rPr>
                <w:rFonts w:ascii="Arial" w:hAnsi="Arial" w:cs="Arial"/>
                <w:color w:val="3C3C3B" w:themeColor="text1"/>
                <w:szCs w:val="24"/>
              </w:rPr>
            </w:pPr>
            <w:r w:rsidRPr="00BF1B98">
              <w:rPr>
                <w:rFonts w:ascii="Arial" w:hAnsi="Arial" w:cs="Arial"/>
                <w:color w:val="3C3C3B" w:themeColor="text1"/>
                <w:szCs w:val="24"/>
              </w:rPr>
              <w:t>Comité d’intégration</w:t>
            </w:r>
          </w:p>
        </w:tc>
      </w:tr>
      <w:tr w:rsidR="00441183" w:rsidRPr="003237D5" w14:paraId="0A58FAC8" w14:textId="77777777" w:rsidTr="001A3393">
        <w:tc>
          <w:tcPr>
            <w:tcW w:w="1555" w:type="dxa"/>
            <w:shd w:val="clear" w:color="auto" w:fill="auto"/>
          </w:tcPr>
          <w:p w14:paraId="7C5033D6" w14:textId="77777777" w:rsidR="00441183" w:rsidRPr="002E101F" w:rsidRDefault="00441183" w:rsidP="001A3393">
            <w:pPr>
              <w:rPr>
                <w:rFonts w:ascii="Arial" w:hAnsi="Arial" w:cs="Arial"/>
                <w:color w:val="3C3C3B" w:themeColor="text1"/>
                <w:szCs w:val="24"/>
              </w:rPr>
            </w:pPr>
            <w:r>
              <w:rPr>
                <w:rFonts w:ascii="Arial" w:hAnsi="Arial" w:cs="Arial"/>
                <w:color w:val="3C3C3B" w:themeColor="text1"/>
                <w:szCs w:val="24"/>
              </w:rPr>
              <w:t>CIDP</w:t>
            </w:r>
          </w:p>
        </w:tc>
        <w:tc>
          <w:tcPr>
            <w:tcW w:w="7795" w:type="dxa"/>
            <w:shd w:val="clear" w:color="auto" w:fill="auto"/>
          </w:tcPr>
          <w:p w14:paraId="2BE1A3E3" w14:textId="77777777" w:rsidR="00441183" w:rsidRPr="002E101F" w:rsidRDefault="00441183" w:rsidP="001A3393">
            <w:pPr>
              <w:rPr>
                <w:rFonts w:ascii="Arial" w:hAnsi="Arial" w:cs="Arial"/>
                <w:color w:val="3C3C3B" w:themeColor="text1"/>
                <w:szCs w:val="24"/>
              </w:rPr>
            </w:pPr>
            <w:r>
              <w:rPr>
                <w:rFonts w:ascii="Arial" w:hAnsi="Arial" w:cs="Arial"/>
                <w:color w:val="3C3C3B" w:themeColor="text1"/>
                <w:szCs w:val="24"/>
              </w:rPr>
              <w:t>Code d’identification de dossier personnel</w:t>
            </w:r>
          </w:p>
        </w:tc>
      </w:tr>
      <w:tr w:rsidR="00C867D8" w:rsidRPr="003237D5" w14:paraId="4A52AE58" w14:textId="77777777" w:rsidTr="001A3393">
        <w:tc>
          <w:tcPr>
            <w:tcW w:w="1555" w:type="dxa"/>
            <w:shd w:val="clear" w:color="auto" w:fill="auto"/>
          </w:tcPr>
          <w:p w14:paraId="129990CB" w14:textId="77777777" w:rsidR="00C867D8" w:rsidRPr="002E101F" w:rsidRDefault="00C867D8" w:rsidP="001A3393">
            <w:pPr>
              <w:rPr>
                <w:rFonts w:ascii="Arial" w:hAnsi="Arial" w:cs="Arial"/>
                <w:color w:val="3C3C3B" w:themeColor="text1"/>
                <w:szCs w:val="24"/>
              </w:rPr>
            </w:pPr>
            <w:r w:rsidRPr="002E101F">
              <w:rPr>
                <w:rFonts w:ascii="Arial" w:hAnsi="Arial" w:cs="Arial"/>
                <w:color w:val="3C3C3B" w:themeColor="text1"/>
                <w:szCs w:val="24"/>
              </w:rPr>
              <w:t>CPP</w:t>
            </w:r>
          </w:p>
        </w:tc>
        <w:tc>
          <w:tcPr>
            <w:tcW w:w="7795" w:type="dxa"/>
            <w:shd w:val="clear" w:color="auto" w:fill="auto"/>
          </w:tcPr>
          <w:p w14:paraId="28546FD3" w14:textId="77777777" w:rsidR="00C867D8" w:rsidRPr="002E101F" w:rsidRDefault="00C867D8" w:rsidP="001A3393">
            <w:pPr>
              <w:rPr>
                <w:rFonts w:ascii="Arial" w:hAnsi="Arial" w:cs="Arial"/>
                <w:color w:val="3C3C3B" w:themeColor="text1"/>
                <w:szCs w:val="24"/>
              </w:rPr>
            </w:pPr>
            <w:r w:rsidRPr="002E101F">
              <w:rPr>
                <w:rFonts w:ascii="Arial" w:hAnsi="Arial" w:cs="Arial"/>
                <w:color w:val="3C3C3B" w:themeColor="text1"/>
                <w:szCs w:val="24"/>
              </w:rPr>
              <w:t>Centre de psychologie du personnel</w:t>
            </w:r>
          </w:p>
        </w:tc>
      </w:tr>
      <w:tr w:rsidR="00CC6B1D" w:rsidRPr="003237D5" w14:paraId="16A9C630" w14:textId="77777777" w:rsidTr="001A3393">
        <w:tc>
          <w:tcPr>
            <w:tcW w:w="1555" w:type="dxa"/>
            <w:shd w:val="clear" w:color="auto" w:fill="auto"/>
          </w:tcPr>
          <w:p w14:paraId="60F744C0" w14:textId="77777777" w:rsidR="00CC6B1D" w:rsidRPr="00E32B32" w:rsidRDefault="00CC6B1D" w:rsidP="001A3393">
            <w:pPr>
              <w:rPr>
                <w:rFonts w:ascii="Arial" w:hAnsi="Arial" w:cs="Arial"/>
                <w:color w:val="3C3C3B" w:themeColor="text1"/>
                <w:szCs w:val="24"/>
              </w:rPr>
            </w:pPr>
            <w:r>
              <w:rPr>
                <w:rFonts w:ascii="Arial" w:hAnsi="Arial" w:cs="Arial"/>
                <w:color w:val="3C3C3B" w:themeColor="text1"/>
                <w:szCs w:val="24"/>
              </w:rPr>
              <w:t>DN</w:t>
            </w:r>
          </w:p>
        </w:tc>
        <w:tc>
          <w:tcPr>
            <w:tcW w:w="7795" w:type="dxa"/>
            <w:shd w:val="clear" w:color="auto" w:fill="auto"/>
          </w:tcPr>
          <w:p w14:paraId="09157157" w14:textId="77777777" w:rsidR="00CC6B1D" w:rsidRDefault="00CC6B1D" w:rsidP="001A3393">
            <w:pPr>
              <w:rPr>
                <w:rFonts w:ascii="Arial" w:hAnsi="Arial" w:cs="Arial"/>
                <w:color w:val="3C3C3B" w:themeColor="text1"/>
                <w:szCs w:val="24"/>
              </w:rPr>
            </w:pPr>
            <w:r>
              <w:rPr>
                <w:rFonts w:ascii="Arial" w:hAnsi="Arial" w:cs="Arial"/>
                <w:color w:val="3C3C3B" w:themeColor="text1"/>
                <w:szCs w:val="24"/>
              </w:rPr>
              <w:t>Date de naissance</w:t>
            </w:r>
          </w:p>
        </w:tc>
      </w:tr>
      <w:tr w:rsidR="00E32B32" w:rsidRPr="003237D5" w14:paraId="4D2D4B77" w14:textId="77777777" w:rsidTr="001A3393">
        <w:tc>
          <w:tcPr>
            <w:tcW w:w="1555" w:type="dxa"/>
            <w:shd w:val="clear" w:color="auto" w:fill="auto"/>
          </w:tcPr>
          <w:p w14:paraId="0A24E008" w14:textId="77777777" w:rsidR="00E32B32" w:rsidRPr="00E32B32" w:rsidRDefault="00E32B32" w:rsidP="001A3393">
            <w:pPr>
              <w:rPr>
                <w:rFonts w:ascii="Arial" w:hAnsi="Arial" w:cs="Arial"/>
                <w:color w:val="3C3C3B" w:themeColor="text1"/>
                <w:szCs w:val="24"/>
              </w:rPr>
            </w:pPr>
            <w:r w:rsidRPr="00E32B32">
              <w:rPr>
                <w:rFonts w:ascii="Arial" w:hAnsi="Arial" w:cs="Arial"/>
                <w:color w:val="3C3C3B" w:themeColor="text1"/>
                <w:szCs w:val="24"/>
              </w:rPr>
              <w:t>DPD</w:t>
            </w:r>
          </w:p>
        </w:tc>
        <w:tc>
          <w:tcPr>
            <w:tcW w:w="7795" w:type="dxa"/>
            <w:shd w:val="clear" w:color="auto" w:fill="auto"/>
          </w:tcPr>
          <w:p w14:paraId="43B3360C" w14:textId="77777777" w:rsidR="00E32B32" w:rsidRPr="00E32B32" w:rsidRDefault="00E32B32" w:rsidP="001A3393">
            <w:pPr>
              <w:rPr>
                <w:rFonts w:ascii="Arial" w:hAnsi="Arial" w:cs="Arial"/>
                <w:color w:val="3C3C3B" w:themeColor="text1"/>
                <w:szCs w:val="24"/>
              </w:rPr>
            </w:pPr>
            <w:r>
              <w:rPr>
                <w:rFonts w:ascii="Arial" w:hAnsi="Arial" w:cs="Arial"/>
                <w:color w:val="3C3C3B" w:themeColor="text1"/>
                <w:szCs w:val="24"/>
              </w:rPr>
              <w:t>Dirigeant principal des données</w:t>
            </w:r>
          </w:p>
        </w:tc>
      </w:tr>
      <w:tr w:rsidR="00C867D8" w:rsidRPr="003237D5" w14:paraId="0F4ACC45" w14:textId="77777777" w:rsidTr="001A3393">
        <w:tc>
          <w:tcPr>
            <w:tcW w:w="1555" w:type="dxa"/>
            <w:shd w:val="clear" w:color="auto" w:fill="auto"/>
          </w:tcPr>
          <w:p w14:paraId="5DB4FDA7" w14:textId="77777777" w:rsidR="00C867D8" w:rsidRPr="00CD5C02" w:rsidRDefault="00C867D8" w:rsidP="001A3393">
            <w:pPr>
              <w:rPr>
                <w:rFonts w:ascii="Arial" w:hAnsi="Arial" w:cs="Arial"/>
                <w:color w:val="3C3C3B" w:themeColor="text1"/>
                <w:szCs w:val="24"/>
              </w:rPr>
            </w:pPr>
            <w:r w:rsidRPr="00CD5C02">
              <w:rPr>
                <w:rFonts w:ascii="Arial" w:hAnsi="Arial" w:cs="Arial"/>
                <w:color w:val="3C3C3B" w:themeColor="text1"/>
                <w:szCs w:val="24"/>
              </w:rPr>
              <w:t>DPI</w:t>
            </w:r>
          </w:p>
        </w:tc>
        <w:tc>
          <w:tcPr>
            <w:tcW w:w="7795" w:type="dxa"/>
            <w:shd w:val="clear" w:color="auto" w:fill="auto"/>
          </w:tcPr>
          <w:p w14:paraId="0373DF51" w14:textId="77777777" w:rsidR="00C867D8" w:rsidRPr="00CD5C02" w:rsidRDefault="00C867D8" w:rsidP="001A3393">
            <w:pPr>
              <w:rPr>
                <w:rFonts w:ascii="Arial" w:hAnsi="Arial" w:cs="Arial"/>
                <w:color w:val="3C3C3B" w:themeColor="text1"/>
                <w:szCs w:val="24"/>
              </w:rPr>
            </w:pPr>
            <w:r w:rsidRPr="00CD5C02">
              <w:rPr>
                <w:rFonts w:ascii="Arial" w:hAnsi="Arial" w:cs="Arial"/>
                <w:color w:val="3C3C3B" w:themeColor="text1"/>
                <w:szCs w:val="24"/>
              </w:rPr>
              <w:t>Dirigeant principal de l’information</w:t>
            </w:r>
          </w:p>
        </w:tc>
      </w:tr>
      <w:tr w:rsidR="00C867D8" w:rsidRPr="003237D5" w14:paraId="3203F036" w14:textId="77777777" w:rsidTr="001A3393">
        <w:tc>
          <w:tcPr>
            <w:tcW w:w="1555" w:type="dxa"/>
            <w:shd w:val="clear" w:color="auto" w:fill="auto"/>
          </w:tcPr>
          <w:p w14:paraId="438B1C21" w14:textId="77777777" w:rsidR="00C867D8" w:rsidRPr="00DF5305" w:rsidRDefault="00C867D8" w:rsidP="001A3393">
            <w:pPr>
              <w:rPr>
                <w:rFonts w:ascii="Arial" w:hAnsi="Arial" w:cs="Arial"/>
                <w:color w:val="3C3C3B" w:themeColor="text1"/>
                <w:szCs w:val="24"/>
              </w:rPr>
            </w:pPr>
            <w:r w:rsidRPr="00DF5305">
              <w:rPr>
                <w:rFonts w:ascii="Arial" w:hAnsi="Arial" w:cs="Arial"/>
                <w:color w:val="3C3C3B" w:themeColor="text1"/>
                <w:szCs w:val="24"/>
              </w:rPr>
              <w:t>DSDA</w:t>
            </w:r>
          </w:p>
        </w:tc>
        <w:tc>
          <w:tcPr>
            <w:tcW w:w="7795" w:type="dxa"/>
            <w:shd w:val="clear" w:color="auto" w:fill="auto"/>
          </w:tcPr>
          <w:p w14:paraId="4AC2E625" w14:textId="77777777" w:rsidR="00C867D8" w:rsidRPr="00DF5305" w:rsidRDefault="00C867D8" w:rsidP="001A3393">
            <w:pPr>
              <w:rPr>
                <w:rFonts w:ascii="Arial" w:hAnsi="Arial" w:cs="Arial"/>
                <w:color w:val="3C3C3B" w:themeColor="text1"/>
                <w:szCs w:val="24"/>
              </w:rPr>
            </w:pPr>
            <w:r w:rsidRPr="00DF5305">
              <w:rPr>
                <w:rFonts w:ascii="Arial" w:hAnsi="Arial" w:cs="Arial"/>
                <w:color w:val="3C3C3B" w:themeColor="text1"/>
                <w:szCs w:val="24"/>
              </w:rPr>
              <w:t>Direction des services de données et de l’analyse</w:t>
            </w:r>
          </w:p>
        </w:tc>
      </w:tr>
      <w:tr w:rsidR="00C867D8" w:rsidRPr="003237D5" w14:paraId="437063B1" w14:textId="77777777" w:rsidTr="001A3393">
        <w:tc>
          <w:tcPr>
            <w:tcW w:w="1555" w:type="dxa"/>
            <w:shd w:val="clear" w:color="auto" w:fill="auto"/>
          </w:tcPr>
          <w:p w14:paraId="5C230821" w14:textId="77777777" w:rsidR="00C867D8" w:rsidRPr="00BF1B98" w:rsidRDefault="00C867D8" w:rsidP="001A3393">
            <w:pPr>
              <w:rPr>
                <w:rFonts w:ascii="Arial" w:hAnsi="Arial" w:cs="Arial"/>
                <w:color w:val="3C3C3B" w:themeColor="text1"/>
                <w:szCs w:val="24"/>
              </w:rPr>
            </w:pPr>
            <w:r w:rsidRPr="00BF1B98">
              <w:rPr>
                <w:rFonts w:ascii="Arial" w:hAnsi="Arial" w:cs="Arial"/>
                <w:color w:val="3C3C3B" w:themeColor="text1"/>
                <w:szCs w:val="24"/>
              </w:rPr>
              <w:t>GC</w:t>
            </w:r>
          </w:p>
        </w:tc>
        <w:tc>
          <w:tcPr>
            <w:tcW w:w="7795" w:type="dxa"/>
            <w:shd w:val="clear" w:color="auto" w:fill="auto"/>
          </w:tcPr>
          <w:p w14:paraId="46FBC2E3" w14:textId="77777777" w:rsidR="00C867D8" w:rsidRPr="00BF1B98" w:rsidRDefault="00EC5F05" w:rsidP="001A3393">
            <w:pPr>
              <w:rPr>
                <w:rFonts w:ascii="Arial" w:hAnsi="Arial" w:cs="Arial"/>
                <w:color w:val="3C3C3B" w:themeColor="text1"/>
                <w:szCs w:val="24"/>
              </w:rPr>
            </w:pPr>
            <w:r>
              <w:rPr>
                <w:rFonts w:ascii="Arial" w:hAnsi="Arial" w:cs="Arial"/>
                <w:color w:val="3C3C3B" w:themeColor="text1"/>
                <w:szCs w:val="24"/>
              </w:rPr>
              <w:t xml:space="preserve">Gouvernement du </w:t>
            </w:r>
            <w:r w:rsidR="00C867D8" w:rsidRPr="00BF1B98">
              <w:rPr>
                <w:rFonts w:ascii="Arial" w:hAnsi="Arial" w:cs="Arial"/>
                <w:color w:val="3C3C3B" w:themeColor="text1"/>
                <w:szCs w:val="24"/>
              </w:rPr>
              <w:t>Canada</w:t>
            </w:r>
          </w:p>
        </w:tc>
      </w:tr>
      <w:tr w:rsidR="00715DBF" w:rsidRPr="003237D5" w14:paraId="51F583F1" w14:textId="77777777" w:rsidTr="001A3393">
        <w:tc>
          <w:tcPr>
            <w:tcW w:w="1555" w:type="dxa"/>
            <w:shd w:val="clear" w:color="auto" w:fill="auto"/>
          </w:tcPr>
          <w:p w14:paraId="49AD665A" w14:textId="77777777" w:rsidR="00715DBF" w:rsidRPr="00080CE1" w:rsidRDefault="00715DBF" w:rsidP="001A3393">
            <w:pPr>
              <w:rPr>
                <w:rFonts w:ascii="Arial" w:hAnsi="Arial" w:cs="Arial"/>
                <w:color w:val="3C3C3B" w:themeColor="text1"/>
                <w:szCs w:val="24"/>
              </w:rPr>
            </w:pPr>
            <w:r>
              <w:rPr>
                <w:rFonts w:ascii="Arial" w:hAnsi="Arial" w:cs="Arial"/>
                <w:color w:val="3C3C3B" w:themeColor="text1"/>
                <w:szCs w:val="24"/>
              </w:rPr>
              <w:t>GI</w:t>
            </w:r>
          </w:p>
        </w:tc>
        <w:tc>
          <w:tcPr>
            <w:tcW w:w="7795" w:type="dxa"/>
            <w:shd w:val="clear" w:color="auto" w:fill="auto"/>
          </w:tcPr>
          <w:p w14:paraId="1C3C5780" w14:textId="77777777" w:rsidR="00715DBF" w:rsidRDefault="00715DBF" w:rsidP="001A3393">
            <w:pPr>
              <w:rPr>
                <w:rFonts w:ascii="Arial" w:hAnsi="Arial" w:cs="Arial"/>
                <w:color w:val="3C3C3B" w:themeColor="text1"/>
                <w:szCs w:val="24"/>
              </w:rPr>
            </w:pPr>
            <w:r>
              <w:rPr>
                <w:rFonts w:ascii="Arial" w:hAnsi="Arial" w:cs="Arial"/>
                <w:color w:val="3C3C3B" w:themeColor="text1"/>
                <w:szCs w:val="24"/>
              </w:rPr>
              <w:t>Gestion de l’information</w:t>
            </w:r>
          </w:p>
        </w:tc>
      </w:tr>
      <w:tr w:rsidR="00080CE1" w:rsidRPr="003237D5" w14:paraId="26631F58" w14:textId="77777777" w:rsidTr="001A3393">
        <w:tc>
          <w:tcPr>
            <w:tcW w:w="1555" w:type="dxa"/>
            <w:shd w:val="clear" w:color="auto" w:fill="auto"/>
          </w:tcPr>
          <w:p w14:paraId="52D3A877" w14:textId="77777777" w:rsidR="00080CE1" w:rsidRPr="00080CE1" w:rsidRDefault="00080CE1" w:rsidP="001A3393">
            <w:pPr>
              <w:rPr>
                <w:rFonts w:ascii="Arial" w:hAnsi="Arial" w:cs="Arial"/>
                <w:color w:val="3C3C3B" w:themeColor="text1"/>
                <w:szCs w:val="24"/>
              </w:rPr>
            </w:pPr>
            <w:r w:rsidRPr="00080CE1">
              <w:rPr>
                <w:rFonts w:ascii="Arial" w:hAnsi="Arial" w:cs="Arial"/>
                <w:color w:val="3C3C3B" w:themeColor="text1"/>
                <w:szCs w:val="24"/>
              </w:rPr>
              <w:t>GI/TI</w:t>
            </w:r>
          </w:p>
        </w:tc>
        <w:tc>
          <w:tcPr>
            <w:tcW w:w="7795" w:type="dxa"/>
            <w:shd w:val="clear" w:color="auto" w:fill="auto"/>
          </w:tcPr>
          <w:p w14:paraId="1CF2B6FF" w14:textId="77777777" w:rsidR="00080CE1" w:rsidRPr="00080CE1" w:rsidRDefault="00B145FF" w:rsidP="001A3393">
            <w:pPr>
              <w:rPr>
                <w:rFonts w:ascii="Arial" w:hAnsi="Arial" w:cs="Arial"/>
                <w:color w:val="3C3C3B" w:themeColor="text1"/>
                <w:szCs w:val="24"/>
              </w:rPr>
            </w:pPr>
            <w:r>
              <w:rPr>
                <w:rFonts w:ascii="Arial" w:hAnsi="Arial" w:cs="Arial"/>
                <w:color w:val="3C3C3B" w:themeColor="text1"/>
                <w:szCs w:val="24"/>
              </w:rPr>
              <w:t>Gestion de l’information/Technologie de l’information</w:t>
            </w:r>
          </w:p>
        </w:tc>
      </w:tr>
      <w:tr w:rsidR="00441183" w:rsidRPr="003237D5" w14:paraId="7EC32B05" w14:textId="77777777" w:rsidTr="001A3393">
        <w:tc>
          <w:tcPr>
            <w:tcW w:w="1555" w:type="dxa"/>
            <w:shd w:val="clear" w:color="auto" w:fill="auto"/>
          </w:tcPr>
          <w:p w14:paraId="43B62A1E" w14:textId="77777777" w:rsidR="00441183" w:rsidRPr="00DF5305" w:rsidRDefault="00441183" w:rsidP="001A3393">
            <w:pPr>
              <w:rPr>
                <w:rFonts w:ascii="Arial" w:hAnsi="Arial" w:cs="Arial"/>
                <w:color w:val="3C3C3B" w:themeColor="text1"/>
                <w:szCs w:val="24"/>
              </w:rPr>
            </w:pPr>
            <w:r>
              <w:rPr>
                <w:rFonts w:ascii="Arial" w:hAnsi="Arial" w:cs="Arial"/>
                <w:color w:val="3C3C3B" w:themeColor="text1"/>
                <w:szCs w:val="24"/>
              </w:rPr>
              <w:t>MMGD</w:t>
            </w:r>
          </w:p>
        </w:tc>
        <w:tc>
          <w:tcPr>
            <w:tcW w:w="7795" w:type="dxa"/>
            <w:shd w:val="clear" w:color="auto" w:fill="auto"/>
          </w:tcPr>
          <w:p w14:paraId="3E7A8EC0" w14:textId="77777777" w:rsidR="00441183" w:rsidRPr="00DF5305" w:rsidRDefault="00441183" w:rsidP="001A3393">
            <w:pPr>
              <w:rPr>
                <w:rFonts w:ascii="Arial" w:hAnsi="Arial" w:cs="Arial"/>
                <w:color w:val="3C3C3B" w:themeColor="text1"/>
                <w:szCs w:val="24"/>
              </w:rPr>
            </w:pPr>
            <w:r>
              <w:rPr>
                <w:rFonts w:ascii="Arial" w:hAnsi="Arial" w:cs="Arial"/>
                <w:color w:val="3C3C3B" w:themeColor="text1"/>
                <w:szCs w:val="24"/>
              </w:rPr>
              <w:t>Modèle de maturité pour la gestion des données</w:t>
            </w:r>
          </w:p>
        </w:tc>
      </w:tr>
      <w:tr w:rsidR="00DF5305" w:rsidRPr="003237D5" w14:paraId="404AF2D5" w14:textId="77777777" w:rsidTr="001A3393">
        <w:tc>
          <w:tcPr>
            <w:tcW w:w="1555" w:type="dxa"/>
            <w:shd w:val="clear" w:color="auto" w:fill="auto"/>
          </w:tcPr>
          <w:p w14:paraId="205665C4" w14:textId="77777777" w:rsidR="00DF5305" w:rsidRPr="00DF5305" w:rsidRDefault="00DF5305" w:rsidP="001A3393">
            <w:pPr>
              <w:rPr>
                <w:rFonts w:ascii="Arial" w:hAnsi="Arial" w:cs="Arial"/>
                <w:color w:val="3C3C3B" w:themeColor="text1"/>
                <w:szCs w:val="24"/>
              </w:rPr>
            </w:pPr>
            <w:r w:rsidRPr="00DF5305">
              <w:rPr>
                <w:rFonts w:ascii="Arial" w:hAnsi="Arial" w:cs="Arial"/>
                <w:color w:val="3C3C3B" w:themeColor="text1"/>
                <w:szCs w:val="24"/>
              </w:rPr>
              <w:t>PE</w:t>
            </w:r>
          </w:p>
        </w:tc>
        <w:tc>
          <w:tcPr>
            <w:tcW w:w="7795" w:type="dxa"/>
            <w:shd w:val="clear" w:color="auto" w:fill="auto"/>
          </w:tcPr>
          <w:p w14:paraId="2D8AC8ED" w14:textId="77777777" w:rsidR="00DF5305" w:rsidRPr="00DF5305" w:rsidRDefault="00DF5305" w:rsidP="001A3393">
            <w:pPr>
              <w:rPr>
                <w:rFonts w:ascii="Arial" w:hAnsi="Arial" w:cs="Arial"/>
                <w:color w:val="3C3C3B" w:themeColor="text1"/>
                <w:szCs w:val="24"/>
              </w:rPr>
            </w:pPr>
            <w:r w:rsidRPr="00DF5305">
              <w:rPr>
                <w:rFonts w:ascii="Arial" w:hAnsi="Arial" w:cs="Arial"/>
                <w:color w:val="3C3C3B" w:themeColor="text1"/>
                <w:szCs w:val="24"/>
              </w:rPr>
              <w:t>Protocole d’entente</w:t>
            </w:r>
          </w:p>
        </w:tc>
      </w:tr>
      <w:tr w:rsidR="00BF1B98" w:rsidRPr="003237D5" w14:paraId="1013F596" w14:textId="77777777" w:rsidTr="001A3393">
        <w:tc>
          <w:tcPr>
            <w:tcW w:w="1555" w:type="dxa"/>
            <w:shd w:val="clear" w:color="auto" w:fill="auto"/>
          </w:tcPr>
          <w:p w14:paraId="16529AD7" w14:textId="77777777" w:rsidR="00BF1B98" w:rsidRPr="00BF1B98" w:rsidRDefault="00BF1B98" w:rsidP="001A3393">
            <w:pPr>
              <w:rPr>
                <w:rFonts w:ascii="Arial" w:hAnsi="Arial" w:cs="Arial"/>
                <w:color w:val="3C3C3B" w:themeColor="text1"/>
                <w:szCs w:val="24"/>
              </w:rPr>
            </w:pPr>
            <w:r>
              <w:rPr>
                <w:rFonts w:ascii="Arial" w:hAnsi="Arial" w:cs="Arial"/>
                <w:color w:val="3C3C3B" w:themeColor="text1"/>
                <w:szCs w:val="24"/>
              </w:rPr>
              <w:t>SCEPR</w:t>
            </w:r>
          </w:p>
        </w:tc>
        <w:tc>
          <w:tcPr>
            <w:tcW w:w="7795" w:type="dxa"/>
            <w:shd w:val="clear" w:color="auto" w:fill="auto"/>
          </w:tcPr>
          <w:p w14:paraId="7A0AEC30" w14:textId="77777777" w:rsidR="00BF1B98" w:rsidRPr="00BF1B98" w:rsidRDefault="00BF1B98" w:rsidP="001A3393">
            <w:pPr>
              <w:rPr>
                <w:rFonts w:ascii="Arial" w:hAnsi="Arial" w:cs="Arial"/>
                <w:color w:val="3C3C3B" w:themeColor="text1"/>
                <w:szCs w:val="24"/>
              </w:rPr>
            </w:pPr>
            <w:r>
              <w:rPr>
                <w:rFonts w:ascii="Arial" w:hAnsi="Arial" w:cs="Arial"/>
                <w:color w:val="3C3C3B" w:themeColor="text1"/>
                <w:szCs w:val="24"/>
              </w:rPr>
              <w:t>Système de correction des examens et de production de rapports</w:t>
            </w:r>
          </w:p>
        </w:tc>
      </w:tr>
      <w:tr w:rsidR="00BF1B98" w:rsidRPr="003237D5" w14:paraId="12449F31" w14:textId="77777777" w:rsidTr="001A3393">
        <w:tc>
          <w:tcPr>
            <w:tcW w:w="1555" w:type="dxa"/>
            <w:shd w:val="clear" w:color="auto" w:fill="auto"/>
          </w:tcPr>
          <w:p w14:paraId="68C1309D" w14:textId="77777777" w:rsidR="00BF1B98" w:rsidRPr="00BF1B98" w:rsidRDefault="00BF1B98" w:rsidP="001A3393">
            <w:pPr>
              <w:rPr>
                <w:rFonts w:ascii="Arial" w:hAnsi="Arial" w:cs="Arial"/>
                <w:color w:val="3C3C3B" w:themeColor="text1"/>
                <w:szCs w:val="24"/>
              </w:rPr>
            </w:pPr>
            <w:r>
              <w:rPr>
                <w:rFonts w:ascii="Arial" w:hAnsi="Arial" w:cs="Arial"/>
                <w:color w:val="3C3C3B" w:themeColor="text1"/>
                <w:szCs w:val="24"/>
              </w:rPr>
              <w:t>SD</w:t>
            </w:r>
          </w:p>
        </w:tc>
        <w:tc>
          <w:tcPr>
            <w:tcW w:w="7795" w:type="dxa"/>
            <w:shd w:val="clear" w:color="auto" w:fill="auto"/>
          </w:tcPr>
          <w:p w14:paraId="5672EEEB" w14:textId="77777777" w:rsidR="00BF1B98" w:rsidRPr="00BF1B98" w:rsidRDefault="00BF1B98" w:rsidP="001A3393">
            <w:pPr>
              <w:rPr>
                <w:rFonts w:ascii="Arial" w:hAnsi="Arial" w:cs="Arial"/>
                <w:color w:val="3C3C3B" w:themeColor="text1"/>
                <w:szCs w:val="24"/>
              </w:rPr>
            </w:pPr>
            <w:r>
              <w:rPr>
                <w:rFonts w:ascii="Arial" w:hAnsi="Arial" w:cs="Arial"/>
                <w:color w:val="3C3C3B" w:themeColor="text1"/>
                <w:szCs w:val="24"/>
              </w:rPr>
              <w:t>Sondage sur la dotation</w:t>
            </w:r>
          </w:p>
        </w:tc>
      </w:tr>
      <w:tr w:rsidR="00BF1B98" w:rsidRPr="003237D5" w14:paraId="540C509D" w14:textId="77777777" w:rsidTr="001A3393">
        <w:tc>
          <w:tcPr>
            <w:tcW w:w="1555" w:type="dxa"/>
            <w:shd w:val="clear" w:color="auto" w:fill="auto"/>
          </w:tcPr>
          <w:p w14:paraId="6D9BCAE7" w14:textId="77777777" w:rsidR="00BF1B98" w:rsidRPr="00BF1B98" w:rsidRDefault="00BF1B98" w:rsidP="00CD5C02">
            <w:pPr>
              <w:rPr>
                <w:rFonts w:ascii="Arial" w:hAnsi="Arial" w:cs="Arial"/>
                <w:color w:val="3C3C3B" w:themeColor="text1"/>
                <w:szCs w:val="24"/>
              </w:rPr>
            </w:pPr>
            <w:r>
              <w:rPr>
                <w:rFonts w:ascii="Arial" w:hAnsi="Arial" w:cs="Arial"/>
                <w:color w:val="3C3C3B" w:themeColor="text1"/>
                <w:szCs w:val="24"/>
              </w:rPr>
              <w:t>SGI</w:t>
            </w:r>
            <w:r w:rsidR="00CD5C02">
              <w:rPr>
                <w:rFonts w:ascii="Arial" w:hAnsi="Arial" w:cs="Arial"/>
                <w:color w:val="3C3C3B" w:themeColor="text1"/>
                <w:szCs w:val="24"/>
              </w:rPr>
              <w:t>P</w:t>
            </w:r>
          </w:p>
        </w:tc>
        <w:tc>
          <w:tcPr>
            <w:tcW w:w="7795" w:type="dxa"/>
            <w:shd w:val="clear" w:color="auto" w:fill="auto"/>
          </w:tcPr>
          <w:p w14:paraId="0CC3F14A" w14:textId="77777777" w:rsidR="00BF1B98" w:rsidRPr="00BF1B98" w:rsidRDefault="00BF1B98" w:rsidP="001A3393">
            <w:pPr>
              <w:rPr>
                <w:rFonts w:ascii="Arial" w:hAnsi="Arial" w:cs="Arial"/>
                <w:color w:val="3C3C3B" w:themeColor="text1"/>
                <w:szCs w:val="24"/>
              </w:rPr>
            </w:pPr>
            <w:r>
              <w:rPr>
                <w:rFonts w:ascii="Arial" w:hAnsi="Arial" w:cs="Arial"/>
                <w:color w:val="3C3C3B" w:themeColor="text1"/>
                <w:szCs w:val="24"/>
              </w:rPr>
              <w:t>Système de gestion de l’information sur les priorités</w:t>
            </w:r>
          </w:p>
        </w:tc>
      </w:tr>
      <w:tr w:rsidR="00BF1B98" w:rsidRPr="003237D5" w14:paraId="46AA9E39" w14:textId="77777777" w:rsidTr="001A3393">
        <w:tc>
          <w:tcPr>
            <w:tcW w:w="1555" w:type="dxa"/>
            <w:shd w:val="clear" w:color="auto" w:fill="auto"/>
          </w:tcPr>
          <w:p w14:paraId="777D81BB" w14:textId="77777777" w:rsidR="00BF1B98" w:rsidRPr="00BF1B98" w:rsidRDefault="00BF1B98" w:rsidP="001A3393">
            <w:pPr>
              <w:rPr>
                <w:rFonts w:ascii="Arial" w:hAnsi="Arial" w:cs="Arial"/>
                <w:color w:val="3C3C3B" w:themeColor="text1"/>
                <w:szCs w:val="24"/>
              </w:rPr>
            </w:pPr>
            <w:r>
              <w:rPr>
                <w:rFonts w:ascii="Arial" w:hAnsi="Arial" w:cs="Arial"/>
                <w:color w:val="3C3C3B" w:themeColor="text1"/>
                <w:szCs w:val="24"/>
              </w:rPr>
              <w:t>SIAE</w:t>
            </w:r>
          </w:p>
        </w:tc>
        <w:tc>
          <w:tcPr>
            <w:tcW w:w="7795" w:type="dxa"/>
            <w:shd w:val="clear" w:color="auto" w:fill="auto"/>
          </w:tcPr>
          <w:p w14:paraId="24E6D5F3" w14:textId="77777777" w:rsidR="00BF1B98" w:rsidRPr="00BF1B98" w:rsidRDefault="00BF1B98" w:rsidP="001A3393">
            <w:pPr>
              <w:rPr>
                <w:rFonts w:ascii="Arial" w:hAnsi="Arial" w:cs="Arial"/>
                <w:color w:val="3C3C3B" w:themeColor="text1"/>
                <w:szCs w:val="24"/>
              </w:rPr>
            </w:pPr>
            <w:r>
              <w:rPr>
                <w:rFonts w:ascii="Arial" w:hAnsi="Arial" w:cs="Arial"/>
                <w:color w:val="3C3C3B" w:themeColor="text1"/>
                <w:szCs w:val="24"/>
              </w:rPr>
              <w:t>Système d’information analytique sur les emplois</w:t>
            </w:r>
          </w:p>
        </w:tc>
      </w:tr>
      <w:tr w:rsidR="00BF1B98" w:rsidRPr="003237D5" w14:paraId="58CF1288" w14:textId="77777777" w:rsidTr="001A3393">
        <w:tc>
          <w:tcPr>
            <w:tcW w:w="1555" w:type="dxa"/>
            <w:shd w:val="clear" w:color="auto" w:fill="auto"/>
          </w:tcPr>
          <w:p w14:paraId="1A84CD79" w14:textId="77777777" w:rsidR="00BF1B98" w:rsidRPr="00BF1B98" w:rsidRDefault="00BF1B98" w:rsidP="001A3393">
            <w:pPr>
              <w:rPr>
                <w:rFonts w:ascii="Arial" w:hAnsi="Arial" w:cs="Arial"/>
                <w:color w:val="3C3C3B" w:themeColor="text1"/>
                <w:szCs w:val="24"/>
              </w:rPr>
            </w:pPr>
            <w:r>
              <w:rPr>
                <w:rFonts w:ascii="Arial" w:hAnsi="Arial" w:cs="Arial"/>
                <w:color w:val="3C3C3B" w:themeColor="text1"/>
                <w:szCs w:val="24"/>
              </w:rPr>
              <w:t>SRFP</w:t>
            </w:r>
          </w:p>
        </w:tc>
        <w:tc>
          <w:tcPr>
            <w:tcW w:w="7795" w:type="dxa"/>
            <w:shd w:val="clear" w:color="auto" w:fill="auto"/>
          </w:tcPr>
          <w:p w14:paraId="73CB497C" w14:textId="77777777" w:rsidR="00BF1B98" w:rsidRPr="00BF1B98" w:rsidRDefault="00BF1B98" w:rsidP="001A3393">
            <w:pPr>
              <w:rPr>
                <w:rFonts w:ascii="Arial" w:hAnsi="Arial" w:cs="Arial"/>
                <w:color w:val="3C3C3B" w:themeColor="text1"/>
                <w:szCs w:val="24"/>
              </w:rPr>
            </w:pPr>
            <w:r>
              <w:rPr>
                <w:rFonts w:ascii="Arial" w:hAnsi="Arial" w:cs="Arial"/>
                <w:color w:val="3C3C3B" w:themeColor="text1"/>
                <w:szCs w:val="24"/>
              </w:rPr>
              <w:t>Système de recrutement de la fonction publique</w:t>
            </w:r>
          </w:p>
        </w:tc>
      </w:tr>
      <w:tr w:rsidR="001A3393" w:rsidRPr="003237D5" w14:paraId="2DC679F7" w14:textId="77777777" w:rsidTr="001A3393">
        <w:tc>
          <w:tcPr>
            <w:tcW w:w="1555" w:type="dxa"/>
            <w:shd w:val="clear" w:color="auto" w:fill="auto"/>
          </w:tcPr>
          <w:p w14:paraId="1B06C83F" w14:textId="77777777" w:rsidR="001A3393" w:rsidRPr="001A3393" w:rsidRDefault="001A3393" w:rsidP="001A3393">
            <w:pPr>
              <w:rPr>
                <w:rFonts w:ascii="Arial" w:hAnsi="Arial" w:cs="Arial"/>
                <w:color w:val="3C3C3B" w:themeColor="text1"/>
                <w:szCs w:val="24"/>
              </w:rPr>
            </w:pPr>
            <w:r w:rsidRPr="001A3393">
              <w:rPr>
                <w:rFonts w:ascii="Arial" w:hAnsi="Arial" w:cs="Arial"/>
                <w:color w:val="3C3C3B" w:themeColor="text1"/>
                <w:szCs w:val="24"/>
              </w:rPr>
              <w:t>SSE</w:t>
            </w:r>
          </w:p>
        </w:tc>
        <w:tc>
          <w:tcPr>
            <w:tcW w:w="7795" w:type="dxa"/>
            <w:shd w:val="clear" w:color="auto" w:fill="auto"/>
          </w:tcPr>
          <w:p w14:paraId="6E3CCE62" w14:textId="77777777" w:rsidR="001A3393" w:rsidRPr="001A3393" w:rsidRDefault="001A3393" w:rsidP="00C12536">
            <w:pPr>
              <w:rPr>
                <w:rFonts w:ascii="Arial" w:hAnsi="Arial" w:cs="Arial"/>
                <w:color w:val="3C3C3B" w:themeColor="text1"/>
                <w:szCs w:val="24"/>
              </w:rPr>
            </w:pPr>
            <w:r>
              <w:rPr>
                <w:rFonts w:ascii="Arial" w:hAnsi="Arial" w:cs="Arial"/>
                <w:color w:val="3C3C3B" w:themeColor="text1"/>
                <w:szCs w:val="24"/>
              </w:rPr>
              <w:t xml:space="preserve">Secteur de la </w:t>
            </w:r>
            <w:r w:rsidR="00C12536">
              <w:rPr>
                <w:rFonts w:ascii="Arial" w:hAnsi="Arial" w:cs="Arial"/>
                <w:color w:val="3C3C3B" w:themeColor="text1"/>
                <w:szCs w:val="24"/>
              </w:rPr>
              <w:t>s</w:t>
            </w:r>
            <w:r>
              <w:rPr>
                <w:rFonts w:ascii="Arial" w:hAnsi="Arial" w:cs="Arial"/>
                <w:color w:val="3C3C3B" w:themeColor="text1"/>
                <w:szCs w:val="24"/>
              </w:rPr>
              <w:t xml:space="preserve">urveillance et des </w:t>
            </w:r>
            <w:r w:rsidR="00C12536">
              <w:rPr>
                <w:rFonts w:ascii="Arial" w:hAnsi="Arial" w:cs="Arial"/>
                <w:color w:val="3C3C3B" w:themeColor="text1"/>
                <w:szCs w:val="24"/>
              </w:rPr>
              <w:t>e</w:t>
            </w:r>
            <w:r>
              <w:rPr>
                <w:rFonts w:ascii="Arial" w:hAnsi="Arial" w:cs="Arial"/>
                <w:color w:val="3C3C3B" w:themeColor="text1"/>
                <w:szCs w:val="24"/>
              </w:rPr>
              <w:t>nquêtes</w:t>
            </w:r>
          </w:p>
        </w:tc>
      </w:tr>
      <w:tr w:rsidR="00CD5C02" w:rsidRPr="003237D5" w14:paraId="298DB27B" w14:textId="77777777" w:rsidTr="001A3393">
        <w:tc>
          <w:tcPr>
            <w:tcW w:w="1555" w:type="dxa"/>
            <w:shd w:val="clear" w:color="auto" w:fill="auto"/>
          </w:tcPr>
          <w:p w14:paraId="3241D604" w14:textId="77777777" w:rsidR="00CD5C02" w:rsidRPr="00CD5C02" w:rsidRDefault="00CD5C02" w:rsidP="001A3393">
            <w:pPr>
              <w:rPr>
                <w:rFonts w:ascii="Arial" w:hAnsi="Arial" w:cs="Arial"/>
                <w:color w:val="3C3C3B" w:themeColor="text1"/>
                <w:szCs w:val="24"/>
              </w:rPr>
            </w:pPr>
            <w:r w:rsidRPr="00CD5C02">
              <w:rPr>
                <w:rFonts w:ascii="Arial" w:hAnsi="Arial" w:cs="Arial"/>
                <w:color w:val="3C3C3B" w:themeColor="text1"/>
                <w:szCs w:val="24"/>
              </w:rPr>
              <w:t>TI</w:t>
            </w:r>
          </w:p>
        </w:tc>
        <w:tc>
          <w:tcPr>
            <w:tcW w:w="7795" w:type="dxa"/>
            <w:shd w:val="clear" w:color="auto" w:fill="auto"/>
          </w:tcPr>
          <w:p w14:paraId="22BC36C4" w14:textId="77777777" w:rsidR="00CD5C02" w:rsidRPr="00CD5C02" w:rsidRDefault="00CD5C02" w:rsidP="001A3393">
            <w:pPr>
              <w:rPr>
                <w:rFonts w:ascii="Arial" w:hAnsi="Arial" w:cs="Arial"/>
                <w:color w:val="3C3C3B" w:themeColor="text1"/>
                <w:szCs w:val="24"/>
              </w:rPr>
            </w:pPr>
            <w:r>
              <w:rPr>
                <w:rFonts w:ascii="Arial" w:hAnsi="Arial" w:cs="Arial"/>
                <w:color w:val="3C3C3B" w:themeColor="text1"/>
                <w:szCs w:val="24"/>
              </w:rPr>
              <w:t>Technologie de l’information</w:t>
            </w:r>
          </w:p>
        </w:tc>
      </w:tr>
    </w:tbl>
    <w:p w14:paraId="3C04D1C8" w14:textId="77777777" w:rsidR="00C867D8" w:rsidRDefault="00C867D8" w:rsidP="00961818"/>
    <w:sectPr w:rsidR="00C867D8" w:rsidSect="00936904">
      <w:footerReference w:type="even" r:id="rId26"/>
      <w:footerReference w:type="default" r:id="rId27"/>
      <w:pgSz w:w="12240" w:h="15840" w:code="1"/>
      <w:pgMar w:top="993" w:right="1279" w:bottom="993" w:left="1288" w:header="567" w:footer="227" w:gutter="0"/>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30E0B7" w14:textId="77777777" w:rsidR="005474A1" w:rsidRDefault="005474A1" w:rsidP="005B5955">
      <w:pPr>
        <w:spacing w:after="0" w:line="240" w:lineRule="auto"/>
      </w:pPr>
      <w:r>
        <w:separator/>
      </w:r>
    </w:p>
  </w:endnote>
  <w:endnote w:type="continuationSeparator" w:id="0">
    <w:p w14:paraId="32769719" w14:textId="77777777" w:rsidR="005474A1" w:rsidRDefault="005474A1" w:rsidP="005B5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BoldMT">
    <w:panose1 w:val="00000000000000000000"/>
    <w:charset w:val="4D"/>
    <w:family w:val="auto"/>
    <w:notTrueType/>
    <w:pitch w:val="default"/>
    <w:sig w:usb0="00000003" w:usb1="00000000" w:usb2="00000000" w:usb3="00000000" w:csb0="00000001" w:csb1="00000000"/>
  </w:font>
  <w:font w:name="ArialMT">
    <w:panose1 w:val="00000000000000000000"/>
    <w:charset w:val="4D"/>
    <w:family w:val="auto"/>
    <w:notTrueType/>
    <w:pitch w:val="default"/>
    <w:sig w:usb0="00000003" w:usb1="00000000" w:usb2="00000000" w:usb3="00000000" w:csb0="00000001" w:csb1="00000000"/>
  </w:font>
  <w:font w:name="Georgia-Bold">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18CE4" w14:textId="77777777" w:rsidR="00CD4D66" w:rsidRPr="00F44F6A" w:rsidRDefault="005474A1">
    <w:pPr>
      <w:pStyle w:val="Footer"/>
      <w:jc w:val="right"/>
      <w:rPr>
        <w:lang w:val="en-CA"/>
      </w:rPr>
    </w:pPr>
    <w:sdt>
      <w:sdtPr>
        <w:rPr>
          <w:lang w:val="en-CA"/>
        </w:rPr>
        <w:alias w:val="Titre"/>
        <w:id w:val="971946695"/>
        <w:dataBinding w:prefixMappings="xmlns:ns0='http://purl.org/dc/elements/1.1/' xmlns:ns1='http://schemas.openxmlformats.org/package/2006/metadata/core-properties' " w:xpath="/ns1:coreProperties[1]/ns0:title[1]" w:storeItemID="{6C3C8BC8-F283-45AE-878A-BAB7291924A1}"/>
        <w:text/>
      </w:sdtPr>
      <w:sdtEndPr/>
      <w:sdtContent>
        <w:r w:rsidR="00CD4D66" w:rsidRPr="00F44F6A">
          <w:rPr>
            <w:lang w:val="en-CA"/>
          </w:rPr>
          <w:t>Data Services and Analysis Directorate</w:t>
        </w:r>
      </w:sdtContent>
    </w:sdt>
    <w:sdt>
      <w:sdtPr>
        <w:id w:val="971946696"/>
        <w:docPartObj>
          <w:docPartGallery w:val="Page Numbers (Bottom of Page)"/>
          <w:docPartUnique/>
        </w:docPartObj>
      </w:sdtPr>
      <w:sdtEndPr/>
      <w:sdtContent>
        <w:r w:rsidR="00CD4D66">
          <w:fldChar w:fldCharType="begin"/>
        </w:r>
        <w:r w:rsidR="00CD4D66" w:rsidRPr="00F44F6A">
          <w:rPr>
            <w:lang w:val="en-CA"/>
          </w:rPr>
          <w:instrText xml:space="preserve"> PAGE   \* MERGEFORMAT </w:instrText>
        </w:r>
        <w:r w:rsidR="00CD4D66">
          <w:fldChar w:fldCharType="separate"/>
        </w:r>
        <w:r w:rsidR="00CD4D66" w:rsidRPr="00F44F6A">
          <w:rPr>
            <w:noProof/>
            <w:lang w:val="en-CA"/>
          </w:rPr>
          <w:t>ii</w:t>
        </w:r>
        <w:r w:rsidR="00CD4D66">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2D6F7" w14:textId="77777777" w:rsidR="00CD4D66" w:rsidRPr="00F44F6A" w:rsidRDefault="005474A1" w:rsidP="00A331E9">
    <w:pPr>
      <w:pStyle w:val="Footer"/>
      <w:jc w:val="right"/>
    </w:pPr>
    <w:sdt>
      <w:sdtPr>
        <w:alias w:val="Objet"/>
        <w:id w:val="971946697"/>
        <w:dataBinding w:prefixMappings="xmlns:ns0='http://purl.org/dc/elements/1.1/' xmlns:ns1='http://schemas.openxmlformats.org/package/2006/metadata/core-properties' " w:xpath="/ns1:coreProperties[1]/ns0:subject[1]" w:storeItemID="{6C3C8BC8-F283-45AE-878A-BAB7291924A1}"/>
        <w:text/>
      </w:sdtPr>
      <w:sdtEndPr/>
      <w:sdtContent>
        <w:r w:rsidR="00BD1C05">
          <w:t>Stratégie de gestion des données de la Commission de la fonction publique : composantes et catalyseurs</w:t>
        </w:r>
      </w:sdtContent>
    </w:sdt>
    <w:sdt>
      <w:sdtPr>
        <w:id w:val="971946698"/>
        <w:docPartObj>
          <w:docPartGallery w:val="Page Numbers (Bottom of Page)"/>
          <w:docPartUnique/>
        </w:docPartObj>
      </w:sdtPr>
      <w:sdtEndPr/>
      <w:sdtContent>
        <w:r w:rsidR="00CD4D66">
          <w:fldChar w:fldCharType="begin"/>
        </w:r>
        <w:r w:rsidR="00CD4D66" w:rsidRPr="00F44F6A">
          <w:instrText xml:space="preserve"> PAGE   \* MERGEFORMAT </w:instrText>
        </w:r>
        <w:r w:rsidR="00CD4D66">
          <w:fldChar w:fldCharType="separate"/>
        </w:r>
        <w:r w:rsidR="00E95AE0">
          <w:rPr>
            <w:noProof/>
          </w:rPr>
          <w:t>2</w:t>
        </w:r>
        <w:r w:rsidR="00CD4D66">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9AED5" w14:textId="77777777" w:rsidR="00CD4D66" w:rsidRPr="00F44F6A" w:rsidRDefault="005474A1" w:rsidP="006F3C47">
    <w:pPr>
      <w:pStyle w:val="Footer"/>
      <w:tabs>
        <w:tab w:val="clear" w:pos="9360"/>
        <w:tab w:val="right" w:pos="9639"/>
      </w:tabs>
      <w:ind w:left="-142"/>
    </w:pPr>
    <w:sdt>
      <w:sdtPr>
        <w:rPr>
          <w:rFonts w:asciiTheme="majorHAnsi" w:hAnsiTheme="majorHAnsi" w:cstheme="majorHAnsi"/>
          <w:sz w:val="22"/>
        </w:rPr>
        <w:alias w:val="Objet"/>
        <w:id w:val="424925939"/>
        <w:dataBinding w:prefixMappings="xmlns:ns0='http://purl.org/dc/elements/1.1/' xmlns:ns1='http://schemas.openxmlformats.org/package/2006/metadata/core-properties' " w:xpath="/ns1:coreProperties[1]/ns0:subject[1]" w:storeItemID="{6C3C8BC8-F283-45AE-878A-BAB7291924A1}"/>
        <w:text/>
      </w:sdtPr>
      <w:sdtEndPr/>
      <w:sdtContent>
        <w:r w:rsidR="00BD1C05" w:rsidRPr="00BD1C05">
          <w:rPr>
            <w:rFonts w:asciiTheme="majorHAnsi" w:hAnsiTheme="majorHAnsi" w:cstheme="majorHAnsi"/>
            <w:sz w:val="22"/>
          </w:rPr>
          <w:t>Stratégie de gestion des données de la Commission de la fonction publique : composantes et catalyseurs</w:t>
        </w:r>
      </w:sdtContent>
    </w:sdt>
    <w:sdt>
      <w:sdtPr>
        <w:rPr>
          <w:rFonts w:asciiTheme="majorHAnsi" w:hAnsiTheme="majorHAnsi" w:cstheme="majorHAnsi"/>
          <w:sz w:val="22"/>
        </w:rPr>
        <w:id w:val="280921744"/>
        <w:docPartObj>
          <w:docPartGallery w:val="Page Numbers (Bottom of Page)"/>
          <w:docPartUnique/>
        </w:docPartObj>
      </w:sdtPr>
      <w:sdtEndPr/>
      <w:sdtContent>
        <w:r w:rsidR="00CD4D66" w:rsidRPr="00BD1C05">
          <w:rPr>
            <w:rFonts w:asciiTheme="majorHAnsi" w:hAnsiTheme="majorHAnsi" w:cstheme="majorHAnsi"/>
            <w:sz w:val="22"/>
          </w:rPr>
          <w:tab/>
        </w:r>
        <w:r w:rsidR="00BD1C05">
          <w:rPr>
            <w:rFonts w:asciiTheme="majorHAnsi" w:hAnsiTheme="majorHAnsi" w:cstheme="majorHAnsi"/>
            <w:sz w:val="22"/>
          </w:rPr>
          <w:tab/>
        </w:r>
        <w:r w:rsidR="00CD4D66" w:rsidRPr="00BD1C05">
          <w:rPr>
            <w:rFonts w:asciiTheme="majorHAnsi" w:hAnsiTheme="majorHAnsi" w:cstheme="majorHAnsi"/>
            <w:sz w:val="22"/>
          </w:rPr>
          <w:t xml:space="preserve">- </w:t>
        </w:r>
        <w:r w:rsidR="00CD4D66" w:rsidRPr="00BD1C05">
          <w:rPr>
            <w:rFonts w:asciiTheme="majorHAnsi" w:hAnsiTheme="majorHAnsi" w:cstheme="majorHAnsi"/>
            <w:sz w:val="22"/>
          </w:rPr>
          <w:fldChar w:fldCharType="begin"/>
        </w:r>
        <w:r w:rsidR="00CD4D66" w:rsidRPr="00BD1C05">
          <w:rPr>
            <w:rFonts w:asciiTheme="majorHAnsi" w:hAnsiTheme="majorHAnsi" w:cstheme="majorHAnsi"/>
            <w:sz w:val="22"/>
          </w:rPr>
          <w:instrText xml:space="preserve"> PAGE   \* MERGEFORMAT </w:instrText>
        </w:r>
        <w:r w:rsidR="00CD4D66" w:rsidRPr="00BD1C05">
          <w:rPr>
            <w:rFonts w:asciiTheme="majorHAnsi" w:hAnsiTheme="majorHAnsi" w:cstheme="majorHAnsi"/>
            <w:sz w:val="22"/>
          </w:rPr>
          <w:fldChar w:fldCharType="separate"/>
        </w:r>
        <w:r>
          <w:rPr>
            <w:rFonts w:asciiTheme="majorHAnsi" w:hAnsiTheme="majorHAnsi" w:cstheme="majorHAnsi"/>
            <w:noProof/>
            <w:sz w:val="22"/>
          </w:rPr>
          <w:t>i</w:t>
        </w:r>
        <w:r w:rsidR="00CD4D66" w:rsidRPr="00BD1C05">
          <w:rPr>
            <w:rFonts w:asciiTheme="majorHAnsi" w:hAnsiTheme="majorHAnsi" w:cstheme="majorHAnsi"/>
            <w:noProof/>
            <w:sz w:val="22"/>
          </w:rPr>
          <w:fldChar w:fldCharType="end"/>
        </w:r>
      </w:sdtContent>
    </w:sdt>
    <w:r w:rsidR="00CD4D66" w:rsidRPr="00F44F6A">
      <w:t xml:space="preserve"> -</w:t>
    </w:r>
  </w:p>
  <w:p w14:paraId="55E4E08B" w14:textId="77777777" w:rsidR="00CD4D66" w:rsidRPr="00F44F6A" w:rsidRDefault="00CD4D66">
    <w:pPr>
      <w:pStyle w:val="Footer"/>
    </w:pPr>
  </w:p>
  <w:p w14:paraId="4887130E" w14:textId="77777777" w:rsidR="00CD4D66" w:rsidRPr="00F44F6A" w:rsidRDefault="00CD4D66" w:rsidP="00D454B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25B83" w14:textId="77777777" w:rsidR="00CD4D66" w:rsidRDefault="00CD4D66">
    <w:pPr>
      <w:pStyle w:val="Footer"/>
      <w:jc w:val="right"/>
    </w:pPr>
    <w:r>
      <w:t>Com</w:t>
    </w:r>
    <w:sdt>
      <w:sdtPr>
        <w:id w:val="-1372294369"/>
        <w:docPartObj>
          <w:docPartGallery w:val="Page Numbers (Bottom of Page)"/>
          <w:docPartUnique/>
        </w:docPartObj>
      </w:sdtPr>
      <w:sdtEndPr/>
      <w:sdtContent>
        <w:r>
          <w:t xml:space="preserve">mission de la fonction publique – Stratégie de gestion des données - </w:t>
        </w:r>
        <w:r>
          <w:fldChar w:fldCharType="begin"/>
        </w:r>
        <w:r>
          <w:instrText xml:space="preserve"> PAGE   \* MERGEFORMAT </w:instrText>
        </w:r>
        <w:r>
          <w:fldChar w:fldCharType="separate"/>
        </w:r>
        <w:r>
          <w:rPr>
            <w:noProof/>
          </w:rPr>
          <w:t>2</w:t>
        </w:r>
        <w:r>
          <w:rPr>
            <w:noProof/>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0A8A7" w14:textId="77777777" w:rsidR="00CD4D66" w:rsidRPr="00676208" w:rsidRDefault="005474A1" w:rsidP="006F3C47">
    <w:pPr>
      <w:pStyle w:val="Footer"/>
      <w:tabs>
        <w:tab w:val="clear" w:pos="9360"/>
        <w:tab w:val="right" w:pos="9639"/>
      </w:tabs>
      <w:ind w:left="-142"/>
      <w:rPr>
        <w:rFonts w:asciiTheme="majorHAnsi" w:hAnsiTheme="majorHAnsi" w:cstheme="majorHAnsi"/>
        <w:sz w:val="18"/>
        <w:szCs w:val="18"/>
      </w:rPr>
    </w:pPr>
    <w:sdt>
      <w:sdtPr>
        <w:rPr>
          <w:rFonts w:asciiTheme="majorHAnsi" w:hAnsiTheme="majorHAnsi" w:cstheme="majorHAnsi"/>
          <w:sz w:val="22"/>
          <w:lang w:val="en-CA"/>
        </w:rPr>
        <w:alias w:val="Objet"/>
        <w:id w:val="-1011135552"/>
        <w:dataBinding w:prefixMappings="xmlns:ns0='http://purl.org/dc/elements/1.1/' xmlns:ns1='http://schemas.openxmlformats.org/package/2006/metadata/core-properties' " w:xpath="/ns1:coreProperties[1]/ns0:subject[1]" w:storeItemID="{6C3C8BC8-F283-45AE-878A-BAB7291924A1}"/>
        <w:text/>
      </w:sdtPr>
      <w:sdtEndPr/>
      <w:sdtContent>
        <w:r w:rsidR="00BD1C05" w:rsidRPr="00BD1C05">
          <w:rPr>
            <w:rFonts w:asciiTheme="majorHAnsi" w:hAnsiTheme="majorHAnsi" w:cstheme="majorHAnsi"/>
            <w:sz w:val="22"/>
          </w:rPr>
          <w:t>Stratégie de gestion des données de la Commission de la fonction publique</w:t>
        </w:r>
        <w:r w:rsidR="00CD4D66" w:rsidRPr="00BD1C05">
          <w:rPr>
            <w:rFonts w:asciiTheme="majorHAnsi" w:hAnsiTheme="majorHAnsi" w:cstheme="majorHAnsi"/>
            <w:sz w:val="22"/>
          </w:rPr>
          <w:t xml:space="preserve"> : </w:t>
        </w:r>
        <w:r w:rsidR="00BD1C05" w:rsidRPr="00BD1C05">
          <w:rPr>
            <w:rFonts w:asciiTheme="majorHAnsi" w:hAnsiTheme="majorHAnsi" w:cstheme="majorHAnsi"/>
            <w:sz w:val="22"/>
          </w:rPr>
          <w:t>composantes et catalyseurs</w:t>
        </w:r>
      </w:sdtContent>
    </w:sdt>
    <w:sdt>
      <w:sdtPr>
        <w:rPr>
          <w:rFonts w:asciiTheme="majorHAnsi" w:hAnsiTheme="majorHAnsi" w:cstheme="majorHAnsi"/>
          <w:sz w:val="18"/>
          <w:szCs w:val="18"/>
        </w:rPr>
        <w:id w:val="1291171472"/>
        <w:docPartObj>
          <w:docPartGallery w:val="Page Numbers (Bottom of Page)"/>
          <w:docPartUnique/>
        </w:docPartObj>
      </w:sdtPr>
      <w:sdtEndPr/>
      <w:sdtContent>
        <w:r w:rsidR="00CD4D66">
          <w:rPr>
            <w:rFonts w:asciiTheme="majorHAnsi" w:hAnsiTheme="majorHAnsi" w:cstheme="majorHAnsi"/>
            <w:sz w:val="18"/>
            <w:szCs w:val="18"/>
          </w:rPr>
          <w:tab/>
        </w:r>
        <w:r w:rsidR="00CD4D66">
          <w:rPr>
            <w:rFonts w:asciiTheme="majorHAnsi" w:hAnsiTheme="majorHAnsi" w:cstheme="majorHAnsi"/>
            <w:sz w:val="18"/>
            <w:szCs w:val="18"/>
          </w:rPr>
          <w:tab/>
        </w:r>
        <w:r w:rsidR="00CD4D66" w:rsidRPr="00676208">
          <w:rPr>
            <w:rFonts w:asciiTheme="majorHAnsi" w:hAnsiTheme="majorHAnsi" w:cstheme="majorHAnsi"/>
            <w:sz w:val="18"/>
            <w:szCs w:val="18"/>
          </w:rPr>
          <w:t xml:space="preserve">- </w:t>
        </w:r>
        <w:r w:rsidR="00CD4D66" w:rsidRPr="00676208">
          <w:rPr>
            <w:rFonts w:asciiTheme="majorHAnsi" w:hAnsiTheme="majorHAnsi" w:cstheme="majorHAnsi"/>
            <w:sz w:val="18"/>
            <w:szCs w:val="18"/>
          </w:rPr>
          <w:fldChar w:fldCharType="begin"/>
        </w:r>
        <w:r w:rsidR="00CD4D66" w:rsidRPr="00676208">
          <w:rPr>
            <w:rFonts w:asciiTheme="majorHAnsi" w:hAnsiTheme="majorHAnsi" w:cstheme="majorHAnsi"/>
            <w:sz w:val="18"/>
            <w:szCs w:val="18"/>
          </w:rPr>
          <w:instrText xml:space="preserve"> PAGE  \* Arabic  \* MERGEFORMAT </w:instrText>
        </w:r>
        <w:r w:rsidR="00CD4D66" w:rsidRPr="00676208">
          <w:rPr>
            <w:rFonts w:asciiTheme="majorHAnsi" w:hAnsiTheme="majorHAnsi" w:cstheme="majorHAnsi"/>
            <w:sz w:val="18"/>
            <w:szCs w:val="18"/>
          </w:rPr>
          <w:fldChar w:fldCharType="separate"/>
        </w:r>
        <w:r>
          <w:rPr>
            <w:rFonts w:asciiTheme="majorHAnsi" w:hAnsiTheme="majorHAnsi" w:cstheme="majorHAnsi"/>
            <w:noProof/>
            <w:sz w:val="18"/>
            <w:szCs w:val="18"/>
          </w:rPr>
          <w:t>17</w:t>
        </w:r>
        <w:r w:rsidR="00CD4D66" w:rsidRPr="00676208">
          <w:rPr>
            <w:rFonts w:asciiTheme="majorHAnsi" w:hAnsiTheme="majorHAnsi" w:cstheme="majorHAnsi"/>
            <w:sz w:val="18"/>
            <w:szCs w:val="18"/>
          </w:rPr>
          <w:fldChar w:fldCharType="end"/>
        </w:r>
      </w:sdtContent>
    </w:sdt>
    <w:r w:rsidR="00CD4D66" w:rsidRPr="00676208">
      <w:rPr>
        <w:rFonts w:asciiTheme="majorHAnsi" w:hAnsiTheme="majorHAnsi" w:cstheme="majorHAnsi"/>
        <w:sz w:val="18"/>
        <w:szCs w:val="18"/>
      </w:rPr>
      <w:t xml:space="preserve"> -</w:t>
    </w:r>
  </w:p>
  <w:p w14:paraId="1842FEFD" w14:textId="77777777" w:rsidR="00CD4D66" w:rsidRPr="00F44F6A" w:rsidRDefault="00CD4D66" w:rsidP="00D454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CD51F" w14:textId="77777777" w:rsidR="005474A1" w:rsidRDefault="005474A1" w:rsidP="005B5955">
      <w:pPr>
        <w:spacing w:after="0" w:line="240" w:lineRule="auto"/>
      </w:pPr>
      <w:r>
        <w:separator/>
      </w:r>
    </w:p>
  </w:footnote>
  <w:footnote w:type="continuationSeparator" w:id="0">
    <w:p w14:paraId="5542F2CB" w14:textId="77777777" w:rsidR="005474A1" w:rsidRDefault="005474A1" w:rsidP="005B5955">
      <w:pPr>
        <w:spacing w:after="0" w:line="240" w:lineRule="auto"/>
      </w:pPr>
      <w:r>
        <w:continuationSeparator/>
      </w:r>
    </w:p>
  </w:footnote>
  <w:footnote w:id="1">
    <w:p w14:paraId="1FF0A8DF" w14:textId="77777777" w:rsidR="00CD4D66" w:rsidRPr="005B5245" w:rsidRDefault="00CD4D66" w:rsidP="006C66D4">
      <w:pPr>
        <w:pStyle w:val="FootnoteText"/>
        <w:rPr>
          <w:lang w:val="en-CA"/>
        </w:rPr>
      </w:pPr>
      <w:r>
        <w:rPr>
          <w:rStyle w:val="FootnoteReference"/>
        </w:rPr>
        <w:footnoteRef/>
      </w:r>
      <w:r w:rsidRPr="005B5245">
        <w:rPr>
          <w:lang w:val="en-CA"/>
        </w:rPr>
        <w:t xml:space="preserve"> </w:t>
      </w:r>
      <w:r w:rsidRPr="005B5245">
        <w:rPr>
          <w:rFonts w:asciiTheme="majorHAnsi" w:hAnsiTheme="majorHAnsi" w:cstheme="majorHAnsi"/>
          <w:lang w:val="en-CA"/>
        </w:rPr>
        <w:t>https://www.</w:t>
      </w:r>
      <w:r w:rsidR="005B5245" w:rsidRPr="005B5245">
        <w:rPr>
          <w:noProof/>
          <w:lang w:val="en-CA" w:eastAsia="en-CA" w:bidi="ar-SA"/>
        </w:rPr>
        <w:t xml:space="preserve"> </w:t>
      </w:r>
      <w:r w:rsidRPr="005B5245">
        <w:rPr>
          <w:rFonts w:asciiTheme="majorHAnsi" w:hAnsiTheme="majorHAnsi" w:cstheme="majorHAnsi"/>
          <w:lang w:val="en-CA"/>
        </w:rPr>
        <w:t>techopedia.com/definition/30194/data-management-strategy</w:t>
      </w:r>
    </w:p>
  </w:footnote>
  <w:footnote w:id="2">
    <w:p w14:paraId="6E8B23DD" w14:textId="77777777" w:rsidR="00CD4D66" w:rsidRPr="00CB19A8" w:rsidRDefault="00CD4D66" w:rsidP="00B12274">
      <w:pPr>
        <w:pStyle w:val="FootnoteText"/>
        <w:rPr>
          <w:sz w:val="16"/>
          <w:szCs w:val="16"/>
        </w:rPr>
      </w:pPr>
      <w:r>
        <w:rPr>
          <w:rStyle w:val="FootnoteReference"/>
          <w:sz w:val="16"/>
        </w:rPr>
        <w:footnoteRef/>
      </w:r>
      <w:r>
        <w:rPr>
          <w:sz w:val="16"/>
        </w:rPr>
        <w:t xml:space="preserve"> Présentation au Comité d’intégration mixte et au Comité de GI/TI GCDOCS# 1292516</w:t>
      </w:r>
    </w:p>
  </w:footnote>
  <w:footnote w:id="3">
    <w:p w14:paraId="6AEBBF9B" w14:textId="77777777" w:rsidR="00CD4D66" w:rsidRPr="00601991" w:rsidRDefault="00CD4D66">
      <w:pPr>
        <w:pStyle w:val="FootnoteText"/>
        <w:rPr>
          <w:rFonts w:asciiTheme="majorHAnsi" w:hAnsiTheme="majorHAnsi" w:cstheme="majorHAnsi"/>
          <w:sz w:val="20"/>
        </w:rPr>
      </w:pPr>
      <w:r>
        <w:rPr>
          <w:rStyle w:val="FootnoteReference"/>
        </w:rPr>
        <w:footnoteRef/>
      </w:r>
      <w:r w:rsidRPr="00F44F6A">
        <w:rPr>
          <w:lang w:val="en-CA"/>
        </w:rPr>
        <w:t xml:space="preserve"> </w:t>
      </w:r>
      <w:r w:rsidRPr="00F44F6A">
        <w:rPr>
          <w:rFonts w:asciiTheme="majorHAnsi" w:hAnsiTheme="majorHAnsi" w:cstheme="majorHAnsi"/>
          <w:sz w:val="20"/>
          <w:lang w:val="en-CA"/>
        </w:rPr>
        <w:t xml:space="preserve">Redman, Thomas C. (30 décembre 2013). </w:t>
      </w:r>
      <w:hyperlink r:id="rId1">
        <w:r w:rsidRPr="00F44F6A">
          <w:rPr>
            <w:rFonts w:asciiTheme="majorHAnsi" w:hAnsiTheme="majorHAnsi" w:cstheme="majorHAnsi"/>
            <w:sz w:val="20"/>
            <w:u w:val="single"/>
            <w:lang w:val="en-CA"/>
          </w:rPr>
          <w:t>Data Driven: Profiting from Your Most Important Business Asset</w:t>
        </w:r>
      </w:hyperlink>
      <w:r w:rsidRPr="00F44F6A">
        <w:rPr>
          <w:rFonts w:asciiTheme="majorHAnsi" w:hAnsiTheme="majorHAnsi" w:cstheme="majorHAnsi"/>
          <w:sz w:val="20"/>
          <w:lang w:val="en-CA"/>
        </w:rPr>
        <w:t xml:space="preserve">. </w:t>
      </w:r>
      <w:r>
        <w:rPr>
          <w:rFonts w:asciiTheme="majorHAnsi" w:hAnsiTheme="majorHAnsi" w:cstheme="majorHAnsi"/>
          <w:sz w:val="20"/>
        </w:rPr>
        <w:t xml:space="preserve">Harvard Business Press. </w:t>
      </w:r>
      <w:hyperlink r:id="rId2" w:tooltip="International Standard Book Number">
        <w:r>
          <w:rPr>
            <w:rFonts w:asciiTheme="majorHAnsi" w:hAnsiTheme="majorHAnsi" w:cstheme="majorHAnsi"/>
            <w:sz w:val="20"/>
            <w:u w:val="single"/>
          </w:rPr>
          <w:t>ISBN</w:t>
        </w:r>
      </w:hyperlink>
      <w:r>
        <w:rPr>
          <w:rFonts w:asciiTheme="majorHAnsi" w:hAnsiTheme="majorHAnsi" w:cstheme="majorHAnsi"/>
          <w:sz w:val="20"/>
        </w:rPr>
        <w:t> </w:t>
      </w:r>
      <w:hyperlink r:id="rId3" w:tooltip="Special:BookSources/978-1-4221-6364-1">
        <w:r>
          <w:rPr>
            <w:rFonts w:asciiTheme="majorHAnsi" w:hAnsiTheme="majorHAnsi" w:cstheme="majorHAnsi"/>
            <w:sz w:val="20"/>
            <w:u w:val="single"/>
          </w:rPr>
          <w:t>978-1-4221-6364-1</w:t>
        </w:r>
      </w:hyperlink>
      <w:r>
        <w:rPr>
          <w:rFonts w:asciiTheme="majorHAnsi" w:hAnsiTheme="majorHAnsi" w:cstheme="majorHAnsi"/>
          <w:sz w:val="20"/>
        </w:rPr>
        <w:t>.</w:t>
      </w:r>
    </w:p>
  </w:footnote>
  <w:footnote w:id="4">
    <w:p w14:paraId="712293EB" w14:textId="77777777" w:rsidR="00CD4D66" w:rsidRPr="00E83729" w:rsidRDefault="00CD4D66">
      <w:pPr>
        <w:pStyle w:val="FootnoteText"/>
        <w:rPr>
          <w:sz w:val="20"/>
        </w:rPr>
      </w:pPr>
      <w:r>
        <w:rPr>
          <w:rStyle w:val="FootnoteReference"/>
        </w:rPr>
        <w:footnoteRef/>
      </w:r>
      <w:r>
        <w:t xml:space="preserve"> </w:t>
      </w:r>
      <w:r>
        <w:rPr>
          <w:sz w:val="20"/>
        </w:rPr>
        <w:t>Les évaluations des risques liés aux données seront fondées sur le Modèle de maturité pour la gestion de données de l’Institut de génie logiciel de Carnegie-Mellon University présenté dans l’annexe B.</w:t>
      </w:r>
      <w:r w:rsidRPr="005F64C9">
        <w:rPr>
          <w:noProof/>
          <w:lang w:eastAsia="en-CA"/>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22564"/>
    <w:multiLevelType w:val="hybridMultilevel"/>
    <w:tmpl w:val="373C5F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8C63573"/>
    <w:multiLevelType w:val="multilevel"/>
    <w:tmpl w:val="514404BC"/>
    <w:lvl w:ilvl="0">
      <w:start w:val="4"/>
      <w:numFmt w:val="decimal"/>
      <w:lvlText w:val="%1"/>
      <w:lvlJc w:val="left"/>
      <w:pPr>
        <w:ind w:left="684" w:hanging="684"/>
      </w:pPr>
      <w:rPr>
        <w:rFonts w:hint="default"/>
        <w:b w:val="0"/>
      </w:rPr>
    </w:lvl>
    <w:lvl w:ilvl="1">
      <w:start w:val="2"/>
      <w:numFmt w:val="decimal"/>
      <w:lvlText w:val="%1.%2"/>
      <w:lvlJc w:val="left"/>
      <w:pPr>
        <w:ind w:left="720" w:hanging="72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i/>
      </w:rPr>
    </w:lvl>
    <w:lvl w:ilvl="4">
      <w:start w:val="1"/>
      <w:numFmt w:val="bullet"/>
      <w:lvlText w:val=""/>
      <w:lvlJc w:val="left"/>
      <w:pPr>
        <w:ind w:left="1440" w:hanging="1440"/>
      </w:pPr>
      <w:rPr>
        <w:rFonts w:ascii="Symbol" w:hAnsi="Symbol"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2" w15:restartNumberingAfterBreak="0">
    <w:nsid w:val="0D7C761B"/>
    <w:multiLevelType w:val="hybridMultilevel"/>
    <w:tmpl w:val="93F8059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10C74ECF"/>
    <w:multiLevelType w:val="hybridMultilevel"/>
    <w:tmpl w:val="66F2E94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5964074"/>
    <w:multiLevelType w:val="multilevel"/>
    <w:tmpl w:val="C24095AC"/>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B931EE0"/>
    <w:multiLevelType w:val="hybridMultilevel"/>
    <w:tmpl w:val="4CD2AA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DF04663"/>
    <w:multiLevelType w:val="multilevel"/>
    <w:tmpl w:val="06D6AFD2"/>
    <w:lvl w:ilvl="0">
      <w:start w:val="4"/>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0BB3808"/>
    <w:multiLevelType w:val="multilevel"/>
    <w:tmpl w:val="7C683DD6"/>
    <w:lvl w:ilvl="0">
      <w:start w:val="4"/>
      <w:numFmt w:val="decimal"/>
      <w:lvlText w:val="%1"/>
      <w:lvlJc w:val="left"/>
      <w:pPr>
        <w:ind w:left="540" w:hanging="540"/>
      </w:pPr>
      <w:rPr>
        <w:rFonts w:hint="default"/>
        <w:b/>
        <w:i/>
      </w:rPr>
    </w:lvl>
    <w:lvl w:ilvl="1">
      <w:start w:val="1"/>
      <w:numFmt w:val="decimal"/>
      <w:lvlText w:val="%1.%2"/>
      <w:lvlJc w:val="left"/>
      <w:pPr>
        <w:ind w:left="540" w:hanging="54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1800" w:hanging="1800"/>
      </w:pPr>
      <w:rPr>
        <w:rFonts w:hint="default"/>
        <w:b/>
        <w:i/>
      </w:rPr>
    </w:lvl>
  </w:abstractNum>
  <w:abstractNum w:abstractNumId="8" w15:restartNumberingAfterBreak="0">
    <w:nsid w:val="3396422E"/>
    <w:multiLevelType w:val="hybridMultilevel"/>
    <w:tmpl w:val="58529BC2"/>
    <w:lvl w:ilvl="0" w:tplc="25B873F0">
      <w:start w:val="1"/>
      <w:numFmt w:val="bullet"/>
      <w:lvlText w:val=""/>
      <w:lvlJc w:val="left"/>
      <w:pPr>
        <w:ind w:left="960" w:hanging="360"/>
      </w:pPr>
      <w:rPr>
        <w:rFonts w:ascii="Symbol" w:hAnsi="Symbol" w:hint="default"/>
      </w:rPr>
    </w:lvl>
    <w:lvl w:ilvl="1" w:tplc="10560DEC">
      <w:start w:val="1"/>
      <w:numFmt w:val="bullet"/>
      <w:pStyle w:val="Bullets2level"/>
      <w:lvlText w:val=""/>
      <w:lvlJc w:val="left"/>
      <w:pPr>
        <w:ind w:left="1680" w:hanging="360"/>
      </w:pPr>
      <w:rPr>
        <w:rFonts w:ascii="Wingdings" w:hAnsi="Wingdings" w:hint="default"/>
        <w:color w:val="00A995" w:themeColor="accent1"/>
      </w:rPr>
    </w:lvl>
    <w:lvl w:ilvl="2" w:tplc="10090005" w:tentative="1">
      <w:start w:val="1"/>
      <w:numFmt w:val="bullet"/>
      <w:lvlText w:val=""/>
      <w:lvlJc w:val="left"/>
      <w:pPr>
        <w:ind w:left="2400" w:hanging="360"/>
      </w:pPr>
      <w:rPr>
        <w:rFonts w:ascii="Wingdings" w:hAnsi="Wingdings" w:hint="default"/>
      </w:rPr>
    </w:lvl>
    <w:lvl w:ilvl="3" w:tplc="10090001" w:tentative="1">
      <w:start w:val="1"/>
      <w:numFmt w:val="bullet"/>
      <w:lvlText w:val=""/>
      <w:lvlJc w:val="left"/>
      <w:pPr>
        <w:ind w:left="3120" w:hanging="360"/>
      </w:pPr>
      <w:rPr>
        <w:rFonts w:ascii="Symbol" w:hAnsi="Symbol" w:hint="default"/>
      </w:rPr>
    </w:lvl>
    <w:lvl w:ilvl="4" w:tplc="10090003" w:tentative="1">
      <w:start w:val="1"/>
      <w:numFmt w:val="bullet"/>
      <w:lvlText w:val="o"/>
      <w:lvlJc w:val="left"/>
      <w:pPr>
        <w:ind w:left="3840" w:hanging="360"/>
      </w:pPr>
      <w:rPr>
        <w:rFonts w:ascii="Courier New" w:hAnsi="Courier New" w:cs="Courier New" w:hint="default"/>
      </w:rPr>
    </w:lvl>
    <w:lvl w:ilvl="5" w:tplc="10090005" w:tentative="1">
      <w:start w:val="1"/>
      <w:numFmt w:val="bullet"/>
      <w:lvlText w:val=""/>
      <w:lvlJc w:val="left"/>
      <w:pPr>
        <w:ind w:left="4560" w:hanging="360"/>
      </w:pPr>
      <w:rPr>
        <w:rFonts w:ascii="Wingdings" w:hAnsi="Wingdings" w:hint="default"/>
      </w:rPr>
    </w:lvl>
    <w:lvl w:ilvl="6" w:tplc="10090001" w:tentative="1">
      <w:start w:val="1"/>
      <w:numFmt w:val="bullet"/>
      <w:lvlText w:val=""/>
      <w:lvlJc w:val="left"/>
      <w:pPr>
        <w:ind w:left="5280" w:hanging="360"/>
      </w:pPr>
      <w:rPr>
        <w:rFonts w:ascii="Symbol" w:hAnsi="Symbol" w:hint="default"/>
      </w:rPr>
    </w:lvl>
    <w:lvl w:ilvl="7" w:tplc="10090003" w:tentative="1">
      <w:start w:val="1"/>
      <w:numFmt w:val="bullet"/>
      <w:lvlText w:val="o"/>
      <w:lvlJc w:val="left"/>
      <w:pPr>
        <w:ind w:left="6000" w:hanging="360"/>
      </w:pPr>
      <w:rPr>
        <w:rFonts w:ascii="Courier New" w:hAnsi="Courier New" w:cs="Courier New" w:hint="default"/>
      </w:rPr>
    </w:lvl>
    <w:lvl w:ilvl="8" w:tplc="10090005" w:tentative="1">
      <w:start w:val="1"/>
      <w:numFmt w:val="bullet"/>
      <w:lvlText w:val=""/>
      <w:lvlJc w:val="left"/>
      <w:pPr>
        <w:ind w:left="6720" w:hanging="360"/>
      </w:pPr>
      <w:rPr>
        <w:rFonts w:ascii="Wingdings" w:hAnsi="Wingdings" w:hint="default"/>
      </w:rPr>
    </w:lvl>
  </w:abstractNum>
  <w:abstractNum w:abstractNumId="9" w15:restartNumberingAfterBreak="0">
    <w:nsid w:val="39721C0B"/>
    <w:multiLevelType w:val="hybridMultilevel"/>
    <w:tmpl w:val="3370AB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0" w:hanging="360"/>
      </w:pPr>
      <w:rPr>
        <w:rFonts w:ascii="Courier New" w:hAnsi="Courier New" w:cs="Courier New" w:hint="default"/>
      </w:rPr>
    </w:lvl>
    <w:lvl w:ilvl="2" w:tplc="10090005" w:tentative="1">
      <w:start w:val="1"/>
      <w:numFmt w:val="bullet"/>
      <w:lvlText w:val=""/>
      <w:lvlJc w:val="left"/>
      <w:pPr>
        <w:ind w:left="720" w:hanging="360"/>
      </w:pPr>
      <w:rPr>
        <w:rFonts w:ascii="Wingdings" w:hAnsi="Wingdings" w:hint="default"/>
      </w:rPr>
    </w:lvl>
    <w:lvl w:ilvl="3" w:tplc="10090001" w:tentative="1">
      <w:start w:val="1"/>
      <w:numFmt w:val="bullet"/>
      <w:lvlText w:val=""/>
      <w:lvlJc w:val="left"/>
      <w:pPr>
        <w:ind w:left="1440" w:hanging="360"/>
      </w:pPr>
      <w:rPr>
        <w:rFonts w:ascii="Symbol" w:hAnsi="Symbol" w:hint="default"/>
      </w:rPr>
    </w:lvl>
    <w:lvl w:ilvl="4" w:tplc="10090003" w:tentative="1">
      <w:start w:val="1"/>
      <w:numFmt w:val="bullet"/>
      <w:lvlText w:val="o"/>
      <w:lvlJc w:val="left"/>
      <w:pPr>
        <w:ind w:left="2160" w:hanging="360"/>
      </w:pPr>
      <w:rPr>
        <w:rFonts w:ascii="Courier New" w:hAnsi="Courier New" w:cs="Courier New" w:hint="default"/>
      </w:rPr>
    </w:lvl>
    <w:lvl w:ilvl="5" w:tplc="10090005" w:tentative="1">
      <w:start w:val="1"/>
      <w:numFmt w:val="bullet"/>
      <w:lvlText w:val=""/>
      <w:lvlJc w:val="left"/>
      <w:pPr>
        <w:ind w:left="2880" w:hanging="360"/>
      </w:pPr>
      <w:rPr>
        <w:rFonts w:ascii="Wingdings" w:hAnsi="Wingdings" w:hint="default"/>
      </w:rPr>
    </w:lvl>
    <w:lvl w:ilvl="6" w:tplc="10090001" w:tentative="1">
      <w:start w:val="1"/>
      <w:numFmt w:val="bullet"/>
      <w:lvlText w:val=""/>
      <w:lvlJc w:val="left"/>
      <w:pPr>
        <w:ind w:left="3600" w:hanging="360"/>
      </w:pPr>
      <w:rPr>
        <w:rFonts w:ascii="Symbol" w:hAnsi="Symbol" w:hint="default"/>
      </w:rPr>
    </w:lvl>
    <w:lvl w:ilvl="7" w:tplc="10090003" w:tentative="1">
      <w:start w:val="1"/>
      <w:numFmt w:val="bullet"/>
      <w:lvlText w:val="o"/>
      <w:lvlJc w:val="left"/>
      <w:pPr>
        <w:ind w:left="4320" w:hanging="360"/>
      </w:pPr>
      <w:rPr>
        <w:rFonts w:ascii="Courier New" w:hAnsi="Courier New" w:cs="Courier New" w:hint="default"/>
      </w:rPr>
    </w:lvl>
    <w:lvl w:ilvl="8" w:tplc="10090005" w:tentative="1">
      <w:start w:val="1"/>
      <w:numFmt w:val="bullet"/>
      <w:lvlText w:val=""/>
      <w:lvlJc w:val="left"/>
      <w:pPr>
        <w:ind w:left="5040" w:hanging="360"/>
      </w:pPr>
      <w:rPr>
        <w:rFonts w:ascii="Wingdings" w:hAnsi="Wingdings" w:hint="default"/>
      </w:rPr>
    </w:lvl>
  </w:abstractNum>
  <w:abstractNum w:abstractNumId="10" w15:restartNumberingAfterBreak="0">
    <w:nsid w:val="399B26C9"/>
    <w:multiLevelType w:val="hybridMultilevel"/>
    <w:tmpl w:val="648A7D8E"/>
    <w:lvl w:ilvl="0" w:tplc="14602622">
      <w:start w:val="1"/>
      <w:numFmt w:val="decimal"/>
      <w:pStyle w:val="BulletsNumbered"/>
      <w:lvlText w:val="%1."/>
      <w:lvlJc w:val="left"/>
      <w:pPr>
        <w:ind w:left="960" w:hanging="360"/>
      </w:pPr>
      <w:rPr>
        <w:rFonts w:hint="default"/>
      </w:rPr>
    </w:lvl>
    <w:lvl w:ilvl="1" w:tplc="10090003" w:tentative="1">
      <w:start w:val="1"/>
      <w:numFmt w:val="bullet"/>
      <w:lvlText w:val="o"/>
      <w:lvlJc w:val="left"/>
      <w:pPr>
        <w:ind w:left="1680" w:hanging="360"/>
      </w:pPr>
      <w:rPr>
        <w:rFonts w:ascii="Courier New" w:hAnsi="Courier New" w:cs="Courier New" w:hint="default"/>
      </w:rPr>
    </w:lvl>
    <w:lvl w:ilvl="2" w:tplc="10090005" w:tentative="1">
      <w:start w:val="1"/>
      <w:numFmt w:val="bullet"/>
      <w:lvlText w:val=""/>
      <w:lvlJc w:val="left"/>
      <w:pPr>
        <w:ind w:left="2400" w:hanging="360"/>
      </w:pPr>
      <w:rPr>
        <w:rFonts w:ascii="Wingdings" w:hAnsi="Wingdings" w:hint="default"/>
      </w:rPr>
    </w:lvl>
    <w:lvl w:ilvl="3" w:tplc="10090001" w:tentative="1">
      <w:start w:val="1"/>
      <w:numFmt w:val="bullet"/>
      <w:lvlText w:val=""/>
      <w:lvlJc w:val="left"/>
      <w:pPr>
        <w:ind w:left="3120" w:hanging="360"/>
      </w:pPr>
      <w:rPr>
        <w:rFonts w:ascii="Symbol" w:hAnsi="Symbol" w:hint="default"/>
      </w:rPr>
    </w:lvl>
    <w:lvl w:ilvl="4" w:tplc="10090003" w:tentative="1">
      <w:start w:val="1"/>
      <w:numFmt w:val="bullet"/>
      <w:lvlText w:val="o"/>
      <w:lvlJc w:val="left"/>
      <w:pPr>
        <w:ind w:left="3840" w:hanging="360"/>
      </w:pPr>
      <w:rPr>
        <w:rFonts w:ascii="Courier New" w:hAnsi="Courier New" w:cs="Courier New" w:hint="default"/>
      </w:rPr>
    </w:lvl>
    <w:lvl w:ilvl="5" w:tplc="10090005" w:tentative="1">
      <w:start w:val="1"/>
      <w:numFmt w:val="bullet"/>
      <w:lvlText w:val=""/>
      <w:lvlJc w:val="left"/>
      <w:pPr>
        <w:ind w:left="4560" w:hanging="360"/>
      </w:pPr>
      <w:rPr>
        <w:rFonts w:ascii="Wingdings" w:hAnsi="Wingdings" w:hint="default"/>
      </w:rPr>
    </w:lvl>
    <w:lvl w:ilvl="6" w:tplc="10090001" w:tentative="1">
      <w:start w:val="1"/>
      <w:numFmt w:val="bullet"/>
      <w:lvlText w:val=""/>
      <w:lvlJc w:val="left"/>
      <w:pPr>
        <w:ind w:left="5280" w:hanging="360"/>
      </w:pPr>
      <w:rPr>
        <w:rFonts w:ascii="Symbol" w:hAnsi="Symbol" w:hint="default"/>
      </w:rPr>
    </w:lvl>
    <w:lvl w:ilvl="7" w:tplc="10090003" w:tentative="1">
      <w:start w:val="1"/>
      <w:numFmt w:val="bullet"/>
      <w:lvlText w:val="o"/>
      <w:lvlJc w:val="left"/>
      <w:pPr>
        <w:ind w:left="6000" w:hanging="360"/>
      </w:pPr>
      <w:rPr>
        <w:rFonts w:ascii="Courier New" w:hAnsi="Courier New" w:cs="Courier New" w:hint="default"/>
      </w:rPr>
    </w:lvl>
    <w:lvl w:ilvl="8" w:tplc="10090005" w:tentative="1">
      <w:start w:val="1"/>
      <w:numFmt w:val="bullet"/>
      <w:lvlText w:val=""/>
      <w:lvlJc w:val="left"/>
      <w:pPr>
        <w:ind w:left="6720" w:hanging="360"/>
      </w:pPr>
      <w:rPr>
        <w:rFonts w:ascii="Wingdings" w:hAnsi="Wingdings" w:hint="default"/>
      </w:rPr>
    </w:lvl>
  </w:abstractNum>
  <w:abstractNum w:abstractNumId="11" w15:restartNumberingAfterBreak="0">
    <w:nsid w:val="3DFB7B5B"/>
    <w:multiLevelType w:val="hybridMultilevel"/>
    <w:tmpl w:val="77961820"/>
    <w:lvl w:ilvl="0" w:tplc="E5966DD0">
      <w:start w:val="1"/>
      <w:numFmt w:val="bullet"/>
      <w:pStyle w:val="Bulletsregular"/>
      <w:lvlText w:val=""/>
      <w:lvlJc w:val="left"/>
      <w:pPr>
        <w:ind w:left="960" w:hanging="360"/>
      </w:pPr>
      <w:rPr>
        <w:rFonts w:ascii="Symbol" w:hAnsi="Symbol" w:hint="default"/>
      </w:rPr>
    </w:lvl>
    <w:lvl w:ilvl="1" w:tplc="10090003">
      <w:start w:val="1"/>
      <w:numFmt w:val="bullet"/>
      <w:lvlText w:val="o"/>
      <w:lvlJc w:val="left"/>
      <w:pPr>
        <w:ind w:left="1680" w:hanging="360"/>
      </w:pPr>
      <w:rPr>
        <w:rFonts w:ascii="Courier New" w:hAnsi="Courier New" w:cs="Courier New" w:hint="default"/>
      </w:rPr>
    </w:lvl>
    <w:lvl w:ilvl="2" w:tplc="10090005" w:tentative="1">
      <w:start w:val="1"/>
      <w:numFmt w:val="bullet"/>
      <w:lvlText w:val=""/>
      <w:lvlJc w:val="left"/>
      <w:pPr>
        <w:ind w:left="2400" w:hanging="360"/>
      </w:pPr>
      <w:rPr>
        <w:rFonts w:ascii="Wingdings" w:hAnsi="Wingdings" w:hint="default"/>
      </w:rPr>
    </w:lvl>
    <w:lvl w:ilvl="3" w:tplc="10090001" w:tentative="1">
      <w:start w:val="1"/>
      <w:numFmt w:val="bullet"/>
      <w:lvlText w:val=""/>
      <w:lvlJc w:val="left"/>
      <w:pPr>
        <w:ind w:left="3120" w:hanging="360"/>
      </w:pPr>
      <w:rPr>
        <w:rFonts w:ascii="Symbol" w:hAnsi="Symbol" w:hint="default"/>
      </w:rPr>
    </w:lvl>
    <w:lvl w:ilvl="4" w:tplc="10090003" w:tentative="1">
      <w:start w:val="1"/>
      <w:numFmt w:val="bullet"/>
      <w:lvlText w:val="o"/>
      <w:lvlJc w:val="left"/>
      <w:pPr>
        <w:ind w:left="3840" w:hanging="360"/>
      </w:pPr>
      <w:rPr>
        <w:rFonts w:ascii="Courier New" w:hAnsi="Courier New" w:cs="Courier New" w:hint="default"/>
      </w:rPr>
    </w:lvl>
    <w:lvl w:ilvl="5" w:tplc="10090005" w:tentative="1">
      <w:start w:val="1"/>
      <w:numFmt w:val="bullet"/>
      <w:lvlText w:val=""/>
      <w:lvlJc w:val="left"/>
      <w:pPr>
        <w:ind w:left="4560" w:hanging="360"/>
      </w:pPr>
      <w:rPr>
        <w:rFonts w:ascii="Wingdings" w:hAnsi="Wingdings" w:hint="default"/>
      </w:rPr>
    </w:lvl>
    <w:lvl w:ilvl="6" w:tplc="10090001" w:tentative="1">
      <w:start w:val="1"/>
      <w:numFmt w:val="bullet"/>
      <w:lvlText w:val=""/>
      <w:lvlJc w:val="left"/>
      <w:pPr>
        <w:ind w:left="5280" w:hanging="360"/>
      </w:pPr>
      <w:rPr>
        <w:rFonts w:ascii="Symbol" w:hAnsi="Symbol" w:hint="default"/>
      </w:rPr>
    </w:lvl>
    <w:lvl w:ilvl="7" w:tplc="10090003" w:tentative="1">
      <w:start w:val="1"/>
      <w:numFmt w:val="bullet"/>
      <w:lvlText w:val="o"/>
      <w:lvlJc w:val="left"/>
      <w:pPr>
        <w:ind w:left="6000" w:hanging="360"/>
      </w:pPr>
      <w:rPr>
        <w:rFonts w:ascii="Courier New" w:hAnsi="Courier New" w:cs="Courier New" w:hint="default"/>
      </w:rPr>
    </w:lvl>
    <w:lvl w:ilvl="8" w:tplc="10090005" w:tentative="1">
      <w:start w:val="1"/>
      <w:numFmt w:val="bullet"/>
      <w:lvlText w:val=""/>
      <w:lvlJc w:val="left"/>
      <w:pPr>
        <w:ind w:left="6720" w:hanging="360"/>
      </w:pPr>
      <w:rPr>
        <w:rFonts w:ascii="Wingdings" w:hAnsi="Wingdings" w:hint="default"/>
      </w:rPr>
    </w:lvl>
  </w:abstractNum>
  <w:abstractNum w:abstractNumId="12" w15:restartNumberingAfterBreak="0">
    <w:nsid w:val="3E702269"/>
    <w:multiLevelType w:val="hybridMultilevel"/>
    <w:tmpl w:val="85408EE4"/>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442D3F2E"/>
    <w:multiLevelType w:val="hybridMultilevel"/>
    <w:tmpl w:val="B7606A04"/>
    <w:lvl w:ilvl="0" w:tplc="10090001">
      <w:start w:val="1"/>
      <w:numFmt w:val="bullet"/>
      <w:lvlText w:val=""/>
      <w:lvlJc w:val="left"/>
      <w:pPr>
        <w:ind w:left="360" w:hanging="360"/>
      </w:pPr>
      <w:rPr>
        <w:rFonts w:ascii="Symbol" w:hAnsi="Symbol" w:hint="default"/>
      </w:rPr>
    </w:lvl>
    <w:lvl w:ilvl="1" w:tplc="AE56C380">
      <w:numFmt w:val="bullet"/>
      <w:lvlText w:val="-"/>
      <w:lvlJc w:val="left"/>
      <w:pPr>
        <w:ind w:left="1080" w:hanging="360"/>
      </w:pPr>
      <w:rPr>
        <w:rFonts w:ascii="Georgia" w:eastAsiaTheme="minorHAnsi" w:hAnsi="Georgia" w:cstheme="minorBidi"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45173745"/>
    <w:multiLevelType w:val="hybridMultilevel"/>
    <w:tmpl w:val="24B4981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4B456C63"/>
    <w:multiLevelType w:val="hybridMultilevel"/>
    <w:tmpl w:val="A5A08558"/>
    <w:lvl w:ilvl="0" w:tplc="10090001">
      <w:start w:val="1"/>
      <w:numFmt w:val="bullet"/>
      <w:lvlText w:val=""/>
      <w:lvlJc w:val="left"/>
      <w:pPr>
        <w:ind w:left="522" w:hanging="360"/>
      </w:pPr>
      <w:rPr>
        <w:rFonts w:ascii="Symbol" w:hAnsi="Symbol" w:hint="default"/>
      </w:rPr>
    </w:lvl>
    <w:lvl w:ilvl="1" w:tplc="10090003" w:tentative="1">
      <w:start w:val="1"/>
      <w:numFmt w:val="bullet"/>
      <w:lvlText w:val="o"/>
      <w:lvlJc w:val="left"/>
      <w:pPr>
        <w:ind w:left="1242" w:hanging="360"/>
      </w:pPr>
      <w:rPr>
        <w:rFonts w:ascii="Courier New" w:hAnsi="Courier New" w:cs="Courier New" w:hint="default"/>
      </w:rPr>
    </w:lvl>
    <w:lvl w:ilvl="2" w:tplc="10090005" w:tentative="1">
      <w:start w:val="1"/>
      <w:numFmt w:val="bullet"/>
      <w:lvlText w:val=""/>
      <w:lvlJc w:val="left"/>
      <w:pPr>
        <w:ind w:left="1962" w:hanging="360"/>
      </w:pPr>
      <w:rPr>
        <w:rFonts w:ascii="Wingdings" w:hAnsi="Wingdings" w:hint="default"/>
      </w:rPr>
    </w:lvl>
    <w:lvl w:ilvl="3" w:tplc="10090001" w:tentative="1">
      <w:start w:val="1"/>
      <w:numFmt w:val="bullet"/>
      <w:lvlText w:val=""/>
      <w:lvlJc w:val="left"/>
      <w:pPr>
        <w:ind w:left="2682" w:hanging="360"/>
      </w:pPr>
      <w:rPr>
        <w:rFonts w:ascii="Symbol" w:hAnsi="Symbol" w:hint="default"/>
      </w:rPr>
    </w:lvl>
    <w:lvl w:ilvl="4" w:tplc="10090003" w:tentative="1">
      <w:start w:val="1"/>
      <w:numFmt w:val="bullet"/>
      <w:lvlText w:val="o"/>
      <w:lvlJc w:val="left"/>
      <w:pPr>
        <w:ind w:left="3402" w:hanging="360"/>
      </w:pPr>
      <w:rPr>
        <w:rFonts w:ascii="Courier New" w:hAnsi="Courier New" w:cs="Courier New" w:hint="default"/>
      </w:rPr>
    </w:lvl>
    <w:lvl w:ilvl="5" w:tplc="10090005" w:tentative="1">
      <w:start w:val="1"/>
      <w:numFmt w:val="bullet"/>
      <w:lvlText w:val=""/>
      <w:lvlJc w:val="left"/>
      <w:pPr>
        <w:ind w:left="4122" w:hanging="360"/>
      </w:pPr>
      <w:rPr>
        <w:rFonts w:ascii="Wingdings" w:hAnsi="Wingdings" w:hint="default"/>
      </w:rPr>
    </w:lvl>
    <w:lvl w:ilvl="6" w:tplc="10090001" w:tentative="1">
      <w:start w:val="1"/>
      <w:numFmt w:val="bullet"/>
      <w:lvlText w:val=""/>
      <w:lvlJc w:val="left"/>
      <w:pPr>
        <w:ind w:left="4842" w:hanging="360"/>
      </w:pPr>
      <w:rPr>
        <w:rFonts w:ascii="Symbol" w:hAnsi="Symbol" w:hint="default"/>
      </w:rPr>
    </w:lvl>
    <w:lvl w:ilvl="7" w:tplc="10090003" w:tentative="1">
      <w:start w:val="1"/>
      <w:numFmt w:val="bullet"/>
      <w:lvlText w:val="o"/>
      <w:lvlJc w:val="left"/>
      <w:pPr>
        <w:ind w:left="5562" w:hanging="360"/>
      </w:pPr>
      <w:rPr>
        <w:rFonts w:ascii="Courier New" w:hAnsi="Courier New" w:cs="Courier New" w:hint="default"/>
      </w:rPr>
    </w:lvl>
    <w:lvl w:ilvl="8" w:tplc="10090005" w:tentative="1">
      <w:start w:val="1"/>
      <w:numFmt w:val="bullet"/>
      <w:lvlText w:val=""/>
      <w:lvlJc w:val="left"/>
      <w:pPr>
        <w:ind w:left="6282" w:hanging="360"/>
      </w:pPr>
      <w:rPr>
        <w:rFonts w:ascii="Wingdings" w:hAnsi="Wingdings" w:hint="default"/>
      </w:rPr>
    </w:lvl>
  </w:abstractNum>
  <w:abstractNum w:abstractNumId="16" w15:restartNumberingAfterBreak="0">
    <w:nsid w:val="4C6B6CCE"/>
    <w:multiLevelType w:val="multilevel"/>
    <w:tmpl w:val="BCF6BD76"/>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1560FB1"/>
    <w:multiLevelType w:val="hybridMultilevel"/>
    <w:tmpl w:val="56FEDA7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53B46011"/>
    <w:multiLevelType w:val="hybridMultilevel"/>
    <w:tmpl w:val="7C52F23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7762466"/>
    <w:multiLevelType w:val="hybridMultilevel"/>
    <w:tmpl w:val="0AACBAC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15:restartNumberingAfterBreak="0">
    <w:nsid w:val="5A855EDB"/>
    <w:multiLevelType w:val="hybridMultilevel"/>
    <w:tmpl w:val="7486BF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B1E447D"/>
    <w:multiLevelType w:val="hybridMultilevel"/>
    <w:tmpl w:val="47168DC6"/>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1009001B">
      <w:start w:val="1"/>
      <w:numFmt w:val="lowerRoman"/>
      <w:lvlText w:val="%3."/>
      <w:lvlJc w:val="right"/>
      <w:pPr>
        <w:ind w:left="1800" w:hanging="180"/>
      </w:pPr>
    </w:lvl>
    <w:lvl w:ilvl="3" w:tplc="10090001">
      <w:start w:val="1"/>
      <w:numFmt w:val="bullet"/>
      <w:lvlText w:val=""/>
      <w:lvlJc w:val="left"/>
      <w:pPr>
        <w:ind w:left="2520" w:hanging="360"/>
      </w:pPr>
      <w:rPr>
        <w:rFonts w:ascii="Symbol" w:hAnsi="Symbol" w:hint="default"/>
      </w:rPr>
    </w:lvl>
    <w:lvl w:ilvl="4" w:tplc="7FF43C62">
      <w:start w:val="3"/>
      <w:numFmt w:val="bullet"/>
      <w:lvlText w:val="-"/>
      <w:lvlJc w:val="left"/>
      <w:pPr>
        <w:ind w:left="3240" w:hanging="360"/>
      </w:pPr>
      <w:rPr>
        <w:rFonts w:ascii="Arial" w:eastAsiaTheme="minorHAnsi" w:hAnsi="Arial" w:cs="Arial" w:hint="default"/>
        <w:b/>
      </w:r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602955E5"/>
    <w:multiLevelType w:val="hybridMultilevel"/>
    <w:tmpl w:val="F3188AAA"/>
    <w:lvl w:ilvl="0" w:tplc="10090001">
      <w:start w:val="1"/>
      <w:numFmt w:val="bullet"/>
      <w:lvlText w:val=""/>
      <w:lvlJc w:val="left"/>
      <w:pPr>
        <w:ind w:left="522" w:hanging="360"/>
      </w:pPr>
      <w:rPr>
        <w:rFonts w:ascii="Symbol" w:hAnsi="Symbol" w:hint="default"/>
      </w:rPr>
    </w:lvl>
    <w:lvl w:ilvl="1" w:tplc="10090003" w:tentative="1">
      <w:start w:val="1"/>
      <w:numFmt w:val="bullet"/>
      <w:lvlText w:val="o"/>
      <w:lvlJc w:val="left"/>
      <w:pPr>
        <w:ind w:left="1242" w:hanging="360"/>
      </w:pPr>
      <w:rPr>
        <w:rFonts w:ascii="Courier New" w:hAnsi="Courier New" w:cs="Courier New" w:hint="default"/>
      </w:rPr>
    </w:lvl>
    <w:lvl w:ilvl="2" w:tplc="10090005" w:tentative="1">
      <w:start w:val="1"/>
      <w:numFmt w:val="bullet"/>
      <w:lvlText w:val=""/>
      <w:lvlJc w:val="left"/>
      <w:pPr>
        <w:ind w:left="1962" w:hanging="360"/>
      </w:pPr>
      <w:rPr>
        <w:rFonts w:ascii="Wingdings" w:hAnsi="Wingdings" w:hint="default"/>
      </w:rPr>
    </w:lvl>
    <w:lvl w:ilvl="3" w:tplc="10090001" w:tentative="1">
      <w:start w:val="1"/>
      <w:numFmt w:val="bullet"/>
      <w:lvlText w:val=""/>
      <w:lvlJc w:val="left"/>
      <w:pPr>
        <w:ind w:left="2682" w:hanging="360"/>
      </w:pPr>
      <w:rPr>
        <w:rFonts w:ascii="Symbol" w:hAnsi="Symbol" w:hint="default"/>
      </w:rPr>
    </w:lvl>
    <w:lvl w:ilvl="4" w:tplc="10090003" w:tentative="1">
      <w:start w:val="1"/>
      <w:numFmt w:val="bullet"/>
      <w:lvlText w:val="o"/>
      <w:lvlJc w:val="left"/>
      <w:pPr>
        <w:ind w:left="3402" w:hanging="360"/>
      </w:pPr>
      <w:rPr>
        <w:rFonts w:ascii="Courier New" w:hAnsi="Courier New" w:cs="Courier New" w:hint="default"/>
      </w:rPr>
    </w:lvl>
    <w:lvl w:ilvl="5" w:tplc="10090005" w:tentative="1">
      <w:start w:val="1"/>
      <w:numFmt w:val="bullet"/>
      <w:lvlText w:val=""/>
      <w:lvlJc w:val="left"/>
      <w:pPr>
        <w:ind w:left="4122" w:hanging="360"/>
      </w:pPr>
      <w:rPr>
        <w:rFonts w:ascii="Wingdings" w:hAnsi="Wingdings" w:hint="default"/>
      </w:rPr>
    </w:lvl>
    <w:lvl w:ilvl="6" w:tplc="10090001" w:tentative="1">
      <w:start w:val="1"/>
      <w:numFmt w:val="bullet"/>
      <w:lvlText w:val=""/>
      <w:lvlJc w:val="left"/>
      <w:pPr>
        <w:ind w:left="4842" w:hanging="360"/>
      </w:pPr>
      <w:rPr>
        <w:rFonts w:ascii="Symbol" w:hAnsi="Symbol" w:hint="default"/>
      </w:rPr>
    </w:lvl>
    <w:lvl w:ilvl="7" w:tplc="10090003" w:tentative="1">
      <w:start w:val="1"/>
      <w:numFmt w:val="bullet"/>
      <w:lvlText w:val="o"/>
      <w:lvlJc w:val="left"/>
      <w:pPr>
        <w:ind w:left="5562" w:hanging="360"/>
      </w:pPr>
      <w:rPr>
        <w:rFonts w:ascii="Courier New" w:hAnsi="Courier New" w:cs="Courier New" w:hint="default"/>
      </w:rPr>
    </w:lvl>
    <w:lvl w:ilvl="8" w:tplc="10090005" w:tentative="1">
      <w:start w:val="1"/>
      <w:numFmt w:val="bullet"/>
      <w:lvlText w:val=""/>
      <w:lvlJc w:val="left"/>
      <w:pPr>
        <w:ind w:left="6282" w:hanging="360"/>
      </w:pPr>
      <w:rPr>
        <w:rFonts w:ascii="Wingdings" w:hAnsi="Wingdings" w:hint="default"/>
      </w:rPr>
    </w:lvl>
  </w:abstractNum>
  <w:abstractNum w:abstractNumId="23" w15:restartNumberingAfterBreak="0">
    <w:nsid w:val="61EA1ACC"/>
    <w:multiLevelType w:val="multilevel"/>
    <w:tmpl w:val="985463B8"/>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2046F0E"/>
    <w:multiLevelType w:val="hybridMultilevel"/>
    <w:tmpl w:val="63D4294C"/>
    <w:lvl w:ilvl="0" w:tplc="10090001">
      <w:start w:val="1"/>
      <w:numFmt w:val="bullet"/>
      <w:lvlText w:val=""/>
      <w:lvlJc w:val="left"/>
      <w:pPr>
        <w:ind w:left="112" w:hanging="360"/>
      </w:pPr>
      <w:rPr>
        <w:rFonts w:ascii="Symbol" w:hAnsi="Symbol" w:hint="default"/>
      </w:rPr>
    </w:lvl>
    <w:lvl w:ilvl="1" w:tplc="10090003" w:tentative="1">
      <w:start w:val="1"/>
      <w:numFmt w:val="bullet"/>
      <w:lvlText w:val="o"/>
      <w:lvlJc w:val="left"/>
      <w:pPr>
        <w:ind w:left="832" w:hanging="360"/>
      </w:pPr>
      <w:rPr>
        <w:rFonts w:ascii="Courier New" w:hAnsi="Courier New" w:cs="Courier New" w:hint="default"/>
      </w:rPr>
    </w:lvl>
    <w:lvl w:ilvl="2" w:tplc="10090005" w:tentative="1">
      <w:start w:val="1"/>
      <w:numFmt w:val="bullet"/>
      <w:lvlText w:val=""/>
      <w:lvlJc w:val="left"/>
      <w:pPr>
        <w:ind w:left="1552" w:hanging="360"/>
      </w:pPr>
      <w:rPr>
        <w:rFonts w:ascii="Wingdings" w:hAnsi="Wingdings" w:hint="default"/>
      </w:rPr>
    </w:lvl>
    <w:lvl w:ilvl="3" w:tplc="10090001" w:tentative="1">
      <w:start w:val="1"/>
      <w:numFmt w:val="bullet"/>
      <w:lvlText w:val=""/>
      <w:lvlJc w:val="left"/>
      <w:pPr>
        <w:ind w:left="2272" w:hanging="360"/>
      </w:pPr>
      <w:rPr>
        <w:rFonts w:ascii="Symbol" w:hAnsi="Symbol" w:hint="default"/>
      </w:rPr>
    </w:lvl>
    <w:lvl w:ilvl="4" w:tplc="10090003" w:tentative="1">
      <w:start w:val="1"/>
      <w:numFmt w:val="bullet"/>
      <w:lvlText w:val="o"/>
      <w:lvlJc w:val="left"/>
      <w:pPr>
        <w:ind w:left="2992" w:hanging="360"/>
      </w:pPr>
      <w:rPr>
        <w:rFonts w:ascii="Courier New" w:hAnsi="Courier New" w:cs="Courier New" w:hint="default"/>
      </w:rPr>
    </w:lvl>
    <w:lvl w:ilvl="5" w:tplc="10090005" w:tentative="1">
      <w:start w:val="1"/>
      <w:numFmt w:val="bullet"/>
      <w:lvlText w:val=""/>
      <w:lvlJc w:val="left"/>
      <w:pPr>
        <w:ind w:left="3712" w:hanging="360"/>
      </w:pPr>
      <w:rPr>
        <w:rFonts w:ascii="Wingdings" w:hAnsi="Wingdings" w:hint="default"/>
      </w:rPr>
    </w:lvl>
    <w:lvl w:ilvl="6" w:tplc="10090001" w:tentative="1">
      <w:start w:val="1"/>
      <w:numFmt w:val="bullet"/>
      <w:lvlText w:val=""/>
      <w:lvlJc w:val="left"/>
      <w:pPr>
        <w:ind w:left="4432" w:hanging="360"/>
      </w:pPr>
      <w:rPr>
        <w:rFonts w:ascii="Symbol" w:hAnsi="Symbol" w:hint="default"/>
      </w:rPr>
    </w:lvl>
    <w:lvl w:ilvl="7" w:tplc="10090003" w:tentative="1">
      <w:start w:val="1"/>
      <w:numFmt w:val="bullet"/>
      <w:lvlText w:val="o"/>
      <w:lvlJc w:val="left"/>
      <w:pPr>
        <w:ind w:left="5152" w:hanging="360"/>
      </w:pPr>
      <w:rPr>
        <w:rFonts w:ascii="Courier New" w:hAnsi="Courier New" w:cs="Courier New" w:hint="default"/>
      </w:rPr>
    </w:lvl>
    <w:lvl w:ilvl="8" w:tplc="10090005" w:tentative="1">
      <w:start w:val="1"/>
      <w:numFmt w:val="bullet"/>
      <w:lvlText w:val=""/>
      <w:lvlJc w:val="left"/>
      <w:pPr>
        <w:ind w:left="5872" w:hanging="360"/>
      </w:pPr>
      <w:rPr>
        <w:rFonts w:ascii="Wingdings" w:hAnsi="Wingdings" w:hint="default"/>
      </w:rPr>
    </w:lvl>
  </w:abstractNum>
  <w:abstractNum w:abstractNumId="25" w15:restartNumberingAfterBreak="0">
    <w:nsid w:val="62E10FDD"/>
    <w:multiLevelType w:val="multilevel"/>
    <w:tmpl w:val="D99CE942"/>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45904DB"/>
    <w:multiLevelType w:val="hybridMultilevel"/>
    <w:tmpl w:val="E452D092"/>
    <w:lvl w:ilvl="0" w:tplc="10090001">
      <w:start w:val="1"/>
      <w:numFmt w:val="bullet"/>
      <w:lvlText w:val=""/>
      <w:lvlJc w:val="left"/>
      <w:pPr>
        <w:ind w:left="1080" w:hanging="360"/>
      </w:pPr>
      <w:rPr>
        <w:rFonts w:ascii="Symbol" w:hAnsi="Symbol" w:hint="default"/>
      </w:rPr>
    </w:lvl>
    <w:lvl w:ilvl="1" w:tplc="10090001">
      <w:start w:val="1"/>
      <w:numFmt w:val="bullet"/>
      <w:lvlText w:val=""/>
      <w:lvlJc w:val="left"/>
      <w:pPr>
        <w:ind w:left="1800" w:hanging="360"/>
      </w:pPr>
      <w:rPr>
        <w:rFonts w:ascii="Symbol" w:hAnsi="Symbo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7" w15:restartNumberingAfterBreak="0">
    <w:nsid w:val="68DF7914"/>
    <w:multiLevelType w:val="hybridMultilevel"/>
    <w:tmpl w:val="92AC6D8A"/>
    <w:lvl w:ilvl="0" w:tplc="10090001">
      <w:start w:val="1"/>
      <w:numFmt w:val="bullet"/>
      <w:lvlText w:val=""/>
      <w:lvlJc w:val="left"/>
      <w:pPr>
        <w:ind w:left="522" w:hanging="360"/>
      </w:pPr>
      <w:rPr>
        <w:rFonts w:ascii="Symbol" w:hAnsi="Symbol" w:hint="default"/>
      </w:rPr>
    </w:lvl>
    <w:lvl w:ilvl="1" w:tplc="10090003" w:tentative="1">
      <w:start w:val="1"/>
      <w:numFmt w:val="bullet"/>
      <w:lvlText w:val="o"/>
      <w:lvlJc w:val="left"/>
      <w:pPr>
        <w:ind w:left="1242" w:hanging="360"/>
      </w:pPr>
      <w:rPr>
        <w:rFonts w:ascii="Courier New" w:hAnsi="Courier New" w:cs="Courier New" w:hint="default"/>
      </w:rPr>
    </w:lvl>
    <w:lvl w:ilvl="2" w:tplc="10090005" w:tentative="1">
      <w:start w:val="1"/>
      <w:numFmt w:val="bullet"/>
      <w:lvlText w:val=""/>
      <w:lvlJc w:val="left"/>
      <w:pPr>
        <w:ind w:left="1962" w:hanging="360"/>
      </w:pPr>
      <w:rPr>
        <w:rFonts w:ascii="Wingdings" w:hAnsi="Wingdings" w:hint="default"/>
      </w:rPr>
    </w:lvl>
    <w:lvl w:ilvl="3" w:tplc="10090001" w:tentative="1">
      <w:start w:val="1"/>
      <w:numFmt w:val="bullet"/>
      <w:lvlText w:val=""/>
      <w:lvlJc w:val="left"/>
      <w:pPr>
        <w:ind w:left="2682" w:hanging="360"/>
      </w:pPr>
      <w:rPr>
        <w:rFonts w:ascii="Symbol" w:hAnsi="Symbol" w:hint="default"/>
      </w:rPr>
    </w:lvl>
    <w:lvl w:ilvl="4" w:tplc="10090003" w:tentative="1">
      <w:start w:val="1"/>
      <w:numFmt w:val="bullet"/>
      <w:lvlText w:val="o"/>
      <w:lvlJc w:val="left"/>
      <w:pPr>
        <w:ind w:left="3402" w:hanging="360"/>
      </w:pPr>
      <w:rPr>
        <w:rFonts w:ascii="Courier New" w:hAnsi="Courier New" w:cs="Courier New" w:hint="default"/>
      </w:rPr>
    </w:lvl>
    <w:lvl w:ilvl="5" w:tplc="10090005" w:tentative="1">
      <w:start w:val="1"/>
      <w:numFmt w:val="bullet"/>
      <w:lvlText w:val=""/>
      <w:lvlJc w:val="left"/>
      <w:pPr>
        <w:ind w:left="4122" w:hanging="360"/>
      </w:pPr>
      <w:rPr>
        <w:rFonts w:ascii="Wingdings" w:hAnsi="Wingdings" w:hint="default"/>
      </w:rPr>
    </w:lvl>
    <w:lvl w:ilvl="6" w:tplc="10090001" w:tentative="1">
      <w:start w:val="1"/>
      <w:numFmt w:val="bullet"/>
      <w:lvlText w:val=""/>
      <w:lvlJc w:val="left"/>
      <w:pPr>
        <w:ind w:left="4842" w:hanging="360"/>
      </w:pPr>
      <w:rPr>
        <w:rFonts w:ascii="Symbol" w:hAnsi="Symbol" w:hint="default"/>
      </w:rPr>
    </w:lvl>
    <w:lvl w:ilvl="7" w:tplc="10090003" w:tentative="1">
      <w:start w:val="1"/>
      <w:numFmt w:val="bullet"/>
      <w:lvlText w:val="o"/>
      <w:lvlJc w:val="left"/>
      <w:pPr>
        <w:ind w:left="5562" w:hanging="360"/>
      </w:pPr>
      <w:rPr>
        <w:rFonts w:ascii="Courier New" w:hAnsi="Courier New" w:cs="Courier New" w:hint="default"/>
      </w:rPr>
    </w:lvl>
    <w:lvl w:ilvl="8" w:tplc="10090005" w:tentative="1">
      <w:start w:val="1"/>
      <w:numFmt w:val="bullet"/>
      <w:lvlText w:val=""/>
      <w:lvlJc w:val="left"/>
      <w:pPr>
        <w:ind w:left="6282" w:hanging="360"/>
      </w:pPr>
      <w:rPr>
        <w:rFonts w:ascii="Wingdings" w:hAnsi="Wingdings" w:hint="default"/>
      </w:rPr>
    </w:lvl>
  </w:abstractNum>
  <w:abstractNum w:abstractNumId="28" w15:restartNumberingAfterBreak="0">
    <w:nsid w:val="6AAF0F6F"/>
    <w:multiLevelType w:val="hybridMultilevel"/>
    <w:tmpl w:val="E5A0C9F2"/>
    <w:lvl w:ilvl="0" w:tplc="10090001">
      <w:start w:val="1"/>
      <w:numFmt w:val="bullet"/>
      <w:lvlText w:val=""/>
      <w:lvlJc w:val="left"/>
      <w:pPr>
        <w:ind w:left="1080" w:hanging="360"/>
      </w:pPr>
      <w:rPr>
        <w:rFonts w:ascii="Symbol" w:hAnsi="Symbol" w:hint="default"/>
      </w:rPr>
    </w:lvl>
    <w:lvl w:ilvl="1" w:tplc="10090001">
      <w:start w:val="1"/>
      <w:numFmt w:val="bullet"/>
      <w:lvlText w:val=""/>
      <w:lvlJc w:val="left"/>
      <w:pPr>
        <w:ind w:left="1800" w:hanging="360"/>
      </w:pPr>
      <w:rPr>
        <w:rFonts w:ascii="Symbol" w:hAnsi="Symbo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9" w15:restartNumberingAfterBreak="0">
    <w:nsid w:val="72F44A10"/>
    <w:multiLevelType w:val="hybridMultilevel"/>
    <w:tmpl w:val="3D24117A"/>
    <w:lvl w:ilvl="0" w:tplc="10090001">
      <w:start w:val="1"/>
      <w:numFmt w:val="bullet"/>
      <w:lvlText w:val=""/>
      <w:lvlJc w:val="left"/>
      <w:pPr>
        <w:ind w:left="522" w:hanging="360"/>
      </w:pPr>
      <w:rPr>
        <w:rFonts w:ascii="Symbol" w:hAnsi="Symbol" w:hint="default"/>
      </w:rPr>
    </w:lvl>
    <w:lvl w:ilvl="1" w:tplc="10090003" w:tentative="1">
      <w:start w:val="1"/>
      <w:numFmt w:val="bullet"/>
      <w:lvlText w:val="o"/>
      <w:lvlJc w:val="left"/>
      <w:pPr>
        <w:ind w:left="1242" w:hanging="360"/>
      </w:pPr>
      <w:rPr>
        <w:rFonts w:ascii="Courier New" w:hAnsi="Courier New" w:cs="Courier New" w:hint="default"/>
      </w:rPr>
    </w:lvl>
    <w:lvl w:ilvl="2" w:tplc="10090005" w:tentative="1">
      <w:start w:val="1"/>
      <w:numFmt w:val="bullet"/>
      <w:lvlText w:val=""/>
      <w:lvlJc w:val="left"/>
      <w:pPr>
        <w:ind w:left="1962" w:hanging="360"/>
      </w:pPr>
      <w:rPr>
        <w:rFonts w:ascii="Wingdings" w:hAnsi="Wingdings" w:hint="default"/>
      </w:rPr>
    </w:lvl>
    <w:lvl w:ilvl="3" w:tplc="10090001" w:tentative="1">
      <w:start w:val="1"/>
      <w:numFmt w:val="bullet"/>
      <w:lvlText w:val=""/>
      <w:lvlJc w:val="left"/>
      <w:pPr>
        <w:ind w:left="2682" w:hanging="360"/>
      </w:pPr>
      <w:rPr>
        <w:rFonts w:ascii="Symbol" w:hAnsi="Symbol" w:hint="default"/>
      </w:rPr>
    </w:lvl>
    <w:lvl w:ilvl="4" w:tplc="10090003" w:tentative="1">
      <w:start w:val="1"/>
      <w:numFmt w:val="bullet"/>
      <w:lvlText w:val="o"/>
      <w:lvlJc w:val="left"/>
      <w:pPr>
        <w:ind w:left="3402" w:hanging="360"/>
      </w:pPr>
      <w:rPr>
        <w:rFonts w:ascii="Courier New" w:hAnsi="Courier New" w:cs="Courier New" w:hint="default"/>
      </w:rPr>
    </w:lvl>
    <w:lvl w:ilvl="5" w:tplc="10090005" w:tentative="1">
      <w:start w:val="1"/>
      <w:numFmt w:val="bullet"/>
      <w:lvlText w:val=""/>
      <w:lvlJc w:val="left"/>
      <w:pPr>
        <w:ind w:left="4122" w:hanging="360"/>
      </w:pPr>
      <w:rPr>
        <w:rFonts w:ascii="Wingdings" w:hAnsi="Wingdings" w:hint="default"/>
      </w:rPr>
    </w:lvl>
    <w:lvl w:ilvl="6" w:tplc="10090001" w:tentative="1">
      <w:start w:val="1"/>
      <w:numFmt w:val="bullet"/>
      <w:lvlText w:val=""/>
      <w:lvlJc w:val="left"/>
      <w:pPr>
        <w:ind w:left="4842" w:hanging="360"/>
      </w:pPr>
      <w:rPr>
        <w:rFonts w:ascii="Symbol" w:hAnsi="Symbol" w:hint="default"/>
      </w:rPr>
    </w:lvl>
    <w:lvl w:ilvl="7" w:tplc="10090003" w:tentative="1">
      <w:start w:val="1"/>
      <w:numFmt w:val="bullet"/>
      <w:lvlText w:val="o"/>
      <w:lvlJc w:val="left"/>
      <w:pPr>
        <w:ind w:left="5562" w:hanging="360"/>
      </w:pPr>
      <w:rPr>
        <w:rFonts w:ascii="Courier New" w:hAnsi="Courier New" w:cs="Courier New" w:hint="default"/>
      </w:rPr>
    </w:lvl>
    <w:lvl w:ilvl="8" w:tplc="10090005" w:tentative="1">
      <w:start w:val="1"/>
      <w:numFmt w:val="bullet"/>
      <w:lvlText w:val=""/>
      <w:lvlJc w:val="left"/>
      <w:pPr>
        <w:ind w:left="6282" w:hanging="360"/>
      </w:pPr>
      <w:rPr>
        <w:rFonts w:ascii="Wingdings" w:hAnsi="Wingdings" w:hint="default"/>
      </w:rPr>
    </w:lvl>
  </w:abstractNum>
  <w:abstractNum w:abstractNumId="30" w15:restartNumberingAfterBreak="0">
    <w:nsid w:val="732653CB"/>
    <w:multiLevelType w:val="hybridMultilevel"/>
    <w:tmpl w:val="9D5E9B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BE0259A"/>
    <w:multiLevelType w:val="multilevel"/>
    <w:tmpl w:val="7C683DD6"/>
    <w:lvl w:ilvl="0">
      <w:start w:val="4"/>
      <w:numFmt w:val="decimal"/>
      <w:lvlText w:val="%1"/>
      <w:lvlJc w:val="left"/>
      <w:pPr>
        <w:ind w:left="540" w:hanging="540"/>
      </w:pPr>
      <w:rPr>
        <w:rFonts w:hint="default"/>
        <w:b/>
        <w:i/>
      </w:rPr>
    </w:lvl>
    <w:lvl w:ilvl="1">
      <w:start w:val="1"/>
      <w:numFmt w:val="decimal"/>
      <w:lvlText w:val="%1.%2"/>
      <w:lvlJc w:val="left"/>
      <w:pPr>
        <w:ind w:left="540" w:hanging="54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1800" w:hanging="1800"/>
      </w:pPr>
      <w:rPr>
        <w:rFonts w:hint="default"/>
        <w:b/>
        <w:i/>
      </w:rPr>
    </w:lvl>
  </w:abstractNum>
  <w:num w:numId="1">
    <w:abstractNumId w:val="10"/>
  </w:num>
  <w:num w:numId="2">
    <w:abstractNumId w:val="11"/>
  </w:num>
  <w:num w:numId="3">
    <w:abstractNumId w:val="8"/>
  </w:num>
  <w:num w:numId="4">
    <w:abstractNumId w:val="21"/>
  </w:num>
  <w:num w:numId="5">
    <w:abstractNumId w:val="9"/>
  </w:num>
  <w:num w:numId="6">
    <w:abstractNumId w:val="5"/>
  </w:num>
  <w:num w:numId="7">
    <w:abstractNumId w:val="13"/>
  </w:num>
  <w:num w:numId="8">
    <w:abstractNumId w:val="31"/>
  </w:num>
  <w:num w:numId="9">
    <w:abstractNumId w:val="14"/>
  </w:num>
  <w:num w:numId="10">
    <w:abstractNumId w:val="28"/>
  </w:num>
  <w:num w:numId="11">
    <w:abstractNumId w:val="7"/>
  </w:num>
  <w:num w:numId="12">
    <w:abstractNumId w:val="6"/>
  </w:num>
  <w:num w:numId="13">
    <w:abstractNumId w:val="4"/>
  </w:num>
  <w:num w:numId="14">
    <w:abstractNumId w:val="16"/>
  </w:num>
  <w:num w:numId="15">
    <w:abstractNumId w:val="1"/>
  </w:num>
  <w:num w:numId="16">
    <w:abstractNumId w:val="25"/>
  </w:num>
  <w:num w:numId="17">
    <w:abstractNumId w:val="12"/>
  </w:num>
  <w:num w:numId="18">
    <w:abstractNumId w:val="19"/>
  </w:num>
  <w:num w:numId="19">
    <w:abstractNumId w:val="17"/>
  </w:num>
  <w:num w:numId="20">
    <w:abstractNumId w:val="26"/>
  </w:num>
  <w:num w:numId="21">
    <w:abstractNumId w:val="2"/>
  </w:num>
  <w:num w:numId="22">
    <w:abstractNumId w:val="30"/>
  </w:num>
  <w:num w:numId="23">
    <w:abstractNumId w:val="18"/>
  </w:num>
  <w:num w:numId="24">
    <w:abstractNumId w:val="20"/>
  </w:num>
  <w:num w:numId="25">
    <w:abstractNumId w:val="3"/>
  </w:num>
  <w:num w:numId="26">
    <w:abstractNumId w:val="0"/>
  </w:num>
  <w:num w:numId="27">
    <w:abstractNumId w:val="23"/>
  </w:num>
  <w:num w:numId="28">
    <w:abstractNumId w:val="29"/>
  </w:num>
  <w:num w:numId="29">
    <w:abstractNumId w:val="15"/>
  </w:num>
  <w:num w:numId="30">
    <w:abstractNumId w:val="27"/>
  </w:num>
  <w:num w:numId="31">
    <w:abstractNumId w:val="22"/>
  </w:num>
  <w:num w:numId="32">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0E1"/>
    <w:rsid w:val="0000417B"/>
    <w:rsid w:val="00004D1D"/>
    <w:rsid w:val="0000580B"/>
    <w:rsid w:val="000068D6"/>
    <w:rsid w:val="00007F07"/>
    <w:rsid w:val="00010559"/>
    <w:rsid w:val="0001525E"/>
    <w:rsid w:val="000204A2"/>
    <w:rsid w:val="0002190F"/>
    <w:rsid w:val="00023D92"/>
    <w:rsid w:val="0002649B"/>
    <w:rsid w:val="000279CD"/>
    <w:rsid w:val="00033D15"/>
    <w:rsid w:val="00036400"/>
    <w:rsid w:val="000377C8"/>
    <w:rsid w:val="00040437"/>
    <w:rsid w:val="00040FDD"/>
    <w:rsid w:val="00042A24"/>
    <w:rsid w:val="00045FF7"/>
    <w:rsid w:val="000463D6"/>
    <w:rsid w:val="00047848"/>
    <w:rsid w:val="00050555"/>
    <w:rsid w:val="00054C99"/>
    <w:rsid w:val="00060233"/>
    <w:rsid w:val="00061ADD"/>
    <w:rsid w:val="00062299"/>
    <w:rsid w:val="0006293B"/>
    <w:rsid w:val="00062AEE"/>
    <w:rsid w:val="00062D1E"/>
    <w:rsid w:val="00063CBD"/>
    <w:rsid w:val="00064E40"/>
    <w:rsid w:val="00070917"/>
    <w:rsid w:val="000725CE"/>
    <w:rsid w:val="00072A32"/>
    <w:rsid w:val="00076A57"/>
    <w:rsid w:val="0007720B"/>
    <w:rsid w:val="00080B85"/>
    <w:rsid w:val="00080CE1"/>
    <w:rsid w:val="00082A09"/>
    <w:rsid w:val="00083195"/>
    <w:rsid w:val="00084B1D"/>
    <w:rsid w:val="00097B2E"/>
    <w:rsid w:val="000A27FD"/>
    <w:rsid w:val="000A4F52"/>
    <w:rsid w:val="000B10BD"/>
    <w:rsid w:val="000B1CBC"/>
    <w:rsid w:val="000B3066"/>
    <w:rsid w:val="000B5958"/>
    <w:rsid w:val="000B6943"/>
    <w:rsid w:val="000C1D93"/>
    <w:rsid w:val="000C43E5"/>
    <w:rsid w:val="000C6E28"/>
    <w:rsid w:val="000C7EF1"/>
    <w:rsid w:val="000D6CE8"/>
    <w:rsid w:val="000E1D65"/>
    <w:rsid w:val="000E29B1"/>
    <w:rsid w:val="000E3335"/>
    <w:rsid w:val="000F4432"/>
    <w:rsid w:val="00100BA3"/>
    <w:rsid w:val="0010102A"/>
    <w:rsid w:val="00101B1B"/>
    <w:rsid w:val="00106363"/>
    <w:rsid w:val="0010639A"/>
    <w:rsid w:val="00110DA2"/>
    <w:rsid w:val="00113E33"/>
    <w:rsid w:val="00117530"/>
    <w:rsid w:val="00117A93"/>
    <w:rsid w:val="00131790"/>
    <w:rsid w:val="00133AFA"/>
    <w:rsid w:val="00134A0B"/>
    <w:rsid w:val="00135C01"/>
    <w:rsid w:val="001374F9"/>
    <w:rsid w:val="0014177D"/>
    <w:rsid w:val="00141C1B"/>
    <w:rsid w:val="00142742"/>
    <w:rsid w:val="00142829"/>
    <w:rsid w:val="00143BFA"/>
    <w:rsid w:val="00143FEB"/>
    <w:rsid w:val="001476B6"/>
    <w:rsid w:val="001557A9"/>
    <w:rsid w:val="00157BF2"/>
    <w:rsid w:val="00163415"/>
    <w:rsid w:val="001635A3"/>
    <w:rsid w:val="001673EA"/>
    <w:rsid w:val="0017247C"/>
    <w:rsid w:val="00176971"/>
    <w:rsid w:val="00181F16"/>
    <w:rsid w:val="00187C3B"/>
    <w:rsid w:val="00191170"/>
    <w:rsid w:val="0019539B"/>
    <w:rsid w:val="001970B1"/>
    <w:rsid w:val="001974CD"/>
    <w:rsid w:val="001A25CB"/>
    <w:rsid w:val="001A3393"/>
    <w:rsid w:val="001A3B98"/>
    <w:rsid w:val="001A4E0F"/>
    <w:rsid w:val="001A65CD"/>
    <w:rsid w:val="001A73DD"/>
    <w:rsid w:val="001B1719"/>
    <w:rsid w:val="001B27E1"/>
    <w:rsid w:val="001B2FB6"/>
    <w:rsid w:val="001B312D"/>
    <w:rsid w:val="001C156D"/>
    <w:rsid w:val="001C42B6"/>
    <w:rsid w:val="001C5ABE"/>
    <w:rsid w:val="001C6F6C"/>
    <w:rsid w:val="001C7B89"/>
    <w:rsid w:val="001D0F64"/>
    <w:rsid w:val="001D517B"/>
    <w:rsid w:val="001E0687"/>
    <w:rsid w:val="001E7511"/>
    <w:rsid w:val="001F1D57"/>
    <w:rsid w:val="001F21DE"/>
    <w:rsid w:val="001F33CD"/>
    <w:rsid w:val="001F7808"/>
    <w:rsid w:val="0020740B"/>
    <w:rsid w:val="00212797"/>
    <w:rsid w:val="00212F61"/>
    <w:rsid w:val="00213925"/>
    <w:rsid w:val="00215F22"/>
    <w:rsid w:val="002161F1"/>
    <w:rsid w:val="00216CA3"/>
    <w:rsid w:val="00216DAC"/>
    <w:rsid w:val="00222338"/>
    <w:rsid w:val="00222D05"/>
    <w:rsid w:val="002237CA"/>
    <w:rsid w:val="00225393"/>
    <w:rsid w:val="00225512"/>
    <w:rsid w:val="00225E65"/>
    <w:rsid w:val="00231A1B"/>
    <w:rsid w:val="00232892"/>
    <w:rsid w:val="00236043"/>
    <w:rsid w:val="00242485"/>
    <w:rsid w:val="002464E3"/>
    <w:rsid w:val="00256E1A"/>
    <w:rsid w:val="00257D7D"/>
    <w:rsid w:val="00262C60"/>
    <w:rsid w:val="00266F05"/>
    <w:rsid w:val="0027025F"/>
    <w:rsid w:val="00272A0B"/>
    <w:rsid w:val="0027463D"/>
    <w:rsid w:val="0027543C"/>
    <w:rsid w:val="00275F5D"/>
    <w:rsid w:val="0028600A"/>
    <w:rsid w:val="002863CC"/>
    <w:rsid w:val="00287DFA"/>
    <w:rsid w:val="00290A13"/>
    <w:rsid w:val="00293F43"/>
    <w:rsid w:val="002A1F44"/>
    <w:rsid w:val="002A21AB"/>
    <w:rsid w:val="002A582C"/>
    <w:rsid w:val="002A69F6"/>
    <w:rsid w:val="002A6BBE"/>
    <w:rsid w:val="002B1BA7"/>
    <w:rsid w:val="002B423E"/>
    <w:rsid w:val="002B48F1"/>
    <w:rsid w:val="002B6DB1"/>
    <w:rsid w:val="002B7E14"/>
    <w:rsid w:val="002D12E8"/>
    <w:rsid w:val="002D4679"/>
    <w:rsid w:val="002D6890"/>
    <w:rsid w:val="002D6F46"/>
    <w:rsid w:val="002D78CF"/>
    <w:rsid w:val="002E101F"/>
    <w:rsid w:val="002E5AAA"/>
    <w:rsid w:val="002F0333"/>
    <w:rsid w:val="002F03A4"/>
    <w:rsid w:val="002F24F0"/>
    <w:rsid w:val="002F2851"/>
    <w:rsid w:val="002F55DC"/>
    <w:rsid w:val="003008CE"/>
    <w:rsid w:val="00301219"/>
    <w:rsid w:val="00306C9F"/>
    <w:rsid w:val="003122AE"/>
    <w:rsid w:val="003122FE"/>
    <w:rsid w:val="003158EA"/>
    <w:rsid w:val="00320AC1"/>
    <w:rsid w:val="00325C9F"/>
    <w:rsid w:val="00333B1C"/>
    <w:rsid w:val="003341E8"/>
    <w:rsid w:val="003356D3"/>
    <w:rsid w:val="003373FC"/>
    <w:rsid w:val="003413AF"/>
    <w:rsid w:val="003418C4"/>
    <w:rsid w:val="00341EAD"/>
    <w:rsid w:val="003425D6"/>
    <w:rsid w:val="00342E9F"/>
    <w:rsid w:val="00353828"/>
    <w:rsid w:val="0035578F"/>
    <w:rsid w:val="00356A96"/>
    <w:rsid w:val="00357620"/>
    <w:rsid w:val="00360CA4"/>
    <w:rsid w:val="00364087"/>
    <w:rsid w:val="00373902"/>
    <w:rsid w:val="00375170"/>
    <w:rsid w:val="00382465"/>
    <w:rsid w:val="00383AF7"/>
    <w:rsid w:val="00385497"/>
    <w:rsid w:val="00387175"/>
    <w:rsid w:val="0039330C"/>
    <w:rsid w:val="00393E4D"/>
    <w:rsid w:val="0039641F"/>
    <w:rsid w:val="00397582"/>
    <w:rsid w:val="003A4113"/>
    <w:rsid w:val="003A4CB9"/>
    <w:rsid w:val="003A6B97"/>
    <w:rsid w:val="003A7BA9"/>
    <w:rsid w:val="003B0CFB"/>
    <w:rsid w:val="003B0E36"/>
    <w:rsid w:val="003B135C"/>
    <w:rsid w:val="003B3E1B"/>
    <w:rsid w:val="003B508A"/>
    <w:rsid w:val="003B67D1"/>
    <w:rsid w:val="003B67D6"/>
    <w:rsid w:val="003B72E3"/>
    <w:rsid w:val="003C1F93"/>
    <w:rsid w:val="003C346E"/>
    <w:rsid w:val="003C457E"/>
    <w:rsid w:val="003C58A7"/>
    <w:rsid w:val="003D038D"/>
    <w:rsid w:val="003D1358"/>
    <w:rsid w:val="003D3335"/>
    <w:rsid w:val="003E12BF"/>
    <w:rsid w:val="003E5E10"/>
    <w:rsid w:val="003E6824"/>
    <w:rsid w:val="003F4EE2"/>
    <w:rsid w:val="003F55C2"/>
    <w:rsid w:val="00400750"/>
    <w:rsid w:val="004023ED"/>
    <w:rsid w:val="004048B0"/>
    <w:rsid w:val="0040646E"/>
    <w:rsid w:val="00410355"/>
    <w:rsid w:val="004126BE"/>
    <w:rsid w:val="00415395"/>
    <w:rsid w:val="00415AE7"/>
    <w:rsid w:val="004167AD"/>
    <w:rsid w:val="00424DC1"/>
    <w:rsid w:val="004345C2"/>
    <w:rsid w:val="004350D7"/>
    <w:rsid w:val="00440825"/>
    <w:rsid w:val="00440A68"/>
    <w:rsid w:val="00440C93"/>
    <w:rsid w:val="00441183"/>
    <w:rsid w:val="004434D8"/>
    <w:rsid w:val="00445DE1"/>
    <w:rsid w:val="004473CB"/>
    <w:rsid w:val="004502E5"/>
    <w:rsid w:val="0045656C"/>
    <w:rsid w:val="00457F7D"/>
    <w:rsid w:val="00462F07"/>
    <w:rsid w:val="004631A1"/>
    <w:rsid w:val="004654CE"/>
    <w:rsid w:val="004668A3"/>
    <w:rsid w:val="00467213"/>
    <w:rsid w:val="004718C8"/>
    <w:rsid w:val="004747B1"/>
    <w:rsid w:val="004768D8"/>
    <w:rsid w:val="00476E90"/>
    <w:rsid w:val="00477527"/>
    <w:rsid w:val="0048242F"/>
    <w:rsid w:val="00484133"/>
    <w:rsid w:val="004847FD"/>
    <w:rsid w:val="00485C4A"/>
    <w:rsid w:val="00485D5C"/>
    <w:rsid w:val="00487780"/>
    <w:rsid w:val="004915E0"/>
    <w:rsid w:val="00496A53"/>
    <w:rsid w:val="0049790B"/>
    <w:rsid w:val="004A1EEB"/>
    <w:rsid w:val="004A3EF1"/>
    <w:rsid w:val="004A4D92"/>
    <w:rsid w:val="004B0E7C"/>
    <w:rsid w:val="004B41DA"/>
    <w:rsid w:val="004B6E8E"/>
    <w:rsid w:val="004C10C4"/>
    <w:rsid w:val="004C1B7F"/>
    <w:rsid w:val="004C278D"/>
    <w:rsid w:val="004C50D5"/>
    <w:rsid w:val="004C72BE"/>
    <w:rsid w:val="004C771F"/>
    <w:rsid w:val="004C7991"/>
    <w:rsid w:val="004D0B27"/>
    <w:rsid w:val="004D2753"/>
    <w:rsid w:val="004D3B71"/>
    <w:rsid w:val="004D4C3B"/>
    <w:rsid w:val="004D60C0"/>
    <w:rsid w:val="004D7B5F"/>
    <w:rsid w:val="004E02DE"/>
    <w:rsid w:val="004E42A3"/>
    <w:rsid w:val="004E5325"/>
    <w:rsid w:val="004E7919"/>
    <w:rsid w:val="004F1F55"/>
    <w:rsid w:val="004F41CF"/>
    <w:rsid w:val="004F5ABF"/>
    <w:rsid w:val="004F5AFD"/>
    <w:rsid w:val="004F6757"/>
    <w:rsid w:val="0050130A"/>
    <w:rsid w:val="00502547"/>
    <w:rsid w:val="0050259F"/>
    <w:rsid w:val="00505213"/>
    <w:rsid w:val="005069A8"/>
    <w:rsid w:val="00511C74"/>
    <w:rsid w:val="00512816"/>
    <w:rsid w:val="00512D31"/>
    <w:rsid w:val="00515EA4"/>
    <w:rsid w:val="0051642F"/>
    <w:rsid w:val="00521AD2"/>
    <w:rsid w:val="00523BD8"/>
    <w:rsid w:val="0052448C"/>
    <w:rsid w:val="005249CB"/>
    <w:rsid w:val="00525FE6"/>
    <w:rsid w:val="005273C0"/>
    <w:rsid w:val="00530797"/>
    <w:rsid w:val="00533491"/>
    <w:rsid w:val="00537F6A"/>
    <w:rsid w:val="005406C9"/>
    <w:rsid w:val="00540F49"/>
    <w:rsid w:val="0054182B"/>
    <w:rsid w:val="005474A1"/>
    <w:rsid w:val="00551997"/>
    <w:rsid w:val="00551EDB"/>
    <w:rsid w:val="005542A7"/>
    <w:rsid w:val="00556133"/>
    <w:rsid w:val="005605C4"/>
    <w:rsid w:val="005606DF"/>
    <w:rsid w:val="005656E6"/>
    <w:rsid w:val="00567452"/>
    <w:rsid w:val="00571246"/>
    <w:rsid w:val="005746DF"/>
    <w:rsid w:val="00575AD5"/>
    <w:rsid w:val="00577033"/>
    <w:rsid w:val="005817FE"/>
    <w:rsid w:val="00581869"/>
    <w:rsid w:val="00584FC5"/>
    <w:rsid w:val="00586E2E"/>
    <w:rsid w:val="00590C78"/>
    <w:rsid w:val="0059139D"/>
    <w:rsid w:val="00591798"/>
    <w:rsid w:val="00593FC1"/>
    <w:rsid w:val="005940C1"/>
    <w:rsid w:val="005940E6"/>
    <w:rsid w:val="005943FB"/>
    <w:rsid w:val="005A0B9F"/>
    <w:rsid w:val="005A0D06"/>
    <w:rsid w:val="005A0F32"/>
    <w:rsid w:val="005A21CC"/>
    <w:rsid w:val="005A30FB"/>
    <w:rsid w:val="005A4EFD"/>
    <w:rsid w:val="005A64BA"/>
    <w:rsid w:val="005A676F"/>
    <w:rsid w:val="005A7757"/>
    <w:rsid w:val="005B4925"/>
    <w:rsid w:val="005B5245"/>
    <w:rsid w:val="005B5955"/>
    <w:rsid w:val="005C02CE"/>
    <w:rsid w:val="005C07C3"/>
    <w:rsid w:val="005C08ED"/>
    <w:rsid w:val="005C4AA4"/>
    <w:rsid w:val="005C5BA9"/>
    <w:rsid w:val="005C6231"/>
    <w:rsid w:val="005D3312"/>
    <w:rsid w:val="005D6120"/>
    <w:rsid w:val="005E3CB4"/>
    <w:rsid w:val="005E49BD"/>
    <w:rsid w:val="005F012D"/>
    <w:rsid w:val="005F374F"/>
    <w:rsid w:val="005F437C"/>
    <w:rsid w:val="005F5D7D"/>
    <w:rsid w:val="005F5F52"/>
    <w:rsid w:val="005F64C9"/>
    <w:rsid w:val="005F7F75"/>
    <w:rsid w:val="00601991"/>
    <w:rsid w:val="006050A0"/>
    <w:rsid w:val="006054A0"/>
    <w:rsid w:val="00606D78"/>
    <w:rsid w:val="00606F37"/>
    <w:rsid w:val="00610B61"/>
    <w:rsid w:val="00610E53"/>
    <w:rsid w:val="0061258E"/>
    <w:rsid w:val="00613728"/>
    <w:rsid w:val="00614546"/>
    <w:rsid w:val="0062049B"/>
    <w:rsid w:val="00621271"/>
    <w:rsid w:val="00622985"/>
    <w:rsid w:val="00623A9A"/>
    <w:rsid w:val="0062407A"/>
    <w:rsid w:val="006272C8"/>
    <w:rsid w:val="00631EEF"/>
    <w:rsid w:val="0063437A"/>
    <w:rsid w:val="006357E8"/>
    <w:rsid w:val="00635860"/>
    <w:rsid w:val="006377C5"/>
    <w:rsid w:val="00637C5F"/>
    <w:rsid w:val="00641325"/>
    <w:rsid w:val="00650FE0"/>
    <w:rsid w:val="00653718"/>
    <w:rsid w:val="00661000"/>
    <w:rsid w:val="00663D02"/>
    <w:rsid w:val="006667DC"/>
    <w:rsid w:val="00670215"/>
    <w:rsid w:val="00670313"/>
    <w:rsid w:val="006705EF"/>
    <w:rsid w:val="00672435"/>
    <w:rsid w:val="0067249A"/>
    <w:rsid w:val="006745DD"/>
    <w:rsid w:val="00674931"/>
    <w:rsid w:val="00676208"/>
    <w:rsid w:val="00682AF0"/>
    <w:rsid w:val="00691390"/>
    <w:rsid w:val="00695535"/>
    <w:rsid w:val="0069655C"/>
    <w:rsid w:val="006A2009"/>
    <w:rsid w:val="006A2528"/>
    <w:rsid w:val="006A3562"/>
    <w:rsid w:val="006A383F"/>
    <w:rsid w:val="006A60F7"/>
    <w:rsid w:val="006A7726"/>
    <w:rsid w:val="006B0A47"/>
    <w:rsid w:val="006B46F5"/>
    <w:rsid w:val="006B775D"/>
    <w:rsid w:val="006C32B5"/>
    <w:rsid w:val="006C5F03"/>
    <w:rsid w:val="006C64BE"/>
    <w:rsid w:val="006C66D4"/>
    <w:rsid w:val="006C6A94"/>
    <w:rsid w:val="006C7D17"/>
    <w:rsid w:val="006D3ACF"/>
    <w:rsid w:val="006D45D8"/>
    <w:rsid w:val="006D7B2A"/>
    <w:rsid w:val="006E0D9B"/>
    <w:rsid w:val="006E55B2"/>
    <w:rsid w:val="006E72B3"/>
    <w:rsid w:val="006F04AF"/>
    <w:rsid w:val="006F065D"/>
    <w:rsid w:val="006F0E19"/>
    <w:rsid w:val="006F0E37"/>
    <w:rsid w:val="006F1C39"/>
    <w:rsid w:val="006F3673"/>
    <w:rsid w:val="006F3C47"/>
    <w:rsid w:val="006F3CBE"/>
    <w:rsid w:val="006F405A"/>
    <w:rsid w:val="006F44AD"/>
    <w:rsid w:val="006F4F2C"/>
    <w:rsid w:val="00706B44"/>
    <w:rsid w:val="007075AA"/>
    <w:rsid w:val="00710F06"/>
    <w:rsid w:val="0071296F"/>
    <w:rsid w:val="00713482"/>
    <w:rsid w:val="00715DBF"/>
    <w:rsid w:val="00716354"/>
    <w:rsid w:val="007257D6"/>
    <w:rsid w:val="00725CA7"/>
    <w:rsid w:val="00730CC7"/>
    <w:rsid w:val="00730E59"/>
    <w:rsid w:val="00733589"/>
    <w:rsid w:val="00741A5B"/>
    <w:rsid w:val="00743182"/>
    <w:rsid w:val="0074372A"/>
    <w:rsid w:val="00747075"/>
    <w:rsid w:val="00753B51"/>
    <w:rsid w:val="00753F00"/>
    <w:rsid w:val="00763A28"/>
    <w:rsid w:val="0076545F"/>
    <w:rsid w:val="00766C8B"/>
    <w:rsid w:val="00766E18"/>
    <w:rsid w:val="00774C9E"/>
    <w:rsid w:val="007825EE"/>
    <w:rsid w:val="00782867"/>
    <w:rsid w:val="0079398C"/>
    <w:rsid w:val="007966F5"/>
    <w:rsid w:val="007A2BA2"/>
    <w:rsid w:val="007A3E17"/>
    <w:rsid w:val="007A6F9C"/>
    <w:rsid w:val="007B0D2F"/>
    <w:rsid w:val="007B31D4"/>
    <w:rsid w:val="007B3A9F"/>
    <w:rsid w:val="007B412D"/>
    <w:rsid w:val="007B525F"/>
    <w:rsid w:val="007C2C37"/>
    <w:rsid w:val="007D14D4"/>
    <w:rsid w:val="007D21F1"/>
    <w:rsid w:val="007D344E"/>
    <w:rsid w:val="007D5384"/>
    <w:rsid w:val="007D625C"/>
    <w:rsid w:val="007D6BE0"/>
    <w:rsid w:val="007D770F"/>
    <w:rsid w:val="007D7A2E"/>
    <w:rsid w:val="007E12C5"/>
    <w:rsid w:val="007E1E3B"/>
    <w:rsid w:val="007E4F45"/>
    <w:rsid w:val="007E6F3F"/>
    <w:rsid w:val="007E7BA6"/>
    <w:rsid w:val="007E7CA5"/>
    <w:rsid w:val="007F047F"/>
    <w:rsid w:val="007F0487"/>
    <w:rsid w:val="007F09E6"/>
    <w:rsid w:val="007F1274"/>
    <w:rsid w:val="007F6F49"/>
    <w:rsid w:val="008024EC"/>
    <w:rsid w:val="00804AA5"/>
    <w:rsid w:val="0080547F"/>
    <w:rsid w:val="00812548"/>
    <w:rsid w:val="00817001"/>
    <w:rsid w:val="00820041"/>
    <w:rsid w:val="00820446"/>
    <w:rsid w:val="00821106"/>
    <w:rsid w:val="00821E9F"/>
    <w:rsid w:val="00822146"/>
    <w:rsid w:val="00822170"/>
    <w:rsid w:val="008236FD"/>
    <w:rsid w:val="00825C0A"/>
    <w:rsid w:val="00825F59"/>
    <w:rsid w:val="00831C0B"/>
    <w:rsid w:val="00833242"/>
    <w:rsid w:val="00842E5D"/>
    <w:rsid w:val="00843FC5"/>
    <w:rsid w:val="00846284"/>
    <w:rsid w:val="008464B4"/>
    <w:rsid w:val="0085164E"/>
    <w:rsid w:val="00852BCF"/>
    <w:rsid w:val="00853FB8"/>
    <w:rsid w:val="00854278"/>
    <w:rsid w:val="00855869"/>
    <w:rsid w:val="00855A54"/>
    <w:rsid w:val="00856E75"/>
    <w:rsid w:val="00861AD3"/>
    <w:rsid w:val="00862312"/>
    <w:rsid w:val="008624A5"/>
    <w:rsid w:val="0086663B"/>
    <w:rsid w:val="0088109D"/>
    <w:rsid w:val="00883173"/>
    <w:rsid w:val="00884773"/>
    <w:rsid w:val="00887F31"/>
    <w:rsid w:val="00890A55"/>
    <w:rsid w:val="00892520"/>
    <w:rsid w:val="008933C4"/>
    <w:rsid w:val="008935B0"/>
    <w:rsid w:val="008A022D"/>
    <w:rsid w:val="008A1F64"/>
    <w:rsid w:val="008A44E6"/>
    <w:rsid w:val="008A464A"/>
    <w:rsid w:val="008A6199"/>
    <w:rsid w:val="008A67DA"/>
    <w:rsid w:val="008B005F"/>
    <w:rsid w:val="008B23DC"/>
    <w:rsid w:val="008B530A"/>
    <w:rsid w:val="008C1BD6"/>
    <w:rsid w:val="008C442E"/>
    <w:rsid w:val="008D195E"/>
    <w:rsid w:val="008D2C6F"/>
    <w:rsid w:val="008D3DEC"/>
    <w:rsid w:val="008D4F6A"/>
    <w:rsid w:val="008D6973"/>
    <w:rsid w:val="008D79BF"/>
    <w:rsid w:val="008E154E"/>
    <w:rsid w:val="008E3E68"/>
    <w:rsid w:val="008E598F"/>
    <w:rsid w:val="008E69A9"/>
    <w:rsid w:val="008E6F96"/>
    <w:rsid w:val="008E7F4C"/>
    <w:rsid w:val="008F442B"/>
    <w:rsid w:val="008F480E"/>
    <w:rsid w:val="008F57B8"/>
    <w:rsid w:val="008F63FF"/>
    <w:rsid w:val="0090359B"/>
    <w:rsid w:val="00905C85"/>
    <w:rsid w:val="00905E7E"/>
    <w:rsid w:val="009064CA"/>
    <w:rsid w:val="00915E11"/>
    <w:rsid w:val="009203DE"/>
    <w:rsid w:val="00923384"/>
    <w:rsid w:val="009251D0"/>
    <w:rsid w:val="00927910"/>
    <w:rsid w:val="00927BA5"/>
    <w:rsid w:val="00930CD2"/>
    <w:rsid w:val="00932EC1"/>
    <w:rsid w:val="0093400E"/>
    <w:rsid w:val="00934340"/>
    <w:rsid w:val="00936904"/>
    <w:rsid w:val="00937035"/>
    <w:rsid w:val="00940E16"/>
    <w:rsid w:val="00942F31"/>
    <w:rsid w:val="00944CD1"/>
    <w:rsid w:val="00951A3F"/>
    <w:rsid w:val="009526F3"/>
    <w:rsid w:val="009546EB"/>
    <w:rsid w:val="00954B0B"/>
    <w:rsid w:val="009559AC"/>
    <w:rsid w:val="0095734D"/>
    <w:rsid w:val="00961818"/>
    <w:rsid w:val="00961846"/>
    <w:rsid w:val="0096397F"/>
    <w:rsid w:val="00964640"/>
    <w:rsid w:val="00964ECC"/>
    <w:rsid w:val="00966524"/>
    <w:rsid w:val="0097031B"/>
    <w:rsid w:val="0097307E"/>
    <w:rsid w:val="00976B31"/>
    <w:rsid w:val="00977B67"/>
    <w:rsid w:val="00983DE2"/>
    <w:rsid w:val="0098465C"/>
    <w:rsid w:val="00985133"/>
    <w:rsid w:val="00985EB6"/>
    <w:rsid w:val="009912C4"/>
    <w:rsid w:val="00994829"/>
    <w:rsid w:val="00995903"/>
    <w:rsid w:val="009978E4"/>
    <w:rsid w:val="009A02E4"/>
    <w:rsid w:val="009A057B"/>
    <w:rsid w:val="009A2804"/>
    <w:rsid w:val="009A4915"/>
    <w:rsid w:val="009A509A"/>
    <w:rsid w:val="009B07BA"/>
    <w:rsid w:val="009B516D"/>
    <w:rsid w:val="009B531B"/>
    <w:rsid w:val="009B561D"/>
    <w:rsid w:val="009C16DF"/>
    <w:rsid w:val="009C1B07"/>
    <w:rsid w:val="009C7667"/>
    <w:rsid w:val="009D022F"/>
    <w:rsid w:val="009D05D9"/>
    <w:rsid w:val="009D376A"/>
    <w:rsid w:val="009D7368"/>
    <w:rsid w:val="009E26FB"/>
    <w:rsid w:val="009E5EA9"/>
    <w:rsid w:val="009E605F"/>
    <w:rsid w:val="009E79E1"/>
    <w:rsid w:val="009F1447"/>
    <w:rsid w:val="009F3D7D"/>
    <w:rsid w:val="009F3E9B"/>
    <w:rsid w:val="009F5038"/>
    <w:rsid w:val="009F71F6"/>
    <w:rsid w:val="00A03226"/>
    <w:rsid w:val="00A03B6E"/>
    <w:rsid w:val="00A0660C"/>
    <w:rsid w:val="00A11F9E"/>
    <w:rsid w:val="00A15C7A"/>
    <w:rsid w:val="00A16907"/>
    <w:rsid w:val="00A17791"/>
    <w:rsid w:val="00A178CC"/>
    <w:rsid w:val="00A21185"/>
    <w:rsid w:val="00A2141F"/>
    <w:rsid w:val="00A2190C"/>
    <w:rsid w:val="00A21ED1"/>
    <w:rsid w:val="00A22BEB"/>
    <w:rsid w:val="00A236C0"/>
    <w:rsid w:val="00A31405"/>
    <w:rsid w:val="00A3181A"/>
    <w:rsid w:val="00A31EC1"/>
    <w:rsid w:val="00A331E9"/>
    <w:rsid w:val="00A3538B"/>
    <w:rsid w:val="00A37145"/>
    <w:rsid w:val="00A4213A"/>
    <w:rsid w:val="00A440E6"/>
    <w:rsid w:val="00A44C17"/>
    <w:rsid w:val="00A46332"/>
    <w:rsid w:val="00A47F89"/>
    <w:rsid w:val="00A50ABC"/>
    <w:rsid w:val="00A6050D"/>
    <w:rsid w:val="00A60573"/>
    <w:rsid w:val="00A60EFF"/>
    <w:rsid w:val="00A626F9"/>
    <w:rsid w:val="00A66093"/>
    <w:rsid w:val="00A70E0F"/>
    <w:rsid w:val="00A718B8"/>
    <w:rsid w:val="00A71AC1"/>
    <w:rsid w:val="00A72CC9"/>
    <w:rsid w:val="00A74230"/>
    <w:rsid w:val="00A757C9"/>
    <w:rsid w:val="00A764D3"/>
    <w:rsid w:val="00A76E54"/>
    <w:rsid w:val="00A76EBD"/>
    <w:rsid w:val="00A822CE"/>
    <w:rsid w:val="00A83284"/>
    <w:rsid w:val="00A83431"/>
    <w:rsid w:val="00A8367A"/>
    <w:rsid w:val="00A872EE"/>
    <w:rsid w:val="00A93583"/>
    <w:rsid w:val="00A93E78"/>
    <w:rsid w:val="00AA0FD1"/>
    <w:rsid w:val="00AA7274"/>
    <w:rsid w:val="00AB3798"/>
    <w:rsid w:val="00AB398A"/>
    <w:rsid w:val="00AB57C2"/>
    <w:rsid w:val="00AC30B5"/>
    <w:rsid w:val="00AC3459"/>
    <w:rsid w:val="00AC432F"/>
    <w:rsid w:val="00AC553C"/>
    <w:rsid w:val="00AC7624"/>
    <w:rsid w:val="00AD02DE"/>
    <w:rsid w:val="00AD03C0"/>
    <w:rsid w:val="00AD087B"/>
    <w:rsid w:val="00AD3758"/>
    <w:rsid w:val="00AD4046"/>
    <w:rsid w:val="00AD460E"/>
    <w:rsid w:val="00AD7C9B"/>
    <w:rsid w:val="00AE188C"/>
    <w:rsid w:val="00AE3130"/>
    <w:rsid w:val="00AE49E9"/>
    <w:rsid w:val="00AF0714"/>
    <w:rsid w:val="00AF1C51"/>
    <w:rsid w:val="00AF4F22"/>
    <w:rsid w:val="00B02D70"/>
    <w:rsid w:val="00B0434E"/>
    <w:rsid w:val="00B075D9"/>
    <w:rsid w:val="00B07848"/>
    <w:rsid w:val="00B12274"/>
    <w:rsid w:val="00B145FF"/>
    <w:rsid w:val="00B170C4"/>
    <w:rsid w:val="00B21CE8"/>
    <w:rsid w:val="00B24136"/>
    <w:rsid w:val="00B24427"/>
    <w:rsid w:val="00B24627"/>
    <w:rsid w:val="00B25182"/>
    <w:rsid w:val="00B30C7B"/>
    <w:rsid w:val="00B34086"/>
    <w:rsid w:val="00B36A06"/>
    <w:rsid w:val="00B4185B"/>
    <w:rsid w:val="00B424A5"/>
    <w:rsid w:val="00B4374F"/>
    <w:rsid w:val="00B43784"/>
    <w:rsid w:val="00B44813"/>
    <w:rsid w:val="00B44BC3"/>
    <w:rsid w:val="00B450DD"/>
    <w:rsid w:val="00B460B6"/>
    <w:rsid w:val="00B469E6"/>
    <w:rsid w:val="00B56001"/>
    <w:rsid w:val="00B5749A"/>
    <w:rsid w:val="00B63A22"/>
    <w:rsid w:val="00B6527B"/>
    <w:rsid w:val="00B65868"/>
    <w:rsid w:val="00B667DC"/>
    <w:rsid w:val="00B67FF6"/>
    <w:rsid w:val="00B724B2"/>
    <w:rsid w:val="00B76036"/>
    <w:rsid w:val="00B814DF"/>
    <w:rsid w:val="00B81B66"/>
    <w:rsid w:val="00B81B82"/>
    <w:rsid w:val="00B82904"/>
    <w:rsid w:val="00B85D57"/>
    <w:rsid w:val="00B93DB0"/>
    <w:rsid w:val="00BA1345"/>
    <w:rsid w:val="00BA3455"/>
    <w:rsid w:val="00BA3686"/>
    <w:rsid w:val="00BA378B"/>
    <w:rsid w:val="00BA6099"/>
    <w:rsid w:val="00BB0475"/>
    <w:rsid w:val="00BB248C"/>
    <w:rsid w:val="00BB3B47"/>
    <w:rsid w:val="00BB53FD"/>
    <w:rsid w:val="00BB7343"/>
    <w:rsid w:val="00BC052B"/>
    <w:rsid w:val="00BC0744"/>
    <w:rsid w:val="00BC1693"/>
    <w:rsid w:val="00BC239B"/>
    <w:rsid w:val="00BC3679"/>
    <w:rsid w:val="00BC69DB"/>
    <w:rsid w:val="00BD1C05"/>
    <w:rsid w:val="00BD2CA2"/>
    <w:rsid w:val="00BD7232"/>
    <w:rsid w:val="00BE0531"/>
    <w:rsid w:val="00BE368B"/>
    <w:rsid w:val="00BE40C0"/>
    <w:rsid w:val="00BE4A20"/>
    <w:rsid w:val="00BE5678"/>
    <w:rsid w:val="00BF1B98"/>
    <w:rsid w:val="00BF61E1"/>
    <w:rsid w:val="00C0488B"/>
    <w:rsid w:val="00C101A9"/>
    <w:rsid w:val="00C12019"/>
    <w:rsid w:val="00C124FE"/>
    <w:rsid w:val="00C12536"/>
    <w:rsid w:val="00C129D3"/>
    <w:rsid w:val="00C13E30"/>
    <w:rsid w:val="00C151B7"/>
    <w:rsid w:val="00C17310"/>
    <w:rsid w:val="00C175EB"/>
    <w:rsid w:val="00C17D55"/>
    <w:rsid w:val="00C2059E"/>
    <w:rsid w:val="00C22A90"/>
    <w:rsid w:val="00C232BB"/>
    <w:rsid w:val="00C2645B"/>
    <w:rsid w:val="00C2658D"/>
    <w:rsid w:val="00C272DD"/>
    <w:rsid w:val="00C3061B"/>
    <w:rsid w:val="00C30C84"/>
    <w:rsid w:val="00C343C4"/>
    <w:rsid w:val="00C35588"/>
    <w:rsid w:val="00C36A62"/>
    <w:rsid w:val="00C37240"/>
    <w:rsid w:val="00C411C9"/>
    <w:rsid w:val="00C417F3"/>
    <w:rsid w:val="00C426BD"/>
    <w:rsid w:val="00C451B9"/>
    <w:rsid w:val="00C45AFE"/>
    <w:rsid w:val="00C522BE"/>
    <w:rsid w:val="00C550CC"/>
    <w:rsid w:val="00C571E8"/>
    <w:rsid w:val="00C613AB"/>
    <w:rsid w:val="00C6308F"/>
    <w:rsid w:val="00C6328B"/>
    <w:rsid w:val="00C654CE"/>
    <w:rsid w:val="00C66507"/>
    <w:rsid w:val="00C7026D"/>
    <w:rsid w:val="00C76E3C"/>
    <w:rsid w:val="00C83AFD"/>
    <w:rsid w:val="00C847B3"/>
    <w:rsid w:val="00C867D8"/>
    <w:rsid w:val="00C87716"/>
    <w:rsid w:val="00C904E9"/>
    <w:rsid w:val="00C91137"/>
    <w:rsid w:val="00C91E56"/>
    <w:rsid w:val="00C92CE1"/>
    <w:rsid w:val="00C96F9A"/>
    <w:rsid w:val="00C970E4"/>
    <w:rsid w:val="00CA1CEF"/>
    <w:rsid w:val="00CA67A7"/>
    <w:rsid w:val="00CB5967"/>
    <w:rsid w:val="00CB7A85"/>
    <w:rsid w:val="00CC0C3F"/>
    <w:rsid w:val="00CC0FB4"/>
    <w:rsid w:val="00CC3F6F"/>
    <w:rsid w:val="00CC6B1D"/>
    <w:rsid w:val="00CD0642"/>
    <w:rsid w:val="00CD2CA3"/>
    <w:rsid w:val="00CD4D66"/>
    <w:rsid w:val="00CD50A0"/>
    <w:rsid w:val="00CD5C02"/>
    <w:rsid w:val="00CD5ECD"/>
    <w:rsid w:val="00CD5FFF"/>
    <w:rsid w:val="00CD7230"/>
    <w:rsid w:val="00CE0382"/>
    <w:rsid w:val="00CE0B4A"/>
    <w:rsid w:val="00CE5D30"/>
    <w:rsid w:val="00CE5D94"/>
    <w:rsid w:val="00CE67B5"/>
    <w:rsid w:val="00CE7B86"/>
    <w:rsid w:val="00CF0B1B"/>
    <w:rsid w:val="00CF381E"/>
    <w:rsid w:val="00CF5B23"/>
    <w:rsid w:val="00D01727"/>
    <w:rsid w:val="00D020AD"/>
    <w:rsid w:val="00D063F3"/>
    <w:rsid w:val="00D070BA"/>
    <w:rsid w:val="00D218A6"/>
    <w:rsid w:val="00D229F3"/>
    <w:rsid w:val="00D269BC"/>
    <w:rsid w:val="00D277B5"/>
    <w:rsid w:val="00D327DF"/>
    <w:rsid w:val="00D34248"/>
    <w:rsid w:val="00D37E0A"/>
    <w:rsid w:val="00D41293"/>
    <w:rsid w:val="00D43D05"/>
    <w:rsid w:val="00D454B9"/>
    <w:rsid w:val="00D52AA3"/>
    <w:rsid w:val="00D54D97"/>
    <w:rsid w:val="00D55828"/>
    <w:rsid w:val="00D5650A"/>
    <w:rsid w:val="00D5751D"/>
    <w:rsid w:val="00D65D5A"/>
    <w:rsid w:val="00D675DF"/>
    <w:rsid w:val="00D72406"/>
    <w:rsid w:val="00D77013"/>
    <w:rsid w:val="00D81E8B"/>
    <w:rsid w:val="00D82B20"/>
    <w:rsid w:val="00D82CE0"/>
    <w:rsid w:val="00D84F07"/>
    <w:rsid w:val="00D915F8"/>
    <w:rsid w:val="00D95F04"/>
    <w:rsid w:val="00DA0C15"/>
    <w:rsid w:val="00DA197B"/>
    <w:rsid w:val="00DA1999"/>
    <w:rsid w:val="00DA2B3A"/>
    <w:rsid w:val="00DA5145"/>
    <w:rsid w:val="00DA627E"/>
    <w:rsid w:val="00DB22EB"/>
    <w:rsid w:val="00DB32EA"/>
    <w:rsid w:val="00DB34F7"/>
    <w:rsid w:val="00DB5A16"/>
    <w:rsid w:val="00DB7A99"/>
    <w:rsid w:val="00DC40E1"/>
    <w:rsid w:val="00DC5886"/>
    <w:rsid w:val="00DD4EE7"/>
    <w:rsid w:val="00DD6C4F"/>
    <w:rsid w:val="00DD780D"/>
    <w:rsid w:val="00DE061E"/>
    <w:rsid w:val="00DE1D8E"/>
    <w:rsid w:val="00DE2D68"/>
    <w:rsid w:val="00DE307D"/>
    <w:rsid w:val="00DE4AF8"/>
    <w:rsid w:val="00DE72BC"/>
    <w:rsid w:val="00DF15AD"/>
    <w:rsid w:val="00DF1F4D"/>
    <w:rsid w:val="00DF5305"/>
    <w:rsid w:val="00DF53FF"/>
    <w:rsid w:val="00E0130C"/>
    <w:rsid w:val="00E0155E"/>
    <w:rsid w:val="00E02519"/>
    <w:rsid w:val="00E050EE"/>
    <w:rsid w:val="00E078EB"/>
    <w:rsid w:val="00E07BC0"/>
    <w:rsid w:val="00E07E25"/>
    <w:rsid w:val="00E13204"/>
    <w:rsid w:val="00E13714"/>
    <w:rsid w:val="00E174CA"/>
    <w:rsid w:val="00E23127"/>
    <w:rsid w:val="00E24794"/>
    <w:rsid w:val="00E25D0A"/>
    <w:rsid w:val="00E25F50"/>
    <w:rsid w:val="00E260E8"/>
    <w:rsid w:val="00E32B32"/>
    <w:rsid w:val="00E334D7"/>
    <w:rsid w:val="00E347A3"/>
    <w:rsid w:val="00E355FF"/>
    <w:rsid w:val="00E35FF4"/>
    <w:rsid w:val="00E40C77"/>
    <w:rsid w:val="00E41B04"/>
    <w:rsid w:val="00E44276"/>
    <w:rsid w:val="00E47D38"/>
    <w:rsid w:val="00E60A6C"/>
    <w:rsid w:val="00E61784"/>
    <w:rsid w:val="00E62602"/>
    <w:rsid w:val="00E62841"/>
    <w:rsid w:val="00E62C6F"/>
    <w:rsid w:val="00E6664B"/>
    <w:rsid w:val="00E66C88"/>
    <w:rsid w:val="00E70C19"/>
    <w:rsid w:val="00E71BCC"/>
    <w:rsid w:val="00E72FEA"/>
    <w:rsid w:val="00E778E9"/>
    <w:rsid w:val="00E77B28"/>
    <w:rsid w:val="00E80EAF"/>
    <w:rsid w:val="00E8343E"/>
    <w:rsid w:val="00E83729"/>
    <w:rsid w:val="00E83AEE"/>
    <w:rsid w:val="00E86713"/>
    <w:rsid w:val="00E901DA"/>
    <w:rsid w:val="00E921A8"/>
    <w:rsid w:val="00E95AE0"/>
    <w:rsid w:val="00EA00B2"/>
    <w:rsid w:val="00EA0BEA"/>
    <w:rsid w:val="00EA6D1B"/>
    <w:rsid w:val="00EA6D67"/>
    <w:rsid w:val="00EA7AB0"/>
    <w:rsid w:val="00EB1899"/>
    <w:rsid w:val="00EB2497"/>
    <w:rsid w:val="00EB3BE4"/>
    <w:rsid w:val="00EB408B"/>
    <w:rsid w:val="00EB61A9"/>
    <w:rsid w:val="00EC08DB"/>
    <w:rsid w:val="00EC0B4A"/>
    <w:rsid w:val="00EC2539"/>
    <w:rsid w:val="00EC2A32"/>
    <w:rsid w:val="00EC337D"/>
    <w:rsid w:val="00EC3D7D"/>
    <w:rsid w:val="00EC5F05"/>
    <w:rsid w:val="00EC627A"/>
    <w:rsid w:val="00EC69DD"/>
    <w:rsid w:val="00ED078E"/>
    <w:rsid w:val="00ED4140"/>
    <w:rsid w:val="00ED448E"/>
    <w:rsid w:val="00ED55BD"/>
    <w:rsid w:val="00ED7E07"/>
    <w:rsid w:val="00EE0267"/>
    <w:rsid w:val="00EE2033"/>
    <w:rsid w:val="00EE2495"/>
    <w:rsid w:val="00EE4311"/>
    <w:rsid w:val="00EE497D"/>
    <w:rsid w:val="00EE5610"/>
    <w:rsid w:val="00EF10BB"/>
    <w:rsid w:val="00EF1533"/>
    <w:rsid w:val="00EF15AF"/>
    <w:rsid w:val="00EF1894"/>
    <w:rsid w:val="00EF5616"/>
    <w:rsid w:val="00F03127"/>
    <w:rsid w:val="00F03AE6"/>
    <w:rsid w:val="00F045BD"/>
    <w:rsid w:val="00F05862"/>
    <w:rsid w:val="00F06935"/>
    <w:rsid w:val="00F11679"/>
    <w:rsid w:val="00F125B6"/>
    <w:rsid w:val="00F139BA"/>
    <w:rsid w:val="00F139DF"/>
    <w:rsid w:val="00F13EAF"/>
    <w:rsid w:val="00F14D8D"/>
    <w:rsid w:val="00F17C00"/>
    <w:rsid w:val="00F2479F"/>
    <w:rsid w:val="00F315C1"/>
    <w:rsid w:val="00F323A0"/>
    <w:rsid w:val="00F3663F"/>
    <w:rsid w:val="00F376D8"/>
    <w:rsid w:val="00F40866"/>
    <w:rsid w:val="00F41412"/>
    <w:rsid w:val="00F426E4"/>
    <w:rsid w:val="00F43732"/>
    <w:rsid w:val="00F44F6A"/>
    <w:rsid w:val="00F472CA"/>
    <w:rsid w:val="00F47B99"/>
    <w:rsid w:val="00F50BD1"/>
    <w:rsid w:val="00F518AC"/>
    <w:rsid w:val="00F52838"/>
    <w:rsid w:val="00F531B8"/>
    <w:rsid w:val="00F5399C"/>
    <w:rsid w:val="00F53DCD"/>
    <w:rsid w:val="00F54D1F"/>
    <w:rsid w:val="00F550C4"/>
    <w:rsid w:val="00F56018"/>
    <w:rsid w:val="00F5756D"/>
    <w:rsid w:val="00F61BE7"/>
    <w:rsid w:val="00F6327A"/>
    <w:rsid w:val="00F643A8"/>
    <w:rsid w:val="00F659C4"/>
    <w:rsid w:val="00F746A6"/>
    <w:rsid w:val="00F77AFE"/>
    <w:rsid w:val="00F835B9"/>
    <w:rsid w:val="00F863FA"/>
    <w:rsid w:val="00F9047D"/>
    <w:rsid w:val="00F937EC"/>
    <w:rsid w:val="00F93E77"/>
    <w:rsid w:val="00F941D8"/>
    <w:rsid w:val="00F948F0"/>
    <w:rsid w:val="00F96EE1"/>
    <w:rsid w:val="00F9707F"/>
    <w:rsid w:val="00FA0A97"/>
    <w:rsid w:val="00FA143D"/>
    <w:rsid w:val="00FA2E5D"/>
    <w:rsid w:val="00FA4B47"/>
    <w:rsid w:val="00FA5C74"/>
    <w:rsid w:val="00FA6E28"/>
    <w:rsid w:val="00FA7FD2"/>
    <w:rsid w:val="00FB0387"/>
    <w:rsid w:val="00FB0675"/>
    <w:rsid w:val="00FB0CFF"/>
    <w:rsid w:val="00FB1988"/>
    <w:rsid w:val="00FB19D0"/>
    <w:rsid w:val="00FB2009"/>
    <w:rsid w:val="00FB5579"/>
    <w:rsid w:val="00FB5B5A"/>
    <w:rsid w:val="00FB7043"/>
    <w:rsid w:val="00FC0B62"/>
    <w:rsid w:val="00FC1E57"/>
    <w:rsid w:val="00FC298B"/>
    <w:rsid w:val="00FD39AF"/>
    <w:rsid w:val="00FD496A"/>
    <w:rsid w:val="00FD57D5"/>
    <w:rsid w:val="00FD5BE2"/>
    <w:rsid w:val="00FE062D"/>
    <w:rsid w:val="00FE4EB0"/>
    <w:rsid w:val="00FE57D2"/>
    <w:rsid w:val="00FE6E4E"/>
    <w:rsid w:val="00FF23EF"/>
    <w:rsid w:val="00FF3169"/>
    <w:rsid w:val="00FF3C28"/>
    <w:rsid w:val="00FF724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DAB4A6"/>
  <w15:docId w15:val="{C7CC3D55-A381-4E34-80A0-904A239E9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fr-CA" w:bidi="fr-C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6524"/>
    <w:rPr>
      <w:sz w:val="24"/>
    </w:rPr>
  </w:style>
  <w:style w:type="paragraph" w:styleId="Heading1">
    <w:name w:val="heading 1"/>
    <w:basedOn w:val="Normal"/>
    <w:next w:val="BodyText"/>
    <w:link w:val="Heading1Char"/>
    <w:uiPriority w:val="9"/>
    <w:qFormat/>
    <w:rsid w:val="00966524"/>
    <w:pPr>
      <w:pageBreakBefore/>
      <w:widowControl w:val="0"/>
      <w:suppressAutoHyphens/>
      <w:autoSpaceDE w:val="0"/>
      <w:autoSpaceDN w:val="0"/>
      <w:adjustRightInd w:val="0"/>
      <w:spacing w:before="300" w:after="300" w:line="440" w:lineRule="atLeast"/>
      <w:textAlignment w:val="center"/>
      <w:outlineLvl w:val="0"/>
    </w:pPr>
    <w:rPr>
      <w:rFonts w:ascii="Arial-BoldMT" w:eastAsiaTheme="minorEastAsia" w:hAnsi="Arial-BoldMT" w:cs="Arial-BoldMT"/>
      <w:b/>
      <w:bCs/>
      <w:color w:val="00A995" w:themeColor="accent1"/>
      <w:sz w:val="40"/>
      <w:szCs w:val="40"/>
    </w:rPr>
  </w:style>
  <w:style w:type="paragraph" w:styleId="Heading2">
    <w:name w:val="heading 2"/>
    <w:basedOn w:val="Normal"/>
    <w:next w:val="Normal"/>
    <w:link w:val="Heading2Char"/>
    <w:uiPriority w:val="9"/>
    <w:unhideWhenUsed/>
    <w:qFormat/>
    <w:rsid w:val="00966524"/>
    <w:pPr>
      <w:widowControl w:val="0"/>
      <w:suppressAutoHyphens/>
      <w:autoSpaceDE w:val="0"/>
      <w:autoSpaceDN w:val="0"/>
      <w:adjustRightInd w:val="0"/>
      <w:spacing w:before="300" w:after="180" w:line="380" w:lineRule="atLeast"/>
      <w:textAlignment w:val="center"/>
      <w:outlineLvl w:val="1"/>
    </w:pPr>
    <w:rPr>
      <w:rFonts w:ascii="ArialMT" w:eastAsiaTheme="minorEastAsia" w:hAnsi="ArialMT" w:cs="ArialMT"/>
      <w:color w:val="00A995" w:themeColor="accent1"/>
      <w:sz w:val="34"/>
      <w:szCs w:val="34"/>
    </w:rPr>
  </w:style>
  <w:style w:type="paragraph" w:styleId="Heading3">
    <w:name w:val="heading 3"/>
    <w:basedOn w:val="Normal"/>
    <w:next w:val="Normal"/>
    <w:link w:val="Heading3Char"/>
    <w:uiPriority w:val="9"/>
    <w:unhideWhenUsed/>
    <w:qFormat/>
    <w:rsid w:val="00966524"/>
    <w:pPr>
      <w:widowControl w:val="0"/>
      <w:suppressAutoHyphens/>
      <w:autoSpaceDE w:val="0"/>
      <w:autoSpaceDN w:val="0"/>
      <w:adjustRightInd w:val="0"/>
      <w:spacing w:before="180" w:after="180" w:line="360" w:lineRule="atLeast"/>
      <w:textAlignment w:val="center"/>
      <w:outlineLvl w:val="2"/>
    </w:pPr>
    <w:rPr>
      <w:rFonts w:ascii="Georgia-Bold" w:eastAsiaTheme="minorEastAsia" w:hAnsi="Georgia-Bold" w:cs="Georgia-Bold"/>
      <w:b/>
      <w:bCs/>
      <w:color w:val="00A995" w:themeColor="accent1"/>
      <w:sz w:val="26"/>
      <w:szCs w:val="26"/>
    </w:rPr>
  </w:style>
  <w:style w:type="paragraph" w:styleId="Heading4">
    <w:name w:val="heading 4"/>
    <w:basedOn w:val="Normal"/>
    <w:next w:val="Normal"/>
    <w:link w:val="Heading4Char"/>
    <w:uiPriority w:val="9"/>
    <w:unhideWhenUsed/>
    <w:qFormat/>
    <w:rsid w:val="00966524"/>
    <w:pPr>
      <w:widowControl w:val="0"/>
      <w:suppressAutoHyphens/>
      <w:autoSpaceDE w:val="0"/>
      <w:autoSpaceDN w:val="0"/>
      <w:adjustRightInd w:val="0"/>
      <w:spacing w:before="180" w:after="180" w:line="320" w:lineRule="atLeast"/>
      <w:textAlignment w:val="center"/>
      <w:outlineLvl w:val="3"/>
    </w:pPr>
    <w:rPr>
      <w:rFonts w:ascii="Georgia-Bold" w:eastAsiaTheme="minorEastAsia" w:hAnsi="Georgia-Bold" w:cs="Georgia-Bold"/>
      <w:i/>
      <w:iCs/>
      <w:color w:val="000000"/>
      <w:szCs w:val="24"/>
    </w:rPr>
  </w:style>
  <w:style w:type="paragraph" w:styleId="Heading5">
    <w:name w:val="heading 5"/>
    <w:basedOn w:val="Normal"/>
    <w:next w:val="Normal"/>
    <w:link w:val="Heading5Char"/>
    <w:uiPriority w:val="9"/>
    <w:unhideWhenUsed/>
    <w:qFormat/>
    <w:rsid w:val="00966524"/>
    <w:pPr>
      <w:widowControl w:val="0"/>
      <w:suppressAutoHyphens/>
      <w:autoSpaceDE w:val="0"/>
      <w:autoSpaceDN w:val="0"/>
      <w:adjustRightInd w:val="0"/>
      <w:spacing w:before="120" w:after="120" w:line="320" w:lineRule="atLeast"/>
      <w:textAlignment w:val="center"/>
      <w:outlineLvl w:val="4"/>
    </w:pPr>
    <w:rPr>
      <w:rFonts w:ascii="ArialMT" w:eastAsiaTheme="minorEastAsia" w:hAnsi="ArialMT" w:cs="ArialMT"/>
      <w:i/>
      <w:iCs/>
      <w:caps/>
      <w:color w:val="000000"/>
      <w:spacing w:val="40"/>
      <w:sz w:val="20"/>
      <w:szCs w:val="20"/>
    </w:rPr>
  </w:style>
  <w:style w:type="paragraph" w:styleId="Heading6">
    <w:name w:val="heading 6"/>
    <w:basedOn w:val="Normal"/>
    <w:next w:val="Normal"/>
    <w:link w:val="Heading6Char"/>
    <w:uiPriority w:val="9"/>
    <w:semiHidden/>
    <w:unhideWhenUsed/>
    <w:rsid w:val="009E5EA9"/>
    <w:pPr>
      <w:keepNext/>
      <w:keepLines/>
      <w:spacing w:before="200" w:after="0"/>
      <w:outlineLvl w:val="5"/>
    </w:pPr>
    <w:rPr>
      <w:rFonts w:asciiTheme="majorHAnsi" w:eastAsiaTheme="majorEastAsia" w:hAnsiTheme="majorHAnsi" w:cstheme="majorBidi"/>
      <w:i/>
      <w:iCs/>
      <w:color w:val="00A99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66524"/>
    <w:pPr>
      <w:spacing w:after="0" w:line="240" w:lineRule="auto"/>
    </w:pPr>
    <w:rPr>
      <w:rFonts w:eastAsiaTheme="minorEastAsia"/>
      <w:sz w:val="24"/>
    </w:rPr>
  </w:style>
  <w:style w:type="character" w:customStyle="1" w:styleId="NoSpacingChar">
    <w:name w:val="No Spacing Char"/>
    <w:basedOn w:val="DefaultParagraphFont"/>
    <w:link w:val="NoSpacing"/>
    <w:uiPriority w:val="1"/>
    <w:rsid w:val="00966524"/>
    <w:rPr>
      <w:rFonts w:eastAsiaTheme="minorEastAsia"/>
      <w:sz w:val="24"/>
      <w:lang w:val="fr-CA"/>
    </w:rPr>
  </w:style>
  <w:style w:type="character" w:styleId="PlaceholderText">
    <w:name w:val="Placeholder Text"/>
    <w:basedOn w:val="DefaultParagraphFont"/>
    <w:uiPriority w:val="99"/>
    <w:semiHidden/>
    <w:rsid w:val="009E79E1"/>
    <w:rPr>
      <w:color w:val="808080"/>
    </w:rPr>
  </w:style>
  <w:style w:type="paragraph" w:styleId="BalloonText">
    <w:name w:val="Balloon Text"/>
    <w:basedOn w:val="Normal"/>
    <w:link w:val="BalloonTextChar"/>
    <w:uiPriority w:val="99"/>
    <w:semiHidden/>
    <w:unhideWhenUsed/>
    <w:rsid w:val="009E79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9E1"/>
    <w:rPr>
      <w:rFonts w:ascii="Tahoma" w:hAnsi="Tahoma" w:cs="Tahoma"/>
      <w:sz w:val="16"/>
      <w:szCs w:val="16"/>
    </w:rPr>
  </w:style>
  <w:style w:type="paragraph" w:customStyle="1" w:styleId="Sub-titlecoverpage">
    <w:name w:val="Sub-title cover page"/>
    <w:basedOn w:val="Normal"/>
    <w:link w:val="Sub-titlecoverpageChar"/>
    <w:qFormat/>
    <w:rsid w:val="0074372A"/>
    <w:rPr>
      <w:rFonts w:ascii="Arial" w:hAnsi="Arial"/>
      <w:caps/>
      <w:color w:val="9ACA3C" w:themeColor="accent2"/>
      <w:sz w:val="48"/>
    </w:rPr>
  </w:style>
  <w:style w:type="paragraph" w:customStyle="1" w:styleId="Titlecoverpage">
    <w:name w:val="Title cover page"/>
    <w:basedOn w:val="Normal"/>
    <w:link w:val="TitlecoverpageChar"/>
    <w:qFormat/>
    <w:rsid w:val="00540F49"/>
    <w:pPr>
      <w:spacing w:line="192" w:lineRule="auto"/>
    </w:pPr>
    <w:rPr>
      <w:caps/>
      <w:color w:val="FFFFFF" w:themeColor="background2"/>
      <w:sz w:val="96"/>
    </w:rPr>
  </w:style>
  <w:style w:type="character" w:customStyle="1" w:styleId="Sub-titlecoverpageChar">
    <w:name w:val="Sub-title cover page Char"/>
    <w:basedOn w:val="DefaultParagraphFont"/>
    <w:link w:val="Sub-titlecoverpage"/>
    <w:rsid w:val="0074372A"/>
    <w:rPr>
      <w:rFonts w:ascii="Arial" w:hAnsi="Arial"/>
      <w:caps/>
      <w:color w:val="9ACA3C" w:themeColor="accent2"/>
      <w:sz w:val="48"/>
    </w:rPr>
  </w:style>
  <w:style w:type="character" w:customStyle="1" w:styleId="TitlecoverpageChar">
    <w:name w:val="Title cover page Char"/>
    <w:basedOn w:val="DefaultParagraphFont"/>
    <w:link w:val="Titlecoverpage"/>
    <w:rsid w:val="00540F49"/>
    <w:rPr>
      <w:caps/>
      <w:color w:val="FFFFFF" w:themeColor="background2"/>
      <w:sz w:val="96"/>
    </w:rPr>
  </w:style>
  <w:style w:type="paragraph" w:styleId="NormalWeb">
    <w:name w:val="Normal (Web)"/>
    <w:basedOn w:val="Normal"/>
    <w:uiPriority w:val="99"/>
    <w:unhideWhenUsed/>
    <w:rsid w:val="006745DD"/>
    <w:pPr>
      <w:spacing w:after="301" w:line="301" w:lineRule="atLeast"/>
      <w:jc w:val="both"/>
    </w:pPr>
    <w:rPr>
      <w:rFonts w:ascii="Times New Roman" w:eastAsia="Times New Roman" w:hAnsi="Times New Roman" w:cs="Times New Roman"/>
      <w:szCs w:val="24"/>
    </w:rPr>
  </w:style>
  <w:style w:type="paragraph" w:styleId="Header">
    <w:name w:val="header"/>
    <w:basedOn w:val="Normal"/>
    <w:link w:val="HeaderChar"/>
    <w:uiPriority w:val="99"/>
    <w:unhideWhenUsed/>
    <w:rsid w:val="005B59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5955"/>
  </w:style>
  <w:style w:type="paragraph" w:styleId="Footer">
    <w:name w:val="footer"/>
    <w:basedOn w:val="Normal"/>
    <w:link w:val="FooterChar"/>
    <w:uiPriority w:val="99"/>
    <w:unhideWhenUsed/>
    <w:rsid w:val="005B59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5955"/>
  </w:style>
  <w:style w:type="paragraph" w:styleId="BodyText">
    <w:name w:val="Body Text"/>
    <w:basedOn w:val="Normal"/>
    <w:link w:val="BodyTextChar"/>
    <w:uiPriority w:val="99"/>
    <w:rsid w:val="00966524"/>
    <w:pPr>
      <w:keepLines/>
      <w:widowControl w:val="0"/>
      <w:suppressAutoHyphens/>
      <w:autoSpaceDE w:val="0"/>
      <w:autoSpaceDN w:val="0"/>
      <w:adjustRightInd w:val="0"/>
      <w:spacing w:after="240" w:line="280" w:lineRule="atLeast"/>
      <w:textAlignment w:val="center"/>
    </w:pPr>
    <w:rPr>
      <w:rFonts w:ascii="Georgia" w:eastAsiaTheme="minorEastAsia" w:hAnsi="Georgia" w:cs="Georgia"/>
      <w:color w:val="000000"/>
      <w:spacing w:val="-1"/>
      <w:szCs w:val="24"/>
    </w:rPr>
  </w:style>
  <w:style w:type="character" w:customStyle="1" w:styleId="BodyTextChar">
    <w:name w:val="Body Text Char"/>
    <w:basedOn w:val="DefaultParagraphFont"/>
    <w:link w:val="BodyText"/>
    <w:uiPriority w:val="99"/>
    <w:rsid w:val="00966524"/>
    <w:rPr>
      <w:rFonts w:ascii="Georgia" w:eastAsiaTheme="minorEastAsia" w:hAnsi="Georgia" w:cs="Georgia"/>
      <w:color w:val="000000"/>
      <w:spacing w:val="-1"/>
      <w:sz w:val="24"/>
      <w:szCs w:val="24"/>
      <w:lang w:val="fr-CA" w:eastAsia="fr-CA"/>
    </w:rPr>
  </w:style>
  <w:style w:type="character" w:customStyle="1" w:styleId="Heading1Char">
    <w:name w:val="Heading 1 Char"/>
    <w:basedOn w:val="DefaultParagraphFont"/>
    <w:link w:val="Heading1"/>
    <w:uiPriority w:val="9"/>
    <w:rsid w:val="00966524"/>
    <w:rPr>
      <w:rFonts w:ascii="Arial-BoldMT" w:eastAsiaTheme="minorEastAsia" w:hAnsi="Arial-BoldMT" w:cs="Arial-BoldMT"/>
      <w:b/>
      <w:bCs/>
      <w:color w:val="00A995" w:themeColor="accent1"/>
      <w:sz w:val="40"/>
      <w:szCs w:val="40"/>
      <w:lang w:val="fr-CA" w:eastAsia="fr-CA"/>
    </w:rPr>
  </w:style>
  <w:style w:type="paragraph" w:customStyle="1" w:styleId="CoverpageDate">
    <w:name w:val="Cover page Date"/>
    <w:basedOn w:val="Normal"/>
    <w:link w:val="CoverpageDateChar"/>
    <w:qFormat/>
    <w:rsid w:val="00B76036"/>
    <w:rPr>
      <w:rFonts w:asciiTheme="majorHAnsi" w:hAnsiTheme="majorHAnsi" w:cstheme="majorHAnsi"/>
    </w:rPr>
  </w:style>
  <w:style w:type="character" w:customStyle="1" w:styleId="Heading2Char">
    <w:name w:val="Heading 2 Char"/>
    <w:basedOn w:val="DefaultParagraphFont"/>
    <w:link w:val="Heading2"/>
    <w:uiPriority w:val="9"/>
    <w:rsid w:val="00966524"/>
    <w:rPr>
      <w:rFonts w:ascii="ArialMT" w:eastAsiaTheme="minorEastAsia" w:hAnsi="ArialMT" w:cs="ArialMT"/>
      <w:color w:val="00A995" w:themeColor="accent1"/>
      <w:sz w:val="34"/>
      <w:szCs w:val="34"/>
      <w:lang w:eastAsia="fr-CA"/>
    </w:rPr>
  </w:style>
  <w:style w:type="character" w:customStyle="1" w:styleId="CoverpageDateChar">
    <w:name w:val="Cover page Date Char"/>
    <w:basedOn w:val="DefaultParagraphFont"/>
    <w:link w:val="CoverpageDate"/>
    <w:rsid w:val="00B76036"/>
    <w:rPr>
      <w:rFonts w:asciiTheme="majorHAnsi" w:hAnsiTheme="majorHAnsi" w:cstheme="majorHAnsi"/>
      <w:sz w:val="24"/>
    </w:rPr>
  </w:style>
  <w:style w:type="paragraph" w:customStyle="1" w:styleId="ChapterTitle">
    <w:name w:val="Chapter Title"/>
    <w:basedOn w:val="Normal"/>
    <w:next w:val="Chaptersub-title"/>
    <w:uiPriority w:val="99"/>
    <w:rsid w:val="00966524"/>
    <w:pPr>
      <w:pageBreakBefore/>
      <w:widowControl w:val="0"/>
      <w:pBdr>
        <w:bottom w:val="single" w:sz="4" w:space="18" w:color="000000"/>
      </w:pBdr>
      <w:suppressAutoHyphens/>
      <w:autoSpaceDE w:val="0"/>
      <w:autoSpaceDN w:val="0"/>
      <w:adjustRightInd w:val="0"/>
      <w:spacing w:after="720" w:line="720" w:lineRule="atLeast"/>
      <w:textAlignment w:val="center"/>
    </w:pPr>
    <w:rPr>
      <w:rFonts w:ascii="ArialMT" w:eastAsiaTheme="minorEastAsia" w:hAnsi="ArialMT" w:cs="ArialMT"/>
      <w:b/>
      <w:bCs/>
      <w:caps/>
      <w:color w:val="00A995" w:themeColor="accent1"/>
      <w:spacing w:val="36"/>
      <w:sz w:val="72"/>
      <w:szCs w:val="72"/>
    </w:rPr>
  </w:style>
  <w:style w:type="paragraph" w:customStyle="1" w:styleId="Chaptersub-title">
    <w:name w:val="Chapter sub-title"/>
    <w:basedOn w:val="Normal"/>
    <w:next w:val="BodyText"/>
    <w:uiPriority w:val="99"/>
    <w:rsid w:val="000377C8"/>
    <w:pPr>
      <w:widowControl w:val="0"/>
      <w:suppressAutoHyphens/>
      <w:autoSpaceDE w:val="0"/>
      <w:autoSpaceDN w:val="0"/>
      <w:adjustRightInd w:val="0"/>
      <w:spacing w:after="360" w:line="720" w:lineRule="atLeast"/>
      <w:textAlignment w:val="center"/>
    </w:pPr>
    <w:rPr>
      <w:rFonts w:ascii="Georgia" w:eastAsiaTheme="minorEastAsia" w:hAnsi="Georgia" w:cs="Georgia"/>
      <w:color w:val="00A995" w:themeColor="accent1"/>
      <w:spacing w:val="-12"/>
      <w:sz w:val="60"/>
      <w:szCs w:val="60"/>
    </w:rPr>
  </w:style>
  <w:style w:type="character" w:customStyle="1" w:styleId="Heading3Char">
    <w:name w:val="Heading 3 Char"/>
    <w:basedOn w:val="DefaultParagraphFont"/>
    <w:link w:val="Heading3"/>
    <w:uiPriority w:val="9"/>
    <w:rsid w:val="00966524"/>
    <w:rPr>
      <w:rFonts w:ascii="Georgia-Bold" w:eastAsiaTheme="minorEastAsia" w:hAnsi="Georgia-Bold" w:cs="Georgia-Bold"/>
      <w:b/>
      <w:bCs/>
      <w:color w:val="00A995" w:themeColor="accent1"/>
      <w:sz w:val="26"/>
      <w:szCs w:val="26"/>
      <w:lang w:val="fr-CA" w:eastAsia="fr-CA"/>
    </w:rPr>
  </w:style>
  <w:style w:type="character" w:customStyle="1" w:styleId="Heading4Char">
    <w:name w:val="Heading 4 Char"/>
    <w:basedOn w:val="DefaultParagraphFont"/>
    <w:link w:val="Heading4"/>
    <w:uiPriority w:val="9"/>
    <w:rsid w:val="00966524"/>
    <w:rPr>
      <w:rFonts w:ascii="Georgia-Bold" w:eastAsiaTheme="minorEastAsia" w:hAnsi="Georgia-Bold" w:cs="Georgia-Bold"/>
      <w:i/>
      <w:iCs/>
      <w:color w:val="000000"/>
      <w:sz w:val="24"/>
      <w:szCs w:val="24"/>
      <w:lang w:val="fr-CA" w:eastAsia="fr-CA"/>
    </w:rPr>
  </w:style>
  <w:style w:type="character" w:customStyle="1" w:styleId="Heading5Char">
    <w:name w:val="Heading 5 Char"/>
    <w:basedOn w:val="DefaultParagraphFont"/>
    <w:link w:val="Heading5"/>
    <w:uiPriority w:val="9"/>
    <w:rsid w:val="00966524"/>
    <w:rPr>
      <w:rFonts w:ascii="ArialMT" w:eastAsiaTheme="minorEastAsia" w:hAnsi="ArialMT" w:cs="ArialMT"/>
      <w:i/>
      <w:iCs/>
      <w:caps/>
      <w:color w:val="000000"/>
      <w:spacing w:val="40"/>
      <w:sz w:val="20"/>
      <w:szCs w:val="20"/>
      <w:lang w:val="fr-CA" w:eastAsia="fr-CA"/>
    </w:rPr>
  </w:style>
  <w:style w:type="character" w:customStyle="1" w:styleId="Heading6Char">
    <w:name w:val="Heading 6 Char"/>
    <w:basedOn w:val="DefaultParagraphFont"/>
    <w:link w:val="Heading6"/>
    <w:uiPriority w:val="9"/>
    <w:semiHidden/>
    <w:rsid w:val="009E5EA9"/>
    <w:rPr>
      <w:rFonts w:asciiTheme="majorHAnsi" w:eastAsiaTheme="majorEastAsia" w:hAnsiTheme="majorHAnsi" w:cstheme="majorBidi"/>
      <w:i/>
      <w:iCs/>
      <w:color w:val="00A995" w:themeColor="accent1"/>
      <w:sz w:val="24"/>
    </w:rPr>
  </w:style>
  <w:style w:type="paragraph" w:customStyle="1" w:styleId="BulletsNumbered">
    <w:name w:val="Bullets Numbered"/>
    <w:basedOn w:val="Normal"/>
    <w:uiPriority w:val="99"/>
    <w:rsid w:val="00966524"/>
    <w:pPr>
      <w:keepLines/>
      <w:widowControl w:val="0"/>
      <w:numPr>
        <w:numId w:val="1"/>
      </w:numPr>
      <w:suppressAutoHyphens/>
      <w:autoSpaceDE w:val="0"/>
      <w:autoSpaceDN w:val="0"/>
      <w:adjustRightInd w:val="0"/>
      <w:spacing w:after="240" w:line="280" w:lineRule="atLeast"/>
      <w:textAlignment w:val="center"/>
    </w:pPr>
    <w:rPr>
      <w:rFonts w:ascii="Georgia" w:eastAsiaTheme="minorEastAsia" w:hAnsi="Georgia" w:cs="Georgia"/>
      <w:color w:val="000000"/>
      <w:spacing w:val="-1"/>
      <w:szCs w:val="24"/>
    </w:rPr>
  </w:style>
  <w:style w:type="paragraph" w:customStyle="1" w:styleId="Bulletsregular">
    <w:name w:val="Bullets regular"/>
    <w:basedOn w:val="Normal"/>
    <w:uiPriority w:val="99"/>
    <w:rsid w:val="00966524"/>
    <w:pPr>
      <w:keepLines/>
      <w:widowControl w:val="0"/>
      <w:numPr>
        <w:numId w:val="2"/>
      </w:numPr>
      <w:suppressAutoHyphens/>
      <w:autoSpaceDE w:val="0"/>
      <w:autoSpaceDN w:val="0"/>
      <w:adjustRightInd w:val="0"/>
      <w:spacing w:after="240" w:line="280" w:lineRule="atLeast"/>
      <w:textAlignment w:val="center"/>
    </w:pPr>
    <w:rPr>
      <w:rFonts w:ascii="Georgia" w:eastAsiaTheme="minorEastAsia" w:hAnsi="Georgia" w:cs="Georgia"/>
      <w:color w:val="000000"/>
      <w:spacing w:val="-1"/>
      <w:szCs w:val="24"/>
    </w:rPr>
  </w:style>
  <w:style w:type="paragraph" w:customStyle="1" w:styleId="Bullets2level">
    <w:name w:val="Bullets 2 level"/>
    <w:basedOn w:val="Bulletsregular"/>
    <w:next w:val="Normal"/>
    <w:uiPriority w:val="99"/>
    <w:rsid w:val="00966524"/>
    <w:pPr>
      <w:numPr>
        <w:ilvl w:val="1"/>
        <w:numId w:val="3"/>
      </w:numPr>
    </w:pPr>
  </w:style>
  <w:style w:type="paragraph" w:customStyle="1" w:styleId="NoteSource">
    <w:name w:val="Note/Source"/>
    <w:basedOn w:val="Normal"/>
    <w:next w:val="Normal"/>
    <w:uiPriority w:val="99"/>
    <w:rsid w:val="00966524"/>
    <w:pPr>
      <w:widowControl w:val="0"/>
      <w:tabs>
        <w:tab w:val="left" w:pos="436"/>
      </w:tabs>
      <w:suppressAutoHyphens/>
      <w:autoSpaceDE w:val="0"/>
      <w:autoSpaceDN w:val="0"/>
      <w:adjustRightInd w:val="0"/>
      <w:spacing w:after="60" w:line="180" w:lineRule="atLeast"/>
      <w:textAlignment w:val="center"/>
    </w:pPr>
    <w:rPr>
      <w:rFonts w:ascii="ArialMT" w:eastAsiaTheme="minorEastAsia" w:hAnsi="ArialMT" w:cs="ArialMT"/>
      <w:color w:val="000000"/>
      <w:sz w:val="18"/>
      <w:szCs w:val="18"/>
    </w:rPr>
  </w:style>
  <w:style w:type="paragraph" w:customStyle="1" w:styleId="Footnotes">
    <w:name w:val="Footnotes"/>
    <w:basedOn w:val="Normal"/>
    <w:uiPriority w:val="99"/>
    <w:rsid w:val="00966524"/>
    <w:pPr>
      <w:widowControl w:val="0"/>
      <w:suppressAutoHyphens/>
      <w:autoSpaceDE w:val="0"/>
      <w:autoSpaceDN w:val="0"/>
      <w:adjustRightInd w:val="0"/>
      <w:spacing w:after="270" w:line="200" w:lineRule="atLeast"/>
      <w:ind w:left="180" w:hanging="180"/>
      <w:textAlignment w:val="center"/>
    </w:pPr>
    <w:rPr>
      <w:rFonts w:ascii="ArialMT" w:eastAsiaTheme="minorEastAsia" w:hAnsi="ArialMT" w:cs="ArialMT"/>
      <w:color w:val="000000"/>
      <w:sz w:val="18"/>
      <w:szCs w:val="18"/>
    </w:rPr>
  </w:style>
  <w:style w:type="paragraph" w:customStyle="1" w:styleId="TableFigureTitleMainBody">
    <w:name w:val="Table/Figure Title (Main Body)"/>
    <w:basedOn w:val="Normal"/>
    <w:next w:val="Normal"/>
    <w:uiPriority w:val="99"/>
    <w:rsid w:val="000377C8"/>
    <w:pPr>
      <w:widowControl w:val="0"/>
      <w:suppressAutoHyphens/>
      <w:autoSpaceDE w:val="0"/>
      <w:autoSpaceDN w:val="0"/>
      <w:adjustRightInd w:val="0"/>
      <w:spacing w:before="240" w:after="180" w:line="340" w:lineRule="atLeast"/>
      <w:textAlignment w:val="center"/>
    </w:pPr>
    <w:rPr>
      <w:rFonts w:ascii="Arial-BoldMT" w:eastAsiaTheme="minorEastAsia" w:hAnsi="Arial-BoldMT" w:cs="Arial-BoldMT"/>
      <w:b/>
      <w:bCs/>
      <w:color w:val="000000"/>
      <w:sz w:val="30"/>
      <w:szCs w:val="30"/>
    </w:rPr>
  </w:style>
  <w:style w:type="paragraph" w:styleId="TOC2">
    <w:name w:val="toc 2"/>
    <w:basedOn w:val="Normal"/>
    <w:next w:val="Normal"/>
    <w:autoRedefine/>
    <w:uiPriority w:val="39"/>
    <w:unhideWhenUsed/>
    <w:rsid w:val="00F9047D"/>
    <w:pPr>
      <w:tabs>
        <w:tab w:val="left" w:pos="709"/>
        <w:tab w:val="right" w:leader="dot" w:pos="8505"/>
      </w:tabs>
      <w:spacing w:after="0" w:line="240" w:lineRule="auto"/>
      <w:ind w:left="709" w:right="1241" w:hanging="425"/>
      <w:jc w:val="both"/>
    </w:pPr>
    <w:rPr>
      <w:rFonts w:ascii="Arial" w:hAnsi="Arial"/>
      <w:noProof/>
      <w:sz w:val="20"/>
    </w:rPr>
  </w:style>
  <w:style w:type="character" w:styleId="Hyperlink">
    <w:name w:val="Hyperlink"/>
    <w:basedOn w:val="DefaultParagraphFont"/>
    <w:uiPriority w:val="99"/>
    <w:unhideWhenUsed/>
    <w:rsid w:val="00EE2495"/>
    <w:rPr>
      <w:color w:val="2B9D83" w:themeColor="hyperlink"/>
      <w:u w:val="single"/>
    </w:rPr>
  </w:style>
  <w:style w:type="paragraph" w:styleId="ListParagraph">
    <w:name w:val="List Paragraph"/>
    <w:basedOn w:val="Normal"/>
    <w:link w:val="ListParagraphChar"/>
    <w:uiPriority w:val="34"/>
    <w:qFormat/>
    <w:rsid w:val="00EE2495"/>
    <w:pPr>
      <w:ind w:left="720"/>
      <w:contextualSpacing/>
      <w:jc w:val="both"/>
    </w:pPr>
    <w:rPr>
      <w:rFonts w:ascii="Arial" w:hAnsi="Arial"/>
      <w:sz w:val="22"/>
    </w:rPr>
  </w:style>
  <w:style w:type="paragraph" w:styleId="TOC3">
    <w:name w:val="toc 3"/>
    <w:basedOn w:val="Normal"/>
    <w:next w:val="Normal"/>
    <w:autoRedefine/>
    <w:uiPriority w:val="39"/>
    <w:unhideWhenUsed/>
    <w:rsid w:val="00730E59"/>
    <w:pPr>
      <w:tabs>
        <w:tab w:val="left" w:pos="1560"/>
        <w:tab w:val="right" w:leader="dot" w:pos="8505"/>
      </w:tabs>
      <w:spacing w:after="0" w:line="240" w:lineRule="auto"/>
      <w:ind w:left="851" w:right="1241" w:hanging="567"/>
      <w:jc w:val="both"/>
    </w:pPr>
    <w:rPr>
      <w:rFonts w:ascii="Arial" w:hAnsi="Arial"/>
      <w:noProof/>
      <w:sz w:val="20"/>
    </w:rPr>
  </w:style>
  <w:style w:type="table" w:styleId="TableGrid">
    <w:name w:val="Table Grid"/>
    <w:basedOn w:val="TableNormal"/>
    <w:uiPriority w:val="39"/>
    <w:rsid w:val="00EE2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EE2495"/>
    <w:rPr>
      <w:rFonts w:ascii="Arial" w:hAnsi="Arial"/>
    </w:rPr>
  </w:style>
  <w:style w:type="paragraph" w:styleId="TOC1">
    <w:name w:val="toc 1"/>
    <w:basedOn w:val="Normal"/>
    <w:next w:val="Normal"/>
    <w:autoRedefine/>
    <w:uiPriority w:val="39"/>
    <w:unhideWhenUsed/>
    <w:rsid w:val="00EE2495"/>
    <w:pPr>
      <w:tabs>
        <w:tab w:val="left" w:pos="284"/>
        <w:tab w:val="right" w:pos="8505"/>
      </w:tabs>
      <w:spacing w:before="120" w:after="0" w:line="240" w:lineRule="auto"/>
      <w:jc w:val="both"/>
    </w:pPr>
    <w:rPr>
      <w:rFonts w:ascii="Arial" w:eastAsiaTheme="minorEastAsia" w:hAnsi="Arial" w:cs="Times New Roman"/>
      <w:b/>
      <w:caps/>
      <w:noProof/>
      <w:sz w:val="20"/>
    </w:rPr>
  </w:style>
  <w:style w:type="paragraph" w:styleId="FootnoteText">
    <w:name w:val="footnote text"/>
    <w:basedOn w:val="Normal"/>
    <w:link w:val="FootnoteTextChar"/>
    <w:unhideWhenUsed/>
    <w:rsid w:val="00EE2495"/>
    <w:pPr>
      <w:spacing w:after="0" w:line="240" w:lineRule="auto"/>
      <w:jc w:val="both"/>
    </w:pPr>
    <w:rPr>
      <w:rFonts w:ascii="Arial" w:hAnsi="Arial"/>
      <w:sz w:val="18"/>
      <w:szCs w:val="20"/>
    </w:rPr>
  </w:style>
  <w:style w:type="character" w:customStyle="1" w:styleId="FootnoteTextChar">
    <w:name w:val="Footnote Text Char"/>
    <w:basedOn w:val="DefaultParagraphFont"/>
    <w:link w:val="FootnoteText"/>
    <w:rsid w:val="00EE2495"/>
    <w:rPr>
      <w:rFonts w:ascii="Arial" w:hAnsi="Arial"/>
      <w:sz w:val="18"/>
      <w:szCs w:val="20"/>
    </w:rPr>
  </w:style>
  <w:style w:type="character" w:styleId="FootnoteReference">
    <w:name w:val="footnote reference"/>
    <w:basedOn w:val="DefaultParagraphFont"/>
    <w:uiPriority w:val="99"/>
    <w:semiHidden/>
    <w:unhideWhenUsed/>
    <w:rsid w:val="00EE2495"/>
    <w:rPr>
      <w:vertAlign w:val="superscript"/>
    </w:rPr>
  </w:style>
  <w:style w:type="character" w:customStyle="1" w:styleId="apple-converted-space">
    <w:name w:val="apple-converted-space"/>
    <w:basedOn w:val="DefaultParagraphFont"/>
    <w:rsid w:val="00EE2495"/>
  </w:style>
  <w:style w:type="character" w:styleId="IntenseReference">
    <w:name w:val="Intense Reference"/>
    <w:basedOn w:val="DefaultParagraphFont"/>
    <w:uiPriority w:val="32"/>
    <w:qFormat/>
    <w:rsid w:val="00EE2495"/>
    <w:rPr>
      <w:b/>
      <w:bCs/>
      <w:smallCaps/>
      <w:color w:val="00A995" w:themeColor="accent1"/>
      <w:spacing w:val="5"/>
    </w:rPr>
  </w:style>
  <w:style w:type="table" w:styleId="LightList">
    <w:name w:val="Light List"/>
    <w:basedOn w:val="TableNormal"/>
    <w:uiPriority w:val="61"/>
    <w:rsid w:val="00EE2495"/>
    <w:pPr>
      <w:spacing w:after="0" w:line="240" w:lineRule="auto"/>
    </w:p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tblBorders>
    </w:tblPr>
    <w:tblStylePr w:type="firstRow">
      <w:pPr>
        <w:spacing w:before="0" w:after="0" w:line="240" w:lineRule="auto"/>
      </w:pPr>
      <w:rPr>
        <w:b/>
        <w:bCs/>
        <w:color w:val="FFFFFF" w:themeColor="background1"/>
      </w:rPr>
      <w:tblPr/>
      <w:tcPr>
        <w:shd w:val="clear" w:color="auto" w:fill="3C3C3B" w:themeFill="text1"/>
      </w:tcPr>
    </w:tblStylePr>
    <w:tblStylePr w:type="lastRow">
      <w:pPr>
        <w:spacing w:before="0" w:after="0" w:line="240" w:lineRule="auto"/>
      </w:pPr>
      <w:rPr>
        <w:b/>
        <w:bCs/>
      </w:rPr>
      <w:tblPr/>
      <w:tcPr>
        <w:tcBorders>
          <w:top w:val="double" w:sz="6" w:space="0" w:color="3C3C3B" w:themeColor="text1"/>
          <w:left w:val="single" w:sz="8" w:space="0" w:color="3C3C3B" w:themeColor="text1"/>
          <w:bottom w:val="single" w:sz="8" w:space="0" w:color="3C3C3B" w:themeColor="text1"/>
          <w:right w:val="single" w:sz="8" w:space="0" w:color="3C3C3B" w:themeColor="text1"/>
        </w:tcBorders>
      </w:tcPr>
    </w:tblStylePr>
    <w:tblStylePr w:type="firstCol">
      <w:rPr>
        <w:b/>
        <w:bCs/>
      </w:rPr>
    </w:tblStylePr>
    <w:tblStylePr w:type="lastCol">
      <w:rPr>
        <w:b/>
        <w:bCs/>
      </w:rPr>
    </w:tblStylePr>
    <w:tblStylePr w:type="band1Vert">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tblStylePr w:type="band1Horz">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style>
  <w:style w:type="character" w:styleId="Strong">
    <w:name w:val="Strong"/>
    <w:basedOn w:val="DefaultParagraphFont"/>
    <w:uiPriority w:val="22"/>
    <w:qFormat/>
    <w:rsid w:val="00E6664B"/>
    <w:rPr>
      <w:b/>
      <w:bCs/>
    </w:rPr>
  </w:style>
  <w:style w:type="character" w:customStyle="1" w:styleId="ps-gls1">
    <w:name w:val="ps-gls1"/>
    <w:basedOn w:val="DefaultParagraphFont"/>
    <w:rsid w:val="001F33CD"/>
  </w:style>
  <w:style w:type="character" w:customStyle="1" w:styleId="tgc">
    <w:name w:val="_tgc"/>
    <w:basedOn w:val="DefaultParagraphFont"/>
    <w:rsid w:val="00DF15AD"/>
  </w:style>
  <w:style w:type="character" w:styleId="CommentReference">
    <w:name w:val="annotation reference"/>
    <w:basedOn w:val="DefaultParagraphFont"/>
    <w:uiPriority w:val="99"/>
    <w:semiHidden/>
    <w:unhideWhenUsed/>
    <w:rsid w:val="00577033"/>
    <w:rPr>
      <w:sz w:val="16"/>
      <w:szCs w:val="16"/>
    </w:rPr>
  </w:style>
  <w:style w:type="paragraph" w:styleId="CommentText">
    <w:name w:val="annotation text"/>
    <w:basedOn w:val="Normal"/>
    <w:link w:val="CommentTextChar"/>
    <w:uiPriority w:val="99"/>
    <w:semiHidden/>
    <w:unhideWhenUsed/>
    <w:rsid w:val="00577033"/>
    <w:pPr>
      <w:spacing w:line="240" w:lineRule="auto"/>
    </w:pPr>
    <w:rPr>
      <w:sz w:val="20"/>
      <w:szCs w:val="20"/>
    </w:rPr>
  </w:style>
  <w:style w:type="character" w:customStyle="1" w:styleId="CommentTextChar">
    <w:name w:val="Comment Text Char"/>
    <w:basedOn w:val="DefaultParagraphFont"/>
    <w:link w:val="CommentText"/>
    <w:uiPriority w:val="99"/>
    <w:semiHidden/>
    <w:rsid w:val="00577033"/>
    <w:rPr>
      <w:sz w:val="20"/>
      <w:szCs w:val="20"/>
    </w:rPr>
  </w:style>
  <w:style w:type="paragraph" w:styleId="CommentSubject">
    <w:name w:val="annotation subject"/>
    <w:basedOn w:val="CommentText"/>
    <w:next w:val="CommentText"/>
    <w:link w:val="CommentSubjectChar"/>
    <w:uiPriority w:val="99"/>
    <w:semiHidden/>
    <w:unhideWhenUsed/>
    <w:rsid w:val="00577033"/>
    <w:rPr>
      <w:b/>
      <w:bCs/>
    </w:rPr>
  </w:style>
  <w:style w:type="character" w:customStyle="1" w:styleId="CommentSubjectChar">
    <w:name w:val="Comment Subject Char"/>
    <w:basedOn w:val="CommentTextChar"/>
    <w:link w:val="CommentSubject"/>
    <w:uiPriority w:val="99"/>
    <w:semiHidden/>
    <w:rsid w:val="00577033"/>
    <w:rPr>
      <w:b/>
      <w:bCs/>
      <w:sz w:val="20"/>
      <w:szCs w:val="20"/>
    </w:rPr>
  </w:style>
  <w:style w:type="paragraph" w:styleId="Revision">
    <w:name w:val="Revision"/>
    <w:hidden/>
    <w:uiPriority w:val="99"/>
    <w:semiHidden/>
    <w:rsid w:val="00E62841"/>
    <w:pPr>
      <w:spacing w:after="0" w:line="240" w:lineRule="auto"/>
    </w:pPr>
    <w:rPr>
      <w:sz w:val="24"/>
    </w:rPr>
  </w:style>
  <w:style w:type="character" w:styleId="FollowedHyperlink">
    <w:name w:val="FollowedHyperlink"/>
    <w:basedOn w:val="DefaultParagraphFont"/>
    <w:uiPriority w:val="99"/>
    <w:semiHidden/>
    <w:unhideWhenUsed/>
    <w:rsid w:val="007966F5"/>
    <w:rPr>
      <w:color w:val="94D547" w:themeColor="followedHyperlink"/>
      <w:u w:val="single"/>
    </w:rPr>
  </w:style>
  <w:style w:type="character" w:styleId="Emphasis">
    <w:name w:val="Emphasis"/>
    <w:basedOn w:val="DefaultParagraphFont"/>
    <w:uiPriority w:val="20"/>
    <w:qFormat/>
    <w:rsid w:val="006C66D4"/>
    <w:rPr>
      <w:b/>
      <w:bCs/>
      <w:i w:val="0"/>
      <w:iCs w:val="0"/>
    </w:rPr>
  </w:style>
  <w:style w:type="character" w:customStyle="1" w:styleId="st1">
    <w:name w:val="st1"/>
    <w:basedOn w:val="DefaultParagraphFont"/>
    <w:rsid w:val="006C66D4"/>
  </w:style>
  <w:style w:type="character" w:styleId="LineNumber">
    <w:name w:val="line number"/>
    <w:basedOn w:val="DefaultParagraphFont"/>
    <w:uiPriority w:val="99"/>
    <w:semiHidden/>
    <w:unhideWhenUsed/>
    <w:rsid w:val="00EE2033"/>
  </w:style>
  <w:style w:type="character" w:customStyle="1" w:styleId="y0nh2b">
    <w:name w:val="y0nh2b"/>
    <w:basedOn w:val="DefaultParagraphFont"/>
    <w:rsid w:val="00EB408B"/>
  </w:style>
  <w:style w:type="paragraph" w:styleId="Caption">
    <w:name w:val="caption"/>
    <w:basedOn w:val="Normal"/>
    <w:next w:val="Normal"/>
    <w:uiPriority w:val="35"/>
    <w:unhideWhenUsed/>
    <w:qFormat/>
    <w:rsid w:val="00320AC1"/>
    <w:pPr>
      <w:spacing w:line="240" w:lineRule="auto"/>
    </w:pPr>
    <w:rPr>
      <w:i/>
      <w:iCs/>
      <w:color w:val="777877"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05014">
      <w:bodyDiv w:val="1"/>
      <w:marLeft w:val="0"/>
      <w:marRight w:val="0"/>
      <w:marTop w:val="0"/>
      <w:marBottom w:val="0"/>
      <w:divBdr>
        <w:top w:val="none" w:sz="0" w:space="0" w:color="auto"/>
        <w:left w:val="none" w:sz="0" w:space="0" w:color="auto"/>
        <w:bottom w:val="none" w:sz="0" w:space="0" w:color="auto"/>
        <w:right w:val="none" w:sz="0" w:space="0" w:color="auto"/>
      </w:divBdr>
      <w:divsChild>
        <w:div w:id="835653248">
          <w:marLeft w:val="547"/>
          <w:marRight w:val="0"/>
          <w:marTop w:val="0"/>
          <w:marBottom w:val="0"/>
          <w:divBdr>
            <w:top w:val="none" w:sz="0" w:space="0" w:color="auto"/>
            <w:left w:val="none" w:sz="0" w:space="0" w:color="auto"/>
            <w:bottom w:val="none" w:sz="0" w:space="0" w:color="auto"/>
            <w:right w:val="none" w:sz="0" w:space="0" w:color="auto"/>
          </w:divBdr>
        </w:div>
        <w:div w:id="1709797250">
          <w:marLeft w:val="547"/>
          <w:marRight w:val="0"/>
          <w:marTop w:val="0"/>
          <w:marBottom w:val="0"/>
          <w:divBdr>
            <w:top w:val="none" w:sz="0" w:space="0" w:color="auto"/>
            <w:left w:val="none" w:sz="0" w:space="0" w:color="auto"/>
            <w:bottom w:val="none" w:sz="0" w:space="0" w:color="auto"/>
            <w:right w:val="none" w:sz="0" w:space="0" w:color="auto"/>
          </w:divBdr>
        </w:div>
      </w:divsChild>
    </w:div>
    <w:div w:id="291788287">
      <w:bodyDiv w:val="1"/>
      <w:marLeft w:val="0"/>
      <w:marRight w:val="0"/>
      <w:marTop w:val="0"/>
      <w:marBottom w:val="0"/>
      <w:divBdr>
        <w:top w:val="none" w:sz="0" w:space="0" w:color="auto"/>
        <w:left w:val="none" w:sz="0" w:space="0" w:color="auto"/>
        <w:bottom w:val="none" w:sz="0" w:space="0" w:color="auto"/>
        <w:right w:val="none" w:sz="0" w:space="0" w:color="auto"/>
      </w:divBdr>
      <w:divsChild>
        <w:div w:id="892275886">
          <w:marLeft w:val="547"/>
          <w:marRight w:val="0"/>
          <w:marTop w:val="0"/>
          <w:marBottom w:val="0"/>
          <w:divBdr>
            <w:top w:val="none" w:sz="0" w:space="0" w:color="auto"/>
            <w:left w:val="none" w:sz="0" w:space="0" w:color="auto"/>
            <w:bottom w:val="none" w:sz="0" w:space="0" w:color="auto"/>
            <w:right w:val="none" w:sz="0" w:space="0" w:color="auto"/>
          </w:divBdr>
        </w:div>
        <w:div w:id="1380740291">
          <w:marLeft w:val="547"/>
          <w:marRight w:val="0"/>
          <w:marTop w:val="0"/>
          <w:marBottom w:val="0"/>
          <w:divBdr>
            <w:top w:val="none" w:sz="0" w:space="0" w:color="auto"/>
            <w:left w:val="none" w:sz="0" w:space="0" w:color="auto"/>
            <w:bottom w:val="none" w:sz="0" w:space="0" w:color="auto"/>
            <w:right w:val="none" w:sz="0" w:space="0" w:color="auto"/>
          </w:divBdr>
        </w:div>
      </w:divsChild>
    </w:div>
    <w:div w:id="315501947">
      <w:bodyDiv w:val="1"/>
      <w:marLeft w:val="0"/>
      <w:marRight w:val="0"/>
      <w:marTop w:val="0"/>
      <w:marBottom w:val="0"/>
      <w:divBdr>
        <w:top w:val="none" w:sz="0" w:space="0" w:color="auto"/>
        <w:left w:val="none" w:sz="0" w:space="0" w:color="auto"/>
        <w:bottom w:val="none" w:sz="0" w:space="0" w:color="auto"/>
        <w:right w:val="none" w:sz="0" w:space="0" w:color="auto"/>
      </w:divBdr>
      <w:divsChild>
        <w:div w:id="691961085">
          <w:marLeft w:val="0"/>
          <w:marRight w:val="0"/>
          <w:marTop w:val="0"/>
          <w:marBottom w:val="0"/>
          <w:divBdr>
            <w:top w:val="none" w:sz="0" w:space="0" w:color="auto"/>
            <w:left w:val="none" w:sz="0" w:space="0" w:color="auto"/>
            <w:bottom w:val="none" w:sz="0" w:space="0" w:color="auto"/>
            <w:right w:val="none" w:sz="0" w:space="0" w:color="auto"/>
          </w:divBdr>
          <w:divsChild>
            <w:div w:id="471682465">
              <w:marLeft w:val="0"/>
              <w:marRight w:val="0"/>
              <w:marTop w:val="129"/>
              <w:marBottom w:val="0"/>
              <w:divBdr>
                <w:top w:val="single" w:sz="8" w:space="6" w:color="666666"/>
                <w:left w:val="none" w:sz="0" w:space="0" w:color="auto"/>
                <w:bottom w:val="none" w:sz="0" w:space="0" w:color="auto"/>
                <w:right w:val="none" w:sz="0" w:space="0" w:color="auto"/>
              </w:divBdr>
            </w:div>
          </w:divsChild>
        </w:div>
      </w:divsChild>
    </w:div>
    <w:div w:id="475296012">
      <w:bodyDiv w:val="1"/>
      <w:marLeft w:val="0"/>
      <w:marRight w:val="0"/>
      <w:marTop w:val="0"/>
      <w:marBottom w:val="0"/>
      <w:divBdr>
        <w:top w:val="none" w:sz="0" w:space="0" w:color="auto"/>
        <w:left w:val="none" w:sz="0" w:space="0" w:color="auto"/>
        <w:bottom w:val="none" w:sz="0" w:space="0" w:color="auto"/>
        <w:right w:val="none" w:sz="0" w:space="0" w:color="auto"/>
      </w:divBdr>
      <w:divsChild>
        <w:div w:id="1931424212">
          <w:marLeft w:val="547"/>
          <w:marRight w:val="0"/>
          <w:marTop w:val="0"/>
          <w:marBottom w:val="0"/>
          <w:divBdr>
            <w:top w:val="none" w:sz="0" w:space="0" w:color="auto"/>
            <w:left w:val="none" w:sz="0" w:space="0" w:color="auto"/>
            <w:bottom w:val="none" w:sz="0" w:space="0" w:color="auto"/>
            <w:right w:val="none" w:sz="0" w:space="0" w:color="auto"/>
          </w:divBdr>
        </w:div>
      </w:divsChild>
    </w:div>
    <w:div w:id="561717335">
      <w:bodyDiv w:val="1"/>
      <w:marLeft w:val="0"/>
      <w:marRight w:val="0"/>
      <w:marTop w:val="0"/>
      <w:marBottom w:val="0"/>
      <w:divBdr>
        <w:top w:val="none" w:sz="0" w:space="0" w:color="auto"/>
        <w:left w:val="none" w:sz="0" w:space="0" w:color="auto"/>
        <w:bottom w:val="none" w:sz="0" w:space="0" w:color="auto"/>
        <w:right w:val="none" w:sz="0" w:space="0" w:color="auto"/>
      </w:divBdr>
      <w:divsChild>
        <w:div w:id="442312994">
          <w:marLeft w:val="1627"/>
          <w:marRight w:val="0"/>
          <w:marTop w:val="0"/>
          <w:marBottom w:val="0"/>
          <w:divBdr>
            <w:top w:val="none" w:sz="0" w:space="0" w:color="auto"/>
            <w:left w:val="none" w:sz="0" w:space="0" w:color="auto"/>
            <w:bottom w:val="none" w:sz="0" w:space="0" w:color="auto"/>
            <w:right w:val="none" w:sz="0" w:space="0" w:color="auto"/>
          </w:divBdr>
        </w:div>
      </w:divsChild>
    </w:div>
    <w:div w:id="569460896">
      <w:bodyDiv w:val="1"/>
      <w:marLeft w:val="60"/>
      <w:marRight w:val="60"/>
      <w:marTop w:val="60"/>
      <w:marBottom w:val="15"/>
      <w:divBdr>
        <w:top w:val="none" w:sz="0" w:space="0" w:color="auto"/>
        <w:left w:val="none" w:sz="0" w:space="0" w:color="auto"/>
        <w:bottom w:val="none" w:sz="0" w:space="0" w:color="auto"/>
        <w:right w:val="none" w:sz="0" w:space="0" w:color="auto"/>
      </w:divBdr>
    </w:div>
    <w:div w:id="626788035">
      <w:bodyDiv w:val="1"/>
      <w:marLeft w:val="0"/>
      <w:marRight w:val="0"/>
      <w:marTop w:val="0"/>
      <w:marBottom w:val="0"/>
      <w:divBdr>
        <w:top w:val="none" w:sz="0" w:space="0" w:color="auto"/>
        <w:left w:val="none" w:sz="0" w:space="0" w:color="auto"/>
        <w:bottom w:val="none" w:sz="0" w:space="0" w:color="auto"/>
        <w:right w:val="none" w:sz="0" w:space="0" w:color="auto"/>
      </w:divBdr>
      <w:divsChild>
        <w:div w:id="1143044592">
          <w:marLeft w:val="0"/>
          <w:marRight w:val="0"/>
          <w:marTop w:val="0"/>
          <w:marBottom w:val="0"/>
          <w:divBdr>
            <w:top w:val="none" w:sz="0" w:space="0" w:color="auto"/>
            <w:left w:val="none" w:sz="0" w:space="0" w:color="auto"/>
            <w:bottom w:val="none" w:sz="0" w:space="0" w:color="auto"/>
            <w:right w:val="none" w:sz="0" w:space="0" w:color="auto"/>
          </w:divBdr>
          <w:divsChild>
            <w:div w:id="1414279003">
              <w:marLeft w:val="0"/>
              <w:marRight w:val="0"/>
              <w:marTop w:val="0"/>
              <w:marBottom w:val="0"/>
              <w:divBdr>
                <w:top w:val="none" w:sz="0" w:space="0" w:color="auto"/>
                <w:left w:val="none" w:sz="0" w:space="0" w:color="auto"/>
                <w:bottom w:val="none" w:sz="0" w:space="0" w:color="auto"/>
                <w:right w:val="none" w:sz="0" w:space="0" w:color="auto"/>
              </w:divBdr>
              <w:divsChild>
                <w:div w:id="1791510522">
                  <w:marLeft w:val="0"/>
                  <w:marRight w:val="0"/>
                  <w:marTop w:val="0"/>
                  <w:marBottom w:val="0"/>
                  <w:divBdr>
                    <w:top w:val="none" w:sz="0" w:space="0" w:color="auto"/>
                    <w:left w:val="none" w:sz="0" w:space="0" w:color="auto"/>
                    <w:bottom w:val="none" w:sz="0" w:space="0" w:color="auto"/>
                    <w:right w:val="none" w:sz="0" w:space="0" w:color="auto"/>
                  </w:divBdr>
                  <w:divsChild>
                    <w:div w:id="1972010179">
                      <w:marLeft w:val="0"/>
                      <w:marRight w:val="0"/>
                      <w:marTop w:val="0"/>
                      <w:marBottom w:val="0"/>
                      <w:divBdr>
                        <w:top w:val="none" w:sz="0" w:space="0" w:color="auto"/>
                        <w:left w:val="none" w:sz="0" w:space="0" w:color="auto"/>
                        <w:bottom w:val="none" w:sz="0" w:space="0" w:color="auto"/>
                        <w:right w:val="none" w:sz="0" w:space="0" w:color="auto"/>
                      </w:divBdr>
                      <w:divsChild>
                        <w:div w:id="1479685350">
                          <w:marLeft w:val="0"/>
                          <w:marRight w:val="0"/>
                          <w:marTop w:val="0"/>
                          <w:marBottom w:val="0"/>
                          <w:divBdr>
                            <w:top w:val="none" w:sz="0" w:space="0" w:color="auto"/>
                            <w:left w:val="none" w:sz="0" w:space="0" w:color="auto"/>
                            <w:bottom w:val="none" w:sz="0" w:space="0" w:color="auto"/>
                            <w:right w:val="none" w:sz="0" w:space="0" w:color="auto"/>
                          </w:divBdr>
                          <w:divsChild>
                            <w:div w:id="1921518195">
                              <w:marLeft w:val="0"/>
                              <w:marRight w:val="0"/>
                              <w:marTop w:val="0"/>
                              <w:marBottom w:val="0"/>
                              <w:divBdr>
                                <w:top w:val="none" w:sz="0" w:space="0" w:color="auto"/>
                                <w:left w:val="none" w:sz="0" w:space="0" w:color="auto"/>
                                <w:bottom w:val="none" w:sz="0" w:space="0" w:color="auto"/>
                                <w:right w:val="none" w:sz="0" w:space="0" w:color="auto"/>
                              </w:divBdr>
                              <w:divsChild>
                                <w:div w:id="1798570097">
                                  <w:marLeft w:val="0"/>
                                  <w:marRight w:val="0"/>
                                  <w:marTop w:val="0"/>
                                  <w:marBottom w:val="0"/>
                                  <w:divBdr>
                                    <w:top w:val="none" w:sz="0" w:space="0" w:color="auto"/>
                                    <w:left w:val="none" w:sz="0" w:space="0" w:color="auto"/>
                                    <w:bottom w:val="none" w:sz="0" w:space="0" w:color="auto"/>
                                    <w:right w:val="none" w:sz="0" w:space="0" w:color="auto"/>
                                  </w:divBdr>
                                  <w:divsChild>
                                    <w:div w:id="2070764536">
                                      <w:marLeft w:val="0"/>
                                      <w:marRight w:val="0"/>
                                      <w:marTop w:val="0"/>
                                      <w:marBottom w:val="0"/>
                                      <w:divBdr>
                                        <w:top w:val="none" w:sz="0" w:space="0" w:color="auto"/>
                                        <w:left w:val="none" w:sz="0" w:space="0" w:color="auto"/>
                                        <w:bottom w:val="none" w:sz="0" w:space="0" w:color="auto"/>
                                        <w:right w:val="none" w:sz="0" w:space="0" w:color="auto"/>
                                      </w:divBdr>
                                      <w:divsChild>
                                        <w:div w:id="1506214021">
                                          <w:marLeft w:val="0"/>
                                          <w:marRight w:val="0"/>
                                          <w:marTop w:val="0"/>
                                          <w:marBottom w:val="0"/>
                                          <w:divBdr>
                                            <w:top w:val="none" w:sz="0" w:space="0" w:color="auto"/>
                                            <w:left w:val="none" w:sz="0" w:space="0" w:color="auto"/>
                                            <w:bottom w:val="none" w:sz="0" w:space="0" w:color="auto"/>
                                            <w:right w:val="none" w:sz="0" w:space="0" w:color="auto"/>
                                          </w:divBdr>
                                          <w:divsChild>
                                            <w:div w:id="940920396">
                                              <w:marLeft w:val="0"/>
                                              <w:marRight w:val="0"/>
                                              <w:marTop w:val="0"/>
                                              <w:marBottom w:val="0"/>
                                              <w:divBdr>
                                                <w:top w:val="none" w:sz="0" w:space="0" w:color="auto"/>
                                                <w:left w:val="none" w:sz="0" w:space="0" w:color="auto"/>
                                                <w:bottom w:val="none" w:sz="0" w:space="0" w:color="auto"/>
                                                <w:right w:val="none" w:sz="0" w:space="0" w:color="auto"/>
                                              </w:divBdr>
                                              <w:divsChild>
                                                <w:div w:id="277876638">
                                                  <w:marLeft w:val="0"/>
                                                  <w:marRight w:val="0"/>
                                                  <w:marTop w:val="0"/>
                                                  <w:marBottom w:val="0"/>
                                                  <w:divBdr>
                                                    <w:top w:val="none" w:sz="0" w:space="0" w:color="auto"/>
                                                    <w:left w:val="none" w:sz="0" w:space="0" w:color="auto"/>
                                                    <w:bottom w:val="none" w:sz="0" w:space="0" w:color="auto"/>
                                                    <w:right w:val="none" w:sz="0" w:space="0" w:color="auto"/>
                                                  </w:divBdr>
                                                  <w:divsChild>
                                                    <w:div w:id="15469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5107023">
      <w:bodyDiv w:val="1"/>
      <w:marLeft w:val="0"/>
      <w:marRight w:val="0"/>
      <w:marTop w:val="0"/>
      <w:marBottom w:val="0"/>
      <w:divBdr>
        <w:top w:val="none" w:sz="0" w:space="0" w:color="auto"/>
        <w:left w:val="none" w:sz="0" w:space="0" w:color="auto"/>
        <w:bottom w:val="none" w:sz="0" w:space="0" w:color="auto"/>
        <w:right w:val="none" w:sz="0" w:space="0" w:color="auto"/>
      </w:divBdr>
      <w:divsChild>
        <w:div w:id="847134122">
          <w:marLeft w:val="1627"/>
          <w:marRight w:val="0"/>
          <w:marTop w:val="0"/>
          <w:marBottom w:val="0"/>
          <w:divBdr>
            <w:top w:val="none" w:sz="0" w:space="0" w:color="auto"/>
            <w:left w:val="none" w:sz="0" w:space="0" w:color="auto"/>
            <w:bottom w:val="none" w:sz="0" w:space="0" w:color="auto"/>
            <w:right w:val="none" w:sz="0" w:space="0" w:color="auto"/>
          </w:divBdr>
        </w:div>
      </w:divsChild>
    </w:div>
    <w:div w:id="885221501">
      <w:bodyDiv w:val="1"/>
      <w:marLeft w:val="0"/>
      <w:marRight w:val="0"/>
      <w:marTop w:val="0"/>
      <w:marBottom w:val="0"/>
      <w:divBdr>
        <w:top w:val="none" w:sz="0" w:space="0" w:color="auto"/>
        <w:left w:val="none" w:sz="0" w:space="0" w:color="auto"/>
        <w:bottom w:val="none" w:sz="0" w:space="0" w:color="auto"/>
        <w:right w:val="none" w:sz="0" w:space="0" w:color="auto"/>
      </w:divBdr>
      <w:divsChild>
        <w:div w:id="1845971839">
          <w:marLeft w:val="0"/>
          <w:marRight w:val="0"/>
          <w:marTop w:val="0"/>
          <w:marBottom w:val="0"/>
          <w:divBdr>
            <w:top w:val="none" w:sz="0" w:space="0" w:color="auto"/>
            <w:left w:val="none" w:sz="0" w:space="0" w:color="auto"/>
            <w:bottom w:val="none" w:sz="0" w:space="0" w:color="auto"/>
            <w:right w:val="none" w:sz="0" w:space="0" w:color="auto"/>
          </w:divBdr>
        </w:div>
        <w:div w:id="1844474190">
          <w:marLeft w:val="0"/>
          <w:marRight w:val="0"/>
          <w:marTop w:val="0"/>
          <w:marBottom w:val="0"/>
          <w:divBdr>
            <w:top w:val="none" w:sz="0" w:space="0" w:color="auto"/>
            <w:left w:val="none" w:sz="0" w:space="0" w:color="auto"/>
            <w:bottom w:val="none" w:sz="0" w:space="0" w:color="auto"/>
            <w:right w:val="none" w:sz="0" w:space="0" w:color="auto"/>
          </w:divBdr>
          <w:divsChild>
            <w:div w:id="1729188319">
              <w:marLeft w:val="0"/>
              <w:marRight w:val="0"/>
              <w:marTop w:val="0"/>
              <w:marBottom w:val="0"/>
              <w:divBdr>
                <w:top w:val="none" w:sz="0" w:space="0" w:color="auto"/>
                <w:left w:val="none" w:sz="0" w:space="0" w:color="auto"/>
                <w:bottom w:val="none" w:sz="0" w:space="0" w:color="auto"/>
                <w:right w:val="none" w:sz="0" w:space="0" w:color="auto"/>
              </w:divBdr>
            </w:div>
          </w:divsChild>
        </w:div>
        <w:div w:id="1943803480">
          <w:marLeft w:val="0"/>
          <w:marRight w:val="0"/>
          <w:marTop w:val="0"/>
          <w:marBottom w:val="0"/>
          <w:divBdr>
            <w:top w:val="none" w:sz="0" w:space="0" w:color="auto"/>
            <w:left w:val="none" w:sz="0" w:space="0" w:color="auto"/>
            <w:bottom w:val="none" w:sz="0" w:space="0" w:color="auto"/>
            <w:right w:val="none" w:sz="0" w:space="0" w:color="auto"/>
          </w:divBdr>
        </w:div>
      </w:divsChild>
    </w:div>
    <w:div w:id="930511343">
      <w:bodyDiv w:val="1"/>
      <w:marLeft w:val="0"/>
      <w:marRight w:val="0"/>
      <w:marTop w:val="0"/>
      <w:marBottom w:val="0"/>
      <w:divBdr>
        <w:top w:val="none" w:sz="0" w:space="0" w:color="auto"/>
        <w:left w:val="none" w:sz="0" w:space="0" w:color="auto"/>
        <w:bottom w:val="none" w:sz="0" w:space="0" w:color="auto"/>
        <w:right w:val="none" w:sz="0" w:space="0" w:color="auto"/>
      </w:divBdr>
      <w:divsChild>
        <w:div w:id="165288823">
          <w:marLeft w:val="0"/>
          <w:marRight w:val="0"/>
          <w:marTop w:val="0"/>
          <w:marBottom w:val="0"/>
          <w:divBdr>
            <w:top w:val="none" w:sz="0" w:space="0" w:color="auto"/>
            <w:left w:val="none" w:sz="0" w:space="0" w:color="auto"/>
            <w:bottom w:val="none" w:sz="0" w:space="0" w:color="auto"/>
            <w:right w:val="none" w:sz="0" w:space="0" w:color="auto"/>
          </w:divBdr>
          <w:divsChild>
            <w:div w:id="868371915">
              <w:marLeft w:val="0"/>
              <w:marRight w:val="0"/>
              <w:marTop w:val="129"/>
              <w:marBottom w:val="0"/>
              <w:divBdr>
                <w:top w:val="single" w:sz="8" w:space="6" w:color="666666"/>
                <w:left w:val="none" w:sz="0" w:space="0" w:color="auto"/>
                <w:bottom w:val="none" w:sz="0" w:space="0" w:color="auto"/>
                <w:right w:val="none" w:sz="0" w:space="0" w:color="auto"/>
              </w:divBdr>
            </w:div>
          </w:divsChild>
        </w:div>
      </w:divsChild>
    </w:div>
    <w:div w:id="961687013">
      <w:bodyDiv w:val="1"/>
      <w:marLeft w:val="0"/>
      <w:marRight w:val="0"/>
      <w:marTop w:val="0"/>
      <w:marBottom w:val="0"/>
      <w:divBdr>
        <w:top w:val="none" w:sz="0" w:space="0" w:color="auto"/>
        <w:left w:val="none" w:sz="0" w:space="0" w:color="auto"/>
        <w:bottom w:val="none" w:sz="0" w:space="0" w:color="auto"/>
        <w:right w:val="none" w:sz="0" w:space="0" w:color="auto"/>
      </w:divBdr>
    </w:div>
    <w:div w:id="1035230416">
      <w:bodyDiv w:val="1"/>
      <w:marLeft w:val="0"/>
      <w:marRight w:val="0"/>
      <w:marTop w:val="0"/>
      <w:marBottom w:val="0"/>
      <w:divBdr>
        <w:top w:val="none" w:sz="0" w:space="0" w:color="auto"/>
        <w:left w:val="none" w:sz="0" w:space="0" w:color="auto"/>
        <w:bottom w:val="none" w:sz="0" w:space="0" w:color="auto"/>
        <w:right w:val="none" w:sz="0" w:space="0" w:color="auto"/>
      </w:divBdr>
      <w:divsChild>
        <w:div w:id="1420372139">
          <w:marLeft w:val="0"/>
          <w:marRight w:val="0"/>
          <w:marTop w:val="0"/>
          <w:marBottom w:val="0"/>
          <w:divBdr>
            <w:top w:val="none" w:sz="0" w:space="0" w:color="auto"/>
            <w:left w:val="none" w:sz="0" w:space="0" w:color="auto"/>
            <w:bottom w:val="none" w:sz="0" w:space="0" w:color="auto"/>
            <w:right w:val="none" w:sz="0" w:space="0" w:color="auto"/>
          </w:divBdr>
          <w:divsChild>
            <w:div w:id="211940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31530">
      <w:bodyDiv w:val="1"/>
      <w:marLeft w:val="0"/>
      <w:marRight w:val="0"/>
      <w:marTop w:val="0"/>
      <w:marBottom w:val="0"/>
      <w:divBdr>
        <w:top w:val="none" w:sz="0" w:space="0" w:color="auto"/>
        <w:left w:val="none" w:sz="0" w:space="0" w:color="auto"/>
        <w:bottom w:val="none" w:sz="0" w:space="0" w:color="auto"/>
        <w:right w:val="none" w:sz="0" w:space="0" w:color="auto"/>
      </w:divBdr>
      <w:divsChild>
        <w:div w:id="1153637868">
          <w:marLeft w:val="101"/>
          <w:marRight w:val="0"/>
          <w:marTop w:val="0"/>
          <w:marBottom w:val="0"/>
          <w:divBdr>
            <w:top w:val="none" w:sz="0" w:space="0" w:color="auto"/>
            <w:left w:val="none" w:sz="0" w:space="0" w:color="auto"/>
            <w:bottom w:val="none" w:sz="0" w:space="0" w:color="auto"/>
            <w:right w:val="none" w:sz="0" w:space="0" w:color="auto"/>
          </w:divBdr>
        </w:div>
        <w:div w:id="1469667673">
          <w:marLeft w:val="101"/>
          <w:marRight w:val="0"/>
          <w:marTop w:val="0"/>
          <w:marBottom w:val="0"/>
          <w:divBdr>
            <w:top w:val="none" w:sz="0" w:space="0" w:color="auto"/>
            <w:left w:val="none" w:sz="0" w:space="0" w:color="auto"/>
            <w:bottom w:val="none" w:sz="0" w:space="0" w:color="auto"/>
            <w:right w:val="none" w:sz="0" w:space="0" w:color="auto"/>
          </w:divBdr>
        </w:div>
        <w:div w:id="1611160782">
          <w:marLeft w:val="101"/>
          <w:marRight w:val="0"/>
          <w:marTop w:val="0"/>
          <w:marBottom w:val="0"/>
          <w:divBdr>
            <w:top w:val="none" w:sz="0" w:space="0" w:color="auto"/>
            <w:left w:val="none" w:sz="0" w:space="0" w:color="auto"/>
            <w:bottom w:val="none" w:sz="0" w:space="0" w:color="auto"/>
            <w:right w:val="none" w:sz="0" w:space="0" w:color="auto"/>
          </w:divBdr>
        </w:div>
        <w:div w:id="1789618727">
          <w:marLeft w:val="101"/>
          <w:marRight w:val="0"/>
          <w:marTop w:val="0"/>
          <w:marBottom w:val="0"/>
          <w:divBdr>
            <w:top w:val="none" w:sz="0" w:space="0" w:color="auto"/>
            <w:left w:val="none" w:sz="0" w:space="0" w:color="auto"/>
            <w:bottom w:val="none" w:sz="0" w:space="0" w:color="auto"/>
            <w:right w:val="none" w:sz="0" w:space="0" w:color="auto"/>
          </w:divBdr>
        </w:div>
        <w:div w:id="1700473125">
          <w:marLeft w:val="101"/>
          <w:marRight w:val="0"/>
          <w:marTop w:val="0"/>
          <w:marBottom w:val="0"/>
          <w:divBdr>
            <w:top w:val="none" w:sz="0" w:space="0" w:color="auto"/>
            <w:left w:val="none" w:sz="0" w:space="0" w:color="auto"/>
            <w:bottom w:val="none" w:sz="0" w:space="0" w:color="auto"/>
            <w:right w:val="none" w:sz="0" w:space="0" w:color="auto"/>
          </w:divBdr>
        </w:div>
        <w:div w:id="1875344327">
          <w:marLeft w:val="101"/>
          <w:marRight w:val="0"/>
          <w:marTop w:val="0"/>
          <w:marBottom w:val="0"/>
          <w:divBdr>
            <w:top w:val="none" w:sz="0" w:space="0" w:color="auto"/>
            <w:left w:val="none" w:sz="0" w:space="0" w:color="auto"/>
            <w:bottom w:val="none" w:sz="0" w:space="0" w:color="auto"/>
            <w:right w:val="none" w:sz="0" w:space="0" w:color="auto"/>
          </w:divBdr>
        </w:div>
        <w:div w:id="314915762">
          <w:marLeft w:val="101"/>
          <w:marRight w:val="0"/>
          <w:marTop w:val="0"/>
          <w:marBottom w:val="0"/>
          <w:divBdr>
            <w:top w:val="none" w:sz="0" w:space="0" w:color="auto"/>
            <w:left w:val="none" w:sz="0" w:space="0" w:color="auto"/>
            <w:bottom w:val="none" w:sz="0" w:space="0" w:color="auto"/>
            <w:right w:val="none" w:sz="0" w:space="0" w:color="auto"/>
          </w:divBdr>
        </w:div>
        <w:div w:id="1947348302">
          <w:marLeft w:val="101"/>
          <w:marRight w:val="0"/>
          <w:marTop w:val="0"/>
          <w:marBottom w:val="0"/>
          <w:divBdr>
            <w:top w:val="none" w:sz="0" w:space="0" w:color="auto"/>
            <w:left w:val="none" w:sz="0" w:space="0" w:color="auto"/>
            <w:bottom w:val="none" w:sz="0" w:space="0" w:color="auto"/>
            <w:right w:val="none" w:sz="0" w:space="0" w:color="auto"/>
          </w:divBdr>
        </w:div>
        <w:div w:id="996609309">
          <w:marLeft w:val="101"/>
          <w:marRight w:val="0"/>
          <w:marTop w:val="0"/>
          <w:marBottom w:val="0"/>
          <w:divBdr>
            <w:top w:val="none" w:sz="0" w:space="0" w:color="auto"/>
            <w:left w:val="none" w:sz="0" w:space="0" w:color="auto"/>
            <w:bottom w:val="none" w:sz="0" w:space="0" w:color="auto"/>
            <w:right w:val="none" w:sz="0" w:space="0" w:color="auto"/>
          </w:divBdr>
        </w:div>
        <w:div w:id="1698701941">
          <w:marLeft w:val="101"/>
          <w:marRight w:val="0"/>
          <w:marTop w:val="0"/>
          <w:marBottom w:val="0"/>
          <w:divBdr>
            <w:top w:val="none" w:sz="0" w:space="0" w:color="auto"/>
            <w:left w:val="none" w:sz="0" w:space="0" w:color="auto"/>
            <w:bottom w:val="none" w:sz="0" w:space="0" w:color="auto"/>
            <w:right w:val="none" w:sz="0" w:space="0" w:color="auto"/>
          </w:divBdr>
        </w:div>
        <w:div w:id="1046295431">
          <w:marLeft w:val="101"/>
          <w:marRight w:val="0"/>
          <w:marTop w:val="0"/>
          <w:marBottom w:val="0"/>
          <w:divBdr>
            <w:top w:val="none" w:sz="0" w:space="0" w:color="auto"/>
            <w:left w:val="none" w:sz="0" w:space="0" w:color="auto"/>
            <w:bottom w:val="none" w:sz="0" w:space="0" w:color="auto"/>
            <w:right w:val="none" w:sz="0" w:space="0" w:color="auto"/>
          </w:divBdr>
        </w:div>
        <w:div w:id="1225406702">
          <w:marLeft w:val="101"/>
          <w:marRight w:val="0"/>
          <w:marTop w:val="0"/>
          <w:marBottom w:val="0"/>
          <w:divBdr>
            <w:top w:val="none" w:sz="0" w:space="0" w:color="auto"/>
            <w:left w:val="none" w:sz="0" w:space="0" w:color="auto"/>
            <w:bottom w:val="none" w:sz="0" w:space="0" w:color="auto"/>
            <w:right w:val="none" w:sz="0" w:space="0" w:color="auto"/>
          </w:divBdr>
        </w:div>
        <w:div w:id="781463737">
          <w:marLeft w:val="101"/>
          <w:marRight w:val="0"/>
          <w:marTop w:val="0"/>
          <w:marBottom w:val="0"/>
          <w:divBdr>
            <w:top w:val="none" w:sz="0" w:space="0" w:color="auto"/>
            <w:left w:val="none" w:sz="0" w:space="0" w:color="auto"/>
            <w:bottom w:val="none" w:sz="0" w:space="0" w:color="auto"/>
            <w:right w:val="none" w:sz="0" w:space="0" w:color="auto"/>
          </w:divBdr>
        </w:div>
        <w:div w:id="866213182">
          <w:marLeft w:val="101"/>
          <w:marRight w:val="0"/>
          <w:marTop w:val="0"/>
          <w:marBottom w:val="0"/>
          <w:divBdr>
            <w:top w:val="none" w:sz="0" w:space="0" w:color="auto"/>
            <w:left w:val="none" w:sz="0" w:space="0" w:color="auto"/>
            <w:bottom w:val="none" w:sz="0" w:space="0" w:color="auto"/>
            <w:right w:val="none" w:sz="0" w:space="0" w:color="auto"/>
          </w:divBdr>
        </w:div>
        <w:div w:id="1796874023">
          <w:marLeft w:val="101"/>
          <w:marRight w:val="0"/>
          <w:marTop w:val="0"/>
          <w:marBottom w:val="0"/>
          <w:divBdr>
            <w:top w:val="none" w:sz="0" w:space="0" w:color="auto"/>
            <w:left w:val="none" w:sz="0" w:space="0" w:color="auto"/>
            <w:bottom w:val="none" w:sz="0" w:space="0" w:color="auto"/>
            <w:right w:val="none" w:sz="0" w:space="0" w:color="auto"/>
          </w:divBdr>
        </w:div>
        <w:div w:id="611666178">
          <w:marLeft w:val="101"/>
          <w:marRight w:val="0"/>
          <w:marTop w:val="0"/>
          <w:marBottom w:val="0"/>
          <w:divBdr>
            <w:top w:val="none" w:sz="0" w:space="0" w:color="auto"/>
            <w:left w:val="none" w:sz="0" w:space="0" w:color="auto"/>
            <w:bottom w:val="none" w:sz="0" w:space="0" w:color="auto"/>
            <w:right w:val="none" w:sz="0" w:space="0" w:color="auto"/>
          </w:divBdr>
        </w:div>
        <w:div w:id="410737931">
          <w:marLeft w:val="101"/>
          <w:marRight w:val="0"/>
          <w:marTop w:val="0"/>
          <w:marBottom w:val="0"/>
          <w:divBdr>
            <w:top w:val="none" w:sz="0" w:space="0" w:color="auto"/>
            <w:left w:val="none" w:sz="0" w:space="0" w:color="auto"/>
            <w:bottom w:val="none" w:sz="0" w:space="0" w:color="auto"/>
            <w:right w:val="none" w:sz="0" w:space="0" w:color="auto"/>
          </w:divBdr>
        </w:div>
      </w:divsChild>
    </w:div>
    <w:div w:id="1379863750">
      <w:bodyDiv w:val="1"/>
      <w:marLeft w:val="0"/>
      <w:marRight w:val="0"/>
      <w:marTop w:val="0"/>
      <w:marBottom w:val="0"/>
      <w:divBdr>
        <w:top w:val="none" w:sz="0" w:space="0" w:color="auto"/>
        <w:left w:val="none" w:sz="0" w:space="0" w:color="auto"/>
        <w:bottom w:val="none" w:sz="0" w:space="0" w:color="auto"/>
        <w:right w:val="none" w:sz="0" w:space="0" w:color="auto"/>
      </w:divBdr>
      <w:divsChild>
        <w:div w:id="428308988">
          <w:marLeft w:val="0"/>
          <w:marRight w:val="0"/>
          <w:marTop w:val="0"/>
          <w:marBottom w:val="0"/>
          <w:divBdr>
            <w:top w:val="none" w:sz="0" w:space="0" w:color="auto"/>
            <w:left w:val="none" w:sz="0" w:space="0" w:color="auto"/>
            <w:bottom w:val="none" w:sz="0" w:space="0" w:color="auto"/>
            <w:right w:val="none" w:sz="0" w:space="0" w:color="auto"/>
          </w:divBdr>
          <w:divsChild>
            <w:div w:id="1066227345">
              <w:marLeft w:val="0"/>
              <w:marRight w:val="0"/>
              <w:marTop w:val="129"/>
              <w:marBottom w:val="0"/>
              <w:divBdr>
                <w:top w:val="single" w:sz="8" w:space="6" w:color="666666"/>
                <w:left w:val="none" w:sz="0" w:space="0" w:color="auto"/>
                <w:bottom w:val="none" w:sz="0" w:space="0" w:color="auto"/>
                <w:right w:val="none" w:sz="0" w:space="0" w:color="auto"/>
              </w:divBdr>
            </w:div>
          </w:divsChild>
        </w:div>
      </w:divsChild>
    </w:div>
    <w:div w:id="1409501229">
      <w:bodyDiv w:val="1"/>
      <w:marLeft w:val="0"/>
      <w:marRight w:val="0"/>
      <w:marTop w:val="0"/>
      <w:marBottom w:val="0"/>
      <w:divBdr>
        <w:top w:val="none" w:sz="0" w:space="0" w:color="auto"/>
        <w:left w:val="none" w:sz="0" w:space="0" w:color="auto"/>
        <w:bottom w:val="none" w:sz="0" w:space="0" w:color="auto"/>
        <w:right w:val="none" w:sz="0" w:space="0" w:color="auto"/>
      </w:divBdr>
    </w:div>
    <w:div w:id="1461338986">
      <w:bodyDiv w:val="1"/>
      <w:marLeft w:val="0"/>
      <w:marRight w:val="0"/>
      <w:marTop w:val="0"/>
      <w:marBottom w:val="0"/>
      <w:divBdr>
        <w:top w:val="none" w:sz="0" w:space="0" w:color="auto"/>
        <w:left w:val="none" w:sz="0" w:space="0" w:color="auto"/>
        <w:bottom w:val="none" w:sz="0" w:space="0" w:color="auto"/>
        <w:right w:val="none" w:sz="0" w:space="0" w:color="auto"/>
      </w:divBdr>
      <w:divsChild>
        <w:div w:id="2083870648">
          <w:marLeft w:val="547"/>
          <w:marRight w:val="0"/>
          <w:marTop w:val="0"/>
          <w:marBottom w:val="0"/>
          <w:divBdr>
            <w:top w:val="none" w:sz="0" w:space="0" w:color="auto"/>
            <w:left w:val="none" w:sz="0" w:space="0" w:color="auto"/>
            <w:bottom w:val="none" w:sz="0" w:space="0" w:color="auto"/>
            <w:right w:val="none" w:sz="0" w:space="0" w:color="auto"/>
          </w:divBdr>
        </w:div>
      </w:divsChild>
    </w:div>
    <w:div w:id="1472090406">
      <w:bodyDiv w:val="1"/>
      <w:marLeft w:val="0"/>
      <w:marRight w:val="0"/>
      <w:marTop w:val="0"/>
      <w:marBottom w:val="0"/>
      <w:divBdr>
        <w:top w:val="none" w:sz="0" w:space="0" w:color="auto"/>
        <w:left w:val="none" w:sz="0" w:space="0" w:color="auto"/>
        <w:bottom w:val="none" w:sz="0" w:space="0" w:color="auto"/>
        <w:right w:val="none" w:sz="0" w:space="0" w:color="auto"/>
      </w:divBdr>
      <w:divsChild>
        <w:div w:id="1823698101">
          <w:marLeft w:val="547"/>
          <w:marRight w:val="0"/>
          <w:marTop w:val="0"/>
          <w:marBottom w:val="0"/>
          <w:divBdr>
            <w:top w:val="none" w:sz="0" w:space="0" w:color="auto"/>
            <w:left w:val="none" w:sz="0" w:space="0" w:color="auto"/>
            <w:bottom w:val="none" w:sz="0" w:space="0" w:color="auto"/>
            <w:right w:val="none" w:sz="0" w:space="0" w:color="auto"/>
          </w:divBdr>
        </w:div>
        <w:div w:id="1434202795">
          <w:marLeft w:val="547"/>
          <w:marRight w:val="0"/>
          <w:marTop w:val="0"/>
          <w:marBottom w:val="0"/>
          <w:divBdr>
            <w:top w:val="none" w:sz="0" w:space="0" w:color="auto"/>
            <w:left w:val="none" w:sz="0" w:space="0" w:color="auto"/>
            <w:bottom w:val="none" w:sz="0" w:space="0" w:color="auto"/>
            <w:right w:val="none" w:sz="0" w:space="0" w:color="auto"/>
          </w:divBdr>
        </w:div>
      </w:divsChild>
    </w:div>
    <w:div w:id="1482891186">
      <w:bodyDiv w:val="1"/>
      <w:marLeft w:val="0"/>
      <w:marRight w:val="0"/>
      <w:marTop w:val="0"/>
      <w:marBottom w:val="0"/>
      <w:divBdr>
        <w:top w:val="none" w:sz="0" w:space="0" w:color="auto"/>
        <w:left w:val="none" w:sz="0" w:space="0" w:color="auto"/>
        <w:bottom w:val="none" w:sz="0" w:space="0" w:color="auto"/>
        <w:right w:val="none" w:sz="0" w:space="0" w:color="auto"/>
      </w:divBdr>
      <w:divsChild>
        <w:div w:id="322389713">
          <w:marLeft w:val="0"/>
          <w:marRight w:val="0"/>
          <w:marTop w:val="0"/>
          <w:marBottom w:val="0"/>
          <w:divBdr>
            <w:top w:val="none" w:sz="0" w:space="0" w:color="auto"/>
            <w:left w:val="none" w:sz="0" w:space="0" w:color="auto"/>
            <w:bottom w:val="none" w:sz="0" w:space="0" w:color="auto"/>
            <w:right w:val="none" w:sz="0" w:space="0" w:color="auto"/>
          </w:divBdr>
          <w:divsChild>
            <w:div w:id="1013998486">
              <w:marLeft w:val="0"/>
              <w:marRight w:val="0"/>
              <w:marTop w:val="0"/>
              <w:marBottom w:val="0"/>
              <w:divBdr>
                <w:top w:val="none" w:sz="0" w:space="0" w:color="auto"/>
                <w:left w:val="none" w:sz="0" w:space="0" w:color="auto"/>
                <w:bottom w:val="none" w:sz="0" w:space="0" w:color="auto"/>
                <w:right w:val="none" w:sz="0" w:space="0" w:color="auto"/>
              </w:divBdr>
              <w:divsChild>
                <w:div w:id="1477797713">
                  <w:marLeft w:val="0"/>
                  <w:marRight w:val="0"/>
                  <w:marTop w:val="0"/>
                  <w:marBottom w:val="0"/>
                  <w:divBdr>
                    <w:top w:val="none" w:sz="0" w:space="0" w:color="auto"/>
                    <w:left w:val="none" w:sz="0" w:space="0" w:color="auto"/>
                    <w:bottom w:val="none" w:sz="0" w:space="0" w:color="auto"/>
                    <w:right w:val="none" w:sz="0" w:space="0" w:color="auto"/>
                  </w:divBdr>
                  <w:divsChild>
                    <w:div w:id="1264725861">
                      <w:marLeft w:val="0"/>
                      <w:marRight w:val="0"/>
                      <w:marTop w:val="0"/>
                      <w:marBottom w:val="0"/>
                      <w:divBdr>
                        <w:top w:val="none" w:sz="0" w:space="0" w:color="auto"/>
                        <w:left w:val="none" w:sz="0" w:space="0" w:color="auto"/>
                        <w:bottom w:val="none" w:sz="0" w:space="0" w:color="auto"/>
                        <w:right w:val="none" w:sz="0" w:space="0" w:color="auto"/>
                      </w:divBdr>
                      <w:divsChild>
                        <w:div w:id="1801612901">
                          <w:marLeft w:val="0"/>
                          <w:marRight w:val="0"/>
                          <w:marTop w:val="0"/>
                          <w:marBottom w:val="0"/>
                          <w:divBdr>
                            <w:top w:val="none" w:sz="0" w:space="0" w:color="auto"/>
                            <w:left w:val="none" w:sz="0" w:space="0" w:color="auto"/>
                            <w:bottom w:val="none" w:sz="0" w:space="0" w:color="auto"/>
                            <w:right w:val="none" w:sz="0" w:space="0" w:color="auto"/>
                          </w:divBdr>
                          <w:divsChild>
                            <w:div w:id="14093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962271">
      <w:bodyDiv w:val="1"/>
      <w:marLeft w:val="0"/>
      <w:marRight w:val="0"/>
      <w:marTop w:val="0"/>
      <w:marBottom w:val="0"/>
      <w:divBdr>
        <w:top w:val="none" w:sz="0" w:space="0" w:color="auto"/>
        <w:left w:val="none" w:sz="0" w:space="0" w:color="auto"/>
        <w:bottom w:val="none" w:sz="0" w:space="0" w:color="auto"/>
        <w:right w:val="none" w:sz="0" w:space="0" w:color="auto"/>
      </w:divBdr>
      <w:divsChild>
        <w:div w:id="823007690">
          <w:marLeft w:val="446"/>
          <w:marRight w:val="0"/>
          <w:marTop w:val="0"/>
          <w:marBottom w:val="0"/>
          <w:divBdr>
            <w:top w:val="none" w:sz="0" w:space="0" w:color="auto"/>
            <w:left w:val="none" w:sz="0" w:space="0" w:color="auto"/>
            <w:bottom w:val="none" w:sz="0" w:space="0" w:color="auto"/>
            <w:right w:val="none" w:sz="0" w:space="0" w:color="auto"/>
          </w:divBdr>
        </w:div>
      </w:divsChild>
    </w:div>
    <w:div w:id="1519932413">
      <w:bodyDiv w:val="1"/>
      <w:marLeft w:val="0"/>
      <w:marRight w:val="0"/>
      <w:marTop w:val="0"/>
      <w:marBottom w:val="0"/>
      <w:divBdr>
        <w:top w:val="none" w:sz="0" w:space="0" w:color="auto"/>
        <w:left w:val="none" w:sz="0" w:space="0" w:color="auto"/>
        <w:bottom w:val="none" w:sz="0" w:space="0" w:color="auto"/>
        <w:right w:val="none" w:sz="0" w:space="0" w:color="auto"/>
      </w:divBdr>
    </w:div>
    <w:div w:id="1882549740">
      <w:bodyDiv w:val="1"/>
      <w:marLeft w:val="0"/>
      <w:marRight w:val="0"/>
      <w:marTop w:val="0"/>
      <w:marBottom w:val="0"/>
      <w:divBdr>
        <w:top w:val="none" w:sz="0" w:space="0" w:color="auto"/>
        <w:left w:val="none" w:sz="0" w:space="0" w:color="auto"/>
        <w:bottom w:val="none" w:sz="0" w:space="0" w:color="auto"/>
        <w:right w:val="none" w:sz="0" w:space="0" w:color="auto"/>
      </w:divBdr>
      <w:divsChild>
        <w:div w:id="1425299962">
          <w:marLeft w:val="547"/>
          <w:marRight w:val="0"/>
          <w:marTop w:val="77"/>
          <w:marBottom w:val="0"/>
          <w:divBdr>
            <w:top w:val="none" w:sz="0" w:space="0" w:color="auto"/>
            <w:left w:val="none" w:sz="0" w:space="0" w:color="auto"/>
            <w:bottom w:val="none" w:sz="0" w:space="0" w:color="auto"/>
            <w:right w:val="none" w:sz="0" w:space="0" w:color="auto"/>
          </w:divBdr>
        </w:div>
      </w:divsChild>
    </w:div>
    <w:div w:id="2095659097">
      <w:bodyDiv w:val="1"/>
      <w:marLeft w:val="60"/>
      <w:marRight w:val="60"/>
      <w:marTop w:val="60"/>
      <w:marBottom w:val="15"/>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hyperlink" Target="https://en.wikipedia.org/wiki/Planning"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diagramColors" Target="diagrams/colors1.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https://en.wikipedia.org/wiki/Decision_makin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package" Target="embeddings/Microsoft_Visio_Drawing11.vsdx"/><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4.emf"/><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en.wikipedia.org/wiki/Business_operations"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image" Target="media/image3.png"/><Relationship Id="rId27"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Special:BookSources/978-1-4221-6364-1" TargetMode="External"/><Relationship Id="rId2" Type="http://schemas.openxmlformats.org/officeDocument/2006/relationships/hyperlink" Target="https://en.wikipedia.org/wiki/International_Standard_Book_Number" TargetMode="External"/><Relationship Id="rId1" Type="http://schemas.openxmlformats.org/officeDocument/2006/relationships/hyperlink" Target="https://books.google.com/books?id=Q5CJJ2wVkYAC" TargetMode="External"/></Relationships>
</file>

<file path=word/diagrams/_rels/data1.xml.rels><?xml version="1.0" encoding="UTF-8" standalone="yes"?>
<Relationships xmlns="http://schemas.openxmlformats.org/package/2006/relationships"><Relationship Id="rId1" Type="http://schemas.openxmlformats.org/officeDocument/2006/relationships/hyperlink" Target="http://opendatasummit.ca/wp-content/uploads/2017/06/Canada_Framework_061217_R821.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7576C6-A257-4E43-A8A3-106230EE939E}"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CA"/>
        </a:p>
      </dgm:t>
    </dgm:pt>
    <dgm:pt modelId="{78869E43-D7E2-4B46-BA03-6EBD685F1978}">
      <dgm:prSet phldrT="[Text]" custT="1"/>
      <dgm:spPr/>
      <dgm:t>
        <a:bodyPr/>
        <a:lstStyle/>
        <a:p>
          <a:r>
            <a:rPr lang="fr-CA">
              <a:latin typeface="+mj-lt"/>
            </a:rPr>
            <a:t>Gens et processus</a:t>
          </a:r>
          <a:endParaRPr lang="en-CA" sz="2000" dirty="0">
            <a:latin typeface="+mj-lt"/>
          </a:endParaRPr>
        </a:p>
      </dgm:t>
    </dgm:pt>
    <dgm:pt modelId="{1CC0F4BE-2C99-400B-8C54-CC32F6F8E5BC}" type="parTrans" cxnId="{A52DD26C-A848-4D1C-9F68-9C54D17344B6}">
      <dgm:prSet/>
      <dgm:spPr/>
      <dgm:t>
        <a:bodyPr/>
        <a:lstStyle/>
        <a:p>
          <a:endParaRPr lang="en-CA"/>
        </a:p>
      </dgm:t>
    </dgm:pt>
    <dgm:pt modelId="{F58092D6-2592-44E9-B185-15A9BDF8ACFF}" type="sibTrans" cxnId="{A52DD26C-A848-4D1C-9F68-9C54D17344B6}">
      <dgm:prSet/>
      <dgm:spPr/>
      <dgm:t>
        <a:bodyPr/>
        <a:lstStyle/>
        <a:p>
          <a:endParaRPr lang="en-CA"/>
        </a:p>
      </dgm:t>
    </dgm:pt>
    <dgm:pt modelId="{62656090-C0D7-46BC-B051-9333CFBB6FFD}">
      <dgm:prSet phldrT="[Text]" custT="1"/>
      <dgm:spPr/>
      <dgm:t>
        <a:bodyPr/>
        <a:lstStyle/>
        <a:p>
          <a:r>
            <a:rPr lang="fr-CA" sz="800">
              <a:latin typeface="+mj-lt"/>
            </a:rPr>
            <a:t>Plus de latitude pour les gestionnaires responsables de l’embauche</a:t>
          </a:r>
        </a:p>
        <a:p>
          <a:r>
            <a:rPr lang="fr-CA" sz="800" i="1" dirty="0" smtClean="0">
              <a:latin typeface="+mj-lt"/>
            </a:rPr>
            <a:t>(Nouvelle orientation en matière de dotation)</a:t>
          </a:r>
          <a:endParaRPr lang="en-CA" sz="800" i="1" dirty="0">
            <a:latin typeface="+mj-lt"/>
          </a:endParaRPr>
        </a:p>
      </dgm:t>
    </dgm:pt>
    <dgm:pt modelId="{4F53A2B5-E241-48DA-9B34-2E366C5B8BA7}" type="parTrans" cxnId="{C0C3F257-E034-4466-9830-CEADAECA8299}">
      <dgm:prSet/>
      <dgm:spPr/>
      <dgm:t>
        <a:bodyPr/>
        <a:lstStyle/>
        <a:p>
          <a:endParaRPr lang="en-CA"/>
        </a:p>
      </dgm:t>
    </dgm:pt>
    <dgm:pt modelId="{956D5DE2-F0F5-4F56-B072-FE19B936C635}" type="sibTrans" cxnId="{C0C3F257-E034-4466-9830-CEADAECA8299}">
      <dgm:prSet/>
      <dgm:spPr/>
      <dgm:t>
        <a:bodyPr/>
        <a:lstStyle/>
        <a:p>
          <a:endParaRPr lang="en-CA"/>
        </a:p>
      </dgm:t>
    </dgm:pt>
    <dgm:pt modelId="{FE2957FF-794F-42EC-BA17-6A56717ED1C9}">
      <dgm:prSet phldrT="[Text]" custT="1"/>
      <dgm:spPr/>
      <dgm:t>
        <a:bodyPr/>
        <a:lstStyle/>
        <a:p>
          <a:r>
            <a:rPr lang="fr-CA" sz="800">
              <a:latin typeface="+mj-lt"/>
            </a:rPr>
            <a:t>Utilisation de données pour améliorer les programmes et les services</a:t>
          </a:r>
        </a:p>
        <a:p>
          <a:r>
            <a:rPr lang="fr-CA" sz="800" i="1" dirty="0" smtClean="0">
              <a:latin typeface="+mj-lt"/>
            </a:rPr>
            <a:t>(Directives sur les résultats</a:t>
          </a:r>
          <a:r>
            <a:rPr lang="fr-CA" sz="800">
              <a:latin typeface="+mj-lt"/>
            </a:rPr>
            <a:t> du GC</a:t>
          </a:r>
          <a:r>
            <a:rPr lang="fr-CA" sz="800" b="0" i="1" dirty="0" smtClean="0">
              <a:latin typeface="+mj-lt"/>
            </a:rPr>
            <a:t>)</a:t>
          </a:r>
          <a:endParaRPr lang="en-CA" sz="800" i="1" dirty="0">
            <a:latin typeface="+mj-lt"/>
          </a:endParaRPr>
        </a:p>
      </dgm:t>
    </dgm:pt>
    <dgm:pt modelId="{5A0D460F-206C-4191-BAB5-21263269460C}" type="parTrans" cxnId="{BB78D75A-AE7B-42D3-A2E1-BF57622BF2F9}">
      <dgm:prSet/>
      <dgm:spPr/>
      <dgm:t>
        <a:bodyPr/>
        <a:lstStyle/>
        <a:p>
          <a:endParaRPr lang="en-CA"/>
        </a:p>
      </dgm:t>
    </dgm:pt>
    <dgm:pt modelId="{3EC51ADA-AE33-4710-8371-683358EB8334}" type="sibTrans" cxnId="{BB78D75A-AE7B-42D3-A2E1-BF57622BF2F9}">
      <dgm:prSet/>
      <dgm:spPr/>
      <dgm:t>
        <a:bodyPr/>
        <a:lstStyle/>
        <a:p>
          <a:endParaRPr lang="en-CA"/>
        </a:p>
      </dgm:t>
    </dgm:pt>
    <dgm:pt modelId="{015E2488-4643-4DD3-8528-BFF2B2560A82}">
      <dgm:prSet phldrT="[Text]" custT="1"/>
      <dgm:spPr/>
      <dgm:t>
        <a:bodyPr/>
        <a:lstStyle/>
        <a:p>
          <a:r>
            <a:rPr lang="fr-CA">
              <a:latin typeface="+mj-lt"/>
            </a:rPr>
            <a:t>Technologie</a:t>
          </a:r>
          <a:endParaRPr lang="en-CA" sz="2000" dirty="0">
            <a:latin typeface="+mj-lt"/>
          </a:endParaRPr>
        </a:p>
      </dgm:t>
    </dgm:pt>
    <dgm:pt modelId="{3B5BD3B5-83ED-40D4-98D4-286131993CA4}" type="parTrans" cxnId="{E296AF8D-B010-4D11-A900-19D824C230F1}">
      <dgm:prSet/>
      <dgm:spPr/>
      <dgm:t>
        <a:bodyPr/>
        <a:lstStyle/>
        <a:p>
          <a:endParaRPr lang="en-CA"/>
        </a:p>
      </dgm:t>
    </dgm:pt>
    <dgm:pt modelId="{228C8743-567B-4C84-BB24-D90E1F312224}" type="sibTrans" cxnId="{E296AF8D-B010-4D11-A900-19D824C230F1}">
      <dgm:prSet/>
      <dgm:spPr/>
      <dgm:t>
        <a:bodyPr/>
        <a:lstStyle/>
        <a:p>
          <a:endParaRPr lang="en-CA"/>
        </a:p>
      </dgm:t>
    </dgm:pt>
    <dgm:pt modelId="{DCEC2238-2065-4A97-9A63-395C6CD39661}">
      <dgm:prSet phldrT="[Text]" custT="1"/>
      <dgm:spPr/>
      <dgm:t>
        <a:bodyPr/>
        <a:lstStyle/>
        <a:p>
          <a:r>
            <a:rPr lang="fr-CA" sz="800">
              <a:latin typeface="+mj-lt"/>
            </a:rPr>
            <a:t>Importance accordée à l’échelle du gouvernement à la mise en place d’une infrastructure pour l’échange collaboratif de données </a:t>
          </a:r>
          <a:r>
            <a:rPr lang="fr-CA" sz="800" i="1" dirty="0" smtClean="0">
              <a:latin typeface="+mj-lt"/>
            </a:rPr>
            <a:t>(Cadre du GC pour relever des défis stratégiques canadiens avec des données)</a:t>
          </a:r>
          <a:endParaRPr lang="en-CA" sz="800" i="1" dirty="0">
            <a:latin typeface="+mj-lt"/>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3E41C640-8029-4B14-94EE-75D82334C560}" type="parTrans" cxnId="{15B8E8BB-CD22-4C63-A5A8-533AEB94B621}">
      <dgm:prSet/>
      <dgm:spPr/>
      <dgm:t>
        <a:bodyPr/>
        <a:lstStyle/>
        <a:p>
          <a:endParaRPr lang="en-CA"/>
        </a:p>
      </dgm:t>
    </dgm:pt>
    <dgm:pt modelId="{B37969F8-C18F-42E5-9025-5E6F4A075C3C}" type="sibTrans" cxnId="{15B8E8BB-CD22-4C63-A5A8-533AEB94B621}">
      <dgm:prSet/>
      <dgm:spPr/>
      <dgm:t>
        <a:bodyPr/>
        <a:lstStyle/>
        <a:p>
          <a:endParaRPr lang="en-CA"/>
        </a:p>
      </dgm:t>
    </dgm:pt>
    <dgm:pt modelId="{3AC8B242-556A-4158-A40A-21C36072BB56}">
      <dgm:prSet phldrT="[Text]" custT="1"/>
      <dgm:spPr/>
      <dgm:t>
        <a:bodyPr/>
        <a:lstStyle/>
        <a:p>
          <a:r>
            <a:rPr lang="fr-CA" sz="800">
              <a:latin typeface="+mj-lt"/>
            </a:rPr>
            <a:t>Connectivité et interopérabilité afin de faciliter l’analyse de « mégadonnées  ».</a:t>
          </a:r>
        </a:p>
        <a:p>
          <a:r>
            <a:rPr lang="fr-CA" sz="800" i="1" dirty="0" smtClean="0">
              <a:latin typeface="+mj-lt"/>
            </a:rPr>
            <a:t>(Plan stratégique de TI du GC 2017-2021)</a:t>
          </a:r>
          <a:endParaRPr lang="en-CA" sz="800" i="1" dirty="0">
            <a:latin typeface="+mj-lt"/>
          </a:endParaRPr>
        </a:p>
      </dgm:t>
    </dgm:pt>
    <dgm:pt modelId="{49FE9CCA-37DB-4153-B659-4E3CDC8AD6E3}" type="parTrans" cxnId="{CC3AC36A-30D8-463F-B340-63F1E562EC3C}">
      <dgm:prSet/>
      <dgm:spPr/>
      <dgm:t>
        <a:bodyPr/>
        <a:lstStyle/>
        <a:p>
          <a:endParaRPr lang="en-CA"/>
        </a:p>
      </dgm:t>
    </dgm:pt>
    <dgm:pt modelId="{5746D524-699D-4096-9214-60CBC0BE7AC9}" type="sibTrans" cxnId="{CC3AC36A-30D8-463F-B340-63F1E562EC3C}">
      <dgm:prSet/>
      <dgm:spPr/>
      <dgm:t>
        <a:bodyPr/>
        <a:lstStyle/>
        <a:p>
          <a:endParaRPr lang="en-CA"/>
        </a:p>
      </dgm:t>
    </dgm:pt>
    <dgm:pt modelId="{B41F9E61-FD44-429F-8ACF-CE8EF85A40C8}">
      <dgm:prSet phldrT="[Text]" custT="1"/>
      <dgm:spPr>
        <a:solidFill>
          <a:srgbClr val="CBE2DD"/>
        </a:solidFill>
      </dgm:spPr>
      <dgm:t>
        <a:bodyPr/>
        <a:lstStyle/>
        <a:p>
          <a:r>
            <a:rPr lang="fr-CA">
              <a:latin typeface="+mj-lt"/>
            </a:rPr>
            <a:t>Données</a:t>
          </a:r>
          <a:endParaRPr lang="en-CA" sz="2000" dirty="0">
            <a:latin typeface="+mj-lt"/>
          </a:endParaRPr>
        </a:p>
      </dgm:t>
      <dgm:extLst>
        <a:ext uri="{E40237B7-FDA0-4F09-8148-C483321AD2D9}">
          <dgm14:cNvPr xmlns:dgm14="http://schemas.microsoft.com/office/drawing/2010/diagram" id="0" name="" descr="Nouvelles tendances pour les gens et processus, la technologie et les données." title="Diagramme représentant les nouvelles tendances dans la fonction publique"/>
        </a:ext>
      </dgm:extLst>
    </dgm:pt>
    <dgm:pt modelId="{F3EF1807-FFB3-4B3C-B4B5-ABDA3A24BBE5}" type="parTrans" cxnId="{BDABCEB0-2D51-4BBD-80FA-CB045C6E8981}">
      <dgm:prSet/>
      <dgm:spPr/>
      <dgm:t>
        <a:bodyPr/>
        <a:lstStyle/>
        <a:p>
          <a:endParaRPr lang="en-CA"/>
        </a:p>
      </dgm:t>
    </dgm:pt>
    <dgm:pt modelId="{3794299B-7FF4-41E0-8FEE-9FD1D42DD815}" type="sibTrans" cxnId="{BDABCEB0-2D51-4BBD-80FA-CB045C6E8981}">
      <dgm:prSet/>
      <dgm:spPr/>
      <dgm:t>
        <a:bodyPr/>
        <a:lstStyle/>
        <a:p>
          <a:endParaRPr lang="en-CA"/>
        </a:p>
      </dgm:t>
    </dgm:pt>
    <dgm:pt modelId="{FC93A578-9AF8-4B26-B7C5-E0A8309F46D5}">
      <dgm:prSet phldrT="[Text]" custT="1"/>
      <dgm:spPr/>
      <dgm:t>
        <a:bodyPr/>
        <a:lstStyle/>
        <a:p>
          <a:r>
            <a:rPr lang="fr-CA" sz="800">
              <a:latin typeface="+mj-lt"/>
            </a:rPr>
            <a:t>Structures de gouvernance et mécanismes pour gérer des fonds de renseignements</a:t>
          </a:r>
        </a:p>
        <a:p>
          <a:r>
            <a:rPr lang="fr-CA" sz="800" i="1" dirty="0" smtClean="0">
              <a:latin typeface="+mj-lt"/>
            </a:rPr>
            <a:t>(Politique sur la gestion de l’information du GC)</a:t>
          </a:r>
        </a:p>
      </dgm:t>
    </dgm:pt>
    <dgm:pt modelId="{143FE083-BC1A-47CF-8D97-8D9387EE4238}" type="parTrans" cxnId="{EAD31436-B1E6-4FD3-AFDF-E771F09100C5}">
      <dgm:prSet/>
      <dgm:spPr/>
      <dgm:t>
        <a:bodyPr/>
        <a:lstStyle/>
        <a:p>
          <a:endParaRPr lang="en-CA"/>
        </a:p>
      </dgm:t>
    </dgm:pt>
    <dgm:pt modelId="{B9C38BDD-FD3E-467E-A073-7D23E98F9201}" type="sibTrans" cxnId="{EAD31436-B1E6-4FD3-AFDF-E771F09100C5}">
      <dgm:prSet/>
      <dgm:spPr/>
      <dgm:t>
        <a:bodyPr/>
        <a:lstStyle/>
        <a:p>
          <a:endParaRPr lang="en-CA"/>
        </a:p>
      </dgm:t>
    </dgm:pt>
    <dgm:pt modelId="{68099F2D-C0E5-4925-B2D5-105BC4D76F17}">
      <dgm:prSet phldrT="[Text]" custT="1"/>
      <dgm:spPr/>
      <dgm:t>
        <a:bodyPr/>
        <a:lstStyle/>
        <a:p>
          <a:r>
            <a:rPr lang="fr-CA" sz="800">
              <a:latin typeface="+mj-lt"/>
            </a:rPr>
            <a:t>Utilisation des données de grande qualité du gouvernement pour éclairer la prise de décisions</a:t>
          </a:r>
        </a:p>
        <a:p>
          <a:r>
            <a:rPr lang="fr-CA" sz="800" i="1" dirty="0" smtClean="0">
              <a:latin typeface="+mj-lt"/>
            </a:rPr>
            <a:t>(Plan stratégique de TI du GC 2017-2021)</a:t>
          </a:r>
          <a:endParaRPr lang="en-US" sz="800" i="1" dirty="0" smtClean="0">
            <a:latin typeface="+mj-lt"/>
          </a:endParaRPr>
        </a:p>
      </dgm:t>
    </dgm:pt>
    <dgm:pt modelId="{34A8AA37-6692-4685-A400-E2287AECE71C}" type="parTrans" cxnId="{0678762C-6985-4A6A-BDAB-46B5F0C63A07}">
      <dgm:prSet/>
      <dgm:spPr/>
      <dgm:t>
        <a:bodyPr/>
        <a:lstStyle/>
        <a:p>
          <a:endParaRPr lang="en-CA"/>
        </a:p>
      </dgm:t>
    </dgm:pt>
    <dgm:pt modelId="{9CA9116E-904A-46CC-A87F-0B439F8E454B}" type="sibTrans" cxnId="{0678762C-6985-4A6A-BDAB-46B5F0C63A07}">
      <dgm:prSet/>
      <dgm:spPr/>
      <dgm:t>
        <a:bodyPr/>
        <a:lstStyle/>
        <a:p>
          <a:endParaRPr lang="en-CA"/>
        </a:p>
      </dgm:t>
    </dgm:pt>
    <dgm:pt modelId="{C5D7FFCE-1A72-4834-99B7-747550D77A95}">
      <dgm:prSet phldrT="[Text]" custT="1"/>
      <dgm:spPr/>
      <dgm:t>
        <a:bodyPr/>
        <a:lstStyle/>
        <a:p>
          <a:r>
            <a:rPr lang="fr-CA" sz="800">
              <a:latin typeface="+mj-lt"/>
            </a:rPr>
            <a:t>Renouvellement et diversité de la fonction publique</a:t>
          </a:r>
        </a:p>
        <a:p>
          <a:r>
            <a:rPr lang="fr-CA" sz="800" i="1" dirty="0" smtClean="0">
              <a:latin typeface="+mj-lt"/>
            </a:rPr>
            <a:t>(Objectif 2020)</a:t>
          </a:r>
        </a:p>
      </dgm:t>
    </dgm:pt>
    <dgm:pt modelId="{97021F34-4499-449B-99C0-B4E1C26D7307}" type="parTrans" cxnId="{6B5F04F5-67B6-46E5-BB0C-0D0BF5B1DF55}">
      <dgm:prSet/>
      <dgm:spPr/>
      <dgm:t>
        <a:bodyPr/>
        <a:lstStyle/>
        <a:p>
          <a:endParaRPr lang="en-CA"/>
        </a:p>
      </dgm:t>
    </dgm:pt>
    <dgm:pt modelId="{6C9A78D4-9A91-4074-8E3F-CCFB76D4A906}" type="sibTrans" cxnId="{6B5F04F5-67B6-46E5-BB0C-0D0BF5B1DF55}">
      <dgm:prSet/>
      <dgm:spPr/>
      <dgm:t>
        <a:bodyPr/>
        <a:lstStyle/>
        <a:p>
          <a:endParaRPr lang="en-CA"/>
        </a:p>
      </dgm:t>
    </dgm:pt>
    <dgm:pt modelId="{29222624-E001-4011-BFCD-5BBB4BBFD8B0}">
      <dgm:prSet phldrT="[Text]" custT="1"/>
      <dgm:spPr/>
      <dgm:t>
        <a:bodyPr/>
        <a:lstStyle/>
        <a:p>
          <a:r>
            <a:rPr lang="fr-CA" sz="800">
              <a:latin typeface="+mj-lt"/>
            </a:rPr>
            <a:t> Protection de la confidentialité des données et sécurité contre les cyberattaques</a:t>
          </a:r>
        </a:p>
        <a:p>
          <a:r>
            <a:rPr lang="fr-CA" sz="800" i="1" dirty="0" smtClean="0">
              <a:latin typeface="+mj-lt"/>
            </a:rPr>
            <a:t>(Plan stratégique de TI du GC 2017-2021)</a:t>
          </a:r>
          <a:endParaRPr lang="en-CA" sz="800" i="1" dirty="0">
            <a:latin typeface="+mj-lt"/>
          </a:endParaRPr>
        </a:p>
      </dgm:t>
    </dgm:pt>
    <dgm:pt modelId="{6C02B620-37F1-4CF8-B90D-3053431E2E5B}" type="parTrans" cxnId="{A1D32148-F8C4-46A2-8E92-6991FE53E80B}">
      <dgm:prSet/>
      <dgm:spPr/>
      <dgm:t>
        <a:bodyPr/>
        <a:lstStyle/>
        <a:p>
          <a:endParaRPr lang="en-CA"/>
        </a:p>
      </dgm:t>
    </dgm:pt>
    <dgm:pt modelId="{10B42F01-6CE2-4305-9F7A-1095A465DA6B}" type="sibTrans" cxnId="{A1D32148-F8C4-46A2-8E92-6991FE53E80B}">
      <dgm:prSet/>
      <dgm:spPr/>
      <dgm:t>
        <a:bodyPr/>
        <a:lstStyle/>
        <a:p>
          <a:endParaRPr lang="en-CA"/>
        </a:p>
      </dgm:t>
    </dgm:pt>
    <dgm:pt modelId="{646223E5-E781-4703-8669-7B6796F33157}">
      <dgm:prSet custT="1"/>
      <dgm:spPr/>
      <dgm:t>
        <a:bodyPr/>
        <a:lstStyle/>
        <a:p>
          <a:r>
            <a:rPr lang="fr-CA" sz="800">
              <a:latin typeface="+mj-lt"/>
            </a:rPr>
            <a:t>Rendre les ressources d’information plus accessibles aux Canadiens</a:t>
          </a:r>
        </a:p>
        <a:p>
          <a:r>
            <a:rPr lang="fr-CA" sz="800" i="1" dirty="0" smtClean="0">
              <a:latin typeface="+mj-lt"/>
            </a:rPr>
            <a:t>(Directive du gouvernement ouvert du GC)</a:t>
          </a:r>
          <a:endParaRPr lang="en-CA" sz="800" i="1" dirty="0">
            <a:latin typeface="+mj-lt"/>
          </a:endParaRPr>
        </a:p>
      </dgm:t>
    </dgm:pt>
    <dgm:pt modelId="{5A7366A6-55B5-43DD-9428-D7AA18C8F063}" type="parTrans" cxnId="{67987B1C-7061-46AA-BC4C-DCD94D828E45}">
      <dgm:prSet/>
      <dgm:spPr/>
      <dgm:t>
        <a:bodyPr/>
        <a:lstStyle/>
        <a:p>
          <a:endParaRPr lang="en-CA"/>
        </a:p>
      </dgm:t>
    </dgm:pt>
    <dgm:pt modelId="{05B305A5-381E-463B-8756-F763B6D45F7F}" type="sibTrans" cxnId="{67987B1C-7061-46AA-BC4C-DCD94D828E45}">
      <dgm:prSet/>
      <dgm:spPr/>
      <dgm:t>
        <a:bodyPr/>
        <a:lstStyle/>
        <a:p>
          <a:endParaRPr lang="en-CA"/>
        </a:p>
      </dgm:t>
    </dgm:pt>
    <dgm:pt modelId="{42A46577-7273-4EF0-A98C-4A805524FDAD}" type="pres">
      <dgm:prSet presAssocID="{597576C6-A257-4E43-A8A3-106230EE939E}" presName="theList" presStyleCnt="0">
        <dgm:presLayoutVars>
          <dgm:dir/>
          <dgm:animLvl val="lvl"/>
          <dgm:resizeHandles val="exact"/>
        </dgm:presLayoutVars>
      </dgm:prSet>
      <dgm:spPr/>
      <dgm:t>
        <a:bodyPr/>
        <a:lstStyle/>
        <a:p>
          <a:endParaRPr lang="en-CA"/>
        </a:p>
      </dgm:t>
    </dgm:pt>
    <dgm:pt modelId="{9AB59F75-EE5F-4863-98CB-F05E54DDC086}" type="pres">
      <dgm:prSet presAssocID="{78869E43-D7E2-4B46-BA03-6EBD685F1978}" presName="compNode" presStyleCnt="0"/>
      <dgm:spPr/>
      <dgm:t>
        <a:bodyPr/>
        <a:lstStyle/>
        <a:p>
          <a:endParaRPr lang="en-CA"/>
        </a:p>
      </dgm:t>
    </dgm:pt>
    <dgm:pt modelId="{DA0B29A2-8DC9-426E-B07D-4DECFEFA2741}" type="pres">
      <dgm:prSet presAssocID="{78869E43-D7E2-4B46-BA03-6EBD685F1978}" presName="aNode" presStyleLbl="bgShp" presStyleIdx="0" presStyleCnt="3" custLinFactNeighborY="-310"/>
      <dgm:spPr/>
      <dgm:t>
        <a:bodyPr/>
        <a:lstStyle/>
        <a:p>
          <a:endParaRPr lang="en-CA"/>
        </a:p>
      </dgm:t>
    </dgm:pt>
    <dgm:pt modelId="{A266C9B2-2706-47AB-9DBD-E8C4047902C4}" type="pres">
      <dgm:prSet presAssocID="{78869E43-D7E2-4B46-BA03-6EBD685F1978}" presName="textNode" presStyleLbl="bgShp" presStyleIdx="0" presStyleCnt="3"/>
      <dgm:spPr/>
      <dgm:t>
        <a:bodyPr/>
        <a:lstStyle/>
        <a:p>
          <a:endParaRPr lang="en-CA"/>
        </a:p>
      </dgm:t>
    </dgm:pt>
    <dgm:pt modelId="{3524B925-2622-41C4-A106-0D498BD1FDBD}" type="pres">
      <dgm:prSet presAssocID="{78869E43-D7E2-4B46-BA03-6EBD685F1978}" presName="compChildNode" presStyleCnt="0"/>
      <dgm:spPr/>
      <dgm:t>
        <a:bodyPr/>
        <a:lstStyle/>
        <a:p>
          <a:endParaRPr lang="en-CA"/>
        </a:p>
      </dgm:t>
    </dgm:pt>
    <dgm:pt modelId="{C1254958-77B7-49CE-83FF-3289ABC686E3}" type="pres">
      <dgm:prSet presAssocID="{78869E43-D7E2-4B46-BA03-6EBD685F1978}" presName="theInnerList" presStyleCnt="0"/>
      <dgm:spPr/>
      <dgm:t>
        <a:bodyPr/>
        <a:lstStyle/>
        <a:p>
          <a:endParaRPr lang="en-CA"/>
        </a:p>
      </dgm:t>
    </dgm:pt>
    <dgm:pt modelId="{69959339-1B24-49BC-B636-E648705ADA47}" type="pres">
      <dgm:prSet presAssocID="{62656090-C0D7-46BC-B051-9333CFBB6FFD}" presName="childNode" presStyleLbl="node1" presStyleIdx="0" presStyleCnt="9" custLinFactY="-11918" custLinFactNeighborX="631" custLinFactNeighborY="-100000">
        <dgm:presLayoutVars>
          <dgm:bulletEnabled val="1"/>
        </dgm:presLayoutVars>
      </dgm:prSet>
      <dgm:spPr/>
      <dgm:t>
        <a:bodyPr/>
        <a:lstStyle/>
        <a:p>
          <a:endParaRPr lang="en-CA"/>
        </a:p>
      </dgm:t>
    </dgm:pt>
    <dgm:pt modelId="{6159596E-60F5-4959-83AF-984BAE6BC680}" type="pres">
      <dgm:prSet presAssocID="{62656090-C0D7-46BC-B051-9333CFBB6FFD}" presName="aSpace2" presStyleCnt="0"/>
      <dgm:spPr/>
      <dgm:t>
        <a:bodyPr/>
        <a:lstStyle/>
        <a:p>
          <a:endParaRPr lang="en-CA"/>
        </a:p>
      </dgm:t>
    </dgm:pt>
    <dgm:pt modelId="{8BDAC293-9999-4A69-B7FD-8D13BAD5497B}" type="pres">
      <dgm:prSet presAssocID="{FE2957FF-794F-42EC-BA17-6A56717ED1C9}" presName="childNode" presStyleLbl="node1" presStyleIdx="1" presStyleCnt="9" custLinFactY="-11918" custLinFactNeighborX="-631" custLinFactNeighborY="-100000">
        <dgm:presLayoutVars>
          <dgm:bulletEnabled val="1"/>
        </dgm:presLayoutVars>
      </dgm:prSet>
      <dgm:spPr/>
      <dgm:t>
        <a:bodyPr/>
        <a:lstStyle/>
        <a:p>
          <a:endParaRPr lang="en-CA"/>
        </a:p>
      </dgm:t>
    </dgm:pt>
    <dgm:pt modelId="{D5B9F664-FB1F-4231-BAEB-1CE572CCC09A}" type="pres">
      <dgm:prSet presAssocID="{FE2957FF-794F-42EC-BA17-6A56717ED1C9}" presName="aSpace2" presStyleCnt="0"/>
      <dgm:spPr/>
      <dgm:t>
        <a:bodyPr/>
        <a:lstStyle/>
        <a:p>
          <a:endParaRPr lang="en-CA"/>
        </a:p>
      </dgm:t>
    </dgm:pt>
    <dgm:pt modelId="{5BB6780E-4094-4D21-BD99-1E78F1A58306}" type="pres">
      <dgm:prSet presAssocID="{C5D7FFCE-1A72-4834-99B7-747550D77A95}" presName="childNode" presStyleLbl="node1" presStyleIdx="2" presStyleCnt="9" custLinFactY="-8706" custLinFactNeighborX="-1262" custLinFactNeighborY="-100000">
        <dgm:presLayoutVars>
          <dgm:bulletEnabled val="1"/>
        </dgm:presLayoutVars>
      </dgm:prSet>
      <dgm:spPr/>
      <dgm:t>
        <a:bodyPr/>
        <a:lstStyle/>
        <a:p>
          <a:endParaRPr lang="en-CA"/>
        </a:p>
      </dgm:t>
    </dgm:pt>
    <dgm:pt modelId="{F8B1D493-3D1A-4735-89C5-6A0C80B9E536}" type="pres">
      <dgm:prSet presAssocID="{78869E43-D7E2-4B46-BA03-6EBD685F1978}" presName="aSpace" presStyleCnt="0"/>
      <dgm:spPr/>
      <dgm:t>
        <a:bodyPr/>
        <a:lstStyle/>
        <a:p>
          <a:endParaRPr lang="en-CA"/>
        </a:p>
      </dgm:t>
    </dgm:pt>
    <dgm:pt modelId="{266C88DC-262E-498C-9A6A-3016DD22270C}" type="pres">
      <dgm:prSet presAssocID="{015E2488-4643-4DD3-8528-BFF2B2560A82}" presName="compNode" presStyleCnt="0"/>
      <dgm:spPr/>
      <dgm:t>
        <a:bodyPr/>
        <a:lstStyle/>
        <a:p>
          <a:endParaRPr lang="en-CA"/>
        </a:p>
      </dgm:t>
    </dgm:pt>
    <dgm:pt modelId="{F31FE95D-A968-4544-8A99-709755F97902}" type="pres">
      <dgm:prSet presAssocID="{015E2488-4643-4DD3-8528-BFF2B2560A82}" presName="aNode" presStyleLbl="bgShp" presStyleIdx="1" presStyleCnt="3"/>
      <dgm:spPr/>
      <dgm:t>
        <a:bodyPr/>
        <a:lstStyle/>
        <a:p>
          <a:endParaRPr lang="en-CA"/>
        </a:p>
      </dgm:t>
    </dgm:pt>
    <dgm:pt modelId="{34A97893-8CE7-433A-AACD-7291DDD41200}" type="pres">
      <dgm:prSet presAssocID="{015E2488-4643-4DD3-8528-BFF2B2560A82}" presName="textNode" presStyleLbl="bgShp" presStyleIdx="1" presStyleCnt="3"/>
      <dgm:spPr/>
      <dgm:t>
        <a:bodyPr/>
        <a:lstStyle/>
        <a:p>
          <a:endParaRPr lang="en-CA"/>
        </a:p>
      </dgm:t>
    </dgm:pt>
    <dgm:pt modelId="{FE65B176-C493-4FFA-857A-D8072FB46B19}" type="pres">
      <dgm:prSet presAssocID="{015E2488-4643-4DD3-8528-BFF2B2560A82}" presName="compChildNode" presStyleCnt="0"/>
      <dgm:spPr/>
      <dgm:t>
        <a:bodyPr/>
        <a:lstStyle/>
        <a:p>
          <a:endParaRPr lang="en-CA"/>
        </a:p>
      </dgm:t>
    </dgm:pt>
    <dgm:pt modelId="{7D74AAE6-4155-4B9E-A30D-44A61FE1BFC5}" type="pres">
      <dgm:prSet presAssocID="{015E2488-4643-4DD3-8528-BFF2B2560A82}" presName="theInnerList" presStyleCnt="0"/>
      <dgm:spPr/>
      <dgm:t>
        <a:bodyPr/>
        <a:lstStyle/>
        <a:p>
          <a:endParaRPr lang="en-CA"/>
        </a:p>
      </dgm:t>
    </dgm:pt>
    <dgm:pt modelId="{871EB865-F973-4870-BBB6-426DBBB13159}" type="pres">
      <dgm:prSet presAssocID="{DCEC2238-2065-4A97-9A63-395C6CD39661}" presName="childNode" presStyleLbl="node1" presStyleIdx="3" presStyleCnt="9" custScaleX="99931" custScaleY="225337" custLinFactY="-33838" custLinFactNeighborX="-531" custLinFactNeighborY="-100000">
        <dgm:presLayoutVars>
          <dgm:bulletEnabled val="1"/>
        </dgm:presLayoutVars>
      </dgm:prSet>
      <dgm:spPr/>
      <dgm:t>
        <a:bodyPr/>
        <a:lstStyle/>
        <a:p>
          <a:endParaRPr lang="en-CA"/>
        </a:p>
      </dgm:t>
    </dgm:pt>
    <dgm:pt modelId="{F073EB3E-95BF-4A61-98CD-2ECEA8A1C876}" type="pres">
      <dgm:prSet presAssocID="{DCEC2238-2065-4A97-9A63-395C6CD39661}" presName="aSpace2" presStyleCnt="0"/>
      <dgm:spPr/>
      <dgm:t>
        <a:bodyPr/>
        <a:lstStyle/>
        <a:p>
          <a:endParaRPr lang="en-CA"/>
        </a:p>
      </dgm:t>
    </dgm:pt>
    <dgm:pt modelId="{D15B8B58-CCB5-48AA-9B53-9248EDB16452}" type="pres">
      <dgm:prSet presAssocID="{3AC8B242-556A-4158-A40A-21C36072BB56}" presName="childNode" presStyleLbl="node1" presStyleIdx="4" presStyleCnt="9" custScaleY="199646" custLinFactY="-4263" custLinFactNeighborX="-1063" custLinFactNeighborY="-100000">
        <dgm:presLayoutVars>
          <dgm:bulletEnabled val="1"/>
        </dgm:presLayoutVars>
      </dgm:prSet>
      <dgm:spPr/>
      <dgm:t>
        <a:bodyPr/>
        <a:lstStyle/>
        <a:p>
          <a:endParaRPr lang="en-CA"/>
        </a:p>
      </dgm:t>
    </dgm:pt>
    <dgm:pt modelId="{B8F79CE5-6FF1-4AE9-9332-B2583535C54E}" type="pres">
      <dgm:prSet presAssocID="{3AC8B242-556A-4158-A40A-21C36072BB56}" presName="aSpace2" presStyleCnt="0"/>
      <dgm:spPr/>
      <dgm:t>
        <a:bodyPr/>
        <a:lstStyle/>
        <a:p>
          <a:endParaRPr lang="en-CA"/>
        </a:p>
      </dgm:t>
    </dgm:pt>
    <dgm:pt modelId="{94911E9F-1394-4D9F-B53E-318D13CF4883}" type="pres">
      <dgm:prSet presAssocID="{29222624-E001-4011-BFCD-5BBB4BBFD8B0}" presName="childNode" presStyleLbl="node1" presStyleIdx="5" presStyleCnt="9" custScaleY="190736" custLinFactNeighborX="-1063" custLinFactNeighborY="-96390">
        <dgm:presLayoutVars>
          <dgm:bulletEnabled val="1"/>
        </dgm:presLayoutVars>
      </dgm:prSet>
      <dgm:spPr/>
      <dgm:t>
        <a:bodyPr/>
        <a:lstStyle/>
        <a:p>
          <a:endParaRPr lang="en-CA"/>
        </a:p>
      </dgm:t>
    </dgm:pt>
    <dgm:pt modelId="{9E2E2881-A4BC-4BF3-A6F2-1226CF732C41}" type="pres">
      <dgm:prSet presAssocID="{015E2488-4643-4DD3-8528-BFF2B2560A82}" presName="aSpace" presStyleCnt="0"/>
      <dgm:spPr/>
      <dgm:t>
        <a:bodyPr/>
        <a:lstStyle/>
        <a:p>
          <a:endParaRPr lang="en-CA"/>
        </a:p>
      </dgm:t>
    </dgm:pt>
    <dgm:pt modelId="{02D9FAA8-E20E-4E38-95D2-E2BE051DE81E}" type="pres">
      <dgm:prSet presAssocID="{B41F9E61-FD44-429F-8ACF-CE8EF85A40C8}" presName="compNode" presStyleCnt="0"/>
      <dgm:spPr/>
      <dgm:t>
        <a:bodyPr/>
        <a:lstStyle/>
        <a:p>
          <a:endParaRPr lang="en-CA"/>
        </a:p>
      </dgm:t>
    </dgm:pt>
    <dgm:pt modelId="{6C3E5433-A8EF-4708-9E77-92F7C8C325E5}" type="pres">
      <dgm:prSet presAssocID="{B41F9E61-FD44-429F-8ACF-CE8EF85A40C8}" presName="aNode" presStyleLbl="bgShp" presStyleIdx="2" presStyleCnt="3" custLinFactNeighborX="66511" custLinFactNeighborY="662"/>
      <dgm:spPr/>
      <dgm:t>
        <a:bodyPr/>
        <a:lstStyle/>
        <a:p>
          <a:endParaRPr lang="en-CA"/>
        </a:p>
      </dgm:t>
    </dgm:pt>
    <dgm:pt modelId="{18C875F5-9439-4A23-AE00-3EBCDDDC3978}" type="pres">
      <dgm:prSet presAssocID="{B41F9E61-FD44-429F-8ACF-CE8EF85A40C8}" presName="textNode" presStyleLbl="bgShp" presStyleIdx="2" presStyleCnt="3"/>
      <dgm:spPr/>
      <dgm:t>
        <a:bodyPr/>
        <a:lstStyle/>
        <a:p>
          <a:endParaRPr lang="en-CA"/>
        </a:p>
      </dgm:t>
    </dgm:pt>
    <dgm:pt modelId="{BC4CC9DB-B3E1-4FDC-BE6F-4FA15683C518}" type="pres">
      <dgm:prSet presAssocID="{B41F9E61-FD44-429F-8ACF-CE8EF85A40C8}" presName="compChildNode" presStyleCnt="0"/>
      <dgm:spPr/>
      <dgm:t>
        <a:bodyPr/>
        <a:lstStyle/>
        <a:p>
          <a:endParaRPr lang="en-CA"/>
        </a:p>
      </dgm:t>
    </dgm:pt>
    <dgm:pt modelId="{8B190FAC-8D1F-4D92-9A4F-3332C411ACD6}" type="pres">
      <dgm:prSet presAssocID="{B41F9E61-FD44-429F-8ACF-CE8EF85A40C8}" presName="theInnerList" presStyleCnt="0"/>
      <dgm:spPr/>
      <dgm:t>
        <a:bodyPr/>
        <a:lstStyle/>
        <a:p>
          <a:endParaRPr lang="en-CA"/>
        </a:p>
      </dgm:t>
    </dgm:pt>
    <dgm:pt modelId="{CAFE0913-FEF7-4D37-8A97-8DB31795C0C6}" type="pres">
      <dgm:prSet presAssocID="{FC93A578-9AF8-4B26-B7C5-E0A8309F46D5}" presName="childNode" presStyleLbl="node1" presStyleIdx="6" presStyleCnt="9" custLinFactY="-6511" custLinFactNeighborX="-2126" custLinFactNeighborY="-100000">
        <dgm:presLayoutVars>
          <dgm:bulletEnabled val="1"/>
        </dgm:presLayoutVars>
      </dgm:prSet>
      <dgm:spPr/>
      <dgm:t>
        <a:bodyPr/>
        <a:lstStyle/>
        <a:p>
          <a:endParaRPr lang="en-CA"/>
        </a:p>
      </dgm:t>
    </dgm:pt>
    <dgm:pt modelId="{9B1DD79E-4C01-4170-A7C7-FA7E484CD7C2}" type="pres">
      <dgm:prSet presAssocID="{FC93A578-9AF8-4B26-B7C5-E0A8309F46D5}" presName="aSpace2" presStyleCnt="0"/>
      <dgm:spPr/>
      <dgm:t>
        <a:bodyPr/>
        <a:lstStyle/>
        <a:p>
          <a:endParaRPr lang="en-CA"/>
        </a:p>
      </dgm:t>
    </dgm:pt>
    <dgm:pt modelId="{788747F8-CA7E-4577-B79D-A7B643A55D7A}" type="pres">
      <dgm:prSet presAssocID="{68099F2D-C0E5-4925-B2D5-105BC4D76F17}" presName="childNode" presStyleLbl="node1" presStyleIdx="7" presStyleCnt="9" custLinFactNeighborY="-31317">
        <dgm:presLayoutVars>
          <dgm:bulletEnabled val="1"/>
        </dgm:presLayoutVars>
      </dgm:prSet>
      <dgm:spPr/>
      <dgm:t>
        <a:bodyPr/>
        <a:lstStyle/>
        <a:p>
          <a:endParaRPr lang="en-CA"/>
        </a:p>
      </dgm:t>
    </dgm:pt>
    <dgm:pt modelId="{D3E03673-0435-4297-9D49-A008454155CA}" type="pres">
      <dgm:prSet presAssocID="{68099F2D-C0E5-4925-B2D5-105BC4D76F17}" presName="aSpace2" presStyleCnt="0"/>
      <dgm:spPr/>
      <dgm:t>
        <a:bodyPr/>
        <a:lstStyle/>
        <a:p>
          <a:endParaRPr lang="en-CA"/>
        </a:p>
      </dgm:t>
    </dgm:pt>
    <dgm:pt modelId="{A9F2DB3F-86F8-4FEA-B781-B4A0BFB3BC07}" type="pres">
      <dgm:prSet presAssocID="{646223E5-E781-4703-8669-7B6796F33157}" presName="childNode" presStyleLbl="node1" presStyleIdx="8" presStyleCnt="9">
        <dgm:presLayoutVars>
          <dgm:bulletEnabled val="1"/>
        </dgm:presLayoutVars>
      </dgm:prSet>
      <dgm:spPr/>
      <dgm:t>
        <a:bodyPr/>
        <a:lstStyle/>
        <a:p>
          <a:endParaRPr lang="en-CA"/>
        </a:p>
      </dgm:t>
    </dgm:pt>
  </dgm:ptLst>
  <dgm:cxnLst>
    <dgm:cxn modelId="{0F1C5E74-A309-4354-8B41-CC827DA1169C}" type="presOf" srcId="{B41F9E61-FD44-429F-8ACF-CE8EF85A40C8}" destId="{6C3E5433-A8EF-4708-9E77-92F7C8C325E5}" srcOrd="0" destOrd="0" presId="urn:microsoft.com/office/officeart/2005/8/layout/lProcess2"/>
    <dgm:cxn modelId="{0678762C-6985-4A6A-BDAB-46B5F0C63A07}" srcId="{B41F9E61-FD44-429F-8ACF-CE8EF85A40C8}" destId="{68099F2D-C0E5-4925-B2D5-105BC4D76F17}" srcOrd="1" destOrd="0" parTransId="{34A8AA37-6692-4685-A400-E2287AECE71C}" sibTransId="{9CA9116E-904A-46CC-A87F-0B439F8E454B}"/>
    <dgm:cxn modelId="{F51C2C95-49A7-449D-A67A-566D80271FD6}" type="presOf" srcId="{DCEC2238-2065-4A97-9A63-395C6CD39661}" destId="{871EB865-F973-4870-BBB6-426DBBB13159}" srcOrd="0" destOrd="0" presId="urn:microsoft.com/office/officeart/2005/8/layout/lProcess2"/>
    <dgm:cxn modelId="{15B8E8BB-CD22-4C63-A5A8-533AEB94B621}" srcId="{015E2488-4643-4DD3-8528-BFF2B2560A82}" destId="{DCEC2238-2065-4A97-9A63-395C6CD39661}" srcOrd="0" destOrd="0" parTransId="{3E41C640-8029-4B14-94EE-75D82334C560}" sibTransId="{B37969F8-C18F-42E5-9025-5E6F4A075C3C}"/>
    <dgm:cxn modelId="{A2ABA2F3-B869-49DF-B76A-33FFBB3F82C6}" type="presOf" srcId="{646223E5-E781-4703-8669-7B6796F33157}" destId="{A9F2DB3F-86F8-4FEA-B781-B4A0BFB3BC07}" srcOrd="0" destOrd="0" presId="urn:microsoft.com/office/officeart/2005/8/layout/lProcess2"/>
    <dgm:cxn modelId="{DFA6BAEF-B3FD-4143-9568-EC4770B3C9A1}" type="presOf" srcId="{FC93A578-9AF8-4B26-B7C5-E0A8309F46D5}" destId="{CAFE0913-FEF7-4D37-8A97-8DB31795C0C6}" srcOrd="0" destOrd="0" presId="urn:microsoft.com/office/officeart/2005/8/layout/lProcess2"/>
    <dgm:cxn modelId="{6B5F04F5-67B6-46E5-BB0C-0D0BF5B1DF55}" srcId="{78869E43-D7E2-4B46-BA03-6EBD685F1978}" destId="{C5D7FFCE-1A72-4834-99B7-747550D77A95}" srcOrd="2" destOrd="0" parTransId="{97021F34-4499-449B-99C0-B4E1C26D7307}" sibTransId="{6C9A78D4-9A91-4074-8E3F-CCFB76D4A906}"/>
    <dgm:cxn modelId="{BB78D75A-AE7B-42D3-A2E1-BF57622BF2F9}" srcId="{78869E43-D7E2-4B46-BA03-6EBD685F1978}" destId="{FE2957FF-794F-42EC-BA17-6A56717ED1C9}" srcOrd="1" destOrd="0" parTransId="{5A0D460F-206C-4191-BAB5-21263269460C}" sibTransId="{3EC51ADA-AE33-4710-8371-683358EB8334}"/>
    <dgm:cxn modelId="{8FA14F84-5E45-4D5F-A7C9-D6ADC976BD92}" type="presOf" srcId="{29222624-E001-4011-BFCD-5BBB4BBFD8B0}" destId="{94911E9F-1394-4D9F-B53E-318D13CF4883}" srcOrd="0" destOrd="0" presId="urn:microsoft.com/office/officeart/2005/8/layout/lProcess2"/>
    <dgm:cxn modelId="{A52DD26C-A848-4D1C-9F68-9C54D17344B6}" srcId="{597576C6-A257-4E43-A8A3-106230EE939E}" destId="{78869E43-D7E2-4B46-BA03-6EBD685F1978}" srcOrd="0" destOrd="0" parTransId="{1CC0F4BE-2C99-400B-8C54-CC32F6F8E5BC}" sibTransId="{F58092D6-2592-44E9-B185-15A9BDF8ACFF}"/>
    <dgm:cxn modelId="{61BEC0CD-972C-4F29-9BCA-84FF8F2B300F}" type="presOf" srcId="{015E2488-4643-4DD3-8528-BFF2B2560A82}" destId="{34A97893-8CE7-433A-AACD-7291DDD41200}" srcOrd="1" destOrd="0" presId="urn:microsoft.com/office/officeart/2005/8/layout/lProcess2"/>
    <dgm:cxn modelId="{A1D32148-F8C4-46A2-8E92-6991FE53E80B}" srcId="{015E2488-4643-4DD3-8528-BFF2B2560A82}" destId="{29222624-E001-4011-BFCD-5BBB4BBFD8B0}" srcOrd="2" destOrd="0" parTransId="{6C02B620-37F1-4CF8-B90D-3053431E2E5B}" sibTransId="{10B42F01-6CE2-4305-9F7A-1095A465DA6B}"/>
    <dgm:cxn modelId="{67987B1C-7061-46AA-BC4C-DCD94D828E45}" srcId="{B41F9E61-FD44-429F-8ACF-CE8EF85A40C8}" destId="{646223E5-E781-4703-8669-7B6796F33157}" srcOrd="2" destOrd="0" parTransId="{5A7366A6-55B5-43DD-9428-D7AA18C8F063}" sibTransId="{05B305A5-381E-463B-8756-F763B6D45F7F}"/>
    <dgm:cxn modelId="{59C31A3C-35C2-46B7-9BB6-26FD82F3853C}" type="presOf" srcId="{597576C6-A257-4E43-A8A3-106230EE939E}" destId="{42A46577-7273-4EF0-A98C-4A805524FDAD}" srcOrd="0" destOrd="0" presId="urn:microsoft.com/office/officeart/2005/8/layout/lProcess2"/>
    <dgm:cxn modelId="{8FE43120-399D-44B5-BAFC-75B68D11138B}" type="presOf" srcId="{78869E43-D7E2-4B46-BA03-6EBD685F1978}" destId="{A266C9B2-2706-47AB-9DBD-E8C4047902C4}" srcOrd="1" destOrd="0" presId="urn:microsoft.com/office/officeart/2005/8/layout/lProcess2"/>
    <dgm:cxn modelId="{CAE4275F-9DDF-4DDB-B047-9A84B82A7FBC}" type="presOf" srcId="{015E2488-4643-4DD3-8528-BFF2B2560A82}" destId="{F31FE95D-A968-4544-8A99-709755F97902}" srcOrd="0" destOrd="0" presId="urn:microsoft.com/office/officeart/2005/8/layout/lProcess2"/>
    <dgm:cxn modelId="{CC3AC36A-30D8-463F-B340-63F1E562EC3C}" srcId="{015E2488-4643-4DD3-8528-BFF2B2560A82}" destId="{3AC8B242-556A-4158-A40A-21C36072BB56}" srcOrd="1" destOrd="0" parTransId="{49FE9CCA-37DB-4153-B659-4E3CDC8AD6E3}" sibTransId="{5746D524-699D-4096-9214-60CBC0BE7AC9}"/>
    <dgm:cxn modelId="{F2B80F52-F07F-4A43-A643-29906D92074E}" type="presOf" srcId="{62656090-C0D7-46BC-B051-9333CFBB6FFD}" destId="{69959339-1B24-49BC-B636-E648705ADA47}" srcOrd="0" destOrd="0" presId="urn:microsoft.com/office/officeart/2005/8/layout/lProcess2"/>
    <dgm:cxn modelId="{AA054CBA-E3BB-4179-9A3B-ECEE7049F50B}" type="presOf" srcId="{78869E43-D7E2-4B46-BA03-6EBD685F1978}" destId="{DA0B29A2-8DC9-426E-B07D-4DECFEFA2741}" srcOrd="0" destOrd="0" presId="urn:microsoft.com/office/officeart/2005/8/layout/lProcess2"/>
    <dgm:cxn modelId="{97025890-34CC-4233-98E6-826C8E973DF5}" type="presOf" srcId="{3AC8B242-556A-4158-A40A-21C36072BB56}" destId="{D15B8B58-CCB5-48AA-9B53-9248EDB16452}" srcOrd="0" destOrd="0" presId="urn:microsoft.com/office/officeart/2005/8/layout/lProcess2"/>
    <dgm:cxn modelId="{A74252CE-51A6-4A1E-B960-ABC2DB8638CD}" type="presOf" srcId="{C5D7FFCE-1A72-4834-99B7-747550D77A95}" destId="{5BB6780E-4094-4D21-BD99-1E78F1A58306}" srcOrd="0" destOrd="0" presId="urn:microsoft.com/office/officeart/2005/8/layout/lProcess2"/>
    <dgm:cxn modelId="{A7D7DF9D-9E89-4188-8B3E-FAAEB1BAA7BF}" type="presOf" srcId="{68099F2D-C0E5-4925-B2D5-105BC4D76F17}" destId="{788747F8-CA7E-4577-B79D-A7B643A55D7A}" srcOrd="0" destOrd="0" presId="urn:microsoft.com/office/officeart/2005/8/layout/lProcess2"/>
    <dgm:cxn modelId="{75F2919C-CDB5-448F-A224-7216922AE5A0}" type="presOf" srcId="{B41F9E61-FD44-429F-8ACF-CE8EF85A40C8}" destId="{18C875F5-9439-4A23-AE00-3EBCDDDC3978}" srcOrd="1" destOrd="0" presId="urn:microsoft.com/office/officeart/2005/8/layout/lProcess2"/>
    <dgm:cxn modelId="{BDABCEB0-2D51-4BBD-80FA-CB045C6E8981}" srcId="{597576C6-A257-4E43-A8A3-106230EE939E}" destId="{B41F9E61-FD44-429F-8ACF-CE8EF85A40C8}" srcOrd="2" destOrd="0" parTransId="{F3EF1807-FFB3-4B3C-B4B5-ABDA3A24BBE5}" sibTransId="{3794299B-7FF4-41E0-8FEE-9FD1D42DD815}"/>
    <dgm:cxn modelId="{C0C3F257-E034-4466-9830-CEADAECA8299}" srcId="{78869E43-D7E2-4B46-BA03-6EBD685F1978}" destId="{62656090-C0D7-46BC-B051-9333CFBB6FFD}" srcOrd="0" destOrd="0" parTransId="{4F53A2B5-E241-48DA-9B34-2E366C5B8BA7}" sibTransId="{956D5DE2-F0F5-4F56-B072-FE19B936C635}"/>
    <dgm:cxn modelId="{E296AF8D-B010-4D11-A900-19D824C230F1}" srcId="{597576C6-A257-4E43-A8A3-106230EE939E}" destId="{015E2488-4643-4DD3-8528-BFF2B2560A82}" srcOrd="1" destOrd="0" parTransId="{3B5BD3B5-83ED-40D4-98D4-286131993CA4}" sibTransId="{228C8743-567B-4C84-BB24-D90E1F312224}"/>
    <dgm:cxn modelId="{EAD31436-B1E6-4FD3-AFDF-E771F09100C5}" srcId="{B41F9E61-FD44-429F-8ACF-CE8EF85A40C8}" destId="{FC93A578-9AF8-4B26-B7C5-E0A8309F46D5}" srcOrd="0" destOrd="0" parTransId="{143FE083-BC1A-47CF-8D97-8D9387EE4238}" sibTransId="{B9C38BDD-FD3E-467E-A073-7D23E98F9201}"/>
    <dgm:cxn modelId="{A63162D0-71D5-4016-A4DD-86A9F30289E8}" type="presOf" srcId="{FE2957FF-794F-42EC-BA17-6A56717ED1C9}" destId="{8BDAC293-9999-4A69-B7FD-8D13BAD5497B}" srcOrd="0" destOrd="0" presId="urn:microsoft.com/office/officeart/2005/8/layout/lProcess2"/>
    <dgm:cxn modelId="{53A2B7A0-EBBB-4818-87BC-84BFBF9B1B25}" type="presParOf" srcId="{42A46577-7273-4EF0-A98C-4A805524FDAD}" destId="{9AB59F75-EE5F-4863-98CB-F05E54DDC086}" srcOrd="0" destOrd="0" presId="urn:microsoft.com/office/officeart/2005/8/layout/lProcess2"/>
    <dgm:cxn modelId="{7DCB23FD-BB3A-4526-9B68-0EF2040E586A}" type="presParOf" srcId="{9AB59F75-EE5F-4863-98CB-F05E54DDC086}" destId="{DA0B29A2-8DC9-426E-B07D-4DECFEFA2741}" srcOrd="0" destOrd="0" presId="urn:microsoft.com/office/officeart/2005/8/layout/lProcess2"/>
    <dgm:cxn modelId="{E9070752-7B3C-4E9A-87F2-5199F6728FC8}" type="presParOf" srcId="{9AB59F75-EE5F-4863-98CB-F05E54DDC086}" destId="{A266C9B2-2706-47AB-9DBD-E8C4047902C4}" srcOrd="1" destOrd="0" presId="urn:microsoft.com/office/officeart/2005/8/layout/lProcess2"/>
    <dgm:cxn modelId="{3A4E2CE4-7BB8-43DF-970A-0B6E6E914BD2}" type="presParOf" srcId="{9AB59F75-EE5F-4863-98CB-F05E54DDC086}" destId="{3524B925-2622-41C4-A106-0D498BD1FDBD}" srcOrd="2" destOrd="0" presId="urn:microsoft.com/office/officeart/2005/8/layout/lProcess2"/>
    <dgm:cxn modelId="{F787E7F8-69B3-49CA-9889-DB703681B400}" type="presParOf" srcId="{3524B925-2622-41C4-A106-0D498BD1FDBD}" destId="{C1254958-77B7-49CE-83FF-3289ABC686E3}" srcOrd="0" destOrd="0" presId="urn:microsoft.com/office/officeart/2005/8/layout/lProcess2"/>
    <dgm:cxn modelId="{858F5A15-F3DF-45AE-BA27-D2F1BA4EE008}" type="presParOf" srcId="{C1254958-77B7-49CE-83FF-3289ABC686E3}" destId="{69959339-1B24-49BC-B636-E648705ADA47}" srcOrd="0" destOrd="0" presId="urn:microsoft.com/office/officeart/2005/8/layout/lProcess2"/>
    <dgm:cxn modelId="{BD09D165-4559-4DC6-83DB-E14527D279FC}" type="presParOf" srcId="{C1254958-77B7-49CE-83FF-3289ABC686E3}" destId="{6159596E-60F5-4959-83AF-984BAE6BC680}" srcOrd="1" destOrd="0" presId="urn:microsoft.com/office/officeart/2005/8/layout/lProcess2"/>
    <dgm:cxn modelId="{D5D6754B-C743-4312-A229-FF8098C4653E}" type="presParOf" srcId="{C1254958-77B7-49CE-83FF-3289ABC686E3}" destId="{8BDAC293-9999-4A69-B7FD-8D13BAD5497B}" srcOrd="2" destOrd="0" presId="urn:microsoft.com/office/officeart/2005/8/layout/lProcess2"/>
    <dgm:cxn modelId="{E37F34B7-53FF-43A9-878B-48105964A954}" type="presParOf" srcId="{C1254958-77B7-49CE-83FF-3289ABC686E3}" destId="{D5B9F664-FB1F-4231-BAEB-1CE572CCC09A}" srcOrd="3" destOrd="0" presId="urn:microsoft.com/office/officeart/2005/8/layout/lProcess2"/>
    <dgm:cxn modelId="{1089B650-39DB-4CFF-A3A7-FDCC130F4AF5}" type="presParOf" srcId="{C1254958-77B7-49CE-83FF-3289ABC686E3}" destId="{5BB6780E-4094-4D21-BD99-1E78F1A58306}" srcOrd="4" destOrd="0" presId="urn:microsoft.com/office/officeart/2005/8/layout/lProcess2"/>
    <dgm:cxn modelId="{4ABB8CC4-C687-43B8-9F68-A57FCA6770B0}" type="presParOf" srcId="{42A46577-7273-4EF0-A98C-4A805524FDAD}" destId="{F8B1D493-3D1A-4735-89C5-6A0C80B9E536}" srcOrd="1" destOrd="0" presId="urn:microsoft.com/office/officeart/2005/8/layout/lProcess2"/>
    <dgm:cxn modelId="{367AD31F-2489-453A-92CA-0F47993D75F9}" type="presParOf" srcId="{42A46577-7273-4EF0-A98C-4A805524FDAD}" destId="{266C88DC-262E-498C-9A6A-3016DD22270C}" srcOrd="2" destOrd="0" presId="urn:microsoft.com/office/officeart/2005/8/layout/lProcess2"/>
    <dgm:cxn modelId="{43D7A8C7-6F95-481F-AA4F-601E6E76CBF8}" type="presParOf" srcId="{266C88DC-262E-498C-9A6A-3016DD22270C}" destId="{F31FE95D-A968-4544-8A99-709755F97902}" srcOrd="0" destOrd="0" presId="urn:microsoft.com/office/officeart/2005/8/layout/lProcess2"/>
    <dgm:cxn modelId="{BDCF0EBF-B548-46C8-854B-89B3450BB9E5}" type="presParOf" srcId="{266C88DC-262E-498C-9A6A-3016DD22270C}" destId="{34A97893-8CE7-433A-AACD-7291DDD41200}" srcOrd="1" destOrd="0" presId="urn:microsoft.com/office/officeart/2005/8/layout/lProcess2"/>
    <dgm:cxn modelId="{D50AF2B2-0A90-4F65-995C-2A10A2C9302C}" type="presParOf" srcId="{266C88DC-262E-498C-9A6A-3016DD22270C}" destId="{FE65B176-C493-4FFA-857A-D8072FB46B19}" srcOrd="2" destOrd="0" presId="urn:microsoft.com/office/officeart/2005/8/layout/lProcess2"/>
    <dgm:cxn modelId="{D13B7C0B-165B-4865-B102-4F016ED40116}" type="presParOf" srcId="{FE65B176-C493-4FFA-857A-D8072FB46B19}" destId="{7D74AAE6-4155-4B9E-A30D-44A61FE1BFC5}" srcOrd="0" destOrd="0" presId="urn:microsoft.com/office/officeart/2005/8/layout/lProcess2"/>
    <dgm:cxn modelId="{BB1C1657-5F1F-4027-99A7-ACB6679E028E}" type="presParOf" srcId="{7D74AAE6-4155-4B9E-A30D-44A61FE1BFC5}" destId="{871EB865-F973-4870-BBB6-426DBBB13159}" srcOrd="0" destOrd="0" presId="urn:microsoft.com/office/officeart/2005/8/layout/lProcess2"/>
    <dgm:cxn modelId="{BE03EE90-60BB-4E0B-8651-CF05E3D67A1A}" type="presParOf" srcId="{7D74AAE6-4155-4B9E-A30D-44A61FE1BFC5}" destId="{F073EB3E-95BF-4A61-98CD-2ECEA8A1C876}" srcOrd="1" destOrd="0" presId="urn:microsoft.com/office/officeart/2005/8/layout/lProcess2"/>
    <dgm:cxn modelId="{E9B39F2D-A3A5-462D-A5EF-3CFC8E2BFC67}" type="presParOf" srcId="{7D74AAE6-4155-4B9E-A30D-44A61FE1BFC5}" destId="{D15B8B58-CCB5-48AA-9B53-9248EDB16452}" srcOrd="2" destOrd="0" presId="urn:microsoft.com/office/officeart/2005/8/layout/lProcess2"/>
    <dgm:cxn modelId="{5232D89C-4F6E-4757-97DF-855A933A0A18}" type="presParOf" srcId="{7D74AAE6-4155-4B9E-A30D-44A61FE1BFC5}" destId="{B8F79CE5-6FF1-4AE9-9332-B2583535C54E}" srcOrd="3" destOrd="0" presId="urn:microsoft.com/office/officeart/2005/8/layout/lProcess2"/>
    <dgm:cxn modelId="{082DB103-A8AF-48F6-91B0-77116F367A26}" type="presParOf" srcId="{7D74AAE6-4155-4B9E-A30D-44A61FE1BFC5}" destId="{94911E9F-1394-4D9F-B53E-318D13CF4883}" srcOrd="4" destOrd="0" presId="urn:microsoft.com/office/officeart/2005/8/layout/lProcess2"/>
    <dgm:cxn modelId="{E5E5ECD5-5585-4594-8B72-2E1A3572E98B}" type="presParOf" srcId="{42A46577-7273-4EF0-A98C-4A805524FDAD}" destId="{9E2E2881-A4BC-4BF3-A6F2-1226CF732C41}" srcOrd="3" destOrd="0" presId="urn:microsoft.com/office/officeart/2005/8/layout/lProcess2"/>
    <dgm:cxn modelId="{5B14E69A-8EC5-4924-97D8-5B483D5889DE}" type="presParOf" srcId="{42A46577-7273-4EF0-A98C-4A805524FDAD}" destId="{02D9FAA8-E20E-4E38-95D2-E2BE051DE81E}" srcOrd="4" destOrd="0" presId="urn:microsoft.com/office/officeart/2005/8/layout/lProcess2"/>
    <dgm:cxn modelId="{B41499EC-9193-4661-B5EE-1E9E713664F5}" type="presParOf" srcId="{02D9FAA8-E20E-4E38-95D2-E2BE051DE81E}" destId="{6C3E5433-A8EF-4708-9E77-92F7C8C325E5}" srcOrd="0" destOrd="0" presId="urn:microsoft.com/office/officeart/2005/8/layout/lProcess2"/>
    <dgm:cxn modelId="{322B73CD-3B95-479D-9745-FA571CAB09BB}" type="presParOf" srcId="{02D9FAA8-E20E-4E38-95D2-E2BE051DE81E}" destId="{18C875F5-9439-4A23-AE00-3EBCDDDC3978}" srcOrd="1" destOrd="0" presId="urn:microsoft.com/office/officeart/2005/8/layout/lProcess2"/>
    <dgm:cxn modelId="{BC1F8B11-5C78-43B0-92C0-8955E69CCC77}" type="presParOf" srcId="{02D9FAA8-E20E-4E38-95D2-E2BE051DE81E}" destId="{BC4CC9DB-B3E1-4FDC-BE6F-4FA15683C518}" srcOrd="2" destOrd="0" presId="urn:microsoft.com/office/officeart/2005/8/layout/lProcess2"/>
    <dgm:cxn modelId="{E8E5E4F9-E547-4BDF-9882-7A4CFC22BDDF}" type="presParOf" srcId="{BC4CC9DB-B3E1-4FDC-BE6F-4FA15683C518}" destId="{8B190FAC-8D1F-4D92-9A4F-3332C411ACD6}" srcOrd="0" destOrd="0" presId="urn:microsoft.com/office/officeart/2005/8/layout/lProcess2"/>
    <dgm:cxn modelId="{EA71E050-3B9B-4CE5-BA44-9B89525ECAB9}" type="presParOf" srcId="{8B190FAC-8D1F-4D92-9A4F-3332C411ACD6}" destId="{CAFE0913-FEF7-4D37-8A97-8DB31795C0C6}" srcOrd="0" destOrd="0" presId="urn:microsoft.com/office/officeart/2005/8/layout/lProcess2"/>
    <dgm:cxn modelId="{25EFBB76-331E-4F24-98DC-7A2F69C1E0C0}" type="presParOf" srcId="{8B190FAC-8D1F-4D92-9A4F-3332C411ACD6}" destId="{9B1DD79E-4C01-4170-A7C7-FA7E484CD7C2}" srcOrd="1" destOrd="0" presId="urn:microsoft.com/office/officeart/2005/8/layout/lProcess2"/>
    <dgm:cxn modelId="{E55359C4-1FA5-4393-BAAF-690812A38D5F}" type="presParOf" srcId="{8B190FAC-8D1F-4D92-9A4F-3332C411ACD6}" destId="{788747F8-CA7E-4577-B79D-A7B643A55D7A}" srcOrd="2" destOrd="0" presId="urn:microsoft.com/office/officeart/2005/8/layout/lProcess2"/>
    <dgm:cxn modelId="{D6FAC25D-CA61-4F0A-A667-FD812D5B5EA3}" type="presParOf" srcId="{8B190FAC-8D1F-4D92-9A4F-3332C411ACD6}" destId="{D3E03673-0435-4297-9D49-A008454155CA}" srcOrd="3" destOrd="0" presId="urn:microsoft.com/office/officeart/2005/8/layout/lProcess2"/>
    <dgm:cxn modelId="{A9CB99B1-831A-49AD-B0F8-AC6D0B1C9CBA}" type="presParOf" srcId="{8B190FAC-8D1F-4D92-9A4F-3332C411ACD6}" destId="{A9F2DB3F-86F8-4FEA-B781-B4A0BFB3BC07}" srcOrd="4" destOrd="0" presId="urn:microsoft.com/office/officeart/2005/8/layout/lProcess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0B29A2-8DC9-426E-B07D-4DECFEFA2741}">
      <dsp:nvSpPr>
        <dsp:cNvPr id="0" name=""/>
        <dsp:cNvSpPr/>
      </dsp:nvSpPr>
      <dsp:spPr>
        <a:xfrm>
          <a:off x="732" y="0"/>
          <a:ext cx="1904677" cy="4316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ctr" defTabSz="2889250">
            <a:lnSpc>
              <a:spcPct val="90000"/>
            </a:lnSpc>
            <a:spcBef>
              <a:spcPct val="0"/>
            </a:spcBef>
            <a:spcAft>
              <a:spcPct val="35000"/>
            </a:spcAft>
          </a:pPr>
          <a:r>
            <a:rPr lang="fr-CA" kern="1200">
              <a:latin typeface="+mj-lt"/>
            </a:rPr>
            <a:t>Gens et processus</a:t>
          </a:r>
          <a:endParaRPr lang="en-CA" sz="2000" kern="1200" dirty="0">
            <a:latin typeface="+mj-lt"/>
          </a:endParaRPr>
        </a:p>
      </dsp:txBody>
      <dsp:txXfrm>
        <a:off x="732" y="0"/>
        <a:ext cx="1904677" cy="1294920"/>
      </dsp:txXfrm>
    </dsp:sp>
    <dsp:sp modelId="{69959339-1B24-49BC-B636-E648705ADA47}">
      <dsp:nvSpPr>
        <dsp:cNvPr id="0" name=""/>
        <dsp:cNvSpPr/>
      </dsp:nvSpPr>
      <dsp:spPr>
        <a:xfrm>
          <a:off x="200815" y="1063762"/>
          <a:ext cx="1523742" cy="8479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fr-CA" sz="800" kern="1200">
              <a:latin typeface="+mj-lt"/>
            </a:rPr>
            <a:t>Plus de latitude pour les gestionnaires responsables de l’embauche</a:t>
          </a:r>
        </a:p>
        <a:p>
          <a:pPr lvl="0" algn="ctr" defTabSz="355600">
            <a:lnSpc>
              <a:spcPct val="90000"/>
            </a:lnSpc>
            <a:spcBef>
              <a:spcPct val="0"/>
            </a:spcBef>
            <a:spcAft>
              <a:spcPct val="35000"/>
            </a:spcAft>
          </a:pPr>
          <a:r>
            <a:rPr lang="fr-CA" sz="800" i="1" kern="1200" dirty="0" smtClean="0">
              <a:latin typeface="+mj-lt"/>
            </a:rPr>
            <a:t>(Nouvelle orientation en matière de dotation)</a:t>
          </a:r>
          <a:endParaRPr lang="en-CA" sz="800" i="1" kern="1200" dirty="0">
            <a:latin typeface="+mj-lt"/>
          </a:endParaRPr>
        </a:p>
      </dsp:txBody>
      <dsp:txXfrm>
        <a:off x="225652" y="1088599"/>
        <a:ext cx="1474068" cy="798325"/>
      </dsp:txXfrm>
    </dsp:sp>
    <dsp:sp modelId="{8BDAC293-9999-4A69-B7FD-8D13BAD5497B}">
      <dsp:nvSpPr>
        <dsp:cNvPr id="0" name=""/>
        <dsp:cNvSpPr/>
      </dsp:nvSpPr>
      <dsp:spPr>
        <a:xfrm>
          <a:off x="181585" y="2042223"/>
          <a:ext cx="1523742" cy="8479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fr-CA" sz="800" kern="1200">
              <a:latin typeface="+mj-lt"/>
            </a:rPr>
            <a:t>Utilisation de données pour améliorer les programmes et les services</a:t>
          </a:r>
        </a:p>
        <a:p>
          <a:pPr lvl="0" algn="ctr" defTabSz="355600">
            <a:lnSpc>
              <a:spcPct val="90000"/>
            </a:lnSpc>
            <a:spcBef>
              <a:spcPct val="0"/>
            </a:spcBef>
            <a:spcAft>
              <a:spcPct val="35000"/>
            </a:spcAft>
          </a:pPr>
          <a:r>
            <a:rPr lang="fr-CA" sz="800" i="1" kern="1200" dirty="0" smtClean="0">
              <a:latin typeface="+mj-lt"/>
            </a:rPr>
            <a:t>(Directives sur les résultats</a:t>
          </a:r>
          <a:r>
            <a:rPr lang="fr-CA" sz="800" kern="1200">
              <a:latin typeface="+mj-lt"/>
            </a:rPr>
            <a:t> du GC</a:t>
          </a:r>
          <a:r>
            <a:rPr lang="fr-CA" sz="800" b="0" i="1" kern="1200" dirty="0" smtClean="0">
              <a:latin typeface="+mj-lt"/>
            </a:rPr>
            <a:t>)</a:t>
          </a:r>
          <a:endParaRPr lang="en-CA" sz="800" i="1" kern="1200" dirty="0">
            <a:latin typeface="+mj-lt"/>
          </a:endParaRPr>
        </a:p>
      </dsp:txBody>
      <dsp:txXfrm>
        <a:off x="206422" y="2067060"/>
        <a:ext cx="1474068" cy="798325"/>
      </dsp:txXfrm>
    </dsp:sp>
    <dsp:sp modelId="{5BB6780E-4094-4D21-BD99-1E78F1A58306}">
      <dsp:nvSpPr>
        <dsp:cNvPr id="0" name=""/>
        <dsp:cNvSpPr/>
      </dsp:nvSpPr>
      <dsp:spPr>
        <a:xfrm>
          <a:off x="171970" y="3047923"/>
          <a:ext cx="1523742" cy="8479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fr-CA" sz="800" kern="1200">
              <a:latin typeface="+mj-lt"/>
            </a:rPr>
            <a:t>Renouvellement et diversité de la fonction publique</a:t>
          </a:r>
        </a:p>
        <a:p>
          <a:pPr lvl="0" algn="ctr" defTabSz="355600">
            <a:lnSpc>
              <a:spcPct val="90000"/>
            </a:lnSpc>
            <a:spcBef>
              <a:spcPct val="0"/>
            </a:spcBef>
            <a:spcAft>
              <a:spcPct val="35000"/>
            </a:spcAft>
          </a:pPr>
          <a:r>
            <a:rPr lang="fr-CA" sz="800" i="1" kern="1200" dirty="0" smtClean="0">
              <a:latin typeface="+mj-lt"/>
            </a:rPr>
            <a:t>(Objectif 2020)</a:t>
          </a:r>
        </a:p>
      </dsp:txBody>
      <dsp:txXfrm>
        <a:off x="196807" y="3072760"/>
        <a:ext cx="1474068" cy="798325"/>
      </dsp:txXfrm>
    </dsp:sp>
    <dsp:sp modelId="{F31FE95D-A968-4544-8A99-709755F97902}">
      <dsp:nvSpPr>
        <dsp:cNvPr id="0" name=""/>
        <dsp:cNvSpPr/>
      </dsp:nvSpPr>
      <dsp:spPr>
        <a:xfrm>
          <a:off x="2048261" y="0"/>
          <a:ext cx="1904677" cy="4316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ctr" defTabSz="2889250">
            <a:lnSpc>
              <a:spcPct val="90000"/>
            </a:lnSpc>
            <a:spcBef>
              <a:spcPct val="0"/>
            </a:spcBef>
            <a:spcAft>
              <a:spcPct val="35000"/>
            </a:spcAft>
          </a:pPr>
          <a:r>
            <a:rPr lang="fr-CA" kern="1200">
              <a:latin typeface="+mj-lt"/>
            </a:rPr>
            <a:t>Technologie</a:t>
          </a:r>
          <a:endParaRPr lang="en-CA" sz="2000" kern="1200" dirty="0">
            <a:latin typeface="+mj-lt"/>
          </a:endParaRPr>
        </a:p>
      </dsp:txBody>
      <dsp:txXfrm>
        <a:off x="2048261" y="0"/>
        <a:ext cx="1904677" cy="1294920"/>
      </dsp:txXfrm>
    </dsp:sp>
    <dsp:sp modelId="{871EB865-F973-4870-BBB6-426DBBB13159}">
      <dsp:nvSpPr>
        <dsp:cNvPr id="0" name=""/>
        <dsp:cNvSpPr/>
      </dsp:nvSpPr>
      <dsp:spPr>
        <a:xfrm>
          <a:off x="2231163" y="1082773"/>
          <a:ext cx="1522690" cy="97703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fr-CA" sz="800" kern="1200">
              <a:latin typeface="+mj-lt"/>
            </a:rPr>
            <a:t>Importance accordée à l’échelle du gouvernement à la mise en place d’une infrastructure pour l’échange collaboratif de données </a:t>
          </a:r>
          <a:r>
            <a:rPr lang="fr-CA" sz="800" i="1" kern="1200" dirty="0" smtClean="0">
              <a:latin typeface="+mj-lt"/>
            </a:rPr>
            <a:t>(Cadre du GC pour relever des défis stratégiques canadiens avec des données)</a:t>
          </a:r>
          <a:endParaRPr lang="en-CA" sz="800" i="1" kern="1200" dirty="0">
            <a:latin typeface="+mj-lt"/>
          </a:endParaRPr>
        </a:p>
      </dsp:txBody>
      <dsp:txXfrm>
        <a:off x="2259779" y="1111389"/>
        <a:ext cx="1465458" cy="919805"/>
      </dsp:txXfrm>
    </dsp:sp>
    <dsp:sp modelId="{D15B8B58-CCB5-48AA-9B53-9248EDB16452}">
      <dsp:nvSpPr>
        <dsp:cNvPr id="0" name=""/>
        <dsp:cNvSpPr/>
      </dsp:nvSpPr>
      <dsp:spPr>
        <a:xfrm>
          <a:off x="2222531" y="2254751"/>
          <a:ext cx="1523742" cy="8656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fr-CA" sz="800" kern="1200">
              <a:latin typeface="+mj-lt"/>
            </a:rPr>
            <a:t>Connectivité et interopérabilité afin de faciliter l’analyse de « mégadonnées  ».</a:t>
          </a:r>
        </a:p>
        <a:p>
          <a:pPr lvl="0" algn="ctr" defTabSz="355600">
            <a:lnSpc>
              <a:spcPct val="90000"/>
            </a:lnSpc>
            <a:spcBef>
              <a:spcPct val="0"/>
            </a:spcBef>
            <a:spcAft>
              <a:spcPct val="35000"/>
            </a:spcAft>
          </a:pPr>
          <a:r>
            <a:rPr lang="fr-CA" sz="800" i="1" kern="1200" dirty="0" smtClean="0">
              <a:latin typeface="+mj-lt"/>
            </a:rPr>
            <a:t>(Plan stratégique de TI du GC 2017-2021)</a:t>
          </a:r>
          <a:endParaRPr lang="en-CA" sz="800" i="1" kern="1200" dirty="0">
            <a:latin typeface="+mj-lt"/>
          </a:endParaRPr>
        </a:p>
      </dsp:txBody>
      <dsp:txXfrm>
        <a:off x="2247885" y="2280105"/>
        <a:ext cx="1473034" cy="814936"/>
      </dsp:txXfrm>
    </dsp:sp>
    <dsp:sp modelId="{94911E9F-1394-4D9F-B53E-318D13CF4883}">
      <dsp:nvSpPr>
        <dsp:cNvPr id="0" name=""/>
        <dsp:cNvSpPr/>
      </dsp:nvSpPr>
      <dsp:spPr>
        <a:xfrm>
          <a:off x="2222531" y="3207993"/>
          <a:ext cx="1523742" cy="8270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fr-CA" sz="800" kern="1200">
              <a:latin typeface="+mj-lt"/>
            </a:rPr>
            <a:t> Protection de la confidentialité des données et sécurité contre les cyberattaques</a:t>
          </a:r>
        </a:p>
        <a:p>
          <a:pPr lvl="0" algn="ctr" defTabSz="355600">
            <a:lnSpc>
              <a:spcPct val="90000"/>
            </a:lnSpc>
            <a:spcBef>
              <a:spcPct val="0"/>
            </a:spcBef>
            <a:spcAft>
              <a:spcPct val="35000"/>
            </a:spcAft>
          </a:pPr>
          <a:r>
            <a:rPr lang="fr-CA" sz="800" i="1" kern="1200" dirty="0" smtClean="0">
              <a:latin typeface="+mj-lt"/>
            </a:rPr>
            <a:t>(Plan stratégique de TI du GC 2017-2021)</a:t>
          </a:r>
          <a:endParaRPr lang="en-CA" sz="800" i="1" kern="1200" dirty="0">
            <a:latin typeface="+mj-lt"/>
          </a:endParaRPr>
        </a:p>
      </dsp:txBody>
      <dsp:txXfrm>
        <a:off x="2246753" y="3232215"/>
        <a:ext cx="1475298" cy="778567"/>
      </dsp:txXfrm>
    </dsp:sp>
    <dsp:sp modelId="{6C3E5433-A8EF-4708-9E77-92F7C8C325E5}">
      <dsp:nvSpPr>
        <dsp:cNvPr id="0" name=""/>
        <dsp:cNvSpPr/>
      </dsp:nvSpPr>
      <dsp:spPr>
        <a:xfrm>
          <a:off x="4096522" y="0"/>
          <a:ext cx="1904677" cy="4316400"/>
        </a:xfrm>
        <a:prstGeom prst="roundRect">
          <a:avLst>
            <a:gd name="adj" fmla="val 10000"/>
          </a:avLst>
        </a:prstGeom>
        <a:solidFill>
          <a:srgbClr val="CBE2DD"/>
        </a:solidFill>
        <a:ln>
          <a:noFill/>
        </a:ln>
        <a:effectLst/>
      </dsp:spPr>
      <dsp:style>
        <a:lnRef idx="0">
          <a:scrgbClr r="0" g="0" b="0"/>
        </a:lnRef>
        <a:fillRef idx="1">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ctr" defTabSz="2889250">
            <a:lnSpc>
              <a:spcPct val="90000"/>
            </a:lnSpc>
            <a:spcBef>
              <a:spcPct val="0"/>
            </a:spcBef>
            <a:spcAft>
              <a:spcPct val="35000"/>
            </a:spcAft>
          </a:pPr>
          <a:r>
            <a:rPr lang="fr-CA" kern="1200">
              <a:latin typeface="+mj-lt"/>
            </a:rPr>
            <a:t>Données</a:t>
          </a:r>
          <a:endParaRPr lang="en-CA" sz="2000" kern="1200" dirty="0">
            <a:latin typeface="+mj-lt"/>
          </a:endParaRPr>
        </a:p>
      </dsp:txBody>
      <dsp:txXfrm>
        <a:off x="4096522" y="0"/>
        <a:ext cx="1904677" cy="1294920"/>
      </dsp:txXfrm>
    </dsp:sp>
    <dsp:sp modelId="{CAFE0913-FEF7-4D37-8A97-8DB31795C0C6}">
      <dsp:nvSpPr>
        <dsp:cNvPr id="0" name=""/>
        <dsp:cNvSpPr/>
      </dsp:nvSpPr>
      <dsp:spPr>
        <a:xfrm>
          <a:off x="4253862" y="1109614"/>
          <a:ext cx="1523742" cy="8479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fr-CA" sz="800" kern="1200">
              <a:latin typeface="+mj-lt"/>
            </a:rPr>
            <a:t>Structures de gouvernance et mécanismes pour gérer des fonds de renseignements</a:t>
          </a:r>
        </a:p>
        <a:p>
          <a:pPr lvl="0" algn="ctr" defTabSz="355600">
            <a:lnSpc>
              <a:spcPct val="90000"/>
            </a:lnSpc>
            <a:spcBef>
              <a:spcPct val="0"/>
            </a:spcBef>
            <a:spcAft>
              <a:spcPct val="35000"/>
            </a:spcAft>
          </a:pPr>
          <a:r>
            <a:rPr lang="fr-CA" sz="800" i="1" kern="1200" dirty="0" smtClean="0">
              <a:latin typeface="+mj-lt"/>
            </a:rPr>
            <a:t>(Politique sur la gestion de l’information du GC)</a:t>
          </a:r>
        </a:p>
      </dsp:txBody>
      <dsp:txXfrm>
        <a:off x="4278699" y="1134451"/>
        <a:ext cx="1474068" cy="798325"/>
      </dsp:txXfrm>
    </dsp:sp>
    <dsp:sp modelId="{788747F8-CA7E-4577-B79D-A7B643A55D7A}">
      <dsp:nvSpPr>
        <dsp:cNvPr id="0" name=""/>
        <dsp:cNvSpPr/>
      </dsp:nvSpPr>
      <dsp:spPr>
        <a:xfrm>
          <a:off x="4286257" y="2232893"/>
          <a:ext cx="1523742" cy="8479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fr-CA" sz="800" kern="1200">
              <a:latin typeface="+mj-lt"/>
            </a:rPr>
            <a:t>Utilisation des données de grande qualité du gouvernement pour éclairer la prise de décisions</a:t>
          </a:r>
        </a:p>
        <a:p>
          <a:pPr lvl="0" algn="ctr" defTabSz="355600">
            <a:lnSpc>
              <a:spcPct val="90000"/>
            </a:lnSpc>
            <a:spcBef>
              <a:spcPct val="0"/>
            </a:spcBef>
            <a:spcAft>
              <a:spcPct val="35000"/>
            </a:spcAft>
          </a:pPr>
          <a:r>
            <a:rPr lang="fr-CA" sz="800" i="1" kern="1200" dirty="0" smtClean="0">
              <a:latin typeface="+mj-lt"/>
            </a:rPr>
            <a:t>(Plan stratégique de TI du GC 2017-2021)</a:t>
          </a:r>
          <a:endParaRPr lang="en-US" sz="800" i="1" kern="1200" dirty="0" smtClean="0">
            <a:latin typeface="+mj-lt"/>
          </a:endParaRPr>
        </a:p>
      </dsp:txBody>
      <dsp:txXfrm>
        <a:off x="4311094" y="2257730"/>
        <a:ext cx="1474068" cy="798325"/>
      </dsp:txXfrm>
    </dsp:sp>
    <dsp:sp modelId="{A9F2DB3F-86F8-4FEA-B781-B4A0BFB3BC07}">
      <dsp:nvSpPr>
        <dsp:cNvPr id="0" name=""/>
        <dsp:cNvSpPr/>
      </dsp:nvSpPr>
      <dsp:spPr>
        <a:xfrm>
          <a:off x="4286257" y="3252211"/>
          <a:ext cx="1523742" cy="8479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fr-CA" sz="800" kern="1200">
              <a:latin typeface="+mj-lt"/>
            </a:rPr>
            <a:t>Rendre les ressources d’information plus accessibles aux Canadiens</a:t>
          </a:r>
        </a:p>
        <a:p>
          <a:pPr lvl="0" algn="ctr" defTabSz="355600">
            <a:lnSpc>
              <a:spcPct val="90000"/>
            </a:lnSpc>
            <a:spcBef>
              <a:spcPct val="0"/>
            </a:spcBef>
            <a:spcAft>
              <a:spcPct val="35000"/>
            </a:spcAft>
          </a:pPr>
          <a:r>
            <a:rPr lang="fr-CA" sz="800" i="1" kern="1200" dirty="0" smtClean="0">
              <a:latin typeface="+mj-lt"/>
            </a:rPr>
            <a:t>(Directive du gouvernement ouvert du GC)</a:t>
          </a:r>
          <a:endParaRPr lang="en-CA" sz="800" i="1" kern="1200" dirty="0">
            <a:latin typeface="+mj-lt"/>
          </a:endParaRPr>
        </a:p>
      </dsp:txBody>
      <dsp:txXfrm>
        <a:off x="4311094" y="3277048"/>
        <a:ext cx="1474068" cy="79832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me_CFP-PSC_2014">
  <a:themeElements>
    <a:clrScheme name="CFP-PSC 2014">
      <a:dk1>
        <a:srgbClr val="3C3C3B"/>
      </a:dk1>
      <a:lt1>
        <a:sysClr val="window" lastClr="FFFFFF"/>
      </a:lt1>
      <a:dk2>
        <a:srgbClr val="777877"/>
      </a:dk2>
      <a:lt2>
        <a:srgbClr val="FFFFFF"/>
      </a:lt2>
      <a:accent1>
        <a:srgbClr val="00A995"/>
      </a:accent1>
      <a:accent2>
        <a:srgbClr val="9ACA3C"/>
      </a:accent2>
      <a:accent3>
        <a:srgbClr val="3FAF9A"/>
      </a:accent3>
      <a:accent4>
        <a:srgbClr val="A1D554"/>
      </a:accent4>
      <a:accent5>
        <a:srgbClr val="79CCBE"/>
      </a:accent5>
      <a:accent6>
        <a:srgbClr val="C2E58E"/>
      </a:accent6>
      <a:hlink>
        <a:srgbClr val="2B9D83"/>
      </a:hlink>
      <a:folHlink>
        <a:srgbClr val="94D547"/>
      </a:folHlink>
    </a:clrScheme>
    <a:fontScheme name="Arial, Georgia">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w="19050">
          <a:solidFill>
            <a:sysClr val="windowText" lastClr="000000"/>
          </a:solidFill>
        </a:ln>
      </a:spPr>
      <a:bodyPr wrap="square" rtlCol="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2018-05-04T00:00:00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8711A7-5599-43E5-840E-543330C03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20</Pages>
  <Words>5839</Words>
  <Characters>33284</Characters>
  <Application>Microsoft Office Word</Application>
  <DocSecurity>0</DocSecurity>
  <Lines>277</Lines>
  <Paragraphs>78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Data Services and Analysis Directorate</vt:lpstr>
      <vt:lpstr>Data Services and Analysis Directorate</vt:lpstr>
    </vt:vector>
  </TitlesOfParts>
  <Company>PSC-CFP</Company>
  <LinksUpToDate>false</LinksUpToDate>
  <CharactersWithSpaces>39045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Services and Analysis Directorate</dc:title>
  <dc:subject>Stratégie de gestion des données de la Commission de la fonction publique : composantes et catalyseurs</dc:subject>
  <dc:creator>SSDDI-RDIMMS#;Claudia.Lozano@cfp-psc.gc.ca</dc:creator>
  <cp:lastModifiedBy>Wafa Hassainya</cp:lastModifiedBy>
  <cp:revision>3</cp:revision>
  <cp:lastPrinted>2019-04-26T12:19:00Z</cp:lastPrinted>
  <dcterms:created xsi:type="dcterms:W3CDTF">2019-04-26T15:00:00Z</dcterms:created>
  <dcterms:modified xsi:type="dcterms:W3CDTF">2019-04-26T15:16:00Z</dcterms:modified>
</cp:coreProperties>
</file>