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298A7" w14:textId="0CE6831F" w:rsidR="00EE29DA" w:rsidRPr="00972008" w:rsidRDefault="004177D2" w:rsidP="00FB0B19">
      <w:pPr>
        <w:pStyle w:val="Heading1"/>
        <w:rPr>
          <w:rFonts w:ascii="Arial" w:hAnsi="Arial" w:cs="Arial"/>
          <w:b/>
          <w:bCs/>
          <w:color w:val="auto"/>
          <w:sz w:val="28"/>
          <w:szCs w:val="28"/>
          <w:lang w:val="fr-CA"/>
        </w:rPr>
      </w:pPr>
      <w:r w:rsidRPr="00972008">
        <w:rPr>
          <w:rFonts w:ascii="Arial" w:hAnsi="Arial" w:cs="Arial"/>
          <w:b/>
          <w:bCs/>
          <w:color w:val="auto"/>
          <w:sz w:val="28"/>
          <w:szCs w:val="28"/>
          <w:lang w:val="fr-CA"/>
        </w:rPr>
        <w:t>La</w:t>
      </w:r>
      <w:r w:rsidR="00377C5C" w:rsidRPr="00972008">
        <w:rPr>
          <w:rFonts w:ascii="Arial" w:hAnsi="Arial" w:cs="Arial"/>
          <w:b/>
          <w:bCs/>
          <w:color w:val="auto"/>
          <w:sz w:val="28"/>
          <w:szCs w:val="28"/>
          <w:lang w:val="fr-CA"/>
        </w:rPr>
        <w:t xml:space="preserve"> Commission de la fonction publique</w:t>
      </w:r>
      <w:r w:rsidR="00E13E79" w:rsidRPr="00972008">
        <w:rPr>
          <w:rFonts w:ascii="Arial" w:hAnsi="Arial" w:cs="Arial"/>
          <w:b/>
          <w:bCs/>
          <w:color w:val="auto"/>
          <w:sz w:val="28"/>
          <w:szCs w:val="28"/>
          <w:lang w:val="fr-CA"/>
        </w:rPr>
        <w:t xml:space="preserve"> (CFP) </w:t>
      </w:r>
      <w:r w:rsidRPr="00972008">
        <w:rPr>
          <w:rFonts w:ascii="Arial" w:hAnsi="Arial" w:cs="Arial"/>
          <w:b/>
          <w:bCs/>
          <w:color w:val="auto"/>
          <w:sz w:val="28"/>
          <w:szCs w:val="28"/>
          <w:lang w:val="fr-CA"/>
        </w:rPr>
        <w:t>les indicateurs du cadre ministériel des résultats </w:t>
      </w:r>
      <w:r w:rsidR="00377C5C" w:rsidRPr="00972008">
        <w:rPr>
          <w:rFonts w:ascii="Arial" w:hAnsi="Arial" w:cs="Arial"/>
          <w:b/>
          <w:bCs/>
          <w:color w:val="auto"/>
          <w:sz w:val="28"/>
          <w:szCs w:val="28"/>
          <w:lang w:val="fr-CA"/>
        </w:rPr>
        <w:t>: Documentation à l'appui</w:t>
      </w:r>
    </w:p>
    <w:p w14:paraId="4A2CD9AA" w14:textId="77777777" w:rsidR="007405A8" w:rsidRPr="00972008" w:rsidRDefault="007405A8" w:rsidP="007405A8">
      <w:pPr>
        <w:rPr>
          <w:rFonts w:cs="Arial"/>
          <w:lang w:val="fr-CA"/>
        </w:rPr>
      </w:pPr>
    </w:p>
    <w:p w14:paraId="39469378" w14:textId="03540ABE" w:rsidR="007405A8" w:rsidRPr="00972008" w:rsidRDefault="007405A8" w:rsidP="007405A8">
      <w:pPr>
        <w:rPr>
          <w:rFonts w:cs="Arial"/>
          <w:lang w:val="fr-CA"/>
        </w:rPr>
      </w:pPr>
      <w:r w:rsidRPr="00972008">
        <w:rPr>
          <w:rFonts w:cs="Arial"/>
          <w:lang w:val="fr-CA"/>
        </w:rPr>
        <w:t>Si vous avez des questions, des commentaires ou des réactions spécifiques en ce qui concerne ces jeux de données, veuillez contacter </w:t>
      </w:r>
      <w:r w:rsidR="0064672E">
        <w:fldChar w:fldCharType="begin"/>
      </w:r>
      <w:r w:rsidR="0064672E" w:rsidRPr="0064672E">
        <w:rPr>
          <w:lang w:val="fr-CA"/>
        </w:rPr>
        <w:instrText xml:space="preserve"> HYPERLINK "mailto:maicfp.cfpgouvernementouvert-pscopengovernment.psc@canada.c" </w:instrText>
      </w:r>
      <w:r w:rsidR="0064672E">
        <w:fldChar w:fldCharType="separate"/>
      </w:r>
      <w:r w:rsidRPr="00972008">
        <w:rPr>
          <w:rStyle w:val="Hyperlink"/>
          <w:rFonts w:cs="Arial"/>
          <w:lang w:val="fr-CA"/>
        </w:rPr>
        <w:t>le Secrétariat du gouvernement ouvert</w:t>
      </w:r>
      <w:r w:rsidR="0064672E">
        <w:rPr>
          <w:rStyle w:val="Hyperlink"/>
          <w:rFonts w:cs="Arial"/>
          <w:lang w:val="fr-CA"/>
        </w:rPr>
        <w:fldChar w:fldCharType="end"/>
      </w:r>
      <w:r w:rsidRPr="00972008">
        <w:rPr>
          <w:rFonts w:cs="Arial"/>
          <w:lang w:val="fr-CA"/>
        </w:rPr>
        <w:t> de la Commission de la fonction publique.</w:t>
      </w:r>
    </w:p>
    <w:p w14:paraId="5BC72578" w14:textId="49587950" w:rsidR="00A942F5" w:rsidRPr="00972008" w:rsidRDefault="00A942F5" w:rsidP="00FB0B19">
      <w:pPr>
        <w:pStyle w:val="Heading1"/>
        <w:rPr>
          <w:rFonts w:ascii="Arial" w:hAnsi="Arial" w:cs="Arial"/>
          <w:b/>
          <w:bCs/>
          <w:color w:val="auto"/>
          <w:sz w:val="22"/>
          <w:szCs w:val="22"/>
          <w:lang w:val="fr-CA"/>
        </w:rPr>
      </w:pPr>
      <w:r w:rsidRPr="00972008">
        <w:rPr>
          <w:rFonts w:ascii="Arial" w:hAnsi="Arial" w:cs="Arial"/>
          <w:b/>
          <w:bCs/>
          <w:color w:val="auto"/>
          <w:sz w:val="22"/>
          <w:szCs w:val="22"/>
          <w:lang w:val="fr-CA"/>
        </w:rPr>
        <w:t>R</w:t>
      </w:r>
      <w:r w:rsidR="00462C1B" w:rsidRPr="00972008">
        <w:rPr>
          <w:rFonts w:ascii="Arial" w:hAnsi="Arial" w:cs="Arial"/>
          <w:b/>
          <w:bCs/>
          <w:color w:val="auto"/>
          <w:sz w:val="22"/>
          <w:szCs w:val="22"/>
          <w:lang w:val="fr-CA"/>
        </w:rPr>
        <w:t>enseignements généraux</w:t>
      </w:r>
    </w:p>
    <w:p w14:paraId="7CE9DFD0" w14:textId="66ADE182" w:rsidR="00B30965" w:rsidRPr="00972008" w:rsidRDefault="00B30965" w:rsidP="00B30965">
      <w:pPr>
        <w:rPr>
          <w:rFonts w:cs="Arial"/>
          <w:lang w:val="fr-CA"/>
        </w:rPr>
      </w:pPr>
      <w:r w:rsidRPr="00972008">
        <w:rPr>
          <w:rFonts w:cs="Arial"/>
          <w:lang w:val="fr-CA"/>
        </w:rPr>
        <w:t>Depuis avril 2018, toutes les organisations utilisent une structure redditionnelle des résultats conforme à la </w:t>
      </w:r>
      <w:r w:rsidR="0064672E">
        <w:fldChar w:fldCharType="begin"/>
      </w:r>
      <w:r w:rsidR="0064672E" w:rsidRPr="0064672E">
        <w:rPr>
          <w:lang w:val="fr-CA"/>
        </w:rPr>
        <w:instrText xml:space="preserve"> HYPERLINK "https://www.tbs-sct.gc.ca/pol/doc-fra.aspx?id=31300" \t "_blank" </w:instrText>
      </w:r>
      <w:r w:rsidR="0064672E">
        <w:fldChar w:fldCharType="separate"/>
      </w:r>
      <w:r w:rsidRPr="00972008">
        <w:rPr>
          <w:rStyle w:val="Hyperlink"/>
          <w:rFonts w:cs="Arial"/>
          <w:lang w:val="fr-CA"/>
        </w:rPr>
        <w:t>Politique sur les résultats</w:t>
      </w:r>
      <w:r w:rsidR="0064672E">
        <w:rPr>
          <w:rStyle w:val="Hyperlink"/>
          <w:rFonts w:cs="Arial"/>
          <w:lang w:val="fr-CA"/>
        </w:rPr>
        <w:fldChar w:fldCharType="end"/>
      </w:r>
      <w:r w:rsidRPr="00972008">
        <w:rPr>
          <w:rFonts w:cs="Arial"/>
          <w:lang w:val="fr-CA"/>
        </w:rPr>
        <w:t>, composée d’un Cadre ministériel des résultats </w:t>
      </w:r>
      <w:r w:rsidR="0020751A" w:rsidRPr="00972008">
        <w:rPr>
          <w:rFonts w:cs="Arial"/>
          <w:lang w:val="fr-CA"/>
        </w:rPr>
        <w:t xml:space="preserve">(CRM) </w:t>
      </w:r>
      <w:r w:rsidRPr="00972008">
        <w:rPr>
          <w:rFonts w:cs="Arial"/>
          <w:lang w:val="fr-CA"/>
        </w:rPr>
        <w:t>et d’un Répertoire des programmes.</w:t>
      </w:r>
    </w:p>
    <w:p w14:paraId="117877B7" w14:textId="77777777" w:rsidR="00F56C47" w:rsidRPr="00972008" w:rsidRDefault="00F56C47" w:rsidP="00B30965">
      <w:pPr>
        <w:rPr>
          <w:rFonts w:cs="Arial"/>
          <w:lang w:val="fr-CA"/>
        </w:rPr>
      </w:pPr>
    </w:p>
    <w:p w14:paraId="6232C7A1" w14:textId="6C672DF8" w:rsidR="00B30965" w:rsidRPr="00972008" w:rsidRDefault="00F56C47" w:rsidP="00B30965">
      <w:pPr>
        <w:rPr>
          <w:rFonts w:cs="Arial"/>
          <w:lang w:val="fr-CA"/>
        </w:rPr>
      </w:pPr>
      <w:r w:rsidRPr="00972008">
        <w:rPr>
          <w:rFonts w:cs="Arial"/>
          <w:lang w:val="fr-CA"/>
        </w:rPr>
        <w:t>La </w:t>
      </w:r>
      <w:r w:rsidR="0064672E">
        <w:fldChar w:fldCharType="begin"/>
      </w:r>
      <w:r w:rsidR="0064672E" w:rsidRPr="0064672E">
        <w:rPr>
          <w:lang w:val="fr-CA"/>
        </w:rPr>
        <w:instrText xml:space="preserve"> HYPERLINK "https://www.tbs-sct.gc.ca/pol/doc-eng.aspx?id=31300" \t "_blank" </w:instrText>
      </w:r>
      <w:r w:rsidR="0064672E">
        <w:fldChar w:fldCharType="separate"/>
      </w:r>
      <w:r w:rsidRPr="00972008">
        <w:rPr>
          <w:rStyle w:val="Hyperlink"/>
          <w:rFonts w:cs="Arial"/>
          <w:lang w:val="fr-CA"/>
        </w:rPr>
        <w:t>politique sur les résultats</w:t>
      </w:r>
      <w:r w:rsidR="0064672E">
        <w:rPr>
          <w:rStyle w:val="Hyperlink"/>
          <w:rFonts w:cs="Arial"/>
          <w:lang w:val="fr-CA"/>
        </w:rPr>
        <w:fldChar w:fldCharType="end"/>
      </w:r>
      <w:r w:rsidRPr="00972008">
        <w:rPr>
          <w:rFonts w:cs="Arial"/>
          <w:lang w:val="fr-CA"/>
        </w:rPr>
        <w:t> établit les exigences fondamentales de la responsabilité ministérielle fédérale canadienne concernant l’information sur le rendement et l’évaluation, tout en soulignant l’importance des résultats dans la prise de décisions liées à la gestion, aux dépenses et aux rapports publics. La politique cherche à obtenir de meilleurs résultats à l'échelle gouvernementale et mieux comprendre les résultats que le gouvernement cherche à atteindre et réussit à atteindre, ainsi que les ressources utilisées pour ce faire.</w:t>
      </w:r>
    </w:p>
    <w:p w14:paraId="4D5B79EE" w14:textId="5D920E9A" w:rsidR="00F56C47" w:rsidRPr="00972008" w:rsidRDefault="00F56C47" w:rsidP="00B30965">
      <w:pPr>
        <w:rPr>
          <w:rFonts w:cs="Arial"/>
          <w:lang w:val="fr-CA"/>
        </w:rPr>
      </w:pPr>
    </w:p>
    <w:p w14:paraId="58D5D09F" w14:textId="18770BF4" w:rsidR="00F20A20" w:rsidRPr="00972008" w:rsidRDefault="007F3180" w:rsidP="00F20A20">
      <w:pPr>
        <w:shd w:val="clear" w:color="auto" w:fill="FFFFFF"/>
        <w:spacing w:after="100" w:afterAutospacing="1"/>
        <w:rPr>
          <w:rFonts w:eastAsia="Times New Roman" w:cs="Arial"/>
          <w:lang w:val="fr-CA" w:eastAsia="en-CA"/>
        </w:rPr>
      </w:pPr>
      <w:r w:rsidRPr="00972008">
        <w:rPr>
          <w:rFonts w:eastAsia="Times New Roman" w:cs="Arial"/>
          <w:lang w:val="fr-CA" w:eastAsia="en-CA"/>
        </w:rPr>
        <w:t xml:space="preserve">Un Cadre ministériel des résultats </w:t>
      </w:r>
      <w:r w:rsidR="00F20A20" w:rsidRPr="00972008">
        <w:rPr>
          <w:rFonts w:eastAsia="Times New Roman" w:cs="Arial"/>
          <w:lang w:val="fr-CA" w:eastAsia="en-CA"/>
        </w:rPr>
        <w:t>décrit :</w:t>
      </w:r>
    </w:p>
    <w:p w14:paraId="1DB15AAD" w14:textId="77777777" w:rsidR="00F20A20" w:rsidRPr="00972008" w:rsidRDefault="00F20A20" w:rsidP="00441556">
      <w:pPr>
        <w:pStyle w:val="ListParagraph"/>
        <w:numPr>
          <w:ilvl w:val="0"/>
          <w:numId w:val="6"/>
        </w:numPr>
        <w:shd w:val="clear" w:color="auto" w:fill="FFFFFF"/>
        <w:spacing w:before="100" w:beforeAutospacing="1" w:after="100" w:afterAutospacing="1"/>
        <w:rPr>
          <w:rFonts w:eastAsia="Times New Roman" w:cs="Arial"/>
          <w:lang w:val="fr-CA" w:eastAsia="en-CA"/>
        </w:rPr>
      </w:pPr>
      <w:r w:rsidRPr="00972008">
        <w:rPr>
          <w:rFonts w:eastAsia="Times New Roman" w:cs="Arial"/>
          <w:lang w:val="fr-CA" w:eastAsia="en-CA"/>
        </w:rPr>
        <w:t>ce que le ministère fait (c.-à-d. ses responsabilités essentielles);</w:t>
      </w:r>
    </w:p>
    <w:p w14:paraId="37F05C71" w14:textId="77777777" w:rsidR="00F20A20" w:rsidRPr="00972008" w:rsidRDefault="00F20A20" w:rsidP="00441556">
      <w:pPr>
        <w:pStyle w:val="ListParagraph"/>
        <w:numPr>
          <w:ilvl w:val="0"/>
          <w:numId w:val="6"/>
        </w:numPr>
        <w:shd w:val="clear" w:color="auto" w:fill="FFFFFF"/>
        <w:spacing w:before="100" w:beforeAutospacing="1" w:after="100" w:afterAutospacing="1"/>
        <w:rPr>
          <w:rFonts w:eastAsia="Times New Roman" w:cs="Arial"/>
          <w:lang w:val="fr-CA" w:eastAsia="en-CA"/>
        </w:rPr>
      </w:pPr>
      <w:r w:rsidRPr="00972008">
        <w:rPr>
          <w:rFonts w:eastAsia="Times New Roman" w:cs="Arial"/>
          <w:lang w:val="fr-CA" w:eastAsia="en-CA"/>
        </w:rPr>
        <w:t>les résultats que le ministère cherche à obtenir (c.-à-d. les Résultats Ministériels);</w:t>
      </w:r>
    </w:p>
    <w:p w14:paraId="47470D86" w14:textId="535AA707" w:rsidR="009E5D5C" w:rsidRPr="00972008" w:rsidRDefault="00F20A20" w:rsidP="00441556">
      <w:pPr>
        <w:pStyle w:val="ListParagraph"/>
        <w:numPr>
          <w:ilvl w:val="0"/>
          <w:numId w:val="6"/>
        </w:numPr>
        <w:shd w:val="clear" w:color="auto" w:fill="FFFFFF"/>
        <w:spacing w:before="100" w:beforeAutospacing="1" w:after="100" w:afterAutospacing="1"/>
        <w:rPr>
          <w:rFonts w:eastAsia="Times New Roman" w:cs="Arial"/>
          <w:lang w:val="fr-CA" w:eastAsia="en-CA"/>
        </w:rPr>
      </w:pPr>
      <w:r w:rsidRPr="00972008">
        <w:rPr>
          <w:rFonts w:eastAsia="Times New Roman" w:cs="Arial"/>
          <w:lang w:val="fr-CA" w:eastAsia="en-CA"/>
        </w:rPr>
        <w:t>la manière dont les progrès seront évalués (c.-à-d. les Indicateurs des Résultats Ministériels).</w:t>
      </w:r>
    </w:p>
    <w:p w14:paraId="41BBCAF7" w14:textId="384F38C6" w:rsidR="00E56E17" w:rsidRPr="00972008" w:rsidRDefault="00E56E17" w:rsidP="00E56E17">
      <w:pPr>
        <w:rPr>
          <w:rFonts w:cs="Arial"/>
          <w:lang w:val="fr-CA"/>
        </w:rPr>
      </w:pPr>
      <w:r w:rsidRPr="00674154">
        <w:rPr>
          <w:rFonts w:cs="Arial"/>
          <w:lang w:val="fr-CA"/>
        </w:rPr>
        <w:t>Cette collection fournit les données sous-jacentes aux indicateurs du C</w:t>
      </w:r>
      <w:r w:rsidR="0020751A" w:rsidRPr="00674154">
        <w:rPr>
          <w:rFonts w:cs="Arial"/>
          <w:lang w:val="fr-CA"/>
        </w:rPr>
        <w:t>RM</w:t>
      </w:r>
      <w:r w:rsidRPr="00674154">
        <w:rPr>
          <w:rFonts w:cs="Arial"/>
          <w:lang w:val="fr-CA"/>
        </w:rPr>
        <w:t xml:space="preserve"> de la CFP qui mesurent si la CFP s'acquitte de ses responsabilités fondamentales en matière d'embauche dans la fonction publique et d'impartialité politique.</w:t>
      </w:r>
    </w:p>
    <w:p w14:paraId="7A82CEC4" w14:textId="38702803" w:rsidR="00E56E17" w:rsidRPr="00972008" w:rsidRDefault="00E56E17" w:rsidP="00E56E17">
      <w:pPr>
        <w:rPr>
          <w:rFonts w:cs="Arial"/>
          <w:lang w:val="fr-CA"/>
        </w:rPr>
      </w:pPr>
      <w:r w:rsidRPr="00972008">
        <w:rPr>
          <w:rFonts w:cs="Arial"/>
          <w:lang w:val="fr-CA"/>
        </w:rPr>
        <w:t xml:space="preserve"> </w:t>
      </w:r>
    </w:p>
    <w:p w14:paraId="6C7B55CB" w14:textId="038414EE" w:rsidR="00F56C47" w:rsidRPr="00972008" w:rsidRDefault="00E56E17" w:rsidP="00E56E17">
      <w:pPr>
        <w:rPr>
          <w:rFonts w:cs="Arial"/>
          <w:lang w:val="fr-CA"/>
        </w:rPr>
      </w:pPr>
      <w:r w:rsidRPr="00972008">
        <w:rPr>
          <w:rFonts w:cs="Arial"/>
          <w:lang w:val="fr-CA"/>
        </w:rPr>
        <w:t xml:space="preserve">Pour consulter le Cadre de résultats ministériels et l'inventaire des programmes de la CFP, veuillez visiter </w:t>
      </w:r>
      <w:r w:rsidR="0064672E">
        <w:fldChar w:fldCharType="begin"/>
      </w:r>
      <w:r w:rsidR="0064672E" w:rsidRPr="0064672E">
        <w:rPr>
          <w:lang w:val="fr-CA"/>
        </w:rPr>
        <w:instrText xml:space="preserve"> HYPERLINK "https://www.tbs-sct.gc.ca/ems-sgd/edb-bdd/index-fra.html" \l "infographic/dept/282/results" </w:instrText>
      </w:r>
      <w:r w:rsidR="0064672E">
        <w:fldChar w:fldCharType="separate"/>
      </w:r>
      <w:r w:rsidRPr="00972008">
        <w:rPr>
          <w:rStyle w:val="Hyperlink"/>
          <w:rFonts w:cs="Arial"/>
          <w:lang w:val="fr-CA"/>
        </w:rPr>
        <w:t>l'infographie de la CFP sur l'</w:t>
      </w:r>
      <w:proofErr w:type="spellStart"/>
      <w:r w:rsidRPr="00972008">
        <w:rPr>
          <w:rStyle w:val="Hyperlink"/>
          <w:rFonts w:cs="Arial"/>
          <w:lang w:val="fr-CA"/>
        </w:rPr>
        <w:t>InfoBase</w:t>
      </w:r>
      <w:proofErr w:type="spellEnd"/>
      <w:r w:rsidRPr="00972008">
        <w:rPr>
          <w:rStyle w:val="Hyperlink"/>
          <w:rFonts w:cs="Arial"/>
          <w:lang w:val="fr-CA"/>
        </w:rPr>
        <w:t xml:space="preserve"> du GC</w:t>
      </w:r>
      <w:r w:rsidR="0064672E">
        <w:rPr>
          <w:rStyle w:val="Hyperlink"/>
          <w:rFonts w:cs="Arial"/>
          <w:lang w:val="fr-CA"/>
        </w:rPr>
        <w:fldChar w:fldCharType="end"/>
      </w:r>
      <w:r w:rsidRPr="00972008">
        <w:rPr>
          <w:rFonts w:cs="Arial"/>
          <w:lang w:val="fr-CA"/>
        </w:rPr>
        <w:t>.</w:t>
      </w:r>
    </w:p>
    <w:p w14:paraId="4FCA6F7D" w14:textId="121680F4" w:rsidR="008D23A6" w:rsidRDefault="008D23A6" w:rsidP="00FB0B19">
      <w:pPr>
        <w:pStyle w:val="Heading1"/>
        <w:rPr>
          <w:rFonts w:ascii="Arial" w:hAnsi="Arial" w:cs="Arial"/>
          <w:b/>
          <w:bCs/>
          <w:color w:val="auto"/>
          <w:sz w:val="22"/>
          <w:szCs w:val="22"/>
          <w:lang w:val="fr-CA"/>
        </w:rPr>
      </w:pPr>
      <w:r w:rsidRPr="00972008">
        <w:rPr>
          <w:rFonts w:ascii="Arial" w:hAnsi="Arial" w:cs="Arial"/>
          <w:b/>
          <w:bCs/>
          <w:color w:val="auto"/>
          <w:sz w:val="22"/>
          <w:szCs w:val="22"/>
          <w:lang w:val="fr-CA"/>
        </w:rPr>
        <w:t>D</w:t>
      </w:r>
      <w:r w:rsidR="00EF7113" w:rsidRPr="00972008">
        <w:rPr>
          <w:rFonts w:ascii="Arial" w:hAnsi="Arial" w:cs="Arial"/>
          <w:b/>
          <w:bCs/>
          <w:color w:val="auto"/>
          <w:sz w:val="22"/>
          <w:szCs w:val="22"/>
          <w:lang w:val="fr-CA"/>
        </w:rPr>
        <w:t>ocumentation des ensembles de données</w:t>
      </w:r>
    </w:p>
    <w:p w14:paraId="541095BA" w14:textId="3231F83B" w:rsidR="00C4318E" w:rsidRPr="00C4318E" w:rsidRDefault="00C4318E" w:rsidP="00C4318E">
      <w:pPr>
        <w:rPr>
          <w:rStyle w:val="Emphasis"/>
          <w:lang w:val="fr-CA"/>
        </w:rPr>
      </w:pPr>
      <w:r w:rsidRPr="00C4318E">
        <w:rPr>
          <w:rStyle w:val="Emphasis"/>
          <w:lang w:val="fr-CA"/>
        </w:rPr>
        <w:t xml:space="preserve">*Au sujet des </w:t>
      </w:r>
      <w:r w:rsidRPr="00C4318E">
        <w:rPr>
          <w:rStyle w:val="Emphasis"/>
          <w:b/>
          <w:bCs/>
          <w:lang w:val="fr-CA"/>
        </w:rPr>
        <w:t>nota</w:t>
      </w:r>
      <w:r w:rsidRPr="00C4318E">
        <w:rPr>
          <w:rStyle w:val="Emphasis"/>
          <w:lang w:val="fr-CA"/>
        </w:rPr>
        <w:t xml:space="preserve"> : le contenu entre parenthèses pour chaque entrée fait référence à une variable dans l’ensemble de données.</w:t>
      </w:r>
    </w:p>
    <w:p w14:paraId="045DC4F2" w14:textId="37CB56FF" w:rsidR="004177D2" w:rsidRPr="00972008" w:rsidRDefault="004177D2" w:rsidP="00FC1A9C">
      <w:pPr>
        <w:pStyle w:val="Heading2"/>
      </w:pPr>
      <w:r w:rsidRPr="00972008">
        <w:t xml:space="preserve">Indicateur </w:t>
      </w:r>
      <w:r w:rsidR="002D407F">
        <w:t>no</w:t>
      </w:r>
      <w:r w:rsidR="007C58F5">
        <w:t xml:space="preserve">. </w:t>
      </w:r>
      <w:r w:rsidRPr="00972008">
        <w:t xml:space="preserve">1 – Nombre de jours nécessaires pour mener à terme un processus de </w:t>
      </w:r>
      <w:r w:rsidR="00AA0F1E">
        <w:t>dotation externe</w:t>
      </w:r>
      <w:r w:rsidR="00F966BA" w:rsidRPr="00972008">
        <w:t xml:space="preserve"> (CFPPSC_I01)</w:t>
      </w:r>
    </w:p>
    <w:p w14:paraId="67BEC28F" w14:textId="55209E8B" w:rsidR="00803B3B" w:rsidRPr="00972008" w:rsidRDefault="00803B3B" w:rsidP="002528D5">
      <w:pPr>
        <w:pStyle w:val="ListParagraph"/>
        <w:numPr>
          <w:ilvl w:val="0"/>
          <w:numId w:val="7"/>
        </w:numPr>
        <w:rPr>
          <w:rStyle w:val="Strong"/>
          <w:rFonts w:cs="Arial"/>
          <w:lang w:val="fr-CA"/>
        </w:rPr>
      </w:pPr>
      <w:r w:rsidRPr="00972008">
        <w:rPr>
          <w:rStyle w:val="Strong"/>
          <w:rFonts w:cs="Arial"/>
          <w:lang w:val="fr-CA"/>
        </w:rPr>
        <w:t>Source:</w:t>
      </w:r>
      <w:r w:rsidR="008D476A" w:rsidRPr="00972008">
        <w:rPr>
          <w:rStyle w:val="Strong"/>
          <w:rFonts w:cs="Arial"/>
          <w:lang w:val="fr-CA"/>
        </w:rPr>
        <w:t xml:space="preserve"> </w:t>
      </w:r>
      <w:r w:rsidR="00640C1F" w:rsidRPr="00972008">
        <w:rPr>
          <w:rStyle w:val="Strong"/>
          <w:rFonts w:cs="Arial"/>
          <w:b w:val="0"/>
          <w:bCs w:val="0"/>
          <w:lang w:val="fr-CA"/>
        </w:rPr>
        <w:t>SRFP</w:t>
      </w:r>
      <w:r w:rsidR="0020751A" w:rsidRPr="00972008">
        <w:rPr>
          <w:rStyle w:val="Strong"/>
          <w:rFonts w:cs="Arial"/>
          <w:b w:val="0"/>
          <w:bCs w:val="0"/>
          <w:lang w:val="fr-CA"/>
        </w:rPr>
        <w:t xml:space="preserve"> </w:t>
      </w:r>
      <w:r w:rsidR="00640C1F" w:rsidRPr="00972008">
        <w:rPr>
          <w:rStyle w:val="Strong"/>
          <w:rFonts w:cs="Arial"/>
          <w:b w:val="0"/>
          <w:bCs w:val="0"/>
          <w:lang w:val="fr-CA"/>
        </w:rPr>
        <w:t>(</w:t>
      </w:r>
      <w:r w:rsidR="00640C1F" w:rsidRPr="00972008">
        <w:rPr>
          <w:rFonts w:cs="Arial"/>
          <w:lang w:val="fr-CA"/>
        </w:rPr>
        <w:t>Système de ressourcement de la fonction publique</w:t>
      </w:r>
      <w:r w:rsidR="002528D5" w:rsidRPr="00972008">
        <w:rPr>
          <w:rFonts w:cs="Arial"/>
          <w:lang w:val="fr-CA"/>
        </w:rPr>
        <w:t>)</w:t>
      </w:r>
      <w:r w:rsidR="00640C1F" w:rsidRPr="00972008">
        <w:rPr>
          <w:rFonts w:cs="Arial"/>
          <w:lang w:val="fr-CA"/>
        </w:rPr>
        <w:t>,</w:t>
      </w:r>
      <w:r w:rsidR="00640C1F" w:rsidRPr="00972008">
        <w:rPr>
          <w:rStyle w:val="Strong"/>
          <w:rFonts w:cs="Arial"/>
          <w:b w:val="0"/>
          <w:bCs w:val="0"/>
          <w:lang w:val="fr-CA"/>
        </w:rPr>
        <w:t xml:space="preserve"> SGIP</w:t>
      </w:r>
      <w:r w:rsidR="0020751A" w:rsidRPr="00972008">
        <w:rPr>
          <w:rStyle w:val="Strong"/>
          <w:rFonts w:cs="Arial"/>
          <w:b w:val="0"/>
          <w:bCs w:val="0"/>
          <w:lang w:val="fr-CA"/>
        </w:rPr>
        <w:t xml:space="preserve"> </w:t>
      </w:r>
      <w:r w:rsidR="007D2905" w:rsidRPr="00972008">
        <w:rPr>
          <w:rStyle w:val="Strong"/>
          <w:rFonts w:cs="Arial"/>
          <w:b w:val="0"/>
          <w:bCs w:val="0"/>
          <w:lang w:val="fr-CA"/>
        </w:rPr>
        <w:t>(</w:t>
      </w:r>
      <w:r w:rsidR="007D2905" w:rsidRPr="00972008">
        <w:rPr>
          <w:rFonts w:cs="Arial"/>
          <w:lang w:val="fr-CA"/>
        </w:rPr>
        <w:t>Système de gestion de l'information sur les priorités)</w:t>
      </w:r>
      <w:r w:rsidR="0020751A" w:rsidRPr="00972008">
        <w:rPr>
          <w:rFonts w:cs="Arial"/>
          <w:lang w:val="fr-CA"/>
        </w:rPr>
        <w:t>,</w:t>
      </w:r>
      <w:r w:rsidR="00640C1F" w:rsidRPr="00972008">
        <w:rPr>
          <w:rStyle w:val="Strong"/>
          <w:rFonts w:cs="Arial"/>
          <w:b w:val="0"/>
          <w:bCs w:val="0"/>
          <w:lang w:val="fr-CA"/>
        </w:rPr>
        <w:t xml:space="preserve"> et </w:t>
      </w:r>
      <w:r w:rsidR="007D2905" w:rsidRPr="00972008">
        <w:rPr>
          <w:rStyle w:val="Strong"/>
          <w:rFonts w:cs="Arial"/>
          <w:b w:val="0"/>
          <w:bCs w:val="0"/>
          <w:lang w:val="fr-CA"/>
        </w:rPr>
        <w:t>les d</w:t>
      </w:r>
      <w:r w:rsidR="00640C1F" w:rsidRPr="00972008">
        <w:rPr>
          <w:rStyle w:val="Strong"/>
          <w:rFonts w:cs="Arial"/>
          <w:b w:val="0"/>
          <w:bCs w:val="0"/>
          <w:lang w:val="fr-CA"/>
        </w:rPr>
        <w:t>ossier</w:t>
      </w:r>
      <w:r w:rsidR="007D2905" w:rsidRPr="00972008">
        <w:rPr>
          <w:rStyle w:val="Strong"/>
          <w:rFonts w:cs="Arial"/>
          <w:b w:val="0"/>
          <w:bCs w:val="0"/>
          <w:lang w:val="fr-CA"/>
        </w:rPr>
        <w:t xml:space="preserve">s </w:t>
      </w:r>
      <w:r w:rsidR="00640C1F" w:rsidRPr="00972008">
        <w:rPr>
          <w:rStyle w:val="Strong"/>
          <w:rFonts w:cs="Arial"/>
          <w:b w:val="0"/>
          <w:bCs w:val="0"/>
          <w:lang w:val="fr-CA"/>
        </w:rPr>
        <w:t>d'embauche et de dotation de la CFP</w:t>
      </w:r>
    </w:p>
    <w:p w14:paraId="3185E0D3" w14:textId="2ED021E0" w:rsidR="00803B3B" w:rsidRPr="008837CC" w:rsidRDefault="00CC1D56" w:rsidP="00A118DF">
      <w:pPr>
        <w:pStyle w:val="ListParagraph"/>
        <w:numPr>
          <w:ilvl w:val="0"/>
          <w:numId w:val="7"/>
        </w:numPr>
        <w:rPr>
          <w:rStyle w:val="Strong"/>
          <w:rFonts w:cs="Arial"/>
          <w:lang w:val="fr-CA"/>
        </w:rPr>
      </w:pPr>
      <w:r w:rsidRPr="00972008">
        <w:rPr>
          <w:rStyle w:val="Strong"/>
          <w:rFonts w:cs="Arial"/>
          <w:lang w:val="fr-CA"/>
        </w:rPr>
        <w:t>D</w:t>
      </w:r>
      <w:r>
        <w:rPr>
          <w:rStyle w:val="Strong"/>
          <w:rFonts w:cs="Arial"/>
          <w:lang w:val="fr-CA"/>
        </w:rPr>
        <w:t>e</w:t>
      </w:r>
      <w:r w:rsidRPr="00972008">
        <w:rPr>
          <w:rStyle w:val="Strong"/>
          <w:rFonts w:cs="Arial"/>
          <w:lang w:val="fr-CA"/>
        </w:rPr>
        <w:t>scription</w:t>
      </w:r>
      <w:r w:rsidR="00803B3B" w:rsidRPr="00972008">
        <w:rPr>
          <w:rStyle w:val="Strong"/>
          <w:rFonts w:cs="Arial"/>
          <w:lang w:val="fr-CA"/>
        </w:rPr>
        <w:t xml:space="preserve"> : </w:t>
      </w:r>
      <w:r w:rsidR="009B4D76" w:rsidRPr="009B4D76">
        <w:rPr>
          <w:rStyle w:val="Strong"/>
          <w:rFonts w:cs="Arial"/>
          <w:b w:val="0"/>
          <w:bCs w:val="0"/>
          <w:lang w:val="fr-CA"/>
        </w:rPr>
        <w:t>Cet indicateur mesure le nombre médian de jours qui s’écoulent entre le début d’un processus de dotation externe visant à pourvoir à un poste dans la fonction publique et le jour où le poste est effectivement pourvu. Il permet à la Commission de la fonction publique de déterminer les possibilités d’amélioration du processus de dotation et de s’assurer que les postes de la fonction publique sont occupés par des personnes talentueuses, de façon efficiente et dans les meilleurs délais. L’analyse utilisera les données administratives extraites des dépôts de données de la Commission de la fonction publique.</w:t>
      </w:r>
    </w:p>
    <w:p w14:paraId="1BA4FD60" w14:textId="00EAA508" w:rsidR="00803B3B" w:rsidRPr="008837CC" w:rsidRDefault="00803B3B" w:rsidP="00A118DF">
      <w:pPr>
        <w:pStyle w:val="ListParagraph"/>
        <w:numPr>
          <w:ilvl w:val="0"/>
          <w:numId w:val="7"/>
        </w:numPr>
        <w:rPr>
          <w:rStyle w:val="Strong"/>
          <w:rFonts w:cs="Arial"/>
          <w:lang w:val="fr-CA"/>
        </w:rPr>
      </w:pPr>
      <w:r w:rsidRPr="008837CC">
        <w:rPr>
          <w:rStyle w:val="Strong"/>
          <w:rFonts w:cs="Arial"/>
          <w:lang w:val="fr-CA"/>
        </w:rPr>
        <w:lastRenderedPageBreak/>
        <w:t xml:space="preserve">Méthodologie : </w:t>
      </w:r>
      <w:r w:rsidR="009B4D76" w:rsidRPr="009B4D76">
        <w:rPr>
          <w:rStyle w:val="Strong"/>
          <w:rFonts w:cs="Arial"/>
          <w:b w:val="0"/>
          <w:bCs w:val="0"/>
          <w:lang w:val="fr-CA"/>
        </w:rPr>
        <w:t>Nombre de jours médian entre l’affichage d’un poste dans le site Web Emplois GC et la première apparition du nom de la personne nommée dans le système de paye, après la date d’ouverture du processus de dotation externe pour la première nomination</w:t>
      </w:r>
    </w:p>
    <w:p w14:paraId="49B65BC4" w14:textId="77777777" w:rsidR="00094F5D" w:rsidRDefault="00803B3B" w:rsidP="004177D2">
      <w:pPr>
        <w:pStyle w:val="ListParagraph"/>
        <w:numPr>
          <w:ilvl w:val="0"/>
          <w:numId w:val="7"/>
        </w:numPr>
        <w:rPr>
          <w:rStyle w:val="Strong"/>
          <w:rFonts w:cs="Arial"/>
          <w:b w:val="0"/>
          <w:bCs w:val="0"/>
          <w:lang w:val="fr-CA"/>
        </w:rPr>
      </w:pPr>
      <w:r w:rsidRPr="00972008">
        <w:rPr>
          <w:rStyle w:val="Strong"/>
          <w:rFonts w:cs="Arial"/>
          <w:lang w:val="fr-CA"/>
        </w:rPr>
        <w:t>Not</w:t>
      </w:r>
      <w:r w:rsidR="00C4318E">
        <w:rPr>
          <w:rStyle w:val="Strong"/>
          <w:rFonts w:cs="Arial"/>
          <w:lang w:val="fr-CA"/>
        </w:rPr>
        <w:t>a</w:t>
      </w:r>
      <w:r w:rsidRPr="00972008">
        <w:rPr>
          <w:rStyle w:val="Strong"/>
          <w:rFonts w:cs="Arial"/>
          <w:lang w:val="fr-CA"/>
        </w:rPr>
        <w:t> :</w:t>
      </w:r>
      <w:r w:rsidR="00A118DF" w:rsidRPr="00972008">
        <w:rPr>
          <w:rStyle w:val="Strong"/>
          <w:rFonts w:cs="Arial"/>
          <w:b w:val="0"/>
          <w:bCs w:val="0"/>
          <w:lang w:val="fr-CA"/>
        </w:rPr>
        <w:t xml:space="preserve"> </w:t>
      </w:r>
      <w:r w:rsidR="00094F5D" w:rsidRPr="00094F5D">
        <w:rPr>
          <w:rStyle w:val="Strong"/>
          <w:rFonts w:cs="Arial"/>
          <w:b w:val="0"/>
          <w:bCs w:val="0"/>
          <w:lang w:val="fr-CA"/>
        </w:rPr>
        <w:t xml:space="preserve">Processus de dotation externe : Un processus d’embauche annoncé à l’externe qui aboutit à l’embauche d’une personne dans un poste de durée déterminée ou dans un poste pour une période indéterminée à la fonction publique. </w:t>
      </w:r>
    </w:p>
    <w:p w14:paraId="30B08C34" w14:textId="223AD690" w:rsidR="00A118DF" w:rsidRPr="009D0F0F" w:rsidRDefault="00094F5D" w:rsidP="004177D2">
      <w:pPr>
        <w:pStyle w:val="ListParagraph"/>
        <w:numPr>
          <w:ilvl w:val="0"/>
          <w:numId w:val="7"/>
        </w:numPr>
        <w:rPr>
          <w:rStyle w:val="Strong"/>
          <w:rFonts w:cs="Arial"/>
          <w:b w:val="0"/>
          <w:bCs w:val="0"/>
          <w:lang w:val="fr-CA"/>
        </w:rPr>
      </w:pPr>
      <w:r w:rsidRPr="00094F5D">
        <w:rPr>
          <w:rStyle w:val="Strong"/>
          <w:rFonts w:cs="Arial"/>
          <w:lang w:val="fr-CA"/>
        </w:rPr>
        <w:t>Nota :</w:t>
      </w:r>
      <w:r w:rsidRPr="00094F5D">
        <w:rPr>
          <w:rStyle w:val="Strong"/>
          <w:rFonts w:cs="Arial"/>
          <w:b w:val="0"/>
          <w:bCs w:val="0"/>
          <w:lang w:val="fr-CA"/>
        </w:rPr>
        <w:t xml:space="preserve"> Le calcul de cet indicateur exclut les nominations non annoncées et certaines initiatives de dotation novatrices qui contribuent à une réduction globale de la durée de la dotation.</w:t>
      </w:r>
    </w:p>
    <w:p w14:paraId="4835E9AE" w14:textId="77777777" w:rsidR="00B90EA1" w:rsidRPr="009D0F0F" w:rsidRDefault="00B90EA1" w:rsidP="00B90EA1">
      <w:pPr>
        <w:pStyle w:val="ListParagraph"/>
        <w:numPr>
          <w:ilvl w:val="0"/>
          <w:numId w:val="7"/>
        </w:numPr>
        <w:rPr>
          <w:rFonts w:cs="Arial"/>
          <w:lang w:val="fr-CA"/>
        </w:rPr>
      </w:pPr>
      <w:r w:rsidRPr="009D0F0F">
        <w:rPr>
          <w:rFonts w:cs="Arial"/>
          <w:b/>
          <w:lang w:val="fr-CA"/>
        </w:rPr>
        <w:t xml:space="preserve">Nota : </w:t>
      </w:r>
      <w:r w:rsidRPr="009D0F0F">
        <w:rPr>
          <w:rFonts w:cs="Arial"/>
          <w:lang w:val="fr-CA"/>
        </w:rPr>
        <w:t xml:space="preserve">Le temps nécessaire à la dotation - Nominations externes est le nombre médian de jours civils entre la date d'ouverture d'une annonce externe et la date de la première nomination estimative d'une personne de l'extérieur d'une organisation assujettie à la </w:t>
      </w:r>
      <w:r w:rsidRPr="009D0F0F">
        <w:rPr>
          <w:rFonts w:cs="Arial"/>
          <w:i/>
          <w:iCs/>
          <w:lang w:val="fr-CA"/>
        </w:rPr>
        <w:t>Loi sur l'emploi dans la fonction publique</w:t>
      </w:r>
      <w:r w:rsidRPr="009D0F0F">
        <w:rPr>
          <w:rFonts w:cs="Arial"/>
          <w:lang w:val="fr-CA"/>
        </w:rPr>
        <w:t xml:space="preserve"> (LEFP) pour les postes de durée déterminée et pour les postes pour une période indéterminée. Parce que le lien des données entre les systèmes utilise un jumelage probabiliste, des erreurs de mesure sont donc possibles</w:t>
      </w:r>
    </w:p>
    <w:p w14:paraId="485C243D" w14:textId="77777777" w:rsidR="002E647C" w:rsidRPr="009D0F0F" w:rsidRDefault="002E647C" w:rsidP="002E647C">
      <w:pPr>
        <w:pStyle w:val="ListParagraph"/>
        <w:numPr>
          <w:ilvl w:val="0"/>
          <w:numId w:val="7"/>
        </w:numPr>
        <w:rPr>
          <w:rFonts w:cs="Arial"/>
          <w:lang w:val="fr-CA"/>
        </w:rPr>
      </w:pPr>
      <w:r w:rsidRPr="009D0F0F">
        <w:rPr>
          <w:rFonts w:cs="Arial"/>
          <w:b/>
          <w:lang w:val="fr-CA"/>
        </w:rPr>
        <w:t>Nota :</w:t>
      </w:r>
      <w:r w:rsidRPr="009D0F0F">
        <w:rPr>
          <w:rFonts w:cs="Arial"/>
          <w:lang w:val="fr-CA"/>
        </w:rPr>
        <w:t xml:space="preserve"> Seules les nominations / notifications estimées pour une durée déterminée et indéterminée sont incluses (les mutations, les nominations occasionnelles et intérimaires sont exclues).</w:t>
      </w:r>
    </w:p>
    <w:p w14:paraId="6D0B562A" w14:textId="77777777" w:rsidR="00DD39B5" w:rsidRPr="009D0F0F" w:rsidRDefault="00DD39B5" w:rsidP="00DD39B5">
      <w:pPr>
        <w:pStyle w:val="ListParagraph"/>
        <w:numPr>
          <w:ilvl w:val="0"/>
          <w:numId w:val="7"/>
        </w:numPr>
        <w:rPr>
          <w:rFonts w:cs="Arial"/>
          <w:lang w:val="fr-CA"/>
        </w:rPr>
      </w:pPr>
      <w:r w:rsidRPr="009D0F0F">
        <w:rPr>
          <w:rFonts w:cs="Arial"/>
          <w:b/>
          <w:lang w:val="fr-CA"/>
        </w:rPr>
        <w:t>Nota :</w:t>
      </w:r>
      <w:r w:rsidRPr="009D0F0F">
        <w:rPr>
          <w:rFonts w:cs="Arial"/>
          <w:lang w:val="fr-CA"/>
        </w:rPr>
        <w:t xml:space="preserve"> Les données sur les activités d’embauche et de dotation sont tirées du fichier des titulaires du Secrétariat du Conseil du Trésor. Ce fichier provient du système de paye de Services publics et Approvisionnement Canada. La Commission de la fonction publique (CFP) a créé une série d’algorithmes permettant de produire le registre officiel des activités d’embauche et de dotation à la fonction publique fédérale, d’après les dossiers de rémunération soumis par les organisations. </w:t>
      </w:r>
    </w:p>
    <w:p w14:paraId="24F5ABC3" w14:textId="77777777" w:rsidR="00E92A47" w:rsidRPr="009D0F0F" w:rsidRDefault="00E92A47" w:rsidP="00E92A47">
      <w:pPr>
        <w:pStyle w:val="ListParagraph"/>
        <w:numPr>
          <w:ilvl w:val="0"/>
          <w:numId w:val="7"/>
        </w:numPr>
        <w:rPr>
          <w:rFonts w:cs="Arial"/>
          <w:lang w:val="fr-CA"/>
        </w:rPr>
      </w:pPr>
      <w:r w:rsidRPr="009D0F0F">
        <w:rPr>
          <w:rFonts w:cs="Arial"/>
          <w:b/>
          <w:lang w:val="fr-CA"/>
        </w:rPr>
        <w:t>Nota :</w:t>
      </w:r>
      <w:r w:rsidRPr="009D0F0F">
        <w:rPr>
          <w:rFonts w:cs="Arial"/>
          <w:lang w:val="fr-CA"/>
        </w:rPr>
        <w:t xml:space="preserve"> Les activités d’embauche comprennent toutes les nominations à la fonction publique, à des postes de durée déterminée ou indéterminée, l’embauche de personnel occasionnel aux termes du paragraphe 50(1) de la LEFP et l’embauche d’étudiants en vertu du Décret d’exemption concernant les participants aux programmes d’embauche d’étudiants. Les nominations à la fonction publique à des postes de durée déterminée ou indéterminée comprennent les nominations aux postes ouverts au public, y compris les anciens employés occasionnels, les étudiants et les employés des organisations gouvernementales non assujetties à la LEFP.</w:t>
      </w:r>
    </w:p>
    <w:p w14:paraId="2131035B" w14:textId="505DD6FE" w:rsidR="008B4B0C" w:rsidRPr="009D0F0F" w:rsidRDefault="00F66453" w:rsidP="004177D2">
      <w:pPr>
        <w:pStyle w:val="ListParagraph"/>
        <w:numPr>
          <w:ilvl w:val="0"/>
          <w:numId w:val="7"/>
        </w:numPr>
        <w:rPr>
          <w:rStyle w:val="Strong"/>
          <w:rFonts w:cs="Arial"/>
          <w:b w:val="0"/>
          <w:bCs w:val="0"/>
          <w:lang w:val="fr-CA"/>
        </w:rPr>
      </w:pPr>
      <w:r w:rsidRPr="009D0F0F">
        <w:rPr>
          <w:rFonts w:cs="Arial"/>
          <w:b/>
          <w:lang w:val="fr-CA"/>
        </w:rPr>
        <w:t>Nota :</w:t>
      </w:r>
      <w:r w:rsidRPr="009D0F0F">
        <w:rPr>
          <w:rFonts w:cs="Arial"/>
          <w:lang w:val="fr-CA"/>
        </w:rPr>
        <w:t xml:space="preserve"> Les embauches indéterminées incluent les nouvelles embauches externes indéterminées</w:t>
      </w:r>
    </w:p>
    <w:p w14:paraId="7EC2CBBA" w14:textId="77777777" w:rsidR="008759E7" w:rsidRPr="00F66453" w:rsidRDefault="008759E7" w:rsidP="004177D2">
      <w:pPr>
        <w:rPr>
          <w:rFonts w:cs="Arial"/>
          <w:lang w:val="fr-CA"/>
        </w:rPr>
      </w:pPr>
    </w:p>
    <w:p w14:paraId="1115AA63" w14:textId="6C2BFC36" w:rsidR="004177D2" w:rsidRPr="00972008" w:rsidRDefault="004177D2" w:rsidP="00FC1A9C">
      <w:pPr>
        <w:pStyle w:val="Heading2"/>
      </w:pPr>
      <w:r w:rsidRPr="00972008">
        <w:t xml:space="preserve">Indicateur </w:t>
      </w:r>
      <w:r w:rsidR="007C58F5">
        <w:t xml:space="preserve">no. </w:t>
      </w:r>
      <w:r w:rsidRPr="00972008">
        <w:t>9 – Pourcentage de personnes nouvellement embauchées qui ont moins de 35 ans</w:t>
      </w:r>
      <w:r w:rsidR="00675C13" w:rsidRPr="00972008">
        <w:t xml:space="preserve"> </w:t>
      </w:r>
      <w:r w:rsidR="00675C13" w:rsidRPr="00972008">
        <w:rPr>
          <w:rStyle w:val="Heading2Char"/>
          <w:b/>
          <w:bCs/>
        </w:rPr>
        <w:t>(CFPPSC_I09</w:t>
      </w:r>
      <w:r w:rsidR="00675C13" w:rsidRPr="00972008">
        <w:t>)</w:t>
      </w:r>
    </w:p>
    <w:p w14:paraId="058D6EEA" w14:textId="4FA8D379" w:rsidR="008D476A" w:rsidRPr="00972008" w:rsidRDefault="008D476A" w:rsidP="00407B3F">
      <w:pPr>
        <w:pStyle w:val="ListParagraph"/>
        <w:numPr>
          <w:ilvl w:val="0"/>
          <w:numId w:val="8"/>
        </w:numPr>
        <w:rPr>
          <w:rStyle w:val="Strong"/>
          <w:rFonts w:cs="Arial"/>
          <w:lang w:val="fr-CA"/>
        </w:rPr>
      </w:pPr>
      <w:r w:rsidRPr="00972008">
        <w:rPr>
          <w:rStyle w:val="Strong"/>
          <w:rFonts w:cs="Arial"/>
          <w:lang w:val="fr-CA"/>
        </w:rPr>
        <w:t xml:space="preserve">Source: </w:t>
      </w:r>
      <w:r w:rsidR="00EA4DB9" w:rsidRPr="00972008">
        <w:rPr>
          <w:rFonts w:cs="Arial"/>
          <w:lang w:val="fr-CA"/>
        </w:rPr>
        <w:t>Données d'embauche et de dotation de la CFP</w:t>
      </w:r>
    </w:p>
    <w:p w14:paraId="1DE4C906" w14:textId="7CB78DF8" w:rsidR="008D476A" w:rsidRPr="004E236D" w:rsidRDefault="008D476A" w:rsidP="00407B3F">
      <w:pPr>
        <w:pStyle w:val="ListParagraph"/>
        <w:numPr>
          <w:ilvl w:val="0"/>
          <w:numId w:val="8"/>
        </w:numPr>
        <w:rPr>
          <w:rStyle w:val="Strong"/>
          <w:rFonts w:cs="Arial"/>
          <w:lang w:val="fr-CA"/>
        </w:rPr>
      </w:pPr>
      <w:r w:rsidRPr="00972008">
        <w:rPr>
          <w:rStyle w:val="Strong"/>
          <w:rFonts w:cs="Arial"/>
          <w:lang w:val="fr-CA"/>
        </w:rPr>
        <w:t xml:space="preserve">Description : </w:t>
      </w:r>
      <w:r w:rsidR="00407B3F" w:rsidRPr="00972008">
        <w:rPr>
          <w:rStyle w:val="Strong"/>
          <w:rFonts w:cs="Arial"/>
          <w:b w:val="0"/>
          <w:bCs w:val="0"/>
          <w:lang w:val="fr-CA"/>
        </w:rPr>
        <w:t xml:space="preserve">Cet indicateur mesure le pourcentage de nouveaux employés dans la fonction publique qui ont moins de 35 ans. Cela montre que la CFP contribue à l’objectif de renouvellement du gouvernement du Canada et garantit que la fonction publique reflète bien la diversité des compétences et des professions au Canada. Ces données permettront à la CFP de cibler ses activités de communication et peut-être d’établir des programmes de recrutement spécialisés dans des domaines dans lesquels des écarts </w:t>
      </w:r>
      <w:r w:rsidR="00407B3F" w:rsidRPr="004E236D">
        <w:rPr>
          <w:rStyle w:val="Strong"/>
          <w:rFonts w:cs="Arial"/>
          <w:b w:val="0"/>
          <w:bCs w:val="0"/>
          <w:lang w:val="fr-CA"/>
        </w:rPr>
        <w:t>sont relevés dans la composition démographique de l’effectif de la fonction publique. Cette information sera recueillie au moyen d’une analyse des données de dotation.</w:t>
      </w:r>
    </w:p>
    <w:p w14:paraId="6D009FA1" w14:textId="3CAD6ABB" w:rsidR="008D476A" w:rsidRPr="004E236D" w:rsidRDefault="008D476A" w:rsidP="00407B3F">
      <w:pPr>
        <w:pStyle w:val="ListParagraph"/>
        <w:numPr>
          <w:ilvl w:val="0"/>
          <w:numId w:val="8"/>
        </w:numPr>
        <w:rPr>
          <w:rStyle w:val="Strong"/>
          <w:rFonts w:cs="Arial"/>
          <w:lang w:val="fr-CA"/>
        </w:rPr>
      </w:pPr>
      <w:r w:rsidRPr="004E236D">
        <w:rPr>
          <w:rStyle w:val="Strong"/>
          <w:rFonts w:cs="Arial"/>
          <w:lang w:val="fr-CA"/>
        </w:rPr>
        <w:t xml:space="preserve">Méthodologie : </w:t>
      </w:r>
      <w:r w:rsidR="004E236D" w:rsidRPr="004E236D">
        <w:rPr>
          <w:rStyle w:val="Strong"/>
          <w:rFonts w:cs="Arial"/>
          <w:b w:val="0"/>
          <w:bCs w:val="0"/>
          <w:lang w:val="fr-CA"/>
        </w:rPr>
        <w:t>Nombre total des nouveaux employés de moins de 35 ans nommés pour une durée déterminée ou une période indéterminée, divisé par le nombre total des nouveaux employés nommés pour une durée déterminée ou une période indéterminée.</w:t>
      </w:r>
    </w:p>
    <w:p w14:paraId="5E1FA903" w14:textId="77777777" w:rsidR="00433F89" w:rsidRPr="00A63A3A" w:rsidRDefault="00433F89" w:rsidP="00433F89">
      <w:pPr>
        <w:pStyle w:val="ListParagraph"/>
        <w:numPr>
          <w:ilvl w:val="0"/>
          <w:numId w:val="8"/>
        </w:numPr>
        <w:spacing w:after="160" w:line="259" w:lineRule="auto"/>
        <w:rPr>
          <w:rFonts w:cs="Arial"/>
          <w:lang w:val="fr-CA"/>
        </w:rPr>
      </w:pPr>
      <w:r>
        <w:rPr>
          <w:rFonts w:cs="Arial"/>
          <w:b/>
          <w:lang w:val="fr-CA"/>
        </w:rPr>
        <w:lastRenderedPageBreak/>
        <w:t>Nota :</w:t>
      </w:r>
      <w:r>
        <w:rPr>
          <w:rFonts w:cs="Arial"/>
          <w:b/>
          <w:bCs/>
          <w:lang w:val="fr-CA"/>
        </w:rPr>
        <w:t xml:space="preserve"> </w:t>
      </w:r>
      <w:r w:rsidRPr="00A63A3A">
        <w:rPr>
          <w:rFonts w:cs="Arial"/>
          <w:lang w:val="fr-CA"/>
        </w:rPr>
        <w:t>Les données de ce tableau peuvent ne pas correspondre à d'autres sources publiées car les programmes statistiques utilisés pour produire les données ont chacun leur propre</w:t>
      </w:r>
      <w:r>
        <w:rPr>
          <w:rFonts w:cs="Arial"/>
          <w:lang w:val="fr-CA"/>
        </w:rPr>
        <w:t>s</w:t>
      </w:r>
      <w:r w:rsidRPr="00A63A3A">
        <w:rPr>
          <w:rFonts w:cs="Arial"/>
          <w:lang w:val="fr-CA"/>
        </w:rPr>
        <w:t xml:space="preserve"> norme</w:t>
      </w:r>
      <w:r>
        <w:rPr>
          <w:rFonts w:cs="Arial"/>
          <w:lang w:val="fr-CA"/>
        </w:rPr>
        <w:t>s</w:t>
      </w:r>
      <w:r w:rsidRPr="00A63A3A">
        <w:rPr>
          <w:rFonts w:cs="Arial"/>
          <w:lang w:val="fr-CA"/>
        </w:rPr>
        <w:t xml:space="preserve"> pour l'affichage et l'arrondi</w:t>
      </w:r>
      <w:r>
        <w:rPr>
          <w:rFonts w:cs="Arial"/>
          <w:lang w:val="fr-CA"/>
        </w:rPr>
        <w:t>ssement</w:t>
      </w:r>
      <w:r w:rsidRPr="00A63A3A">
        <w:rPr>
          <w:rFonts w:cs="Arial"/>
          <w:lang w:val="fr-CA"/>
        </w:rPr>
        <w:t xml:space="preserve"> des nombres décimaux.  </w:t>
      </w:r>
    </w:p>
    <w:p w14:paraId="4BF8C305" w14:textId="63E4637E" w:rsidR="008D476A" w:rsidRPr="00F33DE9" w:rsidRDefault="008D476A" w:rsidP="00407B3F">
      <w:pPr>
        <w:pStyle w:val="ListParagraph"/>
        <w:numPr>
          <w:ilvl w:val="0"/>
          <w:numId w:val="8"/>
        </w:numPr>
        <w:rPr>
          <w:rStyle w:val="Strong"/>
          <w:rFonts w:cs="Arial"/>
          <w:lang w:val="fr-CA"/>
        </w:rPr>
      </w:pPr>
      <w:r w:rsidRPr="004E236D">
        <w:rPr>
          <w:rStyle w:val="Strong"/>
          <w:rFonts w:cs="Arial"/>
          <w:lang w:val="fr-CA"/>
        </w:rPr>
        <w:t>Not</w:t>
      </w:r>
      <w:r w:rsidR="00C4318E" w:rsidRPr="004E236D">
        <w:rPr>
          <w:rStyle w:val="Strong"/>
          <w:rFonts w:cs="Arial"/>
          <w:lang w:val="fr-CA"/>
        </w:rPr>
        <w:t>a</w:t>
      </w:r>
      <w:r w:rsidRPr="004E236D">
        <w:rPr>
          <w:rStyle w:val="Strong"/>
          <w:rFonts w:cs="Arial"/>
          <w:lang w:val="fr-CA"/>
        </w:rPr>
        <w:t> :</w:t>
      </w:r>
      <w:r w:rsidRPr="004E236D">
        <w:rPr>
          <w:rStyle w:val="Strong"/>
          <w:rFonts w:cs="Arial"/>
          <w:b w:val="0"/>
          <w:bCs w:val="0"/>
          <w:lang w:val="fr-CA"/>
        </w:rPr>
        <w:t xml:space="preserve"> </w:t>
      </w:r>
      <w:r w:rsidR="00B11B6D" w:rsidRPr="004E236D">
        <w:rPr>
          <w:rStyle w:val="Strong"/>
          <w:rFonts w:cs="Arial"/>
          <w:b w:val="0"/>
          <w:bCs w:val="0"/>
          <w:lang w:val="fr-CA"/>
        </w:rPr>
        <w:t xml:space="preserve">Personnes nouvellement embauchées : Personnes embauchées dans le cadre d’un processus de sélection externe visant un poste de durée déterminée ou pour une période indéterminée dans la fonction publique. Ces personnes n’ont pas occupé auparavant un poste de durée déterminée ou pour une période indéterminée aux termes </w:t>
      </w:r>
      <w:r w:rsidR="00B11B6D" w:rsidRPr="00F33DE9">
        <w:rPr>
          <w:rStyle w:val="Strong"/>
          <w:rFonts w:cs="Arial"/>
          <w:b w:val="0"/>
          <w:bCs w:val="0"/>
          <w:lang w:val="fr-CA"/>
        </w:rPr>
        <w:t>de la Loi sur l’emploi dans la fonction publique.</w:t>
      </w:r>
    </w:p>
    <w:p w14:paraId="626011E8" w14:textId="77777777" w:rsidR="003F1337" w:rsidRPr="00F33DE9" w:rsidRDefault="003F1337" w:rsidP="003F1337">
      <w:pPr>
        <w:pStyle w:val="ListParagraph"/>
        <w:numPr>
          <w:ilvl w:val="0"/>
          <w:numId w:val="8"/>
        </w:numPr>
        <w:rPr>
          <w:rFonts w:cs="Arial"/>
          <w:lang w:val="fr-CA"/>
        </w:rPr>
      </w:pPr>
      <w:r w:rsidRPr="00F33DE9">
        <w:rPr>
          <w:rFonts w:cs="Arial"/>
          <w:b/>
          <w:lang w:val="fr-CA"/>
        </w:rPr>
        <w:t>Nota :</w:t>
      </w:r>
      <w:r w:rsidRPr="00F33DE9">
        <w:rPr>
          <w:rFonts w:cs="Arial"/>
          <w:lang w:val="fr-CA"/>
        </w:rPr>
        <w:t xml:space="preserve"> Seules les nominations / notifications estimées pour une durée déterminée et indéterminée sont incluses (les mutations, les nominations occasionnelles et intérimaires sont exclues).</w:t>
      </w:r>
    </w:p>
    <w:p w14:paraId="6F115FF6" w14:textId="77777777" w:rsidR="00276B4A" w:rsidRPr="00F33DE9" w:rsidRDefault="00276B4A" w:rsidP="00276B4A">
      <w:pPr>
        <w:pStyle w:val="ListParagraph"/>
        <w:numPr>
          <w:ilvl w:val="0"/>
          <w:numId w:val="8"/>
        </w:numPr>
        <w:rPr>
          <w:rFonts w:cs="Arial"/>
          <w:lang w:val="fr-CA"/>
        </w:rPr>
      </w:pPr>
      <w:r w:rsidRPr="00F33DE9">
        <w:rPr>
          <w:rFonts w:cs="Arial"/>
          <w:b/>
          <w:lang w:val="fr-CA"/>
        </w:rPr>
        <w:t>Nota :</w:t>
      </w:r>
      <w:r w:rsidRPr="00F33DE9">
        <w:rPr>
          <w:rFonts w:cs="Arial"/>
          <w:lang w:val="fr-CA"/>
        </w:rPr>
        <w:t xml:space="preserve"> Les données sur les activités d’embauche et de dotation sont tirées du fichier des titulaires du Secrétariat du Conseil du Trésor. Ce fichier provient du système de paye de Services publics et Approvisionnement Canada. La Commission de la fonction publique (CFP) a créé une série d’algorithmes permettant de produire le registre officiel des activités d’embauche et de dotation à la fonction publique fédérale, d’après les dossiers de rémunération soumis par les organisations. </w:t>
      </w:r>
    </w:p>
    <w:p w14:paraId="1A02337A" w14:textId="77777777" w:rsidR="006F5845" w:rsidRPr="00F33DE9" w:rsidRDefault="006F5845" w:rsidP="006F5845">
      <w:pPr>
        <w:pStyle w:val="ListParagraph"/>
        <w:numPr>
          <w:ilvl w:val="0"/>
          <w:numId w:val="8"/>
        </w:numPr>
        <w:rPr>
          <w:rFonts w:cs="Arial"/>
          <w:lang w:val="fr-CA"/>
        </w:rPr>
      </w:pPr>
      <w:r w:rsidRPr="00F33DE9">
        <w:rPr>
          <w:rFonts w:cs="Arial"/>
          <w:b/>
          <w:lang w:val="fr-CA"/>
        </w:rPr>
        <w:t>Nota :</w:t>
      </w:r>
      <w:r w:rsidRPr="00F33DE9">
        <w:rPr>
          <w:rFonts w:cs="Arial"/>
          <w:lang w:val="fr-CA"/>
        </w:rPr>
        <w:t xml:space="preserve"> Les activités d’embauche comprennent toutes les nominations à la fonction publique, à des postes de durée déterminée ou indéterminée, l’embauche de personnel occasionnel aux termes du paragraphe 50(1) de la </w:t>
      </w:r>
      <w:r w:rsidRPr="00F33DE9">
        <w:rPr>
          <w:rFonts w:cs="Arial"/>
          <w:i/>
          <w:iCs/>
          <w:lang w:val="fr-CA"/>
        </w:rPr>
        <w:t>Loi sur l’emploi dans la fonction publique</w:t>
      </w:r>
      <w:r w:rsidRPr="00F33DE9">
        <w:rPr>
          <w:rFonts w:cs="Arial"/>
          <w:lang w:val="fr-CA"/>
        </w:rPr>
        <w:t xml:space="preserve"> (LEFP) et l’embauche d’étudiants en vertu du Décret d’exemption concernant les participants aux programmes d’embauche d’étudiants. Les nominations à la fonction publique à des postes de durée déterminée ou indéterminée comprennent les nominations aux postes ouverts au public, y compris les anciens employés occasionnels, les étudiants et les employés des organisations gouvernementales non assujetties à la LEFP.</w:t>
      </w:r>
    </w:p>
    <w:p w14:paraId="78E26AAF" w14:textId="77777777" w:rsidR="00A63A3A" w:rsidRPr="00A63A3A" w:rsidRDefault="006F5845" w:rsidP="004177D2">
      <w:pPr>
        <w:pStyle w:val="ListParagraph"/>
        <w:numPr>
          <w:ilvl w:val="0"/>
          <w:numId w:val="8"/>
        </w:numPr>
        <w:spacing w:after="160" w:line="259" w:lineRule="auto"/>
        <w:rPr>
          <w:rFonts w:cs="Arial"/>
          <w:b/>
          <w:lang w:val="fr-CA"/>
        </w:rPr>
      </w:pPr>
      <w:r w:rsidRPr="00F33DE9">
        <w:rPr>
          <w:rFonts w:cs="Arial"/>
          <w:b/>
          <w:lang w:val="fr-CA"/>
        </w:rPr>
        <w:t>Nota:</w:t>
      </w:r>
      <w:r w:rsidRPr="00F33DE9">
        <w:rPr>
          <w:rFonts w:cs="Arial"/>
          <w:lang w:val="fr-CA"/>
        </w:rPr>
        <w:t xml:space="preserve"> Les embauches indéterminées incluent les nouvelles embauches externes indéterminées et n'incluent pas les conversions de durée </w:t>
      </w:r>
      <w:proofErr w:type="spellStart"/>
      <w:r w:rsidRPr="00F33DE9">
        <w:rPr>
          <w:rFonts w:cs="Arial"/>
          <w:lang w:val="fr-CA"/>
        </w:rPr>
        <w:t>déterminate</w:t>
      </w:r>
      <w:proofErr w:type="spellEnd"/>
      <w:r w:rsidRPr="00F33DE9">
        <w:rPr>
          <w:rFonts w:cs="Arial"/>
          <w:lang w:val="fr-CA"/>
        </w:rPr>
        <w:t xml:space="preserve"> à indéterminée.</w:t>
      </w:r>
    </w:p>
    <w:p w14:paraId="2B65AA0F" w14:textId="21861BCE" w:rsidR="004177D2" w:rsidRPr="00F33DE9" w:rsidRDefault="004177D2" w:rsidP="00FC1A9C">
      <w:pPr>
        <w:pStyle w:val="Heading2"/>
      </w:pPr>
      <w:r w:rsidRPr="00F33DE9">
        <w:t xml:space="preserve">Indicateur </w:t>
      </w:r>
      <w:r w:rsidR="007C58F5" w:rsidRPr="00F33DE9">
        <w:t xml:space="preserve">no. </w:t>
      </w:r>
      <w:r w:rsidRPr="00F33DE9">
        <w:t>11 – Pourcentage de personnes nouvellement embauchées qui ont postulé à l’extérieur de la région de la capitale nationale</w:t>
      </w:r>
      <w:r w:rsidR="00EE3196" w:rsidRPr="00F33DE9">
        <w:t xml:space="preserve"> (CFPPSC_I11)</w:t>
      </w:r>
    </w:p>
    <w:p w14:paraId="36D56591" w14:textId="1DA1456F" w:rsidR="008D476A" w:rsidRPr="00F33DE9" w:rsidRDefault="008D476A" w:rsidP="002D77F4">
      <w:pPr>
        <w:pStyle w:val="ListParagraph"/>
        <w:numPr>
          <w:ilvl w:val="0"/>
          <w:numId w:val="11"/>
        </w:numPr>
        <w:rPr>
          <w:rStyle w:val="Strong"/>
          <w:rFonts w:eastAsia="Times New Roman" w:cs="Arial"/>
          <w:b w:val="0"/>
          <w:bCs w:val="0"/>
          <w:color w:val="000000"/>
          <w:lang w:val="fr-CA" w:eastAsia="en-CA"/>
        </w:rPr>
      </w:pPr>
      <w:r w:rsidRPr="00F33DE9">
        <w:rPr>
          <w:rStyle w:val="Strong"/>
          <w:rFonts w:cs="Arial"/>
          <w:lang w:val="fr-CA"/>
        </w:rPr>
        <w:t xml:space="preserve">Source: </w:t>
      </w:r>
      <w:r w:rsidR="002D77F4" w:rsidRPr="00F33DE9">
        <w:rPr>
          <w:rFonts w:eastAsia="Times New Roman" w:cs="Arial"/>
          <w:color w:val="000000"/>
          <w:lang w:val="fr-CA" w:eastAsia="en-CA"/>
        </w:rPr>
        <w:t>SRFP, et Dossier d'embauche et de dotation de la CFP</w:t>
      </w:r>
    </w:p>
    <w:p w14:paraId="33A62BBE" w14:textId="298F78F9" w:rsidR="008D476A" w:rsidRPr="00F33DE9" w:rsidRDefault="008D476A" w:rsidP="001B0901">
      <w:pPr>
        <w:pStyle w:val="ListParagraph"/>
        <w:numPr>
          <w:ilvl w:val="0"/>
          <w:numId w:val="10"/>
        </w:numPr>
        <w:rPr>
          <w:rStyle w:val="Strong"/>
          <w:rFonts w:cs="Arial"/>
          <w:lang w:val="fr-CA"/>
        </w:rPr>
      </w:pPr>
      <w:r w:rsidRPr="00F33DE9">
        <w:rPr>
          <w:rStyle w:val="Strong"/>
          <w:rFonts w:cs="Arial"/>
          <w:lang w:val="fr-CA"/>
        </w:rPr>
        <w:t xml:space="preserve">Description : </w:t>
      </w:r>
      <w:r w:rsidR="00D31031" w:rsidRPr="00F33DE9">
        <w:rPr>
          <w:rStyle w:val="Strong"/>
          <w:rFonts w:cs="Arial"/>
          <w:b w:val="0"/>
          <w:bCs w:val="0"/>
          <w:lang w:val="fr-CA"/>
        </w:rPr>
        <w:t>Cet indicateur tient compte de la situation géographique des personnes nouvellement embauchées dans la fonction publique au moment où elles ont posé leur candidature à un poste dans la fonction publique. Cela montre comment la CFP contribue à garantir que la fonction publique recrute du personnel dans toutes les régions du pays pour refléter la diversité du Canada. Les écarts relevés par rapport à cette mesure aideront la CFP à cibler ses activités de communication dans les régions du pays qui peuvent être sous-représentées par rapport à l’embauche dans la fonction publique. Cette information sera recueillie au moyen d’une analyse des données de dotation.</w:t>
      </w:r>
    </w:p>
    <w:p w14:paraId="1DBA9CB8" w14:textId="77777777" w:rsidR="00846F4C" w:rsidRPr="00F33DE9" w:rsidRDefault="008D476A" w:rsidP="00006EEC">
      <w:pPr>
        <w:pStyle w:val="ListParagraph"/>
        <w:numPr>
          <w:ilvl w:val="0"/>
          <w:numId w:val="10"/>
        </w:numPr>
        <w:rPr>
          <w:rStyle w:val="Strong"/>
          <w:rFonts w:cs="Arial"/>
          <w:b w:val="0"/>
          <w:bCs w:val="0"/>
          <w:lang w:val="fr-CA"/>
        </w:rPr>
      </w:pPr>
      <w:r w:rsidRPr="00F33DE9">
        <w:rPr>
          <w:rStyle w:val="Strong"/>
          <w:rFonts w:cs="Arial"/>
          <w:lang w:val="fr-CA"/>
        </w:rPr>
        <w:t>Méthodologie</w:t>
      </w:r>
      <w:r w:rsidR="00846F4C" w:rsidRPr="00F33DE9">
        <w:rPr>
          <w:rStyle w:val="Strong"/>
          <w:rFonts w:cs="Arial"/>
          <w:lang w:val="fr-CA"/>
        </w:rPr>
        <w:t> :</w:t>
      </w:r>
      <w:r w:rsidRPr="00F33DE9">
        <w:rPr>
          <w:rStyle w:val="Strong"/>
          <w:rFonts w:cs="Arial"/>
          <w:lang w:val="fr-CA"/>
        </w:rPr>
        <w:t> </w:t>
      </w:r>
      <w:r w:rsidR="00846F4C" w:rsidRPr="00F33DE9">
        <w:rPr>
          <w:rStyle w:val="Strong"/>
          <w:rFonts w:cs="Arial"/>
          <w:b w:val="0"/>
          <w:bCs w:val="0"/>
          <w:lang w:val="fr-CA"/>
        </w:rPr>
        <w:t>Le nombre de personnes nouvellement embauchées dans le cadre d’un processus de sélection externe annoncé (visant un poste de durée déterminée ou pour une période indéterminée) qui provenaient de l’extérieur de la Région de la capitale nationale, divisé par le nombre total de personnes nouvellement embauchées dans le cadre de processus de sélection externe</w:t>
      </w:r>
      <w:r w:rsidR="00846F4C" w:rsidRPr="00F33DE9">
        <w:rPr>
          <w:rStyle w:val="Strong"/>
          <w:rFonts w:cs="Arial"/>
          <w:lang w:val="fr-CA"/>
        </w:rPr>
        <w:t xml:space="preserve"> </w:t>
      </w:r>
      <w:r w:rsidR="00846F4C" w:rsidRPr="00F33DE9">
        <w:rPr>
          <w:rStyle w:val="Strong"/>
          <w:rFonts w:cs="Arial"/>
          <w:b w:val="0"/>
          <w:bCs w:val="0"/>
          <w:lang w:val="fr-CA"/>
        </w:rPr>
        <w:t>annoncé.</w:t>
      </w:r>
      <w:r w:rsidR="00846F4C" w:rsidRPr="00F33DE9">
        <w:rPr>
          <w:rStyle w:val="Strong"/>
          <w:rFonts w:cs="Arial"/>
          <w:lang w:val="fr-CA"/>
        </w:rPr>
        <w:t xml:space="preserve"> </w:t>
      </w:r>
    </w:p>
    <w:p w14:paraId="69104F07" w14:textId="0EBA577A" w:rsidR="001646C7" w:rsidRPr="00F33DE9" w:rsidRDefault="008D476A" w:rsidP="00006EEC">
      <w:pPr>
        <w:pStyle w:val="ListParagraph"/>
        <w:numPr>
          <w:ilvl w:val="0"/>
          <w:numId w:val="10"/>
        </w:numPr>
        <w:rPr>
          <w:rStyle w:val="Strong"/>
          <w:rFonts w:cs="Arial"/>
          <w:b w:val="0"/>
          <w:bCs w:val="0"/>
          <w:lang w:val="fr-CA"/>
        </w:rPr>
      </w:pPr>
      <w:r w:rsidRPr="00F33DE9">
        <w:rPr>
          <w:rStyle w:val="Strong"/>
          <w:rFonts w:cs="Arial"/>
          <w:lang w:val="fr-CA"/>
        </w:rPr>
        <w:t>Not</w:t>
      </w:r>
      <w:r w:rsidR="00C4318E" w:rsidRPr="00F33DE9">
        <w:rPr>
          <w:rStyle w:val="Strong"/>
          <w:rFonts w:cs="Arial"/>
          <w:lang w:val="fr-CA"/>
        </w:rPr>
        <w:t>a</w:t>
      </w:r>
      <w:r w:rsidRPr="00F33DE9">
        <w:rPr>
          <w:rStyle w:val="Strong"/>
          <w:rFonts w:cs="Arial"/>
          <w:lang w:val="fr-CA"/>
        </w:rPr>
        <w:t> :</w:t>
      </w:r>
      <w:r w:rsidRPr="00F33DE9">
        <w:rPr>
          <w:rStyle w:val="Strong"/>
          <w:rFonts w:cs="Arial"/>
          <w:b w:val="0"/>
          <w:bCs w:val="0"/>
          <w:lang w:val="fr-CA"/>
        </w:rPr>
        <w:t xml:space="preserve"> </w:t>
      </w:r>
      <w:r w:rsidR="001646C7" w:rsidRPr="00F33DE9">
        <w:rPr>
          <w:rStyle w:val="Strong"/>
          <w:rFonts w:cs="Arial"/>
          <w:b w:val="0"/>
          <w:bCs w:val="0"/>
          <w:lang w:val="fr-CA"/>
        </w:rPr>
        <w:t xml:space="preserve">Personnes nouvellement embauchées : Personnes embauchées dans le cadre d’un processus externe visant un poste de durée déterminée ou pour une période indéterminée dans la fonction publique. Ces personnes n’ont pas occupé auparavant un </w:t>
      </w:r>
      <w:r w:rsidR="001646C7" w:rsidRPr="00F33DE9">
        <w:rPr>
          <w:rStyle w:val="Strong"/>
          <w:rFonts w:cs="Arial"/>
          <w:b w:val="0"/>
          <w:bCs w:val="0"/>
          <w:lang w:val="fr-CA"/>
        </w:rPr>
        <w:lastRenderedPageBreak/>
        <w:t xml:space="preserve">poste de durée déterminée ou pour une période indéterminée aux termes de la Loi sur l’emploi dans la fonction publique. </w:t>
      </w:r>
    </w:p>
    <w:p w14:paraId="67914B20" w14:textId="3F0874FD" w:rsidR="008D476A" w:rsidRPr="00F33DE9" w:rsidRDefault="001646C7" w:rsidP="001B0901">
      <w:pPr>
        <w:pStyle w:val="ListParagraph"/>
        <w:numPr>
          <w:ilvl w:val="0"/>
          <w:numId w:val="10"/>
        </w:numPr>
        <w:rPr>
          <w:rStyle w:val="Strong"/>
          <w:rFonts w:cs="Arial"/>
          <w:lang w:val="fr-CA"/>
        </w:rPr>
      </w:pPr>
      <w:r w:rsidRPr="00F33DE9">
        <w:rPr>
          <w:rStyle w:val="Strong"/>
          <w:rFonts w:cs="Arial"/>
          <w:lang w:val="fr-CA"/>
        </w:rPr>
        <w:t>Not</w:t>
      </w:r>
      <w:r w:rsidR="00C4318E" w:rsidRPr="00F33DE9">
        <w:rPr>
          <w:rStyle w:val="Strong"/>
          <w:rFonts w:cs="Arial"/>
          <w:lang w:val="fr-CA"/>
        </w:rPr>
        <w:t>a</w:t>
      </w:r>
      <w:r w:rsidR="001B0901" w:rsidRPr="00F33DE9">
        <w:rPr>
          <w:rStyle w:val="Strong"/>
          <w:rFonts w:cs="Arial"/>
          <w:lang w:val="fr-CA"/>
        </w:rPr>
        <w:t xml:space="preserve"> </w:t>
      </w:r>
      <w:r w:rsidRPr="00F33DE9">
        <w:rPr>
          <w:rStyle w:val="Strong"/>
          <w:rFonts w:cs="Arial"/>
          <w:lang w:val="fr-CA"/>
        </w:rPr>
        <w:t>:</w:t>
      </w:r>
      <w:r w:rsidRPr="00F33DE9">
        <w:rPr>
          <w:rStyle w:val="Strong"/>
          <w:rFonts w:cs="Arial"/>
          <w:b w:val="0"/>
          <w:bCs w:val="0"/>
          <w:lang w:val="fr-CA"/>
        </w:rPr>
        <w:t xml:space="preserve"> L’origine géographique des personnes nouvellement embauchées sera </w:t>
      </w:r>
      <w:r w:rsidR="001B0901" w:rsidRPr="00F33DE9">
        <w:rPr>
          <w:rStyle w:val="Strong"/>
          <w:rFonts w:cs="Arial"/>
          <w:b w:val="0"/>
          <w:bCs w:val="0"/>
          <w:lang w:val="fr-CA"/>
        </w:rPr>
        <w:t>déterminée</w:t>
      </w:r>
      <w:r w:rsidRPr="00F33DE9">
        <w:rPr>
          <w:rStyle w:val="Strong"/>
          <w:rFonts w:cs="Arial"/>
          <w:b w:val="0"/>
          <w:bCs w:val="0"/>
          <w:lang w:val="fr-CA"/>
        </w:rPr>
        <w:t xml:space="preserve"> d’après l’adresse de résidence indiquée dans la demande d’emploi soumise par l’entremise du Système de ressourcement de la fonction publique (SRFP) afin de postuler n’importe quel poste à la fonction publique fédérale du Canada. Le calcul tiendra compte uniquement des activités de dotation enregistrées dans le SRFP. Le taux de jumelage est d’environ 80 %.</w:t>
      </w:r>
    </w:p>
    <w:p w14:paraId="3343EADB" w14:textId="77777777" w:rsidR="00E77BC6" w:rsidRPr="00F33DE9" w:rsidRDefault="00E77BC6" w:rsidP="00E77BC6">
      <w:pPr>
        <w:pStyle w:val="ListParagraph"/>
        <w:numPr>
          <w:ilvl w:val="0"/>
          <w:numId w:val="10"/>
        </w:numPr>
        <w:rPr>
          <w:rFonts w:cs="Arial"/>
          <w:lang w:val="fr-CA"/>
        </w:rPr>
      </w:pPr>
      <w:r w:rsidRPr="00F33DE9">
        <w:rPr>
          <w:rFonts w:cs="Arial"/>
          <w:b/>
          <w:lang w:val="fr-CA"/>
        </w:rPr>
        <w:t>Nota :</w:t>
      </w:r>
      <w:r w:rsidRPr="00F33DE9">
        <w:rPr>
          <w:rFonts w:cs="Arial"/>
          <w:lang w:val="fr-CA"/>
        </w:rPr>
        <w:t xml:space="preserve"> Les données sur les activités d’embauche et de dotation sont tirées du fichier des titulaires du Secrétariat du Conseil du Trésor. Ce fichier provient du système de paye de Services publics et Approvisionnement Canada. La Commission de la fonction publique (CFP) a créé une série d’algorithmes permettant de produire le registre officiel des activités d’embauche et de dotation à la fonction publique fédérale, d’après les dossiers de rémunération soumis par les organisations. </w:t>
      </w:r>
    </w:p>
    <w:p w14:paraId="39EB4EB8" w14:textId="77777777" w:rsidR="00507EE5" w:rsidRPr="00F33DE9" w:rsidRDefault="00507EE5" w:rsidP="00507EE5">
      <w:pPr>
        <w:pStyle w:val="ListParagraph"/>
        <w:numPr>
          <w:ilvl w:val="0"/>
          <w:numId w:val="10"/>
        </w:numPr>
        <w:rPr>
          <w:rFonts w:cs="Arial"/>
          <w:lang w:val="fr-CA"/>
        </w:rPr>
      </w:pPr>
      <w:r w:rsidRPr="00F33DE9">
        <w:rPr>
          <w:rFonts w:cs="Arial"/>
          <w:b/>
          <w:lang w:val="fr-CA"/>
        </w:rPr>
        <w:t>Nota :</w:t>
      </w:r>
      <w:r w:rsidRPr="00F33DE9">
        <w:rPr>
          <w:rFonts w:cs="Arial"/>
          <w:lang w:val="fr-CA"/>
        </w:rPr>
        <w:t xml:space="preserve"> Les activités d’embauche comprennent toutes les nominations à la fonction publique, à des postes de durée déterminée ou indéterminée, l’embauche de personnel occasionnel aux termes du paragraphe 50(1) de la </w:t>
      </w:r>
      <w:r w:rsidRPr="00F33DE9">
        <w:rPr>
          <w:rFonts w:cs="Arial"/>
          <w:i/>
          <w:iCs/>
          <w:lang w:val="fr-CA"/>
        </w:rPr>
        <w:t>Loi sur l’emploi dans la fonction publique</w:t>
      </w:r>
      <w:r w:rsidRPr="00F33DE9">
        <w:rPr>
          <w:rFonts w:cs="Arial"/>
          <w:lang w:val="fr-CA"/>
        </w:rPr>
        <w:t xml:space="preserve"> (LEFP) et l’embauche d’étudiants en vertu du Décret d’exemption concernant les participants aux programmes d’embauche d’étudiants. Les nominations à la fonction publique à des postes de durée déterminée ou indéterminée comprennent les nominations aux postes ouverts au public, y compris les anciens employés occasionnels, les étudiants et les employés des organisations gouvernementales non assujetties à la LEFP.</w:t>
      </w:r>
    </w:p>
    <w:p w14:paraId="0532363E" w14:textId="77777777" w:rsidR="00775AF8" w:rsidRPr="00F33DE9" w:rsidRDefault="00775AF8" w:rsidP="00775AF8">
      <w:pPr>
        <w:pStyle w:val="ListParagraph"/>
        <w:numPr>
          <w:ilvl w:val="0"/>
          <w:numId w:val="10"/>
        </w:numPr>
        <w:rPr>
          <w:rFonts w:cs="Arial"/>
          <w:lang w:val="fr-CA"/>
        </w:rPr>
      </w:pPr>
      <w:r w:rsidRPr="00F33DE9">
        <w:rPr>
          <w:rFonts w:cs="Arial"/>
          <w:b/>
          <w:lang w:val="fr-CA"/>
        </w:rPr>
        <w:t>Nota :</w:t>
      </w:r>
      <w:r w:rsidRPr="00F33DE9">
        <w:rPr>
          <w:rFonts w:cs="Arial"/>
          <w:lang w:val="fr-CA"/>
        </w:rPr>
        <w:t xml:space="preserve"> Seules les nominations / notifications estimées pour une durée déterminée et indéterminée sont incluses (les mutations, les nominations occasionnelles et intérimaires sont exclues).</w:t>
      </w:r>
    </w:p>
    <w:p w14:paraId="27EA2644" w14:textId="77777777" w:rsidR="00F33DE9" w:rsidRDefault="00F33DE9" w:rsidP="00F33DE9">
      <w:pPr>
        <w:pStyle w:val="ListParagraph"/>
        <w:numPr>
          <w:ilvl w:val="0"/>
          <w:numId w:val="10"/>
        </w:numPr>
        <w:rPr>
          <w:rFonts w:cs="Arial"/>
          <w:lang w:val="fr-CA"/>
        </w:rPr>
      </w:pPr>
      <w:r w:rsidRPr="00F33DE9">
        <w:rPr>
          <w:rFonts w:cs="Arial"/>
          <w:b/>
          <w:lang w:val="fr-CA"/>
        </w:rPr>
        <w:t>Nota:</w:t>
      </w:r>
      <w:r w:rsidRPr="00F33DE9">
        <w:rPr>
          <w:rFonts w:cs="Arial"/>
          <w:lang w:val="fr-CA"/>
        </w:rPr>
        <w:t xml:space="preserve"> Les embauches indéterminées incluent les nouvelles embauches externes indéterminées et n'incluent pas les conversions de durée </w:t>
      </w:r>
      <w:proofErr w:type="spellStart"/>
      <w:r w:rsidRPr="00F33DE9">
        <w:rPr>
          <w:rFonts w:cs="Arial"/>
          <w:lang w:val="fr-CA"/>
        </w:rPr>
        <w:t>déterminate</w:t>
      </w:r>
      <w:proofErr w:type="spellEnd"/>
      <w:r w:rsidRPr="00F33DE9">
        <w:rPr>
          <w:rFonts w:cs="Arial"/>
          <w:lang w:val="fr-CA"/>
        </w:rPr>
        <w:t xml:space="preserve"> à indéterminée.</w:t>
      </w:r>
    </w:p>
    <w:p w14:paraId="4201818C" w14:textId="77777777" w:rsidR="008759E7" w:rsidRPr="00F33DE9" w:rsidRDefault="008759E7" w:rsidP="004177D2">
      <w:pPr>
        <w:rPr>
          <w:rFonts w:cs="Arial"/>
          <w:lang w:val="fr-CA"/>
        </w:rPr>
      </w:pPr>
    </w:p>
    <w:p w14:paraId="060948E3" w14:textId="77777777" w:rsidR="008D23A6" w:rsidRPr="00972008" w:rsidRDefault="008D23A6" w:rsidP="0033358C">
      <w:pPr>
        <w:pStyle w:val="Heading1"/>
        <w:rPr>
          <w:rFonts w:ascii="Arial" w:hAnsi="Arial" w:cs="Arial"/>
          <w:b/>
          <w:color w:val="auto"/>
          <w:sz w:val="22"/>
          <w:szCs w:val="22"/>
          <w:lang w:val="fr-CA"/>
        </w:rPr>
      </w:pPr>
      <w:r w:rsidRPr="00972008">
        <w:rPr>
          <w:rFonts w:ascii="Arial" w:hAnsi="Arial" w:cs="Arial"/>
          <w:b/>
          <w:color w:val="auto"/>
          <w:sz w:val="22"/>
          <w:szCs w:val="22"/>
          <w:lang w:val="fr-CA"/>
        </w:rPr>
        <w:t>G</w:t>
      </w:r>
      <w:r w:rsidR="0082493C" w:rsidRPr="00972008">
        <w:rPr>
          <w:rFonts w:ascii="Arial" w:hAnsi="Arial" w:cs="Arial"/>
          <w:b/>
          <w:color w:val="auto"/>
          <w:sz w:val="22"/>
          <w:szCs w:val="22"/>
          <w:lang w:val="fr-CA"/>
        </w:rPr>
        <w:t>lossaire</w:t>
      </w:r>
    </w:p>
    <w:tbl>
      <w:tblPr>
        <w:tblStyle w:val="TableGrid"/>
        <w:tblpPr w:leftFromText="180" w:rightFromText="180" w:vertAnchor="text" w:horzAnchor="margin" w:tblpY="240"/>
        <w:tblW w:w="5000" w:type="pct"/>
        <w:tblLook w:val="04A0" w:firstRow="1" w:lastRow="0" w:firstColumn="1" w:lastColumn="0" w:noHBand="0" w:noVBand="1"/>
        <w:tblCaption w:val="Glossaire"/>
      </w:tblPr>
      <w:tblGrid>
        <w:gridCol w:w="3256"/>
        <w:gridCol w:w="6094"/>
      </w:tblGrid>
      <w:tr w:rsidR="00B51CE0" w:rsidRPr="00972008" w14:paraId="47E5BB80" w14:textId="77777777" w:rsidTr="009D1B99">
        <w:trPr>
          <w:tblHeader/>
        </w:trPr>
        <w:tc>
          <w:tcPr>
            <w:tcW w:w="1741" w:type="pct"/>
            <w:shd w:val="clear" w:color="auto" w:fill="01A895"/>
          </w:tcPr>
          <w:p w14:paraId="2D3DD980" w14:textId="77777777" w:rsidR="008D23A6" w:rsidRPr="00972008" w:rsidRDefault="008D23A6" w:rsidP="003F7425">
            <w:pPr>
              <w:rPr>
                <w:rFonts w:cs="Arial"/>
                <w:b/>
                <w:color w:val="FFFFFF" w:themeColor="background1"/>
                <w:lang w:val="fr-CA"/>
              </w:rPr>
            </w:pPr>
            <w:r w:rsidRPr="00972008">
              <w:rPr>
                <w:rFonts w:cs="Arial"/>
                <w:b/>
                <w:color w:val="FFFFFF" w:themeColor="background1"/>
                <w:lang w:val="fr-CA"/>
              </w:rPr>
              <w:t>Nom d</w:t>
            </w:r>
            <w:r w:rsidR="00BE64EE" w:rsidRPr="00972008">
              <w:rPr>
                <w:rFonts w:cs="Arial"/>
                <w:b/>
                <w:color w:val="FFFFFF" w:themeColor="background1"/>
                <w:lang w:val="fr-CA"/>
              </w:rPr>
              <w:t>e l</w:t>
            </w:r>
            <w:r w:rsidRPr="00972008">
              <w:rPr>
                <w:rFonts w:cs="Arial"/>
                <w:b/>
                <w:color w:val="FFFFFF" w:themeColor="background1"/>
                <w:lang w:val="fr-CA"/>
              </w:rPr>
              <w:t>'attribut</w:t>
            </w:r>
          </w:p>
        </w:tc>
        <w:tc>
          <w:tcPr>
            <w:tcW w:w="3259" w:type="pct"/>
            <w:shd w:val="clear" w:color="auto" w:fill="01A895"/>
          </w:tcPr>
          <w:p w14:paraId="38CDBD58" w14:textId="77777777" w:rsidR="008D23A6" w:rsidRPr="00972008" w:rsidRDefault="00BD0A6F" w:rsidP="003F7425">
            <w:pPr>
              <w:rPr>
                <w:rFonts w:cs="Arial"/>
                <w:b/>
                <w:color w:val="FFFFFF" w:themeColor="background1"/>
                <w:lang w:val="fr-CA"/>
              </w:rPr>
            </w:pPr>
            <w:r w:rsidRPr="00972008">
              <w:rPr>
                <w:rFonts w:cs="Arial"/>
                <w:b/>
                <w:color w:val="FFFFFF" w:themeColor="background1"/>
                <w:lang w:val="fr-CA"/>
              </w:rPr>
              <w:t>Définition</w:t>
            </w:r>
          </w:p>
        </w:tc>
      </w:tr>
      <w:tr w:rsidR="00E4093D" w:rsidRPr="00972008" w14:paraId="448CC92A" w14:textId="77777777" w:rsidTr="0033358C">
        <w:tc>
          <w:tcPr>
            <w:tcW w:w="1741" w:type="pct"/>
          </w:tcPr>
          <w:p w14:paraId="5356F1DE" w14:textId="788E60BF" w:rsidR="00E4093D" w:rsidRPr="005536C3" w:rsidRDefault="00E4093D" w:rsidP="00E4093D">
            <w:pPr>
              <w:rPr>
                <w:rFonts w:cs="Arial"/>
              </w:rPr>
            </w:pPr>
            <w:r w:rsidRPr="005536C3">
              <w:rPr>
                <w:rFonts w:cs="Arial"/>
                <w:color w:val="000000"/>
              </w:rPr>
              <w:t>age</w:t>
            </w:r>
          </w:p>
        </w:tc>
        <w:tc>
          <w:tcPr>
            <w:tcW w:w="3259" w:type="pct"/>
          </w:tcPr>
          <w:p w14:paraId="4989BFB8" w14:textId="1C5F85F5" w:rsidR="00E4093D" w:rsidRPr="00972008" w:rsidRDefault="001A77CB" w:rsidP="00E4093D">
            <w:pPr>
              <w:rPr>
                <w:rFonts w:cs="Arial"/>
                <w:lang w:val="fr-CA"/>
              </w:rPr>
            </w:pPr>
            <w:r w:rsidRPr="00972008">
              <w:rPr>
                <w:rFonts w:cs="Arial"/>
                <w:color w:val="000000"/>
                <w:lang w:val="fr-CA"/>
              </w:rPr>
              <w:t>Groupe d’</w:t>
            </w:r>
            <w:r w:rsidR="002875FC" w:rsidRPr="00972008">
              <w:rPr>
                <w:rFonts w:cs="Arial"/>
                <w:color w:val="000000"/>
                <w:lang w:val="fr-CA"/>
              </w:rPr>
              <w:t>âge</w:t>
            </w:r>
          </w:p>
        </w:tc>
      </w:tr>
      <w:tr w:rsidR="00E4093D" w:rsidRPr="0064672E" w14:paraId="717BC060" w14:textId="77777777" w:rsidTr="0033358C">
        <w:tc>
          <w:tcPr>
            <w:tcW w:w="1741" w:type="pct"/>
          </w:tcPr>
          <w:p w14:paraId="680E297F" w14:textId="0943CFAD" w:rsidR="00E4093D" w:rsidRPr="005536C3" w:rsidRDefault="00E4093D" w:rsidP="00E4093D">
            <w:pPr>
              <w:rPr>
                <w:rFonts w:cs="Arial"/>
              </w:rPr>
            </w:pPr>
            <w:proofErr w:type="spellStart"/>
            <w:r w:rsidRPr="005536C3">
              <w:rPr>
                <w:rFonts w:cs="Arial"/>
                <w:color w:val="000000"/>
              </w:rPr>
              <w:t>description_e</w:t>
            </w:r>
            <w:proofErr w:type="spellEnd"/>
          </w:p>
        </w:tc>
        <w:tc>
          <w:tcPr>
            <w:tcW w:w="3259" w:type="pct"/>
          </w:tcPr>
          <w:p w14:paraId="025AD3CB" w14:textId="35CE7B50" w:rsidR="00E4093D" w:rsidRPr="00972008" w:rsidRDefault="002604A1" w:rsidP="00E4093D">
            <w:pPr>
              <w:rPr>
                <w:rFonts w:cs="Arial"/>
                <w:lang w:val="fr-CA"/>
              </w:rPr>
            </w:pPr>
            <w:r w:rsidRPr="00972008">
              <w:rPr>
                <w:rFonts w:cs="Arial"/>
                <w:color w:val="000000"/>
                <w:lang w:val="fr-CA"/>
              </w:rPr>
              <w:t>Description du compte ou pourcentage (Anglais)</w:t>
            </w:r>
          </w:p>
        </w:tc>
      </w:tr>
      <w:tr w:rsidR="00E4093D" w:rsidRPr="0064672E" w14:paraId="4FA48B11" w14:textId="77777777" w:rsidTr="0033358C">
        <w:trPr>
          <w:trHeight w:val="170"/>
        </w:trPr>
        <w:tc>
          <w:tcPr>
            <w:tcW w:w="1741" w:type="pct"/>
          </w:tcPr>
          <w:p w14:paraId="33901478" w14:textId="7A9E8C92" w:rsidR="00E4093D" w:rsidRPr="005536C3" w:rsidRDefault="00E4093D" w:rsidP="00E4093D">
            <w:pPr>
              <w:rPr>
                <w:rFonts w:cs="Arial"/>
              </w:rPr>
            </w:pPr>
            <w:proofErr w:type="spellStart"/>
            <w:r w:rsidRPr="005536C3">
              <w:rPr>
                <w:rFonts w:cs="Arial"/>
                <w:color w:val="000000"/>
              </w:rPr>
              <w:t>description_f</w:t>
            </w:r>
            <w:proofErr w:type="spellEnd"/>
          </w:p>
        </w:tc>
        <w:tc>
          <w:tcPr>
            <w:tcW w:w="3259" w:type="pct"/>
          </w:tcPr>
          <w:p w14:paraId="396E183C" w14:textId="4A9B7B76" w:rsidR="00E4093D" w:rsidRPr="00972008" w:rsidRDefault="002604A1" w:rsidP="00E4093D">
            <w:pPr>
              <w:rPr>
                <w:rFonts w:cs="Arial"/>
                <w:lang w:val="fr-CA"/>
              </w:rPr>
            </w:pPr>
            <w:r w:rsidRPr="00972008">
              <w:rPr>
                <w:rFonts w:cs="Arial"/>
                <w:color w:val="000000"/>
                <w:lang w:val="fr-CA"/>
              </w:rPr>
              <w:t>Description du compte ou pourcentage (Français)</w:t>
            </w:r>
          </w:p>
        </w:tc>
      </w:tr>
      <w:tr w:rsidR="00E4093D" w:rsidRPr="00972008" w14:paraId="32C5456B" w14:textId="77777777" w:rsidTr="0033358C">
        <w:tc>
          <w:tcPr>
            <w:tcW w:w="1741" w:type="pct"/>
          </w:tcPr>
          <w:p w14:paraId="7677D9C6" w14:textId="6C981E57" w:rsidR="00E4093D" w:rsidRPr="005536C3" w:rsidRDefault="00E4093D" w:rsidP="00E4093D">
            <w:pPr>
              <w:rPr>
                <w:rFonts w:cs="Arial"/>
              </w:rPr>
            </w:pPr>
            <w:proofErr w:type="spellStart"/>
            <w:r w:rsidRPr="005536C3">
              <w:rPr>
                <w:rFonts w:cs="Arial"/>
                <w:color w:val="000000"/>
              </w:rPr>
              <w:t>fiscal_year</w:t>
            </w:r>
            <w:proofErr w:type="spellEnd"/>
          </w:p>
        </w:tc>
        <w:tc>
          <w:tcPr>
            <w:tcW w:w="3259" w:type="pct"/>
          </w:tcPr>
          <w:p w14:paraId="6EEA6F85" w14:textId="6624467E" w:rsidR="00E4093D" w:rsidRPr="00972008" w:rsidRDefault="002604A1" w:rsidP="00E4093D">
            <w:pPr>
              <w:rPr>
                <w:rFonts w:cs="Arial"/>
                <w:lang w:val="fr-CA"/>
              </w:rPr>
            </w:pPr>
            <w:r w:rsidRPr="00972008">
              <w:rPr>
                <w:rFonts w:cs="Arial"/>
                <w:color w:val="000000"/>
                <w:lang w:val="fr-CA"/>
              </w:rPr>
              <w:t>Exercice financier</w:t>
            </w:r>
          </w:p>
        </w:tc>
      </w:tr>
      <w:tr w:rsidR="00E4093D" w:rsidRPr="0064672E" w14:paraId="459D1FA2" w14:textId="77777777" w:rsidTr="00034923">
        <w:tc>
          <w:tcPr>
            <w:tcW w:w="1741" w:type="pct"/>
          </w:tcPr>
          <w:p w14:paraId="5504D656" w14:textId="407EF8B5" w:rsidR="00E4093D" w:rsidRPr="005536C3" w:rsidRDefault="00E4093D" w:rsidP="00E4093D">
            <w:pPr>
              <w:rPr>
                <w:rFonts w:cs="Arial"/>
              </w:rPr>
            </w:pPr>
            <w:r w:rsidRPr="005536C3">
              <w:rPr>
                <w:rFonts w:cs="Arial"/>
                <w:color w:val="000000"/>
              </w:rPr>
              <w:t>geo-</w:t>
            </w:r>
            <w:proofErr w:type="spellStart"/>
            <w:r w:rsidRPr="005536C3">
              <w:rPr>
                <w:rFonts w:cs="Arial"/>
                <w:color w:val="000000"/>
              </w:rPr>
              <w:t>region_e</w:t>
            </w:r>
            <w:proofErr w:type="spellEnd"/>
          </w:p>
        </w:tc>
        <w:tc>
          <w:tcPr>
            <w:tcW w:w="3259" w:type="pct"/>
          </w:tcPr>
          <w:p w14:paraId="359F917C" w14:textId="0F83E374" w:rsidR="00E4093D" w:rsidRPr="00972008" w:rsidRDefault="00A0605D" w:rsidP="00E4093D">
            <w:pPr>
              <w:rPr>
                <w:rFonts w:cs="Arial"/>
                <w:lang w:val="fr-CA"/>
              </w:rPr>
            </w:pPr>
            <w:r w:rsidRPr="00972008">
              <w:rPr>
                <w:rFonts w:cs="Arial"/>
                <w:color w:val="000000"/>
                <w:lang w:val="fr-CA"/>
              </w:rPr>
              <w:t xml:space="preserve">Région géographique </w:t>
            </w:r>
            <w:r w:rsidR="00974885" w:rsidRPr="00972008">
              <w:rPr>
                <w:rFonts w:cs="Arial"/>
                <w:color w:val="000000"/>
                <w:lang w:val="fr-CA"/>
              </w:rPr>
              <w:t>de lieu de travail (Anglais)</w:t>
            </w:r>
          </w:p>
        </w:tc>
      </w:tr>
      <w:tr w:rsidR="00E4093D" w:rsidRPr="0064672E" w14:paraId="3508C92C" w14:textId="77777777" w:rsidTr="00034923">
        <w:tc>
          <w:tcPr>
            <w:tcW w:w="1741" w:type="pct"/>
          </w:tcPr>
          <w:p w14:paraId="37D35EAC" w14:textId="51285D3A" w:rsidR="00E4093D" w:rsidRPr="005536C3" w:rsidRDefault="00E4093D" w:rsidP="00E4093D">
            <w:pPr>
              <w:rPr>
                <w:rFonts w:cs="Arial"/>
              </w:rPr>
            </w:pPr>
            <w:r w:rsidRPr="005536C3">
              <w:rPr>
                <w:rFonts w:cs="Arial"/>
                <w:color w:val="000000"/>
              </w:rPr>
              <w:t>geo-</w:t>
            </w:r>
            <w:proofErr w:type="spellStart"/>
            <w:r w:rsidRPr="005536C3">
              <w:rPr>
                <w:rFonts w:cs="Arial"/>
                <w:color w:val="000000"/>
              </w:rPr>
              <w:t>region_f</w:t>
            </w:r>
            <w:proofErr w:type="spellEnd"/>
          </w:p>
        </w:tc>
        <w:tc>
          <w:tcPr>
            <w:tcW w:w="3259" w:type="pct"/>
          </w:tcPr>
          <w:p w14:paraId="42E3B7A3" w14:textId="0AC90048" w:rsidR="00E4093D" w:rsidRPr="00972008" w:rsidRDefault="00974885" w:rsidP="00E4093D">
            <w:pPr>
              <w:rPr>
                <w:rFonts w:cs="Arial"/>
                <w:lang w:val="fr-CA"/>
              </w:rPr>
            </w:pPr>
            <w:r w:rsidRPr="00972008">
              <w:rPr>
                <w:rFonts w:cs="Arial"/>
                <w:color w:val="000000"/>
                <w:lang w:val="fr-CA"/>
              </w:rPr>
              <w:t>Région gé</w:t>
            </w:r>
            <w:r w:rsidR="005536C3">
              <w:rPr>
                <w:rFonts w:cs="Arial"/>
                <w:color w:val="000000"/>
                <w:lang w:val="fr-CA"/>
              </w:rPr>
              <w:t>o</w:t>
            </w:r>
            <w:r w:rsidRPr="00972008">
              <w:rPr>
                <w:rFonts w:cs="Arial"/>
                <w:color w:val="000000"/>
                <w:lang w:val="fr-CA"/>
              </w:rPr>
              <w:t>graphique de lieu de travail (Français)</w:t>
            </w:r>
          </w:p>
        </w:tc>
      </w:tr>
      <w:tr w:rsidR="00E4093D" w:rsidRPr="00972008" w14:paraId="09CFB924" w14:textId="77777777" w:rsidTr="00034923">
        <w:tc>
          <w:tcPr>
            <w:tcW w:w="1741" w:type="pct"/>
          </w:tcPr>
          <w:p w14:paraId="2D1A7879" w14:textId="0BA55128" w:rsidR="00E4093D" w:rsidRPr="005536C3" w:rsidRDefault="00E4093D" w:rsidP="00E4093D">
            <w:pPr>
              <w:rPr>
                <w:rFonts w:cs="Arial"/>
              </w:rPr>
            </w:pPr>
            <w:r w:rsidRPr="005536C3">
              <w:rPr>
                <w:rFonts w:cs="Arial"/>
                <w:color w:val="000000"/>
              </w:rPr>
              <w:t>median</w:t>
            </w:r>
          </w:p>
        </w:tc>
        <w:tc>
          <w:tcPr>
            <w:tcW w:w="3259" w:type="pct"/>
          </w:tcPr>
          <w:p w14:paraId="6B8C8B7A" w14:textId="552F5238" w:rsidR="00E4093D" w:rsidRPr="00972008" w:rsidRDefault="00E4093D" w:rsidP="00E4093D">
            <w:pPr>
              <w:rPr>
                <w:rFonts w:cs="Arial"/>
                <w:lang w:val="fr-CA"/>
              </w:rPr>
            </w:pPr>
            <w:r w:rsidRPr="00972008">
              <w:rPr>
                <w:rFonts w:cs="Arial"/>
                <w:color w:val="000000"/>
                <w:lang w:val="fr-CA"/>
              </w:rPr>
              <w:t>M</w:t>
            </w:r>
            <w:r w:rsidR="00972008" w:rsidRPr="00972008">
              <w:rPr>
                <w:rFonts w:cs="Arial"/>
                <w:color w:val="000000"/>
                <w:lang w:val="fr-CA"/>
              </w:rPr>
              <w:t>é</w:t>
            </w:r>
            <w:r w:rsidRPr="00972008">
              <w:rPr>
                <w:rFonts w:cs="Arial"/>
                <w:color w:val="000000"/>
                <w:lang w:val="fr-CA"/>
              </w:rPr>
              <w:t>dian</w:t>
            </w:r>
            <w:r w:rsidR="00972008" w:rsidRPr="00972008">
              <w:rPr>
                <w:rFonts w:cs="Arial"/>
                <w:color w:val="000000"/>
                <w:lang w:val="fr-CA"/>
              </w:rPr>
              <w:t>e</w:t>
            </w:r>
          </w:p>
        </w:tc>
      </w:tr>
      <w:tr w:rsidR="00E4093D" w:rsidRPr="00972008" w14:paraId="0B99142E" w14:textId="77777777" w:rsidTr="0033358C">
        <w:tc>
          <w:tcPr>
            <w:tcW w:w="1741" w:type="pct"/>
          </w:tcPr>
          <w:p w14:paraId="00FE4A43" w14:textId="5AA36174" w:rsidR="00E4093D" w:rsidRPr="005536C3" w:rsidRDefault="00E4093D" w:rsidP="00E4093D">
            <w:pPr>
              <w:rPr>
                <w:rFonts w:cs="Arial"/>
              </w:rPr>
            </w:pPr>
            <w:r w:rsidRPr="005536C3">
              <w:rPr>
                <w:rFonts w:cs="Arial"/>
                <w:color w:val="000000"/>
              </w:rPr>
              <w:t>N</w:t>
            </w:r>
          </w:p>
        </w:tc>
        <w:tc>
          <w:tcPr>
            <w:tcW w:w="3259" w:type="pct"/>
          </w:tcPr>
          <w:p w14:paraId="367397F3" w14:textId="2BF45EE1" w:rsidR="00E4093D" w:rsidRPr="00972008" w:rsidRDefault="002875FC" w:rsidP="00E4093D">
            <w:pPr>
              <w:rPr>
                <w:rFonts w:cs="Arial"/>
                <w:lang w:val="fr-CA"/>
              </w:rPr>
            </w:pPr>
            <w:r w:rsidRPr="00972008">
              <w:rPr>
                <w:rFonts w:cs="Arial"/>
                <w:color w:val="000000"/>
                <w:lang w:val="fr-CA"/>
              </w:rPr>
              <w:t>Compte/ pourcentage</w:t>
            </w:r>
          </w:p>
        </w:tc>
      </w:tr>
      <w:tr w:rsidR="00E4093D" w:rsidRPr="00972008" w14:paraId="44C3D2DB" w14:textId="77777777" w:rsidTr="0033358C">
        <w:tc>
          <w:tcPr>
            <w:tcW w:w="1741" w:type="pct"/>
          </w:tcPr>
          <w:p w14:paraId="0AA7F1EB" w14:textId="1C71C8BA" w:rsidR="00E4093D" w:rsidRPr="005536C3" w:rsidRDefault="00E4093D" w:rsidP="00E4093D">
            <w:pPr>
              <w:rPr>
                <w:rFonts w:cs="Arial"/>
              </w:rPr>
            </w:pPr>
            <w:r w:rsidRPr="005536C3">
              <w:rPr>
                <w:rFonts w:cs="Arial"/>
                <w:color w:val="000000"/>
              </w:rPr>
              <w:t>percent</w:t>
            </w:r>
          </w:p>
        </w:tc>
        <w:tc>
          <w:tcPr>
            <w:tcW w:w="3259" w:type="pct"/>
          </w:tcPr>
          <w:p w14:paraId="67F8899A" w14:textId="21F76BEE" w:rsidR="00E4093D" w:rsidRPr="00972008" w:rsidRDefault="002875FC" w:rsidP="00E4093D">
            <w:pPr>
              <w:rPr>
                <w:rFonts w:cs="Arial"/>
                <w:lang w:val="fr-CA"/>
              </w:rPr>
            </w:pPr>
            <w:r w:rsidRPr="00972008">
              <w:rPr>
                <w:rFonts w:cs="Arial"/>
                <w:color w:val="000000"/>
                <w:lang w:val="fr-CA"/>
              </w:rPr>
              <w:t>pourcentage</w:t>
            </w:r>
          </w:p>
        </w:tc>
      </w:tr>
      <w:tr w:rsidR="00E4093D" w:rsidRPr="00972008" w14:paraId="5CEDD84F" w14:textId="77777777" w:rsidTr="00034923">
        <w:tc>
          <w:tcPr>
            <w:tcW w:w="1741" w:type="pct"/>
          </w:tcPr>
          <w:p w14:paraId="277CE357" w14:textId="0C5FAFC0" w:rsidR="00E4093D" w:rsidRPr="005536C3" w:rsidRDefault="00E4093D" w:rsidP="00E4093D">
            <w:pPr>
              <w:rPr>
                <w:rFonts w:cs="Arial"/>
              </w:rPr>
            </w:pPr>
            <w:r w:rsidRPr="005536C3">
              <w:rPr>
                <w:rFonts w:cs="Arial"/>
                <w:color w:val="000000"/>
              </w:rPr>
              <w:t>quarter</w:t>
            </w:r>
          </w:p>
        </w:tc>
        <w:tc>
          <w:tcPr>
            <w:tcW w:w="3259" w:type="pct"/>
          </w:tcPr>
          <w:p w14:paraId="7D2A5AE4" w14:textId="5847F6A8" w:rsidR="00E4093D" w:rsidRPr="00972008" w:rsidRDefault="00476D98" w:rsidP="00E4093D">
            <w:pPr>
              <w:rPr>
                <w:rFonts w:cs="Arial"/>
                <w:lang w:val="fr-CA"/>
              </w:rPr>
            </w:pPr>
            <w:r w:rsidRPr="00972008">
              <w:rPr>
                <w:rFonts w:cs="Arial"/>
                <w:color w:val="000000"/>
                <w:lang w:val="fr-CA"/>
              </w:rPr>
              <w:t>trimestre</w:t>
            </w:r>
            <w:r w:rsidR="00E4093D" w:rsidRPr="00972008">
              <w:rPr>
                <w:rFonts w:cs="Arial"/>
                <w:color w:val="000000"/>
                <w:lang w:val="fr-CA"/>
              </w:rPr>
              <w:t xml:space="preserve"> </w:t>
            </w:r>
          </w:p>
        </w:tc>
      </w:tr>
      <w:tr w:rsidR="00E4093D" w:rsidRPr="00972008" w14:paraId="39510FFC" w14:textId="77777777" w:rsidTr="00034923">
        <w:tc>
          <w:tcPr>
            <w:tcW w:w="1741" w:type="pct"/>
          </w:tcPr>
          <w:p w14:paraId="2B9035BA" w14:textId="0ED72E94" w:rsidR="00E4093D" w:rsidRPr="005536C3" w:rsidRDefault="00E4093D" w:rsidP="00E4093D">
            <w:pPr>
              <w:rPr>
                <w:rFonts w:cs="Arial"/>
              </w:rPr>
            </w:pPr>
            <w:proofErr w:type="spellStart"/>
            <w:r w:rsidRPr="005536C3">
              <w:rPr>
                <w:rFonts w:cs="Arial"/>
                <w:color w:val="000000"/>
              </w:rPr>
              <w:t>region_e</w:t>
            </w:r>
            <w:proofErr w:type="spellEnd"/>
          </w:p>
        </w:tc>
        <w:tc>
          <w:tcPr>
            <w:tcW w:w="3259" w:type="pct"/>
          </w:tcPr>
          <w:p w14:paraId="5669F10B" w14:textId="7E15B494" w:rsidR="00E4093D" w:rsidRPr="00972008" w:rsidRDefault="00E4093D" w:rsidP="00E4093D">
            <w:pPr>
              <w:rPr>
                <w:rFonts w:cs="Arial"/>
                <w:lang w:val="fr-CA"/>
              </w:rPr>
            </w:pPr>
            <w:r w:rsidRPr="00972008">
              <w:rPr>
                <w:rFonts w:cs="Arial"/>
                <w:color w:val="000000"/>
                <w:lang w:val="fr-CA"/>
              </w:rPr>
              <w:t>Région (Anglais)</w:t>
            </w:r>
          </w:p>
        </w:tc>
      </w:tr>
      <w:tr w:rsidR="00E4093D" w:rsidRPr="00972008" w14:paraId="6DB0D45E" w14:textId="77777777" w:rsidTr="00034923">
        <w:tc>
          <w:tcPr>
            <w:tcW w:w="1741" w:type="pct"/>
          </w:tcPr>
          <w:p w14:paraId="75DEF9FB" w14:textId="7D49F213" w:rsidR="00E4093D" w:rsidRPr="005536C3" w:rsidRDefault="00E4093D" w:rsidP="00E4093D">
            <w:pPr>
              <w:rPr>
                <w:rFonts w:cs="Arial"/>
              </w:rPr>
            </w:pPr>
            <w:proofErr w:type="spellStart"/>
            <w:r w:rsidRPr="005536C3">
              <w:rPr>
                <w:rFonts w:cs="Arial"/>
                <w:color w:val="000000"/>
              </w:rPr>
              <w:t>region_f</w:t>
            </w:r>
            <w:proofErr w:type="spellEnd"/>
          </w:p>
        </w:tc>
        <w:tc>
          <w:tcPr>
            <w:tcW w:w="3259" w:type="pct"/>
          </w:tcPr>
          <w:p w14:paraId="0628FE4F" w14:textId="4C10D5F7" w:rsidR="00E4093D" w:rsidRPr="00972008" w:rsidRDefault="00E4093D" w:rsidP="00E4093D">
            <w:pPr>
              <w:rPr>
                <w:rFonts w:cs="Arial"/>
                <w:lang w:val="fr-CA"/>
              </w:rPr>
            </w:pPr>
            <w:r w:rsidRPr="00972008">
              <w:rPr>
                <w:rFonts w:cs="Arial"/>
                <w:color w:val="000000"/>
                <w:lang w:val="fr-CA"/>
              </w:rPr>
              <w:t>R</w:t>
            </w:r>
            <w:r w:rsidR="005536C3">
              <w:rPr>
                <w:rFonts w:cs="Arial"/>
                <w:color w:val="000000"/>
                <w:lang w:val="fr-CA"/>
              </w:rPr>
              <w:t>é</w:t>
            </w:r>
            <w:r w:rsidRPr="00972008">
              <w:rPr>
                <w:rFonts w:cs="Arial"/>
                <w:color w:val="000000"/>
                <w:lang w:val="fr-CA"/>
              </w:rPr>
              <w:t>gion (Français)</w:t>
            </w:r>
          </w:p>
        </w:tc>
      </w:tr>
    </w:tbl>
    <w:p w14:paraId="388385A5" w14:textId="77777777" w:rsidR="006722CB" w:rsidRPr="00972008" w:rsidRDefault="006722CB" w:rsidP="00B23F15">
      <w:pPr>
        <w:rPr>
          <w:rFonts w:cs="Arial"/>
          <w:lang w:val="fr-CA"/>
        </w:rPr>
      </w:pPr>
    </w:p>
    <w:sectPr w:rsidR="006722CB" w:rsidRPr="00972008">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D8192" w14:textId="77777777" w:rsidR="00F60ADD" w:rsidRDefault="00F60ADD">
      <w:r>
        <w:separator/>
      </w:r>
    </w:p>
  </w:endnote>
  <w:endnote w:type="continuationSeparator" w:id="0">
    <w:p w14:paraId="1CADFDEE" w14:textId="77777777" w:rsidR="00F60ADD" w:rsidRDefault="00F6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080873"/>
      <w:docPartObj>
        <w:docPartGallery w:val="Page Numbers (Bottom of Page)"/>
        <w:docPartUnique/>
      </w:docPartObj>
    </w:sdtPr>
    <w:sdtEndPr>
      <w:rPr>
        <w:noProof/>
      </w:rPr>
    </w:sdtEndPr>
    <w:sdtContent>
      <w:p w14:paraId="6067EA86" w14:textId="77777777" w:rsidR="003F7425" w:rsidRPr="004177D2" w:rsidRDefault="003F7425">
        <w:pPr>
          <w:pStyle w:val="Footer"/>
          <w:jc w:val="right"/>
          <w:rPr>
            <w:lang w:val="fr-CA"/>
          </w:rPr>
        </w:pPr>
        <w:r>
          <w:fldChar w:fldCharType="begin"/>
        </w:r>
        <w:r w:rsidRPr="004177D2">
          <w:rPr>
            <w:lang w:val="fr-CA"/>
          </w:rPr>
          <w:instrText xml:space="preserve"> PAGE   \* MERGEFORMAT </w:instrText>
        </w:r>
        <w:r>
          <w:fldChar w:fldCharType="separate"/>
        </w:r>
        <w:r w:rsidR="001A3C11" w:rsidRPr="004177D2">
          <w:rPr>
            <w:noProof/>
            <w:lang w:val="fr-CA"/>
          </w:rPr>
          <w:t>3</w:t>
        </w:r>
        <w:r>
          <w:rPr>
            <w:noProof/>
          </w:rPr>
          <w:fldChar w:fldCharType="end"/>
        </w:r>
      </w:p>
    </w:sdtContent>
  </w:sdt>
  <w:p w14:paraId="0D9CF458" w14:textId="77777777" w:rsidR="003F7425" w:rsidRPr="008907F6" w:rsidRDefault="003F7425">
    <w:pPr>
      <w:pStyle w:val="Footer"/>
      <w:rPr>
        <w:lang w:val="fr-CA"/>
      </w:rPr>
    </w:pPr>
    <w:r w:rsidRPr="008907F6">
      <w:rPr>
        <w:lang w:val="fr-CA"/>
      </w:rPr>
      <w:t>Commission de la fonction publique du Canada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88AE" w14:textId="77777777" w:rsidR="00F60ADD" w:rsidRDefault="00F60ADD">
      <w:r>
        <w:separator/>
      </w:r>
    </w:p>
  </w:footnote>
  <w:footnote w:type="continuationSeparator" w:id="0">
    <w:p w14:paraId="009B03C6" w14:textId="77777777" w:rsidR="00F60ADD" w:rsidRDefault="00F60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209B" w14:textId="77777777" w:rsidR="003F7425" w:rsidRDefault="003F7425" w:rsidP="008907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45D"/>
    <w:multiLevelType w:val="hybridMultilevel"/>
    <w:tmpl w:val="203E44F0"/>
    <w:lvl w:ilvl="0" w:tplc="640EDFA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F00DAF"/>
    <w:multiLevelType w:val="hybridMultilevel"/>
    <w:tmpl w:val="3F96B94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687A4E"/>
    <w:multiLevelType w:val="hybridMultilevel"/>
    <w:tmpl w:val="9E34C542"/>
    <w:lvl w:ilvl="0" w:tplc="640EDFA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EE210C"/>
    <w:multiLevelType w:val="hybridMultilevel"/>
    <w:tmpl w:val="0802A79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6010D5"/>
    <w:multiLevelType w:val="hybridMultilevel"/>
    <w:tmpl w:val="EB5CCD1A"/>
    <w:lvl w:ilvl="0" w:tplc="640EDFA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362892"/>
    <w:multiLevelType w:val="hybridMultilevel"/>
    <w:tmpl w:val="6CFC713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F832CC7"/>
    <w:multiLevelType w:val="hybridMultilevel"/>
    <w:tmpl w:val="13C8248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26B0EA0"/>
    <w:multiLevelType w:val="hybridMultilevel"/>
    <w:tmpl w:val="A4944AD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8CE1228"/>
    <w:multiLevelType w:val="hybridMultilevel"/>
    <w:tmpl w:val="76029D52"/>
    <w:lvl w:ilvl="0" w:tplc="640EDFA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57D5628"/>
    <w:multiLevelType w:val="multilevel"/>
    <w:tmpl w:val="0FE8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00301C"/>
    <w:multiLevelType w:val="hybridMultilevel"/>
    <w:tmpl w:val="1744D444"/>
    <w:lvl w:ilvl="0" w:tplc="19366DBA">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0BA7833"/>
    <w:multiLevelType w:val="hybridMultilevel"/>
    <w:tmpl w:val="4FCEF474"/>
    <w:lvl w:ilvl="0" w:tplc="640EDFA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59F578F"/>
    <w:multiLevelType w:val="hybridMultilevel"/>
    <w:tmpl w:val="A1048A66"/>
    <w:lvl w:ilvl="0" w:tplc="640EDFA2">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6BC66588"/>
    <w:multiLevelType w:val="hybridMultilevel"/>
    <w:tmpl w:val="A3BA9062"/>
    <w:lvl w:ilvl="0" w:tplc="640EDFA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D257F29"/>
    <w:multiLevelType w:val="hybridMultilevel"/>
    <w:tmpl w:val="2C08AD5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4"/>
  </w:num>
  <w:num w:numId="4">
    <w:abstractNumId w:val="9"/>
  </w:num>
  <w:num w:numId="5">
    <w:abstractNumId w:val="6"/>
  </w:num>
  <w:num w:numId="6">
    <w:abstractNumId w:val="12"/>
  </w:num>
  <w:num w:numId="7">
    <w:abstractNumId w:val="0"/>
  </w:num>
  <w:num w:numId="8">
    <w:abstractNumId w:val="8"/>
  </w:num>
  <w:num w:numId="9">
    <w:abstractNumId w:val="2"/>
  </w:num>
  <w:num w:numId="10">
    <w:abstractNumId w:val="10"/>
  </w:num>
  <w:num w:numId="11">
    <w:abstractNumId w:val="13"/>
  </w:num>
  <w:num w:numId="12">
    <w:abstractNumId w:val="11"/>
  </w:num>
  <w:num w:numId="13">
    <w:abstractNumId w:val="4"/>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3A6"/>
    <w:rsid w:val="00020AC1"/>
    <w:rsid w:val="00027263"/>
    <w:rsid w:val="0002779F"/>
    <w:rsid w:val="0003107B"/>
    <w:rsid w:val="00035002"/>
    <w:rsid w:val="0006700A"/>
    <w:rsid w:val="000723EC"/>
    <w:rsid w:val="000760DC"/>
    <w:rsid w:val="00085DA2"/>
    <w:rsid w:val="00092518"/>
    <w:rsid w:val="00094F5D"/>
    <w:rsid w:val="000B6B24"/>
    <w:rsid w:val="000C263D"/>
    <w:rsid w:val="000F632F"/>
    <w:rsid w:val="001010AA"/>
    <w:rsid w:val="00103009"/>
    <w:rsid w:val="00141FC2"/>
    <w:rsid w:val="001556EC"/>
    <w:rsid w:val="001646C7"/>
    <w:rsid w:val="0017777B"/>
    <w:rsid w:val="00181610"/>
    <w:rsid w:val="001A3C11"/>
    <w:rsid w:val="001A77CB"/>
    <w:rsid w:val="001B0901"/>
    <w:rsid w:val="001B0EBD"/>
    <w:rsid w:val="001B2223"/>
    <w:rsid w:val="001C1EBE"/>
    <w:rsid w:val="0020751A"/>
    <w:rsid w:val="002528D5"/>
    <w:rsid w:val="002604A1"/>
    <w:rsid w:val="00276B4A"/>
    <w:rsid w:val="002875FC"/>
    <w:rsid w:val="002A3A90"/>
    <w:rsid w:val="002D407F"/>
    <w:rsid w:val="002D77F4"/>
    <w:rsid w:val="002E647C"/>
    <w:rsid w:val="00314610"/>
    <w:rsid w:val="0033358C"/>
    <w:rsid w:val="00343CE3"/>
    <w:rsid w:val="00377C5C"/>
    <w:rsid w:val="003B0F3B"/>
    <w:rsid w:val="003D0590"/>
    <w:rsid w:val="003D5B15"/>
    <w:rsid w:val="003F0337"/>
    <w:rsid w:val="003F1337"/>
    <w:rsid w:val="003F7425"/>
    <w:rsid w:val="00400B70"/>
    <w:rsid w:val="00407B3F"/>
    <w:rsid w:val="004177D2"/>
    <w:rsid w:val="00433F89"/>
    <w:rsid w:val="00441556"/>
    <w:rsid w:val="004611F4"/>
    <w:rsid w:val="00462C1B"/>
    <w:rsid w:val="004746F1"/>
    <w:rsid w:val="00476D98"/>
    <w:rsid w:val="00496BDE"/>
    <w:rsid w:val="004E0C61"/>
    <w:rsid w:val="004E236D"/>
    <w:rsid w:val="004F231D"/>
    <w:rsid w:val="004F3944"/>
    <w:rsid w:val="00501FA6"/>
    <w:rsid w:val="00507EE5"/>
    <w:rsid w:val="00540C6E"/>
    <w:rsid w:val="005536C3"/>
    <w:rsid w:val="005835F9"/>
    <w:rsid w:val="005F08CD"/>
    <w:rsid w:val="0060034F"/>
    <w:rsid w:val="0060189F"/>
    <w:rsid w:val="006253C3"/>
    <w:rsid w:val="00630FCB"/>
    <w:rsid w:val="00634911"/>
    <w:rsid w:val="00640C1F"/>
    <w:rsid w:val="0064672E"/>
    <w:rsid w:val="00666C53"/>
    <w:rsid w:val="006722CB"/>
    <w:rsid w:val="00674154"/>
    <w:rsid w:val="00675C13"/>
    <w:rsid w:val="00680382"/>
    <w:rsid w:val="006A0F98"/>
    <w:rsid w:val="006B7555"/>
    <w:rsid w:val="006F5845"/>
    <w:rsid w:val="00702249"/>
    <w:rsid w:val="007222CB"/>
    <w:rsid w:val="00737F35"/>
    <w:rsid w:val="007405A8"/>
    <w:rsid w:val="0074791A"/>
    <w:rsid w:val="00775AF8"/>
    <w:rsid w:val="007913E7"/>
    <w:rsid w:val="007B77DA"/>
    <w:rsid w:val="007C58F5"/>
    <w:rsid w:val="007D2905"/>
    <w:rsid w:val="007D2C4A"/>
    <w:rsid w:val="007E128A"/>
    <w:rsid w:val="007E291F"/>
    <w:rsid w:val="007F3180"/>
    <w:rsid w:val="00803B3B"/>
    <w:rsid w:val="0082093B"/>
    <w:rsid w:val="008239DA"/>
    <w:rsid w:val="0082493C"/>
    <w:rsid w:val="00840AE4"/>
    <w:rsid w:val="00846F4C"/>
    <w:rsid w:val="008577FD"/>
    <w:rsid w:val="008759E7"/>
    <w:rsid w:val="008837CC"/>
    <w:rsid w:val="008907F6"/>
    <w:rsid w:val="008A5D71"/>
    <w:rsid w:val="008A7F47"/>
    <w:rsid w:val="008B4B0C"/>
    <w:rsid w:val="008D23A6"/>
    <w:rsid w:val="008D476A"/>
    <w:rsid w:val="008D4B0D"/>
    <w:rsid w:val="00935EE0"/>
    <w:rsid w:val="00943A1F"/>
    <w:rsid w:val="00971CFE"/>
    <w:rsid w:val="00972008"/>
    <w:rsid w:val="00974885"/>
    <w:rsid w:val="009B4D76"/>
    <w:rsid w:val="009B7483"/>
    <w:rsid w:val="009D0F0F"/>
    <w:rsid w:val="009D1B99"/>
    <w:rsid w:val="009E5D5C"/>
    <w:rsid w:val="009F2977"/>
    <w:rsid w:val="009F3753"/>
    <w:rsid w:val="00A0605D"/>
    <w:rsid w:val="00A10F30"/>
    <w:rsid w:val="00A118DF"/>
    <w:rsid w:val="00A6302E"/>
    <w:rsid w:val="00A63A3A"/>
    <w:rsid w:val="00A73534"/>
    <w:rsid w:val="00A942F5"/>
    <w:rsid w:val="00A943A7"/>
    <w:rsid w:val="00AA0F1E"/>
    <w:rsid w:val="00AC7026"/>
    <w:rsid w:val="00AD17EF"/>
    <w:rsid w:val="00B0624A"/>
    <w:rsid w:val="00B11B6D"/>
    <w:rsid w:val="00B23F15"/>
    <w:rsid w:val="00B30965"/>
    <w:rsid w:val="00B51CE0"/>
    <w:rsid w:val="00B57179"/>
    <w:rsid w:val="00B90EA1"/>
    <w:rsid w:val="00B92437"/>
    <w:rsid w:val="00BB7EB1"/>
    <w:rsid w:val="00BC76D5"/>
    <w:rsid w:val="00BD0A6F"/>
    <w:rsid w:val="00BE64EE"/>
    <w:rsid w:val="00C07FD5"/>
    <w:rsid w:val="00C10B81"/>
    <w:rsid w:val="00C114B5"/>
    <w:rsid w:val="00C3460B"/>
    <w:rsid w:val="00C4318E"/>
    <w:rsid w:val="00C63035"/>
    <w:rsid w:val="00CC1D56"/>
    <w:rsid w:val="00CF295A"/>
    <w:rsid w:val="00D31031"/>
    <w:rsid w:val="00DC14A0"/>
    <w:rsid w:val="00DD39B5"/>
    <w:rsid w:val="00DF2B39"/>
    <w:rsid w:val="00DF4466"/>
    <w:rsid w:val="00DF486B"/>
    <w:rsid w:val="00DF5621"/>
    <w:rsid w:val="00E00A43"/>
    <w:rsid w:val="00E13E79"/>
    <w:rsid w:val="00E407C6"/>
    <w:rsid w:val="00E4093D"/>
    <w:rsid w:val="00E56E17"/>
    <w:rsid w:val="00E700A8"/>
    <w:rsid w:val="00E77BC6"/>
    <w:rsid w:val="00E85FE8"/>
    <w:rsid w:val="00E91B71"/>
    <w:rsid w:val="00E92A47"/>
    <w:rsid w:val="00EA4DB9"/>
    <w:rsid w:val="00EB2EE9"/>
    <w:rsid w:val="00EB44A4"/>
    <w:rsid w:val="00EC6165"/>
    <w:rsid w:val="00EE29DA"/>
    <w:rsid w:val="00EE3196"/>
    <w:rsid w:val="00EF7113"/>
    <w:rsid w:val="00EF7201"/>
    <w:rsid w:val="00F05B9E"/>
    <w:rsid w:val="00F1476D"/>
    <w:rsid w:val="00F20A20"/>
    <w:rsid w:val="00F30462"/>
    <w:rsid w:val="00F33DE9"/>
    <w:rsid w:val="00F56C47"/>
    <w:rsid w:val="00F60ADD"/>
    <w:rsid w:val="00F66453"/>
    <w:rsid w:val="00F966BA"/>
    <w:rsid w:val="00FB0B19"/>
    <w:rsid w:val="00FC1A9C"/>
    <w:rsid w:val="00FC2C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DD2F"/>
  <w15:chartTrackingRefBased/>
  <w15:docId w15:val="{632F1CF6-5875-4564-8A0F-393CDA8D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3A6"/>
    <w:pPr>
      <w:spacing w:after="0" w:line="240" w:lineRule="auto"/>
    </w:pPr>
  </w:style>
  <w:style w:type="paragraph" w:styleId="Heading1">
    <w:name w:val="heading 1"/>
    <w:basedOn w:val="Normal"/>
    <w:next w:val="Normal"/>
    <w:link w:val="Heading1Char"/>
    <w:uiPriority w:val="9"/>
    <w:qFormat/>
    <w:rsid w:val="008D23A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C1A9C"/>
    <w:pPr>
      <w:spacing w:line="259" w:lineRule="auto"/>
      <w:outlineLvl w:val="1"/>
    </w:pPr>
    <w:rPr>
      <w:rFonts w:cs="Arial"/>
      <w:b/>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3A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D23A6"/>
    <w:pPr>
      <w:ind w:left="720"/>
      <w:contextualSpacing/>
    </w:pPr>
  </w:style>
  <w:style w:type="paragraph" w:styleId="Footer">
    <w:name w:val="footer"/>
    <w:basedOn w:val="Normal"/>
    <w:link w:val="FooterChar"/>
    <w:uiPriority w:val="99"/>
    <w:unhideWhenUsed/>
    <w:rsid w:val="008D23A6"/>
    <w:pPr>
      <w:tabs>
        <w:tab w:val="center" w:pos="4680"/>
        <w:tab w:val="right" w:pos="9360"/>
      </w:tabs>
    </w:pPr>
  </w:style>
  <w:style w:type="character" w:customStyle="1" w:styleId="FooterChar">
    <w:name w:val="Footer Char"/>
    <w:basedOn w:val="DefaultParagraphFont"/>
    <w:link w:val="Footer"/>
    <w:uiPriority w:val="99"/>
    <w:rsid w:val="008D23A6"/>
  </w:style>
  <w:style w:type="table" w:styleId="TableGrid">
    <w:name w:val="Table Grid"/>
    <w:basedOn w:val="TableNormal"/>
    <w:uiPriority w:val="39"/>
    <w:rsid w:val="008D2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07F6"/>
    <w:pPr>
      <w:tabs>
        <w:tab w:val="center" w:pos="4680"/>
        <w:tab w:val="right" w:pos="9360"/>
      </w:tabs>
    </w:pPr>
  </w:style>
  <w:style w:type="character" w:customStyle="1" w:styleId="HeaderChar">
    <w:name w:val="Header Char"/>
    <w:basedOn w:val="DefaultParagraphFont"/>
    <w:link w:val="Header"/>
    <w:uiPriority w:val="99"/>
    <w:rsid w:val="008907F6"/>
  </w:style>
  <w:style w:type="paragraph" w:styleId="BalloonText">
    <w:name w:val="Balloon Text"/>
    <w:basedOn w:val="Normal"/>
    <w:link w:val="BalloonTextChar"/>
    <w:uiPriority w:val="99"/>
    <w:semiHidden/>
    <w:unhideWhenUsed/>
    <w:rsid w:val="00A942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2F5"/>
    <w:rPr>
      <w:rFonts w:ascii="Segoe UI" w:hAnsi="Segoe UI" w:cs="Segoe UI"/>
      <w:sz w:val="18"/>
      <w:szCs w:val="18"/>
    </w:rPr>
  </w:style>
  <w:style w:type="character" w:styleId="CommentReference">
    <w:name w:val="annotation reference"/>
    <w:basedOn w:val="DefaultParagraphFont"/>
    <w:uiPriority w:val="99"/>
    <w:semiHidden/>
    <w:unhideWhenUsed/>
    <w:rsid w:val="00E85FE8"/>
    <w:rPr>
      <w:sz w:val="16"/>
      <w:szCs w:val="16"/>
    </w:rPr>
  </w:style>
  <w:style w:type="paragraph" w:styleId="CommentText">
    <w:name w:val="annotation text"/>
    <w:basedOn w:val="Normal"/>
    <w:link w:val="CommentTextChar"/>
    <w:uiPriority w:val="99"/>
    <w:unhideWhenUsed/>
    <w:rsid w:val="00E85FE8"/>
    <w:rPr>
      <w:sz w:val="20"/>
      <w:szCs w:val="20"/>
    </w:rPr>
  </w:style>
  <w:style w:type="character" w:customStyle="1" w:styleId="CommentTextChar">
    <w:name w:val="Comment Text Char"/>
    <w:basedOn w:val="DefaultParagraphFont"/>
    <w:link w:val="CommentText"/>
    <w:uiPriority w:val="99"/>
    <w:rsid w:val="00E85FE8"/>
    <w:rPr>
      <w:sz w:val="20"/>
      <w:szCs w:val="20"/>
    </w:rPr>
  </w:style>
  <w:style w:type="paragraph" w:styleId="CommentSubject">
    <w:name w:val="annotation subject"/>
    <w:basedOn w:val="CommentText"/>
    <w:next w:val="CommentText"/>
    <w:link w:val="CommentSubjectChar"/>
    <w:uiPriority w:val="99"/>
    <w:semiHidden/>
    <w:unhideWhenUsed/>
    <w:rsid w:val="00E85FE8"/>
    <w:rPr>
      <w:b/>
      <w:bCs/>
    </w:rPr>
  </w:style>
  <w:style w:type="character" w:customStyle="1" w:styleId="CommentSubjectChar">
    <w:name w:val="Comment Subject Char"/>
    <w:basedOn w:val="CommentTextChar"/>
    <w:link w:val="CommentSubject"/>
    <w:uiPriority w:val="99"/>
    <w:semiHidden/>
    <w:rsid w:val="00E85FE8"/>
    <w:rPr>
      <w:b/>
      <w:bCs/>
      <w:sz w:val="20"/>
      <w:szCs w:val="20"/>
    </w:rPr>
  </w:style>
  <w:style w:type="character" w:customStyle="1" w:styleId="Heading2Char">
    <w:name w:val="Heading 2 Char"/>
    <w:basedOn w:val="DefaultParagraphFont"/>
    <w:link w:val="Heading2"/>
    <w:uiPriority w:val="9"/>
    <w:rsid w:val="00FC1A9C"/>
    <w:rPr>
      <w:rFonts w:cs="Arial"/>
      <w:b/>
      <w:lang w:val="fr-CA"/>
    </w:rPr>
  </w:style>
  <w:style w:type="character" w:styleId="Strong">
    <w:name w:val="Strong"/>
    <w:basedOn w:val="DefaultParagraphFont"/>
    <w:uiPriority w:val="22"/>
    <w:qFormat/>
    <w:rsid w:val="008D476A"/>
    <w:rPr>
      <w:b/>
      <w:bCs/>
    </w:rPr>
  </w:style>
  <w:style w:type="character" w:styleId="Hyperlink">
    <w:name w:val="Hyperlink"/>
    <w:basedOn w:val="DefaultParagraphFont"/>
    <w:uiPriority w:val="99"/>
    <w:unhideWhenUsed/>
    <w:rsid w:val="00B30965"/>
    <w:rPr>
      <w:color w:val="0563C1" w:themeColor="hyperlink"/>
      <w:u w:val="single"/>
    </w:rPr>
  </w:style>
  <w:style w:type="character" w:styleId="UnresolvedMention">
    <w:name w:val="Unresolved Mention"/>
    <w:basedOn w:val="DefaultParagraphFont"/>
    <w:uiPriority w:val="99"/>
    <w:semiHidden/>
    <w:unhideWhenUsed/>
    <w:rsid w:val="00B30965"/>
    <w:rPr>
      <w:color w:val="605E5C"/>
      <w:shd w:val="clear" w:color="auto" w:fill="E1DFDD"/>
    </w:rPr>
  </w:style>
  <w:style w:type="paragraph" w:styleId="NormalWeb">
    <w:name w:val="Normal (Web)"/>
    <w:basedOn w:val="Normal"/>
    <w:uiPriority w:val="99"/>
    <w:semiHidden/>
    <w:unhideWhenUsed/>
    <w:rsid w:val="00F20A20"/>
    <w:pPr>
      <w:spacing w:before="100" w:beforeAutospacing="1" w:after="100" w:afterAutospacing="1"/>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C431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00629">
      <w:bodyDiv w:val="1"/>
      <w:marLeft w:val="0"/>
      <w:marRight w:val="0"/>
      <w:marTop w:val="0"/>
      <w:marBottom w:val="0"/>
      <w:divBdr>
        <w:top w:val="none" w:sz="0" w:space="0" w:color="auto"/>
        <w:left w:val="none" w:sz="0" w:space="0" w:color="auto"/>
        <w:bottom w:val="none" w:sz="0" w:space="0" w:color="auto"/>
        <w:right w:val="none" w:sz="0" w:space="0" w:color="auto"/>
      </w:divBdr>
    </w:div>
    <w:div w:id="372313758">
      <w:bodyDiv w:val="1"/>
      <w:marLeft w:val="0"/>
      <w:marRight w:val="0"/>
      <w:marTop w:val="0"/>
      <w:marBottom w:val="0"/>
      <w:divBdr>
        <w:top w:val="none" w:sz="0" w:space="0" w:color="auto"/>
        <w:left w:val="none" w:sz="0" w:space="0" w:color="auto"/>
        <w:bottom w:val="none" w:sz="0" w:space="0" w:color="auto"/>
        <w:right w:val="none" w:sz="0" w:space="0" w:color="auto"/>
      </w:divBdr>
    </w:div>
    <w:div w:id="400448103">
      <w:bodyDiv w:val="1"/>
      <w:marLeft w:val="0"/>
      <w:marRight w:val="0"/>
      <w:marTop w:val="0"/>
      <w:marBottom w:val="0"/>
      <w:divBdr>
        <w:top w:val="none" w:sz="0" w:space="0" w:color="auto"/>
        <w:left w:val="none" w:sz="0" w:space="0" w:color="auto"/>
        <w:bottom w:val="none" w:sz="0" w:space="0" w:color="auto"/>
        <w:right w:val="none" w:sz="0" w:space="0" w:color="auto"/>
      </w:divBdr>
    </w:div>
    <w:div w:id="712771425">
      <w:bodyDiv w:val="1"/>
      <w:marLeft w:val="0"/>
      <w:marRight w:val="0"/>
      <w:marTop w:val="0"/>
      <w:marBottom w:val="0"/>
      <w:divBdr>
        <w:top w:val="none" w:sz="0" w:space="0" w:color="auto"/>
        <w:left w:val="none" w:sz="0" w:space="0" w:color="auto"/>
        <w:bottom w:val="none" w:sz="0" w:space="0" w:color="auto"/>
        <w:right w:val="none" w:sz="0" w:space="0" w:color="auto"/>
      </w:divBdr>
    </w:div>
    <w:div w:id="861751077">
      <w:bodyDiv w:val="1"/>
      <w:marLeft w:val="0"/>
      <w:marRight w:val="0"/>
      <w:marTop w:val="0"/>
      <w:marBottom w:val="0"/>
      <w:divBdr>
        <w:top w:val="none" w:sz="0" w:space="0" w:color="auto"/>
        <w:left w:val="none" w:sz="0" w:space="0" w:color="auto"/>
        <w:bottom w:val="none" w:sz="0" w:space="0" w:color="auto"/>
        <w:right w:val="none" w:sz="0" w:space="0" w:color="auto"/>
      </w:divBdr>
    </w:div>
    <w:div w:id="969552995">
      <w:bodyDiv w:val="1"/>
      <w:marLeft w:val="0"/>
      <w:marRight w:val="0"/>
      <w:marTop w:val="0"/>
      <w:marBottom w:val="0"/>
      <w:divBdr>
        <w:top w:val="none" w:sz="0" w:space="0" w:color="auto"/>
        <w:left w:val="none" w:sz="0" w:space="0" w:color="auto"/>
        <w:bottom w:val="none" w:sz="0" w:space="0" w:color="auto"/>
        <w:right w:val="none" w:sz="0" w:space="0" w:color="auto"/>
      </w:divBdr>
    </w:div>
    <w:div w:id="1332635734">
      <w:bodyDiv w:val="1"/>
      <w:marLeft w:val="0"/>
      <w:marRight w:val="0"/>
      <w:marTop w:val="0"/>
      <w:marBottom w:val="0"/>
      <w:divBdr>
        <w:top w:val="none" w:sz="0" w:space="0" w:color="auto"/>
        <w:left w:val="none" w:sz="0" w:space="0" w:color="auto"/>
        <w:bottom w:val="none" w:sz="0" w:space="0" w:color="auto"/>
        <w:right w:val="none" w:sz="0" w:space="0" w:color="auto"/>
      </w:divBdr>
    </w:div>
    <w:div w:id="1678993551">
      <w:bodyDiv w:val="1"/>
      <w:marLeft w:val="0"/>
      <w:marRight w:val="0"/>
      <w:marTop w:val="0"/>
      <w:marBottom w:val="0"/>
      <w:divBdr>
        <w:top w:val="none" w:sz="0" w:space="0" w:color="auto"/>
        <w:left w:val="none" w:sz="0" w:space="0" w:color="auto"/>
        <w:bottom w:val="none" w:sz="0" w:space="0" w:color="auto"/>
        <w:right w:val="none" w:sz="0" w:space="0" w:color="auto"/>
      </w:divBdr>
    </w:div>
    <w:div w:id="1838036936">
      <w:bodyDiv w:val="1"/>
      <w:marLeft w:val="0"/>
      <w:marRight w:val="0"/>
      <w:marTop w:val="0"/>
      <w:marBottom w:val="0"/>
      <w:divBdr>
        <w:top w:val="none" w:sz="0" w:space="0" w:color="auto"/>
        <w:left w:val="none" w:sz="0" w:space="0" w:color="auto"/>
        <w:bottom w:val="none" w:sz="0" w:space="0" w:color="auto"/>
        <w:right w:val="none" w:sz="0" w:space="0" w:color="auto"/>
      </w:divBdr>
      <w:divsChild>
        <w:div w:id="1994096048">
          <w:marLeft w:val="0"/>
          <w:marRight w:val="0"/>
          <w:marTop w:val="0"/>
          <w:marBottom w:val="0"/>
          <w:divBdr>
            <w:top w:val="none" w:sz="0" w:space="0" w:color="auto"/>
            <w:left w:val="none" w:sz="0" w:space="0" w:color="auto"/>
            <w:bottom w:val="none" w:sz="0" w:space="0" w:color="auto"/>
            <w:right w:val="none" w:sz="0" w:space="0" w:color="auto"/>
          </w:divBdr>
          <w:divsChild>
            <w:div w:id="1458991875">
              <w:marLeft w:val="0"/>
              <w:marRight w:val="0"/>
              <w:marTop w:val="0"/>
              <w:marBottom w:val="0"/>
              <w:divBdr>
                <w:top w:val="none" w:sz="0" w:space="0" w:color="auto"/>
                <w:left w:val="none" w:sz="0" w:space="0" w:color="auto"/>
                <w:bottom w:val="none" w:sz="0" w:space="0" w:color="auto"/>
                <w:right w:val="none" w:sz="0" w:space="0" w:color="auto"/>
              </w:divBdr>
              <w:divsChild>
                <w:div w:id="1813329572">
                  <w:marLeft w:val="0"/>
                  <w:marRight w:val="0"/>
                  <w:marTop w:val="0"/>
                  <w:marBottom w:val="0"/>
                  <w:divBdr>
                    <w:top w:val="none" w:sz="0" w:space="0" w:color="auto"/>
                    <w:left w:val="none" w:sz="0" w:space="0" w:color="auto"/>
                    <w:bottom w:val="none" w:sz="0" w:space="0" w:color="auto"/>
                    <w:right w:val="none" w:sz="0" w:space="0" w:color="auto"/>
                  </w:divBdr>
                  <w:divsChild>
                    <w:div w:id="646474529">
                      <w:marLeft w:val="0"/>
                      <w:marRight w:val="0"/>
                      <w:marTop w:val="45"/>
                      <w:marBottom w:val="0"/>
                      <w:divBdr>
                        <w:top w:val="none" w:sz="0" w:space="0" w:color="auto"/>
                        <w:left w:val="none" w:sz="0" w:space="0" w:color="auto"/>
                        <w:bottom w:val="none" w:sz="0" w:space="0" w:color="auto"/>
                        <w:right w:val="none" w:sz="0" w:space="0" w:color="auto"/>
                      </w:divBdr>
                      <w:divsChild>
                        <w:div w:id="1818961226">
                          <w:marLeft w:val="0"/>
                          <w:marRight w:val="0"/>
                          <w:marTop w:val="0"/>
                          <w:marBottom w:val="0"/>
                          <w:divBdr>
                            <w:top w:val="none" w:sz="0" w:space="0" w:color="auto"/>
                            <w:left w:val="none" w:sz="0" w:space="0" w:color="auto"/>
                            <w:bottom w:val="none" w:sz="0" w:space="0" w:color="auto"/>
                            <w:right w:val="none" w:sz="0" w:space="0" w:color="auto"/>
                          </w:divBdr>
                          <w:divsChild>
                            <w:div w:id="637421272">
                              <w:marLeft w:val="2070"/>
                              <w:marRight w:val="3960"/>
                              <w:marTop w:val="0"/>
                              <w:marBottom w:val="0"/>
                              <w:divBdr>
                                <w:top w:val="none" w:sz="0" w:space="0" w:color="auto"/>
                                <w:left w:val="none" w:sz="0" w:space="0" w:color="auto"/>
                                <w:bottom w:val="none" w:sz="0" w:space="0" w:color="auto"/>
                                <w:right w:val="none" w:sz="0" w:space="0" w:color="auto"/>
                              </w:divBdr>
                              <w:divsChild>
                                <w:div w:id="181360427">
                                  <w:marLeft w:val="0"/>
                                  <w:marRight w:val="0"/>
                                  <w:marTop w:val="0"/>
                                  <w:marBottom w:val="0"/>
                                  <w:divBdr>
                                    <w:top w:val="none" w:sz="0" w:space="0" w:color="auto"/>
                                    <w:left w:val="none" w:sz="0" w:space="0" w:color="auto"/>
                                    <w:bottom w:val="none" w:sz="0" w:space="0" w:color="auto"/>
                                    <w:right w:val="none" w:sz="0" w:space="0" w:color="auto"/>
                                  </w:divBdr>
                                  <w:divsChild>
                                    <w:div w:id="2094861757">
                                      <w:marLeft w:val="0"/>
                                      <w:marRight w:val="0"/>
                                      <w:marTop w:val="0"/>
                                      <w:marBottom w:val="0"/>
                                      <w:divBdr>
                                        <w:top w:val="none" w:sz="0" w:space="0" w:color="auto"/>
                                        <w:left w:val="none" w:sz="0" w:space="0" w:color="auto"/>
                                        <w:bottom w:val="none" w:sz="0" w:space="0" w:color="auto"/>
                                        <w:right w:val="none" w:sz="0" w:space="0" w:color="auto"/>
                                      </w:divBdr>
                                      <w:divsChild>
                                        <w:div w:id="1490292603">
                                          <w:marLeft w:val="0"/>
                                          <w:marRight w:val="0"/>
                                          <w:marTop w:val="0"/>
                                          <w:marBottom w:val="0"/>
                                          <w:divBdr>
                                            <w:top w:val="none" w:sz="0" w:space="0" w:color="auto"/>
                                            <w:left w:val="none" w:sz="0" w:space="0" w:color="auto"/>
                                            <w:bottom w:val="none" w:sz="0" w:space="0" w:color="auto"/>
                                            <w:right w:val="none" w:sz="0" w:space="0" w:color="auto"/>
                                          </w:divBdr>
                                          <w:divsChild>
                                            <w:div w:id="397948387">
                                              <w:marLeft w:val="0"/>
                                              <w:marRight w:val="0"/>
                                              <w:marTop w:val="90"/>
                                              <w:marBottom w:val="0"/>
                                              <w:divBdr>
                                                <w:top w:val="none" w:sz="0" w:space="0" w:color="auto"/>
                                                <w:left w:val="none" w:sz="0" w:space="0" w:color="auto"/>
                                                <w:bottom w:val="none" w:sz="0" w:space="0" w:color="auto"/>
                                                <w:right w:val="none" w:sz="0" w:space="0" w:color="auto"/>
                                              </w:divBdr>
                                              <w:divsChild>
                                                <w:div w:id="57438320">
                                                  <w:marLeft w:val="0"/>
                                                  <w:marRight w:val="0"/>
                                                  <w:marTop w:val="0"/>
                                                  <w:marBottom w:val="0"/>
                                                  <w:divBdr>
                                                    <w:top w:val="none" w:sz="0" w:space="0" w:color="auto"/>
                                                    <w:left w:val="none" w:sz="0" w:space="0" w:color="auto"/>
                                                    <w:bottom w:val="none" w:sz="0" w:space="0" w:color="auto"/>
                                                    <w:right w:val="none" w:sz="0" w:space="0" w:color="auto"/>
                                                  </w:divBdr>
                                                  <w:divsChild>
                                                    <w:div w:id="1680813516">
                                                      <w:marLeft w:val="0"/>
                                                      <w:marRight w:val="0"/>
                                                      <w:marTop w:val="0"/>
                                                      <w:marBottom w:val="0"/>
                                                      <w:divBdr>
                                                        <w:top w:val="none" w:sz="0" w:space="0" w:color="auto"/>
                                                        <w:left w:val="none" w:sz="0" w:space="0" w:color="auto"/>
                                                        <w:bottom w:val="none" w:sz="0" w:space="0" w:color="auto"/>
                                                        <w:right w:val="none" w:sz="0" w:space="0" w:color="auto"/>
                                                      </w:divBdr>
                                                      <w:divsChild>
                                                        <w:div w:id="180632332">
                                                          <w:marLeft w:val="0"/>
                                                          <w:marRight w:val="0"/>
                                                          <w:marTop w:val="0"/>
                                                          <w:marBottom w:val="390"/>
                                                          <w:divBdr>
                                                            <w:top w:val="none" w:sz="0" w:space="0" w:color="auto"/>
                                                            <w:left w:val="none" w:sz="0" w:space="0" w:color="auto"/>
                                                            <w:bottom w:val="none" w:sz="0" w:space="0" w:color="auto"/>
                                                            <w:right w:val="none" w:sz="0" w:space="0" w:color="auto"/>
                                                          </w:divBdr>
                                                          <w:divsChild>
                                                            <w:div w:id="731584777">
                                                              <w:marLeft w:val="0"/>
                                                              <w:marRight w:val="0"/>
                                                              <w:marTop w:val="0"/>
                                                              <w:marBottom w:val="0"/>
                                                              <w:divBdr>
                                                                <w:top w:val="none" w:sz="0" w:space="0" w:color="auto"/>
                                                                <w:left w:val="none" w:sz="0" w:space="0" w:color="auto"/>
                                                                <w:bottom w:val="none" w:sz="0" w:space="0" w:color="auto"/>
                                                                <w:right w:val="none" w:sz="0" w:space="0" w:color="auto"/>
                                                              </w:divBdr>
                                                              <w:divsChild>
                                                                <w:div w:id="728653872">
                                                                  <w:marLeft w:val="0"/>
                                                                  <w:marRight w:val="0"/>
                                                                  <w:marTop w:val="0"/>
                                                                  <w:marBottom w:val="0"/>
                                                                  <w:divBdr>
                                                                    <w:top w:val="none" w:sz="0" w:space="0" w:color="auto"/>
                                                                    <w:left w:val="none" w:sz="0" w:space="0" w:color="auto"/>
                                                                    <w:bottom w:val="none" w:sz="0" w:space="0" w:color="auto"/>
                                                                    <w:right w:val="none" w:sz="0" w:space="0" w:color="auto"/>
                                                                  </w:divBdr>
                                                                  <w:divsChild>
                                                                    <w:div w:id="2031293673">
                                                                      <w:marLeft w:val="0"/>
                                                                      <w:marRight w:val="0"/>
                                                                      <w:marTop w:val="0"/>
                                                                      <w:marBottom w:val="0"/>
                                                                      <w:divBdr>
                                                                        <w:top w:val="none" w:sz="0" w:space="0" w:color="auto"/>
                                                                        <w:left w:val="none" w:sz="0" w:space="0" w:color="auto"/>
                                                                        <w:bottom w:val="none" w:sz="0" w:space="0" w:color="auto"/>
                                                                        <w:right w:val="none" w:sz="0" w:space="0" w:color="auto"/>
                                                                      </w:divBdr>
                                                                      <w:divsChild>
                                                                        <w:div w:id="1414233647">
                                                                          <w:marLeft w:val="0"/>
                                                                          <w:marRight w:val="0"/>
                                                                          <w:marTop w:val="0"/>
                                                                          <w:marBottom w:val="0"/>
                                                                          <w:divBdr>
                                                                            <w:top w:val="none" w:sz="0" w:space="0" w:color="auto"/>
                                                                            <w:left w:val="none" w:sz="0" w:space="0" w:color="auto"/>
                                                                            <w:bottom w:val="none" w:sz="0" w:space="0" w:color="auto"/>
                                                                            <w:right w:val="none" w:sz="0" w:space="0" w:color="auto"/>
                                                                          </w:divBdr>
                                                                          <w:divsChild>
                                                                            <w:div w:id="1834641054">
                                                                              <w:marLeft w:val="0"/>
                                                                              <w:marRight w:val="0"/>
                                                                              <w:marTop w:val="0"/>
                                                                              <w:marBottom w:val="0"/>
                                                                              <w:divBdr>
                                                                                <w:top w:val="none" w:sz="0" w:space="0" w:color="auto"/>
                                                                                <w:left w:val="none" w:sz="0" w:space="0" w:color="auto"/>
                                                                                <w:bottom w:val="none" w:sz="0" w:space="0" w:color="auto"/>
                                                                                <w:right w:val="none" w:sz="0" w:space="0" w:color="auto"/>
                                                                              </w:divBdr>
                                                                              <w:divsChild>
                                                                                <w:div w:id="1604916805">
                                                                                  <w:marLeft w:val="0"/>
                                                                                  <w:marRight w:val="0"/>
                                                                                  <w:marTop w:val="0"/>
                                                                                  <w:marBottom w:val="0"/>
                                                                                  <w:divBdr>
                                                                                    <w:top w:val="none" w:sz="0" w:space="0" w:color="auto"/>
                                                                                    <w:left w:val="none" w:sz="0" w:space="0" w:color="auto"/>
                                                                                    <w:bottom w:val="none" w:sz="0" w:space="0" w:color="auto"/>
                                                                                    <w:right w:val="none" w:sz="0" w:space="0" w:color="auto"/>
                                                                                  </w:divBdr>
                                                                                  <w:divsChild>
                                                                                    <w:div w:id="1418408115">
                                                                                      <w:marLeft w:val="0"/>
                                                                                      <w:marRight w:val="0"/>
                                                                                      <w:marTop w:val="0"/>
                                                                                      <w:marBottom w:val="0"/>
                                                                                      <w:divBdr>
                                                                                        <w:top w:val="none" w:sz="0" w:space="0" w:color="auto"/>
                                                                                        <w:left w:val="none" w:sz="0" w:space="0" w:color="auto"/>
                                                                                        <w:bottom w:val="none" w:sz="0" w:space="0" w:color="auto"/>
                                                                                        <w:right w:val="none" w:sz="0" w:space="0" w:color="auto"/>
                                                                                      </w:divBdr>
                                                                                      <w:divsChild>
                                                                                        <w:div w:id="4201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C0FEB2C9051E4C8A4B3B4F28487E61" ma:contentTypeVersion="12" ma:contentTypeDescription="Create a new document." ma:contentTypeScope="" ma:versionID="fc6ba9765c64e1d67d698793233e02c7">
  <xsd:schema xmlns:xsd="http://www.w3.org/2001/XMLSchema" xmlns:xs="http://www.w3.org/2001/XMLSchema" xmlns:p="http://schemas.microsoft.com/office/2006/metadata/properties" xmlns:ns3="198e61d9-467a-4bdf-a1ac-804ae0cb37f2" xmlns:ns4="ebe8c69f-86d5-4096-91fa-6d48b232113a" targetNamespace="http://schemas.microsoft.com/office/2006/metadata/properties" ma:root="true" ma:fieldsID="66078ec5b4d24576cf73ea273b099a71" ns3:_="" ns4:_="">
    <xsd:import namespace="198e61d9-467a-4bdf-a1ac-804ae0cb37f2"/>
    <xsd:import namespace="ebe8c69f-86d5-4096-91fa-6d48b23211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e61d9-467a-4bdf-a1ac-804ae0cb37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e8c69f-86d5-4096-91fa-6d48b23211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F0CDAB-D8AE-4892-9F1D-3433DA1E0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e61d9-467a-4bdf-a1ac-804ae0cb37f2"/>
    <ds:schemaRef ds:uri="ebe8c69f-86d5-4096-91fa-6d48b2321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0C360F-CF82-4517-BE1E-8CAE02395A7B}">
  <ds:schemaRefs>
    <ds:schemaRef ds:uri="http://schemas.openxmlformats.org/officeDocument/2006/bibliography"/>
  </ds:schemaRefs>
</ds:datastoreItem>
</file>

<file path=customXml/itemProps3.xml><?xml version="1.0" encoding="utf-8"?>
<ds:datastoreItem xmlns:ds="http://schemas.openxmlformats.org/officeDocument/2006/customXml" ds:itemID="{44FF8F5C-F5D1-4673-9DEB-1D8201C8C766}">
  <ds:schemaRefs>
    <ds:schemaRef ds:uri="http://schemas.microsoft.com/office/infopath/2007/PartnerControls"/>
    <ds:schemaRef ds:uri="http://www.w3.org/XML/1998/namespace"/>
    <ds:schemaRef ds:uri="198e61d9-467a-4bdf-a1ac-804ae0cb37f2"/>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ebe8c69f-86d5-4096-91fa-6d48b232113a"/>
    <ds:schemaRef ds:uri="http://purl.org/dc/terms/"/>
  </ds:schemaRefs>
</ds:datastoreItem>
</file>

<file path=customXml/itemProps4.xml><?xml version="1.0" encoding="utf-8"?>
<ds:datastoreItem xmlns:ds="http://schemas.openxmlformats.org/officeDocument/2006/customXml" ds:itemID="{6ADF7D41-096A-4DD7-B910-5C8FB23349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1956</Words>
  <Characters>11150</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Enquêtes de la Commission de la fonction publique : Documentation à l'appui</vt:lpstr>
      <vt:lpstr/>
    </vt:vector>
  </TitlesOfParts>
  <Company>CFP-PSC</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Enquêtes de la Commission de la fonction publique : Documentation à l'appui</dc:title>
  <dc:subject/>
  <dc:creator>Frederic Veillette-Menard</dc:creator>
  <cp:keywords/>
  <dc:description/>
  <cp:lastModifiedBy>Snjezana Kulic</cp:lastModifiedBy>
  <cp:revision>3</cp:revision>
  <cp:lastPrinted>2016-09-27T16:30:00Z</cp:lastPrinted>
  <dcterms:created xsi:type="dcterms:W3CDTF">2022-05-05T19:04:00Z</dcterms:created>
  <dcterms:modified xsi:type="dcterms:W3CDTF">2022-05-05T19:04:00Z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0x0101009DC0FEB2C9051E4C8A4B3B4F28487E61</vt:lpwstr>
  </property>
</Properties>
</file>