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E29AA" w14:textId="463D06D6" w:rsidR="008B743D" w:rsidRPr="00447B99" w:rsidRDefault="008B743D" w:rsidP="008B743D">
      <w:pPr>
        <w:pStyle w:val="Heading1"/>
        <w:rPr>
          <w:rFonts w:ascii="Arial" w:hAnsi="Arial" w:cs="Arial"/>
          <w:b/>
          <w:color w:val="auto"/>
          <w:sz w:val="28"/>
          <w:szCs w:val="28"/>
        </w:rPr>
      </w:pPr>
      <w:r w:rsidRPr="00447B99">
        <w:rPr>
          <w:rFonts w:ascii="Arial" w:hAnsi="Arial" w:cs="Arial"/>
          <w:b/>
          <w:color w:val="auto"/>
          <w:sz w:val="28"/>
          <w:szCs w:val="28"/>
        </w:rPr>
        <w:t>Public Service Commission</w:t>
      </w:r>
      <w:r w:rsidR="00B03B7B" w:rsidRPr="00447B99">
        <w:rPr>
          <w:rFonts w:ascii="Arial" w:hAnsi="Arial" w:cs="Arial"/>
          <w:b/>
          <w:color w:val="auto"/>
          <w:sz w:val="28"/>
          <w:szCs w:val="28"/>
        </w:rPr>
        <w:t xml:space="preserve"> (PSC)</w:t>
      </w:r>
      <w:r w:rsidRPr="00447B99">
        <w:rPr>
          <w:rFonts w:ascii="Arial" w:hAnsi="Arial" w:cs="Arial"/>
          <w:b/>
          <w:color w:val="auto"/>
          <w:sz w:val="28"/>
          <w:szCs w:val="28"/>
        </w:rPr>
        <w:t xml:space="preserve"> Departmental Results Framework Indicators: Supporting Documentation</w:t>
      </w:r>
    </w:p>
    <w:p w14:paraId="1889D620" w14:textId="77777777" w:rsidR="00447B99" w:rsidRDefault="00447B99" w:rsidP="00447B99">
      <w:pPr>
        <w:rPr>
          <w:rFonts w:ascii="Arial" w:hAnsi="Arial" w:cs="Arial"/>
        </w:rPr>
      </w:pPr>
    </w:p>
    <w:p w14:paraId="7CB81E29" w14:textId="6CFBF243" w:rsidR="00447B99" w:rsidRPr="00447B99" w:rsidRDefault="00447B99" w:rsidP="00447B99">
      <w:pPr>
        <w:rPr>
          <w:rFonts w:ascii="Arial" w:hAnsi="Arial" w:cs="Arial"/>
        </w:rPr>
      </w:pPr>
      <w:r w:rsidRPr="00447B99">
        <w:rPr>
          <w:rFonts w:ascii="Arial" w:hAnsi="Arial" w:cs="Arial"/>
        </w:rPr>
        <w:t>If you have any questions, comments or specific feedback related to these datasets, please contact the Public Service Commission's </w:t>
      </w:r>
      <w:hyperlink r:id="rId8" w:history="1">
        <w:r w:rsidRPr="00447B99">
          <w:rPr>
            <w:rStyle w:val="Hyperlink"/>
            <w:rFonts w:ascii="Arial" w:hAnsi="Arial" w:cs="Arial"/>
          </w:rPr>
          <w:t>Open Government Secretariat</w:t>
        </w:r>
      </w:hyperlink>
      <w:r w:rsidRPr="00447B99">
        <w:rPr>
          <w:rFonts w:ascii="Arial" w:hAnsi="Arial" w:cs="Arial"/>
        </w:rPr>
        <w:t>.</w:t>
      </w:r>
    </w:p>
    <w:p w14:paraId="1806DA7C" w14:textId="5417B93A" w:rsidR="00135028" w:rsidRPr="009A7DFE" w:rsidRDefault="00135028" w:rsidP="008B743D">
      <w:pPr>
        <w:pStyle w:val="Heading1"/>
        <w:rPr>
          <w:rFonts w:ascii="Arial" w:hAnsi="Arial" w:cs="Arial"/>
          <w:b/>
          <w:bCs/>
          <w:color w:val="auto"/>
          <w:sz w:val="22"/>
          <w:szCs w:val="22"/>
        </w:rPr>
      </w:pPr>
      <w:r w:rsidRPr="009A7DFE">
        <w:rPr>
          <w:rFonts w:ascii="Arial" w:hAnsi="Arial" w:cs="Arial"/>
          <w:b/>
          <w:bCs/>
          <w:color w:val="auto"/>
          <w:sz w:val="22"/>
          <w:szCs w:val="22"/>
        </w:rPr>
        <w:t xml:space="preserve">Background Information: </w:t>
      </w:r>
    </w:p>
    <w:p w14:paraId="2E723E48" w14:textId="0C83C564" w:rsidR="00572099" w:rsidRPr="009A7DFE" w:rsidRDefault="00B2797F" w:rsidP="00B2797F">
      <w:pPr>
        <w:rPr>
          <w:rFonts w:ascii="Arial" w:hAnsi="Arial" w:cs="Arial"/>
        </w:rPr>
      </w:pPr>
      <w:r w:rsidRPr="009A7DFE">
        <w:rPr>
          <w:rFonts w:ascii="Arial" w:hAnsi="Arial" w:cs="Arial"/>
        </w:rPr>
        <w:t xml:space="preserve">Since April 2018, all organizations are </w:t>
      </w:r>
      <w:r w:rsidR="009D64C3" w:rsidRPr="009A7DFE">
        <w:rPr>
          <w:rFonts w:ascii="Arial" w:hAnsi="Arial" w:cs="Arial"/>
        </w:rPr>
        <w:t>required to use a</w:t>
      </w:r>
      <w:r w:rsidRPr="009A7DFE">
        <w:rPr>
          <w:rFonts w:ascii="Arial" w:hAnsi="Arial" w:cs="Arial"/>
        </w:rPr>
        <w:t xml:space="preserve"> results reporting structure based on the </w:t>
      </w:r>
      <w:hyperlink r:id="rId9" w:tgtFrame="_blank" w:history="1">
        <w:r w:rsidRPr="009A7DFE">
          <w:rPr>
            <w:rStyle w:val="Hyperlink"/>
            <w:rFonts w:ascii="Arial" w:hAnsi="Arial" w:cs="Arial"/>
            <w:i/>
            <w:iCs/>
            <w:color w:val="0070C0"/>
          </w:rPr>
          <w:t>Policy on Results</w:t>
        </w:r>
      </w:hyperlink>
      <w:r w:rsidRPr="009A7DFE">
        <w:rPr>
          <w:rFonts w:ascii="Arial" w:hAnsi="Arial" w:cs="Arial"/>
          <w:i/>
          <w:iCs/>
        </w:rPr>
        <w:t>,</w:t>
      </w:r>
      <w:r w:rsidRPr="009A7DFE">
        <w:rPr>
          <w:rFonts w:ascii="Arial" w:hAnsi="Arial" w:cs="Arial"/>
        </w:rPr>
        <w:t xml:space="preserve"> </w:t>
      </w:r>
      <w:r w:rsidR="009D64C3" w:rsidRPr="009A7DFE">
        <w:rPr>
          <w:rFonts w:ascii="Arial" w:hAnsi="Arial" w:cs="Arial"/>
        </w:rPr>
        <w:t xml:space="preserve">which </w:t>
      </w:r>
      <w:r w:rsidRPr="009A7DFE">
        <w:rPr>
          <w:rFonts w:ascii="Arial" w:hAnsi="Arial" w:cs="Arial"/>
        </w:rPr>
        <w:t>consis</w:t>
      </w:r>
      <w:r w:rsidR="009D64C3" w:rsidRPr="009A7DFE">
        <w:rPr>
          <w:rFonts w:ascii="Arial" w:hAnsi="Arial" w:cs="Arial"/>
        </w:rPr>
        <w:t>ts</w:t>
      </w:r>
      <w:r w:rsidRPr="009A7DFE">
        <w:rPr>
          <w:rFonts w:ascii="Arial" w:hAnsi="Arial" w:cs="Arial"/>
        </w:rPr>
        <w:t xml:space="preserve"> of a Departmental Results Framework</w:t>
      </w:r>
      <w:r w:rsidR="008C4F4D" w:rsidRPr="009A7DFE">
        <w:rPr>
          <w:rFonts w:ascii="Arial" w:hAnsi="Arial" w:cs="Arial"/>
        </w:rPr>
        <w:t xml:space="preserve"> (DRF)</w:t>
      </w:r>
      <w:r w:rsidRPr="009A7DFE">
        <w:rPr>
          <w:rFonts w:ascii="Arial" w:hAnsi="Arial" w:cs="Arial"/>
        </w:rPr>
        <w:t> and a Program Inventory.</w:t>
      </w:r>
    </w:p>
    <w:p w14:paraId="2B00873F" w14:textId="17A7C10D" w:rsidR="002871E9" w:rsidRPr="009A7DFE" w:rsidRDefault="00071F4B" w:rsidP="00B2797F">
      <w:pPr>
        <w:rPr>
          <w:rFonts w:ascii="Arial" w:hAnsi="Arial" w:cs="Arial"/>
        </w:rPr>
      </w:pPr>
      <w:r w:rsidRPr="009A7DFE">
        <w:rPr>
          <w:rFonts w:ascii="Arial" w:hAnsi="Arial" w:cs="Arial"/>
        </w:rPr>
        <w:t>The </w:t>
      </w:r>
      <w:hyperlink r:id="rId10" w:tgtFrame="_blank" w:history="1">
        <w:r w:rsidRPr="009A7DFE">
          <w:rPr>
            <w:rStyle w:val="Hyperlink"/>
            <w:rFonts w:ascii="Arial" w:hAnsi="Arial" w:cs="Arial"/>
            <w:i/>
            <w:iCs/>
            <w:color w:val="0070C0"/>
          </w:rPr>
          <w:t>Policy on Results</w:t>
        </w:r>
      </w:hyperlink>
      <w:r w:rsidRPr="009A7DFE">
        <w:rPr>
          <w:rFonts w:ascii="Arial" w:hAnsi="Arial" w:cs="Arial"/>
          <w:color w:val="0070C0"/>
        </w:rPr>
        <w:t> </w:t>
      </w:r>
      <w:r w:rsidRPr="009A7DFE">
        <w:rPr>
          <w:rFonts w:ascii="Arial" w:hAnsi="Arial" w:cs="Arial"/>
        </w:rPr>
        <w:t>sets out the fundamental requirements for federal departmental accountability for performance information and evaluation, while highlighting the importance of results in management and spending decision making, as well as public reporting. It seeks to improve the achievement of results across government and enhancing understanding of the results the government seeks to achieve, does achieve, and the resources used to so.</w:t>
      </w:r>
    </w:p>
    <w:p w14:paraId="13AAFA2A" w14:textId="562753B5" w:rsidR="009D4E08" w:rsidRPr="009A7DFE" w:rsidRDefault="00071F4B" w:rsidP="00B2797F">
      <w:pPr>
        <w:rPr>
          <w:rFonts w:ascii="Arial" w:hAnsi="Arial" w:cs="Arial"/>
        </w:rPr>
      </w:pPr>
      <w:r w:rsidRPr="009A7DFE">
        <w:rPr>
          <w:rFonts w:ascii="Arial" w:hAnsi="Arial" w:cs="Arial"/>
        </w:rPr>
        <w:t>A Departmental Results Framework</w:t>
      </w:r>
      <w:r w:rsidR="009D4E08" w:rsidRPr="009A7DFE">
        <w:rPr>
          <w:rFonts w:ascii="Arial" w:hAnsi="Arial" w:cs="Arial"/>
        </w:rPr>
        <w:t xml:space="preserve"> describes: </w:t>
      </w:r>
    </w:p>
    <w:p w14:paraId="0350072D" w14:textId="6DFA139B" w:rsidR="009D4E08" w:rsidRPr="009A7DFE" w:rsidRDefault="009D4E08" w:rsidP="009D4E08">
      <w:pPr>
        <w:pStyle w:val="ListParagraph"/>
        <w:numPr>
          <w:ilvl w:val="0"/>
          <w:numId w:val="3"/>
        </w:numPr>
        <w:rPr>
          <w:rFonts w:ascii="Arial" w:hAnsi="Arial" w:cs="Arial"/>
        </w:rPr>
      </w:pPr>
      <w:r w:rsidRPr="009A7DFE">
        <w:rPr>
          <w:rFonts w:ascii="Arial" w:hAnsi="Arial" w:cs="Arial"/>
        </w:rPr>
        <w:t>What the department does (</w:t>
      </w:r>
      <w:proofErr w:type="spellStart"/>
      <w:r w:rsidRPr="009A7DFE">
        <w:rPr>
          <w:rFonts w:ascii="Arial" w:hAnsi="Arial" w:cs="Arial"/>
        </w:rPr>
        <w:t>i.e</w:t>
      </w:r>
      <w:proofErr w:type="spellEnd"/>
      <w:r w:rsidRPr="009A7DFE">
        <w:rPr>
          <w:rFonts w:ascii="Arial" w:hAnsi="Arial" w:cs="Arial"/>
        </w:rPr>
        <w:t xml:space="preserve"> Core Responsibility) </w:t>
      </w:r>
    </w:p>
    <w:p w14:paraId="17770AFA" w14:textId="07D4CA59" w:rsidR="009D4E08" w:rsidRPr="009A7DFE" w:rsidRDefault="009D4E08" w:rsidP="009D4E08">
      <w:pPr>
        <w:pStyle w:val="ListParagraph"/>
        <w:numPr>
          <w:ilvl w:val="0"/>
          <w:numId w:val="3"/>
        </w:numPr>
        <w:rPr>
          <w:rFonts w:ascii="Arial" w:hAnsi="Arial" w:cs="Arial"/>
        </w:rPr>
      </w:pPr>
      <w:r w:rsidRPr="009A7DFE">
        <w:rPr>
          <w:rFonts w:ascii="Arial" w:hAnsi="Arial" w:cs="Arial"/>
        </w:rPr>
        <w:t>What results the department is trying to achieve</w:t>
      </w:r>
      <w:r w:rsidR="00B64ACE" w:rsidRPr="009A7DFE">
        <w:rPr>
          <w:rFonts w:ascii="Arial" w:hAnsi="Arial" w:cs="Arial"/>
        </w:rPr>
        <w:t xml:space="preserve"> (</w:t>
      </w:r>
      <w:proofErr w:type="spellStart"/>
      <w:r w:rsidR="00B64ACE" w:rsidRPr="009A7DFE">
        <w:rPr>
          <w:rFonts w:ascii="Arial" w:hAnsi="Arial" w:cs="Arial"/>
        </w:rPr>
        <w:t>i.e</w:t>
      </w:r>
      <w:proofErr w:type="spellEnd"/>
      <w:r w:rsidR="00B64ACE" w:rsidRPr="009A7DFE">
        <w:rPr>
          <w:rFonts w:ascii="Arial" w:hAnsi="Arial" w:cs="Arial"/>
        </w:rPr>
        <w:t xml:space="preserve"> Departmental Results)</w:t>
      </w:r>
      <w:r w:rsidRPr="009A7DFE">
        <w:rPr>
          <w:rFonts w:ascii="Arial" w:hAnsi="Arial" w:cs="Arial"/>
        </w:rPr>
        <w:t xml:space="preserve"> and, </w:t>
      </w:r>
    </w:p>
    <w:p w14:paraId="489140C7" w14:textId="0E31014F" w:rsidR="009D4E08" w:rsidRPr="009A7DFE" w:rsidRDefault="00B64ACE" w:rsidP="009D4E08">
      <w:pPr>
        <w:pStyle w:val="ListParagraph"/>
        <w:numPr>
          <w:ilvl w:val="0"/>
          <w:numId w:val="3"/>
        </w:numPr>
        <w:rPr>
          <w:rFonts w:ascii="Arial" w:hAnsi="Arial" w:cs="Arial"/>
        </w:rPr>
      </w:pPr>
      <w:r w:rsidRPr="009A7DFE">
        <w:rPr>
          <w:rFonts w:ascii="Arial" w:hAnsi="Arial" w:cs="Arial"/>
        </w:rPr>
        <w:t>How progress will be assessed (</w:t>
      </w:r>
      <w:proofErr w:type="spellStart"/>
      <w:r w:rsidRPr="009A7DFE">
        <w:rPr>
          <w:rFonts w:ascii="Arial" w:hAnsi="Arial" w:cs="Arial"/>
        </w:rPr>
        <w:t>i.e</w:t>
      </w:r>
      <w:proofErr w:type="spellEnd"/>
      <w:r w:rsidRPr="009A7DFE">
        <w:rPr>
          <w:rFonts w:ascii="Arial" w:hAnsi="Arial" w:cs="Arial"/>
        </w:rPr>
        <w:t xml:space="preserve"> Departmental Indicators) </w:t>
      </w:r>
    </w:p>
    <w:p w14:paraId="6B580DF2" w14:textId="50950CBB" w:rsidR="00B64ACE" w:rsidRPr="009A7DFE" w:rsidRDefault="00F414F8" w:rsidP="00B64ACE">
      <w:pPr>
        <w:rPr>
          <w:rFonts w:ascii="Arial" w:hAnsi="Arial" w:cs="Arial"/>
        </w:rPr>
      </w:pPr>
      <w:r w:rsidRPr="00315940">
        <w:rPr>
          <w:rFonts w:ascii="Arial" w:hAnsi="Arial" w:cs="Arial"/>
        </w:rPr>
        <w:t>This</w:t>
      </w:r>
      <w:r w:rsidR="00B03B7B" w:rsidRPr="00315940">
        <w:rPr>
          <w:rFonts w:ascii="Arial" w:hAnsi="Arial" w:cs="Arial"/>
        </w:rPr>
        <w:t xml:space="preserve"> collection </w:t>
      </w:r>
      <w:r w:rsidR="008C4F4D" w:rsidRPr="00315940">
        <w:rPr>
          <w:rFonts w:ascii="Arial" w:hAnsi="Arial" w:cs="Arial"/>
        </w:rPr>
        <w:t>provides the data behind the PSC’s</w:t>
      </w:r>
      <w:r w:rsidR="00B03B7B" w:rsidRPr="00315940">
        <w:rPr>
          <w:rFonts w:ascii="Arial" w:hAnsi="Arial" w:cs="Arial"/>
        </w:rPr>
        <w:t xml:space="preserve"> DRF in</w:t>
      </w:r>
      <w:r w:rsidR="00A95D3B" w:rsidRPr="00315940">
        <w:rPr>
          <w:rFonts w:ascii="Arial" w:hAnsi="Arial" w:cs="Arial"/>
        </w:rPr>
        <w:t xml:space="preserve">dicators </w:t>
      </w:r>
      <w:r w:rsidRPr="00315940">
        <w:rPr>
          <w:rFonts w:ascii="Arial" w:hAnsi="Arial" w:cs="Arial"/>
        </w:rPr>
        <w:t xml:space="preserve">that measure if </w:t>
      </w:r>
      <w:r w:rsidR="008C4F4D" w:rsidRPr="00315940">
        <w:rPr>
          <w:rFonts w:ascii="Arial" w:hAnsi="Arial" w:cs="Arial"/>
        </w:rPr>
        <w:t>the PSC</w:t>
      </w:r>
      <w:r w:rsidRPr="00315940">
        <w:rPr>
          <w:rFonts w:ascii="Arial" w:hAnsi="Arial" w:cs="Arial"/>
        </w:rPr>
        <w:t xml:space="preserve"> is meeting</w:t>
      </w:r>
      <w:r w:rsidR="00A95D3B" w:rsidRPr="00315940">
        <w:rPr>
          <w:rFonts w:ascii="Arial" w:hAnsi="Arial" w:cs="Arial"/>
        </w:rPr>
        <w:t xml:space="preserve"> </w:t>
      </w:r>
      <w:r w:rsidR="00246E57" w:rsidRPr="00315940">
        <w:rPr>
          <w:rFonts w:ascii="Arial" w:hAnsi="Arial" w:cs="Arial"/>
        </w:rPr>
        <w:t>its core responsibilit</w:t>
      </w:r>
      <w:r w:rsidR="007C4839" w:rsidRPr="00315940">
        <w:rPr>
          <w:rFonts w:ascii="Arial" w:hAnsi="Arial" w:cs="Arial"/>
        </w:rPr>
        <w:t xml:space="preserve">y </w:t>
      </w:r>
      <w:r w:rsidR="00246E57" w:rsidRPr="00315940">
        <w:rPr>
          <w:rFonts w:ascii="Arial" w:hAnsi="Arial" w:cs="Arial"/>
        </w:rPr>
        <w:t>of Public Service Hiring and Non-partisanship</w:t>
      </w:r>
      <w:r w:rsidR="007C4839" w:rsidRPr="00315940">
        <w:rPr>
          <w:rFonts w:ascii="Arial" w:hAnsi="Arial" w:cs="Arial"/>
        </w:rPr>
        <w:t>.</w:t>
      </w:r>
      <w:r w:rsidR="007C4839" w:rsidRPr="009A7DFE">
        <w:rPr>
          <w:rFonts w:ascii="Arial" w:hAnsi="Arial" w:cs="Arial"/>
        </w:rPr>
        <w:t xml:space="preserve"> </w:t>
      </w:r>
    </w:p>
    <w:p w14:paraId="0A7F892D" w14:textId="717A46B5" w:rsidR="00714906" w:rsidRPr="009A7DFE" w:rsidRDefault="00714906" w:rsidP="00B64ACE">
      <w:pPr>
        <w:rPr>
          <w:rFonts w:ascii="Arial" w:hAnsi="Arial" w:cs="Arial"/>
          <w:color w:val="0070C0"/>
        </w:rPr>
      </w:pPr>
      <w:r w:rsidRPr="009A7DFE">
        <w:rPr>
          <w:rFonts w:ascii="Arial" w:hAnsi="Arial" w:cs="Arial"/>
        </w:rPr>
        <w:t xml:space="preserve">To view the </w:t>
      </w:r>
      <w:r w:rsidR="0072085D" w:rsidRPr="009A7DFE">
        <w:rPr>
          <w:rFonts w:ascii="Arial" w:hAnsi="Arial" w:cs="Arial"/>
        </w:rPr>
        <w:t xml:space="preserve">PSC’s </w:t>
      </w:r>
      <w:r w:rsidRPr="009A7DFE">
        <w:rPr>
          <w:rFonts w:ascii="Arial" w:hAnsi="Arial" w:cs="Arial"/>
        </w:rPr>
        <w:t xml:space="preserve">full </w:t>
      </w:r>
      <w:r w:rsidR="0072085D" w:rsidRPr="009A7DFE">
        <w:rPr>
          <w:rFonts w:ascii="Arial" w:hAnsi="Arial" w:cs="Arial"/>
        </w:rPr>
        <w:t xml:space="preserve">Departmental Results Framework and Program Inventory, </w:t>
      </w:r>
      <w:hyperlink r:id="rId11" w:anchor="infographic/dept/282/intro" w:history="1">
        <w:r w:rsidR="0072085D" w:rsidRPr="009A7DFE">
          <w:rPr>
            <w:rStyle w:val="Hyperlink"/>
            <w:rFonts w:ascii="Arial" w:hAnsi="Arial" w:cs="Arial"/>
            <w:color w:val="0070C0"/>
          </w:rPr>
          <w:t xml:space="preserve">please visit the  Infographic </w:t>
        </w:r>
        <w:r w:rsidR="00400270" w:rsidRPr="009A7DFE">
          <w:rPr>
            <w:rStyle w:val="Hyperlink"/>
            <w:rFonts w:ascii="Arial" w:hAnsi="Arial" w:cs="Arial"/>
            <w:color w:val="0070C0"/>
          </w:rPr>
          <w:t xml:space="preserve">for the PSC </w:t>
        </w:r>
        <w:r w:rsidR="0072085D" w:rsidRPr="009A7DFE">
          <w:rPr>
            <w:rStyle w:val="Hyperlink"/>
            <w:rFonts w:ascii="Arial" w:hAnsi="Arial" w:cs="Arial"/>
            <w:color w:val="0070C0"/>
          </w:rPr>
          <w:t>on GC InfoBase</w:t>
        </w:r>
      </w:hyperlink>
      <w:r w:rsidR="0072085D" w:rsidRPr="009A7DFE">
        <w:rPr>
          <w:rFonts w:ascii="Arial" w:hAnsi="Arial" w:cs="Arial"/>
          <w:color w:val="0070C0"/>
        </w:rPr>
        <w:t xml:space="preserve">. </w:t>
      </w:r>
    </w:p>
    <w:p w14:paraId="10FD54C6" w14:textId="3515144F" w:rsidR="008B743D" w:rsidRPr="009A7DFE" w:rsidRDefault="008B743D" w:rsidP="008B743D">
      <w:pPr>
        <w:pStyle w:val="Heading1"/>
        <w:rPr>
          <w:rFonts w:ascii="Arial" w:hAnsi="Arial" w:cs="Arial"/>
          <w:b/>
          <w:bCs/>
          <w:color w:val="auto"/>
          <w:sz w:val="22"/>
          <w:szCs w:val="22"/>
        </w:rPr>
      </w:pPr>
      <w:r w:rsidRPr="009A7DFE">
        <w:rPr>
          <w:rFonts w:ascii="Arial" w:hAnsi="Arial" w:cs="Arial"/>
          <w:b/>
          <w:bCs/>
          <w:color w:val="auto"/>
          <w:sz w:val="22"/>
          <w:szCs w:val="22"/>
        </w:rPr>
        <w:t xml:space="preserve">Dataset Documentation: </w:t>
      </w:r>
    </w:p>
    <w:p w14:paraId="493132B5" w14:textId="77777777" w:rsidR="008B743D" w:rsidRPr="009A7DFE" w:rsidRDefault="008B743D" w:rsidP="008B743D">
      <w:pPr>
        <w:rPr>
          <w:rFonts w:ascii="Arial" w:hAnsi="Arial" w:cs="Arial"/>
          <w:i/>
        </w:rPr>
      </w:pPr>
      <w:r w:rsidRPr="009A7DFE">
        <w:rPr>
          <w:rFonts w:ascii="Arial" w:hAnsi="Arial" w:cs="Arial"/>
        </w:rPr>
        <w:t>*</w:t>
      </w:r>
      <w:r w:rsidRPr="009A7DFE">
        <w:rPr>
          <w:rFonts w:ascii="Arial" w:hAnsi="Arial" w:cs="Arial"/>
          <w:i/>
        </w:rPr>
        <w:t>Regarding “</w:t>
      </w:r>
      <w:r w:rsidRPr="009A7DFE">
        <w:rPr>
          <w:rFonts w:ascii="Arial" w:hAnsi="Arial" w:cs="Arial"/>
          <w:b/>
          <w:i/>
        </w:rPr>
        <w:t>Notes</w:t>
      </w:r>
      <w:r w:rsidRPr="009A7DFE">
        <w:rPr>
          <w:rFonts w:ascii="Arial" w:hAnsi="Arial" w:cs="Arial"/>
          <w:i/>
        </w:rPr>
        <w:t>,” for each entry the content in brackets refers to a variable within the dataset.</w:t>
      </w:r>
    </w:p>
    <w:p w14:paraId="124475AF" w14:textId="0EB21DFA" w:rsidR="00135028" w:rsidRPr="009A7DFE" w:rsidRDefault="00135028" w:rsidP="00D14589">
      <w:pPr>
        <w:pStyle w:val="Heading2"/>
        <w:rPr>
          <w:sz w:val="22"/>
          <w:szCs w:val="22"/>
        </w:rPr>
      </w:pPr>
      <w:r w:rsidRPr="009A7DFE">
        <w:rPr>
          <w:sz w:val="22"/>
          <w:szCs w:val="22"/>
        </w:rPr>
        <w:t xml:space="preserve">Indicator </w:t>
      </w:r>
      <w:r w:rsidR="001F4DAD" w:rsidRPr="009A7DFE">
        <w:rPr>
          <w:sz w:val="22"/>
          <w:szCs w:val="22"/>
        </w:rPr>
        <w:t>I</w:t>
      </w:r>
      <w:r w:rsidRPr="009A7DFE">
        <w:rPr>
          <w:sz w:val="22"/>
          <w:szCs w:val="22"/>
        </w:rPr>
        <w:t>1</w:t>
      </w:r>
      <w:r w:rsidR="00A0197F" w:rsidRPr="009A7DFE">
        <w:rPr>
          <w:sz w:val="22"/>
          <w:szCs w:val="22"/>
        </w:rPr>
        <w:t xml:space="preserve"> </w:t>
      </w:r>
      <w:r w:rsidR="00A0197F" w:rsidRPr="009A7DFE">
        <w:rPr>
          <w:rStyle w:val="Heading2Char"/>
          <w:b/>
          <w:bCs/>
          <w:sz w:val="22"/>
          <w:szCs w:val="22"/>
        </w:rPr>
        <w:t xml:space="preserve">– </w:t>
      </w:r>
      <w:r w:rsidRPr="009A7DFE">
        <w:rPr>
          <w:sz w:val="22"/>
          <w:szCs w:val="22"/>
        </w:rPr>
        <w:t xml:space="preserve">Number of Days to complete </w:t>
      </w:r>
      <w:r w:rsidR="001D489F">
        <w:rPr>
          <w:sz w:val="22"/>
          <w:szCs w:val="22"/>
        </w:rPr>
        <w:t>an external staffing process</w:t>
      </w:r>
      <w:r w:rsidR="000026CF" w:rsidRPr="009A7DFE">
        <w:rPr>
          <w:sz w:val="22"/>
          <w:szCs w:val="22"/>
        </w:rPr>
        <w:t xml:space="preserve"> (CFPPSC_I</w:t>
      </w:r>
      <w:r w:rsidR="008B014A">
        <w:rPr>
          <w:sz w:val="22"/>
          <w:szCs w:val="22"/>
        </w:rPr>
        <w:t>0</w:t>
      </w:r>
      <w:r w:rsidR="000026CF" w:rsidRPr="009A7DFE">
        <w:rPr>
          <w:sz w:val="22"/>
          <w:szCs w:val="22"/>
        </w:rPr>
        <w:t>1)</w:t>
      </w:r>
    </w:p>
    <w:p w14:paraId="5FD9C402" w14:textId="06A0EF58" w:rsidR="002C16EF" w:rsidRPr="009A7DFE" w:rsidRDefault="000026CF" w:rsidP="00D81F5E">
      <w:pPr>
        <w:pStyle w:val="ListParagraph"/>
        <w:numPr>
          <w:ilvl w:val="0"/>
          <w:numId w:val="3"/>
        </w:numPr>
        <w:rPr>
          <w:rFonts w:ascii="Arial" w:hAnsi="Arial" w:cs="Arial"/>
        </w:rPr>
      </w:pPr>
      <w:r w:rsidRPr="009A7DFE">
        <w:rPr>
          <w:rStyle w:val="Strong"/>
          <w:rFonts w:ascii="Arial" w:hAnsi="Arial" w:cs="Arial"/>
        </w:rPr>
        <w:t>Source:</w:t>
      </w:r>
      <w:r w:rsidRPr="009A7DFE">
        <w:rPr>
          <w:rFonts w:ascii="Arial" w:hAnsi="Arial" w:cs="Arial"/>
        </w:rPr>
        <w:t xml:space="preserve"> </w:t>
      </w:r>
      <w:r w:rsidR="00D81F5E" w:rsidRPr="009A7DFE">
        <w:rPr>
          <w:rFonts w:ascii="Arial" w:hAnsi="Arial" w:cs="Arial"/>
        </w:rPr>
        <w:t xml:space="preserve"> </w:t>
      </w:r>
      <w:r w:rsidR="002C16EF" w:rsidRPr="009A7DFE">
        <w:rPr>
          <w:rFonts w:ascii="Arial" w:hAnsi="Arial" w:cs="Arial"/>
        </w:rPr>
        <w:t>PSRS (Public Ser</w:t>
      </w:r>
      <w:r w:rsidR="00924738" w:rsidRPr="009A7DFE">
        <w:rPr>
          <w:rFonts w:ascii="Arial" w:hAnsi="Arial" w:cs="Arial"/>
        </w:rPr>
        <w:t>vice Resourcing System), PIMS (Priority Entitlements Management System) and PSC</w:t>
      </w:r>
      <w:r w:rsidR="002036EA" w:rsidRPr="009A7DFE">
        <w:rPr>
          <w:rFonts w:ascii="Arial" w:hAnsi="Arial" w:cs="Arial"/>
        </w:rPr>
        <w:t xml:space="preserve"> Hiring and Staffing Files </w:t>
      </w:r>
    </w:p>
    <w:p w14:paraId="3B0D4CFA" w14:textId="5F9CD4E5" w:rsidR="006435D6" w:rsidRPr="009A7DFE" w:rsidRDefault="000026CF" w:rsidP="006435D6">
      <w:pPr>
        <w:pStyle w:val="ListParagraph"/>
        <w:numPr>
          <w:ilvl w:val="0"/>
          <w:numId w:val="3"/>
        </w:numPr>
        <w:rPr>
          <w:rFonts w:ascii="Arial" w:hAnsi="Arial" w:cs="Arial"/>
        </w:rPr>
      </w:pPr>
      <w:r w:rsidRPr="009A7DFE">
        <w:rPr>
          <w:rStyle w:val="Strong"/>
          <w:rFonts w:ascii="Arial" w:hAnsi="Arial" w:cs="Arial"/>
        </w:rPr>
        <w:t>Description:</w:t>
      </w:r>
      <w:r w:rsidRPr="009A7DFE">
        <w:rPr>
          <w:rFonts w:ascii="Arial" w:hAnsi="Arial" w:cs="Arial"/>
        </w:rPr>
        <w:t xml:space="preserve"> </w:t>
      </w:r>
      <w:r w:rsidR="004B2ECA" w:rsidRPr="004B2ECA">
        <w:rPr>
          <w:rFonts w:ascii="Arial" w:hAnsi="Arial" w:cs="Arial"/>
        </w:rPr>
        <w:t>This indicator measures the median number of days it takes for a public service position to be filled once an external staffing process is started. This will enable the Public Service Commission to identify opportunities for improvements to the staffing process and ensure that public service positions are filled with talented people in a timely and efficient manner. The analysis will use administrative data from Public Service Commission data holdings.</w:t>
      </w:r>
    </w:p>
    <w:p w14:paraId="27E7DAC3" w14:textId="44115EAF" w:rsidR="00D81F5E" w:rsidRPr="009A7DFE" w:rsidRDefault="00AC5B5F" w:rsidP="006435D6">
      <w:pPr>
        <w:pStyle w:val="ListParagraph"/>
        <w:numPr>
          <w:ilvl w:val="0"/>
          <w:numId w:val="3"/>
        </w:numPr>
        <w:rPr>
          <w:rStyle w:val="Strong"/>
          <w:rFonts w:ascii="Arial" w:hAnsi="Arial" w:cs="Arial"/>
          <w:b w:val="0"/>
          <w:bCs w:val="0"/>
        </w:rPr>
      </w:pPr>
      <w:r w:rsidRPr="009A7DFE">
        <w:rPr>
          <w:rStyle w:val="Strong"/>
          <w:rFonts w:ascii="Arial" w:hAnsi="Arial" w:cs="Arial"/>
        </w:rPr>
        <w:t>Methodology</w:t>
      </w:r>
      <w:r w:rsidR="00D81F5E" w:rsidRPr="009A7DFE">
        <w:rPr>
          <w:rStyle w:val="Strong"/>
          <w:rFonts w:ascii="Arial" w:hAnsi="Arial" w:cs="Arial"/>
        </w:rPr>
        <w:t>:</w:t>
      </w:r>
      <w:r w:rsidR="006435D6" w:rsidRPr="009A7DFE">
        <w:rPr>
          <w:rStyle w:val="Strong"/>
          <w:rFonts w:ascii="Arial" w:hAnsi="Arial" w:cs="Arial"/>
        </w:rPr>
        <w:t xml:space="preserve"> </w:t>
      </w:r>
      <w:r w:rsidR="006B0BF3" w:rsidRPr="006B0BF3">
        <w:rPr>
          <w:rStyle w:val="Strong"/>
          <w:rFonts w:ascii="Arial" w:hAnsi="Arial" w:cs="Arial"/>
          <w:b w:val="0"/>
          <w:bCs w:val="0"/>
        </w:rPr>
        <w:t>Median number of days between a job being posted on the GC Jobs website and the first occurrence of an appointee in the pay system after the opening date of the job posting for the first appointment.</w:t>
      </w:r>
    </w:p>
    <w:p w14:paraId="7FBE676D" w14:textId="2E0728D6" w:rsidR="00EF469A" w:rsidRPr="009A7DFE" w:rsidRDefault="00EF469A" w:rsidP="00EF469A">
      <w:pPr>
        <w:pStyle w:val="ListParagraph"/>
        <w:numPr>
          <w:ilvl w:val="0"/>
          <w:numId w:val="3"/>
        </w:numPr>
        <w:rPr>
          <w:rFonts w:ascii="Arial" w:hAnsi="Arial" w:cs="Arial"/>
        </w:rPr>
      </w:pPr>
      <w:r w:rsidRPr="009A7DFE">
        <w:rPr>
          <w:rStyle w:val="Strong"/>
          <w:rFonts w:ascii="Arial" w:hAnsi="Arial" w:cs="Arial"/>
        </w:rPr>
        <w:t>Note:</w:t>
      </w:r>
      <w:r w:rsidRPr="009A7DFE">
        <w:rPr>
          <w:rFonts w:ascii="Arial" w:hAnsi="Arial" w:cs="Arial"/>
        </w:rPr>
        <w:t xml:space="preserve"> On GC InfoBase, this indicator is </w:t>
      </w:r>
      <w:r w:rsidR="00C932A8" w:rsidRPr="009A7DFE">
        <w:rPr>
          <w:rFonts w:ascii="Arial" w:hAnsi="Arial" w:cs="Arial"/>
        </w:rPr>
        <w:t>called</w:t>
      </w:r>
      <w:r w:rsidRPr="009A7DFE">
        <w:rPr>
          <w:rFonts w:ascii="Arial" w:hAnsi="Arial" w:cs="Arial"/>
        </w:rPr>
        <w:t xml:space="preserve"> “Number of days to complete an external hiring process</w:t>
      </w:r>
      <w:r w:rsidR="00C932A8" w:rsidRPr="009A7DFE">
        <w:rPr>
          <w:rFonts w:ascii="Arial" w:hAnsi="Arial" w:cs="Arial"/>
        </w:rPr>
        <w:t>.</w:t>
      </w:r>
      <w:r w:rsidRPr="009A7DFE">
        <w:rPr>
          <w:rFonts w:ascii="Arial" w:hAnsi="Arial" w:cs="Arial"/>
        </w:rPr>
        <w:t>”</w:t>
      </w:r>
    </w:p>
    <w:p w14:paraId="7E7045DF" w14:textId="77777777" w:rsidR="006B0BF3" w:rsidRDefault="00716A48" w:rsidP="00C33B1A">
      <w:pPr>
        <w:pStyle w:val="ListParagraph"/>
        <w:numPr>
          <w:ilvl w:val="0"/>
          <w:numId w:val="3"/>
        </w:numPr>
        <w:rPr>
          <w:rFonts w:ascii="Arial" w:hAnsi="Arial" w:cs="Arial"/>
        </w:rPr>
      </w:pPr>
      <w:r w:rsidRPr="006B0BF3">
        <w:rPr>
          <w:rStyle w:val="Strong"/>
          <w:rFonts w:ascii="Arial" w:hAnsi="Arial" w:cs="Arial"/>
        </w:rPr>
        <w:lastRenderedPageBreak/>
        <w:t>Note:</w:t>
      </w:r>
      <w:r w:rsidR="00EF469A" w:rsidRPr="006B0BF3">
        <w:rPr>
          <w:rFonts w:ascii="Arial" w:hAnsi="Arial" w:cs="Arial"/>
        </w:rPr>
        <w:t xml:space="preserve"> </w:t>
      </w:r>
      <w:r w:rsidR="006B0BF3" w:rsidRPr="006B0BF3">
        <w:rPr>
          <w:rFonts w:ascii="Arial" w:hAnsi="Arial" w:cs="Arial"/>
        </w:rPr>
        <w:t>External staffing process: An external advertised hiring process which leads to an individual being hired to a term or indeterminate position in the public service. Notes: The calculation of this indicator excludes non-advertised appointments and some innovative staffing initiatives that contribute to a decrease in time to staff.</w:t>
      </w:r>
    </w:p>
    <w:p w14:paraId="43D776F5" w14:textId="77777777" w:rsidR="00CB49C4" w:rsidRPr="006D0765" w:rsidRDefault="00CB49C4" w:rsidP="00CB49C4">
      <w:pPr>
        <w:pStyle w:val="ListParagraph"/>
        <w:numPr>
          <w:ilvl w:val="0"/>
          <w:numId w:val="3"/>
        </w:numPr>
        <w:rPr>
          <w:rFonts w:ascii="Arial" w:hAnsi="Arial" w:cs="Arial"/>
        </w:rPr>
      </w:pPr>
      <w:r w:rsidRPr="006D0765">
        <w:rPr>
          <w:rFonts w:ascii="Arial" w:hAnsi="Arial" w:cs="Arial"/>
          <w:b/>
          <w:bCs/>
        </w:rPr>
        <w:t>Note</w:t>
      </w:r>
      <w:r w:rsidRPr="006D0765">
        <w:rPr>
          <w:rFonts w:ascii="Arial" w:hAnsi="Arial" w:cs="Arial"/>
        </w:rPr>
        <w:t>: Time to Staff - External Appointments is the median number of calendar days between the opening date of an external advertisement and the date of the first estimated appointment of an individual from outside an organization subject to the Public Service Employment Act (PSEA) for term and indeterminate positions. Because data between systems is linked using a probabilistic match, errors in data linkage are a potential source of measurement error.</w:t>
      </w:r>
    </w:p>
    <w:p w14:paraId="1F61F9FD" w14:textId="77777777" w:rsidR="006D0765" w:rsidRPr="006D0765" w:rsidRDefault="0CF91F6D" w:rsidP="002666F7">
      <w:pPr>
        <w:pStyle w:val="ListParagraph"/>
        <w:numPr>
          <w:ilvl w:val="0"/>
          <w:numId w:val="3"/>
        </w:numPr>
        <w:rPr>
          <w:rFonts w:ascii="Arial" w:hAnsi="Arial" w:cs="Arial"/>
        </w:rPr>
      </w:pPr>
      <w:r w:rsidRPr="006D0765">
        <w:rPr>
          <w:rStyle w:val="Strong"/>
          <w:rFonts w:ascii="Arial" w:hAnsi="Arial" w:cs="Arial"/>
        </w:rPr>
        <w:t>Note:</w:t>
      </w:r>
      <w:r w:rsidR="27A3C7D7" w:rsidRPr="006D0765">
        <w:rPr>
          <w:rFonts w:ascii="Arial" w:hAnsi="Arial" w:cs="Arial"/>
        </w:rPr>
        <w:t xml:space="preserve"> </w:t>
      </w:r>
      <w:r w:rsidR="457C4482" w:rsidRPr="006D0765">
        <w:rPr>
          <w:rFonts w:ascii="Arial" w:hAnsi="Arial" w:cs="Arial"/>
        </w:rPr>
        <w:t xml:space="preserve">The calculation of this indicator </w:t>
      </w:r>
      <w:r w:rsidR="006D0765" w:rsidRPr="006D0765">
        <w:rPr>
          <w:rFonts w:ascii="Arial" w:hAnsi="Arial" w:cs="Arial"/>
          <w:shd w:val="clear" w:color="auto" w:fill="FFFFFF"/>
        </w:rPr>
        <w:t>does not include non-advertised appointments and some innovative staffing initiatives that contribute to a decrease in time to staff.</w:t>
      </w:r>
    </w:p>
    <w:p w14:paraId="6A714A36" w14:textId="77777777" w:rsidR="00CB49C4" w:rsidRPr="009A7DFE" w:rsidRDefault="00CB49C4" w:rsidP="00CB49C4">
      <w:pPr>
        <w:pStyle w:val="ListParagraph"/>
        <w:numPr>
          <w:ilvl w:val="0"/>
          <w:numId w:val="3"/>
        </w:numPr>
        <w:rPr>
          <w:rFonts w:ascii="Arial" w:hAnsi="Arial" w:cs="Arial"/>
        </w:rPr>
      </w:pPr>
      <w:r w:rsidRPr="009A7DFE">
        <w:rPr>
          <w:rFonts w:ascii="Arial" w:hAnsi="Arial" w:cs="Arial"/>
          <w:b/>
          <w:bCs/>
        </w:rPr>
        <w:t>Note</w:t>
      </w:r>
      <w:r w:rsidRPr="009A7DFE">
        <w:rPr>
          <w:rFonts w:ascii="Arial" w:hAnsi="Arial" w:cs="Arial"/>
        </w:rPr>
        <w:t>: Indeterminate hires includes new indeterminate external hires and does not include term to indeterminate conversions.</w:t>
      </w:r>
    </w:p>
    <w:p w14:paraId="647D4492" w14:textId="77777777" w:rsidR="00795B57" w:rsidRPr="009A7DFE" w:rsidRDefault="00795B57" w:rsidP="00795B57">
      <w:pPr>
        <w:pStyle w:val="ListParagraph"/>
        <w:numPr>
          <w:ilvl w:val="0"/>
          <w:numId w:val="3"/>
        </w:numPr>
        <w:rPr>
          <w:rFonts w:ascii="Arial" w:hAnsi="Arial" w:cs="Arial"/>
        </w:rPr>
      </w:pPr>
      <w:r w:rsidRPr="009A7DFE">
        <w:rPr>
          <w:rFonts w:ascii="Arial" w:hAnsi="Arial" w:cs="Arial"/>
          <w:b/>
          <w:bCs/>
        </w:rPr>
        <w:t>Note</w:t>
      </w:r>
      <w:r w:rsidRPr="009A7DFE">
        <w:rPr>
          <w:rFonts w:ascii="Arial" w:hAnsi="Arial" w:cs="Arial"/>
        </w:rPr>
        <w:t>: Only estimated term and indeterminate appointments/notifications are included (deployments, casual and acting appointments are excluded).</w:t>
      </w:r>
    </w:p>
    <w:p w14:paraId="34BC8DF9" w14:textId="77777777" w:rsidR="00795B57" w:rsidRPr="009A7DFE" w:rsidRDefault="00795B57" w:rsidP="00795B57">
      <w:pPr>
        <w:pStyle w:val="ListParagraph"/>
        <w:numPr>
          <w:ilvl w:val="0"/>
          <w:numId w:val="3"/>
        </w:numPr>
        <w:rPr>
          <w:rFonts w:ascii="Arial" w:hAnsi="Arial" w:cs="Arial"/>
        </w:rPr>
      </w:pPr>
      <w:r w:rsidRPr="009A7DFE">
        <w:rPr>
          <w:rFonts w:ascii="Arial" w:hAnsi="Arial" w:cs="Arial"/>
          <w:b/>
          <w:bCs/>
        </w:rPr>
        <w:t>Note</w:t>
      </w:r>
      <w:r w:rsidRPr="009A7DFE">
        <w:rPr>
          <w:rFonts w:ascii="Arial" w:hAnsi="Arial" w:cs="Arial"/>
        </w:rPr>
        <w:t xml:space="preserve">: External hiring and staffing activities data are derived from information received from the Treasury Board Secretariat (TBS) Incumbent File. This file is an extract from the Public Services and Procurement Canada (PSPC) pay system. The Public Service Commission (PSC) has developed a series of algorithms that are used to produce the PSC's official record of hiring and staffing activities across the federal public service, based on pay records submitted by organizations. </w:t>
      </w:r>
    </w:p>
    <w:p w14:paraId="409F69BD" w14:textId="77777777" w:rsidR="00795B57" w:rsidRPr="009A7DFE" w:rsidRDefault="00795B57" w:rsidP="00795B57">
      <w:pPr>
        <w:pStyle w:val="ListParagraph"/>
        <w:numPr>
          <w:ilvl w:val="0"/>
          <w:numId w:val="3"/>
        </w:numPr>
        <w:rPr>
          <w:rFonts w:ascii="Arial" w:hAnsi="Arial" w:cs="Arial"/>
        </w:rPr>
      </w:pPr>
      <w:r w:rsidRPr="009A7DFE">
        <w:rPr>
          <w:rFonts w:ascii="Arial" w:hAnsi="Arial" w:cs="Arial"/>
          <w:b/>
          <w:bCs/>
        </w:rPr>
        <w:t>Note</w:t>
      </w:r>
      <w:r w:rsidRPr="009A7DFE">
        <w:rPr>
          <w:rFonts w:ascii="Arial" w:hAnsi="Arial" w:cs="Arial"/>
        </w:rPr>
        <w:t xml:space="preserve">: External hiring activities refers to indeterminate and term appointments to the public service, the hiring of casuals as per subsection 50(1) of the PSEA and the hiring of students under the Student Employment Programs Participants Exclusion Approval Order. External indeterminate and term appointments to the public service include appointments from the </w:t>
      </w:r>
      <w:proofErr w:type="gramStart"/>
      <w:r w:rsidRPr="009A7DFE">
        <w:rPr>
          <w:rFonts w:ascii="Arial" w:hAnsi="Arial" w:cs="Arial"/>
        </w:rPr>
        <w:t>general public</w:t>
      </w:r>
      <w:proofErr w:type="gramEnd"/>
      <w:r w:rsidRPr="009A7DFE">
        <w:rPr>
          <w:rFonts w:ascii="Arial" w:hAnsi="Arial" w:cs="Arial"/>
        </w:rPr>
        <w:t>, including former casuals, students and employees of government organizations that are not subject to the PSEA.</w:t>
      </w:r>
    </w:p>
    <w:p w14:paraId="676362A9" w14:textId="1373690C" w:rsidR="00135028" w:rsidRPr="009A7DFE" w:rsidRDefault="00135028" w:rsidP="00D14589">
      <w:pPr>
        <w:pStyle w:val="Heading2"/>
        <w:rPr>
          <w:sz w:val="22"/>
          <w:szCs w:val="22"/>
        </w:rPr>
      </w:pPr>
      <w:r w:rsidRPr="009A7DFE">
        <w:rPr>
          <w:rStyle w:val="Heading2Char"/>
          <w:b/>
          <w:bCs/>
          <w:sz w:val="22"/>
          <w:szCs w:val="22"/>
        </w:rPr>
        <w:t xml:space="preserve">Indicator </w:t>
      </w:r>
      <w:r w:rsidR="001F4DAD" w:rsidRPr="009A7DFE">
        <w:rPr>
          <w:rStyle w:val="Heading2Char"/>
          <w:b/>
          <w:bCs/>
          <w:sz w:val="22"/>
          <w:szCs w:val="22"/>
        </w:rPr>
        <w:t>I</w:t>
      </w:r>
      <w:r w:rsidRPr="009A7DFE">
        <w:rPr>
          <w:rStyle w:val="Heading2Char"/>
          <w:b/>
          <w:bCs/>
          <w:sz w:val="22"/>
          <w:szCs w:val="22"/>
        </w:rPr>
        <w:t>9 – Percentage of new hires under the age of 35</w:t>
      </w:r>
      <w:r w:rsidR="000026CF" w:rsidRPr="009A7DFE">
        <w:rPr>
          <w:rStyle w:val="Heading2Char"/>
          <w:b/>
          <w:bCs/>
          <w:sz w:val="22"/>
          <w:szCs w:val="22"/>
        </w:rPr>
        <w:t xml:space="preserve"> (CFPPSC_</w:t>
      </w:r>
      <w:r w:rsidR="001F4DAD" w:rsidRPr="009A7DFE">
        <w:rPr>
          <w:rStyle w:val="Heading2Char"/>
          <w:b/>
          <w:bCs/>
          <w:sz w:val="22"/>
          <w:szCs w:val="22"/>
        </w:rPr>
        <w:t>I</w:t>
      </w:r>
      <w:r w:rsidR="008B014A">
        <w:rPr>
          <w:rStyle w:val="Heading2Char"/>
          <w:b/>
          <w:bCs/>
          <w:sz w:val="22"/>
          <w:szCs w:val="22"/>
        </w:rPr>
        <w:t>0</w:t>
      </w:r>
      <w:r w:rsidR="000026CF" w:rsidRPr="009A7DFE">
        <w:rPr>
          <w:rStyle w:val="Heading2Char"/>
          <w:b/>
          <w:bCs/>
          <w:sz w:val="22"/>
          <w:szCs w:val="22"/>
        </w:rPr>
        <w:t>9</w:t>
      </w:r>
      <w:r w:rsidR="000026CF" w:rsidRPr="009A7DFE">
        <w:rPr>
          <w:sz w:val="22"/>
          <w:szCs w:val="22"/>
        </w:rPr>
        <w:t>)</w:t>
      </w:r>
    </w:p>
    <w:p w14:paraId="3359A917" w14:textId="03A13FD0" w:rsidR="000026CF" w:rsidRPr="009A7DFE" w:rsidRDefault="000026CF" w:rsidP="00606F25">
      <w:pPr>
        <w:pStyle w:val="ListParagraph"/>
        <w:numPr>
          <w:ilvl w:val="0"/>
          <w:numId w:val="2"/>
        </w:numPr>
        <w:rPr>
          <w:rStyle w:val="Strong"/>
          <w:rFonts w:ascii="Arial" w:hAnsi="Arial" w:cs="Arial"/>
        </w:rPr>
      </w:pPr>
      <w:r w:rsidRPr="009A7DFE">
        <w:rPr>
          <w:rStyle w:val="Strong"/>
          <w:rFonts w:ascii="Arial" w:hAnsi="Arial" w:cs="Arial"/>
        </w:rPr>
        <w:t xml:space="preserve">Source: </w:t>
      </w:r>
      <w:r w:rsidR="00606F25" w:rsidRPr="009A7DFE">
        <w:rPr>
          <w:rStyle w:val="Strong"/>
          <w:rFonts w:ascii="Arial" w:hAnsi="Arial" w:cs="Arial"/>
        </w:rPr>
        <w:t xml:space="preserve"> </w:t>
      </w:r>
      <w:r w:rsidR="00F302B0" w:rsidRPr="009A7DFE">
        <w:rPr>
          <w:rFonts w:ascii="Arial" w:hAnsi="Arial" w:cs="Arial"/>
        </w:rPr>
        <w:t>PSC Staffing and Hiring Files</w:t>
      </w:r>
    </w:p>
    <w:p w14:paraId="11B8A74F" w14:textId="4E6FB66E" w:rsidR="000026CF" w:rsidRPr="009A7DFE" w:rsidRDefault="000026CF" w:rsidP="00606F25">
      <w:pPr>
        <w:pStyle w:val="ListParagraph"/>
        <w:numPr>
          <w:ilvl w:val="0"/>
          <w:numId w:val="2"/>
        </w:numPr>
        <w:rPr>
          <w:rStyle w:val="Strong"/>
          <w:rFonts w:ascii="Arial" w:hAnsi="Arial" w:cs="Arial"/>
        </w:rPr>
      </w:pPr>
      <w:r w:rsidRPr="009A7DFE">
        <w:rPr>
          <w:rStyle w:val="Strong"/>
          <w:rFonts w:ascii="Arial" w:hAnsi="Arial" w:cs="Arial"/>
        </w:rPr>
        <w:t xml:space="preserve">Description: </w:t>
      </w:r>
      <w:r w:rsidR="00857FD6" w:rsidRPr="009A7DFE">
        <w:rPr>
          <w:rFonts w:ascii="Arial" w:hAnsi="Arial" w:cs="Arial"/>
        </w:rPr>
        <w:t xml:space="preserve">This indicator measures the percentage of new hires to the public service who were under the age of 35. This demonstrates that the PSC is contributing to the renewal agenda of the Government of Canada and to ensure that the public service reflects a myriad of skills and professions, representative of the diversity of Canada. This data will enable the PSC to target its outreach activities as well as potentially specialized recruitment programs to address areas where there are gaps in the demographic composition of the public service workforce. </w:t>
      </w:r>
    </w:p>
    <w:p w14:paraId="30CFB40E" w14:textId="2D3B7CFF" w:rsidR="00AC5B5F" w:rsidRPr="00A84D96" w:rsidRDefault="00AC5B5F" w:rsidP="00606F25">
      <w:pPr>
        <w:pStyle w:val="ListParagraph"/>
        <w:numPr>
          <w:ilvl w:val="0"/>
          <w:numId w:val="2"/>
        </w:numPr>
        <w:rPr>
          <w:rStyle w:val="Strong"/>
          <w:rFonts w:ascii="Arial" w:hAnsi="Arial" w:cs="Arial"/>
        </w:rPr>
      </w:pPr>
      <w:r w:rsidRPr="001C67CD">
        <w:rPr>
          <w:rStyle w:val="Strong"/>
          <w:rFonts w:ascii="Arial" w:hAnsi="Arial" w:cs="Arial"/>
        </w:rPr>
        <w:t>Methodology:</w:t>
      </w:r>
      <w:r w:rsidR="00606F25" w:rsidRPr="001C67CD">
        <w:rPr>
          <w:rStyle w:val="Strong"/>
          <w:rFonts w:ascii="Arial" w:hAnsi="Arial" w:cs="Arial"/>
        </w:rPr>
        <w:t xml:space="preserve"> </w:t>
      </w:r>
      <w:r w:rsidR="00A84D96" w:rsidRPr="001C67CD">
        <w:t xml:space="preserve"> </w:t>
      </w:r>
      <w:r w:rsidR="00A84D96" w:rsidRPr="001C67CD">
        <w:rPr>
          <w:rStyle w:val="Strong"/>
          <w:rFonts w:ascii="Arial" w:hAnsi="Arial" w:cs="Arial"/>
          <w:b w:val="0"/>
          <w:bCs w:val="0"/>
        </w:rPr>
        <w:t>The</w:t>
      </w:r>
      <w:r w:rsidR="00A84D96" w:rsidRPr="00A84D96">
        <w:rPr>
          <w:rStyle w:val="Strong"/>
          <w:rFonts w:ascii="Arial" w:hAnsi="Arial" w:cs="Arial"/>
          <w:b w:val="0"/>
          <w:bCs w:val="0"/>
        </w:rPr>
        <w:t xml:space="preserve"> total number of new indeterminate and term hires under the age of 35, divided by the total number of new indeterminate and term hires</w:t>
      </w:r>
    </w:p>
    <w:p w14:paraId="6225E403" w14:textId="77777777" w:rsidR="00A84D96" w:rsidRPr="009A7DFE" w:rsidRDefault="00A84D96" w:rsidP="00A84D96">
      <w:pPr>
        <w:pStyle w:val="ListParagraph"/>
        <w:numPr>
          <w:ilvl w:val="0"/>
          <w:numId w:val="2"/>
        </w:numPr>
        <w:rPr>
          <w:rFonts w:ascii="Arial" w:eastAsiaTheme="minorEastAsia" w:hAnsi="Arial" w:cs="Arial"/>
        </w:rPr>
      </w:pPr>
      <w:r w:rsidRPr="009A7DFE">
        <w:rPr>
          <w:rFonts w:ascii="Arial" w:hAnsi="Arial" w:cs="Arial"/>
          <w:b/>
          <w:bCs/>
        </w:rPr>
        <w:t>Note:</w:t>
      </w:r>
      <w:r w:rsidRPr="009A7DFE">
        <w:rPr>
          <w:rFonts w:ascii="Arial" w:hAnsi="Arial" w:cs="Arial"/>
        </w:rPr>
        <w:t xml:space="preserve">  Data in this table may not match other published sources as the statistical programs used to produce the data each have their own standard for how decimal numbers are displayed and rounded.  </w:t>
      </w:r>
    </w:p>
    <w:p w14:paraId="4EE7F2C7" w14:textId="40C2FEB9" w:rsidR="000026CF" w:rsidRPr="009A7DFE" w:rsidRDefault="000026CF" w:rsidP="00606F25">
      <w:pPr>
        <w:pStyle w:val="ListParagraph"/>
        <w:numPr>
          <w:ilvl w:val="0"/>
          <w:numId w:val="2"/>
        </w:numPr>
        <w:rPr>
          <w:rFonts w:ascii="Arial" w:hAnsi="Arial" w:cs="Arial"/>
          <w:b/>
          <w:bCs/>
        </w:rPr>
      </w:pPr>
      <w:r w:rsidRPr="009A7DFE">
        <w:rPr>
          <w:rStyle w:val="Strong"/>
          <w:rFonts w:ascii="Arial" w:hAnsi="Arial" w:cs="Arial"/>
        </w:rPr>
        <w:t>Note:</w:t>
      </w:r>
      <w:r w:rsidR="00857FD6" w:rsidRPr="009A7DFE">
        <w:rPr>
          <w:rFonts w:ascii="Arial" w:hAnsi="Arial" w:cs="Arial"/>
        </w:rPr>
        <w:t xml:space="preserve"> New hires</w:t>
      </w:r>
      <w:r w:rsidR="00735B2F" w:rsidRPr="009A7DFE">
        <w:rPr>
          <w:rFonts w:ascii="Arial" w:hAnsi="Arial" w:cs="Arial"/>
        </w:rPr>
        <w:t xml:space="preserve"> definition</w:t>
      </w:r>
      <w:r w:rsidR="00857FD6" w:rsidRPr="009A7DFE">
        <w:rPr>
          <w:rFonts w:ascii="Arial" w:hAnsi="Arial" w:cs="Arial"/>
        </w:rPr>
        <w:t>: An individual hired through an external process to a term or indeterminate position in the public service.  These individuals would not have been previously employed in a term or indeterminate position under the Public Service Employment Act.</w:t>
      </w:r>
    </w:p>
    <w:p w14:paraId="22E22B6A" w14:textId="77777777" w:rsidR="002A03BF" w:rsidRPr="009A7DFE" w:rsidRDefault="002A03BF" w:rsidP="002A03BF">
      <w:pPr>
        <w:pStyle w:val="ListParagraph"/>
        <w:numPr>
          <w:ilvl w:val="0"/>
          <w:numId w:val="2"/>
        </w:numPr>
        <w:spacing w:after="0" w:line="240" w:lineRule="auto"/>
        <w:rPr>
          <w:rFonts w:ascii="Arial" w:hAnsi="Arial" w:cs="Arial"/>
        </w:rPr>
      </w:pPr>
      <w:r w:rsidRPr="009A7DFE">
        <w:rPr>
          <w:rFonts w:ascii="Arial" w:hAnsi="Arial" w:cs="Arial"/>
          <w:b/>
        </w:rPr>
        <w:lastRenderedPageBreak/>
        <w:t>Note:</w:t>
      </w:r>
      <w:r w:rsidRPr="009A7DFE">
        <w:rPr>
          <w:rFonts w:ascii="Arial" w:hAnsi="Arial" w:cs="Arial"/>
        </w:rPr>
        <w:t xml:space="preserve"> Only estimated term and indeterminate appointments/notifications are included (deployments, casual and acting appointments are excluded).</w:t>
      </w:r>
    </w:p>
    <w:p w14:paraId="59A84877" w14:textId="77777777" w:rsidR="002A03BF" w:rsidRPr="009A7DFE" w:rsidRDefault="002A03BF" w:rsidP="002A03BF">
      <w:pPr>
        <w:pStyle w:val="ListParagraph"/>
        <w:numPr>
          <w:ilvl w:val="0"/>
          <w:numId w:val="2"/>
        </w:numPr>
        <w:spacing w:after="0" w:line="240" w:lineRule="auto"/>
        <w:rPr>
          <w:rFonts w:ascii="Arial" w:hAnsi="Arial" w:cs="Arial"/>
        </w:rPr>
      </w:pPr>
      <w:r w:rsidRPr="009A7DFE">
        <w:rPr>
          <w:rFonts w:ascii="Arial" w:hAnsi="Arial" w:cs="Arial"/>
          <w:b/>
        </w:rPr>
        <w:t>Note:</w:t>
      </w:r>
      <w:r w:rsidRPr="009A7DFE">
        <w:rPr>
          <w:rFonts w:ascii="Arial" w:hAnsi="Arial" w:cs="Arial"/>
        </w:rPr>
        <w:t xml:space="preserve"> External hiring and staffing activities data are derived from information received from the Treasury Board Secretariat (TBS) Incumbent File. This file is an extract from the Public Services and Procurement Canada (PSPC) pay system. The Public Service Commission (PSC) has developed a series of algorithms that are used to produce the PSC's official record of hiring and staffing activities across the federal public service, based on pay records submitted by organizations. </w:t>
      </w:r>
    </w:p>
    <w:p w14:paraId="27F0D799" w14:textId="77777777" w:rsidR="002A03BF" w:rsidRPr="009A7DFE" w:rsidRDefault="002A03BF" w:rsidP="002A03BF">
      <w:pPr>
        <w:pStyle w:val="ListParagraph"/>
        <w:numPr>
          <w:ilvl w:val="0"/>
          <w:numId w:val="2"/>
        </w:numPr>
        <w:spacing w:after="0" w:line="240" w:lineRule="auto"/>
        <w:rPr>
          <w:rFonts w:ascii="Arial" w:hAnsi="Arial" w:cs="Arial"/>
        </w:rPr>
      </w:pPr>
      <w:r w:rsidRPr="009A7DFE">
        <w:rPr>
          <w:rFonts w:ascii="Arial" w:hAnsi="Arial" w:cs="Arial"/>
          <w:b/>
        </w:rPr>
        <w:t>Note:</w:t>
      </w:r>
      <w:r w:rsidRPr="009A7DFE">
        <w:rPr>
          <w:rFonts w:ascii="Arial" w:hAnsi="Arial" w:cs="Arial"/>
        </w:rPr>
        <w:t xml:space="preserve"> External hiring activities refers to indeterminate and term appointments to the public service, the hiring of casuals as per subsection 50(1) of the Public Service Employment Act (PSEA) and the hiring of students under the Student Employment Programs Participants Exclusion Approval Order. External indeterminate and term appointments to the public service include appointments from the </w:t>
      </w:r>
      <w:proofErr w:type="gramStart"/>
      <w:r w:rsidRPr="009A7DFE">
        <w:rPr>
          <w:rFonts w:ascii="Arial" w:hAnsi="Arial" w:cs="Arial"/>
        </w:rPr>
        <w:t>general public</w:t>
      </w:r>
      <w:proofErr w:type="gramEnd"/>
      <w:r w:rsidRPr="009A7DFE">
        <w:rPr>
          <w:rFonts w:ascii="Arial" w:hAnsi="Arial" w:cs="Arial"/>
        </w:rPr>
        <w:t>, including former casuals, students and employees of government organizations that are not subject to the PSEA.</w:t>
      </w:r>
    </w:p>
    <w:p w14:paraId="5D8BBE4E" w14:textId="77777777" w:rsidR="002A03BF" w:rsidRPr="009A7DFE" w:rsidRDefault="002A03BF" w:rsidP="002A03BF">
      <w:pPr>
        <w:pStyle w:val="ListParagraph"/>
        <w:numPr>
          <w:ilvl w:val="0"/>
          <w:numId w:val="2"/>
        </w:numPr>
        <w:rPr>
          <w:rFonts w:ascii="Arial" w:hAnsi="Arial" w:cs="Arial"/>
          <w:b/>
        </w:rPr>
      </w:pPr>
      <w:r w:rsidRPr="009A7DFE">
        <w:rPr>
          <w:rFonts w:ascii="Arial" w:hAnsi="Arial" w:cs="Arial"/>
          <w:b/>
        </w:rPr>
        <w:t>Note:</w:t>
      </w:r>
      <w:r w:rsidRPr="009A7DFE">
        <w:rPr>
          <w:rFonts w:ascii="Arial" w:hAnsi="Arial" w:cs="Arial"/>
        </w:rPr>
        <w:t xml:space="preserve"> Indeterminate hires includes new indeterminate external hires and does not include term to indeterminate conversions.</w:t>
      </w:r>
    </w:p>
    <w:p w14:paraId="2BAAB96C" w14:textId="3CECFF0B" w:rsidR="002A03BF" w:rsidRPr="009A7DFE" w:rsidRDefault="002A03BF" w:rsidP="009A7DFE">
      <w:pPr>
        <w:pStyle w:val="ListParagraph"/>
        <w:rPr>
          <w:rFonts w:ascii="Arial" w:hAnsi="Arial" w:cs="Arial"/>
        </w:rPr>
      </w:pPr>
    </w:p>
    <w:p w14:paraId="1B2E64A3" w14:textId="14EB085B" w:rsidR="00135028" w:rsidRPr="009A7DFE" w:rsidRDefault="00135028" w:rsidP="00D14589">
      <w:pPr>
        <w:pStyle w:val="Heading2"/>
        <w:rPr>
          <w:sz w:val="22"/>
          <w:szCs w:val="22"/>
        </w:rPr>
      </w:pPr>
      <w:r w:rsidRPr="009A7DFE">
        <w:rPr>
          <w:sz w:val="22"/>
          <w:szCs w:val="22"/>
        </w:rPr>
        <w:t xml:space="preserve">Indicator </w:t>
      </w:r>
      <w:r w:rsidR="001F4DAD" w:rsidRPr="009A7DFE">
        <w:rPr>
          <w:sz w:val="22"/>
          <w:szCs w:val="22"/>
        </w:rPr>
        <w:t>I</w:t>
      </w:r>
      <w:r w:rsidRPr="009A7DFE">
        <w:rPr>
          <w:sz w:val="22"/>
          <w:szCs w:val="22"/>
        </w:rPr>
        <w:t>11 – Percentage of new hires who applied from outside the National Capital Region</w:t>
      </w:r>
      <w:r w:rsidR="000026CF" w:rsidRPr="009A7DFE">
        <w:rPr>
          <w:sz w:val="22"/>
          <w:szCs w:val="22"/>
        </w:rPr>
        <w:t xml:space="preserve"> (CFPPSC_I11)</w:t>
      </w:r>
    </w:p>
    <w:p w14:paraId="22BFF188" w14:textId="53C12F20" w:rsidR="00606F25" w:rsidRPr="009A7DFE" w:rsidRDefault="00606F25" w:rsidP="00606F25">
      <w:pPr>
        <w:pStyle w:val="ListParagraph"/>
        <w:numPr>
          <w:ilvl w:val="0"/>
          <w:numId w:val="2"/>
        </w:numPr>
        <w:rPr>
          <w:rStyle w:val="Strong"/>
          <w:rFonts w:ascii="Arial" w:hAnsi="Arial" w:cs="Arial"/>
        </w:rPr>
      </w:pPr>
      <w:r w:rsidRPr="009A7DFE">
        <w:rPr>
          <w:rStyle w:val="Strong"/>
          <w:rFonts w:ascii="Arial" w:hAnsi="Arial" w:cs="Arial"/>
        </w:rPr>
        <w:t xml:space="preserve">Source:  </w:t>
      </w:r>
      <w:r w:rsidR="00E972A3" w:rsidRPr="009A7DFE">
        <w:rPr>
          <w:rFonts w:ascii="Arial" w:hAnsi="Arial" w:cs="Arial"/>
        </w:rPr>
        <w:t>PSRS, PSC Hiring and Staffing Files</w:t>
      </w:r>
    </w:p>
    <w:p w14:paraId="38A1C15A" w14:textId="5B9ED705" w:rsidR="00606F25" w:rsidRPr="009A7DFE" w:rsidRDefault="00606F25" w:rsidP="00606F25">
      <w:pPr>
        <w:pStyle w:val="ListParagraph"/>
        <w:numPr>
          <w:ilvl w:val="0"/>
          <w:numId w:val="2"/>
        </w:numPr>
        <w:rPr>
          <w:rStyle w:val="Strong"/>
          <w:rFonts w:ascii="Arial" w:hAnsi="Arial" w:cs="Arial"/>
        </w:rPr>
      </w:pPr>
      <w:r w:rsidRPr="009A7DFE">
        <w:rPr>
          <w:rStyle w:val="Strong"/>
          <w:rFonts w:ascii="Arial" w:hAnsi="Arial" w:cs="Arial"/>
        </w:rPr>
        <w:t xml:space="preserve">Description: </w:t>
      </w:r>
      <w:r w:rsidR="00552969" w:rsidRPr="009A7DFE">
        <w:rPr>
          <w:rFonts w:ascii="Arial" w:hAnsi="Arial" w:cs="Arial"/>
        </w:rPr>
        <w:t>This indicator measures the geographical location of new hires to the public service at the time of their application to a public service job. This demonstrates how the PSC is contributing to ensure that the public service is drawing from all regions of Canada to reflect the diversity of Canada. Gaps in this measure will help the PSC to focus its outreach activities on areas of the country which may be currently underrepresented in terms of public service hiring</w:t>
      </w:r>
    </w:p>
    <w:p w14:paraId="29C87736" w14:textId="77777777" w:rsidR="001A3AE6" w:rsidRPr="009A7DFE" w:rsidRDefault="00606F25" w:rsidP="00E623F3">
      <w:pPr>
        <w:pStyle w:val="ListParagraph"/>
        <w:numPr>
          <w:ilvl w:val="0"/>
          <w:numId w:val="2"/>
        </w:numPr>
        <w:rPr>
          <w:rFonts w:ascii="Arial" w:hAnsi="Arial" w:cs="Arial"/>
          <w:b/>
          <w:bCs/>
        </w:rPr>
      </w:pPr>
      <w:r w:rsidRPr="009A7DFE">
        <w:rPr>
          <w:rStyle w:val="Strong"/>
          <w:rFonts w:ascii="Arial" w:hAnsi="Arial" w:cs="Arial"/>
        </w:rPr>
        <w:t xml:space="preserve">Methodology: </w:t>
      </w:r>
      <w:r w:rsidR="001A3AE6" w:rsidRPr="009A7DFE">
        <w:rPr>
          <w:rFonts w:ascii="Arial" w:hAnsi="Arial" w:cs="Arial"/>
        </w:rPr>
        <w:t xml:space="preserve">The number of new external hires (term and indeterminate) through an external advertised appointment process who applied from outside of the National Capital Region divided by the total number of new external hires through external advertised processes. </w:t>
      </w:r>
    </w:p>
    <w:p w14:paraId="3E643B66" w14:textId="1BEB37CD" w:rsidR="00606F25" w:rsidRPr="009A7DFE" w:rsidRDefault="00606F25" w:rsidP="00E623F3">
      <w:pPr>
        <w:pStyle w:val="ListParagraph"/>
        <w:numPr>
          <w:ilvl w:val="0"/>
          <w:numId w:val="2"/>
        </w:numPr>
        <w:rPr>
          <w:rFonts w:ascii="Arial" w:hAnsi="Arial" w:cs="Arial"/>
          <w:b/>
          <w:bCs/>
        </w:rPr>
      </w:pPr>
      <w:r w:rsidRPr="009A7DFE">
        <w:rPr>
          <w:rStyle w:val="Strong"/>
          <w:rFonts w:ascii="Arial" w:hAnsi="Arial" w:cs="Arial"/>
        </w:rPr>
        <w:t xml:space="preserve">Note: </w:t>
      </w:r>
      <w:r w:rsidR="00552969" w:rsidRPr="009A7DFE">
        <w:rPr>
          <w:rFonts w:ascii="Arial" w:hAnsi="Arial" w:cs="Arial"/>
        </w:rPr>
        <w:t>New hires definition: An individual hired through an external process to a term or indeterminate position in the public service.  These individuals would not have been previously employed in a term or indeterminate position under the Public Service Employment Act.</w:t>
      </w:r>
    </w:p>
    <w:p w14:paraId="4DD615DC" w14:textId="2055F072" w:rsidR="00552969" w:rsidRPr="009A7DFE" w:rsidRDefault="00552969" w:rsidP="00E972A3">
      <w:pPr>
        <w:pStyle w:val="ListParagraph"/>
        <w:numPr>
          <w:ilvl w:val="0"/>
          <w:numId w:val="2"/>
        </w:numPr>
        <w:rPr>
          <w:rFonts w:ascii="Arial" w:hAnsi="Arial" w:cs="Arial"/>
          <w:b/>
          <w:bCs/>
        </w:rPr>
      </w:pPr>
      <w:r w:rsidRPr="009A7DFE">
        <w:rPr>
          <w:rStyle w:val="Strong"/>
          <w:rFonts w:ascii="Arial" w:hAnsi="Arial" w:cs="Arial"/>
        </w:rPr>
        <w:t xml:space="preserve">Note: </w:t>
      </w:r>
      <w:r w:rsidR="00E972A3" w:rsidRPr="009A7DFE">
        <w:rPr>
          <w:rFonts w:ascii="Arial" w:hAnsi="Arial" w:cs="Arial"/>
        </w:rPr>
        <w:t>Location of new hire to be determined by the home address indicated in their application through the Public Service Resourcing System (PSRS), to any federal public service positions within Canada.  The calculation will include only the staffing actions which match the records in PSRS. Matching rate is approximately 80%.</w:t>
      </w:r>
    </w:p>
    <w:p w14:paraId="68C07AA0" w14:textId="77777777" w:rsidR="0051672B" w:rsidRPr="009A7DFE" w:rsidRDefault="0051672B" w:rsidP="0051672B">
      <w:pPr>
        <w:pStyle w:val="ListParagraph"/>
        <w:numPr>
          <w:ilvl w:val="0"/>
          <w:numId w:val="2"/>
        </w:numPr>
        <w:rPr>
          <w:rFonts w:ascii="Arial" w:hAnsi="Arial" w:cs="Arial"/>
        </w:rPr>
      </w:pPr>
      <w:r w:rsidRPr="009A7DFE">
        <w:rPr>
          <w:rFonts w:ascii="Arial" w:hAnsi="Arial" w:cs="Arial"/>
          <w:b/>
        </w:rPr>
        <w:t xml:space="preserve">Note: </w:t>
      </w:r>
      <w:r w:rsidRPr="009A7DFE">
        <w:rPr>
          <w:rFonts w:ascii="Arial" w:hAnsi="Arial" w:cs="Arial"/>
        </w:rPr>
        <w:t>External hiring and staffing activities data are derived from information received from the Treasury Board Secretariat (TBS) Incumbent File. This file is an extract from the Public Services and Procurement Canada (PSPC) pay system. The Public Service Commission (PSC) has developed a series of algorithms that are used to produce the PSC's official record of hiring and staffing activities across the federal public service, based on pay records submitted by organizations.</w:t>
      </w:r>
    </w:p>
    <w:p w14:paraId="3B2D3DDE" w14:textId="77777777" w:rsidR="0051672B" w:rsidRPr="009A7DFE" w:rsidRDefault="0051672B" w:rsidP="0051672B">
      <w:pPr>
        <w:pStyle w:val="ListParagraph"/>
        <w:numPr>
          <w:ilvl w:val="0"/>
          <w:numId w:val="2"/>
        </w:numPr>
        <w:rPr>
          <w:rFonts w:ascii="Arial" w:hAnsi="Arial" w:cs="Arial"/>
        </w:rPr>
      </w:pPr>
      <w:r w:rsidRPr="009A7DFE">
        <w:rPr>
          <w:rFonts w:ascii="Arial" w:hAnsi="Arial" w:cs="Arial"/>
          <w:b/>
        </w:rPr>
        <w:t xml:space="preserve">Note: </w:t>
      </w:r>
      <w:r w:rsidRPr="009A7DFE">
        <w:rPr>
          <w:rFonts w:ascii="Arial" w:hAnsi="Arial" w:cs="Arial"/>
        </w:rPr>
        <w:t xml:space="preserve">External hiring activities refers to indeterminate and term appointments to the public service, the hiring of casuals as per subsection 50(1) of the </w:t>
      </w:r>
      <w:r w:rsidRPr="009A7DFE">
        <w:rPr>
          <w:rFonts w:ascii="Arial" w:hAnsi="Arial" w:cs="Arial"/>
          <w:i/>
          <w:iCs/>
        </w:rPr>
        <w:t xml:space="preserve">Public Service </w:t>
      </w:r>
      <w:r w:rsidRPr="009A7DFE">
        <w:rPr>
          <w:rFonts w:ascii="Arial" w:hAnsi="Arial" w:cs="Arial"/>
          <w:i/>
          <w:iCs/>
        </w:rPr>
        <w:lastRenderedPageBreak/>
        <w:t>Employment Act</w:t>
      </w:r>
      <w:r w:rsidRPr="009A7DFE">
        <w:rPr>
          <w:rFonts w:ascii="Arial" w:hAnsi="Arial" w:cs="Arial"/>
        </w:rPr>
        <w:t xml:space="preserve"> (PSEA) and the hiring of students under the Student Employment Programs Participants Exclusion Approval Order. External indeterminate and term appointments to the public service include appointments from the </w:t>
      </w:r>
      <w:proofErr w:type="gramStart"/>
      <w:r w:rsidRPr="009A7DFE">
        <w:rPr>
          <w:rFonts w:ascii="Arial" w:hAnsi="Arial" w:cs="Arial"/>
        </w:rPr>
        <w:t>general public</w:t>
      </w:r>
      <w:proofErr w:type="gramEnd"/>
      <w:r w:rsidRPr="009A7DFE">
        <w:rPr>
          <w:rFonts w:ascii="Arial" w:hAnsi="Arial" w:cs="Arial"/>
        </w:rPr>
        <w:t>, including former casuals, students and employees of government organizations that are not subject to the PSEA.</w:t>
      </w:r>
    </w:p>
    <w:p w14:paraId="51AB3D26" w14:textId="77777777" w:rsidR="0051672B" w:rsidRPr="009A7DFE" w:rsidRDefault="0051672B" w:rsidP="0051672B">
      <w:pPr>
        <w:pStyle w:val="ListParagraph"/>
        <w:numPr>
          <w:ilvl w:val="0"/>
          <w:numId w:val="2"/>
        </w:numPr>
        <w:spacing w:after="0" w:line="240" w:lineRule="auto"/>
        <w:rPr>
          <w:rFonts w:ascii="Arial" w:hAnsi="Arial" w:cs="Arial"/>
        </w:rPr>
      </w:pPr>
      <w:r w:rsidRPr="009A7DFE">
        <w:rPr>
          <w:rFonts w:ascii="Arial" w:hAnsi="Arial" w:cs="Arial"/>
          <w:b/>
        </w:rPr>
        <w:t>Note:</w:t>
      </w:r>
      <w:r w:rsidRPr="009A7DFE">
        <w:rPr>
          <w:rFonts w:ascii="Arial" w:hAnsi="Arial" w:cs="Arial"/>
        </w:rPr>
        <w:t xml:space="preserve"> Only estimated term and indeterminate appointments/notifications are included (deployments, casual and acting appointments are excluded).</w:t>
      </w:r>
    </w:p>
    <w:p w14:paraId="347E34E8" w14:textId="7A2799D3" w:rsidR="0051672B" w:rsidRPr="009A7DFE" w:rsidRDefault="0051672B" w:rsidP="0051672B">
      <w:pPr>
        <w:pStyle w:val="ListParagraph"/>
        <w:numPr>
          <w:ilvl w:val="0"/>
          <w:numId w:val="2"/>
        </w:numPr>
        <w:rPr>
          <w:rFonts w:ascii="Arial" w:hAnsi="Arial" w:cs="Arial"/>
          <w:b/>
        </w:rPr>
      </w:pPr>
      <w:r w:rsidRPr="009A7DFE">
        <w:rPr>
          <w:rFonts w:ascii="Arial" w:hAnsi="Arial" w:cs="Arial"/>
          <w:b/>
        </w:rPr>
        <w:t xml:space="preserve">Note: </w:t>
      </w:r>
      <w:r w:rsidRPr="009A7DFE">
        <w:rPr>
          <w:rFonts w:ascii="Arial" w:hAnsi="Arial" w:cs="Arial"/>
        </w:rPr>
        <w:t>Indeterminate hires includes new indeterminate external hires and does not include term to indeterminate conversions.</w:t>
      </w:r>
    </w:p>
    <w:p w14:paraId="17A279FE" w14:textId="77777777" w:rsidR="008B743D" w:rsidRPr="009A7DFE" w:rsidRDefault="008B743D" w:rsidP="008B743D">
      <w:pPr>
        <w:pStyle w:val="Heading1"/>
        <w:rPr>
          <w:rFonts w:ascii="Arial" w:hAnsi="Arial" w:cs="Arial"/>
          <w:color w:val="auto"/>
          <w:sz w:val="22"/>
          <w:szCs w:val="22"/>
        </w:rPr>
      </w:pPr>
      <w:r w:rsidRPr="009A7DFE">
        <w:rPr>
          <w:rFonts w:ascii="Arial" w:hAnsi="Arial" w:cs="Arial"/>
          <w:color w:val="auto"/>
          <w:sz w:val="22"/>
          <w:szCs w:val="22"/>
        </w:rPr>
        <w:t>GLOSSARY</w:t>
      </w:r>
    </w:p>
    <w:tbl>
      <w:tblPr>
        <w:tblStyle w:val="TableGrid"/>
        <w:tblpPr w:leftFromText="180" w:rightFromText="180" w:vertAnchor="text" w:horzAnchor="margin" w:tblpY="240"/>
        <w:tblW w:w="5000" w:type="pct"/>
        <w:tblLook w:val="04A0" w:firstRow="1" w:lastRow="0" w:firstColumn="1" w:lastColumn="0" w:noHBand="0" w:noVBand="1"/>
        <w:tblCaption w:val="Glossary"/>
      </w:tblPr>
      <w:tblGrid>
        <w:gridCol w:w="4675"/>
        <w:gridCol w:w="4675"/>
      </w:tblGrid>
      <w:tr w:rsidR="008B743D" w:rsidRPr="009A7DFE" w14:paraId="0D0B55C6" w14:textId="77777777" w:rsidTr="008B743D">
        <w:trPr>
          <w:tblHeader/>
        </w:trPr>
        <w:tc>
          <w:tcPr>
            <w:tcW w:w="2500" w:type="pct"/>
            <w:tcBorders>
              <w:top w:val="single" w:sz="4" w:space="0" w:color="auto"/>
              <w:left w:val="single" w:sz="4" w:space="0" w:color="auto"/>
              <w:bottom w:val="single" w:sz="4" w:space="0" w:color="auto"/>
              <w:right w:val="single" w:sz="4" w:space="0" w:color="auto"/>
            </w:tcBorders>
            <w:shd w:val="clear" w:color="auto" w:fill="01A895"/>
            <w:hideMark/>
          </w:tcPr>
          <w:p w14:paraId="4F2EC39D" w14:textId="77777777" w:rsidR="008B743D" w:rsidRPr="009A7DFE" w:rsidRDefault="008B743D">
            <w:pPr>
              <w:rPr>
                <w:rFonts w:cs="Arial"/>
                <w:b/>
                <w:color w:val="FFFFFF" w:themeColor="background1"/>
              </w:rPr>
            </w:pPr>
            <w:r w:rsidRPr="009A7DFE">
              <w:rPr>
                <w:rFonts w:cs="Arial"/>
                <w:b/>
                <w:color w:val="FFFFFF" w:themeColor="background1"/>
              </w:rPr>
              <w:t>Attribute Name</w:t>
            </w:r>
          </w:p>
        </w:tc>
        <w:tc>
          <w:tcPr>
            <w:tcW w:w="2500" w:type="pct"/>
            <w:tcBorders>
              <w:top w:val="single" w:sz="4" w:space="0" w:color="auto"/>
              <w:left w:val="single" w:sz="4" w:space="0" w:color="auto"/>
              <w:bottom w:val="single" w:sz="4" w:space="0" w:color="auto"/>
              <w:right w:val="single" w:sz="4" w:space="0" w:color="auto"/>
            </w:tcBorders>
            <w:shd w:val="clear" w:color="auto" w:fill="01A895"/>
            <w:hideMark/>
          </w:tcPr>
          <w:p w14:paraId="50133CAB" w14:textId="77777777" w:rsidR="008B743D" w:rsidRPr="009A7DFE" w:rsidRDefault="008B743D">
            <w:pPr>
              <w:rPr>
                <w:rFonts w:cs="Arial"/>
                <w:b/>
                <w:color w:val="FFFFFF" w:themeColor="background1"/>
              </w:rPr>
            </w:pPr>
            <w:r w:rsidRPr="009A7DFE">
              <w:rPr>
                <w:rFonts w:cs="Arial"/>
                <w:b/>
                <w:color w:val="FFFFFF" w:themeColor="background1"/>
              </w:rPr>
              <w:t>Defined Attribute Name</w:t>
            </w:r>
          </w:p>
        </w:tc>
      </w:tr>
      <w:tr w:rsidR="00F17C1B" w:rsidRPr="009A7DFE" w14:paraId="6DAD1DDB" w14:textId="77777777" w:rsidTr="00400270">
        <w:tc>
          <w:tcPr>
            <w:tcW w:w="2500" w:type="pct"/>
            <w:tcBorders>
              <w:top w:val="single" w:sz="4" w:space="0" w:color="auto"/>
              <w:left w:val="single" w:sz="4" w:space="0" w:color="auto"/>
              <w:bottom w:val="single" w:sz="4" w:space="0" w:color="auto"/>
              <w:right w:val="single" w:sz="4" w:space="0" w:color="auto"/>
            </w:tcBorders>
          </w:tcPr>
          <w:p w14:paraId="0FFFE965" w14:textId="43B77056" w:rsidR="00F17C1B" w:rsidRPr="009A7DFE" w:rsidRDefault="00F17C1B" w:rsidP="00F17C1B">
            <w:pPr>
              <w:rPr>
                <w:rFonts w:cs="Arial"/>
              </w:rPr>
            </w:pPr>
            <w:r w:rsidRPr="009A7DFE">
              <w:rPr>
                <w:rFonts w:cs="Arial"/>
                <w:color w:val="000000"/>
              </w:rPr>
              <w:t>age</w:t>
            </w:r>
          </w:p>
        </w:tc>
        <w:tc>
          <w:tcPr>
            <w:tcW w:w="2500" w:type="pct"/>
            <w:tcBorders>
              <w:top w:val="single" w:sz="4" w:space="0" w:color="auto"/>
              <w:left w:val="single" w:sz="4" w:space="0" w:color="auto"/>
              <w:bottom w:val="single" w:sz="4" w:space="0" w:color="auto"/>
              <w:right w:val="single" w:sz="4" w:space="0" w:color="auto"/>
            </w:tcBorders>
          </w:tcPr>
          <w:p w14:paraId="67A98701" w14:textId="6F5D5913" w:rsidR="00F17C1B" w:rsidRPr="009A7DFE" w:rsidRDefault="00F17C1B" w:rsidP="00F17C1B">
            <w:pPr>
              <w:rPr>
                <w:rFonts w:cs="Arial"/>
              </w:rPr>
            </w:pPr>
            <w:r w:rsidRPr="009A7DFE">
              <w:rPr>
                <w:rFonts w:cs="Arial"/>
                <w:color w:val="000000"/>
              </w:rPr>
              <w:t>Age group</w:t>
            </w:r>
          </w:p>
        </w:tc>
      </w:tr>
      <w:tr w:rsidR="00F17C1B" w:rsidRPr="009A7DFE" w14:paraId="0C67F5FB" w14:textId="77777777" w:rsidTr="00400270">
        <w:tc>
          <w:tcPr>
            <w:tcW w:w="2500" w:type="pct"/>
            <w:tcBorders>
              <w:top w:val="single" w:sz="4" w:space="0" w:color="auto"/>
              <w:left w:val="single" w:sz="4" w:space="0" w:color="auto"/>
              <w:bottom w:val="single" w:sz="4" w:space="0" w:color="auto"/>
              <w:right w:val="single" w:sz="4" w:space="0" w:color="auto"/>
            </w:tcBorders>
          </w:tcPr>
          <w:p w14:paraId="255F5B5D" w14:textId="6B2F12D4" w:rsidR="00F17C1B" w:rsidRPr="009A7DFE" w:rsidRDefault="00F17C1B" w:rsidP="00F17C1B">
            <w:pPr>
              <w:rPr>
                <w:rFonts w:cs="Arial"/>
              </w:rPr>
            </w:pPr>
            <w:proofErr w:type="spellStart"/>
            <w:r w:rsidRPr="009A7DFE">
              <w:rPr>
                <w:rFonts w:cs="Arial"/>
                <w:color w:val="000000"/>
              </w:rPr>
              <w:t>description_e</w:t>
            </w:r>
            <w:proofErr w:type="spellEnd"/>
          </w:p>
        </w:tc>
        <w:tc>
          <w:tcPr>
            <w:tcW w:w="2500" w:type="pct"/>
            <w:tcBorders>
              <w:top w:val="single" w:sz="4" w:space="0" w:color="auto"/>
              <w:left w:val="single" w:sz="4" w:space="0" w:color="auto"/>
              <w:bottom w:val="single" w:sz="4" w:space="0" w:color="auto"/>
              <w:right w:val="single" w:sz="4" w:space="0" w:color="auto"/>
            </w:tcBorders>
          </w:tcPr>
          <w:p w14:paraId="5640BB8D" w14:textId="07F242A2" w:rsidR="00F17C1B" w:rsidRPr="009A7DFE" w:rsidRDefault="00F17C1B" w:rsidP="00F17C1B">
            <w:pPr>
              <w:rPr>
                <w:rFonts w:cs="Arial"/>
              </w:rPr>
            </w:pPr>
            <w:r w:rsidRPr="009A7DFE">
              <w:rPr>
                <w:rFonts w:cs="Arial"/>
                <w:color w:val="000000"/>
              </w:rPr>
              <w:t>Description of count/percentage (English)</w:t>
            </w:r>
          </w:p>
        </w:tc>
      </w:tr>
      <w:tr w:rsidR="00F17C1B" w:rsidRPr="009A7DFE" w14:paraId="7AA71E26" w14:textId="77777777" w:rsidTr="00400270">
        <w:tc>
          <w:tcPr>
            <w:tcW w:w="2500" w:type="pct"/>
            <w:tcBorders>
              <w:top w:val="single" w:sz="4" w:space="0" w:color="auto"/>
              <w:left w:val="single" w:sz="4" w:space="0" w:color="auto"/>
              <w:bottom w:val="single" w:sz="4" w:space="0" w:color="auto"/>
              <w:right w:val="single" w:sz="4" w:space="0" w:color="auto"/>
            </w:tcBorders>
          </w:tcPr>
          <w:p w14:paraId="0B5444ED" w14:textId="73F2FED0" w:rsidR="00F17C1B" w:rsidRPr="009A7DFE" w:rsidRDefault="00F17C1B" w:rsidP="00F17C1B">
            <w:pPr>
              <w:rPr>
                <w:rFonts w:cs="Arial"/>
              </w:rPr>
            </w:pPr>
            <w:proofErr w:type="spellStart"/>
            <w:r w:rsidRPr="009A7DFE">
              <w:rPr>
                <w:rFonts w:cs="Arial"/>
                <w:color w:val="000000"/>
              </w:rPr>
              <w:t>description_f</w:t>
            </w:r>
            <w:proofErr w:type="spellEnd"/>
          </w:p>
        </w:tc>
        <w:tc>
          <w:tcPr>
            <w:tcW w:w="2500" w:type="pct"/>
            <w:tcBorders>
              <w:top w:val="single" w:sz="4" w:space="0" w:color="auto"/>
              <w:left w:val="single" w:sz="4" w:space="0" w:color="auto"/>
              <w:bottom w:val="single" w:sz="4" w:space="0" w:color="auto"/>
              <w:right w:val="single" w:sz="4" w:space="0" w:color="auto"/>
            </w:tcBorders>
          </w:tcPr>
          <w:p w14:paraId="3AE4E80D" w14:textId="4C267A15" w:rsidR="00F17C1B" w:rsidRPr="009A7DFE" w:rsidRDefault="00F17C1B" w:rsidP="00F17C1B">
            <w:pPr>
              <w:rPr>
                <w:rFonts w:cs="Arial"/>
              </w:rPr>
            </w:pPr>
            <w:r w:rsidRPr="009A7DFE">
              <w:rPr>
                <w:rFonts w:cs="Arial"/>
                <w:color w:val="000000"/>
              </w:rPr>
              <w:t>Description of count/percentage (French)</w:t>
            </w:r>
          </w:p>
        </w:tc>
      </w:tr>
      <w:tr w:rsidR="00F17C1B" w:rsidRPr="009A7DFE" w14:paraId="7DDCBC97" w14:textId="77777777" w:rsidTr="00400270">
        <w:tc>
          <w:tcPr>
            <w:tcW w:w="2500" w:type="pct"/>
            <w:tcBorders>
              <w:top w:val="single" w:sz="4" w:space="0" w:color="auto"/>
              <w:left w:val="single" w:sz="4" w:space="0" w:color="auto"/>
              <w:bottom w:val="single" w:sz="4" w:space="0" w:color="auto"/>
              <w:right w:val="single" w:sz="4" w:space="0" w:color="auto"/>
            </w:tcBorders>
          </w:tcPr>
          <w:p w14:paraId="1AFE2EDE" w14:textId="183BDBC1" w:rsidR="00F17C1B" w:rsidRPr="009A7DFE" w:rsidRDefault="00F17C1B" w:rsidP="00F17C1B">
            <w:pPr>
              <w:rPr>
                <w:rFonts w:cs="Arial"/>
                <w:color w:val="000000"/>
              </w:rPr>
            </w:pPr>
            <w:proofErr w:type="spellStart"/>
            <w:r w:rsidRPr="009A7DFE">
              <w:rPr>
                <w:rFonts w:cs="Arial"/>
                <w:color w:val="000000"/>
              </w:rPr>
              <w:t>fiscal_year</w:t>
            </w:r>
            <w:proofErr w:type="spellEnd"/>
          </w:p>
        </w:tc>
        <w:tc>
          <w:tcPr>
            <w:tcW w:w="2500" w:type="pct"/>
            <w:tcBorders>
              <w:top w:val="single" w:sz="4" w:space="0" w:color="auto"/>
              <w:left w:val="single" w:sz="4" w:space="0" w:color="auto"/>
              <w:bottom w:val="single" w:sz="4" w:space="0" w:color="auto"/>
              <w:right w:val="single" w:sz="4" w:space="0" w:color="auto"/>
            </w:tcBorders>
          </w:tcPr>
          <w:p w14:paraId="2458CDD2" w14:textId="4B6A27FF" w:rsidR="00F17C1B" w:rsidRPr="009A7DFE" w:rsidRDefault="00F17C1B" w:rsidP="00F17C1B">
            <w:pPr>
              <w:rPr>
                <w:rFonts w:cs="Arial"/>
                <w:color w:val="000000"/>
              </w:rPr>
            </w:pPr>
            <w:r w:rsidRPr="009A7DFE">
              <w:rPr>
                <w:rFonts w:cs="Arial"/>
                <w:color w:val="000000"/>
              </w:rPr>
              <w:t>Fiscal year</w:t>
            </w:r>
          </w:p>
        </w:tc>
      </w:tr>
      <w:tr w:rsidR="00F17C1B" w:rsidRPr="009A7DFE" w14:paraId="475AFB08" w14:textId="77777777" w:rsidTr="00400270">
        <w:tc>
          <w:tcPr>
            <w:tcW w:w="2500" w:type="pct"/>
            <w:tcBorders>
              <w:top w:val="single" w:sz="4" w:space="0" w:color="auto"/>
              <w:left w:val="single" w:sz="4" w:space="0" w:color="auto"/>
              <w:bottom w:val="single" w:sz="4" w:space="0" w:color="auto"/>
              <w:right w:val="single" w:sz="4" w:space="0" w:color="auto"/>
            </w:tcBorders>
          </w:tcPr>
          <w:p w14:paraId="1BDF8AB5" w14:textId="085D3767" w:rsidR="00F17C1B" w:rsidRPr="009A7DFE" w:rsidRDefault="00F17C1B" w:rsidP="00F17C1B">
            <w:pPr>
              <w:rPr>
                <w:rFonts w:cs="Arial"/>
                <w:color w:val="000000"/>
              </w:rPr>
            </w:pPr>
            <w:r w:rsidRPr="009A7DFE">
              <w:rPr>
                <w:rFonts w:cs="Arial"/>
                <w:color w:val="000000"/>
              </w:rPr>
              <w:t>geo-</w:t>
            </w:r>
            <w:proofErr w:type="spellStart"/>
            <w:r w:rsidRPr="009A7DFE">
              <w:rPr>
                <w:rFonts w:cs="Arial"/>
                <w:color w:val="000000"/>
              </w:rPr>
              <w:t>region_e</w:t>
            </w:r>
            <w:proofErr w:type="spellEnd"/>
          </w:p>
        </w:tc>
        <w:tc>
          <w:tcPr>
            <w:tcW w:w="2500" w:type="pct"/>
            <w:tcBorders>
              <w:top w:val="single" w:sz="4" w:space="0" w:color="auto"/>
              <w:left w:val="single" w:sz="4" w:space="0" w:color="auto"/>
              <w:bottom w:val="single" w:sz="4" w:space="0" w:color="auto"/>
              <w:right w:val="single" w:sz="4" w:space="0" w:color="auto"/>
            </w:tcBorders>
          </w:tcPr>
          <w:p w14:paraId="69D91080" w14:textId="7B23278E" w:rsidR="00F17C1B" w:rsidRPr="009A7DFE" w:rsidRDefault="00F17C1B" w:rsidP="00F17C1B">
            <w:pPr>
              <w:rPr>
                <w:rFonts w:cs="Arial"/>
                <w:color w:val="000000"/>
              </w:rPr>
            </w:pPr>
            <w:r w:rsidRPr="009A7DFE">
              <w:rPr>
                <w:rFonts w:cs="Arial"/>
                <w:color w:val="000000"/>
              </w:rPr>
              <w:t>Geographic region of work location (English)</w:t>
            </w:r>
          </w:p>
        </w:tc>
      </w:tr>
      <w:tr w:rsidR="00F17C1B" w:rsidRPr="009A7DFE" w14:paraId="1C4CD525" w14:textId="77777777" w:rsidTr="00400270">
        <w:tc>
          <w:tcPr>
            <w:tcW w:w="2500" w:type="pct"/>
            <w:tcBorders>
              <w:top w:val="single" w:sz="4" w:space="0" w:color="auto"/>
              <w:left w:val="single" w:sz="4" w:space="0" w:color="auto"/>
              <w:bottom w:val="single" w:sz="4" w:space="0" w:color="auto"/>
              <w:right w:val="single" w:sz="4" w:space="0" w:color="auto"/>
            </w:tcBorders>
          </w:tcPr>
          <w:p w14:paraId="366E031A" w14:textId="4A99AEE7" w:rsidR="00F17C1B" w:rsidRPr="009A7DFE" w:rsidRDefault="00F17C1B" w:rsidP="00F17C1B">
            <w:pPr>
              <w:rPr>
                <w:rFonts w:cs="Arial"/>
                <w:color w:val="000000"/>
              </w:rPr>
            </w:pPr>
            <w:r w:rsidRPr="009A7DFE">
              <w:rPr>
                <w:rFonts w:cs="Arial"/>
                <w:color w:val="000000"/>
              </w:rPr>
              <w:t>geo-</w:t>
            </w:r>
            <w:proofErr w:type="spellStart"/>
            <w:r w:rsidRPr="009A7DFE">
              <w:rPr>
                <w:rFonts w:cs="Arial"/>
                <w:color w:val="000000"/>
              </w:rPr>
              <w:t>region_f</w:t>
            </w:r>
            <w:proofErr w:type="spellEnd"/>
          </w:p>
        </w:tc>
        <w:tc>
          <w:tcPr>
            <w:tcW w:w="2500" w:type="pct"/>
            <w:tcBorders>
              <w:top w:val="single" w:sz="4" w:space="0" w:color="auto"/>
              <w:left w:val="single" w:sz="4" w:space="0" w:color="auto"/>
              <w:bottom w:val="single" w:sz="4" w:space="0" w:color="auto"/>
              <w:right w:val="single" w:sz="4" w:space="0" w:color="auto"/>
            </w:tcBorders>
          </w:tcPr>
          <w:p w14:paraId="3579CA26" w14:textId="04D7B22F" w:rsidR="00F17C1B" w:rsidRPr="009A7DFE" w:rsidRDefault="00F17C1B" w:rsidP="00F17C1B">
            <w:pPr>
              <w:rPr>
                <w:rFonts w:cs="Arial"/>
                <w:color w:val="000000"/>
              </w:rPr>
            </w:pPr>
            <w:r w:rsidRPr="009A7DFE">
              <w:rPr>
                <w:rFonts w:cs="Arial"/>
                <w:color w:val="000000"/>
              </w:rPr>
              <w:t>Geographic region of work location (French)</w:t>
            </w:r>
          </w:p>
        </w:tc>
      </w:tr>
      <w:tr w:rsidR="00F17C1B" w:rsidRPr="009A7DFE" w14:paraId="480FB53C" w14:textId="77777777" w:rsidTr="00400270">
        <w:tc>
          <w:tcPr>
            <w:tcW w:w="2500" w:type="pct"/>
            <w:tcBorders>
              <w:top w:val="single" w:sz="4" w:space="0" w:color="auto"/>
              <w:left w:val="single" w:sz="4" w:space="0" w:color="auto"/>
              <w:bottom w:val="single" w:sz="4" w:space="0" w:color="auto"/>
              <w:right w:val="single" w:sz="4" w:space="0" w:color="auto"/>
            </w:tcBorders>
          </w:tcPr>
          <w:p w14:paraId="7F9FAC59" w14:textId="1DA8A90C" w:rsidR="00F17C1B" w:rsidRPr="009A7DFE" w:rsidRDefault="00F17C1B" w:rsidP="00F17C1B">
            <w:pPr>
              <w:rPr>
                <w:rFonts w:cs="Arial"/>
                <w:color w:val="000000"/>
              </w:rPr>
            </w:pPr>
            <w:r w:rsidRPr="009A7DFE">
              <w:rPr>
                <w:rFonts w:cs="Arial"/>
                <w:color w:val="000000"/>
              </w:rPr>
              <w:t>median</w:t>
            </w:r>
          </w:p>
        </w:tc>
        <w:tc>
          <w:tcPr>
            <w:tcW w:w="2500" w:type="pct"/>
            <w:tcBorders>
              <w:top w:val="single" w:sz="4" w:space="0" w:color="auto"/>
              <w:left w:val="single" w:sz="4" w:space="0" w:color="auto"/>
              <w:bottom w:val="single" w:sz="4" w:space="0" w:color="auto"/>
              <w:right w:val="single" w:sz="4" w:space="0" w:color="auto"/>
            </w:tcBorders>
          </w:tcPr>
          <w:p w14:paraId="2BA3DADA" w14:textId="6A69FA90" w:rsidR="00F17C1B" w:rsidRPr="009A7DFE" w:rsidRDefault="00F17C1B" w:rsidP="00F17C1B">
            <w:pPr>
              <w:rPr>
                <w:rFonts w:cs="Arial"/>
                <w:color w:val="000000"/>
              </w:rPr>
            </w:pPr>
            <w:r w:rsidRPr="009A7DFE">
              <w:rPr>
                <w:rFonts w:cs="Arial"/>
                <w:color w:val="000000"/>
              </w:rPr>
              <w:t>Median</w:t>
            </w:r>
          </w:p>
        </w:tc>
      </w:tr>
      <w:tr w:rsidR="00F17C1B" w:rsidRPr="009A7DFE" w14:paraId="77042BE1" w14:textId="77777777" w:rsidTr="00400270">
        <w:tc>
          <w:tcPr>
            <w:tcW w:w="2500" w:type="pct"/>
            <w:tcBorders>
              <w:top w:val="single" w:sz="4" w:space="0" w:color="auto"/>
              <w:left w:val="single" w:sz="4" w:space="0" w:color="auto"/>
              <w:bottom w:val="single" w:sz="4" w:space="0" w:color="auto"/>
              <w:right w:val="single" w:sz="4" w:space="0" w:color="auto"/>
            </w:tcBorders>
          </w:tcPr>
          <w:p w14:paraId="05DABEA9" w14:textId="76143E23" w:rsidR="00F17C1B" w:rsidRPr="009A7DFE" w:rsidRDefault="00F17C1B" w:rsidP="00F17C1B">
            <w:pPr>
              <w:rPr>
                <w:rFonts w:cs="Arial"/>
                <w:color w:val="000000"/>
              </w:rPr>
            </w:pPr>
            <w:r w:rsidRPr="009A7DFE">
              <w:rPr>
                <w:rFonts w:cs="Arial"/>
                <w:color w:val="000000"/>
              </w:rPr>
              <w:t>N</w:t>
            </w:r>
          </w:p>
        </w:tc>
        <w:tc>
          <w:tcPr>
            <w:tcW w:w="2500" w:type="pct"/>
            <w:tcBorders>
              <w:top w:val="single" w:sz="4" w:space="0" w:color="auto"/>
              <w:left w:val="single" w:sz="4" w:space="0" w:color="auto"/>
              <w:bottom w:val="single" w:sz="4" w:space="0" w:color="auto"/>
              <w:right w:val="single" w:sz="4" w:space="0" w:color="auto"/>
            </w:tcBorders>
          </w:tcPr>
          <w:p w14:paraId="33D1144A" w14:textId="01A0B809" w:rsidR="00F17C1B" w:rsidRPr="009A7DFE" w:rsidRDefault="00F17C1B" w:rsidP="00F17C1B">
            <w:pPr>
              <w:rPr>
                <w:rFonts w:cs="Arial"/>
                <w:color w:val="000000"/>
              </w:rPr>
            </w:pPr>
            <w:r w:rsidRPr="009A7DFE">
              <w:rPr>
                <w:rFonts w:cs="Arial"/>
                <w:color w:val="000000"/>
              </w:rPr>
              <w:t>Count/Percentage</w:t>
            </w:r>
          </w:p>
        </w:tc>
      </w:tr>
      <w:tr w:rsidR="00F17C1B" w:rsidRPr="009A7DFE" w14:paraId="73AEA82D" w14:textId="77777777" w:rsidTr="00400270">
        <w:tc>
          <w:tcPr>
            <w:tcW w:w="2500" w:type="pct"/>
            <w:tcBorders>
              <w:top w:val="single" w:sz="4" w:space="0" w:color="auto"/>
              <w:left w:val="single" w:sz="4" w:space="0" w:color="auto"/>
              <w:bottom w:val="single" w:sz="4" w:space="0" w:color="auto"/>
              <w:right w:val="single" w:sz="4" w:space="0" w:color="auto"/>
            </w:tcBorders>
          </w:tcPr>
          <w:p w14:paraId="00DA3EB6" w14:textId="0E76B312" w:rsidR="00F17C1B" w:rsidRPr="009A7DFE" w:rsidRDefault="00F17C1B" w:rsidP="00F17C1B">
            <w:pPr>
              <w:rPr>
                <w:rFonts w:cs="Arial"/>
                <w:color w:val="000000"/>
              </w:rPr>
            </w:pPr>
            <w:r w:rsidRPr="009A7DFE">
              <w:rPr>
                <w:rFonts w:cs="Arial"/>
                <w:color w:val="000000"/>
              </w:rPr>
              <w:t>percent</w:t>
            </w:r>
          </w:p>
        </w:tc>
        <w:tc>
          <w:tcPr>
            <w:tcW w:w="2500" w:type="pct"/>
            <w:tcBorders>
              <w:top w:val="single" w:sz="4" w:space="0" w:color="auto"/>
              <w:left w:val="single" w:sz="4" w:space="0" w:color="auto"/>
              <w:bottom w:val="single" w:sz="4" w:space="0" w:color="auto"/>
              <w:right w:val="single" w:sz="4" w:space="0" w:color="auto"/>
            </w:tcBorders>
          </w:tcPr>
          <w:p w14:paraId="4FA47879" w14:textId="7AC08297" w:rsidR="00F17C1B" w:rsidRPr="009A7DFE" w:rsidRDefault="00F17C1B" w:rsidP="00F17C1B">
            <w:pPr>
              <w:rPr>
                <w:rFonts w:cs="Arial"/>
                <w:color w:val="000000"/>
              </w:rPr>
            </w:pPr>
            <w:r w:rsidRPr="009A7DFE">
              <w:rPr>
                <w:rFonts w:cs="Arial"/>
                <w:color w:val="000000"/>
              </w:rPr>
              <w:t>Percentage</w:t>
            </w:r>
          </w:p>
        </w:tc>
      </w:tr>
      <w:tr w:rsidR="00F17C1B" w:rsidRPr="009A7DFE" w14:paraId="67EBB72B" w14:textId="77777777" w:rsidTr="00400270">
        <w:tc>
          <w:tcPr>
            <w:tcW w:w="2500" w:type="pct"/>
            <w:tcBorders>
              <w:top w:val="single" w:sz="4" w:space="0" w:color="auto"/>
              <w:left w:val="single" w:sz="4" w:space="0" w:color="auto"/>
              <w:bottom w:val="single" w:sz="4" w:space="0" w:color="auto"/>
              <w:right w:val="single" w:sz="4" w:space="0" w:color="auto"/>
            </w:tcBorders>
          </w:tcPr>
          <w:p w14:paraId="514676D1" w14:textId="58DEC8DB" w:rsidR="00F17C1B" w:rsidRPr="009A7DFE" w:rsidRDefault="00F17C1B" w:rsidP="00F17C1B">
            <w:pPr>
              <w:rPr>
                <w:rFonts w:cs="Arial"/>
                <w:color w:val="000000"/>
              </w:rPr>
            </w:pPr>
            <w:r w:rsidRPr="009A7DFE">
              <w:rPr>
                <w:rFonts w:cs="Arial"/>
                <w:color w:val="000000"/>
              </w:rPr>
              <w:t>quarter</w:t>
            </w:r>
          </w:p>
        </w:tc>
        <w:tc>
          <w:tcPr>
            <w:tcW w:w="2500" w:type="pct"/>
            <w:tcBorders>
              <w:top w:val="single" w:sz="4" w:space="0" w:color="auto"/>
              <w:left w:val="single" w:sz="4" w:space="0" w:color="auto"/>
              <w:bottom w:val="single" w:sz="4" w:space="0" w:color="auto"/>
              <w:right w:val="single" w:sz="4" w:space="0" w:color="auto"/>
            </w:tcBorders>
          </w:tcPr>
          <w:p w14:paraId="17490905" w14:textId="75CC6A66" w:rsidR="00F17C1B" w:rsidRPr="009A7DFE" w:rsidRDefault="00F17C1B" w:rsidP="00F17C1B">
            <w:pPr>
              <w:rPr>
                <w:rFonts w:cs="Arial"/>
                <w:color w:val="000000"/>
              </w:rPr>
            </w:pPr>
            <w:r w:rsidRPr="009A7DFE">
              <w:rPr>
                <w:rFonts w:cs="Arial"/>
                <w:color w:val="000000"/>
              </w:rPr>
              <w:t xml:space="preserve">Quarter </w:t>
            </w:r>
          </w:p>
        </w:tc>
      </w:tr>
      <w:tr w:rsidR="00F17C1B" w:rsidRPr="009A7DFE" w14:paraId="64069EEA" w14:textId="77777777" w:rsidTr="00400270">
        <w:tc>
          <w:tcPr>
            <w:tcW w:w="2500" w:type="pct"/>
            <w:tcBorders>
              <w:top w:val="single" w:sz="4" w:space="0" w:color="auto"/>
              <w:left w:val="single" w:sz="4" w:space="0" w:color="auto"/>
              <w:bottom w:val="single" w:sz="4" w:space="0" w:color="auto"/>
              <w:right w:val="single" w:sz="4" w:space="0" w:color="auto"/>
            </w:tcBorders>
          </w:tcPr>
          <w:p w14:paraId="3DEB9AB6" w14:textId="6D0B53FE" w:rsidR="00F17C1B" w:rsidRPr="009A7DFE" w:rsidRDefault="00F17C1B" w:rsidP="00F17C1B">
            <w:pPr>
              <w:rPr>
                <w:rFonts w:cs="Arial"/>
                <w:color w:val="000000"/>
              </w:rPr>
            </w:pPr>
            <w:proofErr w:type="spellStart"/>
            <w:r w:rsidRPr="009A7DFE">
              <w:rPr>
                <w:rFonts w:cs="Arial"/>
                <w:color w:val="000000"/>
              </w:rPr>
              <w:t>region_e</w:t>
            </w:r>
            <w:proofErr w:type="spellEnd"/>
          </w:p>
        </w:tc>
        <w:tc>
          <w:tcPr>
            <w:tcW w:w="2500" w:type="pct"/>
            <w:tcBorders>
              <w:top w:val="single" w:sz="4" w:space="0" w:color="auto"/>
              <w:left w:val="single" w:sz="4" w:space="0" w:color="auto"/>
              <w:bottom w:val="single" w:sz="4" w:space="0" w:color="auto"/>
              <w:right w:val="single" w:sz="4" w:space="0" w:color="auto"/>
            </w:tcBorders>
          </w:tcPr>
          <w:p w14:paraId="129B1F26" w14:textId="66A22112" w:rsidR="00F17C1B" w:rsidRPr="009A7DFE" w:rsidRDefault="00F17C1B" w:rsidP="00F17C1B">
            <w:pPr>
              <w:rPr>
                <w:rFonts w:cs="Arial"/>
                <w:color w:val="000000"/>
              </w:rPr>
            </w:pPr>
            <w:r w:rsidRPr="009A7DFE">
              <w:rPr>
                <w:rFonts w:cs="Arial"/>
                <w:color w:val="000000"/>
              </w:rPr>
              <w:t>Region (English)</w:t>
            </w:r>
          </w:p>
        </w:tc>
      </w:tr>
      <w:tr w:rsidR="00F17C1B" w:rsidRPr="009A7DFE" w14:paraId="7E4F97B4" w14:textId="77777777" w:rsidTr="00400270">
        <w:tc>
          <w:tcPr>
            <w:tcW w:w="2500" w:type="pct"/>
            <w:tcBorders>
              <w:top w:val="single" w:sz="4" w:space="0" w:color="auto"/>
              <w:left w:val="single" w:sz="4" w:space="0" w:color="auto"/>
              <w:bottom w:val="single" w:sz="4" w:space="0" w:color="auto"/>
              <w:right w:val="single" w:sz="4" w:space="0" w:color="auto"/>
            </w:tcBorders>
          </w:tcPr>
          <w:p w14:paraId="2A1BF482" w14:textId="4E7BC562" w:rsidR="00F17C1B" w:rsidRPr="009A7DFE" w:rsidRDefault="00F17C1B" w:rsidP="00F17C1B">
            <w:pPr>
              <w:rPr>
                <w:rFonts w:cs="Arial"/>
                <w:color w:val="000000"/>
              </w:rPr>
            </w:pPr>
            <w:proofErr w:type="spellStart"/>
            <w:r w:rsidRPr="009A7DFE">
              <w:rPr>
                <w:rFonts w:cs="Arial"/>
                <w:color w:val="000000"/>
              </w:rPr>
              <w:t>region_f</w:t>
            </w:r>
            <w:proofErr w:type="spellEnd"/>
          </w:p>
        </w:tc>
        <w:tc>
          <w:tcPr>
            <w:tcW w:w="2500" w:type="pct"/>
            <w:tcBorders>
              <w:top w:val="single" w:sz="4" w:space="0" w:color="auto"/>
              <w:left w:val="single" w:sz="4" w:space="0" w:color="auto"/>
              <w:bottom w:val="single" w:sz="4" w:space="0" w:color="auto"/>
              <w:right w:val="single" w:sz="4" w:space="0" w:color="auto"/>
            </w:tcBorders>
          </w:tcPr>
          <w:p w14:paraId="0D7FE3B7" w14:textId="7D501724" w:rsidR="00F17C1B" w:rsidRPr="009A7DFE" w:rsidRDefault="00F17C1B" w:rsidP="00F17C1B">
            <w:pPr>
              <w:rPr>
                <w:rFonts w:cs="Arial"/>
                <w:color w:val="000000"/>
              </w:rPr>
            </w:pPr>
            <w:r w:rsidRPr="009A7DFE">
              <w:rPr>
                <w:rFonts w:cs="Arial"/>
                <w:color w:val="000000"/>
              </w:rPr>
              <w:t>Region (French)</w:t>
            </w:r>
          </w:p>
        </w:tc>
      </w:tr>
    </w:tbl>
    <w:p w14:paraId="50A34187" w14:textId="77777777" w:rsidR="008B743D" w:rsidRPr="009A7DFE" w:rsidRDefault="008B743D" w:rsidP="008B743D">
      <w:pPr>
        <w:rPr>
          <w:rFonts w:ascii="Arial" w:hAnsi="Arial" w:cs="Arial"/>
        </w:rPr>
      </w:pPr>
    </w:p>
    <w:sectPr w:rsidR="008B743D" w:rsidRPr="009A7D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31A6"/>
    <w:multiLevelType w:val="multilevel"/>
    <w:tmpl w:val="E9AA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51E05"/>
    <w:multiLevelType w:val="hybridMultilevel"/>
    <w:tmpl w:val="DC203922"/>
    <w:lvl w:ilvl="0" w:tplc="640EDFA2">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EE210C"/>
    <w:multiLevelType w:val="hybridMultilevel"/>
    <w:tmpl w:val="0802A79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964FD1"/>
    <w:multiLevelType w:val="hybridMultilevel"/>
    <w:tmpl w:val="310AABF0"/>
    <w:lvl w:ilvl="0" w:tplc="640EDFA2">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D6010D5"/>
    <w:multiLevelType w:val="hybridMultilevel"/>
    <w:tmpl w:val="EB5CCD1A"/>
    <w:lvl w:ilvl="0" w:tplc="640EDFA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362892"/>
    <w:multiLevelType w:val="hybridMultilevel"/>
    <w:tmpl w:val="D842080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0D43C71"/>
    <w:multiLevelType w:val="hybridMultilevel"/>
    <w:tmpl w:val="D8ACE6EE"/>
    <w:lvl w:ilvl="0" w:tplc="19366DBA">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0BA7833"/>
    <w:multiLevelType w:val="hybridMultilevel"/>
    <w:tmpl w:val="4FCEF474"/>
    <w:lvl w:ilvl="0" w:tplc="640EDFA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28"/>
    <w:rsid w:val="000026CF"/>
    <w:rsid w:val="00071F4B"/>
    <w:rsid w:val="00135028"/>
    <w:rsid w:val="001A3AE6"/>
    <w:rsid w:val="001C67CD"/>
    <w:rsid w:val="001D489F"/>
    <w:rsid w:val="001F4DAD"/>
    <w:rsid w:val="002036EA"/>
    <w:rsid w:val="00246E57"/>
    <w:rsid w:val="002633D8"/>
    <w:rsid w:val="002871E9"/>
    <w:rsid w:val="002A03BF"/>
    <w:rsid w:val="002A37AF"/>
    <w:rsid w:val="002C16EF"/>
    <w:rsid w:val="00315940"/>
    <w:rsid w:val="00392F7A"/>
    <w:rsid w:val="003B3314"/>
    <w:rsid w:val="003B3C7F"/>
    <w:rsid w:val="00400270"/>
    <w:rsid w:val="00447B99"/>
    <w:rsid w:val="0047777B"/>
    <w:rsid w:val="004A1150"/>
    <w:rsid w:val="004B2ECA"/>
    <w:rsid w:val="004E129A"/>
    <w:rsid w:val="0051672B"/>
    <w:rsid w:val="00552969"/>
    <w:rsid w:val="00572099"/>
    <w:rsid w:val="005842DC"/>
    <w:rsid w:val="005B52B7"/>
    <w:rsid w:val="005E4132"/>
    <w:rsid w:val="00606F25"/>
    <w:rsid w:val="006435D6"/>
    <w:rsid w:val="0065332A"/>
    <w:rsid w:val="00691837"/>
    <w:rsid w:val="00697705"/>
    <w:rsid w:val="006B0BF3"/>
    <w:rsid w:val="006D0765"/>
    <w:rsid w:val="006F0480"/>
    <w:rsid w:val="006F4040"/>
    <w:rsid w:val="00714906"/>
    <w:rsid w:val="00716A48"/>
    <w:rsid w:val="0072085D"/>
    <w:rsid w:val="00730272"/>
    <w:rsid w:val="00735B2F"/>
    <w:rsid w:val="00795B57"/>
    <w:rsid w:val="007C2BE4"/>
    <w:rsid w:val="007C4839"/>
    <w:rsid w:val="007C63FC"/>
    <w:rsid w:val="008554E0"/>
    <w:rsid w:val="00857FD6"/>
    <w:rsid w:val="008853BC"/>
    <w:rsid w:val="008B014A"/>
    <w:rsid w:val="008B2318"/>
    <w:rsid w:val="008B743D"/>
    <w:rsid w:val="008C4F4D"/>
    <w:rsid w:val="008F521C"/>
    <w:rsid w:val="00924255"/>
    <w:rsid w:val="00924738"/>
    <w:rsid w:val="009A7DFE"/>
    <w:rsid w:val="009D4E08"/>
    <w:rsid w:val="009D64C3"/>
    <w:rsid w:val="00A0197F"/>
    <w:rsid w:val="00A2078C"/>
    <w:rsid w:val="00A84D96"/>
    <w:rsid w:val="00A95D3B"/>
    <w:rsid w:val="00AC5B5F"/>
    <w:rsid w:val="00B03B7B"/>
    <w:rsid w:val="00B1258E"/>
    <w:rsid w:val="00B2797F"/>
    <w:rsid w:val="00B30DED"/>
    <w:rsid w:val="00B64ACE"/>
    <w:rsid w:val="00B652F3"/>
    <w:rsid w:val="00C86CBA"/>
    <w:rsid w:val="00C932A8"/>
    <w:rsid w:val="00CB49C4"/>
    <w:rsid w:val="00D14589"/>
    <w:rsid w:val="00D17A22"/>
    <w:rsid w:val="00D17BDD"/>
    <w:rsid w:val="00D67B11"/>
    <w:rsid w:val="00D7523F"/>
    <w:rsid w:val="00D81F5E"/>
    <w:rsid w:val="00DB51DC"/>
    <w:rsid w:val="00DB69DE"/>
    <w:rsid w:val="00DF38C8"/>
    <w:rsid w:val="00E11492"/>
    <w:rsid w:val="00E20F1D"/>
    <w:rsid w:val="00E3601B"/>
    <w:rsid w:val="00E972A3"/>
    <w:rsid w:val="00E97B2A"/>
    <w:rsid w:val="00EF469A"/>
    <w:rsid w:val="00F13952"/>
    <w:rsid w:val="00F17C1B"/>
    <w:rsid w:val="00F302B0"/>
    <w:rsid w:val="00F414F8"/>
    <w:rsid w:val="00F42D5C"/>
    <w:rsid w:val="00FE1998"/>
    <w:rsid w:val="0CF91F6D"/>
    <w:rsid w:val="13236897"/>
    <w:rsid w:val="27A3C7D7"/>
    <w:rsid w:val="3B8D4F38"/>
    <w:rsid w:val="457C4482"/>
    <w:rsid w:val="549A93E6"/>
    <w:rsid w:val="6A82A9B2"/>
    <w:rsid w:val="73EF72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7F14"/>
  <w15:chartTrackingRefBased/>
  <w15:docId w15:val="{F6E0FCD6-265C-4EE4-B1A9-3DB74DF5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43D"/>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4589"/>
    <w:pPr>
      <w:outlineLvl w:val="1"/>
    </w:pPr>
    <w:rPr>
      <w:rFonts w:ascii="Arial" w:hAnsi="Arial" w:cs="Arial"/>
      <w:b/>
      <w:sz w:val="24"/>
      <w:szCs w:val="24"/>
    </w:rPr>
  </w:style>
  <w:style w:type="paragraph" w:styleId="Heading3">
    <w:name w:val="heading 3"/>
    <w:basedOn w:val="Normal"/>
    <w:next w:val="Normal"/>
    <w:link w:val="Heading3Char"/>
    <w:uiPriority w:val="9"/>
    <w:unhideWhenUsed/>
    <w:qFormat/>
    <w:rsid w:val="008B74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028"/>
    <w:pPr>
      <w:ind w:left="720"/>
      <w:contextualSpacing/>
    </w:pPr>
  </w:style>
  <w:style w:type="character" w:styleId="Hyperlink">
    <w:name w:val="Hyperlink"/>
    <w:basedOn w:val="DefaultParagraphFont"/>
    <w:uiPriority w:val="99"/>
    <w:unhideWhenUsed/>
    <w:rsid w:val="00135028"/>
    <w:rPr>
      <w:color w:val="0563C1" w:themeColor="hyperlink"/>
      <w:u w:val="single"/>
    </w:rPr>
  </w:style>
  <w:style w:type="character" w:styleId="UnresolvedMention">
    <w:name w:val="Unresolved Mention"/>
    <w:basedOn w:val="DefaultParagraphFont"/>
    <w:uiPriority w:val="99"/>
    <w:semiHidden/>
    <w:unhideWhenUsed/>
    <w:rsid w:val="00135028"/>
    <w:rPr>
      <w:color w:val="605E5C"/>
      <w:shd w:val="clear" w:color="auto" w:fill="E1DFDD"/>
    </w:rPr>
  </w:style>
  <w:style w:type="table" w:styleId="TableGrid">
    <w:name w:val="Table Grid"/>
    <w:basedOn w:val="TableNormal"/>
    <w:uiPriority w:val="39"/>
    <w:rsid w:val="000026CF"/>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43D"/>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sid w:val="008B743D"/>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8B743D"/>
    <w:rPr>
      <w:rFonts w:ascii="Arial" w:hAnsi="Arial"/>
      <w:sz w:val="20"/>
      <w:szCs w:val="20"/>
    </w:rPr>
  </w:style>
  <w:style w:type="character" w:styleId="CommentReference">
    <w:name w:val="annotation reference"/>
    <w:basedOn w:val="DefaultParagraphFont"/>
    <w:uiPriority w:val="99"/>
    <w:semiHidden/>
    <w:unhideWhenUsed/>
    <w:rsid w:val="008B743D"/>
    <w:rPr>
      <w:sz w:val="16"/>
      <w:szCs w:val="16"/>
    </w:rPr>
  </w:style>
  <w:style w:type="character" w:customStyle="1" w:styleId="Heading2Char">
    <w:name w:val="Heading 2 Char"/>
    <w:basedOn w:val="DefaultParagraphFont"/>
    <w:link w:val="Heading2"/>
    <w:uiPriority w:val="9"/>
    <w:rsid w:val="00D14589"/>
    <w:rPr>
      <w:rFonts w:ascii="Arial" w:hAnsi="Arial" w:cs="Arial"/>
      <w:b/>
      <w:sz w:val="24"/>
      <w:szCs w:val="24"/>
    </w:rPr>
  </w:style>
  <w:style w:type="character" w:customStyle="1" w:styleId="Heading3Char">
    <w:name w:val="Heading 3 Char"/>
    <w:basedOn w:val="DefaultParagraphFont"/>
    <w:link w:val="Heading3"/>
    <w:uiPriority w:val="9"/>
    <w:rsid w:val="008B743D"/>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4A1150"/>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4A1150"/>
    <w:rPr>
      <w:rFonts w:ascii="Arial" w:hAnsi="Arial"/>
      <w:b/>
      <w:bCs/>
      <w:sz w:val="20"/>
      <w:szCs w:val="20"/>
    </w:rPr>
  </w:style>
  <w:style w:type="paragraph" w:styleId="NoSpacing">
    <w:name w:val="No Spacing"/>
    <w:uiPriority w:val="1"/>
    <w:qFormat/>
    <w:rsid w:val="005842DC"/>
    <w:pPr>
      <w:spacing w:after="0" w:line="240" w:lineRule="auto"/>
    </w:pPr>
  </w:style>
  <w:style w:type="character" w:styleId="Strong">
    <w:name w:val="Strong"/>
    <w:basedOn w:val="DefaultParagraphFont"/>
    <w:uiPriority w:val="22"/>
    <w:qFormat/>
    <w:rsid w:val="00606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1437">
      <w:bodyDiv w:val="1"/>
      <w:marLeft w:val="0"/>
      <w:marRight w:val="0"/>
      <w:marTop w:val="0"/>
      <w:marBottom w:val="0"/>
      <w:divBdr>
        <w:top w:val="none" w:sz="0" w:space="0" w:color="auto"/>
        <w:left w:val="none" w:sz="0" w:space="0" w:color="auto"/>
        <w:bottom w:val="none" w:sz="0" w:space="0" w:color="auto"/>
        <w:right w:val="none" w:sz="0" w:space="0" w:color="auto"/>
      </w:divBdr>
    </w:div>
    <w:div w:id="120148058">
      <w:bodyDiv w:val="1"/>
      <w:marLeft w:val="0"/>
      <w:marRight w:val="0"/>
      <w:marTop w:val="0"/>
      <w:marBottom w:val="0"/>
      <w:divBdr>
        <w:top w:val="none" w:sz="0" w:space="0" w:color="auto"/>
        <w:left w:val="none" w:sz="0" w:space="0" w:color="auto"/>
        <w:bottom w:val="none" w:sz="0" w:space="0" w:color="auto"/>
        <w:right w:val="none" w:sz="0" w:space="0" w:color="auto"/>
      </w:divBdr>
    </w:div>
    <w:div w:id="837966270">
      <w:bodyDiv w:val="1"/>
      <w:marLeft w:val="0"/>
      <w:marRight w:val="0"/>
      <w:marTop w:val="0"/>
      <w:marBottom w:val="0"/>
      <w:divBdr>
        <w:top w:val="none" w:sz="0" w:space="0" w:color="auto"/>
        <w:left w:val="none" w:sz="0" w:space="0" w:color="auto"/>
        <w:bottom w:val="none" w:sz="0" w:space="0" w:color="auto"/>
        <w:right w:val="none" w:sz="0" w:space="0" w:color="auto"/>
      </w:divBdr>
    </w:div>
    <w:div w:id="1243833990">
      <w:bodyDiv w:val="1"/>
      <w:marLeft w:val="0"/>
      <w:marRight w:val="0"/>
      <w:marTop w:val="0"/>
      <w:marBottom w:val="0"/>
      <w:divBdr>
        <w:top w:val="none" w:sz="0" w:space="0" w:color="auto"/>
        <w:left w:val="none" w:sz="0" w:space="0" w:color="auto"/>
        <w:bottom w:val="none" w:sz="0" w:space="0" w:color="auto"/>
        <w:right w:val="none" w:sz="0" w:space="0" w:color="auto"/>
      </w:divBdr>
    </w:div>
    <w:div w:id="1474178770">
      <w:bodyDiv w:val="1"/>
      <w:marLeft w:val="0"/>
      <w:marRight w:val="0"/>
      <w:marTop w:val="0"/>
      <w:marBottom w:val="0"/>
      <w:divBdr>
        <w:top w:val="none" w:sz="0" w:space="0" w:color="auto"/>
        <w:left w:val="none" w:sz="0" w:space="0" w:color="auto"/>
        <w:bottom w:val="none" w:sz="0" w:space="0" w:color="auto"/>
        <w:right w:val="none" w:sz="0" w:space="0" w:color="auto"/>
      </w:divBdr>
    </w:div>
    <w:div w:id="1565413243">
      <w:bodyDiv w:val="1"/>
      <w:marLeft w:val="0"/>
      <w:marRight w:val="0"/>
      <w:marTop w:val="0"/>
      <w:marBottom w:val="0"/>
      <w:divBdr>
        <w:top w:val="none" w:sz="0" w:space="0" w:color="auto"/>
        <w:left w:val="none" w:sz="0" w:space="0" w:color="auto"/>
        <w:bottom w:val="none" w:sz="0" w:space="0" w:color="auto"/>
        <w:right w:val="none" w:sz="0" w:space="0" w:color="auto"/>
      </w:divBdr>
    </w:div>
    <w:div w:id="1669476772">
      <w:bodyDiv w:val="1"/>
      <w:marLeft w:val="0"/>
      <w:marRight w:val="0"/>
      <w:marTop w:val="0"/>
      <w:marBottom w:val="0"/>
      <w:divBdr>
        <w:top w:val="none" w:sz="0" w:space="0" w:color="auto"/>
        <w:left w:val="none" w:sz="0" w:space="0" w:color="auto"/>
        <w:bottom w:val="none" w:sz="0" w:space="0" w:color="auto"/>
        <w:right w:val="none" w:sz="0" w:space="0" w:color="auto"/>
      </w:divBdr>
    </w:div>
    <w:div w:id="1787849517">
      <w:bodyDiv w:val="1"/>
      <w:marLeft w:val="0"/>
      <w:marRight w:val="0"/>
      <w:marTop w:val="0"/>
      <w:marBottom w:val="0"/>
      <w:divBdr>
        <w:top w:val="none" w:sz="0" w:space="0" w:color="auto"/>
        <w:left w:val="none" w:sz="0" w:space="0" w:color="auto"/>
        <w:bottom w:val="none" w:sz="0" w:space="0" w:color="auto"/>
        <w:right w:val="none" w:sz="0" w:space="0" w:color="auto"/>
      </w:divBdr>
    </w:div>
    <w:div w:id="21130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p.cfpgouvernementouvert-pscopengovernment.psc@canada.c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bs-sct.gc.ca/ems-sgd/edb-bdd/index-eng.html" TargetMode="External"/><Relationship Id="rId5" Type="http://schemas.openxmlformats.org/officeDocument/2006/relationships/styles" Target="styles.xml"/><Relationship Id="rId10" Type="http://schemas.openxmlformats.org/officeDocument/2006/relationships/hyperlink" Target="https://www.tbs-sct.gc.ca/pol/doc-eng.aspx?id=31300" TargetMode="External"/><Relationship Id="rId4" Type="http://schemas.openxmlformats.org/officeDocument/2006/relationships/numbering" Target="numbering.xml"/><Relationship Id="rId9" Type="http://schemas.openxmlformats.org/officeDocument/2006/relationships/hyperlink" Target="https://www.tbs-sct.gc.ca/pol/doc-eng.aspx?id=31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C0FEB2C9051E4C8A4B3B4F28487E61" ma:contentTypeVersion="12" ma:contentTypeDescription="Create a new document." ma:contentTypeScope="" ma:versionID="fc6ba9765c64e1d67d698793233e02c7">
  <xsd:schema xmlns:xsd="http://www.w3.org/2001/XMLSchema" xmlns:xs="http://www.w3.org/2001/XMLSchema" xmlns:p="http://schemas.microsoft.com/office/2006/metadata/properties" xmlns:ns3="198e61d9-467a-4bdf-a1ac-804ae0cb37f2" xmlns:ns4="ebe8c69f-86d5-4096-91fa-6d48b232113a" targetNamespace="http://schemas.microsoft.com/office/2006/metadata/properties" ma:root="true" ma:fieldsID="66078ec5b4d24576cf73ea273b099a71" ns3:_="" ns4:_="">
    <xsd:import namespace="198e61d9-467a-4bdf-a1ac-804ae0cb37f2"/>
    <xsd:import namespace="ebe8c69f-86d5-4096-91fa-6d48b23211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e61d9-467a-4bdf-a1ac-804ae0cb37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e8c69f-86d5-4096-91fa-6d48b23211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695CB-17FE-4C83-ABD1-4D491E5746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B0C4BE-A2A0-4AB2-A132-8AFF4E15BE08}">
  <ds:schemaRefs>
    <ds:schemaRef ds:uri="http://schemas.microsoft.com/sharepoint/v3/contenttype/forms"/>
  </ds:schemaRefs>
</ds:datastoreItem>
</file>

<file path=customXml/itemProps3.xml><?xml version="1.0" encoding="utf-8"?>
<ds:datastoreItem xmlns:ds="http://schemas.openxmlformats.org/officeDocument/2006/customXml" ds:itemID="{02313BAC-E794-4B34-9A28-0D576E365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e61d9-467a-4bdf-a1ac-804ae0cb37f2"/>
    <ds:schemaRef ds:uri="ebe8c69f-86d5-4096-91fa-6d48b2321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1654</Words>
  <Characters>9283</Characters>
  <Application>Microsoft Office Word</Application>
  <DocSecurity>0</DocSecurity>
  <Lines>1856</Lines>
  <Paragraphs>1093</Paragraphs>
  <ScaleCrop>false</ScaleCrop>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dc:creator>
  <cp:keywords/>
  <dc:description/>
  <cp:lastModifiedBy>Snjezana Kulic</cp:lastModifiedBy>
  <cp:revision>2</cp:revision>
  <dcterms:created xsi:type="dcterms:W3CDTF">2022-05-05T19:03:00Z</dcterms:created>
  <dcterms:modified xsi:type="dcterms:W3CDTF">2022-05-05T19:03:00Z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0x0101009DC0FEB2C9051E4C8A4B3B4F28487E61</vt:lpwstr>
  </property>
</Properties>
</file>