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AE8" w:rsidRPr="00CB323D" w:rsidRDefault="002F0626" w:rsidP="002F0626">
      <w:pPr>
        <w:spacing w:after="0" w:line="240" w:lineRule="auto"/>
        <w:rPr>
          <w:b/>
          <w:sz w:val="32"/>
        </w:rPr>
      </w:pPr>
      <w:r w:rsidRPr="00CB323D">
        <w:rPr>
          <w:b/>
          <w:sz w:val="32"/>
        </w:rPr>
        <w:t>Exigences du projet d’interface de la Nouv</w:t>
      </w:r>
      <w:r w:rsidR="005E16CC" w:rsidRPr="00CB323D">
        <w:rPr>
          <w:b/>
          <w:sz w:val="32"/>
        </w:rPr>
        <w:t>elle orientation en dotation</w:t>
      </w:r>
      <w:r w:rsidR="00C441EB" w:rsidRPr="00CB323D">
        <w:rPr>
          <w:b/>
          <w:sz w:val="32"/>
        </w:rPr>
        <w:t> </w:t>
      </w:r>
      <w:r w:rsidR="005E16CC" w:rsidRPr="00CB323D">
        <w:rPr>
          <w:b/>
          <w:sz w:val="32"/>
        </w:rPr>
        <w:t>: D</w:t>
      </w:r>
      <w:r w:rsidRPr="00CB323D">
        <w:rPr>
          <w:b/>
          <w:sz w:val="32"/>
        </w:rPr>
        <w:t>ocuments à l’appui</w:t>
      </w:r>
    </w:p>
    <w:p w:rsidR="002F0626" w:rsidRPr="00CB323D" w:rsidRDefault="002F0626" w:rsidP="002F0626">
      <w:pPr>
        <w:spacing w:after="0" w:line="240" w:lineRule="auto"/>
      </w:pPr>
    </w:p>
    <w:p w:rsidR="002F0626" w:rsidRPr="00CB323D" w:rsidRDefault="002F0626" w:rsidP="002F0626">
      <w:pPr>
        <w:spacing w:after="0" w:line="240" w:lineRule="auto"/>
      </w:pPr>
      <w:r w:rsidRPr="00CB323D">
        <w:t>RENSEIGNEMENTS GÉNÉRAUX</w:t>
      </w:r>
    </w:p>
    <w:p w:rsidR="004E024D" w:rsidRPr="00CB323D" w:rsidRDefault="004E024D" w:rsidP="002F0626">
      <w:pPr>
        <w:spacing w:after="0" w:line="240" w:lineRule="auto"/>
      </w:pPr>
    </w:p>
    <w:p w:rsidR="005C74B6" w:rsidRPr="00CB323D" w:rsidRDefault="007572A9" w:rsidP="005C74B6">
      <w:pPr>
        <w:spacing w:after="0" w:line="240" w:lineRule="auto"/>
      </w:pPr>
      <w:r>
        <w:t>L</w:t>
      </w:r>
      <w:r w:rsidR="00CB323D" w:rsidRPr="00CB323D">
        <w:t>’équipe du projet sur l’interface de la Nouvelle orientation en dotation (iNOD)</w:t>
      </w:r>
      <w:r>
        <w:t xml:space="preserve"> a compilé et créé l’information contenue dans ce manuel</w:t>
      </w:r>
      <w:r w:rsidR="00CB323D" w:rsidRPr="00CB323D">
        <w:t xml:space="preserve">. Les utilisateurs </w:t>
      </w:r>
      <w:r>
        <w:t xml:space="preserve">ont fourni directement les exigences </w:t>
      </w:r>
      <w:r w:rsidR="006D4B86">
        <w:t xml:space="preserve">à prendre en compte </w:t>
      </w:r>
      <w:r w:rsidR="00CB323D" w:rsidRPr="00CB323D">
        <w:t>dans les initiatives de modernisation et d’amélioration du gouvernement du Canada (GC)</w:t>
      </w:r>
      <w:r w:rsidR="005C74B6" w:rsidRPr="00CB323D">
        <w:t>.</w:t>
      </w:r>
    </w:p>
    <w:p w:rsidR="004E024D" w:rsidRPr="00CB323D" w:rsidRDefault="004E024D" w:rsidP="005C74B6">
      <w:pPr>
        <w:spacing w:after="0" w:line="240" w:lineRule="auto"/>
      </w:pPr>
    </w:p>
    <w:p w:rsidR="005C74B6" w:rsidRPr="00CB323D" w:rsidRDefault="005C74B6" w:rsidP="002925B1">
      <w:pPr>
        <w:spacing w:after="0" w:line="240" w:lineRule="auto"/>
      </w:pPr>
      <w:r w:rsidRPr="00CB323D">
        <w:t xml:space="preserve">Ce </w:t>
      </w:r>
      <w:r w:rsidR="006D4B86">
        <w:t>manuel</w:t>
      </w:r>
      <w:r w:rsidRPr="00CB323D">
        <w:t xml:space="preserve"> co</w:t>
      </w:r>
      <w:r w:rsidR="000109A6">
        <w:t>mporte</w:t>
      </w:r>
      <w:r w:rsidR="00C441EB" w:rsidRPr="00CB323D">
        <w:t> </w:t>
      </w:r>
      <w:r w:rsidR="002925B1">
        <w:t>u</w:t>
      </w:r>
      <w:r w:rsidR="00CB323D" w:rsidRPr="00CB323D">
        <w:t xml:space="preserve">ne feuille de travail </w:t>
      </w:r>
      <w:r w:rsidR="00CB323D" w:rsidRPr="002925B1">
        <w:rPr>
          <w:b/>
          <w:bCs/>
        </w:rPr>
        <w:t>Exigences</w:t>
      </w:r>
      <w:r w:rsidR="00CB323D" w:rsidRPr="00CB323D">
        <w:t xml:space="preserve"> qui contient </w:t>
      </w:r>
      <w:r w:rsidR="00CB323D" w:rsidRPr="002925B1">
        <w:rPr>
          <w:u w:val="single"/>
        </w:rPr>
        <w:t>toutes</w:t>
      </w:r>
      <w:r w:rsidR="00CB323D" w:rsidRPr="00CB323D">
        <w:t xml:space="preserve"> les exigences du champ de l’étude que l’équipe du projet iNOD a é</w:t>
      </w:r>
      <w:r w:rsidR="000109A6">
        <w:t>tabli</w:t>
      </w:r>
      <w:r w:rsidR="00A06595">
        <w:t>es</w:t>
      </w:r>
      <w:r w:rsidR="00CB323D" w:rsidRPr="00CB323D">
        <w:t xml:space="preserve"> </w:t>
      </w:r>
      <w:r w:rsidR="000109A6">
        <w:t>d</w:t>
      </w:r>
      <w:r w:rsidR="00CB323D" w:rsidRPr="00CB323D">
        <w:t>e</w:t>
      </w:r>
      <w:r w:rsidR="000109A6">
        <w:t xml:space="preserve"> concert</w:t>
      </w:r>
      <w:r w:rsidR="00CB323D" w:rsidRPr="00CB323D">
        <w:t xml:space="preserve"> avec les utilisateurs. </w:t>
      </w:r>
      <w:r w:rsidR="000109A6">
        <w:t>I</w:t>
      </w:r>
      <w:r w:rsidR="00CB323D" w:rsidRPr="00CB323D">
        <w:t xml:space="preserve">l </w:t>
      </w:r>
      <w:r w:rsidR="000109A6">
        <w:t>renferme</w:t>
      </w:r>
      <w:r w:rsidR="00CB323D" w:rsidRPr="00CB323D">
        <w:t xml:space="preserve"> également une liste non exhaustive des </w:t>
      </w:r>
      <w:r w:rsidR="00A06595">
        <w:t>exigences</w:t>
      </w:r>
      <w:r w:rsidR="00CB323D" w:rsidRPr="00CB323D">
        <w:t xml:space="preserve"> actuel</w:t>
      </w:r>
      <w:r w:rsidR="00A06595">
        <w:t>le</w:t>
      </w:r>
      <w:r w:rsidR="00CB323D" w:rsidRPr="00CB323D">
        <w:t>s du gouvernement du Canada en matière de dotation qui ont été utilisé</w:t>
      </w:r>
      <w:r w:rsidR="00A06595">
        <w:t>e</w:t>
      </w:r>
      <w:r w:rsidR="00CB323D" w:rsidRPr="00CB323D">
        <w:t xml:space="preserve">s </w:t>
      </w:r>
      <w:r w:rsidR="00A06595">
        <w:t>par l</w:t>
      </w:r>
      <w:r w:rsidR="00A06595" w:rsidRPr="00CB323D">
        <w:t xml:space="preserve">e projet iNOD </w:t>
      </w:r>
      <w:r w:rsidR="00CB323D" w:rsidRPr="00CB323D">
        <w:t xml:space="preserve">pour </w:t>
      </w:r>
      <w:r w:rsidR="00A06595">
        <w:t>entreprendre</w:t>
      </w:r>
      <w:r w:rsidR="00CB323D" w:rsidRPr="00CB323D">
        <w:t xml:space="preserve"> </w:t>
      </w:r>
      <w:r w:rsidR="000109A6">
        <w:t>notre exploration</w:t>
      </w:r>
      <w:r w:rsidR="00212BAC" w:rsidRPr="00CB323D">
        <w:t>.</w:t>
      </w:r>
    </w:p>
    <w:p w:rsidR="00901B73" w:rsidRPr="00CB323D" w:rsidRDefault="00901B73" w:rsidP="00901B73">
      <w:pPr>
        <w:spacing w:after="0" w:line="240" w:lineRule="auto"/>
      </w:pPr>
    </w:p>
    <w:p w:rsidR="00901B73" w:rsidRPr="00CB323D" w:rsidRDefault="00901B73" w:rsidP="002925B1">
      <w:pPr>
        <w:spacing w:after="0" w:line="240" w:lineRule="auto"/>
      </w:pPr>
      <w:r w:rsidRPr="00CB323D">
        <w:t xml:space="preserve">Les exigences peuvent être </w:t>
      </w:r>
      <w:r w:rsidR="00CD16CE">
        <w:t xml:space="preserve">filtrées </w:t>
      </w:r>
      <w:r w:rsidR="00A06595">
        <w:t>selon</w:t>
      </w:r>
      <w:r w:rsidR="00CD16CE">
        <w:t xml:space="preserve"> l’une ou l’autre </w:t>
      </w:r>
      <w:r w:rsidRPr="00CB323D">
        <w:t xml:space="preserve">des variables </w:t>
      </w:r>
      <w:r w:rsidR="00CD16CE">
        <w:t xml:space="preserve">figurant </w:t>
      </w:r>
      <w:r w:rsidR="00A06595">
        <w:t>au</w:t>
      </w:r>
      <w:r w:rsidRPr="00CB323D">
        <w:t xml:space="preserve"> haut de la feuille de calcul</w:t>
      </w:r>
      <w:r w:rsidR="00CD16CE">
        <w:t>,</w:t>
      </w:r>
      <w:r w:rsidRPr="00CB323D">
        <w:t xml:space="preserve"> </w:t>
      </w:r>
      <w:r w:rsidR="00A06595">
        <w:t>afin d</w:t>
      </w:r>
      <w:r w:rsidR="00CD16CE">
        <w:t xml:space="preserve">e connaître </w:t>
      </w:r>
      <w:r w:rsidRPr="00CB323D">
        <w:t>l</w:t>
      </w:r>
      <w:r w:rsidR="00C441EB" w:rsidRPr="00CB323D">
        <w:t>’</w:t>
      </w:r>
      <w:r w:rsidRPr="00CB323D">
        <w:t>objectif de l</w:t>
      </w:r>
      <w:r w:rsidR="00C441EB" w:rsidRPr="00CB323D">
        <w:t>’</w:t>
      </w:r>
      <w:r w:rsidRPr="00CB323D">
        <w:t>utilisateur, ce qu</w:t>
      </w:r>
      <w:r w:rsidR="00C441EB" w:rsidRPr="00CB323D">
        <w:t>’</w:t>
      </w:r>
      <w:r w:rsidRPr="00CB323D">
        <w:t xml:space="preserve">il faudra pour atteindre cet objectif et les conditions de </w:t>
      </w:r>
      <w:r w:rsidR="00CD16CE">
        <w:t>réussite</w:t>
      </w:r>
      <w:r w:rsidRPr="00CB323D">
        <w:t xml:space="preserve"> associées. </w:t>
      </w:r>
    </w:p>
    <w:p w:rsidR="00901B73" w:rsidRPr="00CB323D" w:rsidRDefault="00901B73" w:rsidP="005C74B6">
      <w:pPr>
        <w:spacing w:after="0" w:line="240" w:lineRule="auto"/>
      </w:pPr>
    </w:p>
    <w:p w:rsidR="00290A32" w:rsidRPr="00CB323D" w:rsidRDefault="00290A32" w:rsidP="002F0626">
      <w:pPr>
        <w:spacing w:after="0" w:line="240" w:lineRule="auto"/>
      </w:pPr>
      <w:r w:rsidRPr="00CB323D">
        <w:t>GLOSSAIRE</w:t>
      </w:r>
    </w:p>
    <w:p w:rsidR="00290A32" w:rsidRPr="00CB323D" w:rsidRDefault="00290A32" w:rsidP="002F0626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This table provides a glossary of terms used in the associated requirements worksheet. The first column provides the variable's name. The second column provides a brief definition of the variable in question. "/>
      </w:tblPr>
      <w:tblGrid>
        <w:gridCol w:w="2117"/>
        <w:gridCol w:w="7223"/>
      </w:tblGrid>
      <w:tr w:rsidR="00290A32" w:rsidRPr="00CB323D" w:rsidTr="007D6C86">
        <w:trPr>
          <w:tblHeader/>
        </w:trPr>
        <w:tc>
          <w:tcPr>
            <w:tcW w:w="2117" w:type="dxa"/>
            <w:hideMark/>
          </w:tcPr>
          <w:p w:rsidR="00290A32" w:rsidRPr="00CB323D" w:rsidRDefault="00290A32" w:rsidP="00290A32">
            <w:pPr>
              <w:rPr>
                <w:b/>
                <w:bCs/>
              </w:rPr>
            </w:pPr>
            <w:r w:rsidRPr="00CB323D">
              <w:rPr>
                <w:b/>
                <w:bCs/>
              </w:rPr>
              <w:t>Nom de la variable</w:t>
            </w:r>
          </w:p>
        </w:tc>
        <w:tc>
          <w:tcPr>
            <w:tcW w:w="7223" w:type="dxa"/>
            <w:hideMark/>
          </w:tcPr>
          <w:p w:rsidR="00290A32" w:rsidRPr="00CB323D" w:rsidRDefault="00290A32" w:rsidP="00290A32">
            <w:pPr>
              <w:rPr>
                <w:b/>
                <w:bCs/>
              </w:rPr>
            </w:pPr>
            <w:r w:rsidRPr="00CB323D">
              <w:rPr>
                <w:b/>
                <w:bCs/>
              </w:rPr>
              <w:t>Courte définition</w:t>
            </w:r>
          </w:p>
        </w:tc>
      </w:tr>
      <w:tr w:rsidR="00290A32" w:rsidRPr="00CB323D" w:rsidTr="007D6C86">
        <w:tc>
          <w:tcPr>
            <w:tcW w:w="2117" w:type="dxa"/>
            <w:hideMark/>
          </w:tcPr>
          <w:p w:rsidR="00290A32" w:rsidRPr="00CB323D" w:rsidRDefault="00891893" w:rsidP="00290A32">
            <w:r w:rsidRPr="00CB323D">
              <w:t>N°</w:t>
            </w:r>
            <w:r w:rsidR="004270BD" w:rsidRPr="00CB323D">
              <w:t xml:space="preserve"> </w:t>
            </w:r>
            <w:r w:rsidRPr="00CB323D">
              <w:t>ID</w:t>
            </w:r>
          </w:p>
        </w:tc>
        <w:tc>
          <w:tcPr>
            <w:tcW w:w="7223" w:type="dxa"/>
            <w:hideMark/>
          </w:tcPr>
          <w:p w:rsidR="00290A32" w:rsidRPr="00CB323D" w:rsidRDefault="00891893" w:rsidP="00F4179B">
            <w:r w:rsidRPr="00CB323D">
              <w:t>Numéro d’identification</w:t>
            </w:r>
            <w:r w:rsidR="004270BD" w:rsidRPr="00CB323D">
              <w:t> </w:t>
            </w:r>
            <w:r w:rsidR="006C5ACE" w:rsidRPr="00CB323D">
              <w:t>: V</w:t>
            </w:r>
            <w:r w:rsidRPr="00CB323D">
              <w:t xml:space="preserve">aleur alphanumérique unique </w:t>
            </w:r>
            <w:r w:rsidR="00E50B9A">
              <w:t>servant à</w:t>
            </w:r>
            <w:r w:rsidRPr="00CB323D">
              <w:t xml:space="preserve"> </w:t>
            </w:r>
            <w:r w:rsidR="00F4179B">
              <w:t xml:space="preserve">désigner </w:t>
            </w:r>
            <w:r w:rsidRPr="00CB323D">
              <w:t>un cas d</w:t>
            </w:r>
            <w:r w:rsidR="00C441EB" w:rsidRPr="00CB323D">
              <w:t>’</w:t>
            </w:r>
            <w:r w:rsidRPr="00CB323D">
              <w:t>utilisation. Par exemple, dans ce cas, le cas d</w:t>
            </w:r>
            <w:r w:rsidR="00C441EB" w:rsidRPr="00CB323D">
              <w:t>’</w:t>
            </w:r>
            <w:r w:rsidRPr="00CB323D">
              <w:t>utilisation « Postuler un emploi » est identifié comme UC7.</w:t>
            </w:r>
          </w:p>
        </w:tc>
      </w:tr>
      <w:tr w:rsidR="00290A32" w:rsidRPr="00CB323D" w:rsidTr="007D6C86">
        <w:tc>
          <w:tcPr>
            <w:tcW w:w="2117" w:type="dxa"/>
            <w:hideMark/>
          </w:tcPr>
          <w:p w:rsidR="00290A32" w:rsidRPr="00CB323D" w:rsidRDefault="00891893" w:rsidP="00290A32">
            <w:r w:rsidRPr="00CB323D">
              <w:t>Intervenant</w:t>
            </w:r>
          </w:p>
        </w:tc>
        <w:tc>
          <w:tcPr>
            <w:tcW w:w="7223" w:type="dxa"/>
            <w:hideMark/>
          </w:tcPr>
          <w:p w:rsidR="00290A32" w:rsidRPr="00CB323D" w:rsidRDefault="002B190F" w:rsidP="000B5E5F">
            <w:r w:rsidRPr="00CB323D">
              <w:t>L</w:t>
            </w:r>
            <w:r w:rsidR="00C441EB" w:rsidRPr="00CB323D">
              <w:t>’</w:t>
            </w:r>
            <w:r w:rsidRPr="00CB323D">
              <w:t xml:space="preserve">acteur ou le rôle directement </w:t>
            </w:r>
            <w:r w:rsidR="000B5E5F" w:rsidRPr="00CB323D">
              <w:t>visé par</w:t>
            </w:r>
            <w:r w:rsidRPr="00CB323D">
              <w:t xml:space="preserve"> l</w:t>
            </w:r>
            <w:r w:rsidR="00C441EB" w:rsidRPr="00CB323D">
              <w:t>’</w:t>
            </w:r>
            <w:r w:rsidRPr="00CB323D">
              <w:t>exigence.</w:t>
            </w:r>
          </w:p>
        </w:tc>
      </w:tr>
      <w:tr w:rsidR="00290A32" w:rsidRPr="00CB323D" w:rsidTr="007D6C86">
        <w:tc>
          <w:tcPr>
            <w:tcW w:w="2117" w:type="dxa"/>
            <w:hideMark/>
          </w:tcPr>
          <w:p w:rsidR="00290A32" w:rsidRPr="00CB323D" w:rsidRDefault="00891893" w:rsidP="00290A32">
            <w:r w:rsidRPr="00CB323D">
              <w:t>Cas d’utilisation</w:t>
            </w:r>
          </w:p>
        </w:tc>
        <w:tc>
          <w:tcPr>
            <w:tcW w:w="7223" w:type="dxa"/>
            <w:hideMark/>
          </w:tcPr>
          <w:p w:rsidR="00290A32" w:rsidRPr="00CB323D" w:rsidRDefault="00891893" w:rsidP="006E0B50">
            <w:r w:rsidRPr="00CB323D">
              <w:t>Un cas d</w:t>
            </w:r>
            <w:r w:rsidR="00C441EB" w:rsidRPr="00CB323D">
              <w:t>’</w:t>
            </w:r>
            <w:r w:rsidRPr="00CB323D">
              <w:t xml:space="preserve">utilisation représente la principale raison pour laquelle un intervenant interagira avec une solution ou un système. </w:t>
            </w:r>
            <w:r w:rsidR="009273E1">
              <w:t>Il correspond au</w:t>
            </w:r>
            <w:r w:rsidRPr="00CB323D">
              <w:t xml:space="preserve"> but </w:t>
            </w:r>
            <w:r w:rsidR="009273E1">
              <w:t xml:space="preserve">que vise </w:t>
            </w:r>
            <w:r w:rsidRPr="00CB323D">
              <w:t>l</w:t>
            </w:r>
            <w:r w:rsidR="00C441EB" w:rsidRPr="00CB323D">
              <w:t>’</w:t>
            </w:r>
            <w:r w:rsidRPr="00CB323D">
              <w:t>utilisateur. Par exemple, dans le contexte du projet d’iNOD, l</w:t>
            </w:r>
            <w:r w:rsidR="00C441EB" w:rsidRPr="00CB323D">
              <w:t>’</w:t>
            </w:r>
            <w:r w:rsidRPr="00CB323D">
              <w:t>une des principales raisons pour lesquelles un demandeur d</w:t>
            </w:r>
            <w:r w:rsidR="00C441EB" w:rsidRPr="00CB323D">
              <w:t>’</w:t>
            </w:r>
            <w:r w:rsidRPr="00CB323D">
              <w:t>emploi acc</w:t>
            </w:r>
            <w:r w:rsidR="004270BD" w:rsidRPr="00CB323D">
              <w:t>é</w:t>
            </w:r>
            <w:r w:rsidRPr="00CB323D">
              <w:t>dera à l</w:t>
            </w:r>
            <w:r w:rsidR="00C441EB" w:rsidRPr="00CB323D">
              <w:t>’</w:t>
            </w:r>
            <w:r w:rsidRPr="00CB323D">
              <w:t xml:space="preserve">interface est pour postuler un emploi. </w:t>
            </w:r>
          </w:p>
        </w:tc>
      </w:tr>
      <w:tr w:rsidR="00290A32" w:rsidRPr="00CB323D" w:rsidTr="007D6C86">
        <w:tc>
          <w:tcPr>
            <w:tcW w:w="2117" w:type="dxa"/>
            <w:hideMark/>
          </w:tcPr>
          <w:p w:rsidR="00290A32" w:rsidRPr="00CB323D" w:rsidRDefault="00891893" w:rsidP="00290A32">
            <w:r w:rsidRPr="00CB323D">
              <w:t>N°</w:t>
            </w:r>
            <w:r w:rsidR="004270BD" w:rsidRPr="00CB323D">
              <w:t> </w:t>
            </w:r>
            <w:r w:rsidRPr="00CB323D">
              <w:t>ID2</w:t>
            </w:r>
          </w:p>
        </w:tc>
        <w:tc>
          <w:tcPr>
            <w:tcW w:w="7223" w:type="dxa"/>
            <w:hideMark/>
          </w:tcPr>
          <w:p w:rsidR="00290A32" w:rsidRPr="00CB323D" w:rsidRDefault="00891893" w:rsidP="006E0B50">
            <w:r w:rsidRPr="00CB323D">
              <w:t>Numéro d’identification</w:t>
            </w:r>
            <w:r w:rsidR="004270BD" w:rsidRPr="00CB323D">
              <w:t> </w:t>
            </w:r>
            <w:r w:rsidRPr="00CB323D">
              <w:t>2</w:t>
            </w:r>
            <w:r w:rsidR="004270BD" w:rsidRPr="00CB323D">
              <w:t> </w:t>
            </w:r>
            <w:r w:rsidRPr="00CB323D">
              <w:t xml:space="preserve">: Valeur alphanumérique unique </w:t>
            </w:r>
            <w:r w:rsidR="009273E1">
              <w:t xml:space="preserve">servant à </w:t>
            </w:r>
            <w:r w:rsidR="006E0B50">
              <w:t>identifi</w:t>
            </w:r>
            <w:r w:rsidR="00F4179B">
              <w:t xml:space="preserve">er </w:t>
            </w:r>
            <w:r w:rsidRPr="00CB323D">
              <w:t>un récit d</w:t>
            </w:r>
            <w:r w:rsidR="0086128A" w:rsidRPr="00CB323D">
              <w:t>e l</w:t>
            </w:r>
            <w:r w:rsidR="00C441EB" w:rsidRPr="00CB323D">
              <w:t>’</w:t>
            </w:r>
            <w:r w:rsidRPr="00CB323D">
              <w:t>utilisate</w:t>
            </w:r>
            <w:r w:rsidR="0086128A" w:rsidRPr="00CB323D">
              <w:t>ur. Par exemple, le premier</w:t>
            </w:r>
            <w:r w:rsidRPr="00CB323D">
              <w:t xml:space="preserve"> </w:t>
            </w:r>
            <w:r w:rsidR="0086128A" w:rsidRPr="00CB323D">
              <w:t xml:space="preserve">récit </w:t>
            </w:r>
            <w:r w:rsidRPr="00CB323D">
              <w:t>d</w:t>
            </w:r>
            <w:r w:rsidR="0086128A" w:rsidRPr="00CB323D">
              <w:t>e l</w:t>
            </w:r>
            <w:r w:rsidR="00C441EB" w:rsidRPr="00CB323D">
              <w:t>’</w:t>
            </w:r>
            <w:r w:rsidRPr="00CB323D">
              <w:t xml:space="preserve">utilisateur </w:t>
            </w:r>
            <w:r w:rsidR="009273E1">
              <w:t xml:space="preserve">correspondant au </w:t>
            </w:r>
            <w:r w:rsidRPr="00CB323D">
              <w:t>cas d</w:t>
            </w:r>
            <w:r w:rsidR="00C441EB" w:rsidRPr="00CB323D">
              <w:t>’</w:t>
            </w:r>
            <w:r w:rsidRPr="00CB323D">
              <w:t>uti</w:t>
            </w:r>
            <w:r w:rsidR="0086128A" w:rsidRPr="00CB323D">
              <w:t>lisation « Postuler un emploi »</w:t>
            </w:r>
            <w:r w:rsidRPr="00CB323D">
              <w:t xml:space="preserve"> </w:t>
            </w:r>
            <w:r w:rsidR="009273E1">
              <w:t xml:space="preserve">est </w:t>
            </w:r>
            <w:r w:rsidRPr="00CB323D">
              <w:t>« Je dois être en mesure de remplir la demande d</w:t>
            </w:r>
            <w:r w:rsidR="00C441EB" w:rsidRPr="00CB323D">
              <w:t>’</w:t>
            </w:r>
            <w:r w:rsidR="009273E1">
              <w:t>emploi » et porte le numéro </w:t>
            </w:r>
            <w:r w:rsidRPr="00CB323D">
              <w:t>US7.1.</w:t>
            </w:r>
          </w:p>
        </w:tc>
        <w:bookmarkStart w:id="0" w:name="_GoBack"/>
        <w:bookmarkEnd w:id="0"/>
      </w:tr>
      <w:tr w:rsidR="00290A32" w:rsidRPr="00CB323D" w:rsidTr="007D6C86">
        <w:tc>
          <w:tcPr>
            <w:tcW w:w="2117" w:type="dxa"/>
            <w:hideMark/>
          </w:tcPr>
          <w:p w:rsidR="00290A32" w:rsidRPr="00CB323D" w:rsidRDefault="00891893" w:rsidP="00891893">
            <w:r w:rsidRPr="00CB323D">
              <w:t>Récit d</w:t>
            </w:r>
            <w:r w:rsidR="0086128A" w:rsidRPr="00CB323D">
              <w:t>e l</w:t>
            </w:r>
            <w:r w:rsidRPr="00CB323D">
              <w:t>’utilisateur</w:t>
            </w:r>
          </w:p>
        </w:tc>
        <w:tc>
          <w:tcPr>
            <w:tcW w:w="7223" w:type="dxa"/>
            <w:hideMark/>
          </w:tcPr>
          <w:p w:rsidR="00290A32" w:rsidRPr="00CB323D" w:rsidRDefault="009273E1" w:rsidP="00F4179B">
            <w:r>
              <w:t xml:space="preserve">Le récit </w:t>
            </w:r>
            <w:r w:rsidR="00290A32" w:rsidRPr="00CB323D">
              <w:t>d</w:t>
            </w:r>
            <w:r w:rsidR="00C441EB" w:rsidRPr="00CB323D">
              <w:t>’</w:t>
            </w:r>
            <w:r>
              <w:t>utilisateur décrit</w:t>
            </w:r>
            <w:r w:rsidR="00290A32" w:rsidRPr="00CB323D">
              <w:t xml:space="preserve"> ce qu</w:t>
            </w:r>
            <w:r w:rsidR="00C441EB" w:rsidRPr="00CB323D">
              <w:t>’</w:t>
            </w:r>
            <w:r w:rsidR="00290A32" w:rsidRPr="00CB323D">
              <w:t>un intervenant doit être capable de faire pour a</w:t>
            </w:r>
            <w:r w:rsidR="003A17D0" w:rsidRPr="00CB323D">
              <w:t>tteindre un objectif lorsqu</w:t>
            </w:r>
            <w:r w:rsidR="00C441EB" w:rsidRPr="00CB323D">
              <w:t>’</w:t>
            </w:r>
            <w:r w:rsidR="003A17D0" w:rsidRPr="00CB323D">
              <w:t>il</w:t>
            </w:r>
            <w:r w:rsidR="00290A32" w:rsidRPr="00CB323D">
              <w:t xml:space="preserve"> interagit avec une solution ou un système. Les cas d</w:t>
            </w:r>
            <w:r w:rsidR="00C441EB" w:rsidRPr="00CB323D">
              <w:t>’</w:t>
            </w:r>
            <w:r w:rsidR="00290A32" w:rsidRPr="00CB323D">
              <w:t>utilisation sont constitués de récits d</w:t>
            </w:r>
            <w:r w:rsidR="00C441EB" w:rsidRPr="00CB323D">
              <w:t>’</w:t>
            </w:r>
            <w:r w:rsidR="00290A32" w:rsidRPr="00CB323D">
              <w:t>utilisateurs</w:t>
            </w:r>
            <w:r w:rsidR="00F4179B">
              <w:t xml:space="preserve"> liés entre eux</w:t>
            </w:r>
            <w:r w:rsidR="00290A32" w:rsidRPr="00CB323D">
              <w:t xml:space="preserve">. </w:t>
            </w:r>
          </w:p>
        </w:tc>
      </w:tr>
      <w:tr w:rsidR="00290A32" w:rsidRPr="00CB323D" w:rsidTr="007D6C86">
        <w:tc>
          <w:tcPr>
            <w:tcW w:w="2117" w:type="dxa"/>
            <w:hideMark/>
          </w:tcPr>
          <w:p w:rsidR="00290A32" w:rsidRPr="00CB323D" w:rsidRDefault="00891893" w:rsidP="00290A32">
            <w:r w:rsidRPr="00CB323D">
              <w:t>N°</w:t>
            </w:r>
            <w:r w:rsidR="004270BD" w:rsidRPr="00CB323D">
              <w:t> </w:t>
            </w:r>
            <w:r w:rsidRPr="00CB323D">
              <w:t>ID3</w:t>
            </w:r>
          </w:p>
        </w:tc>
        <w:tc>
          <w:tcPr>
            <w:tcW w:w="7223" w:type="dxa"/>
            <w:hideMark/>
          </w:tcPr>
          <w:p w:rsidR="00290A32" w:rsidRPr="00CB323D" w:rsidRDefault="00891893" w:rsidP="006E0B50">
            <w:r w:rsidRPr="00CB323D">
              <w:t>Numéro d’identification</w:t>
            </w:r>
            <w:r w:rsidR="004270BD" w:rsidRPr="00CB323D">
              <w:t> </w:t>
            </w:r>
            <w:r w:rsidRPr="00CB323D">
              <w:t>3</w:t>
            </w:r>
            <w:r w:rsidR="004270BD" w:rsidRPr="00CB323D">
              <w:t> </w:t>
            </w:r>
            <w:r w:rsidRPr="00CB323D">
              <w:t xml:space="preserve">: Valeur alphanumérique unique </w:t>
            </w:r>
            <w:r w:rsidR="00F4179B">
              <w:t xml:space="preserve">servant à </w:t>
            </w:r>
            <w:r w:rsidR="006E0B50">
              <w:t>identifier</w:t>
            </w:r>
            <w:r w:rsidR="00F4179B">
              <w:t xml:space="preserve"> </w:t>
            </w:r>
            <w:r w:rsidRPr="00CB323D">
              <w:t>un critère d’acceptation. Par exemple, le premier critère d</w:t>
            </w:r>
            <w:r w:rsidR="00C441EB" w:rsidRPr="00CB323D">
              <w:t>’</w:t>
            </w:r>
            <w:r w:rsidRPr="00CB323D">
              <w:t xml:space="preserve">acceptation </w:t>
            </w:r>
            <w:r w:rsidR="00A16898">
              <w:t>d</w:t>
            </w:r>
            <w:r w:rsidR="00F4179B">
              <w:t>u</w:t>
            </w:r>
            <w:r w:rsidRPr="00CB323D">
              <w:t xml:space="preserve"> premier récit d</w:t>
            </w:r>
            <w:r w:rsidR="003A17D0" w:rsidRPr="00CB323D">
              <w:t>e l</w:t>
            </w:r>
            <w:r w:rsidR="00C441EB" w:rsidRPr="00CB323D">
              <w:t>’</w:t>
            </w:r>
            <w:r w:rsidRPr="00CB323D">
              <w:t>utilisateur</w:t>
            </w:r>
            <w:r w:rsidR="00F4179B" w:rsidRPr="00CB323D">
              <w:t xml:space="preserve"> </w:t>
            </w:r>
            <w:r w:rsidR="00A16898">
              <w:t xml:space="preserve">pour le </w:t>
            </w:r>
            <w:r w:rsidR="00F4179B" w:rsidRPr="00CB323D">
              <w:t>cas d’utilisation « Postuler un emploi »</w:t>
            </w:r>
            <w:r w:rsidR="00F4179B">
              <w:t xml:space="preserve"> est</w:t>
            </w:r>
            <w:r w:rsidRPr="00CB323D">
              <w:t xml:space="preserve"> « Je dois être en mesure de remplir la demande d</w:t>
            </w:r>
            <w:r w:rsidR="00C441EB" w:rsidRPr="00CB323D">
              <w:t>’</w:t>
            </w:r>
            <w:r w:rsidRPr="00CB323D">
              <w:t xml:space="preserve">emploi », </w:t>
            </w:r>
            <w:r w:rsidR="00F4179B">
              <w:t>et porte le numéro</w:t>
            </w:r>
            <w:r w:rsidRPr="00CB323D">
              <w:t xml:space="preserve"> AC7.1.1. </w:t>
            </w:r>
          </w:p>
        </w:tc>
      </w:tr>
      <w:tr w:rsidR="00290A32" w:rsidRPr="00CB323D" w:rsidTr="007D6C86">
        <w:tc>
          <w:tcPr>
            <w:tcW w:w="2117" w:type="dxa"/>
            <w:hideMark/>
          </w:tcPr>
          <w:p w:rsidR="00290A32" w:rsidRPr="00CB323D" w:rsidRDefault="00891893" w:rsidP="00891893">
            <w:r w:rsidRPr="00CB323D">
              <w:t>Critères d’acceptation</w:t>
            </w:r>
          </w:p>
        </w:tc>
        <w:tc>
          <w:tcPr>
            <w:tcW w:w="7223" w:type="dxa"/>
            <w:hideMark/>
          </w:tcPr>
          <w:p w:rsidR="00290A32" w:rsidRPr="00CB323D" w:rsidRDefault="00290A32" w:rsidP="00F61D64">
            <w:r w:rsidRPr="00CB323D">
              <w:t>Les critères d</w:t>
            </w:r>
            <w:r w:rsidR="00C441EB" w:rsidRPr="00CB323D">
              <w:t>’</w:t>
            </w:r>
            <w:r w:rsidRPr="00CB323D">
              <w:t xml:space="preserve">acceptation décrivent les exigences, les résultats ou les conditions </w:t>
            </w:r>
            <w:r w:rsidR="00F61D64">
              <w:t>applicables</w:t>
            </w:r>
            <w:r w:rsidRPr="00CB323D">
              <w:t xml:space="preserve"> pour qu</w:t>
            </w:r>
            <w:r w:rsidR="00C441EB" w:rsidRPr="00CB323D">
              <w:t>’</w:t>
            </w:r>
            <w:r w:rsidRPr="00CB323D">
              <w:t>un récit d</w:t>
            </w:r>
            <w:r w:rsidR="003A17D0" w:rsidRPr="00CB323D">
              <w:t>e l</w:t>
            </w:r>
            <w:r w:rsidRPr="00CB323D">
              <w:t xml:space="preserve">’utilisateur </w:t>
            </w:r>
            <w:r w:rsidR="00F61D64">
              <w:t>permette d’atteindre un objectif</w:t>
            </w:r>
            <w:r w:rsidRPr="00CB323D">
              <w:t xml:space="preserve"> </w:t>
            </w:r>
            <w:r w:rsidR="00F61D64">
              <w:t>afin</w:t>
            </w:r>
            <w:r w:rsidRPr="00CB323D">
              <w:t xml:space="preserve"> qu</w:t>
            </w:r>
            <w:r w:rsidR="00C441EB" w:rsidRPr="00CB323D">
              <w:t>’</w:t>
            </w:r>
            <w:r w:rsidRPr="00CB323D">
              <w:t>une solution soit acceptable.</w:t>
            </w:r>
          </w:p>
        </w:tc>
      </w:tr>
    </w:tbl>
    <w:p w:rsidR="00290A32" w:rsidRPr="00CB323D" w:rsidRDefault="00290A32" w:rsidP="002F0626">
      <w:pPr>
        <w:spacing w:after="0" w:line="240" w:lineRule="auto"/>
      </w:pPr>
    </w:p>
    <w:sectPr w:rsidR="00290A32" w:rsidRPr="00CB323D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61F" w:rsidRDefault="00D0261F" w:rsidP="007424A5">
      <w:pPr>
        <w:spacing w:after="0" w:line="240" w:lineRule="auto"/>
      </w:pPr>
      <w:r>
        <w:separator/>
      </w:r>
    </w:p>
  </w:endnote>
  <w:endnote w:type="continuationSeparator" w:id="0">
    <w:p w:rsidR="00D0261F" w:rsidRDefault="00D0261F" w:rsidP="00742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4A5" w:rsidRDefault="007424A5">
    <w:pPr>
      <w:pStyle w:val="Footer"/>
    </w:pPr>
    <w:r>
      <w:t>Commission de la fonction publique</w:t>
    </w:r>
    <w:r w:rsidR="00F61D64">
      <w:t xml:space="preserve"> du Canada</w:t>
    </w:r>
  </w:p>
  <w:p w:rsidR="007424A5" w:rsidRDefault="007424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61F" w:rsidRDefault="00D0261F" w:rsidP="007424A5">
      <w:pPr>
        <w:spacing w:after="0" w:line="240" w:lineRule="auto"/>
      </w:pPr>
      <w:r>
        <w:separator/>
      </w:r>
    </w:p>
  </w:footnote>
  <w:footnote w:type="continuationSeparator" w:id="0">
    <w:p w:rsidR="00D0261F" w:rsidRDefault="00D0261F" w:rsidP="00742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302F3"/>
    <w:multiLevelType w:val="hybridMultilevel"/>
    <w:tmpl w:val="5FE420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A5D89"/>
    <w:multiLevelType w:val="hybridMultilevel"/>
    <w:tmpl w:val="F96C4F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26"/>
    <w:rsid w:val="000109A6"/>
    <w:rsid w:val="000B5E5F"/>
    <w:rsid w:val="00212BAC"/>
    <w:rsid w:val="00272505"/>
    <w:rsid w:val="00272A44"/>
    <w:rsid w:val="00290A32"/>
    <w:rsid w:val="002925B1"/>
    <w:rsid w:val="002B190F"/>
    <w:rsid w:val="002E139F"/>
    <w:rsid w:val="002F0626"/>
    <w:rsid w:val="003A17D0"/>
    <w:rsid w:val="004270BD"/>
    <w:rsid w:val="00444AE8"/>
    <w:rsid w:val="004E024D"/>
    <w:rsid w:val="00540F21"/>
    <w:rsid w:val="00577F57"/>
    <w:rsid w:val="005B462A"/>
    <w:rsid w:val="005C74B6"/>
    <w:rsid w:val="005E16CC"/>
    <w:rsid w:val="00670A3E"/>
    <w:rsid w:val="006C5ACE"/>
    <w:rsid w:val="006D4B86"/>
    <w:rsid w:val="006E0B50"/>
    <w:rsid w:val="007424A5"/>
    <w:rsid w:val="007572A9"/>
    <w:rsid w:val="007913BE"/>
    <w:rsid w:val="007D6C86"/>
    <w:rsid w:val="0086128A"/>
    <w:rsid w:val="00864477"/>
    <w:rsid w:val="00891893"/>
    <w:rsid w:val="00901B73"/>
    <w:rsid w:val="009273E1"/>
    <w:rsid w:val="00A06595"/>
    <w:rsid w:val="00A16898"/>
    <w:rsid w:val="00A968EA"/>
    <w:rsid w:val="00C441EB"/>
    <w:rsid w:val="00C448BA"/>
    <w:rsid w:val="00CB323D"/>
    <w:rsid w:val="00CD16CE"/>
    <w:rsid w:val="00D0261F"/>
    <w:rsid w:val="00DD28A0"/>
    <w:rsid w:val="00DE0702"/>
    <w:rsid w:val="00E50B9A"/>
    <w:rsid w:val="00E7646C"/>
    <w:rsid w:val="00F4179B"/>
    <w:rsid w:val="00F46EAF"/>
    <w:rsid w:val="00F61D64"/>
    <w:rsid w:val="00F80FC5"/>
    <w:rsid w:val="00FC1CF2"/>
    <w:rsid w:val="00FC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8F572E91-55CE-4DC8-801F-8D8BE863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4A5"/>
  </w:style>
  <w:style w:type="paragraph" w:styleId="Footer">
    <w:name w:val="footer"/>
    <w:basedOn w:val="Normal"/>
    <w:link w:val="FooterChar"/>
    <w:uiPriority w:val="99"/>
    <w:unhideWhenUsed/>
    <w:rsid w:val="00742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4A5"/>
  </w:style>
  <w:style w:type="paragraph" w:styleId="ListParagraph">
    <w:name w:val="List Paragraph"/>
    <w:basedOn w:val="Normal"/>
    <w:uiPriority w:val="34"/>
    <w:qFormat/>
    <w:rsid w:val="005C74B6"/>
    <w:pPr>
      <w:ind w:left="720"/>
      <w:contextualSpacing/>
    </w:pPr>
  </w:style>
  <w:style w:type="table" w:styleId="TableGrid">
    <w:name w:val="Table Grid"/>
    <w:basedOn w:val="TableNormal"/>
    <w:uiPriority w:val="39"/>
    <w:rsid w:val="007D6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7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9C7A3-8AC8-41ED-906B-FF31DB3F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CFP-PSC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Dunn</dc:creator>
  <cp:lastModifiedBy>Jason McGuire</cp:lastModifiedBy>
  <cp:revision>5</cp:revision>
  <dcterms:created xsi:type="dcterms:W3CDTF">2019-03-27T18:30:00Z</dcterms:created>
  <dcterms:modified xsi:type="dcterms:W3CDTF">2019-05-23T18:34:00Z</dcterms:modified>
</cp:coreProperties>
</file>