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C2D" w:rsidRPr="0088697A" w:rsidRDefault="009B71E5" w:rsidP="005E0C2D">
      <w:pPr>
        <w:pStyle w:val="Style6"/>
        <w:rPr>
          <w:lang w:val="en-CA"/>
        </w:rPr>
      </w:pPr>
      <w:r>
        <w:rPr>
          <w:lang w:val="en-CA"/>
        </w:rPr>
        <w:t>P</w:t>
      </w:r>
      <w:bookmarkStart w:id="0" w:name="_GoBack"/>
      <w:bookmarkEnd w:id="0"/>
      <w:r w:rsidR="005E0C2D" w:rsidRPr="0088697A">
        <w:rPr>
          <w:lang w:val="en-CA"/>
        </w:rPr>
        <w:t>RESIDENT MEETING WITH</w:t>
      </w:r>
      <w:r w:rsidR="005E0C2D" w:rsidRPr="0088697A">
        <w:rPr>
          <w:lang w:val="en-CA"/>
        </w:rPr>
        <w:br/>
        <w:t>CHARLES RANDALL SMITH, CHAIRPERSON OF THE RCMP EXTERNAL REVIEW COMMITTEE</w:t>
      </w:r>
    </w:p>
    <w:p w:rsidR="00105BAA" w:rsidRPr="0088697A" w:rsidRDefault="00F55F0E" w:rsidP="00F55F0E">
      <w:pPr>
        <w:pStyle w:val="Style6"/>
        <w:rPr>
          <w:bCs/>
          <w:sz w:val="22"/>
          <w:szCs w:val="22"/>
          <w:lang w:val="en-CA"/>
        </w:rPr>
      </w:pPr>
      <w:r w:rsidRPr="0088697A">
        <w:rPr>
          <w:lang w:val="en-CA"/>
        </w:rPr>
        <w:t>AUGUST 13, 2019</w:t>
      </w:r>
    </w:p>
    <w:p w:rsidR="001A5019" w:rsidRPr="0088697A" w:rsidRDefault="001A5019" w:rsidP="005E0C2D">
      <w:pPr>
        <w:pStyle w:val="Heading1"/>
        <w:rPr>
          <w:lang w:val="en-CA"/>
        </w:rPr>
      </w:pPr>
      <w:r w:rsidRPr="0088697A">
        <w:rPr>
          <w:lang w:val="en-CA"/>
        </w:rPr>
        <w:t>Introduction </w:t>
      </w:r>
    </w:p>
    <w:p w:rsidR="00E57791" w:rsidRPr="0088697A" w:rsidRDefault="00E57791" w:rsidP="001E606D">
      <w:pPr>
        <w:autoSpaceDE w:val="0"/>
        <w:autoSpaceDN w:val="0"/>
        <w:adjustRightInd w:val="0"/>
        <w:ind w:right="50"/>
        <w:rPr>
          <w:rFonts w:ascii="Arial" w:hAnsi="Arial" w:cs="Arial"/>
          <w:b/>
          <w:sz w:val="22"/>
          <w:szCs w:val="22"/>
          <w:lang w:val="en-CA"/>
        </w:rPr>
      </w:pPr>
    </w:p>
    <w:p w:rsidR="001A5019" w:rsidRPr="0088697A" w:rsidRDefault="001A5019" w:rsidP="007416CA">
      <w:pPr>
        <w:pStyle w:val="Heading2"/>
        <w:rPr>
          <w:lang w:val="en-CA"/>
        </w:rPr>
      </w:pPr>
      <w:r w:rsidRPr="0088697A">
        <w:rPr>
          <w:lang w:val="en-CA"/>
        </w:rPr>
        <w:t>Deputy Head</w:t>
      </w:r>
    </w:p>
    <w:p w:rsidR="00622FCE" w:rsidRPr="0088697A" w:rsidRDefault="00622FCE" w:rsidP="001E606D">
      <w:pPr>
        <w:pStyle w:val="NormalWeb"/>
        <w:spacing w:before="0" w:beforeAutospacing="0" w:after="0" w:afterAutospacing="0"/>
        <w:rPr>
          <w:rFonts w:ascii="Arial" w:hAnsi="Arial" w:cs="Arial"/>
          <w:b/>
          <w:sz w:val="22"/>
          <w:szCs w:val="22"/>
          <w:lang w:val="en-CA"/>
        </w:rPr>
      </w:pPr>
    </w:p>
    <w:p w:rsidR="004843DC" w:rsidRPr="0088697A" w:rsidRDefault="00912EA9" w:rsidP="001E606D">
      <w:pPr>
        <w:pStyle w:val="NoSpacing"/>
        <w:rPr>
          <w:rFonts w:ascii="Arial" w:hAnsi="Arial" w:cs="Arial"/>
          <w:sz w:val="22"/>
          <w:szCs w:val="22"/>
          <w:lang w:val="en-CA" w:eastAsia="en-CA"/>
        </w:rPr>
      </w:pPr>
      <w:r w:rsidRPr="0088697A">
        <w:rPr>
          <w:rFonts w:ascii="Arial" w:hAnsi="Arial" w:cs="Arial"/>
          <w:sz w:val="22"/>
          <w:szCs w:val="22"/>
          <w:lang w:val="en-CA" w:eastAsia="en-CA"/>
        </w:rPr>
        <w:t>Mr.</w:t>
      </w:r>
      <w:r w:rsidR="00B405EF" w:rsidRPr="0088697A">
        <w:rPr>
          <w:rFonts w:ascii="Arial" w:hAnsi="Arial" w:cs="Arial"/>
          <w:sz w:val="22"/>
          <w:szCs w:val="22"/>
          <w:lang w:val="en-CA" w:eastAsia="en-CA"/>
        </w:rPr>
        <w:t> </w:t>
      </w:r>
      <w:r w:rsidRPr="0088697A">
        <w:rPr>
          <w:rFonts w:ascii="Arial" w:hAnsi="Arial" w:cs="Arial"/>
          <w:sz w:val="22"/>
          <w:szCs w:val="22"/>
          <w:lang w:val="en-CA" w:eastAsia="en-CA"/>
        </w:rPr>
        <w:t xml:space="preserve">Charles Randall Smith was appointed as the </w:t>
      </w:r>
      <w:r w:rsidR="00781821" w:rsidRPr="0088697A">
        <w:rPr>
          <w:rFonts w:ascii="Arial" w:hAnsi="Arial" w:cs="Arial"/>
          <w:sz w:val="22"/>
          <w:szCs w:val="22"/>
          <w:lang w:val="en-CA" w:eastAsia="en-CA"/>
        </w:rPr>
        <w:t>Royal Canadian Mounted Police</w:t>
      </w:r>
      <w:r w:rsidR="001E2B26" w:rsidRPr="0088697A">
        <w:rPr>
          <w:rFonts w:ascii="Arial" w:hAnsi="Arial" w:cs="Arial"/>
          <w:sz w:val="22"/>
          <w:szCs w:val="22"/>
          <w:lang w:val="en-CA" w:eastAsia="en-CA"/>
        </w:rPr>
        <w:t xml:space="preserve"> (RCMP)</w:t>
      </w:r>
      <w:r w:rsidRPr="0088697A">
        <w:rPr>
          <w:rFonts w:ascii="Arial" w:hAnsi="Arial" w:cs="Arial"/>
          <w:sz w:val="22"/>
          <w:szCs w:val="22"/>
          <w:lang w:val="en-CA" w:eastAsia="en-CA"/>
        </w:rPr>
        <w:t xml:space="preserve"> </w:t>
      </w:r>
      <w:r w:rsidR="00781821" w:rsidRPr="0088697A">
        <w:rPr>
          <w:rFonts w:ascii="Arial" w:hAnsi="Arial" w:cs="Arial"/>
          <w:sz w:val="22"/>
          <w:szCs w:val="22"/>
          <w:lang w:val="en-CA" w:eastAsia="en-CA"/>
        </w:rPr>
        <w:t>ERC</w:t>
      </w:r>
      <w:r w:rsidRPr="0088697A">
        <w:rPr>
          <w:rFonts w:ascii="Arial" w:hAnsi="Arial" w:cs="Arial"/>
          <w:sz w:val="22"/>
          <w:szCs w:val="22"/>
          <w:lang w:val="en-CA" w:eastAsia="en-CA"/>
        </w:rPr>
        <w:t xml:space="preserve"> on June 18, 2019.</w:t>
      </w:r>
    </w:p>
    <w:p w:rsidR="004843DC" w:rsidRPr="0088697A" w:rsidRDefault="004843DC" w:rsidP="001E606D">
      <w:pPr>
        <w:pStyle w:val="NoSpacing"/>
        <w:rPr>
          <w:rFonts w:ascii="Arial" w:hAnsi="Arial" w:cs="Arial"/>
          <w:sz w:val="22"/>
          <w:szCs w:val="22"/>
          <w:lang w:val="en-CA" w:eastAsia="en-CA"/>
        </w:rPr>
      </w:pPr>
    </w:p>
    <w:p w:rsidR="0047304A" w:rsidRPr="0088697A" w:rsidRDefault="00912EA9" w:rsidP="001E606D">
      <w:pPr>
        <w:pStyle w:val="NoSpacing"/>
        <w:rPr>
          <w:rFonts w:ascii="Arial" w:hAnsi="Arial" w:cs="Arial"/>
          <w:sz w:val="22"/>
          <w:szCs w:val="22"/>
          <w:lang w:val="en-CA"/>
        </w:rPr>
      </w:pPr>
      <w:r w:rsidRPr="0088697A">
        <w:rPr>
          <w:rFonts w:ascii="Arial" w:hAnsi="Arial" w:cs="Arial"/>
          <w:sz w:val="22"/>
          <w:szCs w:val="22"/>
          <w:lang w:val="en-CA" w:eastAsia="en-CA"/>
        </w:rPr>
        <w:t>Mr.</w:t>
      </w:r>
      <w:r w:rsidR="00B405EF" w:rsidRPr="0088697A">
        <w:rPr>
          <w:rFonts w:ascii="Arial" w:hAnsi="Arial" w:cs="Arial"/>
          <w:sz w:val="22"/>
          <w:szCs w:val="22"/>
          <w:lang w:val="en-CA" w:eastAsia="en-CA"/>
        </w:rPr>
        <w:t> </w:t>
      </w:r>
      <w:r w:rsidRPr="0088697A">
        <w:rPr>
          <w:rFonts w:ascii="Arial" w:hAnsi="Arial" w:cs="Arial"/>
          <w:sz w:val="22"/>
          <w:szCs w:val="22"/>
          <w:lang w:val="en-CA" w:eastAsia="en-CA"/>
        </w:rPr>
        <w:t>Smith</w:t>
      </w:r>
      <w:r w:rsidR="0047304A" w:rsidRPr="0088697A">
        <w:rPr>
          <w:rFonts w:ascii="Arial" w:hAnsi="Arial" w:cs="Arial"/>
          <w:sz w:val="22"/>
          <w:szCs w:val="22"/>
          <w:lang w:val="en-CA"/>
        </w:rPr>
        <w:t xml:space="preserve">’s biography is attached for your information in </w:t>
      </w:r>
      <w:hyperlink w:anchor="AnnexA" w:history="1">
        <w:r w:rsidR="0047304A" w:rsidRPr="0088697A">
          <w:rPr>
            <w:rStyle w:val="Hyperlink"/>
            <w:rFonts w:ascii="Arial" w:hAnsi="Arial" w:cs="Arial"/>
            <w:sz w:val="22"/>
            <w:szCs w:val="22"/>
            <w:lang w:val="en-CA"/>
          </w:rPr>
          <w:t>Annex A</w:t>
        </w:r>
      </w:hyperlink>
      <w:r w:rsidR="0047304A" w:rsidRPr="0088697A">
        <w:rPr>
          <w:rFonts w:ascii="Arial" w:hAnsi="Arial" w:cs="Arial"/>
          <w:sz w:val="22"/>
          <w:szCs w:val="22"/>
          <w:lang w:val="en-CA"/>
        </w:rPr>
        <w:t>.</w:t>
      </w:r>
      <w:r w:rsidR="00FE1917" w:rsidRPr="0088697A">
        <w:rPr>
          <w:rFonts w:ascii="Arial" w:hAnsi="Arial" w:cs="Arial"/>
          <w:sz w:val="22"/>
          <w:szCs w:val="22"/>
          <w:lang w:val="en-CA"/>
        </w:rPr>
        <w:t xml:space="preserve"> </w:t>
      </w:r>
      <w:r w:rsidR="00244988" w:rsidRPr="0088697A">
        <w:rPr>
          <w:rFonts w:ascii="Arial" w:hAnsi="Arial" w:cs="Arial"/>
          <w:sz w:val="22"/>
          <w:szCs w:val="22"/>
          <w:lang w:val="en-CA"/>
        </w:rPr>
        <w:t xml:space="preserve">Please refer to </w:t>
      </w:r>
      <w:hyperlink w:anchor="AnnexB" w:history="1">
        <w:r w:rsidR="00244988" w:rsidRPr="0088697A">
          <w:rPr>
            <w:rStyle w:val="Hyperlink"/>
            <w:rFonts w:ascii="Arial" w:hAnsi="Arial" w:cs="Arial"/>
            <w:sz w:val="22"/>
            <w:szCs w:val="22"/>
            <w:lang w:val="en-CA"/>
          </w:rPr>
          <w:t>Annex B</w:t>
        </w:r>
      </w:hyperlink>
      <w:r w:rsidR="00244988" w:rsidRPr="0088697A">
        <w:rPr>
          <w:rFonts w:ascii="Arial" w:hAnsi="Arial" w:cs="Arial"/>
          <w:sz w:val="22"/>
          <w:szCs w:val="22"/>
          <w:lang w:val="en-CA"/>
        </w:rPr>
        <w:t xml:space="preserve"> for key messages to convey to the new </w:t>
      </w:r>
      <w:r w:rsidR="0013670F" w:rsidRPr="0088697A">
        <w:rPr>
          <w:rFonts w:ascii="Arial" w:hAnsi="Arial" w:cs="Arial"/>
          <w:sz w:val="22"/>
          <w:szCs w:val="22"/>
          <w:lang w:val="en-CA"/>
        </w:rPr>
        <w:t>deputy head</w:t>
      </w:r>
      <w:r w:rsidR="001E2B26" w:rsidRPr="0088697A">
        <w:rPr>
          <w:rFonts w:ascii="Arial" w:hAnsi="Arial" w:cs="Arial"/>
          <w:sz w:val="22"/>
          <w:szCs w:val="22"/>
          <w:lang w:val="en-CA"/>
        </w:rPr>
        <w:t xml:space="preserve"> (DH)</w:t>
      </w:r>
      <w:r w:rsidR="002133D4" w:rsidRPr="0088697A">
        <w:rPr>
          <w:rFonts w:ascii="Arial" w:hAnsi="Arial" w:cs="Arial"/>
          <w:i/>
          <w:sz w:val="22"/>
          <w:szCs w:val="22"/>
          <w:lang w:val="en-CA"/>
        </w:rPr>
        <w:t>.</w:t>
      </w:r>
    </w:p>
    <w:p w:rsidR="00E8781B" w:rsidRPr="0088697A" w:rsidRDefault="00E8781B" w:rsidP="001E606D">
      <w:pPr>
        <w:pStyle w:val="NoSpacing"/>
        <w:rPr>
          <w:rFonts w:ascii="Arial" w:hAnsi="Arial" w:cs="Arial"/>
          <w:sz w:val="22"/>
          <w:szCs w:val="22"/>
          <w:lang w:val="en-CA"/>
        </w:rPr>
      </w:pPr>
    </w:p>
    <w:p w:rsidR="0002550B" w:rsidRPr="0088697A" w:rsidRDefault="0002550B" w:rsidP="007416CA">
      <w:pPr>
        <w:pStyle w:val="Heading2"/>
        <w:rPr>
          <w:lang w:val="en-CA"/>
        </w:rPr>
      </w:pPr>
      <w:r w:rsidRPr="0088697A">
        <w:rPr>
          <w:lang w:val="en-CA"/>
        </w:rPr>
        <w:t>Deputy Head from outside the Federal Public Service</w:t>
      </w:r>
    </w:p>
    <w:p w:rsidR="0002550B" w:rsidRPr="0088697A" w:rsidRDefault="0002550B" w:rsidP="001E606D">
      <w:pPr>
        <w:autoSpaceDE w:val="0"/>
        <w:autoSpaceDN w:val="0"/>
        <w:adjustRightInd w:val="0"/>
        <w:ind w:right="50"/>
        <w:rPr>
          <w:rFonts w:ascii="Arial" w:hAnsi="Arial" w:cs="Arial"/>
          <w:sz w:val="22"/>
          <w:szCs w:val="22"/>
          <w:lang w:val="en-CA"/>
        </w:rPr>
      </w:pPr>
    </w:p>
    <w:p w:rsidR="0002550B" w:rsidRPr="0088697A" w:rsidRDefault="00543B1F" w:rsidP="001E606D">
      <w:pPr>
        <w:autoSpaceDE w:val="0"/>
        <w:autoSpaceDN w:val="0"/>
        <w:adjustRightInd w:val="0"/>
        <w:ind w:right="50"/>
        <w:rPr>
          <w:rFonts w:ascii="Arial" w:hAnsi="Arial" w:cs="Arial"/>
          <w:sz w:val="22"/>
          <w:szCs w:val="22"/>
          <w:lang w:val="en-CA"/>
        </w:rPr>
      </w:pPr>
      <w:r w:rsidRPr="0088697A">
        <w:rPr>
          <w:rFonts w:ascii="Arial" w:hAnsi="Arial" w:cs="Arial"/>
          <w:sz w:val="22"/>
          <w:szCs w:val="22"/>
          <w:lang w:val="en-CA"/>
        </w:rPr>
        <w:t xml:space="preserve">As </w:t>
      </w:r>
      <w:r w:rsidR="00912EA9" w:rsidRPr="0088697A">
        <w:rPr>
          <w:rFonts w:ascii="Arial" w:hAnsi="Arial" w:cs="Arial"/>
          <w:sz w:val="22"/>
          <w:szCs w:val="22"/>
          <w:lang w:val="en-CA" w:eastAsia="en-CA"/>
        </w:rPr>
        <w:t>Mr.</w:t>
      </w:r>
      <w:r w:rsidR="00B405EF" w:rsidRPr="0088697A">
        <w:rPr>
          <w:rFonts w:ascii="Arial" w:hAnsi="Arial" w:cs="Arial"/>
          <w:sz w:val="22"/>
          <w:szCs w:val="22"/>
          <w:lang w:val="en-CA" w:eastAsia="en-CA"/>
        </w:rPr>
        <w:t> </w:t>
      </w:r>
      <w:r w:rsidR="00912EA9" w:rsidRPr="0088697A">
        <w:rPr>
          <w:rFonts w:ascii="Arial" w:hAnsi="Arial" w:cs="Arial"/>
          <w:sz w:val="22"/>
          <w:szCs w:val="22"/>
          <w:lang w:val="en-CA" w:eastAsia="en-CA"/>
        </w:rPr>
        <w:t xml:space="preserve">Smith </w:t>
      </w:r>
      <w:r w:rsidR="00070865" w:rsidRPr="0088697A">
        <w:rPr>
          <w:rFonts w:ascii="Arial" w:hAnsi="Arial" w:cs="Arial"/>
          <w:sz w:val="22"/>
          <w:szCs w:val="22"/>
          <w:lang w:val="en-CA" w:eastAsia="en-CA"/>
        </w:rPr>
        <w:t xml:space="preserve">is </w:t>
      </w:r>
      <w:r w:rsidR="00F1744C" w:rsidRPr="0088697A">
        <w:rPr>
          <w:rFonts w:ascii="Arial" w:hAnsi="Arial" w:cs="Arial"/>
          <w:sz w:val="22"/>
          <w:szCs w:val="22"/>
          <w:lang w:val="en-CA" w:eastAsia="en-CA"/>
        </w:rPr>
        <w:t xml:space="preserve">appointed </w:t>
      </w:r>
      <w:r w:rsidR="00070865" w:rsidRPr="0088697A">
        <w:rPr>
          <w:rFonts w:ascii="Arial" w:hAnsi="Arial" w:cs="Arial"/>
          <w:sz w:val="22"/>
          <w:szCs w:val="22"/>
          <w:lang w:val="en-CA" w:eastAsia="en-CA"/>
        </w:rPr>
        <w:t>from outside the</w:t>
      </w:r>
      <w:r w:rsidR="001E2B26" w:rsidRPr="0088697A">
        <w:rPr>
          <w:rFonts w:ascii="Arial" w:hAnsi="Arial" w:cs="Arial"/>
          <w:sz w:val="22"/>
          <w:szCs w:val="22"/>
          <w:lang w:val="en-CA" w:eastAsia="en-CA"/>
        </w:rPr>
        <w:t xml:space="preserve"> public s</w:t>
      </w:r>
      <w:r w:rsidR="00F1744C" w:rsidRPr="0088697A">
        <w:rPr>
          <w:rFonts w:ascii="Arial" w:hAnsi="Arial" w:cs="Arial"/>
          <w:sz w:val="22"/>
          <w:szCs w:val="22"/>
          <w:lang w:val="en-CA" w:eastAsia="en-CA"/>
        </w:rPr>
        <w:t xml:space="preserve">ervice, </w:t>
      </w:r>
      <w:r w:rsidR="00244988" w:rsidRPr="0088697A">
        <w:rPr>
          <w:rFonts w:ascii="Arial" w:hAnsi="Arial" w:cs="Arial"/>
          <w:sz w:val="22"/>
          <w:szCs w:val="22"/>
          <w:lang w:val="en-CA"/>
        </w:rPr>
        <w:t>p</w:t>
      </w:r>
      <w:r w:rsidR="0002550B" w:rsidRPr="0088697A">
        <w:rPr>
          <w:rFonts w:ascii="Arial" w:hAnsi="Arial" w:cs="Arial"/>
          <w:sz w:val="22"/>
          <w:szCs w:val="22"/>
          <w:lang w:val="en-CA"/>
        </w:rPr>
        <w:t>lease refer to the enclosed deck for important information to convey about roles and responsibilities as they relate to staffing.</w:t>
      </w:r>
      <w:r w:rsidR="00B81079" w:rsidRPr="0088697A">
        <w:rPr>
          <w:rFonts w:ascii="Arial" w:hAnsi="Arial" w:cs="Arial"/>
          <w:sz w:val="22"/>
          <w:szCs w:val="22"/>
          <w:lang w:val="en-CA"/>
        </w:rPr>
        <w:br/>
      </w:r>
    </w:p>
    <w:p w:rsidR="009E5AB4" w:rsidRPr="0088697A" w:rsidRDefault="009E5AB4" w:rsidP="00535A69">
      <w:pPr>
        <w:pStyle w:val="Heading3"/>
        <w:rPr>
          <w:u w:val="single"/>
          <w:lang w:val="en-CA"/>
        </w:rPr>
      </w:pPr>
      <w:r w:rsidRPr="0088697A">
        <w:rPr>
          <w:lang w:val="en-CA"/>
        </w:rPr>
        <w:t>Appointee Exercising the P</w:t>
      </w:r>
      <w:r w:rsidR="005D308C" w:rsidRPr="0088697A">
        <w:rPr>
          <w:lang w:val="en-CA"/>
        </w:rPr>
        <w:t xml:space="preserve">ublic Service Commission’s </w:t>
      </w:r>
      <w:r w:rsidRPr="0088697A">
        <w:rPr>
          <w:lang w:val="en-CA"/>
        </w:rPr>
        <w:t>Authority for the First Time</w:t>
      </w:r>
    </w:p>
    <w:p w:rsidR="009E5AB4" w:rsidRPr="0088697A" w:rsidRDefault="009E5AB4" w:rsidP="001E606D">
      <w:pPr>
        <w:rPr>
          <w:rFonts w:ascii="Arial" w:hAnsi="Arial" w:cs="Arial"/>
          <w:sz w:val="22"/>
          <w:szCs w:val="22"/>
          <w:highlight w:val="yellow"/>
          <w:lang w:val="en-CA" w:eastAsia="en-CA"/>
        </w:rPr>
      </w:pPr>
    </w:p>
    <w:p w:rsidR="004843DC" w:rsidRPr="0088697A" w:rsidRDefault="00244988" w:rsidP="001E606D">
      <w:pPr>
        <w:rPr>
          <w:rFonts w:ascii="Arial" w:hAnsi="Arial" w:cs="Arial"/>
          <w:sz w:val="22"/>
          <w:szCs w:val="22"/>
          <w:lang w:val="en-CA" w:eastAsia="en-CA"/>
        </w:rPr>
      </w:pPr>
      <w:r w:rsidRPr="0088697A">
        <w:rPr>
          <w:rFonts w:ascii="Arial" w:hAnsi="Arial" w:cs="Arial"/>
          <w:sz w:val="22"/>
          <w:szCs w:val="22"/>
          <w:lang w:val="en-CA" w:eastAsia="en-CA"/>
        </w:rPr>
        <w:t>A</w:t>
      </w:r>
      <w:r w:rsidR="00E9618D" w:rsidRPr="0088697A">
        <w:rPr>
          <w:rFonts w:ascii="Arial" w:hAnsi="Arial" w:cs="Arial"/>
          <w:sz w:val="22"/>
          <w:szCs w:val="22"/>
          <w:lang w:val="en-CA" w:eastAsia="en-CA"/>
        </w:rPr>
        <w:t xml:space="preserve">s </w:t>
      </w:r>
      <w:r w:rsidR="00912EA9" w:rsidRPr="0088697A">
        <w:rPr>
          <w:rFonts w:ascii="Arial" w:hAnsi="Arial" w:cs="Arial"/>
          <w:sz w:val="22"/>
          <w:szCs w:val="22"/>
          <w:lang w:val="en-CA" w:eastAsia="en-CA"/>
        </w:rPr>
        <w:t>Mr.</w:t>
      </w:r>
      <w:r w:rsidR="00B405EF" w:rsidRPr="0088697A">
        <w:rPr>
          <w:rFonts w:ascii="Arial" w:hAnsi="Arial" w:cs="Arial"/>
          <w:sz w:val="22"/>
          <w:szCs w:val="22"/>
          <w:lang w:val="en-CA" w:eastAsia="en-CA"/>
        </w:rPr>
        <w:t> </w:t>
      </w:r>
      <w:r w:rsidR="00912EA9" w:rsidRPr="0088697A">
        <w:rPr>
          <w:rFonts w:ascii="Arial" w:hAnsi="Arial" w:cs="Arial"/>
          <w:sz w:val="22"/>
          <w:szCs w:val="22"/>
          <w:lang w:val="en-CA" w:eastAsia="en-CA"/>
        </w:rPr>
        <w:t xml:space="preserve">Smith </w:t>
      </w:r>
      <w:r w:rsidR="00E9618D" w:rsidRPr="0088697A">
        <w:rPr>
          <w:rFonts w:ascii="Arial" w:hAnsi="Arial" w:cs="Arial"/>
          <w:sz w:val="22"/>
          <w:szCs w:val="22"/>
          <w:lang w:val="en-CA" w:eastAsia="en-CA"/>
        </w:rPr>
        <w:t xml:space="preserve">is exercising the Public Service Commission’s (PSC) authority for the first </w:t>
      </w:r>
      <w:r w:rsidR="00DA7BA3" w:rsidRPr="0088697A">
        <w:rPr>
          <w:rFonts w:ascii="Arial" w:hAnsi="Arial" w:cs="Arial"/>
          <w:sz w:val="22"/>
          <w:szCs w:val="22"/>
          <w:lang w:val="en-CA" w:eastAsia="en-CA"/>
        </w:rPr>
        <w:t>time as DH</w:t>
      </w:r>
      <w:r w:rsidR="002133D4" w:rsidRPr="0088697A">
        <w:rPr>
          <w:rFonts w:ascii="Arial" w:hAnsi="Arial" w:cs="Arial"/>
          <w:sz w:val="22"/>
          <w:szCs w:val="22"/>
          <w:lang w:val="en-CA" w:eastAsia="en-CA"/>
        </w:rPr>
        <w:t>,</w:t>
      </w:r>
      <w:r w:rsidR="008233D8" w:rsidRPr="0088697A">
        <w:rPr>
          <w:rFonts w:ascii="Arial" w:hAnsi="Arial" w:cs="Arial"/>
          <w:sz w:val="22"/>
          <w:szCs w:val="22"/>
          <w:lang w:val="en-CA"/>
        </w:rPr>
        <w:t xml:space="preserve"> it is</w:t>
      </w:r>
      <w:r w:rsidRPr="0088697A">
        <w:rPr>
          <w:rFonts w:ascii="Arial" w:hAnsi="Arial" w:cs="Arial"/>
          <w:sz w:val="22"/>
          <w:szCs w:val="22"/>
          <w:lang w:val="en-CA"/>
        </w:rPr>
        <w:t xml:space="preserve"> also</w:t>
      </w:r>
      <w:r w:rsidR="008233D8" w:rsidRPr="0088697A">
        <w:rPr>
          <w:rFonts w:ascii="Arial" w:hAnsi="Arial" w:cs="Arial"/>
          <w:sz w:val="22"/>
          <w:szCs w:val="22"/>
          <w:lang w:val="en-CA"/>
        </w:rPr>
        <w:t xml:space="preserve"> suggested that the New Direction in Staffing (NDS) placemat for DHs be shared with him. A copy of this placemat is attached as </w:t>
      </w:r>
      <w:hyperlink w:anchor="AnnexC" w:history="1">
        <w:r w:rsidR="0068085E" w:rsidRPr="0088697A">
          <w:rPr>
            <w:rStyle w:val="Hyperlink"/>
            <w:rFonts w:ascii="Arial" w:hAnsi="Arial" w:cs="Arial"/>
            <w:sz w:val="22"/>
            <w:szCs w:val="22"/>
            <w:lang w:val="en-CA"/>
          </w:rPr>
          <w:t>Annex C</w:t>
        </w:r>
      </w:hyperlink>
      <w:r w:rsidR="004843DC" w:rsidRPr="0088697A">
        <w:rPr>
          <w:rFonts w:ascii="Arial" w:hAnsi="Arial" w:cs="Arial"/>
          <w:sz w:val="22"/>
          <w:szCs w:val="22"/>
          <w:lang w:val="en-CA" w:eastAsia="en-CA"/>
        </w:rPr>
        <w:t>.</w:t>
      </w:r>
    </w:p>
    <w:p w:rsidR="009E5AB4" w:rsidRPr="0088697A" w:rsidRDefault="009E5AB4" w:rsidP="0026770A">
      <w:pPr>
        <w:pStyle w:val="Heading1"/>
        <w:rPr>
          <w:lang w:val="en-CA"/>
        </w:rPr>
      </w:pPr>
      <w:r w:rsidRPr="0088697A">
        <w:rPr>
          <w:lang w:val="en-CA"/>
        </w:rPr>
        <w:t>organizational context</w:t>
      </w:r>
    </w:p>
    <w:p w:rsidR="009E5AB4" w:rsidRPr="0088697A" w:rsidRDefault="009E5AB4" w:rsidP="001E606D">
      <w:pPr>
        <w:rPr>
          <w:rFonts w:ascii="Arial" w:hAnsi="Arial" w:cs="Arial"/>
          <w:sz w:val="22"/>
          <w:szCs w:val="22"/>
          <w:lang w:val="en-CA"/>
        </w:rPr>
      </w:pPr>
    </w:p>
    <w:p w:rsidR="009E5AB4" w:rsidRPr="0088697A" w:rsidRDefault="005D02BB" w:rsidP="007416CA">
      <w:pPr>
        <w:pStyle w:val="Heading2"/>
        <w:rPr>
          <w:u w:val="single"/>
          <w:lang w:val="en-CA"/>
        </w:rPr>
      </w:pPr>
      <w:r w:rsidRPr="0088697A">
        <w:rPr>
          <w:lang w:val="en-CA"/>
        </w:rPr>
        <w:t>Mandate</w:t>
      </w:r>
    </w:p>
    <w:p w:rsidR="00EF69FF" w:rsidRPr="0088697A" w:rsidRDefault="00EF69FF" w:rsidP="001E606D">
      <w:pPr>
        <w:autoSpaceDE w:val="0"/>
        <w:autoSpaceDN w:val="0"/>
        <w:adjustRightInd w:val="0"/>
        <w:ind w:right="50"/>
        <w:rPr>
          <w:rFonts w:ascii="Arial" w:hAnsi="Arial" w:cs="Arial"/>
          <w:b/>
          <w:sz w:val="22"/>
          <w:szCs w:val="22"/>
          <w:lang w:val="en-CA"/>
        </w:rPr>
      </w:pPr>
    </w:p>
    <w:p w:rsidR="00BC4DB9" w:rsidRPr="0088697A" w:rsidRDefault="00BE7336" w:rsidP="00BE7336">
      <w:pPr>
        <w:rPr>
          <w:rFonts w:ascii="Arial" w:hAnsi="Arial" w:cs="Arial"/>
          <w:color w:val="000000"/>
          <w:sz w:val="22"/>
          <w:szCs w:val="22"/>
          <w:lang w:val="en-CA"/>
        </w:rPr>
      </w:pPr>
      <w:r w:rsidRPr="0088697A">
        <w:rPr>
          <w:rFonts w:ascii="Arial" w:hAnsi="Arial" w:cs="Arial"/>
          <w:color w:val="000000"/>
          <w:sz w:val="22"/>
          <w:szCs w:val="22"/>
          <w:lang w:val="en-CA"/>
        </w:rPr>
        <w:t xml:space="preserve">The ERC is an independent administrative tribunal and a distinct organization separate from the </w:t>
      </w:r>
      <w:r w:rsidR="001E2B26" w:rsidRPr="0088697A">
        <w:rPr>
          <w:rFonts w:ascii="Arial" w:hAnsi="Arial" w:cs="Arial"/>
          <w:color w:val="000000"/>
          <w:sz w:val="22"/>
          <w:szCs w:val="22"/>
          <w:lang w:val="en-CA"/>
        </w:rPr>
        <w:t>RCMP</w:t>
      </w:r>
      <w:r w:rsidRPr="0088697A">
        <w:rPr>
          <w:rFonts w:ascii="Arial" w:hAnsi="Arial" w:cs="Arial"/>
          <w:color w:val="000000"/>
          <w:sz w:val="22"/>
          <w:szCs w:val="22"/>
          <w:lang w:val="en-CA"/>
        </w:rPr>
        <w:t>. It conducts impartial case reviews and issues findings and recommendations for appeal decisions in certain RCMP labour relations matters. The ERC is the only such independent review mechanism available to RCMP members.</w:t>
      </w:r>
    </w:p>
    <w:p w:rsidR="00BE7336" w:rsidRPr="0088697A" w:rsidRDefault="00BC4DB9" w:rsidP="00BE7336">
      <w:pPr>
        <w:rPr>
          <w:rFonts w:ascii="Arial" w:hAnsi="Arial" w:cs="Arial"/>
          <w:color w:val="000000"/>
          <w:sz w:val="22"/>
          <w:szCs w:val="22"/>
          <w:lang w:val="en-CA"/>
        </w:rPr>
      </w:pPr>
      <w:r w:rsidRPr="0088697A">
        <w:rPr>
          <w:rFonts w:ascii="Arial" w:hAnsi="Arial" w:cs="Arial"/>
          <w:color w:val="000000"/>
          <w:sz w:val="22"/>
          <w:szCs w:val="22"/>
          <w:lang w:val="en-CA"/>
        </w:rPr>
        <w:br w:type="page"/>
      </w:r>
    </w:p>
    <w:p w:rsidR="005D02BB" w:rsidRPr="0088697A" w:rsidRDefault="003843CD" w:rsidP="0026770A">
      <w:pPr>
        <w:pStyle w:val="Heading1"/>
        <w:rPr>
          <w:lang w:val="en-CA"/>
        </w:rPr>
      </w:pPr>
      <w:r w:rsidRPr="0088697A">
        <w:rPr>
          <w:lang w:val="en-CA"/>
        </w:rPr>
        <w:lastRenderedPageBreak/>
        <w:t>population and staffing activities</w:t>
      </w:r>
    </w:p>
    <w:p w:rsidR="005D02BB" w:rsidRPr="0088697A" w:rsidRDefault="005D02BB" w:rsidP="001E606D">
      <w:pPr>
        <w:rPr>
          <w:rFonts w:ascii="Arial" w:hAnsi="Arial" w:cs="Arial"/>
          <w:sz w:val="22"/>
          <w:szCs w:val="22"/>
          <w:lang w:val="en-CA"/>
        </w:rPr>
      </w:pPr>
    </w:p>
    <w:p w:rsidR="005D02BB" w:rsidRPr="0088697A" w:rsidRDefault="005D02BB" w:rsidP="007416CA">
      <w:pPr>
        <w:pStyle w:val="Heading2"/>
        <w:rPr>
          <w:u w:val="single"/>
          <w:lang w:val="en-CA"/>
        </w:rPr>
      </w:pPr>
      <w:r w:rsidRPr="0088697A">
        <w:rPr>
          <w:lang w:val="en-CA"/>
        </w:rPr>
        <w:t>Population</w:t>
      </w:r>
    </w:p>
    <w:p w:rsidR="00B71D7B" w:rsidRPr="0088697A" w:rsidRDefault="00B71D7B" w:rsidP="001E606D">
      <w:pPr>
        <w:pStyle w:val="NormalWeb"/>
        <w:spacing w:before="0" w:beforeAutospacing="0" w:after="0" w:afterAutospacing="0"/>
        <w:rPr>
          <w:rFonts w:ascii="Arial" w:hAnsi="Arial" w:cs="Arial"/>
          <w:color w:val="000000"/>
          <w:sz w:val="22"/>
          <w:szCs w:val="22"/>
          <w:lang w:val="en-CA"/>
        </w:rPr>
      </w:pPr>
    </w:p>
    <w:p w:rsidR="00657365" w:rsidRPr="0088697A" w:rsidRDefault="00D64878" w:rsidP="001E606D">
      <w:pPr>
        <w:pStyle w:val="NoSpacing"/>
        <w:rPr>
          <w:rFonts w:ascii="Arial" w:hAnsi="Arial" w:cs="Arial"/>
          <w:color w:val="000000"/>
          <w:sz w:val="22"/>
          <w:szCs w:val="22"/>
          <w:lang w:val="en-CA"/>
        </w:rPr>
      </w:pPr>
      <w:r w:rsidRPr="0088697A">
        <w:rPr>
          <w:rFonts w:ascii="Arial" w:hAnsi="Arial" w:cs="Arial"/>
          <w:color w:val="000000"/>
          <w:sz w:val="22"/>
          <w:szCs w:val="22"/>
          <w:lang w:val="en-CA"/>
        </w:rPr>
        <w:t>The ERC</w:t>
      </w:r>
      <w:r w:rsidR="00803B89" w:rsidRPr="0088697A">
        <w:rPr>
          <w:rFonts w:ascii="Arial" w:hAnsi="Arial" w:cs="Arial"/>
          <w:color w:val="000000"/>
          <w:sz w:val="22"/>
          <w:szCs w:val="22"/>
          <w:lang w:val="en-CA"/>
        </w:rPr>
        <w:t xml:space="preserve"> is a </w:t>
      </w:r>
      <w:r w:rsidR="00256A4E" w:rsidRPr="0088697A">
        <w:rPr>
          <w:rFonts w:ascii="Arial" w:hAnsi="Arial" w:cs="Arial"/>
          <w:color w:val="000000"/>
          <w:sz w:val="22"/>
          <w:szCs w:val="22"/>
          <w:lang w:val="en-CA"/>
        </w:rPr>
        <w:t>micro</w:t>
      </w:r>
      <w:r w:rsidR="000346DE" w:rsidRPr="0088697A">
        <w:rPr>
          <w:rFonts w:ascii="Arial" w:hAnsi="Arial" w:cs="Arial"/>
          <w:color w:val="000000"/>
          <w:sz w:val="22"/>
          <w:szCs w:val="22"/>
          <w:lang w:val="en-CA"/>
        </w:rPr>
        <w:t xml:space="preserve"> </w:t>
      </w:r>
      <w:r w:rsidR="00803B89" w:rsidRPr="0088697A">
        <w:rPr>
          <w:rFonts w:ascii="Arial" w:hAnsi="Arial" w:cs="Arial"/>
          <w:color w:val="000000"/>
          <w:sz w:val="22"/>
          <w:szCs w:val="22"/>
          <w:lang w:val="en-CA"/>
        </w:rPr>
        <w:t xml:space="preserve">organization </w:t>
      </w:r>
      <w:r w:rsidR="00DA7BA3" w:rsidRPr="0088697A">
        <w:rPr>
          <w:rFonts w:ascii="Arial" w:hAnsi="Arial" w:cs="Arial"/>
          <w:color w:val="000000"/>
          <w:sz w:val="22"/>
          <w:szCs w:val="22"/>
          <w:lang w:val="en-CA"/>
        </w:rPr>
        <w:t>that</w:t>
      </w:r>
      <w:r w:rsidR="00803B89" w:rsidRPr="0088697A">
        <w:rPr>
          <w:rFonts w:ascii="Arial" w:hAnsi="Arial" w:cs="Arial"/>
          <w:color w:val="000000"/>
          <w:sz w:val="22"/>
          <w:szCs w:val="22"/>
          <w:lang w:val="en-CA"/>
        </w:rPr>
        <w:t xml:space="preserve"> has a population of </w:t>
      </w:r>
      <w:r w:rsidR="002705D5" w:rsidRPr="0088697A">
        <w:rPr>
          <w:rFonts w:ascii="Arial" w:hAnsi="Arial" w:cs="Arial"/>
          <w:color w:val="000000"/>
          <w:sz w:val="22"/>
          <w:szCs w:val="22"/>
          <w:lang w:val="en-CA"/>
        </w:rPr>
        <w:t>7 employees</w:t>
      </w:r>
      <w:r w:rsidR="00DE0CB3" w:rsidRPr="0088697A">
        <w:rPr>
          <w:rFonts w:ascii="Arial" w:hAnsi="Arial" w:cs="Arial"/>
          <w:color w:val="000000"/>
          <w:sz w:val="22"/>
          <w:szCs w:val="22"/>
          <w:lang w:val="en-CA"/>
        </w:rPr>
        <w:t xml:space="preserve"> </w:t>
      </w:r>
      <w:r w:rsidR="00803B89" w:rsidRPr="0088697A">
        <w:rPr>
          <w:rFonts w:ascii="Arial" w:hAnsi="Arial" w:cs="Arial"/>
          <w:color w:val="000000"/>
          <w:sz w:val="22"/>
          <w:szCs w:val="22"/>
          <w:lang w:val="en-CA"/>
        </w:rPr>
        <w:t xml:space="preserve">as of March 31, </w:t>
      </w:r>
      <w:r w:rsidR="002705D5" w:rsidRPr="0088697A">
        <w:rPr>
          <w:rFonts w:ascii="Arial" w:hAnsi="Arial" w:cs="Arial"/>
          <w:color w:val="000000"/>
          <w:sz w:val="22"/>
          <w:szCs w:val="22"/>
          <w:lang w:val="en-CA"/>
        </w:rPr>
        <w:t>2019</w:t>
      </w:r>
      <w:r w:rsidR="00803B89" w:rsidRPr="0088697A">
        <w:rPr>
          <w:rFonts w:ascii="Arial" w:hAnsi="Arial" w:cs="Arial"/>
          <w:color w:val="000000"/>
          <w:sz w:val="22"/>
          <w:szCs w:val="22"/>
          <w:lang w:val="en-CA"/>
        </w:rPr>
        <w:t xml:space="preserve">. </w:t>
      </w:r>
      <w:r w:rsidR="00DE0CB3" w:rsidRPr="0088697A">
        <w:rPr>
          <w:rFonts w:ascii="Arial" w:hAnsi="Arial" w:cs="Arial"/>
          <w:color w:val="000000"/>
          <w:sz w:val="22"/>
          <w:szCs w:val="22"/>
          <w:lang w:val="en-CA"/>
        </w:rPr>
        <w:t xml:space="preserve">They also have employees on secondment from other organizations, but the data are not available. </w:t>
      </w:r>
    </w:p>
    <w:p w:rsidR="00F57C26" w:rsidRPr="0088697A" w:rsidRDefault="00F57C26" w:rsidP="001E606D">
      <w:pPr>
        <w:pStyle w:val="NoSpacing"/>
        <w:rPr>
          <w:rFonts w:ascii="Arial" w:hAnsi="Arial" w:cs="Arial"/>
          <w:color w:val="000000"/>
          <w:sz w:val="22"/>
          <w:szCs w:val="22"/>
          <w:lang w:val="en-CA"/>
        </w:rPr>
      </w:pPr>
    </w:p>
    <w:p w:rsidR="00BD413C" w:rsidRPr="0088697A" w:rsidRDefault="009B39D1" w:rsidP="001E606D">
      <w:pPr>
        <w:pStyle w:val="NoSpacing"/>
        <w:rPr>
          <w:rFonts w:ascii="Arial" w:hAnsi="Arial" w:cs="Arial"/>
          <w:color w:val="000000"/>
          <w:sz w:val="22"/>
          <w:szCs w:val="22"/>
          <w:lang w:val="en-CA"/>
        </w:rPr>
      </w:pPr>
      <w:r w:rsidRPr="0088697A">
        <w:rPr>
          <w:rFonts w:ascii="Arial" w:hAnsi="Arial" w:cs="Arial"/>
          <w:sz w:val="22"/>
          <w:szCs w:val="22"/>
          <w:lang w:val="en-CA" w:eastAsia="en-CA"/>
        </w:rPr>
        <w:t xml:space="preserve">Please refer to </w:t>
      </w:r>
      <w:hyperlink w:anchor="AnnexD" w:history="1">
        <w:r w:rsidRPr="0088697A">
          <w:rPr>
            <w:rStyle w:val="Hyperlink"/>
            <w:rFonts w:ascii="Arial" w:hAnsi="Arial" w:cs="Arial"/>
            <w:sz w:val="22"/>
            <w:szCs w:val="22"/>
            <w:lang w:val="en-CA" w:eastAsia="en-CA"/>
          </w:rPr>
          <w:t>A</w:t>
        </w:r>
        <w:r w:rsidR="00B71D7B" w:rsidRPr="0088697A">
          <w:rPr>
            <w:rStyle w:val="Hyperlink"/>
            <w:rFonts w:ascii="Arial" w:hAnsi="Arial" w:cs="Arial"/>
            <w:sz w:val="22"/>
            <w:szCs w:val="22"/>
            <w:lang w:val="en-CA" w:eastAsia="en-CA"/>
          </w:rPr>
          <w:t xml:space="preserve">nnex </w:t>
        </w:r>
        <w:r w:rsidR="0068085E" w:rsidRPr="0088697A">
          <w:rPr>
            <w:rStyle w:val="Hyperlink"/>
            <w:rFonts w:ascii="Arial" w:hAnsi="Arial" w:cs="Arial"/>
            <w:sz w:val="22"/>
            <w:szCs w:val="22"/>
            <w:lang w:val="en-CA" w:eastAsia="en-CA"/>
          </w:rPr>
          <w:t>D</w:t>
        </w:r>
      </w:hyperlink>
      <w:r w:rsidR="00B71D7B" w:rsidRPr="0088697A">
        <w:rPr>
          <w:rFonts w:ascii="Arial" w:hAnsi="Arial" w:cs="Arial"/>
          <w:i/>
          <w:sz w:val="22"/>
          <w:szCs w:val="22"/>
          <w:lang w:val="en-CA" w:eastAsia="en-CA"/>
        </w:rPr>
        <w:t xml:space="preserve"> </w:t>
      </w:r>
      <w:r w:rsidR="00B71D7B" w:rsidRPr="0088697A">
        <w:rPr>
          <w:rFonts w:ascii="Arial" w:hAnsi="Arial" w:cs="Arial"/>
          <w:sz w:val="22"/>
          <w:szCs w:val="22"/>
          <w:lang w:val="en-CA" w:eastAsia="en-CA"/>
        </w:rPr>
        <w:t>for addi</w:t>
      </w:r>
      <w:r w:rsidRPr="0088697A">
        <w:rPr>
          <w:rFonts w:ascii="Arial" w:hAnsi="Arial" w:cs="Arial"/>
          <w:sz w:val="22"/>
          <w:szCs w:val="22"/>
          <w:lang w:val="en-CA" w:eastAsia="en-CA"/>
        </w:rPr>
        <w:t>tional details.</w:t>
      </w:r>
      <w:r w:rsidR="00B71D7B" w:rsidRPr="0088697A">
        <w:rPr>
          <w:rFonts w:ascii="Arial" w:hAnsi="Arial" w:cs="Arial"/>
          <w:sz w:val="22"/>
          <w:szCs w:val="22"/>
          <w:lang w:val="en-CA" w:eastAsia="en-CA"/>
        </w:rPr>
        <w:t xml:space="preserve"> </w:t>
      </w:r>
    </w:p>
    <w:p w:rsidR="00B71D7B" w:rsidRPr="0088697A" w:rsidRDefault="00B71D7B" w:rsidP="001E606D">
      <w:pPr>
        <w:pStyle w:val="NoSpacing"/>
        <w:rPr>
          <w:rFonts w:ascii="Arial" w:hAnsi="Arial" w:cs="Arial"/>
          <w:color w:val="000000"/>
          <w:sz w:val="22"/>
          <w:szCs w:val="22"/>
          <w:lang w:val="en-CA"/>
        </w:rPr>
      </w:pPr>
    </w:p>
    <w:p w:rsidR="00BD413C" w:rsidRPr="0088697A" w:rsidRDefault="009B39D1" w:rsidP="007416CA">
      <w:pPr>
        <w:pStyle w:val="Heading2"/>
        <w:rPr>
          <w:u w:val="single"/>
          <w:lang w:val="en-CA"/>
        </w:rPr>
      </w:pPr>
      <w:r w:rsidRPr="0088697A">
        <w:rPr>
          <w:lang w:val="en-CA"/>
        </w:rPr>
        <w:t>Staffing A</w:t>
      </w:r>
      <w:r w:rsidR="00BD413C" w:rsidRPr="0088697A">
        <w:rPr>
          <w:lang w:val="en-CA"/>
        </w:rPr>
        <w:t>ctivities</w:t>
      </w:r>
    </w:p>
    <w:p w:rsidR="00175338" w:rsidRPr="0088697A" w:rsidRDefault="00175338" w:rsidP="001E606D">
      <w:pPr>
        <w:pStyle w:val="NormalWeb"/>
        <w:spacing w:before="0" w:beforeAutospacing="0" w:after="0" w:afterAutospacing="0"/>
        <w:rPr>
          <w:rFonts w:ascii="Arial" w:hAnsi="Arial" w:cs="Arial"/>
          <w:color w:val="000000"/>
          <w:sz w:val="22"/>
          <w:szCs w:val="22"/>
          <w:lang w:val="en-CA"/>
        </w:rPr>
      </w:pPr>
    </w:p>
    <w:p w:rsidR="00FD00E8" w:rsidRPr="0088697A" w:rsidRDefault="00455595" w:rsidP="00FD00E8">
      <w:pPr>
        <w:rPr>
          <w:rFonts w:ascii="Arial" w:hAnsi="Arial" w:cs="Arial"/>
          <w:color w:val="000000"/>
          <w:sz w:val="22"/>
          <w:szCs w:val="22"/>
          <w:lang w:val="en-CA"/>
        </w:rPr>
      </w:pPr>
      <w:r w:rsidRPr="0088697A">
        <w:rPr>
          <w:rFonts w:ascii="Arial" w:hAnsi="Arial" w:cs="Arial"/>
          <w:sz w:val="22"/>
          <w:szCs w:val="22"/>
          <w:lang w:val="en-CA"/>
        </w:rPr>
        <w:t xml:space="preserve">The ERC has an arrangement with Public Safety Canada to be its staffing service provider. </w:t>
      </w:r>
      <w:r w:rsidR="00BD413C" w:rsidRPr="0088697A">
        <w:rPr>
          <w:rFonts w:ascii="Arial" w:hAnsi="Arial" w:cs="Arial"/>
          <w:color w:val="000000"/>
          <w:sz w:val="22"/>
          <w:szCs w:val="22"/>
          <w:lang w:val="en-CA"/>
        </w:rPr>
        <w:t xml:space="preserve">In </w:t>
      </w:r>
      <w:r w:rsidR="00DC3643" w:rsidRPr="0088697A">
        <w:rPr>
          <w:rFonts w:ascii="Arial" w:hAnsi="Arial" w:cs="Arial"/>
          <w:color w:val="000000"/>
          <w:sz w:val="22"/>
          <w:szCs w:val="22"/>
          <w:lang w:val="en-CA"/>
        </w:rPr>
        <w:t>2018-2019</w:t>
      </w:r>
      <w:r w:rsidR="00BD413C" w:rsidRPr="0088697A">
        <w:rPr>
          <w:rFonts w:ascii="Arial" w:hAnsi="Arial" w:cs="Arial"/>
          <w:color w:val="000000"/>
          <w:sz w:val="22"/>
          <w:szCs w:val="22"/>
          <w:lang w:val="en-CA"/>
        </w:rPr>
        <w:t xml:space="preserve">, </w:t>
      </w:r>
      <w:r w:rsidR="00D64878" w:rsidRPr="0088697A">
        <w:rPr>
          <w:rFonts w:ascii="Arial" w:hAnsi="Arial" w:cs="Arial"/>
          <w:color w:val="000000"/>
          <w:sz w:val="22"/>
          <w:szCs w:val="22"/>
          <w:lang w:val="en-CA"/>
        </w:rPr>
        <w:t xml:space="preserve">the ERC </w:t>
      </w:r>
      <w:r w:rsidR="00BD413C" w:rsidRPr="0088697A">
        <w:rPr>
          <w:rFonts w:ascii="Arial" w:hAnsi="Arial" w:cs="Arial"/>
          <w:color w:val="000000"/>
          <w:sz w:val="22"/>
          <w:szCs w:val="22"/>
          <w:lang w:val="en-CA"/>
        </w:rPr>
        <w:t>proceeded with a total of</w:t>
      </w:r>
      <w:r w:rsidR="00DC3643" w:rsidRPr="0088697A">
        <w:rPr>
          <w:rFonts w:ascii="Arial" w:hAnsi="Arial" w:cs="Arial"/>
          <w:color w:val="000000"/>
          <w:sz w:val="22"/>
          <w:szCs w:val="22"/>
          <w:lang w:val="en-CA"/>
        </w:rPr>
        <w:t xml:space="preserve"> 6</w:t>
      </w:r>
      <w:r w:rsidR="00BD413C" w:rsidRPr="0088697A">
        <w:rPr>
          <w:rFonts w:ascii="Arial" w:hAnsi="Arial" w:cs="Arial"/>
          <w:color w:val="000000"/>
          <w:sz w:val="22"/>
          <w:szCs w:val="22"/>
          <w:lang w:val="en-CA"/>
        </w:rPr>
        <w:t xml:space="preserve"> staffing activities: </w:t>
      </w:r>
    </w:p>
    <w:p w:rsidR="00FD00E8" w:rsidRPr="0088697A" w:rsidRDefault="00FD00E8" w:rsidP="00FD00E8">
      <w:pPr>
        <w:rPr>
          <w:rFonts w:ascii="Arial" w:hAnsi="Arial" w:cs="Arial"/>
          <w:color w:val="000000"/>
          <w:sz w:val="22"/>
          <w:szCs w:val="22"/>
          <w:lang w:val="en-CA"/>
        </w:rPr>
      </w:pPr>
    </w:p>
    <w:p w:rsidR="00BD413C" w:rsidRPr="0088697A" w:rsidRDefault="00DC3643" w:rsidP="00FD00E8">
      <w:pPr>
        <w:numPr>
          <w:ilvl w:val="0"/>
          <w:numId w:val="21"/>
        </w:numPr>
        <w:rPr>
          <w:rFonts w:ascii="Arial" w:hAnsi="Arial" w:cs="Arial"/>
          <w:color w:val="000000"/>
          <w:sz w:val="22"/>
          <w:szCs w:val="22"/>
          <w:lang w:val="en-CA"/>
        </w:rPr>
      </w:pPr>
      <w:r w:rsidRPr="0088697A">
        <w:rPr>
          <w:rFonts w:ascii="Arial" w:hAnsi="Arial" w:cs="Arial"/>
          <w:color w:val="000000"/>
          <w:sz w:val="22"/>
          <w:szCs w:val="22"/>
          <w:lang w:val="en-CA"/>
        </w:rPr>
        <w:t>1</w:t>
      </w:r>
      <w:r w:rsidR="00256A4E" w:rsidRPr="0088697A">
        <w:rPr>
          <w:rFonts w:ascii="Arial" w:hAnsi="Arial" w:cs="Arial"/>
          <w:color w:val="000000"/>
          <w:sz w:val="22"/>
          <w:szCs w:val="22"/>
          <w:lang w:val="en-CA"/>
        </w:rPr>
        <w:t xml:space="preserve"> appointment</w:t>
      </w:r>
      <w:r w:rsidR="00BD413C" w:rsidRPr="0088697A">
        <w:rPr>
          <w:rFonts w:ascii="Arial" w:hAnsi="Arial" w:cs="Arial"/>
          <w:color w:val="000000"/>
          <w:sz w:val="22"/>
          <w:szCs w:val="22"/>
          <w:lang w:val="en-CA"/>
        </w:rPr>
        <w:t xml:space="preserve"> to the public service; </w:t>
      </w:r>
    </w:p>
    <w:p w:rsidR="00BD413C" w:rsidRPr="0088697A" w:rsidRDefault="00DC3643" w:rsidP="001E606D">
      <w:pPr>
        <w:numPr>
          <w:ilvl w:val="0"/>
          <w:numId w:val="21"/>
        </w:numPr>
        <w:rPr>
          <w:rFonts w:ascii="Arial" w:hAnsi="Arial" w:cs="Arial"/>
          <w:color w:val="000000"/>
          <w:sz w:val="22"/>
          <w:szCs w:val="22"/>
          <w:lang w:val="en-CA"/>
        </w:rPr>
      </w:pPr>
      <w:r w:rsidRPr="0088697A">
        <w:rPr>
          <w:rFonts w:ascii="Arial" w:hAnsi="Arial" w:cs="Arial"/>
          <w:color w:val="000000"/>
          <w:sz w:val="22"/>
          <w:szCs w:val="22"/>
          <w:lang w:val="en-CA"/>
        </w:rPr>
        <w:t>4</w:t>
      </w:r>
      <w:r w:rsidR="00BD413C" w:rsidRPr="0088697A">
        <w:rPr>
          <w:rFonts w:ascii="Arial" w:hAnsi="Arial" w:cs="Arial"/>
          <w:color w:val="000000"/>
          <w:sz w:val="22"/>
          <w:szCs w:val="22"/>
          <w:lang w:val="en-CA"/>
        </w:rPr>
        <w:t xml:space="preserve"> promotions;</w:t>
      </w:r>
      <w:r w:rsidR="00F07F1A" w:rsidRPr="0088697A">
        <w:rPr>
          <w:rFonts w:ascii="Arial" w:hAnsi="Arial" w:cs="Arial"/>
          <w:color w:val="000000"/>
          <w:sz w:val="22"/>
          <w:szCs w:val="22"/>
          <w:lang w:val="en-CA"/>
        </w:rPr>
        <w:t xml:space="preserve"> and</w:t>
      </w:r>
    </w:p>
    <w:p w:rsidR="00BD413C" w:rsidRPr="0088697A" w:rsidRDefault="00256A4E" w:rsidP="001E606D">
      <w:pPr>
        <w:numPr>
          <w:ilvl w:val="0"/>
          <w:numId w:val="21"/>
        </w:numPr>
        <w:rPr>
          <w:rFonts w:ascii="Arial" w:hAnsi="Arial" w:cs="Arial"/>
          <w:color w:val="000000"/>
          <w:sz w:val="22"/>
          <w:szCs w:val="22"/>
          <w:lang w:val="en-CA"/>
        </w:rPr>
      </w:pPr>
      <w:r w:rsidRPr="0088697A">
        <w:rPr>
          <w:rFonts w:ascii="Arial" w:hAnsi="Arial" w:cs="Arial"/>
          <w:color w:val="000000"/>
          <w:sz w:val="22"/>
          <w:szCs w:val="22"/>
          <w:lang w:val="en-CA"/>
        </w:rPr>
        <w:t>1 acting appointment</w:t>
      </w:r>
      <w:r w:rsidR="00DC3643" w:rsidRPr="0088697A">
        <w:rPr>
          <w:rFonts w:ascii="Arial" w:hAnsi="Arial" w:cs="Arial"/>
          <w:color w:val="000000"/>
          <w:sz w:val="22"/>
          <w:szCs w:val="22"/>
          <w:lang w:val="en-CA"/>
        </w:rPr>
        <w:t>.</w:t>
      </w:r>
    </w:p>
    <w:p w:rsidR="00DC3643" w:rsidRPr="0088697A" w:rsidRDefault="00DC3643" w:rsidP="00DC3643">
      <w:pPr>
        <w:ind w:left="720"/>
        <w:rPr>
          <w:rFonts w:ascii="Arial" w:hAnsi="Arial" w:cs="Arial"/>
          <w:color w:val="000000"/>
          <w:sz w:val="22"/>
          <w:szCs w:val="22"/>
          <w:lang w:val="en-CA"/>
        </w:rPr>
      </w:pPr>
    </w:p>
    <w:p w:rsidR="00175338" w:rsidRPr="0088697A" w:rsidRDefault="00175338" w:rsidP="001E606D">
      <w:pPr>
        <w:pStyle w:val="NoSpacing"/>
        <w:rPr>
          <w:rFonts w:ascii="Arial" w:hAnsi="Arial" w:cs="Arial"/>
          <w:color w:val="000000"/>
          <w:sz w:val="22"/>
          <w:szCs w:val="22"/>
          <w:lang w:val="en-CA"/>
        </w:rPr>
      </w:pPr>
      <w:r w:rsidRPr="0088697A">
        <w:rPr>
          <w:rFonts w:ascii="Arial" w:hAnsi="Arial" w:cs="Arial"/>
          <w:sz w:val="22"/>
          <w:szCs w:val="22"/>
          <w:lang w:val="en-CA" w:eastAsia="en-CA"/>
        </w:rPr>
        <w:t>Please refer t</w:t>
      </w:r>
      <w:r w:rsidR="009B39D1" w:rsidRPr="0088697A">
        <w:rPr>
          <w:rFonts w:ascii="Arial" w:hAnsi="Arial" w:cs="Arial"/>
          <w:sz w:val="22"/>
          <w:szCs w:val="22"/>
          <w:lang w:val="en-CA" w:eastAsia="en-CA"/>
        </w:rPr>
        <w:t xml:space="preserve">o </w:t>
      </w:r>
      <w:hyperlink w:anchor="AnnexD" w:history="1">
        <w:r w:rsidR="0068085E" w:rsidRPr="0088697A">
          <w:rPr>
            <w:rStyle w:val="Hyperlink"/>
            <w:rFonts w:ascii="Arial" w:hAnsi="Arial" w:cs="Arial"/>
            <w:sz w:val="22"/>
            <w:szCs w:val="22"/>
            <w:lang w:val="en-CA" w:eastAsia="en-CA"/>
          </w:rPr>
          <w:t>Annex D</w:t>
        </w:r>
      </w:hyperlink>
      <w:r w:rsidR="0068085E" w:rsidRPr="0088697A">
        <w:rPr>
          <w:rFonts w:ascii="Arial" w:hAnsi="Arial" w:cs="Arial"/>
          <w:sz w:val="22"/>
          <w:szCs w:val="22"/>
          <w:lang w:val="en-CA" w:eastAsia="en-CA"/>
        </w:rPr>
        <w:t xml:space="preserve"> </w:t>
      </w:r>
      <w:r w:rsidR="009B39D1" w:rsidRPr="0088697A">
        <w:rPr>
          <w:rFonts w:ascii="Arial" w:hAnsi="Arial" w:cs="Arial"/>
          <w:sz w:val="22"/>
          <w:szCs w:val="22"/>
          <w:lang w:val="en-CA" w:eastAsia="en-CA"/>
        </w:rPr>
        <w:t>for additional details.</w:t>
      </w:r>
    </w:p>
    <w:p w:rsidR="00BD413C" w:rsidRPr="0088697A" w:rsidRDefault="00BD413C" w:rsidP="0026770A">
      <w:pPr>
        <w:pStyle w:val="Heading1"/>
        <w:rPr>
          <w:lang w:val="en-CA"/>
        </w:rPr>
      </w:pPr>
      <w:r w:rsidRPr="0088697A">
        <w:rPr>
          <w:lang w:val="en-CA"/>
        </w:rPr>
        <w:t>time to staff</w:t>
      </w:r>
    </w:p>
    <w:p w:rsidR="00BD413C" w:rsidRPr="0088697A" w:rsidRDefault="00BD413C" w:rsidP="001E606D">
      <w:pPr>
        <w:rPr>
          <w:rFonts w:ascii="Arial" w:hAnsi="Arial" w:cs="Arial"/>
          <w:sz w:val="22"/>
          <w:szCs w:val="22"/>
          <w:lang w:val="en-CA"/>
        </w:rPr>
      </w:pPr>
    </w:p>
    <w:p w:rsidR="004E1FA7" w:rsidRPr="0088697A" w:rsidRDefault="004E1FA7" w:rsidP="004E1FA7">
      <w:pPr>
        <w:spacing w:line="259" w:lineRule="auto"/>
        <w:rPr>
          <w:rFonts w:ascii="Arial" w:eastAsia="Calibri" w:hAnsi="Arial" w:cs="Arial"/>
          <w:sz w:val="22"/>
          <w:szCs w:val="22"/>
          <w:lang w:val="en-CA"/>
        </w:rPr>
      </w:pPr>
      <w:r w:rsidRPr="0088697A">
        <w:rPr>
          <w:rFonts w:ascii="Arial" w:eastAsia="Calibri" w:hAnsi="Arial" w:cs="Arial"/>
          <w:sz w:val="22"/>
          <w:szCs w:val="22"/>
          <w:lang w:val="en-CA"/>
        </w:rPr>
        <w:t>There is insufficient data to provide information about the ERC’s time to staff.</w:t>
      </w:r>
    </w:p>
    <w:p w:rsidR="00C16CF2" w:rsidRPr="0088697A" w:rsidRDefault="00C16CF2" w:rsidP="0026770A">
      <w:pPr>
        <w:pStyle w:val="Heading1"/>
        <w:rPr>
          <w:lang w:val="en-CA"/>
        </w:rPr>
      </w:pPr>
      <w:r w:rsidRPr="0088697A">
        <w:rPr>
          <w:lang w:val="en-CA"/>
        </w:rPr>
        <w:t>staffing framework</w:t>
      </w:r>
    </w:p>
    <w:p w:rsidR="00C16CF2" w:rsidRPr="0088697A" w:rsidRDefault="00C16CF2" w:rsidP="001E606D">
      <w:pPr>
        <w:rPr>
          <w:rFonts w:ascii="Arial" w:hAnsi="Arial" w:cs="Arial"/>
          <w:b/>
          <w:sz w:val="22"/>
          <w:szCs w:val="22"/>
          <w:lang w:val="en-CA"/>
        </w:rPr>
      </w:pPr>
    </w:p>
    <w:p w:rsidR="00C16CF2" w:rsidRPr="0088697A" w:rsidRDefault="00C16CF2" w:rsidP="007416CA">
      <w:pPr>
        <w:pStyle w:val="Heading2"/>
        <w:rPr>
          <w:lang w:val="en-CA"/>
        </w:rPr>
      </w:pPr>
      <w:r w:rsidRPr="0088697A">
        <w:rPr>
          <w:lang w:val="en-CA"/>
        </w:rPr>
        <w:t>N</w:t>
      </w:r>
      <w:r w:rsidR="0094519D" w:rsidRPr="0088697A">
        <w:rPr>
          <w:lang w:val="en-CA"/>
        </w:rPr>
        <w:t>ew Direction in Staffing</w:t>
      </w:r>
      <w:r w:rsidR="00DA586C" w:rsidRPr="0088697A">
        <w:rPr>
          <w:lang w:val="en-CA"/>
        </w:rPr>
        <w:t xml:space="preserve"> I</w:t>
      </w:r>
      <w:r w:rsidRPr="0088697A">
        <w:rPr>
          <w:lang w:val="en-CA"/>
        </w:rPr>
        <w:t>mplementation</w:t>
      </w:r>
    </w:p>
    <w:p w:rsidR="00C16CF2" w:rsidRPr="0088697A" w:rsidRDefault="00C16CF2" w:rsidP="001E606D">
      <w:pPr>
        <w:pStyle w:val="NoSpacing"/>
        <w:rPr>
          <w:rFonts w:ascii="Arial" w:hAnsi="Arial" w:cs="Arial"/>
          <w:color w:val="000000"/>
          <w:sz w:val="22"/>
          <w:szCs w:val="22"/>
          <w:lang w:val="en-CA"/>
        </w:rPr>
      </w:pPr>
    </w:p>
    <w:p w:rsidR="00DA586C" w:rsidRPr="0088697A" w:rsidRDefault="00796ABD" w:rsidP="00BA35C4">
      <w:pPr>
        <w:pStyle w:val="NormalWeb"/>
        <w:spacing w:before="0" w:beforeAutospacing="0" w:after="0" w:afterAutospacing="0"/>
        <w:rPr>
          <w:rFonts w:ascii="Arial" w:hAnsi="Arial" w:cs="Arial"/>
          <w:i/>
          <w:sz w:val="22"/>
          <w:szCs w:val="22"/>
          <w:lang w:val="en-CA"/>
        </w:rPr>
      </w:pPr>
      <w:r w:rsidRPr="0088697A">
        <w:rPr>
          <w:rFonts w:ascii="Arial" w:hAnsi="Arial" w:cs="Arial"/>
          <w:bCs/>
          <w:sz w:val="22"/>
          <w:szCs w:val="22"/>
          <w:lang w:val="en-CA"/>
        </w:rPr>
        <w:t xml:space="preserve">The ERC worked collaboratively with the </w:t>
      </w:r>
      <w:r w:rsidR="0075363F" w:rsidRPr="0088697A">
        <w:rPr>
          <w:rFonts w:ascii="Arial" w:hAnsi="Arial" w:cs="Arial"/>
          <w:bCs/>
          <w:sz w:val="22"/>
          <w:szCs w:val="22"/>
          <w:lang w:val="en-CA"/>
        </w:rPr>
        <w:t>SSA</w:t>
      </w:r>
      <w:r w:rsidRPr="0088697A">
        <w:rPr>
          <w:rFonts w:ascii="Arial" w:hAnsi="Arial" w:cs="Arial"/>
          <w:bCs/>
          <w:sz w:val="22"/>
          <w:szCs w:val="22"/>
          <w:lang w:val="en-CA"/>
        </w:rPr>
        <w:t xml:space="preserve"> during the development of their new staffing framework and has completed all of the mandatory requirements for April 1, 2016.</w:t>
      </w:r>
    </w:p>
    <w:p w:rsidR="002654D2" w:rsidRPr="0088697A" w:rsidRDefault="006A7D67" w:rsidP="0026770A">
      <w:pPr>
        <w:pStyle w:val="Heading1"/>
        <w:rPr>
          <w:lang w:val="en-CA"/>
        </w:rPr>
      </w:pPr>
      <w:r w:rsidRPr="0088697A">
        <w:rPr>
          <w:lang w:val="en-CA"/>
        </w:rPr>
        <w:t>Appointment Delegation and A</w:t>
      </w:r>
      <w:r w:rsidR="0094519D" w:rsidRPr="0088697A">
        <w:rPr>
          <w:lang w:val="en-CA"/>
        </w:rPr>
        <w:t xml:space="preserve">ccountability Instrument </w:t>
      </w:r>
      <w:r w:rsidR="002654D2" w:rsidRPr="0088697A">
        <w:rPr>
          <w:lang w:val="en-CA"/>
        </w:rPr>
        <w:t>annex d reporting</w:t>
      </w:r>
    </w:p>
    <w:p w:rsidR="002654D2" w:rsidRPr="0088697A" w:rsidRDefault="002654D2" w:rsidP="001E606D">
      <w:pPr>
        <w:pStyle w:val="NormalWeb"/>
        <w:spacing w:before="0" w:beforeAutospacing="0" w:after="0" w:afterAutospacing="0"/>
        <w:rPr>
          <w:rFonts w:ascii="Arial" w:hAnsi="Arial" w:cs="Arial"/>
          <w:sz w:val="22"/>
          <w:szCs w:val="22"/>
          <w:lang w:val="en-CA"/>
        </w:rPr>
      </w:pPr>
    </w:p>
    <w:p w:rsidR="00C16CF2" w:rsidRPr="0088697A" w:rsidRDefault="002654D2" w:rsidP="007416CA">
      <w:pPr>
        <w:pStyle w:val="Heading2"/>
        <w:rPr>
          <w:lang w:val="en-CA"/>
        </w:rPr>
      </w:pPr>
      <w:r w:rsidRPr="0088697A">
        <w:rPr>
          <w:lang w:val="en-CA"/>
        </w:rPr>
        <w:t>Use of the Public Service Official Languages Exclusion Approval Order</w:t>
      </w:r>
      <w:r w:rsidR="006A7D67" w:rsidRPr="0088697A">
        <w:rPr>
          <w:lang w:val="en-CA"/>
        </w:rPr>
        <w:t xml:space="preserve"> </w:t>
      </w:r>
      <w:r w:rsidRPr="0088697A">
        <w:rPr>
          <w:lang w:val="en-CA"/>
        </w:rPr>
        <w:t>and the Public Service Official Languages Appointment Regulations</w:t>
      </w:r>
    </w:p>
    <w:p w:rsidR="00DB69E7" w:rsidRPr="0088697A" w:rsidRDefault="00DB69E7" w:rsidP="001E606D">
      <w:pPr>
        <w:pStyle w:val="NormalWeb"/>
        <w:spacing w:before="0" w:beforeAutospacing="0" w:after="0" w:afterAutospacing="0"/>
        <w:rPr>
          <w:rFonts w:ascii="Arial" w:hAnsi="Arial" w:cs="Arial"/>
          <w:color w:val="000000"/>
          <w:sz w:val="22"/>
          <w:szCs w:val="22"/>
          <w:lang w:val="en-CA"/>
        </w:rPr>
      </w:pPr>
    </w:p>
    <w:p w:rsidR="00C16CF2" w:rsidRPr="0088697A" w:rsidRDefault="00D330DA" w:rsidP="001E606D">
      <w:pPr>
        <w:pStyle w:val="NoSpacing"/>
        <w:rPr>
          <w:rFonts w:ascii="Arial" w:hAnsi="Arial" w:cs="Arial"/>
          <w:color w:val="222222"/>
          <w:sz w:val="22"/>
          <w:szCs w:val="22"/>
          <w:lang w:val="en-CA"/>
        </w:rPr>
      </w:pPr>
      <w:r w:rsidRPr="0088697A">
        <w:rPr>
          <w:rFonts w:ascii="Arial" w:hAnsi="Arial" w:cs="Arial"/>
          <w:color w:val="000000"/>
          <w:sz w:val="22"/>
          <w:szCs w:val="22"/>
          <w:lang w:val="en-CA"/>
        </w:rPr>
        <w:t xml:space="preserve">The ERC does not have any outstanding cases under the </w:t>
      </w:r>
      <w:r w:rsidRPr="0088697A">
        <w:rPr>
          <w:rFonts w:ascii="Arial" w:hAnsi="Arial" w:cs="Arial"/>
          <w:i/>
          <w:color w:val="222222"/>
          <w:sz w:val="22"/>
          <w:szCs w:val="22"/>
          <w:lang w:val="en-CA"/>
        </w:rPr>
        <w:t>P</w:t>
      </w:r>
      <w:r w:rsidR="0075363F" w:rsidRPr="0088697A">
        <w:rPr>
          <w:rFonts w:ascii="Arial" w:hAnsi="Arial" w:cs="Arial"/>
          <w:i/>
          <w:color w:val="222222"/>
          <w:sz w:val="22"/>
          <w:szCs w:val="22"/>
          <w:lang w:val="en-CA"/>
        </w:rPr>
        <w:t xml:space="preserve">ublic </w:t>
      </w:r>
      <w:r w:rsidRPr="0088697A">
        <w:rPr>
          <w:rFonts w:ascii="Arial" w:hAnsi="Arial" w:cs="Arial"/>
          <w:i/>
          <w:color w:val="222222"/>
          <w:sz w:val="22"/>
          <w:szCs w:val="22"/>
          <w:lang w:val="en-CA"/>
        </w:rPr>
        <w:t>S</w:t>
      </w:r>
      <w:r w:rsidR="0075363F" w:rsidRPr="0088697A">
        <w:rPr>
          <w:rFonts w:ascii="Arial" w:hAnsi="Arial" w:cs="Arial"/>
          <w:i/>
          <w:color w:val="222222"/>
          <w:sz w:val="22"/>
          <w:szCs w:val="22"/>
          <w:lang w:val="en-CA"/>
        </w:rPr>
        <w:t xml:space="preserve">ervice </w:t>
      </w:r>
      <w:r w:rsidRPr="0088697A">
        <w:rPr>
          <w:rFonts w:ascii="Arial" w:hAnsi="Arial" w:cs="Arial"/>
          <w:i/>
          <w:color w:val="222222"/>
          <w:sz w:val="22"/>
          <w:szCs w:val="22"/>
          <w:lang w:val="en-CA"/>
        </w:rPr>
        <w:t>O</w:t>
      </w:r>
      <w:r w:rsidR="0075363F" w:rsidRPr="0088697A">
        <w:rPr>
          <w:rFonts w:ascii="Arial" w:hAnsi="Arial" w:cs="Arial"/>
          <w:i/>
          <w:color w:val="222222"/>
          <w:sz w:val="22"/>
          <w:szCs w:val="22"/>
          <w:lang w:val="en-CA"/>
        </w:rPr>
        <w:t xml:space="preserve">fficial </w:t>
      </w:r>
      <w:r w:rsidRPr="0088697A">
        <w:rPr>
          <w:rFonts w:ascii="Arial" w:hAnsi="Arial" w:cs="Arial"/>
          <w:i/>
          <w:color w:val="222222"/>
          <w:sz w:val="22"/>
          <w:szCs w:val="22"/>
          <w:lang w:val="en-CA"/>
        </w:rPr>
        <w:t>L</w:t>
      </w:r>
      <w:r w:rsidR="0075363F" w:rsidRPr="0088697A">
        <w:rPr>
          <w:rFonts w:ascii="Arial" w:hAnsi="Arial" w:cs="Arial"/>
          <w:i/>
          <w:color w:val="222222"/>
          <w:sz w:val="22"/>
          <w:szCs w:val="22"/>
          <w:lang w:val="en-CA"/>
        </w:rPr>
        <w:t xml:space="preserve">anguages </w:t>
      </w:r>
      <w:r w:rsidRPr="0088697A">
        <w:rPr>
          <w:rFonts w:ascii="Arial" w:hAnsi="Arial" w:cs="Arial"/>
          <w:i/>
          <w:color w:val="222222"/>
          <w:sz w:val="22"/>
          <w:szCs w:val="22"/>
          <w:lang w:val="en-CA"/>
        </w:rPr>
        <w:t>E</w:t>
      </w:r>
      <w:r w:rsidR="0075363F" w:rsidRPr="0088697A">
        <w:rPr>
          <w:rFonts w:ascii="Arial" w:hAnsi="Arial" w:cs="Arial"/>
          <w:i/>
          <w:color w:val="222222"/>
          <w:sz w:val="22"/>
          <w:szCs w:val="22"/>
          <w:lang w:val="en-CA"/>
        </w:rPr>
        <w:t xml:space="preserve">xclusion </w:t>
      </w:r>
      <w:r w:rsidRPr="0088697A">
        <w:rPr>
          <w:rFonts w:ascii="Arial" w:hAnsi="Arial" w:cs="Arial"/>
          <w:i/>
          <w:color w:val="222222"/>
          <w:sz w:val="22"/>
          <w:szCs w:val="22"/>
          <w:lang w:val="en-CA"/>
        </w:rPr>
        <w:t>O</w:t>
      </w:r>
      <w:r w:rsidR="0075363F" w:rsidRPr="0088697A">
        <w:rPr>
          <w:rFonts w:ascii="Arial" w:hAnsi="Arial" w:cs="Arial"/>
          <w:i/>
          <w:color w:val="222222"/>
          <w:sz w:val="22"/>
          <w:szCs w:val="22"/>
          <w:lang w:val="en-CA"/>
        </w:rPr>
        <w:t>rder</w:t>
      </w:r>
      <w:r w:rsidRPr="0088697A">
        <w:rPr>
          <w:rFonts w:ascii="Arial" w:hAnsi="Arial" w:cs="Arial"/>
          <w:i/>
          <w:color w:val="222222"/>
          <w:sz w:val="22"/>
          <w:szCs w:val="22"/>
          <w:lang w:val="en-CA"/>
        </w:rPr>
        <w:t xml:space="preserve"> </w:t>
      </w:r>
      <w:r w:rsidRPr="0088697A">
        <w:rPr>
          <w:rFonts w:ascii="Arial" w:hAnsi="Arial" w:cs="Arial"/>
          <w:color w:val="222222"/>
          <w:sz w:val="22"/>
          <w:szCs w:val="22"/>
          <w:lang w:val="en-CA"/>
        </w:rPr>
        <w:t xml:space="preserve">or </w:t>
      </w:r>
      <w:r w:rsidRPr="0088697A">
        <w:rPr>
          <w:rFonts w:ascii="Arial" w:hAnsi="Arial" w:cs="Arial"/>
          <w:i/>
          <w:color w:val="222222"/>
          <w:sz w:val="22"/>
          <w:szCs w:val="22"/>
          <w:lang w:val="en-CA"/>
        </w:rPr>
        <w:t>P</w:t>
      </w:r>
      <w:r w:rsidR="0075363F" w:rsidRPr="0088697A">
        <w:rPr>
          <w:rFonts w:ascii="Arial" w:hAnsi="Arial" w:cs="Arial"/>
          <w:i/>
          <w:color w:val="222222"/>
          <w:sz w:val="22"/>
          <w:szCs w:val="22"/>
          <w:lang w:val="en-CA"/>
        </w:rPr>
        <w:t xml:space="preserve">ublic </w:t>
      </w:r>
      <w:r w:rsidRPr="0088697A">
        <w:rPr>
          <w:rFonts w:ascii="Arial" w:hAnsi="Arial" w:cs="Arial"/>
          <w:i/>
          <w:color w:val="222222"/>
          <w:sz w:val="22"/>
          <w:szCs w:val="22"/>
          <w:lang w:val="en-CA"/>
        </w:rPr>
        <w:t>S</w:t>
      </w:r>
      <w:r w:rsidR="0075363F" w:rsidRPr="0088697A">
        <w:rPr>
          <w:rFonts w:ascii="Arial" w:hAnsi="Arial" w:cs="Arial"/>
          <w:i/>
          <w:color w:val="222222"/>
          <w:sz w:val="22"/>
          <w:szCs w:val="22"/>
          <w:lang w:val="en-CA"/>
        </w:rPr>
        <w:t xml:space="preserve">ervice </w:t>
      </w:r>
      <w:r w:rsidRPr="0088697A">
        <w:rPr>
          <w:rFonts w:ascii="Arial" w:hAnsi="Arial" w:cs="Arial"/>
          <w:i/>
          <w:color w:val="222222"/>
          <w:sz w:val="22"/>
          <w:szCs w:val="22"/>
          <w:lang w:val="en-CA"/>
        </w:rPr>
        <w:t>O</w:t>
      </w:r>
      <w:r w:rsidR="0075363F" w:rsidRPr="0088697A">
        <w:rPr>
          <w:rFonts w:ascii="Arial" w:hAnsi="Arial" w:cs="Arial"/>
          <w:i/>
          <w:color w:val="222222"/>
          <w:sz w:val="22"/>
          <w:szCs w:val="22"/>
          <w:lang w:val="en-CA"/>
        </w:rPr>
        <w:t xml:space="preserve">fficial </w:t>
      </w:r>
      <w:r w:rsidRPr="0088697A">
        <w:rPr>
          <w:rFonts w:ascii="Arial" w:hAnsi="Arial" w:cs="Arial"/>
          <w:i/>
          <w:color w:val="222222"/>
          <w:sz w:val="22"/>
          <w:szCs w:val="22"/>
          <w:lang w:val="en-CA"/>
        </w:rPr>
        <w:t>L</w:t>
      </w:r>
      <w:r w:rsidR="0075363F" w:rsidRPr="0088697A">
        <w:rPr>
          <w:rFonts w:ascii="Arial" w:hAnsi="Arial" w:cs="Arial"/>
          <w:i/>
          <w:color w:val="222222"/>
          <w:sz w:val="22"/>
          <w:szCs w:val="22"/>
          <w:lang w:val="en-CA"/>
        </w:rPr>
        <w:t xml:space="preserve">anguages </w:t>
      </w:r>
      <w:r w:rsidRPr="0088697A">
        <w:rPr>
          <w:rFonts w:ascii="Arial" w:hAnsi="Arial" w:cs="Arial"/>
          <w:i/>
          <w:color w:val="222222"/>
          <w:sz w:val="22"/>
          <w:szCs w:val="22"/>
          <w:lang w:val="en-CA"/>
        </w:rPr>
        <w:t>A</w:t>
      </w:r>
      <w:r w:rsidR="0075363F" w:rsidRPr="0088697A">
        <w:rPr>
          <w:rFonts w:ascii="Arial" w:hAnsi="Arial" w:cs="Arial"/>
          <w:i/>
          <w:color w:val="222222"/>
          <w:sz w:val="22"/>
          <w:szCs w:val="22"/>
          <w:lang w:val="en-CA"/>
        </w:rPr>
        <w:t xml:space="preserve">ppointment </w:t>
      </w:r>
      <w:r w:rsidRPr="0088697A">
        <w:rPr>
          <w:rFonts w:ascii="Arial" w:hAnsi="Arial" w:cs="Arial"/>
          <w:i/>
          <w:color w:val="222222"/>
          <w:sz w:val="22"/>
          <w:szCs w:val="22"/>
          <w:lang w:val="en-CA"/>
        </w:rPr>
        <w:t>R</w:t>
      </w:r>
      <w:r w:rsidR="0075363F" w:rsidRPr="0088697A">
        <w:rPr>
          <w:rFonts w:ascii="Arial" w:hAnsi="Arial" w:cs="Arial"/>
          <w:i/>
          <w:color w:val="222222"/>
          <w:sz w:val="22"/>
          <w:szCs w:val="22"/>
          <w:lang w:val="en-CA"/>
        </w:rPr>
        <w:t>egulations</w:t>
      </w:r>
      <w:r w:rsidRPr="0088697A">
        <w:rPr>
          <w:rFonts w:ascii="Arial" w:hAnsi="Arial" w:cs="Arial"/>
          <w:color w:val="222222"/>
          <w:sz w:val="22"/>
          <w:szCs w:val="22"/>
          <w:lang w:val="en-CA"/>
        </w:rPr>
        <w:t>. Therefore, no action is necessary for this organization.</w:t>
      </w:r>
    </w:p>
    <w:p w:rsidR="00D330DA" w:rsidRPr="0088697A" w:rsidRDefault="00D330DA" w:rsidP="001E606D">
      <w:pPr>
        <w:pStyle w:val="NoSpacing"/>
        <w:rPr>
          <w:rFonts w:ascii="Arial" w:hAnsi="Arial" w:cs="Arial"/>
          <w:color w:val="000000"/>
          <w:sz w:val="22"/>
          <w:szCs w:val="22"/>
          <w:lang w:val="en-CA"/>
        </w:rPr>
      </w:pPr>
    </w:p>
    <w:p w:rsidR="002654D2" w:rsidRPr="0088697A" w:rsidRDefault="00DA586C" w:rsidP="007416CA">
      <w:pPr>
        <w:pStyle w:val="Heading2"/>
        <w:rPr>
          <w:lang w:val="en-CA"/>
        </w:rPr>
      </w:pPr>
      <w:r w:rsidRPr="0088697A">
        <w:rPr>
          <w:lang w:val="en-CA"/>
        </w:rPr>
        <w:t>Approved D</w:t>
      </w:r>
      <w:r w:rsidR="0094519D" w:rsidRPr="0088697A">
        <w:rPr>
          <w:lang w:val="en-CA"/>
        </w:rPr>
        <w:t xml:space="preserve">eputy </w:t>
      </w:r>
      <w:r w:rsidRPr="0088697A">
        <w:rPr>
          <w:lang w:val="en-CA"/>
        </w:rPr>
        <w:t>H</w:t>
      </w:r>
      <w:r w:rsidR="0094519D" w:rsidRPr="0088697A">
        <w:rPr>
          <w:lang w:val="en-CA"/>
        </w:rPr>
        <w:t>ead</w:t>
      </w:r>
      <w:r w:rsidRPr="0088697A">
        <w:rPr>
          <w:lang w:val="en-CA"/>
        </w:rPr>
        <w:t xml:space="preserve"> E</w:t>
      </w:r>
      <w:r w:rsidR="002654D2" w:rsidRPr="0088697A">
        <w:rPr>
          <w:lang w:val="en-CA"/>
        </w:rPr>
        <w:t xml:space="preserve">xceptions to the National Area of Selection </w:t>
      </w:r>
      <w:r w:rsidRPr="0088697A">
        <w:rPr>
          <w:lang w:val="en-CA"/>
        </w:rPr>
        <w:t>Requirements for External Advertised Appointment P</w:t>
      </w:r>
      <w:r w:rsidR="00E84461" w:rsidRPr="0088697A">
        <w:rPr>
          <w:lang w:val="en-CA"/>
        </w:rPr>
        <w:t>rocess</w:t>
      </w:r>
    </w:p>
    <w:p w:rsidR="002654D2" w:rsidRPr="0088697A" w:rsidRDefault="002654D2" w:rsidP="001E606D">
      <w:pPr>
        <w:pStyle w:val="NoSpacing"/>
        <w:rPr>
          <w:rFonts w:ascii="Arial" w:hAnsi="Arial" w:cs="Arial"/>
          <w:color w:val="000000"/>
          <w:sz w:val="22"/>
          <w:szCs w:val="22"/>
          <w:lang w:val="en-CA"/>
        </w:rPr>
      </w:pPr>
    </w:p>
    <w:p w:rsidR="00343059" w:rsidRPr="0088697A" w:rsidRDefault="00FD1424" w:rsidP="00FD1424">
      <w:pPr>
        <w:pStyle w:val="NoSpacing"/>
        <w:rPr>
          <w:rFonts w:ascii="Arial" w:hAnsi="Arial" w:cs="Arial"/>
          <w:color w:val="000000"/>
          <w:sz w:val="22"/>
          <w:szCs w:val="22"/>
          <w:lang w:val="en-CA"/>
        </w:rPr>
      </w:pPr>
      <w:r w:rsidRPr="0088697A">
        <w:rPr>
          <w:rFonts w:ascii="Arial" w:hAnsi="Arial" w:cs="Arial"/>
          <w:color w:val="000000"/>
          <w:sz w:val="22"/>
          <w:szCs w:val="22"/>
          <w:lang w:val="en-CA"/>
        </w:rPr>
        <w:t xml:space="preserve">The ERC’s DH has not </w:t>
      </w:r>
      <w:r w:rsidR="00F57C26" w:rsidRPr="0088697A">
        <w:rPr>
          <w:rFonts w:ascii="Arial" w:hAnsi="Arial" w:cs="Arial"/>
          <w:color w:val="000000"/>
          <w:sz w:val="22"/>
          <w:szCs w:val="22"/>
          <w:lang w:val="en-CA"/>
        </w:rPr>
        <w:t>approved</w:t>
      </w:r>
      <w:r w:rsidRPr="0088697A">
        <w:rPr>
          <w:rFonts w:ascii="Arial" w:hAnsi="Arial" w:cs="Arial"/>
          <w:color w:val="000000"/>
          <w:sz w:val="22"/>
          <w:szCs w:val="22"/>
          <w:lang w:val="en-CA"/>
        </w:rPr>
        <w:t xml:space="preserve"> any exceptions to the N</w:t>
      </w:r>
      <w:r w:rsidR="00E3165A" w:rsidRPr="0088697A">
        <w:rPr>
          <w:rFonts w:ascii="Arial" w:hAnsi="Arial" w:cs="Arial"/>
          <w:color w:val="000000"/>
          <w:sz w:val="22"/>
          <w:szCs w:val="22"/>
          <w:lang w:val="en-CA"/>
        </w:rPr>
        <w:t xml:space="preserve">ational </w:t>
      </w:r>
      <w:r w:rsidRPr="0088697A">
        <w:rPr>
          <w:rFonts w:ascii="Arial" w:hAnsi="Arial" w:cs="Arial"/>
          <w:color w:val="000000"/>
          <w:sz w:val="22"/>
          <w:szCs w:val="22"/>
          <w:lang w:val="en-CA"/>
        </w:rPr>
        <w:t>A</w:t>
      </w:r>
      <w:r w:rsidR="00E3165A" w:rsidRPr="0088697A">
        <w:rPr>
          <w:rFonts w:ascii="Arial" w:hAnsi="Arial" w:cs="Arial"/>
          <w:color w:val="000000"/>
          <w:sz w:val="22"/>
          <w:szCs w:val="22"/>
          <w:lang w:val="en-CA"/>
        </w:rPr>
        <w:t xml:space="preserve">rea of </w:t>
      </w:r>
      <w:r w:rsidRPr="0088697A">
        <w:rPr>
          <w:rFonts w:ascii="Arial" w:hAnsi="Arial" w:cs="Arial"/>
          <w:color w:val="000000"/>
          <w:sz w:val="22"/>
          <w:szCs w:val="22"/>
          <w:lang w:val="en-CA"/>
        </w:rPr>
        <w:t>S</w:t>
      </w:r>
      <w:r w:rsidR="00E3165A" w:rsidRPr="0088697A">
        <w:rPr>
          <w:rFonts w:ascii="Arial" w:hAnsi="Arial" w:cs="Arial"/>
          <w:color w:val="000000"/>
          <w:sz w:val="22"/>
          <w:szCs w:val="22"/>
          <w:lang w:val="en-CA"/>
        </w:rPr>
        <w:t>election</w:t>
      </w:r>
      <w:r w:rsidRPr="0088697A">
        <w:rPr>
          <w:rFonts w:ascii="Arial" w:hAnsi="Arial" w:cs="Arial"/>
          <w:color w:val="000000"/>
          <w:sz w:val="22"/>
          <w:szCs w:val="22"/>
          <w:lang w:val="en-CA"/>
        </w:rPr>
        <w:t>.</w:t>
      </w:r>
    </w:p>
    <w:p w:rsidR="00343059" w:rsidRPr="0088697A" w:rsidRDefault="00343059">
      <w:pPr>
        <w:rPr>
          <w:rFonts w:ascii="Arial" w:hAnsi="Arial" w:cs="Arial"/>
          <w:color w:val="000000"/>
          <w:sz w:val="22"/>
          <w:szCs w:val="22"/>
          <w:lang w:val="en-CA"/>
        </w:rPr>
      </w:pPr>
      <w:r w:rsidRPr="0088697A">
        <w:rPr>
          <w:rFonts w:ascii="Arial" w:hAnsi="Arial" w:cs="Arial"/>
          <w:color w:val="000000"/>
          <w:sz w:val="22"/>
          <w:szCs w:val="22"/>
          <w:lang w:val="en-CA"/>
        </w:rPr>
        <w:br w:type="page"/>
      </w:r>
    </w:p>
    <w:p w:rsidR="00FD1424" w:rsidRPr="0088697A" w:rsidRDefault="00FD1424" w:rsidP="00FD1424">
      <w:pPr>
        <w:pStyle w:val="NoSpacing"/>
        <w:rPr>
          <w:rFonts w:ascii="Arial" w:hAnsi="Arial" w:cs="Arial"/>
          <w:i/>
          <w:color w:val="000000"/>
          <w:sz w:val="22"/>
          <w:szCs w:val="22"/>
          <w:lang w:val="en-CA"/>
        </w:rPr>
      </w:pPr>
    </w:p>
    <w:p w:rsidR="00E84461" w:rsidRPr="0088697A" w:rsidRDefault="00E84461" w:rsidP="007416CA">
      <w:pPr>
        <w:pStyle w:val="Heading2"/>
        <w:rPr>
          <w:lang w:val="en-CA"/>
        </w:rPr>
      </w:pPr>
      <w:r w:rsidRPr="0088697A">
        <w:rPr>
          <w:lang w:val="en-CA"/>
        </w:rPr>
        <w:t>Results of Organizational Cyclical Assessment</w:t>
      </w:r>
    </w:p>
    <w:p w:rsidR="00C16CF2" w:rsidRPr="0088697A" w:rsidRDefault="00C16CF2" w:rsidP="001E606D">
      <w:pPr>
        <w:pStyle w:val="NoSpacing"/>
        <w:rPr>
          <w:rFonts w:ascii="Arial" w:hAnsi="Arial" w:cs="Arial"/>
          <w:color w:val="000000"/>
          <w:sz w:val="22"/>
          <w:szCs w:val="22"/>
          <w:lang w:val="en-CA"/>
        </w:rPr>
      </w:pPr>
    </w:p>
    <w:p w:rsidR="00450E7C" w:rsidRPr="0088697A" w:rsidRDefault="00CC1738" w:rsidP="00455595">
      <w:pPr>
        <w:rPr>
          <w:rFonts w:ascii="Arial" w:hAnsi="Arial" w:cs="Arial"/>
          <w:sz w:val="22"/>
          <w:szCs w:val="22"/>
          <w:lang w:val="en-CA"/>
        </w:rPr>
      </w:pPr>
      <w:r w:rsidRPr="0088697A">
        <w:rPr>
          <w:rFonts w:ascii="Arial" w:hAnsi="Arial" w:cs="Arial"/>
          <w:sz w:val="22"/>
          <w:szCs w:val="22"/>
          <w:lang w:val="en-CA"/>
        </w:rPr>
        <w:t>As a micro organization, the ERC may consult with the PSC in establishing an arrangement to undertake a cyclical assessment on its behalf, as per section</w:t>
      </w:r>
      <w:r w:rsidR="00B405EF" w:rsidRPr="0088697A">
        <w:rPr>
          <w:rFonts w:ascii="Arial" w:hAnsi="Arial" w:cs="Arial"/>
          <w:sz w:val="22"/>
          <w:szCs w:val="22"/>
          <w:lang w:val="en-CA"/>
        </w:rPr>
        <w:t> </w:t>
      </w:r>
      <w:r w:rsidRPr="0088697A">
        <w:rPr>
          <w:rFonts w:ascii="Arial" w:hAnsi="Arial" w:cs="Arial"/>
          <w:sz w:val="22"/>
          <w:szCs w:val="22"/>
          <w:lang w:val="en-CA"/>
        </w:rPr>
        <w:t xml:space="preserve">3 of the </w:t>
      </w:r>
      <w:r w:rsidR="005C576C" w:rsidRPr="0088697A">
        <w:rPr>
          <w:rFonts w:ascii="Arial" w:hAnsi="Arial" w:cs="Arial"/>
          <w:color w:val="000000"/>
          <w:sz w:val="22"/>
          <w:szCs w:val="22"/>
          <w:lang w:val="en-CA"/>
        </w:rPr>
        <w:t>Appointment Delegation and Accountability Instrument</w:t>
      </w:r>
      <w:r w:rsidR="005C576C" w:rsidRPr="0088697A">
        <w:rPr>
          <w:rFonts w:ascii="Arial" w:hAnsi="Arial" w:cs="Arial"/>
          <w:sz w:val="22"/>
          <w:szCs w:val="22"/>
          <w:lang w:val="en-CA"/>
        </w:rPr>
        <w:t xml:space="preserve"> (</w:t>
      </w:r>
      <w:r w:rsidRPr="0088697A">
        <w:rPr>
          <w:rFonts w:ascii="Arial" w:hAnsi="Arial" w:cs="Arial"/>
          <w:sz w:val="22"/>
          <w:szCs w:val="22"/>
          <w:lang w:val="en-CA"/>
        </w:rPr>
        <w:t>ADAI</w:t>
      </w:r>
      <w:r w:rsidR="005C576C" w:rsidRPr="0088697A">
        <w:rPr>
          <w:rFonts w:ascii="Arial" w:hAnsi="Arial" w:cs="Arial"/>
          <w:sz w:val="22"/>
          <w:szCs w:val="22"/>
          <w:lang w:val="en-CA"/>
        </w:rPr>
        <w:t>)</w:t>
      </w:r>
      <w:r w:rsidRPr="0088697A">
        <w:rPr>
          <w:rFonts w:ascii="Arial" w:hAnsi="Arial" w:cs="Arial"/>
          <w:sz w:val="22"/>
          <w:szCs w:val="22"/>
          <w:lang w:val="en-CA"/>
        </w:rPr>
        <w:t xml:space="preserve">. </w:t>
      </w:r>
      <w:r w:rsidR="00455595" w:rsidRPr="0088697A">
        <w:rPr>
          <w:rFonts w:ascii="Arial" w:hAnsi="Arial" w:cs="Arial"/>
          <w:sz w:val="22"/>
          <w:szCs w:val="22"/>
          <w:lang w:val="en-CA"/>
        </w:rPr>
        <w:t xml:space="preserve">They have not demonstrated an interest in the pilot project mentioned in the </w:t>
      </w:r>
      <w:r w:rsidR="00C70DD1" w:rsidRPr="0088697A">
        <w:rPr>
          <w:rFonts w:ascii="Arial" w:hAnsi="Arial" w:cs="Arial"/>
          <w:sz w:val="22"/>
          <w:szCs w:val="22"/>
          <w:lang w:val="en-CA"/>
        </w:rPr>
        <w:t>LH</w:t>
      </w:r>
      <w:r w:rsidR="00455595" w:rsidRPr="0088697A">
        <w:rPr>
          <w:rFonts w:ascii="Arial" w:hAnsi="Arial" w:cs="Arial"/>
          <w:sz w:val="22"/>
          <w:szCs w:val="22"/>
          <w:lang w:val="en-CA"/>
        </w:rPr>
        <w:t>HR of May 24 but t</w:t>
      </w:r>
      <w:r w:rsidRPr="0088697A">
        <w:rPr>
          <w:rFonts w:ascii="Arial" w:hAnsi="Arial" w:cs="Arial"/>
          <w:sz w:val="22"/>
          <w:szCs w:val="22"/>
          <w:lang w:val="en-CA"/>
        </w:rPr>
        <w:t xml:space="preserve">hey indicated that they will provide their first cyclical assessment before the end of </w:t>
      </w:r>
      <w:r w:rsidR="000C4A9A" w:rsidRPr="0088697A">
        <w:rPr>
          <w:rFonts w:ascii="Arial" w:hAnsi="Arial" w:cs="Arial"/>
          <w:sz w:val="22"/>
          <w:szCs w:val="22"/>
          <w:lang w:val="en-CA"/>
        </w:rPr>
        <w:t xml:space="preserve">the </w:t>
      </w:r>
      <w:r w:rsidRPr="0088697A">
        <w:rPr>
          <w:rFonts w:ascii="Arial" w:hAnsi="Arial" w:cs="Arial"/>
          <w:sz w:val="22"/>
          <w:szCs w:val="22"/>
          <w:lang w:val="en-CA"/>
        </w:rPr>
        <w:t>fiscal year 2021-2022.</w:t>
      </w:r>
    </w:p>
    <w:p w:rsidR="00CC1738" w:rsidRPr="0088697A" w:rsidRDefault="00CC1738" w:rsidP="001E606D">
      <w:pPr>
        <w:pStyle w:val="NoSpacing"/>
        <w:rPr>
          <w:rFonts w:ascii="Arial" w:hAnsi="Arial" w:cs="Arial"/>
          <w:color w:val="000000"/>
          <w:sz w:val="22"/>
          <w:szCs w:val="22"/>
          <w:lang w:val="en-CA"/>
        </w:rPr>
      </w:pPr>
    </w:p>
    <w:p w:rsidR="00C16CF2" w:rsidRPr="0088697A" w:rsidRDefault="00C16CF2" w:rsidP="007416CA">
      <w:pPr>
        <w:pStyle w:val="Heading2"/>
        <w:rPr>
          <w:lang w:val="en-CA"/>
        </w:rPr>
      </w:pPr>
      <w:r w:rsidRPr="0088697A">
        <w:rPr>
          <w:lang w:val="en-CA"/>
        </w:rPr>
        <w:t>Inquiries and Trends</w:t>
      </w:r>
    </w:p>
    <w:p w:rsidR="00C16CF2" w:rsidRPr="0088697A" w:rsidRDefault="00C16CF2" w:rsidP="001E606D">
      <w:pPr>
        <w:pStyle w:val="NoSpacing"/>
        <w:rPr>
          <w:rFonts w:ascii="Arial" w:hAnsi="Arial" w:cs="Arial"/>
          <w:color w:val="222222"/>
          <w:sz w:val="22"/>
          <w:szCs w:val="22"/>
          <w:lang w:val="en-CA"/>
        </w:rPr>
      </w:pPr>
    </w:p>
    <w:p w:rsidR="00691861" w:rsidRPr="0088697A" w:rsidRDefault="00691861" w:rsidP="00691861">
      <w:pPr>
        <w:pStyle w:val="NoSpacing"/>
        <w:rPr>
          <w:rFonts w:ascii="Arial" w:hAnsi="Arial" w:cs="Arial"/>
          <w:color w:val="000000"/>
          <w:sz w:val="22"/>
          <w:szCs w:val="22"/>
          <w:lang w:val="en-CA"/>
        </w:rPr>
      </w:pPr>
      <w:r w:rsidRPr="0088697A">
        <w:rPr>
          <w:rFonts w:ascii="Arial" w:hAnsi="Arial" w:cs="Arial"/>
          <w:color w:val="000000"/>
          <w:sz w:val="22"/>
          <w:szCs w:val="22"/>
          <w:lang w:val="en-CA"/>
        </w:rPr>
        <w:t xml:space="preserve">Within the last year, the ERC made ten inquiries to its SSA. Four were related to the Appointment Policy, two about the </w:t>
      </w:r>
      <w:r w:rsidR="005C576C" w:rsidRPr="0088697A">
        <w:rPr>
          <w:rFonts w:ascii="Arial" w:hAnsi="Arial" w:cs="Arial"/>
          <w:color w:val="000000"/>
          <w:sz w:val="22"/>
          <w:szCs w:val="22"/>
          <w:lang w:val="en-CA"/>
        </w:rPr>
        <w:t>ADAI</w:t>
      </w:r>
      <w:r w:rsidRPr="0088697A">
        <w:rPr>
          <w:rFonts w:ascii="Arial" w:hAnsi="Arial" w:cs="Arial"/>
          <w:color w:val="000000"/>
          <w:sz w:val="22"/>
          <w:szCs w:val="22"/>
          <w:lang w:val="en-CA"/>
        </w:rPr>
        <w:t>, and the others on various topics.</w:t>
      </w:r>
    </w:p>
    <w:p w:rsidR="00CF2FD7" w:rsidRPr="0088697A" w:rsidRDefault="00CF2FD7" w:rsidP="0026770A">
      <w:pPr>
        <w:pStyle w:val="Heading1"/>
        <w:rPr>
          <w:lang w:val="en-CA"/>
        </w:rPr>
      </w:pPr>
      <w:r w:rsidRPr="0088697A">
        <w:rPr>
          <w:lang w:val="en-CA"/>
        </w:rPr>
        <w:t xml:space="preserve">oversight </w:t>
      </w:r>
    </w:p>
    <w:p w:rsidR="00CF2FD7" w:rsidRPr="0088697A" w:rsidRDefault="00CF2FD7" w:rsidP="001E606D">
      <w:pPr>
        <w:rPr>
          <w:rFonts w:ascii="Arial" w:hAnsi="Arial" w:cs="Arial"/>
          <w:color w:val="222222"/>
          <w:sz w:val="22"/>
          <w:szCs w:val="22"/>
          <w:lang w:val="en-CA"/>
        </w:rPr>
      </w:pPr>
    </w:p>
    <w:p w:rsidR="00CF2FD7" w:rsidRPr="0088697A" w:rsidRDefault="00CF2FD7" w:rsidP="007416CA">
      <w:pPr>
        <w:pStyle w:val="Heading2"/>
        <w:rPr>
          <w:u w:val="single"/>
          <w:lang w:val="en-CA"/>
        </w:rPr>
      </w:pPr>
      <w:r w:rsidRPr="0088697A">
        <w:rPr>
          <w:lang w:val="en-CA"/>
        </w:rPr>
        <w:t xml:space="preserve">Audits </w:t>
      </w:r>
    </w:p>
    <w:p w:rsidR="00CF2FD7" w:rsidRPr="0088697A" w:rsidRDefault="00CF2FD7" w:rsidP="001E606D">
      <w:pPr>
        <w:pStyle w:val="NoSpacing"/>
        <w:rPr>
          <w:rFonts w:ascii="Arial" w:hAnsi="Arial" w:cs="Arial"/>
          <w:color w:val="000000"/>
          <w:sz w:val="22"/>
          <w:szCs w:val="22"/>
          <w:lang w:val="en-CA"/>
        </w:rPr>
      </w:pPr>
    </w:p>
    <w:p w:rsidR="002004BF" w:rsidRPr="0088697A" w:rsidRDefault="002004BF" w:rsidP="002004BF">
      <w:pPr>
        <w:pStyle w:val="NoSpacing"/>
        <w:rPr>
          <w:rFonts w:ascii="Arial" w:hAnsi="Arial" w:cs="Arial"/>
          <w:color w:val="000000"/>
          <w:sz w:val="22"/>
          <w:szCs w:val="22"/>
          <w:lang w:val="en-CA"/>
        </w:rPr>
      </w:pPr>
      <w:r w:rsidRPr="0088697A">
        <w:rPr>
          <w:rFonts w:ascii="Arial" w:hAnsi="Arial" w:cs="Arial"/>
          <w:color w:val="000000"/>
          <w:sz w:val="22"/>
          <w:szCs w:val="22"/>
          <w:lang w:val="en-CA"/>
        </w:rPr>
        <w:t xml:space="preserve">The ERC had been identified by the PSC for an organizational audit in the PSC’s 2015-2016 audit plan. However, due to the transition to the new appointment policy framework, the PSC chose to complete a Staffing Assessment of ERC in lieu of an organizational audit. The purpose of this was to support the organization in implementing the </w:t>
      </w:r>
      <w:r w:rsidR="00935A11" w:rsidRPr="0088697A">
        <w:rPr>
          <w:rFonts w:ascii="Arial" w:hAnsi="Arial" w:cs="Arial"/>
          <w:color w:val="000000"/>
          <w:sz w:val="22"/>
          <w:szCs w:val="22"/>
          <w:lang w:val="en-CA"/>
        </w:rPr>
        <w:t>NDS</w:t>
      </w:r>
      <w:r w:rsidRPr="0088697A">
        <w:rPr>
          <w:rFonts w:ascii="Arial" w:hAnsi="Arial" w:cs="Arial"/>
          <w:color w:val="000000"/>
          <w:sz w:val="22"/>
          <w:szCs w:val="22"/>
          <w:lang w:val="en-CA"/>
        </w:rPr>
        <w:t xml:space="preserve">. The PSC completed the Staffing Assessment of ERC in 2016, which indicated that the organization was on track for meeting the requirements of the </w:t>
      </w:r>
      <w:r w:rsidR="0059088E" w:rsidRPr="0088697A">
        <w:rPr>
          <w:rFonts w:ascii="Arial" w:hAnsi="Arial" w:cs="Arial"/>
          <w:color w:val="000000"/>
          <w:sz w:val="22"/>
          <w:szCs w:val="22"/>
          <w:lang w:val="en-CA"/>
        </w:rPr>
        <w:t>NDS</w:t>
      </w:r>
      <w:r w:rsidRPr="0088697A">
        <w:rPr>
          <w:rFonts w:ascii="Arial" w:hAnsi="Arial" w:cs="Arial"/>
          <w:color w:val="000000"/>
          <w:sz w:val="22"/>
          <w:szCs w:val="22"/>
          <w:lang w:val="en-CA"/>
        </w:rPr>
        <w:t>.</w:t>
      </w:r>
    </w:p>
    <w:p w:rsidR="002004BF" w:rsidRPr="0088697A" w:rsidRDefault="002004BF" w:rsidP="002004BF">
      <w:pPr>
        <w:pStyle w:val="NoSpacing"/>
        <w:rPr>
          <w:rFonts w:ascii="Arial" w:hAnsi="Arial" w:cs="Arial"/>
          <w:color w:val="000000"/>
          <w:sz w:val="22"/>
          <w:szCs w:val="22"/>
          <w:lang w:val="en-CA"/>
        </w:rPr>
      </w:pPr>
    </w:p>
    <w:p w:rsidR="00814A4E" w:rsidRPr="0088697A" w:rsidRDefault="002004BF" w:rsidP="002004BF">
      <w:pPr>
        <w:pStyle w:val="NoSpacing"/>
        <w:rPr>
          <w:rFonts w:ascii="Arial" w:hAnsi="Arial" w:cs="Arial"/>
          <w:i/>
          <w:color w:val="000000"/>
          <w:sz w:val="22"/>
          <w:szCs w:val="22"/>
          <w:lang w:val="en-CA"/>
        </w:rPr>
      </w:pPr>
      <w:r w:rsidRPr="0088697A">
        <w:rPr>
          <w:rFonts w:ascii="Arial" w:hAnsi="Arial" w:cs="Arial"/>
          <w:color w:val="000000"/>
          <w:sz w:val="22"/>
          <w:szCs w:val="22"/>
          <w:lang w:val="en-CA"/>
        </w:rPr>
        <w:t xml:space="preserve">The ERC was not part of the horizontal audits recently completed or underway such as the pilot System-wide Staffing Audit or the Horizontal Audit on Credential Validation. </w:t>
      </w:r>
    </w:p>
    <w:p w:rsidR="00814A4E" w:rsidRPr="0088697A" w:rsidRDefault="00814A4E" w:rsidP="001E606D">
      <w:pPr>
        <w:pStyle w:val="NoSpacing"/>
        <w:rPr>
          <w:rFonts w:ascii="Arial" w:hAnsi="Arial" w:cs="Arial"/>
          <w:color w:val="000000"/>
          <w:sz w:val="22"/>
          <w:szCs w:val="22"/>
          <w:lang w:val="en-CA"/>
        </w:rPr>
      </w:pPr>
    </w:p>
    <w:p w:rsidR="00CF2FD7" w:rsidRPr="0088697A" w:rsidRDefault="00CF2FD7" w:rsidP="007416CA">
      <w:pPr>
        <w:pStyle w:val="Heading2"/>
        <w:rPr>
          <w:u w:val="single"/>
          <w:lang w:val="en-CA"/>
        </w:rPr>
      </w:pPr>
      <w:r w:rsidRPr="0088697A">
        <w:rPr>
          <w:lang w:val="en-CA"/>
        </w:rPr>
        <w:t>Investigations</w:t>
      </w:r>
    </w:p>
    <w:p w:rsidR="00CF2FD7" w:rsidRPr="0088697A" w:rsidRDefault="00CF2FD7" w:rsidP="001E606D">
      <w:pPr>
        <w:pStyle w:val="NoSpacing"/>
        <w:rPr>
          <w:rFonts w:ascii="Arial" w:hAnsi="Arial" w:cs="Arial"/>
          <w:color w:val="000000"/>
          <w:sz w:val="22"/>
          <w:szCs w:val="22"/>
          <w:lang w:val="en-CA"/>
        </w:rPr>
      </w:pPr>
    </w:p>
    <w:p w:rsidR="0065561B" w:rsidRPr="0088697A" w:rsidRDefault="00DE539E" w:rsidP="001E606D">
      <w:pPr>
        <w:pStyle w:val="NoSpacing"/>
        <w:rPr>
          <w:rFonts w:ascii="Arial" w:hAnsi="Arial" w:cs="Arial"/>
          <w:color w:val="000000"/>
          <w:sz w:val="22"/>
          <w:szCs w:val="22"/>
          <w:lang w:val="en-CA"/>
        </w:rPr>
      </w:pPr>
      <w:r w:rsidRPr="0088697A">
        <w:rPr>
          <w:rFonts w:ascii="Arial" w:hAnsi="Arial" w:cs="Arial"/>
          <w:color w:val="000000"/>
          <w:sz w:val="22"/>
          <w:szCs w:val="22"/>
          <w:lang w:val="en-CA"/>
        </w:rPr>
        <w:t>T</w:t>
      </w:r>
      <w:r w:rsidR="0007665B" w:rsidRPr="0088697A">
        <w:rPr>
          <w:rFonts w:ascii="Arial" w:hAnsi="Arial" w:cs="Arial"/>
          <w:color w:val="000000"/>
          <w:sz w:val="22"/>
          <w:szCs w:val="22"/>
          <w:lang w:val="en-CA"/>
        </w:rPr>
        <w:t>he ERC does not have any outstanding investigation cases.</w:t>
      </w:r>
    </w:p>
    <w:p w:rsidR="00363CD6" w:rsidRPr="0088697A" w:rsidRDefault="00363CD6" w:rsidP="001E606D">
      <w:pPr>
        <w:pStyle w:val="NoSpacing"/>
        <w:rPr>
          <w:rFonts w:ascii="Arial" w:hAnsi="Arial" w:cs="Arial"/>
          <w:color w:val="000000"/>
          <w:sz w:val="22"/>
          <w:szCs w:val="22"/>
          <w:lang w:val="en-CA"/>
        </w:rPr>
      </w:pPr>
    </w:p>
    <w:p w:rsidR="007D0EC3" w:rsidRPr="0088697A" w:rsidRDefault="007D0EC3" w:rsidP="007416CA">
      <w:pPr>
        <w:pStyle w:val="Heading2"/>
        <w:rPr>
          <w:u w:val="single"/>
          <w:lang w:val="en-CA"/>
        </w:rPr>
      </w:pPr>
      <w:r w:rsidRPr="0088697A">
        <w:rPr>
          <w:lang w:val="en-CA"/>
        </w:rPr>
        <w:t>Staffing and Non-Partisanship Survey Results</w:t>
      </w:r>
    </w:p>
    <w:p w:rsidR="007D0EC3" w:rsidRPr="0088697A" w:rsidRDefault="007D0EC3" w:rsidP="007D0EC3">
      <w:pPr>
        <w:pStyle w:val="Style1"/>
        <w:rPr>
          <w:b w:val="0"/>
          <w:caps w:val="0"/>
          <w:color w:val="000000"/>
        </w:rPr>
      </w:pPr>
    </w:p>
    <w:p w:rsidR="00131367" w:rsidRPr="0088697A" w:rsidRDefault="00F26D9D" w:rsidP="0026770A">
      <w:pPr>
        <w:pStyle w:val="Style1"/>
        <w:rPr>
          <w:b w:val="0"/>
          <w:i/>
          <w:caps w:val="0"/>
          <w:color w:val="000000"/>
        </w:rPr>
      </w:pPr>
      <w:r w:rsidRPr="0088697A">
        <w:rPr>
          <w:b w:val="0"/>
          <w:caps w:val="0"/>
          <w:color w:val="000000"/>
        </w:rPr>
        <w:t>Due to the very small size of the organization, t</w:t>
      </w:r>
      <w:r w:rsidR="00E34C05" w:rsidRPr="0088697A">
        <w:rPr>
          <w:b w:val="0"/>
          <w:caps w:val="0"/>
          <w:color w:val="000000"/>
        </w:rPr>
        <w:t>he ERC is not required to complete the Staffing and Non-partisanship Survey.</w:t>
      </w:r>
    </w:p>
    <w:p w:rsidR="00131367" w:rsidRPr="0088697A" w:rsidRDefault="00131367" w:rsidP="0026770A">
      <w:pPr>
        <w:pStyle w:val="Style1"/>
        <w:rPr>
          <w:b w:val="0"/>
          <w:i/>
          <w:caps w:val="0"/>
          <w:color w:val="000000"/>
        </w:rPr>
      </w:pPr>
    </w:p>
    <w:p w:rsidR="00EB4674" w:rsidRPr="0088697A" w:rsidRDefault="0026770A" w:rsidP="0026770A">
      <w:pPr>
        <w:pStyle w:val="Style1"/>
        <w:rPr>
          <w:b w:val="0"/>
        </w:rPr>
      </w:pPr>
      <w:r w:rsidRPr="0088697A">
        <w:rPr>
          <w:rStyle w:val="Heading1Char"/>
          <w:b/>
          <w:lang w:val="en-CA"/>
        </w:rPr>
        <w:t>DIVERSITY PROFILE</w:t>
      </w:r>
      <w:r w:rsidR="00EB4674" w:rsidRPr="0088697A">
        <w:rPr>
          <w:rStyle w:val="Heading1Char"/>
          <w:b/>
          <w:lang w:val="en-CA"/>
        </w:rPr>
        <w:t> </w:t>
      </w:r>
    </w:p>
    <w:p w:rsidR="00EB4674" w:rsidRPr="0088697A" w:rsidRDefault="00EB4674" w:rsidP="001E606D">
      <w:pPr>
        <w:rPr>
          <w:rFonts w:ascii="Arial" w:hAnsi="Arial" w:cs="Arial"/>
          <w:b/>
          <w:sz w:val="22"/>
          <w:szCs w:val="22"/>
          <w:lang w:val="en-CA"/>
        </w:rPr>
      </w:pPr>
    </w:p>
    <w:p w:rsidR="00A85013" w:rsidRPr="0088697A" w:rsidRDefault="00A85013" w:rsidP="00A85013">
      <w:pPr>
        <w:pStyle w:val="NoSpacing"/>
        <w:rPr>
          <w:rFonts w:ascii="Arial" w:hAnsi="Arial" w:cs="Arial"/>
          <w:color w:val="000000"/>
          <w:sz w:val="22"/>
          <w:szCs w:val="22"/>
          <w:lang w:val="en-CA"/>
        </w:rPr>
      </w:pPr>
      <w:r w:rsidRPr="0088697A">
        <w:rPr>
          <w:rFonts w:ascii="Arial" w:hAnsi="Arial" w:cs="Arial"/>
          <w:color w:val="000000"/>
          <w:sz w:val="22"/>
          <w:szCs w:val="22"/>
          <w:lang w:val="en-CA"/>
        </w:rPr>
        <w:t xml:space="preserve">Given the small number of employees at the ERC, there </w:t>
      </w:r>
      <w:r w:rsidR="000346DE" w:rsidRPr="0088697A">
        <w:rPr>
          <w:rFonts w:ascii="Arial" w:hAnsi="Arial" w:cs="Arial"/>
          <w:color w:val="000000"/>
          <w:sz w:val="22"/>
          <w:szCs w:val="22"/>
          <w:lang w:val="en-CA"/>
        </w:rPr>
        <w:t>is</w:t>
      </w:r>
      <w:r w:rsidRPr="0088697A">
        <w:rPr>
          <w:rFonts w:ascii="Arial" w:hAnsi="Arial" w:cs="Arial"/>
          <w:color w:val="000000"/>
          <w:sz w:val="22"/>
          <w:szCs w:val="22"/>
          <w:lang w:val="en-CA"/>
        </w:rPr>
        <w:t xml:space="preserve"> insufficient data to conduct an analysis.</w:t>
      </w:r>
    </w:p>
    <w:p w:rsidR="00F45AD0" w:rsidRPr="0088697A" w:rsidRDefault="00F45AD0" w:rsidP="0026770A">
      <w:pPr>
        <w:pStyle w:val="Heading1"/>
        <w:rPr>
          <w:lang w:val="en-CA"/>
        </w:rPr>
      </w:pPr>
      <w:r w:rsidRPr="0088697A">
        <w:rPr>
          <w:lang w:val="en-CA"/>
        </w:rPr>
        <w:t>priority entitlements and veterans</w:t>
      </w:r>
    </w:p>
    <w:p w:rsidR="00F45AD0" w:rsidRPr="0088697A" w:rsidRDefault="00F45AD0" w:rsidP="001E606D">
      <w:pPr>
        <w:pStyle w:val="NoSpacing"/>
        <w:rPr>
          <w:rFonts w:ascii="Arial" w:hAnsi="Arial" w:cs="Arial"/>
          <w:color w:val="000000"/>
          <w:sz w:val="22"/>
          <w:szCs w:val="22"/>
          <w:lang w:val="en-CA"/>
        </w:rPr>
      </w:pPr>
    </w:p>
    <w:p w:rsidR="00BC4DB9" w:rsidRPr="0088697A" w:rsidRDefault="00CE1E07" w:rsidP="001E606D">
      <w:pPr>
        <w:pStyle w:val="NoSpacing"/>
        <w:rPr>
          <w:rFonts w:ascii="Arial" w:hAnsi="Arial" w:cs="Arial"/>
          <w:color w:val="000000"/>
          <w:sz w:val="22"/>
          <w:szCs w:val="22"/>
          <w:lang w:val="en-CA"/>
        </w:rPr>
      </w:pPr>
      <w:r w:rsidRPr="0088697A">
        <w:rPr>
          <w:rFonts w:ascii="Arial" w:hAnsi="Arial" w:cs="Arial"/>
          <w:color w:val="000000"/>
          <w:sz w:val="22"/>
          <w:szCs w:val="22"/>
          <w:lang w:val="en-CA"/>
        </w:rPr>
        <w:t>The ERC does not have any person with a priority entitlement or veterans’ hiring information to report.</w:t>
      </w:r>
    </w:p>
    <w:p w:rsidR="00BC4DB9" w:rsidRPr="0088697A" w:rsidRDefault="00BC4DB9">
      <w:pPr>
        <w:rPr>
          <w:rFonts w:ascii="Arial" w:hAnsi="Arial" w:cs="Arial"/>
          <w:color w:val="000000"/>
          <w:sz w:val="22"/>
          <w:szCs w:val="22"/>
          <w:lang w:val="en-CA"/>
        </w:rPr>
      </w:pPr>
      <w:r w:rsidRPr="0088697A">
        <w:rPr>
          <w:rFonts w:ascii="Arial" w:hAnsi="Arial" w:cs="Arial"/>
          <w:color w:val="000000"/>
          <w:sz w:val="22"/>
          <w:szCs w:val="22"/>
          <w:lang w:val="en-CA"/>
        </w:rPr>
        <w:br w:type="page"/>
      </w:r>
    </w:p>
    <w:p w:rsidR="002665FC" w:rsidRPr="0088697A" w:rsidRDefault="002665FC" w:rsidP="001E606D">
      <w:pPr>
        <w:pStyle w:val="NoSpacing"/>
        <w:rPr>
          <w:rFonts w:ascii="Arial" w:hAnsi="Arial" w:cs="Arial"/>
          <w:color w:val="000000"/>
          <w:sz w:val="22"/>
          <w:szCs w:val="22"/>
          <w:lang w:val="en-CA"/>
        </w:rPr>
      </w:pPr>
    </w:p>
    <w:p w:rsidR="00F45AD0" w:rsidRPr="0088697A" w:rsidRDefault="002665FC" w:rsidP="0026770A">
      <w:pPr>
        <w:pStyle w:val="Heading1"/>
        <w:rPr>
          <w:lang w:val="en-CA"/>
        </w:rPr>
      </w:pPr>
      <w:r w:rsidRPr="0088697A">
        <w:rPr>
          <w:lang w:val="en-CA"/>
        </w:rPr>
        <w:t>non-partisanship</w:t>
      </w:r>
      <w:r w:rsidR="00E8781B" w:rsidRPr="0088697A">
        <w:rPr>
          <w:lang w:val="en-CA"/>
        </w:rPr>
        <w:t xml:space="preserve"> in THE PUBLIC</w:t>
      </w:r>
      <w:r w:rsidRPr="0088697A">
        <w:rPr>
          <w:lang w:val="en-CA"/>
        </w:rPr>
        <w:t xml:space="preserve"> service </w:t>
      </w:r>
    </w:p>
    <w:p w:rsidR="00043A29" w:rsidRPr="0088697A" w:rsidRDefault="00043A29" w:rsidP="001E606D">
      <w:pPr>
        <w:pStyle w:val="NoSpacing"/>
        <w:rPr>
          <w:rFonts w:ascii="Arial" w:hAnsi="Arial" w:cs="Arial"/>
          <w:color w:val="000000"/>
          <w:sz w:val="22"/>
          <w:szCs w:val="22"/>
          <w:lang w:val="en-CA"/>
        </w:rPr>
      </w:pPr>
    </w:p>
    <w:p w:rsidR="00814A4E" w:rsidRPr="0088697A" w:rsidRDefault="00E34C05" w:rsidP="001E606D">
      <w:pPr>
        <w:pStyle w:val="NoSpacing"/>
        <w:rPr>
          <w:rFonts w:ascii="Arial" w:hAnsi="Arial" w:cs="Arial"/>
          <w:sz w:val="22"/>
          <w:szCs w:val="22"/>
          <w:lang w:val="en-CA"/>
        </w:rPr>
      </w:pPr>
      <w:r w:rsidRPr="0088697A">
        <w:rPr>
          <w:rFonts w:ascii="Arial" w:hAnsi="Arial" w:cs="Arial"/>
          <w:sz w:val="22"/>
          <w:szCs w:val="22"/>
          <w:lang w:val="en-CA"/>
        </w:rPr>
        <w:t>There are no issues or concerns in terms of political activities and non-partisanship in relation to the ERC. Since 2013, the PSC has not received any candidacy request from ERC employees.</w:t>
      </w:r>
    </w:p>
    <w:p w:rsidR="00377DBA" w:rsidRPr="0088697A" w:rsidRDefault="00377DBA" w:rsidP="001E606D">
      <w:pPr>
        <w:pStyle w:val="NoSpacing"/>
        <w:rPr>
          <w:rFonts w:ascii="Arial" w:hAnsi="Arial" w:cs="Arial"/>
          <w:sz w:val="22"/>
          <w:szCs w:val="22"/>
          <w:lang w:val="en-CA"/>
        </w:rPr>
      </w:pPr>
    </w:p>
    <w:p w:rsidR="00377DBA" w:rsidRPr="0088697A" w:rsidRDefault="00377DBA" w:rsidP="001E606D">
      <w:pPr>
        <w:pStyle w:val="NoSpacing"/>
        <w:rPr>
          <w:rFonts w:ascii="Arial" w:hAnsi="Arial" w:cs="Arial"/>
          <w:sz w:val="22"/>
          <w:szCs w:val="22"/>
          <w:lang w:val="en-CA"/>
        </w:rPr>
      </w:pPr>
      <w:r w:rsidRPr="0088697A">
        <w:rPr>
          <w:rFonts w:ascii="Arial" w:hAnsi="Arial" w:cs="Arial"/>
          <w:sz w:val="22"/>
          <w:szCs w:val="22"/>
          <w:lang w:val="en-CA"/>
        </w:rPr>
        <w:t>The PSC delivered an awareness session on employees’ rights and responsibilities in terms</w:t>
      </w:r>
      <w:r w:rsidR="000878A7">
        <w:rPr>
          <w:rFonts w:ascii="Arial" w:hAnsi="Arial" w:cs="Arial"/>
          <w:sz w:val="22"/>
          <w:szCs w:val="22"/>
          <w:lang w:val="en-CA"/>
        </w:rPr>
        <w:t xml:space="preserve"> of political activity to ER</w:t>
      </w:r>
      <w:r w:rsidRPr="0088697A">
        <w:rPr>
          <w:rFonts w:ascii="Arial" w:hAnsi="Arial" w:cs="Arial"/>
          <w:sz w:val="22"/>
          <w:szCs w:val="22"/>
          <w:lang w:val="en-CA"/>
        </w:rPr>
        <w:t>C employees on January 31, 2019.</w:t>
      </w:r>
    </w:p>
    <w:p w:rsidR="007E5C20" w:rsidRPr="0088697A" w:rsidRDefault="007E5C20" w:rsidP="0026770A">
      <w:pPr>
        <w:pStyle w:val="Heading1"/>
        <w:rPr>
          <w:lang w:val="en-CA"/>
        </w:rPr>
      </w:pPr>
      <w:r w:rsidRPr="0088697A">
        <w:rPr>
          <w:lang w:val="en-CA"/>
        </w:rPr>
        <w:t>p</w:t>
      </w:r>
      <w:r w:rsidR="00222833" w:rsidRPr="0088697A">
        <w:rPr>
          <w:lang w:val="en-CA"/>
        </w:rPr>
        <w:t xml:space="preserve">ublic </w:t>
      </w:r>
      <w:r w:rsidRPr="0088697A">
        <w:rPr>
          <w:lang w:val="en-CA"/>
        </w:rPr>
        <w:t>s</w:t>
      </w:r>
      <w:r w:rsidR="00222833" w:rsidRPr="0088697A">
        <w:rPr>
          <w:lang w:val="en-CA"/>
        </w:rPr>
        <w:t xml:space="preserve">ervice </w:t>
      </w:r>
      <w:r w:rsidRPr="0088697A">
        <w:rPr>
          <w:lang w:val="en-CA"/>
        </w:rPr>
        <w:t>c</w:t>
      </w:r>
      <w:r w:rsidR="00222833" w:rsidRPr="0088697A">
        <w:rPr>
          <w:lang w:val="en-CA"/>
        </w:rPr>
        <w:t>ommission</w:t>
      </w:r>
      <w:r w:rsidRPr="0088697A">
        <w:rPr>
          <w:lang w:val="en-CA"/>
        </w:rPr>
        <w:t xml:space="preserve"> initiatives</w:t>
      </w:r>
    </w:p>
    <w:p w:rsidR="007E5C20" w:rsidRPr="0088697A" w:rsidRDefault="007E5C20" w:rsidP="001E606D">
      <w:pPr>
        <w:pStyle w:val="NoSpacing"/>
        <w:rPr>
          <w:rFonts w:ascii="Arial" w:hAnsi="Arial" w:cs="Arial"/>
          <w:color w:val="000000"/>
          <w:sz w:val="22"/>
          <w:szCs w:val="22"/>
          <w:lang w:val="en-CA"/>
        </w:rPr>
      </w:pPr>
    </w:p>
    <w:p w:rsidR="00131367" w:rsidRPr="0088697A" w:rsidRDefault="00595251" w:rsidP="001E606D">
      <w:pPr>
        <w:pStyle w:val="NoSpacing"/>
        <w:rPr>
          <w:rFonts w:ascii="Arial" w:hAnsi="Arial" w:cs="Arial"/>
          <w:i/>
          <w:sz w:val="22"/>
          <w:szCs w:val="22"/>
          <w:lang w:val="en-CA"/>
        </w:rPr>
      </w:pPr>
      <w:r w:rsidRPr="0088697A">
        <w:rPr>
          <w:rFonts w:ascii="Arial" w:hAnsi="Arial" w:cs="Arial"/>
          <w:color w:val="000000"/>
          <w:sz w:val="22"/>
          <w:szCs w:val="22"/>
          <w:lang w:val="en-CA"/>
        </w:rPr>
        <w:t>The ERC has not participated in any PSC-led initiatives.</w:t>
      </w:r>
    </w:p>
    <w:p w:rsidR="0043255B" w:rsidRPr="0088697A" w:rsidRDefault="0043255B" w:rsidP="0026770A">
      <w:pPr>
        <w:pStyle w:val="Heading1"/>
        <w:rPr>
          <w:lang w:val="en-CA"/>
        </w:rPr>
      </w:pPr>
      <w:r w:rsidRPr="0088697A">
        <w:rPr>
          <w:lang w:val="en-CA"/>
        </w:rPr>
        <w:t>staffing support</w:t>
      </w:r>
    </w:p>
    <w:p w:rsidR="0043255B" w:rsidRPr="0088697A" w:rsidRDefault="0043255B" w:rsidP="001E606D">
      <w:pPr>
        <w:pStyle w:val="ListParagraph"/>
        <w:spacing w:after="0" w:line="240" w:lineRule="auto"/>
        <w:ind w:left="0"/>
        <w:rPr>
          <w:rFonts w:ascii="Arial" w:hAnsi="Arial" w:cs="Arial"/>
          <w:lang w:val="en-CA"/>
        </w:rPr>
      </w:pPr>
    </w:p>
    <w:p w:rsidR="0043255B" w:rsidRPr="0088697A" w:rsidRDefault="0043255B" w:rsidP="007416CA">
      <w:pPr>
        <w:pStyle w:val="Heading2"/>
        <w:rPr>
          <w:u w:val="single"/>
          <w:lang w:val="en-CA"/>
        </w:rPr>
      </w:pPr>
      <w:r w:rsidRPr="0088697A">
        <w:rPr>
          <w:lang w:val="en-CA"/>
        </w:rPr>
        <w:t>P</w:t>
      </w:r>
      <w:r w:rsidR="0094519D" w:rsidRPr="0088697A">
        <w:rPr>
          <w:lang w:val="en-CA"/>
        </w:rPr>
        <w:t xml:space="preserve">ublic </w:t>
      </w:r>
      <w:r w:rsidRPr="0088697A">
        <w:rPr>
          <w:lang w:val="en-CA"/>
        </w:rPr>
        <w:t>S</w:t>
      </w:r>
      <w:r w:rsidR="0094519D" w:rsidRPr="0088697A">
        <w:rPr>
          <w:lang w:val="en-CA"/>
        </w:rPr>
        <w:t xml:space="preserve">ervice of </w:t>
      </w:r>
      <w:r w:rsidRPr="0088697A">
        <w:rPr>
          <w:lang w:val="en-CA"/>
        </w:rPr>
        <w:t>C</w:t>
      </w:r>
      <w:r w:rsidR="0094519D" w:rsidRPr="0088697A">
        <w:rPr>
          <w:lang w:val="en-CA"/>
        </w:rPr>
        <w:t>ommission</w:t>
      </w:r>
      <w:r w:rsidRPr="0088697A">
        <w:rPr>
          <w:lang w:val="en-CA"/>
        </w:rPr>
        <w:t xml:space="preserve"> Representatives and Organizational Contacts </w:t>
      </w:r>
    </w:p>
    <w:p w:rsidR="00803B89" w:rsidRPr="0088697A" w:rsidRDefault="00803B89" w:rsidP="001E606D">
      <w:pPr>
        <w:pStyle w:val="NoSpacing"/>
        <w:rPr>
          <w:rFonts w:ascii="Arial" w:hAnsi="Arial" w:cs="Arial"/>
          <w:color w:val="000000"/>
          <w:sz w:val="22"/>
          <w:szCs w:val="22"/>
          <w:lang w:val="en-CA"/>
        </w:rPr>
      </w:pPr>
    </w:p>
    <w:p w:rsidR="00064B61" w:rsidRPr="0088697A" w:rsidRDefault="006E39FC" w:rsidP="001E606D">
      <w:pPr>
        <w:rPr>
          <w:rFonts w:ascii="Arial" w:hAnsi="Arial" w:cs="Arial"/>
          <w:b/>
          <w:sz w:val="22"/>
          <w:szCs w:val="22"/>
          <w:lang w:val="en-CA"/>
        </w:rPr>
      </w:pPr>
      <w:r w:rsidRPr="0088697A">
        <w:rPr>
          <w:rFonts w:ascii="Arial" w:hAnsi="Arial" w:cs="Arial"/>
          <w:sz w:val="22"/>
          <w:szCs w:val="22"/>
          <w:lang w:val="en-CA" w:eastAsia="en-CA"/>
        </w:rPr>
        <w:t xml:space="preserve">The SSA assigned to this organization is </w:t>
      </w:r>
      <w:r w:rsidR="00912EA9" w:rsidRPr="0088697A">
        <w:rPr>
          <w:rFonts w:ascii="Arial" w:hAnsi="Arial" w:cs="Arial"/>
          <w:sz w:val="22"/>
          <w:szCs w:val="22"/>
          <w:lang w:val="en-CA" w:eastAsia="en-CA"/>
        </w:rPr>
        <w:t>Véronique Geoffroy</w:t>
      </w:r>
      <w:r w:rsidRPr="0088697A">
        <w:rPr>
          <w:rFonts w:ascii="Arial" w:hAnsi="Arial" w:cs="Arial"/>
          <w:sz w:val="22"/>
          <w:szCs w:val="22"/>
          <w:lang w:val="en-CA" w:eastAsia="en-CA"/>
        </w:rPr>
        <w:t xml:space="preserve"> and the primary organizational contact </w:t>
      </w:r>
      <w:r w:rsidR="00912EA9" w:rsidRPr="0088697A">
        <w:rPr>
          <w:rFonts w:ascii="Arial" w:hAnsi="Arial" w:cs="Arial"/>
          <w:sz w:val="22"/>
          <w:szCs w:val="22"/>
          <w:lang w:val="en-CA" w:eastAsia="en-CA"/>
        </w:rPr>
        <w:t xml:space="preserve">is </w:t>
      </w:r>
      <w:r w:rsidR="00912EA9" w:rsidRPr="0088697A">
        <w:rPr>
          <w:rFonts w:ascii="Arial" w:hAnsi="Arial" w:cs="Arial"/>
          <w:sz w:val="22"/>
          <w:szCs w:val="22"/>
          <w:lang w:val="en-CA"/>
        </w:rPr>
        <w:t>Julie Brunet, Director, Corporate Services and Registrar.</w:t>
      </w:r>
      <w:r w:rsidR="00B81079" w:rsidRPr="0088697A">
        <w:rPr>
          <w:rFonts w:ascii="Arial" w:hAnsi="Arial" w:cs="Arial"/>
          <w:b/>
          <w:sz w:val="22"/>
          <w:szCs w:val="22"/>
          <w:lang w:val="en-CA"/>
        </w:rPr>
        <w:t xml:space="preserve"> </w:t>
      </w:r>
    </w:p>
    <w:p w:rsidR="00912EA9" w:rsidRPr="0088697A" w:rsidRDefault="00912EA9" w:rsidP="001E606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lang w:val="en-CA"/>
        </w:rPr>
      </w:pPr>
    </w:p>
    <w:p w:rsidR="00DF0DEC" w:rsidRPr="0088697A" w:rsidRDefault="00DF0DEC" w:rsidP="001E606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88697A">
        <w:rPr>
          <w:rFonts w:ascii="Arial" w:hAnsi="Arial" w:cs="Arial"/>
          <w:b/>
          <w:bCs/>
          <w:sz w:val="22"/>
          <w:szCs w:val="22"/>
          <w:lang w:val="en-CA"/>
        </w:rPr>
        <w:t>PREPARED BY:</w:t>
      </w:r>
      <w:r w:rsidRPr="0088697A">
        <w:rPr>
          <w:rFonts w:ascii="Arial" w:hAnsi="Arial" w:cs="Arial"/>
          <w:sz w:val="22"/>
          <w:szCs w:val="22"/>
          <w:lang w:val="en-CA"/>
        </w:rPr>
        <w:t xml:space="preserve"> </w:t>
      </w:r>
    </w:p>
    <w:p w:rsidR="00DF0DEC" w:rsidRPr="0088697A" w:rsidRDefault="00DF0DEC" w:rsidP="001E606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rsidR="00DF0DEC" w:rsidRPr="0088697A" w:rsidRDefault="00912EA9" w:rsidP="009B6741">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0"/>
        <w:rPr>
          <w:rFonts w:ascii="Arial" w:hAnsi="Arial" w:cs="Arial"/>
          <w:b/>
          <w:sz w:val="22"/>
          <w:szCs w:val="22"/>
          <w:lang w:val="en-CA"/>
        </w:rPr>
      </w:pPr>
      <w:r w:rsidRPr="0088697A">
        <w:rPr>
          <w:rFonts w:ascii="Arial" w:hAnsi="Arial" w:cs="Arial"/>
          <w:sz w:val="22"/>
          <w:szCs w:val="22"/>
          <w:lang w:val="en-CA"/>
        </w:rPr>
        <w:t>Véronique Geoffroy</w:t>
      </w:r>
      <w:r w:rsidR="00DF0DEC" w:rsidRPr="0088697A">
        <w:rPr>
          <w:rFonts w:ascii="Arial" w:hAnsi="Arial" w:cs="Arial"/>
          <w:sz w:val="22"/>
          <w:szCs w:val="22"/>
          <w:lang w:val="en-CA"/>
        </w:rPr>
        <w:t xml:space="preserve">, </w:t>
      </w:r>
      <w:r w:rsidRPr="0088697A">
        <w:rPr>
          <w:rFonts w:ascii="Arial" w:hAnsi="Arial" w:cs="Arial"/>
          <w:sz w:val="22"/>
          <w:szCs w:val="22"/>
          <w:lang w:val="en-CA"/>
        </w:rPr>
        <w:t>SSA</w:t>
      </w:r>
      <w:r w:rsidR="00A33F4D" w:rsidRPr="0088697A">
        <w:rPr>
          <w:rFonts w:ascii="Arial" w:hAnsi="Arial" w:cs="Arial"/>
          <w:sz w:val="22"/>
          <w:szCs w:val="22"/>
          <w:lang w:val="en-CA"/>
        </w:rPr>
        <w:t>, Staffing Support Division</w:t>
      </w:r>
    </w:p>
    <w:p w:rsidR="00DF0DEC" w:rsidRPr="0088697A" w:rsidRDefault="00DF0DEC" w:rsidP="001E606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88697A">
        <w:rPr>
          <w:rFonts w:ascii="Arial" w:hAnsi="Arial" w:cs="Arial"/>
          <w:sz w:val="22"/>
          <w:szCs w:val="22"/>
          <w:lang w:val="en-CA"/>
        </w:rPr>
        <w:t>_______________________</w:t>
      </w:r>
      <w:r w:rsidRPr="0088697A">
        <w:rPr>
          <w:rFonts w:ascii="Arial" w:hAnsi="Arial" w:cs="Arial"/>
          <w:sz w:val="22"/>
          <w:szCs w:val="22"/>
          <w:lang w:val="en-CA"/>
        </w:rPr>
        <w:tab/>
      </w:r>
      <w:r w:rsidRPr="0088697A">
        <w:rPr>
          <w:rFonts w:ascii="Arial" w:hAnsi="Arial" w:cs="Arial"/>
          <w:sz w:val="22"/>
          <w:szCs w:val="22"/>
          <w:lang w:val="en-CA"/>
        </w:rPr>
        <w:tab/>
      </w:r>
      <w:r w:rsidRPr="0088697A">
        <w:rPr>
          <w:rFonts w:ascii="Arial" w:hAnsi="Arial" w:cs="Arial"/>
          <w:sz w:val="22"/>
          <w:szCs w:val="22"/>
          <w:lang w:val="en-CA"/>
        </w:rPr>
        <w:tab/>
        <w:t>_______________________</w:t>
      </w:r>
      <w:r w:rsidRPr="0088697A">
        <w:rPr>
          <w:rFonts w:ascii="Arial" w:hAnsi="Arial" w:cs="Arial"/>
          <w:sz w:val="22"/>
          <w:szCs w:val="22"/>
          <w:lang w:val="en-CA"/>
        </w:rPr>
        <w:tab/>
      </w:r>
    </w:p>
    <w:p w:rsidR="00DF0DEC" w:rsidRPr="0088697A" w:rsidRDefault="00DF0DEC" w:rsidP="001E606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88697A">
        <w:rPr>
          <w:rFonts w:ascii="Arial" w:hAnsi="Arial" w:cs="Arial"/>
          <w:sz w:val="22"/>
          <w:szCs w:val="22"/>
          <w:lang w:val="en-CA" w:eastAsia="en-CA"/>
        </w:rPr>
        <w:t xml:space="preserve">Approved by </w:t>
      </w:r>
      <w:r w:rsidR="00912EA9" w:rsidRPr="0088697A">
        <w:rPr>
          <w:rFonts w:ascii="Arial" w:hAnsi="Arial" w:cs="Arial"/>
          <w:sz w:val="22"/>
          <w:szCs w:val="22"/>
          <w:lang w:val="en-CA" w:eastAsia="en-CA"/>
        </w:rPr>
        <w:t>Catherine Gendron</w:t>
      </w:r>
      <w:r w:rsidR="00DA586C" w:rsidRPr="0088697A">
        <w:rPr>
          <w:rFonts w:ascii="Arial" w:hAnsi="Arial" w:cs="Arial"/>
          <w:sz w:val="22"/>
          <w:szCs w:val="22"/>
          <w:lang w:val="en-CA"/>
        </w:rPr>
        <w:tab/>
      </w:r>
      <w:r w:rsidR="00DA586C" w:rsidRPr="0088697A">
        <w:rPr>
          <w:rFonts w:ascii="Arial" w:hAnsi="Arial" w:cs="Arial"/>
          <w:sz w:val="22"/>
          <w:szCs w:val="22"/>
          <w:lang w:val="en-CA"/>
        </w:rPr>
        <w:tab/>
      </w:r>
      <w:r w:rsidRPr="0088697A">
        <w:rPr>
          <w:rFonts w:ascii="Arial" w:hAnsi="Arial" w:cs="Arial"/>
          <w:sz w:val="22"/>
          <w:szCs w:val="22"/>
          <w:lang w:val="en-CA"/>
        </w:rPr>
        <w:t>Approved by Patricia Jaton</w:t>
      </w:r>
    </w:p>
    <w:p w:rsidR="00A246E6" w:rsidRPr="0088697A" w:rsidRDefault="00912EA9" w:rsidP="0085610C">
      <w:pPr>
        <w:numPr>
          <w:ilvl w:val="12"/>
          <w:numId w:val="0"/>
        </w:numPr>
        <w:tabs>
          <w:tab w:val="left" w:pos="-1326"/>
          <w:tab w:val="left" w:pos="-720"/>
          <w:tab w:val="left" w:pos="0"/>
          <w:tab w:val="left" w:pos="313"/>
          <w:tab w:val="left" w:pos="1440"/>
          <w:tab w:val="left" w:pos="2880"/>
          <w:tab w:val="left" w:pos="4320"/>
          <w:tab w:val="left" w:pos="5040"/>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88697A">
        <w:rPr>
          <w:rFonts w:ascii="Arial" w:hAnsi="Arial" w:cs="Arial"/>
          <w:sz w:val="22"/>
          <w:szCs w:val="22"/>
          <w:lang w:val="en-CA"/>
        </w:rPr>
        <w:t>A/</w:t>
      </w:r>
      <w:r w:rsidR="009B6741" w:rsidRPr="0088697A">
        <w:rPr>
          <w:rFonts w:ascii="Arial" w:hAnsi="Arial" w:cs="Arial"/>
          <w:sz w:val="22"/>
          <w:szCs w:val="22"/>
          <w:lang w:val="en-CA"/>
        </w:rPr>
        <w:t>Director General</w:t>
      </w:r>
      <w:r w:rsidR="0085610C" w:rsidRPr="0088697A">
        <w:rPr>
          <w:rFonts w:ascii="Arial" w:hAnsi="Arial" w:cs="Arial"/>
          <w:sz w:val="22"/>
          <w:szCs w:val="22"/>
          <w:lang w:val="en-CA"/>
        </w:rPr>
        <w:tab/>
      </w:r>
      <w:r w:rsidR="0085610C" w:rsidRPr="0088697A">
        <w:rPr>
          <w:rFonts w:ascii="Arial" w:hAnsi="Arial" w:cs="Arial"/>
          <w:sz w:val="22"/>
          <w:szCs w:val="22"/>
          <w:lang w:val="en-CA"/>
        </w:rPr>
        <w:tab/>
      </w:r>
      <w:r w:rsidR="00DF0DEC" w:rsidRPr="0088697A">
        <w:rPr>
          <w:rFonts w:ascii="Arial" w:hAnsi="Arial" w:cs="Arial"/>
          <w:sz w:val="22"/>
          <w:szCs w:val="22"/>
          <w:lang w:val="en-CA"/>
        </w:rPr>
        <w:t>Vice-President, Policy</w:t>
      </w:r>
      <w:r w:rsidR="009B6741" w:rsidRPr="0088697A">
        <w:rPr>
          <w:rFonts w:ascii="Arial" w:hAnsi="Arial" w:cs="Arial"/>
          <w:sz w:val="22"/>
          <w:szCs w:val="22"/>
          <w:lang w:val="en-CA"/>
        </w:rPr>
        <w:tab/>
      </w:r>
    </w:p>
    <w:p w:rsidR="00DA586C" w:rsidRPr="0088697A" w:rsidRDefault="00A246E6" w:rsidP="009B6741">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80"/>
        <w:rPr>
          <w:rFonts w:ascii="Arial" w:hAnsi="Arial" w:cs="Arial"/>
          <w:sz w:val="22"/>
          <w:szCs w:val="22"/>
          <w:lang w:val="en-CA"/>
        </w:rPr>
      </w:pPr>
      <w:r w:rsidRPr="0088697A">
        <w:rPr>
          <w:rFonts w:ascii="Arial" w:hAnsi="Arial" w:cs="Arial"/>
          <w:sz w:val="22"/>
          <w:szCs w:val="22"/>
          <w:lang w:val="en-CA"/>
        </w:rPr>
        <w:t>Staffing Support,</w:t>
      </w:r>
      <w:r w:rsidR="00DF0DEC" w:rsidRPr="0088697A">
        <w:rPr>
          <w:rFonts w:ascii="Arial" w:hAnsi="Arial" w:cs="Arial"/>
          <w:sz w:val="22"/>
          <w:szCs w:val="22"/>
          <w:lang w:val="en-CA"/>
        </w:rPr>
        <w:t xml:space="preserve"> </w:t>
      </w:r>
      <w:r w:rsidR="009B6741" w:rsidRPr="0088697A">
        <w:rPr>
          <w:rFonts w:ascii="Arial" w:hAnsi="Arial" w:cs="Arial"/>
          <w:sz w:val="22"/>
          <w:szCs w:val="22"/>
          <w:lang w:val="en-CA"/>
        </w:rPr>
        <w:t>Priorities</w:t>
      </w:r>
      <w:r w:rsidR="009B6741" w:rsidRPr="0088697A">
        <w:rPr>
          <w:rFonts w:ascii="Arial" w:hAnsi="Arial" w:cs="Arial"/>
          <w:sz w:val="22"/>
          <w:szCs w:val="22"/>
          <w:lang w:val="en-CA"/>
        </w:rPr>
        <w:tab/>
      </w:r>
      <w:r w:rsidR="009B6741" w:rsidRPr="0088697A">
        <w:rPr>
          <w:rFonts w:ascii="Arial" w:hAnsi="Arial" w:cs="Arial"/>
          <w:sz w:val="22"/>
          <w:szCs w:val="22"/>
          <w:lang w:val="en-CA"/>
        </w:rPr>
        <w:tab/>
      </w:r>
      <w:r w:rsidR="009B6741" w:rsidRPr="0088697A">
        <w:rPr>
          <w:rFonts w:ascii="Arial" w:hAnsi="Arial" w:cs="Arial"/>
          <w:sz w:val="22"/>
          <w:szCs w:val="22"/>
          <w:lang w:val="en-CA"/>
        </w:rPr>
        <w:tab/>
      </w:r>
      <w:r w:rsidRPr="0088697A">
        <w:rPr>
          <w:rFonts w:ascii="Arial" w:hAnsi="Arial" w:cs="Arial"/>
          <w:sz w:val="22"/>
          <w:szCs w:val="22"/>
          <w:lang w:val="en-CA"/>
        </w:rPr>
        <w:t>Policy and Communications Sector</w:t>
      </w:r>
      <w:r w:rsidR="009E1F61" w:rsidRPr="0088697A">
        <w:rPr>
          <w:rFonts w:ascii="Arial" w:hAnsi="Arial" w:cs="Arial"/>
          <w:sz w:val="22"/>
          <w:szCs w:val="22"/>
          <w:lang w:val="en-CA"/>
        </w:rPr>
        <w:br/>
      </w:r>
      <w:r w:rsidRPr="0088697A">
        <w:rPr>
          <w:rFonts w:ascii="Arial" w:hAnsi="Arial" w:cs="Arial"/>
          <w:sz w:val="22"/>
          <w:szCs w:val="22"/>
          <w:lang w:val="en-CA"/>
        </w:rPr>
        <w:t>and Political Activities Directorate</w:t>
      </w:r>
    </w:p>
    <w:p w:rsidR="00DF0DEC" w:rsidRPr="0088697A" w:rsidRDefault="00DF0DEC" w:rsidP="009B6741">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88697A">
        <w:rPr>
          <w:rFonts w:ascii="Arial" w:hAnsi="Arial" w:cs="Arial"/>
          <w:sz w:val="22"/>
          <w:szCs w:val="22"/>
          <w:lang w:val="en-CA"/>
        </w:rPr>
        <w:t>_______________________</w:t>
      </w:r>
      <w:r w:rsidR="00B81079" w:rsidRPr="0088697A">
        <w:rPr>
          <w:rFonts w:ascii="Arial" w:hAnsi="Arial" w:cs="Arial"/>
          <w:sz w:val="22"/>
          <w:szCs w:val="22"/>
          <w:lang w:val="en-CA"/>
        </w:rPr>
        <w:tab/>
      </w:r>
      <w:r w:rsidR="009B6741" w:rsidRPr="0088697A">
        <w:rPr>
          <w:rFonts w:ascii="Arial" w:hAnsi="Arial" w:cs="Arial"/>
          <w:sz w:val="22"/>
          <w:szCs w:val="22"/>
          <w:lang w:val="en-CA"/>
        </w:rPr>
        <w:tab/>
      </w:r>
      <w:r w:rsidR="009B6741" w:rsidRPr="0088697A">
        <w:rPr>
          <w:rFonts w:ascii="Arial" w:hAnsi="Arial" w:cs="Arial"/>
          <w:sz w:val="22"/>
          <w:szCs w:val="22"/>
          <w:lang w:val="en-CA"/>
        </w:rPr>
        <w:tab/>
      </w:r>
      <w:r w:rsidRPr="0088697A">
        <w:rPr>
          <w:rFonts w:ascii="Arial" w:hAnsi="Arial" w:cs="Arial"/>
          <w:sz w:val="22"/>
          <w:szCs w:val="22"/>
          <w:lang w:val="en-CA"/>
        </w:rPr>
        <w:t>_______________________</w:t>
      </w:r>
    </w:p>
    <w:p w:rsidR="00804792" w:rsidRPr="0088697A" w:rsidRDefault="00DF0DEC" w:rsidP="0085610C">
      <w:pPr>
        <w:numPr>
          <w:ilvl w:val="12"/>
          <w:numId w:val="0"/>
        </w:numPr>
        <w:tabs>
          <w:tab w:val="right" w:pos="-1326"/>
          <w:tab w:val="left" w:pos="-720"/>
          <w:tab w:val="left" w:pos="0"/>
          <w:tab w:val="left" w:pos="313"/>
          <w:tab w:val="left" w:pos="993"/>
          <w:tab w:val="left" w:pos="2160"/>
          <w:tab w:val="left" w:pos="4253"/>
          <w:tab w:val="left" w:pos="5040"/>
          <w:tab w:val="left" w:pos="5760"/>
          <w:tab w:val="left" w:pos="6480"/>
          <w:tab w:val="left" w:pos="7200"/>
          <w:tab w:val="left" w:pos="7920"/>
          <w:tab w:val="lef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hAnsi="Arial" w:cs="Arial"/>
          <w:sz w:val="22"/>
          <w:szCs w:val="22"/>
          <w:lang w:val="en-CA"/>
        </w:rPr>
      </w:pPr>
      <w:r w:rsidRPr="0088697A">
        <w:rPr>
          <w:rFonts w:ascii="Arial" w:hAnsi="Arial" w:cs="Arial"/>
          <w:sz w:val="22"/>
          <w:szCs w:val="22"/>
          <w:lang w:val="en-CA"/>
        </w:rPr>
        <w:t>Date</w:t>
      </w:r>
      <w:r w:rsidR="0085610C" w:rsidRPr="0088697A">
        <w:rPr>
          <w:rFonts w:ascii="Arial" w:hAnsi="Arial" w:cs="Arial"/>
          <w:sz w:val="22"/>
          <w:szCs w:val="22"/>
          <w:lang w:val="en-CA"/>
        </w:rPr>
        <w:tab/>
      </w:r>
      <w:r w:rsidR="0085610C" w:rsidRPr="0088697A">
        <w:rPr>
          <w:rFonts w:ascii="Arial" w:hAnsi="Arial" w:cs="Arial"/>
          <w:sz w:val="22"/>
          <w:szCs w:val="22"/>
          <w:lang w:val="en-CA"/>
        </w:rPr>
        <w:tab/>
      </w:r>
      <w:r w:rsidR="0085610C" w:rsidRPr="0088697A">
        <w:rPr>
          <w:rFonts w:ascii="Arial" w:hAnsi="Arial" w:cs="Arial"/>
          <w:sz w:val="22"/>
          <w:szCs w:val="22"/>
          <w:lang w:val="en-CA"/>
        </w:rPr>
        <w:tab/>
      </w:r>
      <w:r w:rsidRPr="0088697A">
        <w:rPr>
          <w:rFonts w:ascii="Arial" w:hAnsi="Arial" w:cs="Arial"/>
          <w:sz w:val="22"/>
          <w:szCs w:val="22"/>
          <w:lang w:val="en-CA"/>
        </w:rPr>
        <w:t>Date</w:t>
      </w:r>
    </w:p>
    <w:p w:rsidR="00170D05" w:rsidRPr="0088697A" w:rsidRDefault="00170D05" w:rsidP="001E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CA"/>
        </w:rPr>
      </w:pPr>
      <w:r w:rsidRPr="0088697A">
        <w:rPr>
          <w:rFonts w:ascii="Arial" w:hAnsi="Arial" w:cs="Arial"/>
          <w:sz w:val="22"/>
          <w:szCs w:val="22"/>
          <w:lang w:val="en-CA"/>
        </w:rPr>
        <w:t>Annexes:</w:t>
      </w:r>
    </w:p>
    <w:p w:rsidR="00C179B1" w:rsidRPr="0088697A" w:rsidRDefault="00C179B1" w:rsidP="001E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CA"/>
        </w:rPr>
      </w:pPr>
    </w:p>
    <w:p w:rsidR="00170D05" w:rsidRPr="0088697A" w:rsidRDefault="00445F54" w:rsidP="001E606D">
      <w:pPr>
        <w:numPr>
          <w:ilvl w:val="0"/>
          <w:numId w:val="1"/>
        </w:numPr>
        <w:rPr>
          <w:rFonts w:ascii="Arial" w:hAnsi="Arial" w:cs="Arial"/>
          <w:bCs/>
          <w:sz w:val="22"/>
          <w:szCs w:val="22"/>
          <w:lang w:val="en-CA"/>
        </w:rPr>
      </w:pPr>
      <w:hyperlink w:anchor="AnnexA" w:history="1">
        <w:r w:rsidR="00170D05" w:rsidRPr="0088697A">
          <w:rPr>
            <w:rStyle w:val="Hyperlink"/>
            <w:rFonts w:ascii="Arial" w:hAnsi="Arial" w:cs="Arial"/>
            <w:sz w:val="22"/>
            <w:szCs w:val="22"/>
            <w:lang w:val="en-CA"/>
          </w:rPr>
          <w:t>Annex A</w:t>
        </w:r>
        <w:r w:rsidR="00B80F6D" w:rsidRPr="0088697A">
          <w:rPr>
            <w:rStyle w:val="Hyperlink"/>
            <w:rFonts w:ascii="Arial" w:hAnsi="Arial" w:cs="Arial"/>
            <w:sz w:val="22"/>
            <w:szCs w:val="22"/>
            <w:lang w:val="en-CA"/>
          </w:rPr>
          <w:t xml:space="preserve"> – </w:t>
        </w:r>
        <w:r w:rsidR="00170D05" w:rsidRPr="0088697A">
          <w:rPr>
            <w:rStyle w:val="Hyperlink"/>
            <w:rFonts w:ascii="Arial" w:hAnsi="Arial" w:cs="Arial"/>
            <w:sz w:val="22"/>
            <w:szCs w:val="22"/>
            <w:lang w:val="en-CA"/>
          </w:rPr>
          <w:t>Biography</w:t>
        </w:r>
      </w:hyperlink>
    </w:p>
    <w:p w:rsidR="00170D05" w:rsidRPr="0088697A" w:rsidRDefault="00445F54" w:rsidP="001E606D">
      <w:pPr>
        <w:numPr>
          <w:ilvl w:val="0"/>
          <w:numId w:val="1"/>
        </w:numPr>
        <w:rPr>
          <w:rFonts w:ascii="Arial" w:hAnsi="Arial" w:cs="Arial"/>
          <w:bCs/>
          <w:sz w:val="22"/>
          <w:szCs w:val="22"/>
          <w:lang w:val="en-CA"/>
        </w:rPr>
      </w:pPr>
      <w:hyperlink w:anchor="AnnexB" w:history="1">
        <w:r w:rsidR="00170D05" w:rsidRPr="0088697A">
          <w:rPr>
            <w:rStyle w:val="Hyperlink"/>
            <w:rFonts w:ascii="Arial" w:hAnsi="Arial" w:cs="Arial"/>
            <w:sz w:val="22"/>
            <w:szCs w:val="22"/>
            <w:lang w:val="en-CA"/>
          </w:rPr>
          <w:t xml:space="preserve">Annex </w:t>
        </w:r>
        <w:r w:rsidR="00DA586C" w:rsidRPr="0088697A">
          <w:rPr>
            <w:rStyle w:val="Hyperlink"/>
            <w:rFonts w:ascii="Arial" w:hAnsi="Arial" w:cs="Arial"/>
            <w:sz w:val="22"/>
            <w:szCs w:val="22"/>
            <w:lang w:val="en-CA"/>
          </w:rPr>
          <w:t>B</w:t>
        </w:r>
        <w:r w:rsidR="00170D05" w:rsidRPr="0088697A">
          <w:rPr>
            <w:rStyle w:val="Hyperlink"/>
            <w:rFonts w:ascii="Arial" w:hAnsi="Arial" w:cs="Arial"/>
            <w:sz w:val="22"/>
            <w:szCs w:val="22"/>
            <w:lang w:val="en-CA"/>
          </w:rPr>
          <w:t xml:space="preserve"> – Key Messages</w:t>
        </w:r>
      </w:hyperlink>
    </w:p>
    <w:p w:rsidR="00170D05" w:rsidRPr="0088697A" w:rsidRDefault="00445F54" w:rsidP="001E606D">
      <w:pPr>
        <w:numPr>
          <w:ilvl w:val="0"/>
          <w:numId w:val="1"/>
        </w:numPr>
        <w:rPr>
          <w:rFonts w:ascii="Arial" w:hAnsi="Arial" w:cs="Arial"/>
          <w:bCs/>
          <w:sz w:val="22"/>
          <w:szCs w:val="22"/>
          <w:lang w:val="en-CA"/>
        </w:rPr>
      </w:pPr>
      <w:hyperlink w:anchor="AnnexC" w:history="1">
        <w:r w:rsidR="00170D05" w:rsidRPr="0088697A">
          <w:rPr>
            <w:rStyle w:val="Hyperlink"/>
            <w:rFonts w:ascii="Arial" w:hAnsi="Arial" w:cs="Arial"/>
            <w:sz w:val="22"/>
            <w:szCs w:val="22"/>
            <w:lang w:val="en-CA"/>
          </w:rPr>
          <w:t xml:space="preserve">Annex </w:t>
        </w:r>
        <w:r w:rsidR="0068085E" w:rsidRPr="0088697A">
          <w:rPr>
            <w:rStyle w:val="Hyperlink"/>
            <w:rFonts w:ascii="Arial" w:hAnsi="Arial" w:cs="Arial"/>
            <w:sz w:val="22"/>
            <w:szCs w:val="22"/>
            <w:lang w:val="en-CA"/>
          </w:rPr>
          <w:t>C</w:t>
        </w:r>
        <w:r w:rsidR="00170D05" w:rsidRPr="0088697A">
          <w:rPr>
            <w:rStyle w:val="Hyperlink"/>
            <w:rFonts w:ascii="Arial" w:hAnsi="Arial" w:cs="Arial"/>
            <w:sz w:val="22"/>
            <w:szCs w:val="22"/>
            <w:lang w:val="en-CA"/>
          </w:rPr>
          <w:t xml:space="preserve"> </w:t>
        </w:r>
        <w:r w:rsidR="00B80F6D" w:rsidRPr="0088697A">
          <w:rPr>
            <w:rStyle w:val="Hyperlink"/>
            <w:rFonts w:ascii="Arial" w:hAnsi="Arial" w:cs="Arial"/>
            <w:sz w:val="22"/>
            <w:szCs w:val="22"/>
            <w:lang w:val="en-CA"/>
          </w:rPr>
          <w:t>–</w:t>
        </w:r>
        <w:r w:rsidR="00170D05" w:rsidRPr="0088697A">
          <w:rPr>
            <w:rStyle w:val="Hyperlink"/>
            <w:rFonts w:ascii="Arial" w:hAnsi="Arial" w:cs="Arial"/>
            <w:sz w:val="22"/>
            <w:szCs w:val="22"/>
            <w:lang w:val="en-CA"/>
          </w:rPr>
          <w:t xml:space="preserve"> A New Direction in Staffing, highlights for deputy heads Placemat</w:t>
        </w:r>
      </w:hyperlink>
    </w:p>
    <w:p w:rsidR="00170D05" w:rsidRPr="0088697A" w:rsidRDefault="00445F54" w:rsidP="001E606D">
      <w:pPr>
        <w:numPr>
          <w:ilvl w:val="0"/>
          <w:numId w:val="1"/>
        </w:numPr>
        <w:rPr>
          <w:rFonts w:ascii="Arial" w:hAnsi="Arial" w:cs="Arial"/>
          <w:bCs/>
          <w:strike/>
          <w:sz w:val="22"/>
          <w:szCs w:val="22"/>
          <w:lang w:val="en-CA"/>
        </w:rPr>
      </w:pPr>
      <w:hyperlink w:anchor="AnnexD" w:history="1">
        <w:r w:rsidR="00C179B1" w:rsidRPr="0088697A">
          <w:rPr>
            <w:rStyle w:val="Hyperlink"/>
            <w:rFonts w:ascii="Arial" w:hAnsi="Arial" w:cs="Arial"/>
            <w:sz w:val="22"/>
            <w:szCs w:val="22"/>
            <w:lang w:val="en-CA"/>
          </w:rPr>
          <w:t xml:space="preserve">Annex </w:t>
        </w:r>
        <w:r w:rsidR="0068085E" w:rsidRPr="0088697A">
          <w:rPr>
            <w:rStyle w:val="Hyperlink"/>
            <w:rFonts w:ascii="Arial" w:hAnsi="Arial" w:cs="Arial"/>
            <w:sz w:val="22"/>
            <w:szCs w:val="22"/>
            <w:lang w:val="en-CA"/>
          </w:rPr>
          <w:t>D</w:t>
        </w:r>
        <w:r w:rsidR="00170D05" w:rsidRPr="0088697A">
          <w:rPr>
            <w:rStyle w:val="Hyperlink"/>
            <w:rFonts w:ascii="Arial" w:hAnsi="Arial" w:cs="Arial"/>
            <w:sz w:val="22"/>
            <w:szCs w:val="22"/>
            <w:lang w:val="en-CA"/>
          </w:rPr>
          <w:t xml:space="preserve"> </w:t>
        </w:r>
        <w:r w:rsidR="00B80F6D" w:rsidRPr="0088697A">
          <w:rPr>
            <w:rStyle w:val="Hyperlink"/>
            <w:rFonts w:ascii="Arial" w:hAnsi="Arial" w:cs="Arial"/>
            <w:sz w:val="22"/>
            <w:szCs w:val="22"/>
            <w:lang w:val="en-CA"/>
          </w:rPr>
          <w:t>–</w:t>
        </w:r>
        <w:r w:rsidR="00170D05" w:rsidRPr="0088697A">
          <w:rPr>
            <w:rStyle w:val="Hyperlink"/>
            <w:rFonts w:ascii="Arial" w:hAnsi="Arial" w:cs="Arial"/>
            <w:sz w:val="22"/>
            <w:szCs w:val="22"/>
            <w:lang w:val="en-CA"/>
          </w:rPr>
          <w:t xml:space="preserve"> </w:t>
        </w:r>
        <w:r w:rsidR="00625467" w:rsidRPr="0088697A">
          <w:rPr>
            <w:rStyle w:val="Hyperlink"/>
            <w:rFonts w:ascii="Arial" w:hAnsi="Arial" w:cs="Arial"/>
            <w:sz w:val="22"/>
            <w:szCs w:val="22"/>
            <w:lang w:val="en-CA"/>
          </w:rPr>
          <w:t>Data on Population and S</w:t>
        </w:r>
        <w:r w:rsidR="00170D05" w:rsidRPr="0088697A">
          <w:rPr>
            <w:rStyle w:val="Hyperlink"/>
            <w:rFonts w:ascii="Arial" w:hAnsi="Arial" w:cs="Arial"/>
            <w:sz w:val="22"/>
            <w:szCs w:val="22"/>
            <w:lang w:val="en-CA"/>
          </w:rPr>
          <w:t xml:space="preserve">taffing </w:t>
        </w:r>
        <w:r w:rsidR="00C47694" w:rsidRPr="0088697A">
          <w:rPr>
            <w:rStyle w:val="Hyperlink"/>
            <w:rFonts w:ascii="Arial" w:hAnsi="Arial" w:cs="Arial"/>
            <w:sz w:val="22"/>
            <w:szCs w:val="22"/>
            <w:lang w:val="en-CA"/>
          </w:rPr>
          <w:t>Activities</w:t>
        </w:r>
      </w:hyperlink>
    </w:p>
    <w:p w:rsidR="00A101E0" w:rsidRPr="0088697A" w:rsidRDefault="00A101E0" w:rsidP="0084366D">
      <w:pPr>
        <w:ind w:left="7920"/>
        <w:jc w:val="right"/>
        <w:rPr>
          <w:rFonts w:ascii="Arial" w:hAnsi="Arial" w:cs="Arial"/>
          <w:b/>
          <w:bCs/>
          <w:sz w:val="22"/>
          <w:szCs w:val="22"/>
          <w:lang w:val="en-CA"/>
        </w:rPr>
      </w:pPr>
      <w:r w:rsidRPr="0088697A">
        <w:rPr>
          <w:rFonts w:ascii="Arial" w:hAnsi="Arial" w:cs="Arial"/>
          <w:b/>
          <w:bCs/>
          <w:sz w:val="22"/>
          <w:szCs w:val="22"/>
          <w:lang w:val="en-CA"/>
        </w:rPr>
        <w:br w:type="page"/>
      </w:r>
      <w:bookmarkStart w:id="1" w:name="AnnexA"/>
      <w:r w:rsidRPr="0088697A">
        <w:rPr>
          <w:rFonts w:ascii="Arial" w:hAnsi="Arial" w:cs="Arial"/>
          <w:b/>
          <w:bCs/>
          <w:sz w:val="22"/>
          <w:szCs w:val="22"/>
          <w:lang w:val="en-CA"/>
        </w:rPr>
        <w:lastRenderedPageBreak/>
        <w:t>Annex A</w:t>
      </w:r>
      <w:bookmarkEnd w:id="1"/>
    </w:p>
    <w:p w:rsidR="00A101E0" w:rsidRPr="0088697A" w:rsidRDefault="00A101E0" w:rsidP="001D2265">
      <w:pPr>
        <w:jc w:val="center"/>
        <w:rPr>
          <w:rFonts w:ascii="Arial" w:hAnsi="Arial" w:cs="Arial"/>
          <w:b/>
          <w:bCs/>
          <w:sz w:val="22"/>
          <w:szCs w:val="22"/>
          <w:lang w:val="en-CA"/>
        </w:rPr>
      </w:pPr>
    </w:p>
    <w:p w:rsidR="00A101E0" w:rsidRPr="0088697A" w:rsidRDefault="001D2265" w:rsidP="00761B16">
      <w:pPr>
        <w:pStyle w:val="Heading1"/>
        <w:rPr>
          <w:lang w:val="en-CA"/>
        </w:rPr>
      </w:pPr>
      <w:r w:rsidRPr="0088697A">
        <w:rPr>
          <w:lang w:val="en-CA"/>
        </w:rPr>
        <w:t>BIOGRAPHY</w:t>
      </w:r>
    </w:p>
    <w:p w:rsidR="00A101E0" w:rsidRPr="0088697A" w:rsidRDefault="00A101E0" w:rsidP="00A101E0">
      <w:pPr>
        <w:jc w:val="right"/>
        <w:rPr>
          <w:rFonts w:ascii="Arial" w:hAnsi="Arial" w:cs="Arial"/>
          <w:b/>
          <w:bCs/>
          <w:sz w:val="22"/>
          <w:szCs w:val="22"/>
          <w:lang w:val="en-CA"/>
        </w:rPr>
      </w:pPr>
    </w:p>
    <w:p w:rsidR="00281B55" w:rsidRPr="0088697A" w:rsidRDefault="00281B55" w:rsidP="00281B55">
      <w:pPr>
        <w:rPr>
          <w:rFonts w:ascii="Arial" w:hAnsi="Arial" w:cs="Arial"/>
          <w:sz w:val="22"/>
          <w:szCs w:val="22"/>
          <w:lang w:val="en-CA"/>
        </w:rPr>
      </w:pPr>
      <w:r w:rsidRPr="0088697A">
        <w:rPr>
          <w:rFonts w:ascii="Arial" w:hAnsi="Arial" w:cs="Arial"/>
          <w:sz w:val="22"/>
          <w:szCs w:val="22"/>
          <w:lang w:val="en-CA"/>
        </w:rPr>
        <w:t>Charles Randall Smith was appointed Chairperson for the ERC for a five</w:t>
      </w:r>
      <w:r w:rsidR="00B405EF" w:rsidRPr="0088697A">
        <w:rPr>
          <w:rFonts w:ascii="Arial" w:hAnsi="Arial" w:cs="Arial"/>
          <w:sz w:val="22"/>
          <w:szCs w:val="22"/>
          <w:lang w:val="en-CA"/>
        </w:rPr>
        <w:t>-</w:t>
      </w:r>
      <w:r w:rsidRPr="0088697A">
        <w:rPr>
          <w:rFonts w:ascii="Arial" w:hAnsi="Arial" w:cs="Arial"/>
          <w:sz w:val="22"/>
          <w:szCs w:val="22"/>
          <w:lang w:val="en-CA"/>
        </w:rPr>
        <w:t xml:space="preserve">year term beginning on June 18, 2019. Prior to that, he performed the role of Vice-Chairperson, effective April 11, 2019. </w:t>
      </w:r>
    </w:p>
    <w:p w:rsidR="00281B55" w:rsidRPr="0088697A" w:rsidRDefault="00281B55" w:rsidP="00281B55">
      <w:pPr>
        <w:rPr>
          <w:rFonts w:ascii="Arial" w:hAnsi="Arial" w:cs="Arial"/>
          <w:sz w:val="22"/>
          <w:szCs w:val="22"/>
          <w:lang w:val="en-CA"/>
        </w:rPr>
      </w:pPr>
    </w:p>
    <w:p w:rsidR="00281B55" w:rsidRPr="0088697A" w:rsidRDefault="00281B55" w:rsidP="00281B55">
      <w:pPr>
        <w:rPr>
          <w:rFonts w:ascii="Arial" w:hAnsi="Arial" w:cs="Arial"/>
          <w:sz w:val="22"/>
          <w:szCs w:val="22"/>
          <w:lang w:val="en-CA"/>
        </w:rPr>
      </w:pPr>
      <w:r w:rsidRPr="0088697A">
        <w:rPr>
          <w:rFonts w:ascii="Arial" w:hAnsi="Arial" w:cs="Arial"/>
          <w:sz w:val="22"/>
          <w:szCs w:val="22"/>
          <w:lang w:val="en-CA"/>
        </w:rPr>
        <w:t>Mr.</w:t>
      </w:r>
      <w:r w:rsidR="00B405EF" w:rsidRPr="0088697A">
        <w:rPr>
          <w:rFonts w:ascii="Arial" w:hAnsi="Arial" w:cs="Arial"/>
          <w:sz w:val="22"/>
          <w:szCs w:val="22"/>
          <w:lang w:val="en-CA"/>
        </w:rPr>
        <w:t> </w:t>
      </w:r>
      <w:r w:rsidRPr="0088697A">
        <w:rPr>
          <w:rFonts w:ascii="Arial" w:hAnsi="Arial" w:cs="Arial"/>
          <w:sz w:val="22"/>
          <w:szCs w:val="22"/>
          <w:lang w:val="en-CA"/>
        </w:rPr>
        <w:t>Smith served with the Canadian Armed Forces for over 40 years, 30 of which were as a legal officer with the Office of the Judge Advocate General (JAG). Mr.</w:t>
      </w:r>
      <w:r w:rsidR="00B405EF" w:rsidRPr="0088697A">
        <w:rPr>
          <w:rFonts w:ascii="Arial" w:hAnsi="Arial" w:cs="Arial"/>
          <w:sz w:val="22"/>
          <w:szCs w:val="22"/>
          <w:lang w:val="en-CA"/>
        </w:rPr>
        <w:t> </w:t>
      </w:r>
      <w:r w:rsidRPr="0088697A">
        <w:rPr>
          <w:rFonts w:ascii="Arial" w:hAnsi="Arial" w:cs="Arial"/>
          <w:sz w:val="22"/>
          <w:szCs w:val="22"/>
          <w:lang w:val="en-CA"/>
        </w:rPr>
        <w:t xml:space="preserve">Smith served with JAG in a number of positions, reaching the rank of Lieutenant-Colonel and posted to a number of locations, including RMC Kingston, Ottawa, Petawawa, and Edmonton. He was also the Senior Legal Officer on deployment to Kandahar, Afghanistan. </w:t>
      </w:r>
    </w:p>
    <w:p w:rsidR="00281B55" w:rsidRPr="0088697A" w:rsidRDefault="00281B55" w:rsidP="00281B55">
      <w:pPr>
        <w:rPr>
          <w:rFonts w:ascii="Arial" w:hAnsi="Arial" w:cs="Arial"/>
          <w:sz w:val="22"/>
          <w:szCs w:val="22"/>
          <w:lang w:val="en-CA"/>
        </w:rPr>
      </w:pPr>
    </w:p>
    <w:p w:rsidR="005B56B6" w:rsidRPr="0088697A" w:rsidRDefault="00281B55" w:rsidP="005B56B6">
      <w:pPr>
        <w:rPr>
          <w:rFonts w:ascii="Arial" w:hAnsi="Arial" w:cs="Arial"/>
          <w:sz w:val="22"/>
          <w:szCs w:val="22"/>
          <w:lang w:val="en-CA"/>
        </w:rPr>
      </w:pPr>
      <w:r w:rsidRPr="0088697A">
        <w:rPr>
          <w:rFonts w:ascii="Arial" w:hAnsi="Arial" w:cs="Arial"/>
          <w:sz w:val="22"/>
          <w:szCs w:val="22"/>
          <w:lang w:val="en-CA"/>
        </w:rPr>
        <w:t>He is a graduate of College Militaire Royal de St Jean, holds degrees in both Civil and Common Law from McGill University, and has a Master of Laws degree from the US Army JAG School in Charlottesville, Virginia. Mr.</w:t>
      </w:r>
      <w:r w:rsidR="00B405EF" w:rsidRPr="0088697A">
        <w:rPr>
          <w:rFonts w:ascii="Arial" w:hAnsi="Arial" w:cs="Arial"/>
          <w:sz w:val="22"/>
          <w:szCs w:val="22"/>
          <w:lang w:val="en-CA"/>
        </w:rPr>
        <w:t> </w:t>
      </w:r>
      <w:r w:rsidRPr="0088697A">
        <w:rPr>
          <w:rFonts w:ascii="Arial" w:hAnsi="Arial" w:cs="Arial"/>
          <w:sz w:val="22"/>
          <w:szCs w:val="22"/>
          <w:lang w:val="en-CA"/>
        </w:rPr>
        <w:t>Smith is a member of the Law Society of Ontario.</w:t>
      </w:r>
    </w:p>
    <w:p w:rsidR="00A101E0" w:rsidRPr="0088697A" w:rsidRDefault="00A101E0" w:rsidP="005B56B6">
      <w:pPr>
        <w:jc w:val="right"/>
        <w:rPr>
          <w:rFonts w:ascii="Arial" w:hAnsi="Arial" w:cs="Arial"/>
          <w:sz w:val="22"/>
          <w:szCs w:val="22"/>
          <w:lang w:val="en-CA"/>
        </w:rPr>
      </w:pPr>
      <w:r w:rsidRPr="0088697A">
        <w:rPr>
          <w:rFonts w:ascii="Arial" w:hAnsi="Arial" w:cs="Arial"/>
          <w:sz w:val="22"/>
          <w:szCs w:val="22"/>
          <w:lang w:val="en-CA"/>
        </w:rPr>
        <w:br w:type="page"/>
      </w:r>
      <w:bookmarkStart w:id="2" w:name="AnnexB"/>
      <w:r w:rsidRPr="0088697A">
        <w:rPr>
          <w:rFonts w:ascii="Arial" w:hAnsi="Arial" w:cs="Arial"/>
          <w:b/>
          <w:bCs/>
          <w:sz w:val="22"/>
          <w:szCs w:val="22"/>
          <w:lang w:val="en-CA"/>
        </w:rPr>
        <w:lastRenderedPageBreak/>
        <w:t xml:space="preserve">Annex </w:t>
      </w:r>
      <w:bookmarkEnd w:id="2"/>
      <w:r w:rsidR="00244988" w:rsidRPr="0088697A">
        <w:rPr>
          <w:rFonts w:ascii="Arial" w:hAnsi="Arial" w:cs="Arial"/>
          <w:b/>
          <w:bCs/>
          <w:sz w:val="22"/>
          <w:szCs w:val="22"/>
          <w:lang w:val="en-CA"/>
        </w:rPr>
        <w:t>B</w:t>
      </w:r>
    </w:p>
    <w:p w:rsidR="001B5BED" w:rsidRPr="0088697A" w:rsidRDefault="001B5BED" w:rsidP="008F6238">
      <w:pPr>
        <w:jc w:val="center"/>
        <w:rPr>
          <w:rFonts w:ascii="Arial" w:hAnsi="Arial" w:cs="Arial"/>
          <w:b/>
          <w:sz w:val="22"/>
          <w:szCs w:val="22"/>
          <w:lang w:val="en-CA"/>
        </w:rPr>
      </w:pPr>
    </w:p>
    <w:p w:rsidR="008F6238" w:rsidRPr="0088697A" w:rsidRDefault="00397920" w:rsidP="00761B16">
      <w:pPr>
        <w:pStyle w:val="Heading1"/>
        <w:rPr>
          <w:lang w:val="en-CA"/>
        </w:rPr>
      </w:pPr>
      <w:r w:rsidRPr="0088697A">
        <w:rPr>
          <w:lang w:val="en-CA"/>
        </w:rPr>
        <w:t>Key Messages when Meeting with a N</w:t>
      </w:r>
      <w:r w:rsidR="008F6238" w:rsidRPr="0088697A">
        <w:rPr>
          <w:lang w:val="en-CA"/>
        </w:rPr>
        <w:t>ew Deputy Head</w:t>
      </w:r>
    </w:p>
    <w:p w:rsidR="008F6238" w:rsidRPr="0088697A" w:rsidRDefault="008F6238" w:rsidP="008F6238">
      <w:pPr>
        <w:jc w:val="center"/>
        <w:rPr>
          <w:rFonts w:ascii="Arial" w:hAnsi="Arial" w:cs="Arial"/>
          <w:b/>
          <w:sz w:val="22"/>
          <w:szCs w:val="22"/>
          <w:lang w:val="en-CA"/>
        </w:rPr>
      </w:pPr>
    </w:p>
    <w:p w:rsidR="00AF6D27" w:rsidRPr="0088697A" w:rsidRDefault="00AF6D27" w:rsidP="00AF6D27">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 xml:space="preserve">Non-partisanship is a key pillar of the </w:t>
      </w:r>
      <w:r w:rsidRPr="0088697A">
        <w:rPr>
          <w:rFonts w:ascii="Arial" w:hAnsi="Arial" w:cs="Arial"/>
          <w:i/>
          <w:sz w:val="22"/>
          <w:szCs w:val="22"/>
          <w:lang w:val="en-CA"/>
        </w:rPr>
        <w:t>Public Service Employment Act</w:t>
      </w:r>
      <w:r w:rsidRPr="0088697A">
        <w:rPr>
          <w:rFonts w:ascii="Arial" w:hAnsi="Arial" w:cs="Arial"/>
          <w:sz w:val="22"/>
          <w:szCs w:val="22"/>
          <w:lang w:val="en-CA"/>
        </w:rPr>
        <w:t xml:space="preserve"> (PSEA) and an essential element of both a professional public service and responsible democratic government. A non-partisan public service is one where appointments are based on merit and free of political influence, and where public servants perform their duties, and are seen to perform their duties, in a politically impartial manner.</w:t>
      </w:r>
    </w:p>
    <w:p w:rsidR="00AF6D27" w:rsidRPr="0088697A" w:rsidRDefault="00AF6D27" w:rsidP="00AF6D27">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The Public Service Commission (PSC) retains the:</w:t>
      </w:r>
    </w:p>
    <w:p w:rsidR="00AF6D27" w:rsidRPr="0088697A" w:rsidRDefault="00AF6D27" w:rsidP="00AF6D27">
      <w:pPr>
        <w:pStyle w:val="Level1"/>
        <w:numPr>
          <w:ilvl w:val="1"/>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Authority to investigate external appointment processes, cases of political influence or fraud in all appointment processes, and allegations of improper political activities;</w:t>
      </w:r>
    </w:p>
    <w:p w:rsidR="00AF6D27" w:rsidRPr="0088697A" w:rsidRDefault="00AF6D27" w:rsidP="00AF6D27">
      <w:pPr>
        <w:pStyle w:val="Level1"/>
        <w:numPr>
          <w:ilvl w:val="1"/>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Authority to approve the exclusion from meeting official language proficiency requirements on medical grounds; and</w:t>
      </w:r>
    </w:p>
    <w:p w:rsidR="00AF6D27" w:rsidRPr="0088697A" w:rsidRDefault="00AF6D27" w:rsidP="00AF6D27">
      <w:pPr>
        <w:pStyle w:val="Level1"/>
        <w:numPr>
          <w:ilvl w:val="1"/>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Responsibility for confirming the eligibility of former ministers’ and Governor General’s staff to participate in advertised internal appointment processes.</w:t>
      </w:r>
    </w:p>
    <w:p w:rsidR="00AF6D27" w:rsidRPr="0088697A" w:rsidRDefault="00AF6D27" w:rsidP="00AF6D27">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The Appointment Delegation and Accountability Instrument encourages sub</w:t>
      </w:r>
      <w:r w:rsidRPr="0088697A">
        <w:rPr>
          <w:rFonts w:ascii="Arial" w:hAnsi="Arial" w:cs="Arial"/>
          <w:sz w:val="22"/>
          <w:szCs w:val="22"/>
          <w:lang w:val="en-CA"/>
        </w:rPr>
        <w:noBreakHyphen/>
        <w:t xml:space="preserve">delegation to the lowest level possible within the organization. </w:t>
      </w:r>
    </w:p>
    <w:p w:rsidR="00AF6D27" w:rsidRPr="0088697A" w:rsidRDefault="00AF6D27" w:rsidP="00AF6D27">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 xml:space="preserve">Organizations must respect priority entitlement provisions of the PSEA. </w:t>
      </w:r>
    </w:p>
    <w:p w:rsidR="00AF6D27" w:rsidRPr="0088697A" w:rsidRDefault="00AF6D27" w:rsidP="00AF6D27">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 xml:space="preserve">Deputy Heads (DH) should champion the implementation of the </w:t>
      </w:r>
      <w:r w:rsidRPr="0088697A">
        <w:rPr>
          <w:rFonts w:ascii="Arial" w:hAnsi="Arial" w:cs="Arial"/>
          <w:i/>
          <w:sz w:val="22"/>
          <w:szCs w:val="22"/>
          <w:lang w:val="en-CA"/>
        </w:rPr>
        <w:t>Veterans Hiring Act</w:t>
      </w:r>
      <w:r w:rsidRPr="0088697A">
        <w:rPr>
          <w:rFonts w:ascii="Arial" w:hAnsi="Arial" w:cs="Arial"/>
          <w:sz w:val="22"/>
          <w:szCs w:val="22"/>
          <w:lang w:val="en-CA"/>
        </w:rPr>
        <w:t xml:space="preserve"> within their organizations, so more veterans are hired into public service jobs.</w:t>
      </w:r>
    </w:p>
    <w:p w:rsidR="00AF6D27" w:rsidRPr="0088697A" w:rsidRDefault="00AF6D27" w:rsidP="00AF6D27">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 xml:space="preserve">DHs shall not engage in any political activity other than voting. Upholding the non-partisan nature of the public service is the responsibility of all employees, whatever their level and duties. In particular, DHs play a leadership role in safeguarding non-partisanship as they oversee the conduct of their employees. The PSC, in collaboration with other stakeholders, including DHs, plays a key role in ensuring that the public service remains non-partisan. </w:t>
      </w:r>
    </w:p>
    <w:p w:rsidR="00AF6D27" w:rsidRPr="0088697A" w:rsidRDefault="00AF6D27" w:rsidP="00AF6D27">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New Direction in Staffing – The PSC revised</w:t>
      </w:r>
      <w:r w:rsidR="00D923AB" w:rsidRPr="0088697A">
        <w:rPr>
          <w:rFonts w:ascii="Arial" w:hAnsi="Arial" w:cs="Arial"/>
          <w:sz w:val="22"/>
          <w:szCs w:val="22"/>
          <w:lang w:val="en-CA"/>
        </w:rPr>
        <w:t xml:space="preserve"> its</w:t>
      </w:r>
      <w:r w:rsidRPr="0088697A">
        <w:rPr>
          <w:rFonts w:ascii="Arial" w:hAnsi="Arial" w:cs="Arial"/>
          <w:sz w:val="22"/>
          <w:szCs w:val="22"/>
          <w:lang w:val="en-CA"/>
        </w:rPr>
        <w:t xml:space="preserve"> appointment policy, delegation instrument and oversight model to streamline requirements, ensure that oversight is calibrated to the risks in the system and simplify staffing. The PSC’s new support model includes ongoing engagement with organizations through a single point of contact – Staffing Support Advisors – a renewed approach to guidance, and delivery of information sessions and targeted training. This collaborative approach, with its two-way communication, also assist</w:t>
      </w:r>
      <w:r w:rsidR="00D923AB" w:rsidRPr="0088697A">
        <w:rPr>
          <w:rFonts w:ascii="Arial" w:hAnsi="Arial" w:cs="Arial"/>
          <w:sz w:val="22"/>
          <w:szCs w:val="22"/>
          <w:lang w:val="en-CA"/>
        </w:rPr>
        <w:t>s</w:t>
      </w:r>
      <w:r w:rsidRPr="0088697A">
        <w:rPr>
          <w:rFonts w:ascii="Arial" w:hAnsi="Arial" w:cs="Arial"/>
          <w:sz w:val="22"/>
          <w:szCs w:val="22"/>
          <w:lang w:val="en-CA"/>
        </w:rPr>
        <w:t xml:space="preserve"> </w:t>
      </w:r>
      <w:r w:rsidR="00397920" w:rsidRPr="0088697A">
        <w:rPr>
          <w:rFonts w:ascii="Arial" w:hAnsi="Arial" w:cs="Arial"/>
          <w:sz w:val="22"/>
          <w:szCs w:val="22"/>
          <w:lang w:val="en-CA"/>
        </w:rPr>
        <w:t>DHs</w:t>
      </w:r>
      <w:r w:rsidRPr="0088697A">
        <w:rPr>
          <w:rFonts w:ascii="Arial" w:hAnsi="Arial" w:cs="Arial"/>
          <w:sz w:val="22"/>
          <w:szCs w:val="22"/>
          <w:lang w:val="en-CA"/>
        </w:rPr>
        <w:t xml:space="preserve"> who are responsible for the monitoring of their organization’s staffing system. The PSC expects that organizations will be proactive in their oversight and continual improvement with respect to staffing.</w:t>
      </w:r>
    </w:p>
    <w:p w:rsidR="005F523A" w:rsidRPr="0088697A" w:rsidRDefault="00FA46F1" w:rsidP="00BE395E">
      <w:pPr>
        <w:pStyle w:val="Level1"/>
        <w:numPr>
          <w:ilvl w:val="0"/>
          <w:numId w:val="11"/>
        </w:numPr>
        <w:tabs>
          <w:tab w:val="left" w:pos="-1440"/>
        </w:tabs>
        <w:autoSpaceDE w:val="0"/>
        <w:autoSpaceDN w:val="0"/>
        <w:adjustRightInd w:val="0"/>
        <w:spacing w:after="120" w:line="20" w:lineRule="atLeast"/>
        <w:rPr>
          <w:rFonts w:ascii="Arial" w:hAnsi="Arial" w:cs="Arial"/>
          <w:sz w:val="22"/>
          <w:szCs w:val="22"/>
          <w:lang w:val="en-CA"/>
        </w:rPr>
      </w:pPr>
      <w:r w:rsidRPr="0088697A">
        <w:rPr>
          <w:rFonts w:ascii="Arial" w:hAnsi="Arial" w:cs="Arial"/>
          <w:sz w:val="22"/>
          <w:szCs w:val="22"/>
          <w:lang w:val="en-CA"/>
        </w:rPr>
        <w:t>From Policy to Practice</w:t>
      </w:r>
      <w:r w:rsidR="00D923AB" w:rsidRPr="0088697A">
        <w:rPr>
          <w:rFonts w:ascii="Arial" w:hAnsi="Arial" w:cs="Arial"/>
          <w:sz w:val="22"/>
          <w:szCs w:val="22"/>
          <w:lang w:val="en-CA"/>
        </w:rPr>
        <w:t xml:space="preserve"> (P2P)</w:t>
      </w:r>
      <w:r w:rsidRPr="0088697A">
        <w:rPr>
          <w:rFonts w:ascii="Arial" w:hAnsi="Arial" w:cs="Arial"/>
          <w:sz w:val="22"/>
          <w:szCs w:val="22"/>
          <w:lang w:val="en-CA"/>
        </w:rPr>
        <w:t xml:space="preserve"> - As the </w:t>
      </w:r>
      <w:r w:rsidR="00082F13" w:rsidRPr="0088697A">
        <w:rPr>
          <w:rFonts w:ascii="Arial" w:hAnsi="Arial" w:cs="Arial"/>
          <w:sz w:val="22"/>
          <w:szCs w:val="22"/>
          <w:lang w:val="en-CA"/>
        </w:rPr>
        <w:t xml:space="preserve">NDS </w:t>
      </w:r>
      <w:r w:rsidRPr="0088697A">
        <w:rPr>
          <w:rFonts w:ascii="Arial" w:hAnsi="Arial" w:cs="Arial"/>
          <w:sz w:val="22"/>
          <w:szCs w:val="22"/>
          <w:lang w:val="en-CA"/>
        </w:rPr>
        <w:t>journey continues, the PSC is working to meet the evolving needs of hiring managers and candidates</w:t>
      </w:r>
      <w:r w:rsidR="00D923AB" w:rsidRPr="0088697A">
        <w:rPr>
          <w:rFonts w:ascii="Arial" w:hAnsi="Arial" w:cs="Arial"/>
          <w:sz w:val="22"/>
          <w:szCs w:val="22"/>
          <w:lang w:val="en-CA"/>
        </w:rPr>
        <w:t>,</w:t>
      </w:r>
      <w:r w:rsidRPr="0088697A">
        <w:rPr>
          <w:rFonts w:ascii="Arial" w:hAnsi="Arial" w:cs="Arial"/>
          <w:sz w:val="22"/>
          <w:szCs w:val="22"/>
          <w:lang w:val="en-CA"/>
        </w:rPr>
        <w:t xml:space="preserve"> and </w:t>
      </w:r>
      <w:r w:rsidR="00D923AB" w:rsidRPr="0088697A">
        <w:rPr>
          <w:rFonts w:ascii="Arial" w:hAnsi="Arial" w:cs="Arial"/>
          <w:sz w:val="22"/>
          <w:szCs w:val="22"/>
          <w:lang w:val="en-CA"/>
        </w:rPr>
        <w:t xml:space="preserve">to </w:t>
      </w:r>
      <w:r w:rsidRPr="0088697A">
        <w:rPr>
          <w:rFonts w:ascii="Arial" w:hAnsi="Arial" w:cs="Arial"/>
          <w:sz w:val="22"/>
          <w:szCs w:val="22"/>
          <w:lang w:val="en-CA"/>
        </w:rPr>
        <w:t xml:space="preserve">support the public service staffing system of the future. With P2P, we’re moving beyond policy to renew staffing and recruitment. Through collaborative innovation with our partners, we are exploring new ways to attract, recruit and assess candidates. We are also identifying opportunities to improve our programs and services, reducing PSC interventions, where possible. We are focusing our initial efforts on those areas where we have a direct impact on the staffing system, such as Priority Administration and the application process for student programs. We are streamlining processes from a user experience viewpoint, exploring new approaches to make the </w:t>
      </w:r>
      <w:r w:rsidR="00144343" w:rsidRPr="0088697A">
        <w:rPr>
          <w:rFonts w:ascii="Arial" w:hAnsi="Arial" w:cs="Arial"/>
          <w:sz w:val="22"/>
          <w:szCs w:val="22"/>
          <w:lang w:val="en-CA"/>
        </w:rPr>
        <w:t>s</w:t>
      </w:r>
      <w:r w:rsidRPr="0088697A">
        <w:rPr>
          <w:rFonts w:ascii="Arial" w:hAnsi="Arial" w:cs="Arial"/>
          <w:sz w:val="22"/>
          <w:szCs w:val="22"/>
          <w:lang w:val="en-CA"/>
        </w:rPr>
        <w:t>taffing process seamless and intuitive for candidates and hiring managers.</w:t>
      </w:r>
    </w:p>
    <w:p w:rsidR="005F523A" w:rsidRPr="0088697A" w:rsidRDefault="005F523A" w:rsidP="005F523A">
      <w:pPr>
        <w:pStyle w:val="Level1"/>
        <w:tabs>
          <w:tab w:val="left" w:pos="-1440"/>
        </w:tabs>
        <w:autoSpaceDE w:val="0"/>
        <w:autoSpaceDN w:val="0"/>
        <w:adjustRightInd w:val="0"/>
        <w:jc w:val="right"/>
        <w:rPr>
          <w:rFonts w:ascii="Arial" w:hAnsi="Arial" w:cs="Arial"/>
          <w:sz w:val="22"/>
          <w:szCs w:val="22"/>
          <w:lang w:val="en-CA"/>
        </w:rPr>
        <w:sectPr w:rsidR="005F523A" w:rsidRPr="0088697A" w:rsidSect="0058671B">
          <w:headerReference w:type="default" r:id="rId8"/>
          <w:footerReference w:type="default" r:id="rId9"/>
          <w:footnotePr>
            <w:numFmt w:val="lowerLetter"/>
          </w:footnotePr>
          <w:endnotePr>
            <w:numFmt w:val="lowerLetter"/>
          </w:endnotePr>
          <w:pgSz w:w="12240" w:h="15840" w:code="1"/>
          <w:pgMar w:top="709" w:right="1304" w:bottom="1361" w:left="1304" w:header="284" w:footer="284" w:gutter="0"/>
          <w:pgNumType w:start="1"/>
          <w:cols w:space="720"/>
          <w:docGrid w:linePitch="326"/>
        </w:sectPr>
      </w:pPr>
    </w:p>
    <w:p w:rsidR="003B6D6C" w:rsidRPr="0088697A" w:rsidRDefault="005F523A" w:rsidP="005F523A">
      <w:pPr>
        <w:pStyle w:val="Level1"/>
        <w:tabs>
          <w:tab w:val="left" w:pos="-1440"/>
        </w:tabs>
        <w:autoSpaceDE w:val="0"/>
        <w:autoSpaceDN w:val="0"/>
        <w:adjustRightInd w:val="0"/>
        <w:jc w:val="right"/>
        <w:rPr>
          <w:rFonts w:ascii="Arial" w:hAnsi="Arial" w:cs="Arial"/>
          <w:b/>
          <w:sz w:val="22"/>
          <w:szCs w:val="22"/>
          <w:lang w:val="en-CA"/>
        </w:rPr>
      </w:pPr>
      <w:bookmarkStart w:id="3" w:name="AnnexC"/>
      <w:r w:rsidRPr="0088697A">
        <w:rPr>
          <w:rFonts w:ascii="Arial" w:hAnsi="Arial" w:cs="Arial"/>
          <w:b/>
          <w:sz w:val="22"/>
          <w:szCs w:val="22"/>
          <w:lang w:val="en-CA"/>
        </w:rPr>
        <w:lastRenderedPageBreak/>
        <w:t xml:space="preserve">Annex </w:t>
      </w:r>
      <w:r w:rsidR="0068085E" w:rsidRPr="0088697A">
        <w:rPr>
          <w:rFonts w:ascii="Arial" w:hAnsi="Arial" w:cs="Arial"/>
          <w:b/>
          <w:sz w:val="22"/>
          <w:szCs w:val="22"/>
          <w:lang w:val="en-CA"/>
        </w:rPr>
        <w:t>C</w:t>
      </w:r>
    </w:p>
    <w:p w:rsidR="00C936CE" w:rsidRPr="0088697A" w:rsidRDefault="00C936CE">
      <w:pPr>
        <w:rPr>
          <w:rStyle w:val="Hyperlink"/>
          <w:b/>
          <w:noProof/>
          <w:lang w:val="en-CA" w:eastAsia="en-CA"/>
        </w:rPr>
      </w:pPr>
      <w:bookmarkStart w:id="4" w:name="AnnexD"/>
      <w:bookmarkEnd w:id="3"/>
    </w:p>
    <w:p w:rsidR="00C936CE" w:rsidRPr="00013C70" w:rsidRDefault="00C936CE" w:rsidP="00C936CE">
      <w:pPr>
        <w:pStyle w:val="Title"/>
        <w:tabs>
          <w:tab w:val="center" w:pos="11520"/>
          <w:tab w:val="left" w:pos="18666"/>
        </w:tabs>
        <w:spacing w:before="240"/>
        <w:contextualSpacing w:val="0"/>
        <w:jc w:val="center"/>
        <w:rPr>
          <w:rFonts w:ascii="Arial" w:hAnsi="Arial" w:cs="Arial"/>
          <w:bCs/>
          <w:color w:val="000000" w:themeColor="text1"/>
          <w:sz w:val="40"/>
          <w:szCs w:val="40"/>
        </w:rPr>
      </w:pPr>
      <w:r w:rsidRPr="00013C70">
        <w:rPr>
          <w:rFonts w:ascii="Arial" w:hAnsi="Arial" w:cs="Arial"/>
          <w:color w:val="000000" w:themeColor="text1"/>
          <w:sz w:val="40"/>
          <w:szCs w:val="40"/>
        </w:rPr>
        <w:t xml:space="preserve">A </w:t>
      </w:r>
      <w:r w:rsidRPr="00013C70">
        <w:rPr>
          <w:rFonts w:ascii="Arial" w:hAnsi="Arial" w:cs="Arial"/>
          <w:b/>
          <w:color w:val="000000" w:themeColor="text1"/>
          <w:sz w:val="40"/>
          <w:szCs w:val="40"/>
        </w:rPr>
        <w:t>New Direction</w:t>
      </w:r>
      <w:r w:rsidRPr="00013C70">
        <w:rPr>
          <w:rFonts w:ascii="Arial" w:hAnsi="Arial" w:cs="Arial"/>
          <w:color w:val="000000" w:themeColor="text1"/>
          <w:sz w:val="40"/>
          <w:szCs w:val="40"/>
        </w:rPr>
        <w:t xml:space="preserve"> </w:t>
      </w:r>
      <w:r w:rsidRPr="00013C70">
        <w:rPr>
          <w:rStyle w:val="SubtleEmphasis"/>
          <w:rFonts w:ascii="Arial" w:hAnsi="Arial" w:cs="Arial"/>
          <w:color w:val="000000" w:themeColor="text1"/>
          <w:sz w:val="40"/>
          <w:szCs w:val="40"/>
        </w:rPr>
        <w:t>in</w:t>
      </w:r>
      <w:r w:rsidRPr="00013C70">
        <w:rPr>
          <w:rFonts w:ascii="Arial" w:hAnsi="Arial" w:cs="Arial"/>
          <w:color w:val="000000" w:themeColor="text1"/>
          <w:sz w:val="40"/>
          <w:szCs w:val="40"/>
        </w:rPr>
        <w:t xml:space="preserve"> Staffing</w:t>
      </w:r>
    </w:p>
    <w:p w:rsidR="00C936CE" w:rsidRPr="00013C70" w:rsidRDefault="00C936CE" w:rsidP="00C936CE">
      <w:pPr>
        <w:jc w:val="center"/>
        <w:rPr>
          <w:rFonts w:ascii="Arial" w:hAnsi="Arial" w:cs="Arial"/>
          <w:b/>
          <w:color w:val="000000" w:themeColor="text1"/>
          <w:spacing w:val="44"/>
          <w:sz w:val="20"/>
          <w:lang w:val="en-CA"/>
        </w:rPr>
      </w:pPr>
      <w:r w:rsidRPr="00013C70">
        <w:rPr>
          <w:rFonts w:ascii="Arial" w:hAnsi="Arial" w:cs="Arial"/>
          <w:b/>
          <w:color w:val="000000" w:themeColor="text1"/>
          <w:spacing w:val="44"/>
          <w:sz w:val="20"/>
          <w:lang w:val="en-CA"/>
        </w:rPr>
        <w:t>A merit-based system that is effective, efficient and fair</w:t>
      </w:r>
    </w:p>
    <w:p w:rsidR="00C936CE" w:rsidRPr="0088697A" w:rsidRDefault="00C936CE" w:rsidP="00C936CE">
      <w:pPr>
        <w:rPr>
          <w:lang w:val="en-CA"/>
        </w:rPr>
      </w:pPr>
    </w:p>
    <w:p w:rsidR="00C936CE" w:rsidRPr="0088697A" w:rsidRDefault="00C936CE" w:rsidP="00C936CE">
      <w:pPr>
        <w:rPr>
          <w:lang w:val="en-CA"/>
        </w:rPr>
      </w:pPr>
    </w:p>
    <w:p w:rsidR="00C936CE" w:rsidRPr="0088697A" w:rsidRDefault="00C936CE" w:rsidP="00C936CE">
      <w:pPr>
        <w:pStyle w:val="ListParagraph"/>
        <w:numPr>
          <w:ilvl w:val="0"/>
          <w:numId w:val="41"/>
        </w:numPr>
        <w:spacing w:after="0" w:line="240" w:lineRule="auto"/>
        <w:ind w:left="284" w:hanging="284"/>
        <w:rPr>
          <w:rFonts w:ascii="Arial" w:hAnsi="Arial" w:cs="Arial"/>
          <w:color w:val="000000" w:themeColor="text1"/>
          <w:lang w:val="en-CA"/>
        </w:rPr>
      </w:pPr>
      <w:r w:rsidRPr="0088697A">
        <w:rPr>
          <w:rFonts w:ascii="Arial" w:hAnsi="Arial" w:cs="Arial"/>
          <w:color w:val="000000" w:themeColor="text1"/>
          <w:lang w:val="en-CA"/>
        </w:rPr>
        <w:t>Appointment Policy</w:t>
      </w:r>
    </w:p>
    <w:p w:rsidR="00C936CE" w:rsidRPr="0088697A" w:rsidRDefault="00C936CE" w:rsidP="00C936CE">
      <w:pPr>
        <w:rPr>
          <w:rFonts w:ascii="Arial" w:hAnsi="Arial" w:cs="Arial"/>
          <w:b/>
          <w:i/>
          <w:color w:val="0070C0"/>
          <w:sz w:val="16"/>
          <w:szCs w:val="16"/>
          <w:lang w:val="en-CA"/>
        </w:rPr>
      </w:pPr>
    </w:p>
    <w:p w:rsidR="00C936CE" w:rsidRPr="0088697A" w:rsidRDefault="00C936CE" w:rsidP="00C936CE">
      <w:pPr>
        <w:ind w:firstLine="426"/>
        <w:rPr>
          <w:rFonts w:ascii="Arial" w:hAnsi="Arial" w:cs="Arial"/>
          <w:i/>
          <w:color w:val="000000" w:themeColor="text1"/>
          <w:sz w:val="22"/>
          <w:szCs w:val="22"/>
          <w:lang w:val="en-CA"/>
        </w:rPr>
      </w:pPr>
      <w:r w:rsidRPr="0088697A">
        <w:rPr>
          <w:rFonts w:ascii="Arial" w:hAnsi="Arial" w:cs="Arial"/>
          <w:b/>
          <w:i/>
          <w:color w:val="0070C0"/>
          <w:sz w:val="22"/>
          <w:szCs w:val="22"/>
          <w:lang w:val="en-CA"/>
        </w:rPr>
        <w:t>New focus on core requirements</w:t>
      </w:r>
      <w:r w:rsidRPr="0088697A">
        <w:rPr>
          <w:rFonts w:ascii="Arial" w:hAnsi="Arial" w:cs="Arial"/>
          <w:i/>
          <w:color w:val="000000" w:themeColor="text1"/>
          <w:sz w:val="22"/>
          <w:szCs w:val="22"/>
          <w:lang w:val="en-CA"/>
        </w:rPr>
        <w:t xml:space="preserve"> to provide sub-delegated persons greater discretion in making an appointment</w:t>
      </w:r>
    </w:p>
    <w:p w:rsidR="00C936CE" w:rsidRPr="0088697A" w:rsidRDefault="00C936CE" w:rsidP="00C936CE">
      <w:pPr>
        <w:rPr>
          <w:rFonts w:ascii="Arial" w:hAnsi="Arial" w:cs="Arial"/>
          <w:i/>
          <w:color w:val="000000" w:themeColor="text1"/>
          <w:sz w:val="22"/>
          <w:szCs w:val="22"/>
          <w:lang w:val="en-CA"/>
        </w:rPr>
      </w:pPr>
    </w:p>
    <w:p w:rsidR="00C936CE" w:rsidRPr="0088697A" w:rsidRDefault="00C936CE" w:rsidP="00C936CE">
      <w:pPr>
        <w:pStyle w:val="ListParagraph"/>
        <w:numPr>
          <w:ilvl w:val="0"/>
          <w:numId w:val="42"/>
        </w:numPr>
        <w:rPr>
          <w:rFonts w:ascii="Arial" w:hAnsi="Arial" w:cs="Arial"/>
          <w:color w:val="000000" w:themeColor="text1"/>
          <w:lang w:val="en-CA"/>
        </w:rPr>
      </w:pPr>
      <w:r w:rsidRPr="0088697A">
        <w:rPr>
          <w:rFonts w:ascii="Arial" w:hAnsi="Arial" w:cs="Arial"/>
          <w:b/>
          <w:color w:val="0070C0"/>
          <w:lang w:val="en-CA"/>
        </w:rPr>
        <w:t>One Appointment Policy</w:t>
      </w:r>
      <w:r w:rsidRPr="0088697A">
        <w:rPr>
          <w:rFonts w:ascii="Arial" w:hAnsi="Arial" w:cs="Arial"/>
          <w:color w:val="000000" w:themeColor="text1"/>
          <w:lang w:val="en-CA"/>
        </w:rPr>
        <w:t xml:space="preserve">, no duplication with legal requirements </w:t>
      </w:r>
    </w:p>
    <w:p w:rsidR="00C936CE" w:rsidRPr="0088697A" w:rsidRDefault="00C936CE" w:rsidP="00C936CE">
      <w:pPr>
        <w:pStyle w:val="ListParagraph"/>
        <w:numPr>
          <w:ilvl w:val="0"/>
          <w:numId w:val="42"/>
        </w:numPr>
        <w:rPr>
          <w:rFonts w:ascii="Arial" w:hAnsi="Arial" w:cs="Arial"/>
          <w:color w:val="000000" w:themeColor="text1"/>
          <w:lang w:val="en-CA"/>
        </w:rPr>
      </w:pPr>
      <w:r w:rsidRPr="0088697A">
        <w:rPr>
          <w:rFonts w:ascii="Arial" w:hAnsi="Arial" w:cs="Arial"/>
          <w:b/>
          <w:color w:val="0070C0"/>
          <w:lang w:val="en-CA"/>
        </w:rPr>
        <w:t>Broader focus on values-based system</w:t>
      </w:r>
      <w:r w:rsidRPr="0088697A">
        <w:rPr>
          <w:rFonts w:ascii="Arial" w:hAnsi="Arial" w:cs="Arial"/>
          <w:lang w:val="en-CA"/>
        </w:rPr>
        <w:t>, away from rules-based system</w:t>
      </w:r>
      <w:r w:rsidRPr="0088697A">
        <w:rPr>
          <w:rFonts w:ascii="Arial" w:hAnsi="Arial" w:cs="Arial"/>
          <w:b/>
          <w:lang w:val="en-CA"/>
        </w:rPr>
        <w:t xml:space="preserve"> </w:t>
      </w:r>
    </w:p>
    <w:p w:rsidR="00C936CE" w:rsidRPr="0088697A" w:rsidRDefault="00C936CE" w:rsidP="00C936CE">
      <w:pPr>
        <w:pStyle w:val="ListParagraph"/>
        <w:numPr>
          <w:ilvl w:val="0"/>
          <w:numId w:val="42"/>
        </w:numPr>
        <w:rPr>
          <w:rFonts w:ascii="Arial" w:hAnsi="Arial" w:cs="Arial"/>
          <w:color w:val="000000" w:themeColor="text1"/>
          <w:lang w:val="en-CA"/>
        </w:rPr>
      </w:pPr>
      <w:r w:rsidRPr="0088697A">
        <w:rPr>
          <w:rFonts w:ascii="Arial" w:hAnsi="Arial" w:cs="Arial"/>
          <w:color w:val="000000" w:themeColor="text1"/>
          <w:lang w:val="en-CA"/>
        </w:rPr>
        <w:t xml:space="preserve">Appointment Policy supported by </w:t>
      </w:r>
      <w:r w:rsidRPr="0088697A">
        <w:rPr>
          <w:rFonts w:ascii="Arial" w:hAnsi="Arial" w:cs="Arial"/>
          <w:b/>
          <w:color w:val="0070C0"/>
          <w:lang w:val="en-CA"/>
        </w:rPr>
        <w:t>streamlined guidance</w:t>
      </w:r>
      <w:r w:rsidRPr="0088697A">
        <w:rPr>
          <w:rFonts w:ascii="Arial" w:hAnsi="Arial" w:cs="Arial"/>
          <w:b/>
          <w:lang w:val="en-CA"/>
        </w:rPr>
        <w:t>:</w:t>
      </w:r>
      <w:r w:rsidRPr="0088697A">
        <w:rPr>
          <w:rFonts w:ascii="Arial" w:hAnsi="Arial" w:cs="Arial"/>
          <w:color w:val="0070C0"/>
          <w:lang w:val="en-CA"/>
        </w:rPr>
        <w:t xml:space="preserve"> </w:t>
      </w:r>
    </w:p>
    <w:p w:rsidR="00C936CE" w:rsidRPr="0088697A" w:rsidRDefault="00C936CE" w:rsidP="00C936CE">
      <w:pPr>
        <w:pStyle w:val="ListParagraph"/>
        <w:numPr>
          <w:ilvl w:val="1"/>
          <w:numId w:val="42"/>
        </w:numPr>
        <w:rPr>
          <w:rFonts w:ascii="Arial" w:hAnsi="Arial" w:cs="Arial"/>
          <w:color w:val="000000" w:themeColor="text1"/>
          <w:lang w:val="en-CA"/>
        </w:rPr>
      </w:pPr>
      <w:r w:rsidRPr="0088697A">
        <w:rPr>
          <w:rFonts w:ascii="Arial" w:hAnsi="Arial" w:cs="Arial"/>
          <w:color w:val="000000" w:themeColor="text1"/>
          <w:lang w:val="en-CA"/>
        </w:rPr>
        <w:t>A roadmap to the requirements in legislation, regulations and policy</w:t>
      </w:r>
    </w:p>
    <w:p w:rsidR="00C936CE" w:rsidRPr="0088697A" w:rsidRDefault="00C936CE" w:rsidP="00C936CE">
      <w:pPr>
        <w:pStyle w:val="ListParagraph"/>
        <w:numPr>
          <w:ilvl w:val="1"/>
          <w:numId w:val="42"/>
        </w:numPr>
        <w:rPr>
          <w:rFonts w:ascii="Arial" w:hAnsi="Arial" w:cs="Arial"/>
          <w:color w:val="000000" w:themeColor="text1"/>
          <w:lang w:val="en-CA"/>
        </w:rPr>
      </w:pPr>
      <w:r w:rsidRPr="0088697A">
        <w:rPr>
          <w:rFonts w:ascii="Arial" w:hAnsi="Arial" w:cs="Arial"/>
          <w:color w:val="000000" w:themeColor="text1"/>
          <w:lang w:val="en-CA"/>
        </w:rPr>
        <w:t>Options and considerations for decision-making where there is discretion</w:t>
      </w:r>
    </w:p>
    <w:p w:rsidR="00C936CE" w:rsidRPr="0088697A" w:rsidRDefault="00C936CE" w:rsidP="00C936CE">
      <w:pPr>
        <w:pStyle w:val="ListParagraph"/>
        <w:numPr>
          <w:ilvl w:val="0"/>
          <w:numId w:val="42"/>
        </w:numPr>
        <w:rPr>
          <w:rFonts w:ascii="Arial" w:hAnsi="Arial" w:cs="Arial"/>
          <w:color w:val="000000" w:themeColor="text1"/>
          <w:lang w:val="en-CA"/>
        </w:rPr>
      </w:pPr>
      <w:r w:rsidRPr="0088697A">
        <w:rPr>
          <w:rFonts w:ascii="Arial" w:hAnsi="Arial" w:cs="Arial"/>
          <w:b/>
          <w:color w:val="0070C0"/>
          <w:lang w:val="en-CA"/>
        </w:rPr>
        <w:t>Clear expectations</w:t>
      </w:r>
      <w:r w:rsidRPr="0088697A">
        <w:rPr>
          <w:rFonts w:ascii="Arial" w:hAnsi="Arial" w:cs="Arial"/>
          <w:color w:val="000000" w:themeColor="text1"/>
          <w:lang w:val="en-CA"/>
        </w:rPr>
        <w:t xml:space="preserve"> for priority entitlements</w:t>
      </w:r>
    </w:p>
    <w:p w:rsidR="00C936CE" w:rsidRPr="0088697A" w:rsidRDefault="00C936CE" w:rsidP="00C936CE">
      <w:pPr>
        <w:pStyle w:val="ListParagraph"/>
        <w:numPr>
          <w:ilvl w:val="0"/>
          <w:numId w:val="42"/>
        </w:numPr>
        <w:rPr>
          <w:rFonts w:ascii="Arial" w:hAnsi="Arial" w:cs="Arial"/>
          <w:lang w:val="en-CA"/>
        </w:rPr>
      </w:pPr>
      <w:r w:rsidRPr="0088697A">
        <w:rPr>
          <w:rFonts w:ascii="Arial" w:hAnsi="Arial" w:cs="Arial"/>
          <w:lang w:val="en-CA"/>
        </w:rPr>
        <w:t>No restrictions to assessment methods for EX appointments</w:t>
      </w:r>
    </w:p>
    <w:p w:rsidR="00C936CE" w:rsidRPr="0088697A" w:rsidRDefault="00C936CE" w:rsidP="00C936CE">
      <w:pPr>
        <w:pStyle w:val="ListParagraph"/>
        <w:numPr>
          <w:ilvl w:val="0"/>
          <w:numId w:val="42"/>
        </w:numPr>
        <w:rPr>
          <w:rFonts w:ascii="Arial" w:hAnsi="Arial" w:cs="Arial"/>
          <w:lang w:val="en-CA"/>
        </w:rPr>
      </w:pPr>
      <w:r w:rsidRPr="0088697A">
        <w:rPr>
          <w:rFonts w:ascii="Arial" w:hAnsi="Arial" w:cs="Arial"/>
          <w:lang w:val="en-CA"/>
        </w:rPr>
        <w:t>Exceptions to National Area of Selection approved by deputy head</w:t>
      </w:r>
    </w:p>
    <w:p w:rsidR="00C936CE" w:rsidRPr="0088697A" w:rsidRDefault="00C936CE" w:rsidP="00C936CE">
      <w:pPr>
        <w:pStyle w:val="ListParagraph"/>
        <w:ind w:left="360"/>
        <w:rPr>
          <w:rFonts w:ascii="Arial" w:hAnsi="Arial" w:cs="Arial"/>
          <w:lang w:val="en-CA"/>
        </w:rPr>
      </w:pPr>
      <w:r w:rsidRPr="0088697A">
        <w:rPr>
          <w:rFonts w:ascii="Arial" w:hAnsi="Arial" w:cs="Arial"/>
          <w:lang w:val="en-CA"/>
        </w:rPr>
        <w:t xml:space="preserve"> </w:t>
      </w:r>
    </w:p>
    <w:p w:rsidR="00C936CE" w:rsidRPr="0088697A" w:rsidRDefault="00C936CE" w:rsidP="00C936CE">
      <w:pPr>
        <w:pStyle w:val="ListParagraph"/>
        <w:numPr>
          <w:ilvl w:val="0"/>
          <w:numId w:val="37"/>
        </w:numPr>
        <w:spacing w:after="0" w:line="240" w:lineRule="auto"/>
        <w:ind w:left="284" w:hanging="284"/>
        <w:rPr>
          <w:rFonts w:ascii="Arial" w:hAnsi="Arial" w:cs="Arial"/>
          <w:color w:val="E7E6E6" w:themeColor="background2"/>
          <w:lang w:val="en-CA"/>
        </w:rPr>
      </w:pPr>
      <w:r w:rsidRPr="0088697A">
        <w:rPr>
          <w:rFonts w:ascii="Arial" w:hAnsi="Arial" w:cs="Arial"/>
          <w:color w:val="000000" w:themeColor="text1"/>
          <w:lang w:val="en-CA"/>
        </w:rPr>
        <w:t>Delegation</w:t>
      </w:r>
    </w:p>
    <w:p w:rsidR="00C936CE" w:rsidRPr="0088697A" w:rsidRDefault="00C936CE" w:rsidP="00C936CE">
      <w:pPr>
        <w:pStyle w:val="ListParagraph"/>
        <w:ind w:left="360"/>
        <w:rPr>
          <w:rFonts w:ascii="Arial" w:hAnsi="Arial" w:cs="Arial"/>
          <w:color w:val="E7E6E6" w:themeColor="background2"/>
          <w:lang w:val="en-CA"/>
        </w:rPr>
      </w:pPr>
    </w:p>
    <w:p w:rsidR="00C936CE" w:rsidRPr="0088697A" w:rsidRDefault="00C936CE" w:rsidP="00C936CE">
      <w:pPr>
        <w:spacing w:after="240"/>
        <w:ind w:firstLine="425"/>
        <w:rPr>
          <w:rFonts w:ascii="Arial" w:hAnsi="Arial" w:cs="Arial"/>
          <w:i/>
          <w:color w:val="000000" w:themeColor="text1"/>
          <w:sz w:val="22"/>
          <w:szCs w:val="22"/>
          <w:lang w:val="en-CA"/>
        </w:rPr>
      </w:pPr>
      <w:r w:rsidRPr="0088697A">
        <w:rPr>
          <w:rFonts w:ascii="Arial" w:hAnsi="Arial" w:cs="Arial"/>
          <w:b/>
          <w:i/>
          <w:color w:val="0070C0"/>
          <w:sz w:val="22"/>
          <w:szCs w:val="22"/>
          <w:lang w:val="en-CA"/>
        </w:rPr>
        <w:t>New ability to customize</w:t>
      </w:r>
      <w:r w:rsidRPr="0088697A">
        <w:rPr>
          <w:rFonts w:ascii="Arial" w:hAnsi="Arial" w:cs="Arial"/>
          <w:i/>
          <w:color w:val="0070C0"/>
          <w:sz w:val="22"/>
          <w:szCs w:val="22"/>
          <w:lang w:val="en-CA"/>
        </w:rPr>
        <w:t xml:space="preserve"> </w:t>
      </w:r>
      <w:r w:rsidRPr="0088697A">
        <w:rPr>
          <w:rFonts w:ascii="Arial" w:hAnsi="Arial" w:cs="Arial"/>
          <w:b/>
          <w:i/>
          <w:color w:val="2E74B5" w:themeColor="accent1" w:themeShade="BF"/>
          <w:sz w:val="22"/>
          <w:szCs w:val="22"/>
          <w:lang w:val="en-CA"/>
        </w:rPr>
        <w:t>organizational staffing system</w:t>
      </w:r>
      <w:r w:rsidRPr="0088697A">
        <w:rPr>
          <w:rFonts w:ascii="Arial" w:hAnsi="Arial" w:cs="Arial"/>
          <w:i/>
          <w:color w:val="000000" w:themeColor="text1"/>
          <w:sz w:val="22"/>
          <w:szCs w:val="22"/>
          <w:lang w:val="en-CA"/>
        </w:rPr>
        <w:t xml:space="preserve"> based on unique context and evolving business needs </w:t>
      </w:r>
    </w:p>
    <w:p w:rsidR="00C936CE" w:rsidRPr="0088697A" w:rsidRDefault="00C936CE" w:rsidP="00C936CE">
      <w:pPr>
        <w:pStyle w:val="ListParagraph"/>
        <w:numPr>
          <w:ilvl w:val="0"/>
          <w:numId w:val="43"/>
        </w:numPr>
        <w:rPr>
          <w:rFonts w:ascii="Arial" w:hAnsi="Arial" w:cs="Arial"/>
          <w:lang w:val="en-CA"/>
        </w:rPr>
      </w:pPr>
      <w:r w:rsidRPr="0088697A">
        <w:rPr>
          <w:rFonts w:ascii="Arial" w:hAnsi="Arial" w:cs="Arial"/>
          <w:lang w:val="en-CA"/>
        </w:rPr>
        <w:t xml:space="preserve">Deputy head to establish a direction on the </w:t>
      </w:r>
      <w:r w:rsidRPr="0088697A">
        <w:rPr>
          <w:rFonts w:ascii="Arial" w:hAnsi="Arial" w:cs="Arial"/>
          <w:b/>
          <w:color w:val="0070C0"/>
          <w:lang w:val="en-CA"/>
        </w:rPr>
        <w:t>use of advertised and non-advertised</w:t>
      </w:r>
      <w:r w:rsidRPr="0088697A">
        <w:rPr>
          <w:rFonts w:ascii="Arial" w:hAnsi="Arial" w:cs="Arial"/>
          <w:color w:val="0070C0"/>
          <w:lang w:val="en-CA"/>
        </w:rPr>
        <w:t xml:space="preserve"> </w:t>
      </w:r>
      <w:r w:rsidRPr="0088697A">
        <w:rPr>
          <w:rFonts w:ascii="Arial" w:hAnsi="Arial" w:cs="Arial"/>
          <w:lang w:val="en-CA"/>
        </w:rPr>
        <w:t xml:space="preserve">appointment processes </w:t>
      </w:r>
    </w:p>
    <w:p w:rsidR="00C936CE" w:rsidRPr="0088697A" w:rsidRDefault="00C936CE" w:rsidP="00C936CE">
      <w:pPr>
        <w:pStyle w:val="ListParagraph"/>
        <w:numPr>
          <w:ilvl w:val="0"/>
          <w:numId w:val="43"/>
        </w:numPr>
        <w:rPr>
          <w:rFonts w:ascii="Arial" w:hAnsi="Arial" w:cs="Arial"/>
          <w:color w:val="000000" w:themeColor="text1"/>
          <w:lang w:val="en-CA"/>
        </w:rPr>
      </w:pPr>
      <w:r w:rsidRPr="0088697A">
        <w:rPr>
          <w:rFonts w:ascii="Arial" w:hAnsi="Arial" w:cs="Arial"/>
          <w:color w:val="000000" w:themeColor="text1"/>
          <w:lang w:val="en-CA"/>
        </w:rPr>
        <w:t xml:space="preserve">Deputy head to establish requirement(s) for sub-delegated persons to </w:t>
      </w:r>
      <w:r w:rsidRPr="0088697A">
        <w:rPr>
          <w:rFonts w:ascii="Arial" w:hAnsi="Arial" w:cs="Arial"/>
          <w:b/>
          <w:color w:val="0070C0"/>
          <w:lang w:val="en-CA"/>
        </w:rPr>
        <w:t>articulate, in writing, their selection decision</w:t>
      </w:r>
      <w:r w:rsidRPr="0088697A">
        <w:rPr>
          <w:rFonts w:ascii="Arial" w:hAnsi="Arial" w:cs="Arial"/>
          <w:color w:val="000000" w:themeColor="text1"/>
          <w:lang w:val="en-CA"/>
        </w:rPr>
        <w:t xml:space="preserve"> </w:t>
      </w:r>
    </w:p>
    <w:p w:rsidR="00C936CE" w:rsidRPr="0088697A" w:rsidRDefault="00C936CE" w:rsidP="00C936CE">
      <w:pPr>
        <w:pStyle w:val="ListParagraph"/>
        <w:numPr>
          <w:ilvl w:val="0"/>
          <w:numId w:val="43"/>
        </w:numPr>
        <w:rPr>
          <w:rFonts w:ascii="Arial" w:hAnsi="Arial" w:cs="Arial"/>
          <w:color w:val="000000" w:themeColor="text1"/>
          <w:lang w:val="en-CA"/>
        </w:rPr>
      </w:pPr>
      <w:r w:rsidRPr="0088697A">
        <w:rPr>
          <w:rFonts w:ascii="Arial" w:hAnsi="Arial" w:cs="Arial"/>
          <w:lang w:val="en-CA"/>
        </w:rPr>
        <w:t>Clarity on requirements related to investigations</w:t>
      </w:r>
    </w:p>
    <w:p w:rsidR="00C936CE" w:rsidRPr="0088697A" w:rsidRDefault="00C936CE" w:rsidP="00C936CE">
      <w:pPr>
        <w:pStyle w:val="ListParagraph"/>
        <w:numPr>
          <w:ilvl w:val="0"/>
          <w:numId w:val="43"/>
        </w:numPr>
        <w:rPr>
          <w:rFonts w:ascii="Arial" w:hAnsi="Arial" w:cs="Arial"/>
          <w:color w:val="000000" w:themeColor="text1"/>
          <w:lang w:val="en-CA"/>
        </w:rPr>
      </w:pPr>
      <w:r w:rsidRPr="0088697A">
        <w:rPr>
          <w:rFonts w:ascii="Arial" w:hAnsi="Arial" w:cs="Arial"/>
          <w:b/>
          <w:color w:val="0070C0"/>
          <w:lang w:val="en-CA"/>
        </w:rPr>
        <w:t>Attestation form</w:t>
      </w:r>
      <w:r w:rsidRPr="0088697A">
        <w:rPr>
          <w:rFonts w:ascii="Arial" w:hAnsi="Arial" w:cs="Arial"/>
          <w:color w:val="000000" w:themeColor="text1"/>
          <w:lang w:val="en-CA"/>
        </w:rPr>
        <w:t xml:space="preserve"> to reinforce the accountabilities of sub-delegated persons </w:t>
      </w:r>
    </w:p>
    <w:p w:rsidR="00C936CE" w:rsidRPr="0088697A" w:rsidRDefault="00C936CE" w:rsidP="00C936CE">
      <w:pPr>
        <w:ind w:right="-202" w:firstLine="426"/>
        <w:rPr>
          <w:rFonts w:ascii="Arial" w:hAnsi="Arial" w:cs="Arial"/>
          <w:color w:val="000000" w:themeColor="text1"/>
          <w:sz w:val="22"/>
          <w:szCs w:val="22"/>
          <w:lang w:val="en-CA"/>
        </w:rPr>
      </w:pPr>
      <w:r w:rsidRPr="0088697A">
        <w:rPr>
          <w:rFonts w:ascii="Arial" w:hAnsi="Arial" w:cs="Arial"/>
          <w:color w:val="000000" w:themeColor="text1"/>
          <w:sz w:val="22"/>
          <w:szCs w:val="22"/>
          <w:lang w:val="en-CA"/>
        </w:rPr>
        <w:t>All PSC monitoring and reporting requirements now found in the Appointment Delegation and Accountability Instrument</w:t>
      </w:r>
    </w:p>
    <w:p w:rsidR="00C936CE" w:rsidRPr="0088697A" w:rsidRDefault="00C936CE" w:rsidP="00C936CE">
      <w:pPr>
        <w:rPr>
          <w:rFonts w:ascii="Arial" w:hAnsi="Arial" w:cs="Arial"/>
          <w:sz w:val="22"/>
          <w:szCs w:val="22"/>
          <w:lang w:val="en-CA"/>
        </w:rPr>
      </w:pPr>
    </w:p>
    <w:p w:rsidR="00C936CE" w:rsidRPr="0088697A" w:rsidRDefault="00C936CE" w:rsidP="00C936CE">
      <w:pPr>
        <w:pStyle w:val="ListParagraph"/>
        <w:numPr>
          <w:ilvl w:val="0"/>
          <w:numId w:val="44"/>
        </w:numPr>
        <w:spacing w:after="0" w:line="240" w:lineRule="auto"/>
        <w:ind w:left="284" w:hanging="284"/>
        <w:rPr>
          <w:rFonts w:ascii="Arial" w:hAnsi="Arial" w:cs="Arial"/>
          <w:color w:val="000000" w:themeColor="text1"/>
          <w:lang w:val="en-CA"/>
        </w:rPr>
      </w:pPr>
      <w:r w:rsidRPr="0088697A">
        <w:rPr>
          <w:rFonts w:ascii="Arial" w:hAnsi="Arial" w:cs="Arial"/>
          <w:color w:val="000000" w:themeColor="text1"/>
          <w:lang w:val="en-CA"/>
        </w:rPr>
        <w:t>Monitoring and Reporting</w:t>
      </w:r>
    </w:p>
    <w:p w:rsidR="00C936CE" w:rsidRPr="0088697A" w:rsidRDefault="00C936CE" w:rsidP="00C936CE">
      <w:pPr>
        <w:rPr>
          <w:rFonts w:ascii="Arial" w:hAnsi="Arial" w:cs="Arial"/>
          <w:color w:val="000000" w:themeColor="text1"/>
          <w:sz w:val="22"/>
          <w:szCs w:val="22"/>
          <w:lang w:val="en-CA"/>
        </w:rPr>
      </w:pPr>
    </w:p>
    <w:p w:rsidR="00C936CE" w:rsidRPr="0088697A" w:rsidRDefault="00C936CE" w:rsidP="00C936CE">
      <w:pPr>
        <w:ind w:firstLine="426"/>
        <w:rPr>
          <w:rFonts w:ascii="Arial" w:hAnsi="Arial" w:cs="Arial"/>
          <w:i/>
          <w:sz w:val="22"/>
          <w:szCs w:val="22"/>
          <w:lang w:val="en-CA"/>
        </w:rPr>
      </w:pPr>
      <w:r w:rsidRPr="0088697A">
        <w:rPr>
          <w:rFonts w:ascii="Arial" w:hAnsi="Arial" w:cs="Arial"/>
          <w:b/>
          <w:i/>
          <w:color w:val="0070C0"/>
          <w:sz w:val="22"/>
          <w:szCs w:val="22"/>
          <w:lang w:val="en-CA"/>
        </w:rPr>
        <w:t>Monitoring built by organizations</w:t>
      </w:r>
      <w:r w:rsidRPr="0088697A">
        <w:rPr>
          <w:rFonts w:ascii="Arial" w:hAnsi="Arial" w:cs="Arial"/>
          <w:i/>
          <w:sz w:val="22"/>
          <w:szCs w:val="22"/>
          <w:lang w:val="en-CA"/>
        </w:rPr>
        <w:t>, targeted to their needs</w:t>
      </w:r>
    </w:p>
    <w:p w:rsidR="00C936CE" w:rsidRPr="0088697A" w:rsidRDefault="00C936CE" w:rsidP="00C936CE">
      <w:pPr>
        <w:rPr>
          <w:rFonts w:ascii="Arial" w:hAnsi="Arial" w:cs="Arial"/>
          <w:b/>
          <w:i/>
          <w:color w:val="0070C0"/>
          <w:sz w:val="22"/>
          <w:szCs w:val="22"/>
          <w:lang w:val="en-CA"/>
        </w:rPr>
      </w:pPr>
    </w:p>
    <w:p w:rsidR="00C936CE" w:rsidRPr="0088697A" w:rsidRDefault="00C936CE" w:rsidP="00C936CE">
      <w:pPr>
        <w:pStyle w:val="ListParagraph"/>
        <w:numPr>
          <w:ilvl w:val="0"/>
          <w:numId w:val="45"/>
        </w:numPr>
        <w:rPr>
          <w:rFonts w:ascii="Arial" w:hAnsi="Arial" w:cs="Arial"/>
          <w:color w:val="000000" w:themeColor="text1"/>
          <w:lang w:val="en-CA"/>
        </w:rPr>
      </w:pPr>
      <w:r w:rsidRPr="0088697A">
        <w:rPr>
          <w:rFonts w:ascii="Arial" w:hAnsi="Arial" w:cs="Arial"/>
          <w:color w:val="000000" w:themeColor="text1"/>
          <w:lang w:val="en-CA"/>
        </w:rPr>
        <w:t>Annual Departmental Staffing  Accountability Report no longer required</w:t>
      </w:r>
    </w:p>
    <w:p w:rsidR="00C936CE" w:rsidRPr="0088697A" w:rsidRDefault="00C936CE" w:rsidP="00C936CE">
      <w:pPr>
        <w:pStyle w:val="ListParagraph"/>
        <w:numPr>
          <w:ilvl w:val="0"/>
          <w:numId w:val="45"/>
        </w:numPr>
        <w:rPr>
          <w:rFonts w:ascii="Arial" w:hAnsi="Arial" w:cs="Arial"/>
          <w:lang w:val="en-CA"/>
        </w:rPr>
      </w:pPr>
      <w:r w:rsidRPr="0088697A">
        <w:rPr>
          <w:rFonts w:ascii="Arial" w:hAnsi="Arial" w:cs="Arial"/>
          <w:b/>
          <w:color w:val="0070C0"/>
          <w:lang w:val="en-CA"/>
        </w:rPr>
        <w:t>Annual reporting to the PSC</w:t>
      </w:r>
      <w:r w:rsidRPr="0088697A">
        <w:rPr>
          <w:rFonts w:ascii="Arial" w:hAnsi="Arial" w:cs="Arial"/>
          <w:lang w:val="en-CA"/>
        </w:rPr>
        <w:t xml:space="preserve"> </w:t>
      </w:r>
      <w:r w:rsidRPr="0088697A">
        <w:rPr>
          <w:rFonts w:ascii="Arial" w:hAnsi="Arial" w:cs="Arial"/>
          <w:b/>
          <w:color w:val="2E74B5" w:themeColor="accent1" w:themeShade="BF"/>
          <w:lang w:val="en-CA"/>
        </w:rPr>
        <w:t>limited</w:t>
      </w:r>
      <w:r w:rsidRPr="0088697A">
        <w:rPr>
          <w:rFonts w:ascii="Arial" w:hAnsi="Arial" w:cs="Arial"/>
          <w:lang w:val="en-CA"/>
        </w:rPr>
        <w:t xml:space="preserve"> to:</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color w:val="000000" w:themeColor="text1"/>
          <w:lang w:val="en-CA"/>
        </w:rPr>
        <w:t>use of Public Service Official Languages Exclusion Approval Order</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color w:val="000000" w:themeColor="text1"/>
          <w:lang w:val="en-CA"/>
        </w:rPr>
        <w:t>exceptions to the National Area of Selection approved by the deputy head</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color w:val="000000" w:themeColor="text1"/>
          <w:lang w:val="en-CA"/>
        </w:rPr>
        <w:t>results of any internal investigations</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color w:val="000000" w:themeColor="text1"/>
          <w:lang w:val="en-CA"/>
        </w:rPr>
        <w:t>Actions taken following any PSC investigations or audits.</w:t>
      </w:r>
    </w:p>
    <w:p w:rsidR="00C936CE" w:rsidRPr="0088697A" w:rsidRDefault="00C936CE" w:rsidP="00C936CE">
      <w:pPr>
        <w:pStyle w:val="ListParagraph"/>
        <w:ind w:left="1440"/>
        <w:rPr>
          <w:rFonts w:ascii="Arial" w:hAnsi="Arial" w:cs="Arial"/>
          <w:color w:val="000000" w:themeColor="text1"/>
          <w:lang w:val="en-CA"/>
        </w:rPr>
      </w:pPr>
    </w:p>
    <w:p w:rsidR="00C936CE" w:rsidRPr="0088697A" w:rsidRDefault="00C936CE" w:rsidP="00C936CE">
      <w:pPr>
        <w:pStyle w:val="ListParagraph"/>
        <w:numPr>
          <w:ilvl w:val="0"/>
          <w:numId w:val="45"/>
        </w:numPr>
        <w:rPr>
          <w:rFonts w:ascii="Arial" w:hAnsi="Arial" w:cs="Arial"/>
          <w:color w:val="000000" w:themeColor="text1"/>
          <w:lang w:val="en-CA"/>
        </w:rPr>
      </w:pPr>
      <w:r w:rsidRPr="0088697A">
        <w:rPr>
          <w:rFonts w:ascii="Arial" w:hAnsi="Arial" w:cs="Arial"/>
          <w:color w:val="000000" w:themeColor="text1"/>
          <w:lang w:val="en-CA"/>
        </w:rPr>
        <w:t>Deputy head</w:t>
      </w:r>
      <w:r w:rsidRPr="0088697A">
        <w:rPr>
          <w:rFonts w:ascii="Arial" w:hAnsi="Arial" w:cs="Arial"/>
          <w:color w:val="0070C0"/>
          <w:lang w:val="en-CA"/>
        </w:rPr>
        <w:t xml:space="preserve"> </w:t>
      </w:r>
      <w:r w:rsidRPr="0088697A">
        <w:rPr>
          <w:rFonts w:ascii="Arial" w:hAnsi="Arial" w:cs="Arial"/>
          <w:color w:val="000000" w:themeColor="text1"/>
          <w:lang w:val="en-CA"/>
        </w:rPr>
        <w:t>responsible for</w:t>
      </w:r>
      <w:r w:rsidRPr="0088697A">
        <w:rPr>
          <w:rFonts w:ascii="Arial" w:hAnsi="Arial" w:cs="Arial"/>
          <w:b/>
          <w:color w:val="0070C0"/>
          <w:lang w:val="en-CA"/>
        </w:rPr>
        <w:t xml:space="preserve"> ongoing monitoring of organizational staffing system</w:t>
      </w:r>
      <w:r w:rsidRPr="0088697A">
        <w:rPr>
          <w:rFonts w:ascii="Arial" w:hAnsi="Arial" w:cs="Arial"/>
          <w:color w:val="000000" w:themeColor="text1"/>
          <w:lang w:val="en-CA"/>
        </w:rPr>
        <w:t xml:space="preserve"> based on the organization’s unique context </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b/>
          <w:color w:val="0070C0"/>
          <w:lang w:val="en-CA"/>
        </w:rPr>
        <w:lastRenderedPageBreak/>
        <w:t>assessment of adherence to requirements,</w:t>
      </w:r>
      <w:r w:rsidRPr="0088697A">
        <w:rPr>
          <w:rFonts w:ascii="Arial" w:hAnsi="Arial" w:cs="Arial"/>
          <w:color w:val="000000" w:themeColor="text1"/>
          <w:lang w:val="en-CA"/>
        </w:rPr>
        <w:t xml:space="preserve"> based on organization’s own risks, at a minimum every five years</w:t>
      </w:r>
    </w:p>
    <w:p w:rsidR="00C936CE" w:rsidRPr="0088697A" w:rsidRDefault="00C936CE" w:rsidP="00C936CE">
      <w:pPr>
        <w:pStyle w:val="ListParagraph"/>
        <w:ind w:left="1440"/>
        <w:rPr>
          <w:rFonts w:ascii="Arial" w:hAnsi="Arial" w:cs="Arial"/>
          <w:color w:val="000000" w:themeColor="text1"/>
          <w:lang w:val="en-CA"/>
        </w:rPr>
      </w:pPr>
    </w:p>
    <w:p w:rsidR="00C936CE" w:rsidRPr="0088697A" w:rsidRDefault="00C936CE" w:rsidP="00C936CE">
      <w:pPr>
        <w:pStyle w:val="Title"/>
        <w:numPr>
          <w:ilvl w:val="0"/>
          <w:numId w:val="45"/>
        </w:numPr>
        <w:spacing w:after="120"/>
        <w:ind w:left="284" w:hanging="142"/>
        <w:rPr>
          <w:rFonts w:ascii="Arial" w:hAnsi="Arial" w:cs="Arial"/>
          <w:color w:val="000000" w:themeColor="text1"/>
          <w:sz w:val="22"/>
          <w:szCs w:val="22"/>
        </w:rPr>
      </w:pPr>
      <w:r w:rsidRPr="0088697A">
        <w:rPr>
          <w:rFonts w:ascii="Arial" w:hAnsi="Arial" w:cs="Arial"/>
          <w:color w:val="000000" w:themeColor="text1"/>
          <w:sz w:val="22"/>
          <w:szCs w:val="22"/>
        </w:rPr>
        <w:t>PSC Oversight</w:t>
      </w:r>
    </w:p>
    <w:p w:rsidR="00C936CE" w:rsidRPr="0088697A" w:rsidRDefault="009B6741" w:rsidP="009B6741">
      <w:pPr>
        <w:pStyle w:val="ListParagraph"/>
        <w:spacing w:after="0" w:line="240" w:lineRule="auto"/>
        <w:ind w:left="567"/>
        <w:rPr>
          <w:rFonts w:ascii="Arial" w:hAnsi="Arial" w:cs="Arial"/>
          <w:color w:val="000000" w:themeColor="text1"/>
          <w:lang w:val="en-CA"/>
        </w:rPr>
      </w:pPr>
      <w:r w:rsidRPr="0088697A">
        <w:rPr>
          <w:rFonts w:ascii="Arial" w:hAnsi="Arial" w:cs="Arial"/>
          <w:color w:val="000000" w:themeColor="text1"/>
          <w:lang w:val="en-CA"/>
        </w:rPr>
        <w:t>System-wide focus</w:t>
      </w:r>
    </w:p>
    <w:p w:rsidR="00C936CE" w:rsidRPr="0088697A" w:rsidRDefault="00C936CE" w:rsidP="00C936CE">
      <w:pPr>
        <w:pStyle w:val="ListParagraph"/>
        <w:spacing w:after="0" w:line="240" w:lineRule="auto"/>
        <w:ind w:left="567"/>
        <w:rPr>
          <w:rFonts w:ascii="Arial" w:hAnsi="Arial" w:cs="Arial"/>
          <w:color w:val="000000" w:themeColor="text1"/>
          <w:lang w:val="en-CA"/>
        </w:rPr>
      </w:pPr>
    </w:p>
    <w:p w:rsidR="00C936CE" w:rsidRPr="0088697A" w:rsidRDefault="00C936CE" w:rsidP="00C936CE">
      <w:pPr>
        <w:pStyle w:val="ListParagraph"/>
        <w:numPr>
          <w:ilvl w:val="1"/>
          <w:numId w:val="45"/>
        </w:numPr>
        <w:rPr>
          <w:rFonts w:ascii="Arial" w:hAnsi="Arial" w:cs="Arial"/>
          <w:b/>
          <w:color w:val="0070C0"/>
          <w:lang w:val="en-CA"/>
        </w:rPr>
      </w:pPr>
      <w:r w:rsidRPr="0088697A">
        <w:rPr>
          <w:rFonts w:ascii="Arial" w:hAnsi="Arial" w:cs="Arial"/>
          <w:b/>
          <w:color w:val="0070C0"/>
          <w:lang w:val="en-CA"/>
        </w:rPr>
        <w:t xml:space="preserve">Government-wide compliance audit every two years </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b/>
          <w:color w:val="0070C0"/>
          <w:lang w:val="en-CA"/>
        </w:rPr>
        <w:t>Renewed Survey of Staffing</w:t>
      </w:r>
      <w:r w:rsidRPr="0088697A">
        <w:rPr>
          <w:rFonts w:ascii="Arial" w:hAnsi="Arial" w:cs="Arial"/>
          <w:color w:val="000000" w:themeColor="text1"/>
          <w:lang w:val="en-CA"/>
        </w:rPr>
        <w:t xml:space="preserve"> administered in alternating years with government-wide audit</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b/>
          <w:color w:val="0070C0"/>
          <w:lang w:val="en-CA"/>
        </w:rPr>
        <w:t>System-wide effectiveness and efficiency reviews</w:t>
      </w:r>
      <w:r w:rsidRPr="0088697A">
        <w:rPr>
          <w:rFonts w:ascii="Arial" w:hAnsi="Arial" w:cs="Arial"/>
          <w:color w:val="000000" w:themeColor="text1"/>
          <w:lang w:val="en-CA"/>
        </w:rPr>
        <w:t xml:space="preserve"> to support continuous improvement</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b/>
          <w:color w:val="0070C0"/>
          <w:lang w:val="en-CA"/>
        </w:rPr>
        <w:t>Targeted PSC audits</w:t>
      </w:r>
      <w:r w:rsidRPr="0088697A">
        <w:rPr>
          <w:rFonts w:ascii="Arial" w:hAnsi="Arial" w:cs="Arial"/>
          <w:color w:val="000000" w:themeColor="text1"/>
          <w:lang w:val="en-CA"/>
        </w:rPr>
        <w:t xml:space="preserve"> as a result of identified system-wide or organizational risks or at deputy head request</w:t>
      </w:r>
    </w:p>
    <w:p w:rsidR="00C936CE" w:rsidRPr="0088697A" w:rsidRDefault="00C936CE" w:rsidP="00C936CE">
      <w:pPr>
        <w:pStyle w:val="ListParagraph"/>
        <w:numPr>
          <w:ilvl w:val="1"/>
          <w:numId w:val="45"/>
        </w:numPr>
        <w:rPr>
          <w:rFonts w:ascii="Arial" w:hAnsi="Arial" w:cs="Arial"/>
          <w:color w:val="000000" w:themeColor="text1"/>
          <w:lang w:val="en-CA"/>
        </w:rPr>
      </w:pPr>
      <w:r w:rsidRPr="0088697A">
        <w:rPr>
          <w:rFonts w:ascii="Arial" w:hAnsi="Arial" w:cs="Arial"/>
          <w:b/>
          <w:color w:val="0070C0"/>
          <w:lang w:val="en-CA"/>
        </w:rPr>
        <w:t>Investigations conducted</w:t>
      </w:r>
      <w:r w:rsidRPr="0088697A">
        <w:rPr>
          <w:rFonts w:ascii="Arial" w:hAnsi="Arial" w:cs="Arial"/>
          <w:color w:val="000000" w:themeColor="text1"/>
          <w:lang w:val="en-CA"/>
        </w:rPr>
        <w:t xml:space="preserve"> when there is reason to believe there was political influence, fraud or improper conduct</w:t>
      </w:r>
      <w:r w:rsidRPr="0088697A" w:rsidDel="006778B3">
        <w:rPr>
          <w:rFonts w:ascii="Arial" w:hAnsi="Arial" w:cs="Arial"/>
          <w:color w:val="000000" w:themeColor="text1"/>
          <w:lang w:val="en-CA"/>
        </w:rPr>
        <w:t xml:space="preserve"> </w:t>
      </w:r>
      <w:r w:rsidRPr="0088697A">
        <w:rPr>
          <w:rFonts w:ascii="Arial" w:hAnsi="Arial" w:cs="Arial"/>
          <w:color w:val="000000" w:themeColor="text1"/>
          <w:lang w:val="en-CA"/>
        </w:rPr>
        <w:t xml:space="preserve">in an appointment process </w:t>
      </w:r>
    </w:p>
    <w:p w:rsidR="00C936CE" w:rsidRPr="0088697A" w:rsidRDefault="00C936CE" w:rsidP="00C936CE">
      <w:pPr>
        <w:pStyle w:val="ListParagraph"/>
        <w:ind w:left="1440"/>
        <w:rPr>
          <w:rFonts w:ascii="Arial" w:hAnsi="Arial" w:cs="Arial"/>
          <w:color w:val="000000" w:themeColor="text1"/>
          <w:lang w:val="en-CA"/>
        </w:rPr>
      </w:pPr>
    </w:p>
    <w:p w:rsidR="00C936CE" w:rsidRPr="0088697A" w:rsidRDefault="00C936CE" w:rsidP="00C936CE">
      <w:pPr>
        <w:pStyle w:val="Footer"/>
        <w:numPr>
          <w:ilvl w:val="0"/>
          <w:numId w:val="45"/>
        </w:numPr>
        <w:ind w:hanging="153"/>
        <w:jc w:val="center"/>
        <w:rPr>
          <w:rFonts w:ascii="Arial" w:hAnsi="Arial" w:cs="Arial"/>
          <w:b/>
          <w:color w:val="000000" w:themeColor="text1"/>
          <w:sz w:val="22"/>
          <w:szCs w:val="22"/>
          <w:lang w:val="en-CA"/>
        </w:rPr>
      </w:pPr>
      <w:r w:rsidRPr="0088697A">
        <w:rPr>
          <w:rFonts w:ascii="Arial" w:hAnsi="Arial" w:cs="Arial"/>
          <w:b/>
          <w:color w:val="0070C0"/>
          <w:sz w:val="22"/>
          <w:szCs w:val="22"/>
          <w:lang w:val="en-CA"/>
        </w:rPr>
        <w:t xml:space="preserve">This document should be read in conjunction with the </w:t>
      </w:r>
      <w:r w:rsidRPr="0088697A">
        <w:rPr>
          <w:rFonts w:ascii="Arial" w:hAnsi="Arial" w:cs="Arial"/>
          <w:b/>
          <w:i/>
          <w:color w:val="0070C0"/>
          <w:sz w:val="22"/>
          <w:szCs w:val="22"/>
          <w:lang w:val="en-CA"/>
        </w:rPr>
        <w:t>Public Service Employment Act</w:t>
      </w:r>
      <w:r w:rsidRPr="0088697A">
        <w:rPr>
          <w:rFonts w:ascii="Arial" w:hAnsi="Arial" w:cs="Arial"/>
          <w:b/>
          <w:color w:val="0070C0"/>
          <w:sz w:val="22"/>
          <w:szCs w:val="22"/>
          <w:lang w:val="en-CA"/>
        </w:rPr>
        <w:t xml:space="preserve">, the </w:t>
      </w:r>
      <w:r w:rsidRPr="0088697A">
        <w:rPr>
          <w:rFonts w:ascii="Arial" w:hAnsi="Arial" w:cs="Arial"/>
          <w:b/>
          <w:i/>
          <w:color w:val="0070C0"/>
          <w:sz w:val="22"/>
          <w:szCs w:val="22"/>
          <w:lang w:val="en-CA"/>
        </w:rPr>
        <w:t>Public Service Employment Regulations</w:t>
      </w:r>
      <w:r w:rsidRPr="0088697A">
        <w:rPr>
          <w:rFonts w:ascii="Arial" w:hAnsi="Arial" w:cs="Arial"/>
          <w:b/>
          <w:color w:val="0070C0"/>
          <w:sz w:val="22"/>
          <w:szCs w:val="22"/>
          <w:lang w:val="en-CA"/>
        </w:rPr>
        <w:t>, the PSC Appointment Policy and the PSC Appointment Delegation and Accountability Instrument</w:t>
      </w:r>
    </w:p>
    <w:p w:rsidR="00C936CE" w:rsidRPr="0088697A" w:rsidRDefault="00C936CE" w:rsidP="00970809">
      <w:pPr>
        <w:rPr>
          <w:rStyle w:val="Hyperlink"/>
          <w:rFonts w:ascii="Arial" w:hAnsi="Arial" w:cs="Arial"/>
          <w:b/>
          <w:noProof/>
          <w:lang w:val="en-CA" w:eastAsia="en-CA"/>
        </w:rPr>
        <w:sectPr w:rsidR="00C936CE" w:rsidRPr="0088697A" w:rsidSect="00C936CE">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code="1"/>
          <w:pgMar w:top="709" w:right="1304" w:bottom="709" w:left="567" w:header="284" w:footer="284" w:gutter="0"/>
          <w:cols w:space="720"/>
          <w:docGrid w:linePitch="326"/>
        </w:sectPr>
      </w:pPr>
    </w:p>
    <w:p w:rsidR="005F523A" w:rsidRPr="0088697A" w:rsidRDefault="00445F54" w:rsidP="009B6741">
      <w:pPr>
        <w:ind w:right="2835"/>
        <w:jc w:val="center"/>
        <w:rPr>
          <w:rFonts w:ascii="Arial" w:hAnsi="Arial" w:cs="Arial"/>
          <w:b/>
          <w:sz w:val="22"/>
          <w:szCs w:val="22"/>
          <w:lang w:val="en-CA"/>
        </w:rPr>
      </w:pPr>
      <w:hyperlink w:anchor="Alternative_Text" w:history="1">
        <w:r w:rsidR="0094686E" w:rsidRPr="0088697A">
          <w:rPr>
            <w:rStyle w:val="Hyperlink"/>
            <w:b/>
            <w:noProof/>
            <w:lang w:val="en-CA" w:eastAsia="en-CA"/>
          </w:rPr>
          <w:t>Link to alternative text</w:t>
        </w:r>
      </w:hyperlink>
      <w:r w:rsidR="009B6741" w:rsidRPr="0088697A">
        <w:rPr>
          <w:rStyle w:val="Hyperlink"/>
          <w:noProof/>
          <w:u w:val="none"/>
          <w:lang w:val="en-CA" w:eastAsia="en-CA"/>
        </w:rPr>
        <w:tab/>
      </w:r>
      <w:r w:rsidR="005F523A" w:rsidRPr="0088697A">
        <w:rPr>
          <w:rFonts w:ascii="Arial" w:hAnsi="Arial" w:cs="Arial"/>
          <w:b/>
          <w:sz w:val="22"/>
          <w:szCs w:val="22"/>
          <w:lang w:val="en-CA"/>
        </w:rPr>
        <w:t xml:space="preserve">Annex </w:t>
      </w:r>
      <w:bookmarkEnd w:id="4"/>
      <w:r w:rsidR="0068085E" w:rsidRPr="0088697A">
        <w:rPr>
          <w:rFonts w:ascii="Arial" w:hAnsi="Arial" w:cs="Arial"/>
          <w:b/>
          <w:sz w:val="22"/>
          <w:szCs w:val="22"/>
          <w:lang w:val="en-CA"/>
        </w:rPr>
        <w:t>D</w:t>
      </w:r>
    </w:p>
    <w:p w:rsidR="005D08F3" w:rsidRPr="0088697A" w:rsidRDefault="005D08F3" w:rsidP="005D08F3">
      <w:pPr>
        <w:tabs>
          <w:tab w:val="left" w:pos="7839"/>
        </w:tabs>
        <w:rPr>
          <w:lang w:val="en-CA"/>
        </w:rPr>
      </w:pPr>
      <w:r w:rsidRPr="0088697A">
        <w:rPr>
          <w:noProof/>
          <w:lang w:val="en-CA" w:eastAsia="en-CA"/>
        </w:rPr>
        <w:drawing>
          <wp:inline distT="0" distB="0" distL="0" distR="0" wp14:anchorId="4619266C" wp14:editId="4DE3D92C">
            <wp:extent cx="4301413" cy="2099310"/>
            <wp:effectExtent l="0" t="0" r="4445" b="15240"/>
            <wp:docPr id="13" name="Chart 13" descr="This vertical column graph shows the population as of March 31, 2014 to 2019, by indeterminate and term employment.  We observe a slight upward trend in the number of indeterminate positions during this period, resulting in a higher proportion of term positions for the year 2019." title="Population by tenure as of March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88697A">
        <w:rPr>
          <w:noProof/>
          <w:lang w:val="en-CA" w:eastAsia="en-CA"/>
        </w:rPr>
        <w:t xml:space="preserve"> </w:t>
      </w:r>
      <w:r w:rsidRPr="0088697A">
        <w:rPr>
          <w:noProof/>
          <w:lang w:val="en-CA" w:eastAsia="en-CA"/>
        </w:rPr>
        <w:drawing>
          <wp:inline distT="0" distB="0" distL="0" distR="0" wp14:anchorId="390F41F4" wp14:editId="196206BC">
            <wp:extent cx="1661795" cy="2118049"/>
            <wp:effectExtent l="0" t="0" r="14605" b="15875"/>
            <wp:docPr id="8" name="Chart 8" descr="This pie chart shows the linguistic profile of the population as of March 31, 2019, of which all 3 are bilingual and only one is unilingual.  We also show that almost half of this profile is unknown to us." title="Public Service Employment Act Population by Linguistic Requirements of the position for fiscal year 2018 to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8697A">
        <w:rPr>
          <w:noProof/>
          <w:lang w:val="en-CA" w:eastAsia="en-CA"/>
        </w:rPr>
        <w:drawing>
          <wp:inline distT="0" distB="0" distL="0" distR="0" wp14:anchorId="60A90CA6" wp14:editId="5057188A">
            <wp:extent cx="1454785" cy="2118049"/>
            <wp:effectExtent l="0" t="0" r="12065" b="15875"/>
            <wp:docPr id="5" name="Chart 5" descr="This pie chart shows the population for the LP, EX and AS occupational groups as of March 31, 2019.  There are a total of 7 groups, LP and EX are 2 each and 3 are in the AS group." title="Population by top occupational groups,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88697A">
        <w:rPr>
          <w:noProof/>
          <w:lang w:val="en-CA" w:eastAsia="en-CA"/>
        </w:rPr>
        <w:drawing>
          <wp:inline distT="0" distB="0" distL="0" distR="0" wp14:anchorId="385556FA" wp14:editId="3CF67D6D">
            <wp:extent cx="1595535" cy="2126615"/>
            <wp:effectExtent l="0" t="0" r="5080" b="6985"/>
            <wp:docPr id="12" name="Chart 12" descr="This pie chart shows the population by regionas of March 31, 2019.  There are 7 of them, all of which are in the National Capital Region (NCR) and none of which are unknown to us." title="Percentage of PSEA population by National Capital Regiona compared with all other regions, excluding unknow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8697A">
        <w:rPr>
          <w:noProof/>
          <w:lang w:val="en-CA" w:eastAsia="en-CA"/>
        </w:rPr>
        <w:tab/>
      </w:r>
    </w:p>
    <w:p w:rsidR="005D08F3" w:rsidRPr="0088697A" w:rsidRDefault="005D08F3" w:rsidP="005D08F3">
      <w:pPr>
        <w:rPr>
          <w:lang w:val="en-CA"/>
        </w:rPr>
      </w:pPr>
      <w:r w:rsidRPr="0088697A">
        <w:rPr>
          <w:noProof/>
          <w:lang w:val="en-CA" w:eastAsia="en-CA"/>
        </w:rPr>
        <w:drawing>
          <wp:inline distT="0" distB="0" distL="0" distR="0" wp14:anchorId="659AABF4" wp14:editId="79C39F35">
            <wp:extent cx="4572000" cy="2971800"/>
            <wp:effectExtent l="0" t="0" r="0" b="0"/>
            <wp:docPr id="9" name="Chart 9" descr="This vertical column chart shows the number of staffing activities for the 2014-2015 to 2018-2019 fiscal years. Thus, a lack of promotion is observed between the periods 2015-2016 and 2017-2018, but a catch-up is observed in 2018-2019. Two lateral and regressive displacements are observed in 2015-2016 and 2017-2018. As for appointments to the public service, we observe two in 2014-2015 and only one in 2018-2019.  No staffing activities were observed for 2016-2017." title="Staffing activities by appointment type and fiscal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88697A">
        <w:rPr>
          <w:noProof/>
          <w:lang w:val="en-CA" w:eastAsia="en-CA"/>
        </w:rPr>
        <w:drawing>
          <wp:inline distT="0" distB="0" distL="0" distR="0" wp14:anchorId="60BF9FD9" wp14:editId="326441BE">
            <wp:extent cx="4552924" cy="2961640"/>
            <wp:effectExtent l="0" t="0" r="635" b="10160"/>
            <wp:docPr id="14" name="Chart 3" descr="This vertical column chart shows staffing activities by indeterminate and specified term of employment for the fiscal years 2014-2015 to 2018-2019. We observe relatively constant activities, but more important for indeterminate positions.  For specific positions, activities increased in 2018-2019 after 3 consecutive years without any activity for this category." title="Staffing activities by tenure and fiscal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686E" w:rsidRPr="0088697A" w:rsidRDefault="0094686E">
      <w:pPr>
        <w:rPr>
          <w:lang w:val="en-CA"/>
        </w:rPr>
        <w:sectPr w:rsidR="0094686E" w:rsidRPr="0088697A" w:rsidSect="00C936CE">
          <w:footnotePr>
            <w:numFmt w:val="lowerLetter"/>
          </w:footnotePr>
          <w:endnotePr>
            <w:numFmt w:val="lowerLetter"/>
          </w:endnotePr>
          <w:pgSz w:w="15840" w:h="12240" w:orient="landscape" w:code="1"/>
          <w:pgMar w:top="567" w:right="709" w:bottom="1304" w:left="709" w:header="284" w:footer="284" w:gutter="0"/>
          <w:cols w:space="720"/>
          <w:docGrid w:linePitch="326"/>
        </w:sectPr>
      </w:pPr>
    </w:p>
    <w:p w:rsidR="0094686E" w:rsidRPr="0088697A" w:rsidRDefault="0094686E">
      <w:pPr>
        <w:rPr>
          <w:lang w:val="en-CA"/>
        </w:rPr>
      </w:pPr>
    </w:p>
    <w:p w:rsidR="0094686E" w:rsidRPr="0088697A" w:rsidRDefault="0094686E" w:rsidP="0094686E">
      <w:pPr>
        <w:rPr>
          <w:rFonts w:cs="Arial"/>
          <w:b/>
          <w:szCs w:val="24"/>
          <w:lang w:val="en-CA"/>
        </w:rPr>
      </w:pPr>
      <w:bookmarkStart w:id="5" w:name="Alternative_Text"/>
      <w:r w:rsidRPr="0088697A">
        <w:rPr>
          <w:rFonts w:cs="Arial"/>
          <w:b/>
          <w:szCs w:val="24"/>
          <w:lang w:val="en-CA"/>
        </w:rPr>
        <w:t>Text alternative version</w:t>
      </w:r>
    </w:p>
    <w:bookmarkEnd w:id="5"/>
    <w:p w:rsidR="0094686E" w:rsidRPr="0088697A" w:rsidRDefault="0094686E" w:rsidP="0094686E">
      <w:pPr>
        <w:rPr>
          <w:rFonts w:cs="Arial"/>
          <w:b/>
          <w:szCs w:val="24"/>
          <w:lang w:val="en-CA"/>
        </w:rPr>
      </w:pPr>
      <w:r w:rsidRPr="0088697A">
        <w:rPr>
          <w:rFonts w:cs="Arial"/>
          <w:b/>
          <w:szCs w:val="24"/>
          <w:lang w:val="en-CA"/>
        </w:rPr>
        <w:fldChar w:fldCharType="begin"/>
      </w:r>
      <w:r w:rsidRPr="0088697A">
        <w:rPr>
          <w:rFonts w:cs="Arial"/>
          <w:b/>
          <w:szCs w:val="24"/>
          <w:lang w:val="en-CA"/>
        </w:rPr>
        <w:instrText>HYPERLINK  \l "AnnexD"</w:instrText>
      </w:r>
      <w:r w:rsidRPr="0088697A">
        <w:rPr>
          <w:rFonts w:cs="Arial"/>
          <w:b/>
          <w:szCs w:val="24"/>
          <w:lang w:val="en-CA"/>
        </w:rPr>
        <w:fldChar w:fldCharType="separate"/>
      </w:r>
      <w:r w:rsidRPr="0088697A">
        <w:rPr>
          <w:rStyle w:val="Hyperlink"/>
          <w:rFonts w:cs="Arial"/>
          <w:b/>
          <w:szCs w:val="24"/>
          <w:lang w:val="en-CA"/>
        </w:rPr>
        <w:t>Link to Charts</w:t>
      </w:r>
      <w:r w:rsidRPr="0088697A">
        <w:rPr>
          <w:rFonts w:cs="Arial"/>
          <w:b/>
          <w:szCs w:val="24"/>
          <w:lang w:val="en-CA"/>
        </w:rPr>
        <w:fldChar w:fldCharType="end"/>
      </w:r>
    </w:p>
    <w:p w:rsidR="0094686E" w:rsidRPr="0088697A" w:rsidRDefault="0094686E" w:rsidP="0094686E">
      <w:pPr>
        <w:rPr>
          <w:rFonts w:cs="Arial"/>
          <w:szCs w:val="24"/>
          <w:lang w:val="en-CA"/>
        </w:rPr>
      </w:pPr>
    </w:p>
    <w:p w:rsidR="0094686E" w:rsidRPr="0088697A" w:rsidRDefault="0094686E" w:rsidP="0094686E">
      <w:pPr>
        <w:rPr>
          <w:rFonts w:cs="Arial"/>
          <w:b/>
          <w:szCs w:val="24"/>
          <w:lang w:val="en-CA"/>
        </w:rPr>
      </w:pPr>
      <w:r w:rsidRPr="0088697A">
        <w:rPr>
          <w:rFonts w:cs="Arial"/>
          <w:b/>
          <w:szCs w:val="24"/>
          <w:lang w:val="en-CA"/>
        </w:rPr>
        <w:t>Royal Canadian Mounted Police External Review Committee</w:t>
      </w:r>
    </w:p>
    <w:p w:rsidR="0094686E" w:rsidRPr="0088697A" w:rsidRDefault="0094686E" w:rsidP="0094686E">
      <w:pPr>
        <w:rPr>
          <w:rFonts w:cs="Arial"/>
          <w:szCs w:val="24"/>
          <w:lang w:val="en-CA"/>
        </w:rPr>
      </w:pPr>
    </w:p>
    <w:p w:rsidR="0094686E" w:rsidRPr="0088697A" w:rsidRDefault="0094686E" w:rsidP="0094686E">
      <w:pPr>
        <w:rPr>
          <w:rFonts w:cs="Arial"/>
          <w:b/>
          <w:szCs w:val="24"/>
          <w:lang w:val="en-CA"/>
        </w:rPr>
      </w:pPr>
      <w:r w:rsidRPr="0088697A">
        <w:rPr>
          <w:rFonts w:cs="Arial"/>
          <w:b/>
          <w:i/>
          <w:szCs w:val="24"/>
          <w:lang w:val="en-CA"/>
        </w:rPr>
        <w:t>Public Service Employment Act</w:t>
      </w:r>
      <w:r w:rsidRPr="0088697A">
        <w:rPr>
          <w:rFonts w:cs="Arial"/>
          <w:b/>
          <w:szCs w:val="24"/>
          <w:lang w:val="en-CA"/>
        </w:rPr>
        <w:t xml:space="preserve"> population by tenure as of March 31</w:t>
      </w:r>
    </w:p>
    <w:tbl>
      <w:tblPr>
        <w:tblStyle w:val="TableGrid"/>
        <w:tblW w:w="0" w:type="auto"/>
        <w:tblLook w:val="00A0" w:firstRow="1" w:lastRow="0" w:firstColumn="1" w:lastColumn="0" w:noHBand="0" w:noVBand="0"/>
        <w:tblDescription w:val="Public Service Employment Act population by tenure as of March 31"/>
      </w:tblPr>
      <w:tblGrid>
        <w:gridCol w:w="2330"/>
        <w:gridCol w:w="1549"/>
        <w:gridCol w:w="1243"/>
        <w:gridCol w:w="1243"/>
        <w:gridCol w:w="1243"/>
        <w:gridCol w:w="1243"/>
      </w:tblGrid>
      <w:tr w:rsidR="0094686E" w:rsidRPr="0088697A" w:rsidTr="00AB5348">
        <w:trPr>
          <w:trHeight w:val="290"/>
          <w:tblHeader/>
        </w:trPr>
        <w:tc>
          <w:tcPr>
            <w:tcW w:w="0" w:type="auto"/>
          </w:tcPr>
          <w:p w:rsidR="0094686E" w:rsidRPr="0088697A" w:rsidRDefault="0094686E" w:rsidP="0026024D">
            <w:pPr>
              <w:autoSpaceDE w:val="0"/>
              <w:autoSpaceDN w:val="0"/>
              <w:adjustRightInd w:val="0"/>
              <w:jc w:val="both"/>
              <w:rPr>
                <w:rFonts w:cs="Arial"/>
                <w:color w:val="000000"/>
                <w:szCs w:val="24"/>
                <w:lang w:val="en-CA"/>
              </w:rPr>
            </w:pPr>
            <w:r w:rsidRPr="0088697A">
              <w:rPr>
                <w:rFonts w:cs="Arial"/>
                <w:color w:val="000000"/>
                <w:szCs w:val="24"/>
                <w:lang w:val="en-CA"/>
              </w:rPr>
              <w:t xml:space="preserve"> </w:t>
            </w:r>
            <w:bookmarkStart w:id="6" w:name="Title_1"/>
            <w:bookmarkEnd w:id="6"/>
            <w:r w:rsidRPr="0088697A">
              <w:rPr>
                <w:rFonts w:cs="Arial"/>
                <w:color w:val="000000"/>
                <w:szCs w:val="24"/>
                <w:lang w:val="en-CA"/>
              </w:rPr>
              <w:t>Year</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Indeterminate</w:t>
            </w:r>
          </w:p>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population</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Term</w:t>
            </w:r>
          </w:p>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 xml:space="preserve">population </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Casual</w:t>
            </w:r>
          </w:p>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population</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Student</w:t>
            </w:r>
          </w:p>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population</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Total</w:t>
            </w:r>
          </w:p>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population</w:t>
            </w:r>
          </w:p>
        </w:tc>
      </w:tr>
      <w:tr w:rsidR="0094686E" w:rsidRPr="0088697A" w:rsidTr="00AB5348">
        <w:trPr>
          <w:trHeight w:val="290"/>
        </w:trPr>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As of March 31, 2014</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4</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4</w:t>
            </w:r>
          </w:p>
        </w:tc>
      </w:tr>
      <w:tr w:rsidR="0094686E" w:rsidRPr="0088697A" w:rsidTr="00AB5348">
        <w:trPr>
          <w:trHeight w:val="290"/>
        </w:trPr>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As of March 31, 2015</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4</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5</w:t>
            </w:r>
          </w:p>
        </w:tc>
      </w:tr>
      <w:tr w:rsidR="0094686E" w:rsidRPr="0088697A" w:rsidTr="00AB5348">
        <w:trPr>
          <w:trHeight w:val="290"/>
        </w:trPr>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As of March 31, 2016</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5</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6</w:t>
            </w:r>
          </w:p>
        </w:tc>
      </w:tr>
      <w:tr w:rsidR="0094686E" w:rsidRPr="0088697A" w:rsidTr="00AB5348">
        <w:trPr>
          <w:trHeight w:val="290"/>
        </w:trPr>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As of March 31, 2017</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5</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6</w:t>
            </w:r>
          </w:p>
        </w:tc>
      </w:tr>
      <w:tr w:rsidR="0094686E" w:rsidRPr="0088697A" w:rsidTr="00AB5348">
        <w:trPr>
          <w:trHeight w:val="290"/>
        </w:trPr>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As of March 31, 2018</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6</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6</w:t>
            </w:r>
          </w:p>
        </w:tc>
      </w:tr>
      <w:tr w:rsidR="0094686E" w:rsidRPr="0088697A" w:rsidTr="00AB5348">
        <w:trPr>
          <w:trHeight w:val="290"/>
        </w:trPr>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As of March 31, 2019</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5</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7</w:t>
            </w:r>
          </w:p>
        </w:tc>
      </w:tr>
    </w:tbl>
    <w:p w:rsidR="0094686E" w:rsidRPr="0088697A" w:rsidRDefault="0094686E" w:rsidP="0094686E">
      <w:pPr>
        <w:rPr>
          <w:rFonts w:cs="Arial"/>
          <w:szCs w:val="24"/>
          <w:lang w:val="en-CA"/>
        </w:rPr>
      </w:pPr>
    </w:p>
    <w:p w:rsidR="0094686E" w:rsidRPr="0088697A" w:rsidRDefault="0094686E" w:rsidP="0094686E">
      <w:pPr>
        <w:rPr>
          <w:rFonts w:cs="Arial"/>
          <w:b/>
          <w:szCs w:val="24"/>
          <w:lang w:val="en-CA"/>
        </w:rPr>
      </w:pPr>
      <w:r w:rsidRPr="0088697A">
        <w:rPr>
          <w:rFonts w:cs="Arial"/>
          <w:b/>
          <w:i/>
          <w:szCs w:val="24"/>
          <w:lang w:val="en-CA"/>
        </w:rPr>
        <w:t>Public Service Employment Act</w:t>
      </w:r>
      <w:r w:rsidRPr="0088697A">
        <w:rPr>
          <w:rFonts w:cs="Arial"/>
          <w:b/>
          <w:szCs w:val="24"/>
          <w:lang w:val="en-CA"/>
        </w:rPr>
        <w:t xml:space="preserve"> population by language requirements of the position for fiscal year 2018 to 2019</w:t>
      </w:r>
    </w:p>
    <w:tbl>
      <w:tblPr>
        <w:tblStyle w:val="TableGrid"/>
        <w:tblW w:w="0" w:type="auto"/>
        <w:tblLook w:val="00A0" w:firstRow="1" w:lastRow="0" w:firstColumn="1" w:lastColumn="0" w:noHBand="0" w:noVBand="0"/>
        <w:tblDescription w:val="Public Service Employment Act Population by Linguistic Requirements of the Position for fiscal year 2018 to 2019"/>
      </w:tblPr>
      <w:tblGrid>
        <w:gridCol w:w="3432"/>
        <w:gridCol w:w="2924"/>
        <w:gridCol w:w="4003"/>
      </w:tblGrid>
      <w:tr w:rsidR="0094686E" w:rsidRPr="0088697A" w:rsidTr="00AB5348">
        <w:trPr>
          <w:trHeight w:val="290"/>
          <w:tblHeader/>
        </w:trPr>
        <w:tc>
          <w:tcPr>
            <w:tcW w:w="0" w:type="auto"/>
          </w:tcPr>
          <w:p w:rsidR="0094686E" w:rsidRPr="0088697A" w:rsidRDefault="0094686E" w:rsidP="0026024D">
            <w:pPr>
              <w:autoSpaceDE w:val="0"/>
              <w:autoSpaceDN w:val="0"/>
              <w:adjustRightInd w:val="0"/>
              <w:rPr>
                <w:rFonts w:cs="Arial"/>
                <w:color w:val="000000"/>
                <w:szCs w:val="24"/>
                <w:lang w:val="en-CA"/>
              </w:rPr>
            </w:pPr>
            <w:bookmarkStart w:id="7" w:name="Title_2"/>
            <w:bookmarkEnd w:id="7"/>
            <w:r w:rsidRPr="0088697A">
              <w:rPr>
                <w:rFonts w:cs="Arial"/>
                <w:color w:val="000000"/>
                <w:szCs w:val="24"/>
                <w:lang w:val="en-CA"/>
              </w:rPr>
              <w:t>Linguistic requirements of the position</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Population as of March 31, 2019</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szCs w:val="24"/>
                <w:lang w:val="en-CA"/>
              </w:rPr>
              <w:t>Percentage of population as of March 31, 2019</w:t>
            </w:r>
          </w:p>
        </w:tc>
      </w:tr>
      <w:tr w:rsidR="0094686E" w:rsidRPr="0088697A" w:rsidTr="00AB5348">
        <w:trPr>
          <w:trHeight w:val="290"/>
        </w:trPr>
        <w:tc>
          <w:tcPr>
            <w:tcW w:w="0" w:type="auto"/>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 xml:space="preserve">Bilingual </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c>
          <w:tcPr>
            <w:tcW w:w="0" w:type="auto"/>
            <w:shd w:val="clear" w:color="auto" w:fill="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75%</w:t>
            </w:r>
          </w:p>
        </w:tc>
      </w:tr>
      <w:tr w:rsidR="0094686E" w:rsidRPr="0088697A" w:rsidTr="00AB5348">
        <w:trPr>
          <w:trHeight w:val="290"/>
        </w:trPr>
        <w:tc>
          <w:tcPr>
            <w:tcW w:w="0" w:type="auto"/>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Unilingual</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0" w:type="auto"/>
            <w:shd w:val="clear" w:color="auto" w:fill="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25%</w:t>
            </w:r>
          </w:p>
        </w:tc>
      </w:tr>
      <w:tr w:rsidR="0094686E" w:rsidRPr="0088697A" w:rsidTr="00AB5348">
        <w:trPr>
          <w:trHeight w:val="290"/>
        </w:trPr>
        <w:tc>
          <w:tcPr>
            <w:tcW w:w="0" w:type="auto"/>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Unknown</w:t>
            </w:r>
          </w:p>
        </w:tc>
        <w:tc>
          <w:tcPr>
            <w:tcW w:w="0" w:type="auto"/>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c>
          <w:tcPr>
            <w:tcW w:w="0" w:type="auto"/>
            <w:shd w:val="clear" w:color="auto" w:fill="auto"/>
          </w:tcPr>
          <w:p w:rsidR="0094686E" w:rsidRPr="0088697A" w:rsidRDefault="0094686E" w:rsidP="0026024D">
            <w:pPr>
              <w:autoSpaceDE w:val="0"/>
              <w:autoSpaceDN w:val="0"/>
              <w:adjustRightInd w:val="0"/>
              <w:jc w:val="center"/>
              <w:rPr>
                <w:rFonts w:cs="Arial"/>
                <w:color w:val="000000"/>
                <w:szCs w:val="24"/>
                <w:lang w:val="en-CA"/>
              </w:rPr>
            </w:pPr>
          </w:p>
        </w:tc>
      </w:tr>
    </w:tbl>
    <w:p w:rsidR="0094686E" w:rsidRPr="0088697A" w:rsidRDefault="0094686E" w:rsidP="0094686E">
      <w:pPr>
        <w:rPr>
          <w:rFonts w:cs="Arial"/>
          <w:szCs w:val="24"/>
          <w:lang w:val="en-CA"/>
        </w:rPr>
      </w:pPr>
    </w:p>
    <w:p w:rsidR="0094686E" w:rsidRPr="0088697A" w:rsidRDefault="0094686E" w:rsidP="0094686E">
      <w:pPr>
        <w:rPr>
          <w:rFonts w:cs="Arial"/>
          <w:b/>
          <w:szCs w:val="24"/>
          <w:lang w:val="en-CA"/>
        </w:rPr>
      </w:pPr>
      <w:r w:rsidRPr="0088697A">
        <w:rPr>
          <w:rFonts w:cs="Arial"/>
          <w:b/>
          <w:szCs w:val="24"/>
          <w:lang w:val="en-CA"/>
        </w:rPr>
        <w:t xml:space="preserve">Top occupational groups, as a percentage of the </w:t>
      </w:r>
      <w:r w:rsidRPr="0088697A">
        <w:rPr>
          <w:rFonts w:cs="Arial"/>
          <w:b/>
          <w:i/>
          <w:szCs w:val="24"/>
          <w:lang w:val="en-CA"/>
        </w:rPr>
        <w:t>Public Service Employment</w:t>
      </w:r>
      <w:r w:rsidRPr="0088697A">
        <w:rPr>
          <w:rFonts w:cs="Arial"/>
          <w:b/>
          <w:szCs w:val="24"/>
          <w:lang w:val="en-CA"/>
        </w:rPr>
        <w:t xml:space="preserve"> </w:t>
      </w:r>
      <w:r w:rsidRPr="0088697A">
        <w:rPr>
          <w:rFonts w:cs="Arial"/>
          <w:b/>
          <w:i/>
          <w:szCs w:val="24"/>
          <w:lang w:val="en-CA"/>
        </w:rPr>
        <w:t xml:space="preserve">Act </w:t>
      </w:r>
      <w:r w:rsidRPr="0088697A">
        <w:rPr>
          <w:rFonts w:cs="Arial"/>
          <w:b/>
          <w:szCs w:val="24"/>
          <w:lang w:val="en-CA"/>
        </w:rPr>
        <w:t>population for fiscal year 2018 to 2019</w:t>
      </w:r>
    </w:p>
    <w:tbl>
      <w:tblPr>
        <w:tblStyle w:val="TableGrid"/>
        <w:tblW w:w="0" w:type="auto"/>
        <w:tblLook w:val="00A0" w:firstRow="1" w:lastRow="0" w:firstColumn="1" w:lastColumn="0" w:noHBand="0" w:noVBand="0"/>
        <w:tblDescription w:val="Top occupational groups, as a percentage of the public service employment act population for fiscal year 2018 to 2019"/>
      </w:tblPr>
      <w:tblGrid>
        <w:gridCol w:w="5498"/>
        <w:gridCol w:w="1930"/>
        <w:gridCol w:w="2931"/>
      </w:tblGrid>
      <w:tr w:rsidR="0094686E" w:rsidRPr="0088697A" w:rsidTr="00AB5348">
        <w:trPr>
          <w:trHeight w:val="290"/>
          <w:tblHeader/>
        </w:trPr>
        <w:tc>
          <w:tcPr>
            <w:tcW w:w="5766" w:type="dxa"/>
          </w:tcPr>
          <w:p w:rsidR="0094686E" w:rsidRPr="0088697A" w:rsidRDefault="0094686E" w:rsidP="0026024D">
            <w:pPr>
              <w:autoSpaceDE w:val="0"/>
              <w:autoSpaceDN w:val="0"/>
              <w:adjustRightInd w:val="0"/>
              <w:rPr>
                <w:rFonts w:cs="Arial"/>
                <w:color w:val="000000"/>
                <w:szCs w:val="24"/>
                <w:lang w:val="en-CA"/>
              </w:rPr>
            </w:pPr>
            <w:bookmarkStart w:id="8" w:name="Title_3"/>
            <w:bookmarkEnd w:id="8"/>
            <w:r w:rsidRPr="0088697A">
              <w:rPr>
                <w:rFonts w:cs="Arial"/>
                <w:szCs w:val="24"/>
                <w:lang w:val="en-CA"/>
              </w:rPr>
              <w:t>Occupational group</w:t>
            </w:r>
          </w:p>
        </w:tc>
        <w:tc>
          <w:tcPr>
            <w:tcW w:w="1977"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szCs w:val="24"/>
                <w:lang w:val="en-CA"/>
              </w:rPr>
              <w:t>Population as of March 31, 2019</w:t>
            </w:r>
          </w:p>
        </w:tc>
        <w:tc>
          <w:tcPr>
            <w:tcW w:w="3047" w:type="dxa"/>
          </w:tcPr>
          <w:p w:rsidR="0094686E" w:rsidRPr="0088697A" w:rsidRDefault="0094686E" w:rsidP="0026024D">
            <w:pPr>
              <w:autoSpaceDE w:val="0"/>
              <w:autoSpaceDN w:val="0"/>
              <w:adjustRightInd w:val="0"/>
              <w:jc w:val="center"/>
              <w:rPr>
                <w:rFonts w:cs="Arial"/>
                <w:szCs w:val="24"/>
                <w:lang w:val="en-CA"/>
              </w:rPr>
            </w:pPr>
            <w:r w:rsidRPr="0088697A">
              <w:rPr>
                <w:rFonts w:cs="Arial"/>
                <w:szCs w:val="24"/>
                <w:lang w:val="en-CA"/>
              </w:rPr>
              <w:t>Percentage of population as of March 31, 2019</w:t>
            </w:r>
          </w:p>
        </w:tc>
      </w:tr>
      <w:tr w:rsidR="0094686E" w:rsidRPr="0088697A" w:rsidTr="00AB5348">
        <w:trPr>
          <w:trHeight w:val="290"/>
        </w:trPr>
        <w:tc>
          <w:tcPr>
            <w:tcW w:w="5766"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LP – Law Practitioner</w:t>
            </w:r>
          </w:p>
        </w:tc>
        <w:tc>
          <w:tcPr>
            <w:tcW w:w="1977"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c>
          <w:tcPr>
            <w:tcW w:w="3047"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43%</w:t>
            </w:r>
          </w:p>
        </w:tc>
      </w:tr>
      <w:tr w:rsidR="0094686E" w:rsidRPr="0088697A" w:rsidTr="00AB5348">
        <w:trPr>
          <w:trHeight w:val="290"/>
        </w:trPr>
        <w:tc>
          <w:tcPr>
            <w:tcW w:w="5766"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AS – Administrative Services</w:t>
            </w:r>
          </w:p>
        </w:tc>
        <w:tc>
          <w:tcPr>
            <w:tcW w:w="1977"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3047"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29%</w:t>
            </w:r>
          </w:p>
        </w:tc>
      </w:tr>
      <w:tr w:rsidR="0094686E" w:rsidRPr="0088697A" w:rsidTr="00AB5348">
        <w:trPr>
          <w:trHeight w:val="290"/>
        </w:trPr>
        <w:tc>
          <w:tcPr>
            <w:tcW w:w="5766"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EX – Executive</w:t>
            </w:r>
          </w:p>
        </w:tc>
        <w:tc>
          <w:tcPr>
            <w:tcW w:w="1977"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3047"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29%</w:t>
            </w:r>
          </w:p>
        </w:tc>
      </w:tr>
    </w:tbl>
    <w:p w:rsidR="0094686E" w:rsidRPr="0088697A" w:rsidRDefault="0094686E" w:rsidP="0094686E">
      <w:pPr>
        <w:rPr>
          <w:rFonts w:cs="Arial"/>
          <w:szCs w:val="24"/>
          <w:lang w:val="en-CA"/>
        </w:rPr>
      </w:pPr>
    </w:p>
    <w:p w:rsidR="0094686E" w:rsidRPr="0088697A" w:rsidRDefault="0094686E" w:rsidP="0094686E">
      <w:pPr>
        <w:rPr>
          <w:rFonts w:cs="Arial"/>
          <w:b/>
          <w:szCs w:val="24"/>
          <w:lang w:val="en-CA"/>
        </w:rPr>
      </w:pPr>
      <w:r w:rsidRPr="0088697A">
        <w:rPr>
          <w:rFonts w:cs="Arial"/>
          <w:b/>
          <w:szCs w:val="24"/>
          <w:lang w:val="en-CA"/>
        </w:rPr>
        <w:t xml:space="preserve">Distribution by region, as a percentage of the </w:t>
      </w:r>
      <w:r w:rsidRPr="0088697A">
        <w:rPr>
          <w:rFonts w:cs="Arial"/>
          <w:b/>
          <w:i/>
          <w:szCs w:val="24"/>
          <w:lang w:val="en-CA"/>
        </w:rPr>
        <w:t>Public Service Employment Act</w:t>
      </w:r>
      <w:r w:rsidRPr="0088697A">
        <w:rPr>
          <w:rFonts w:cs="Arial"/>
          <w:b/>
          <w:szCs w:val="24"/>
          <w:lang w:val="en-CA"/>
        </w:rPr>
        <w:t xml:space="preserve"> population for fiscal year 2018 to 2019</w:t>
      </w:r>
    </w:p>
    <w:tbl>
      <w:tblPr>
        <w:tblStyle w:val="TableGrid"/>
        <w:tblW w:w="0" w:type="auto"/>
        <w:tblLook w:val="00A0" w:firstRow="1" w:lastRow="0" w:firstColumn="1" w:lastColumn="0" w:noHBand="0" w:noVBand="0"/>
        <w:tblDescription w:val="Distribution by region, as a percentage of the Public Service Employment Act population for fiscal year 2018 to 2019"/>
      </w:tblPr>
      <w:tblGrid>
        <w:gridCol w:w="4705"/>
        <w:gridCol w:w="2070"/>
        <w:gridCol w:w="2893"/>
      </w:tblGrid>
      <w:tr w:rsidR="0094686E" w:rsidRPr="0088697A" w:rsidTr="00AB5348">
        <w:trPr>
          <w:trHeight w:val="290"/>
          <w:tblHeader/>
        </w:trPr>
        <w:tc>
          <w:tcPr>
            <w:tcW w:w="4705" w:type="dxa"/>
          </w:tcPr>
          <w:p w:rsidR="0094686E" w:rsidRPr="0088697A" w:rsidRDefault="0094686E" w:rsidP="0026024D">
            <w:pPr>
              <w:autoSpaceDE w:val="0"/>
              <w:autoSpaceDN w:val="0"/>
              <w:adjustRightInd w:val="0"/>
              <w:rPr>
                <w:rFonts w:cs="Arial"/>
                <w:color w:val="000000"/>
                <w:szCs w:val="24"/>
                <w:lang w:val="en-CA"/>
              </w:rPr>
            </w:pPr>
            <w:bookmarkStart w:id="9" w:name="Title_4"/>
            <w:bookmarkEnd w:id="9"/>
            <w:r w:rsidRPr="0088697A">
              <w:rPr>
                <w:rFonts w:cs="Arial"/>
                <w:color w:val="000000"/>
                <w:szCs w:val="24"/>
                <w:lang w:val="en-CA"/>
              </w:rPr>
              <w:t>Region</w:t>
            </w:r>
          </w:p>
        </w:tc>
        <w:tc>
          <w:tcPr>
            <w:tcW w:w="207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szCs w:val="24"/>
                <w:lang w:val="en-CA"/>
              </w:rPr>
              <w:t>Population as of March 31, 2019</w:t>
            </w:r>
          </w:p>
        </w:tc>
        <w:tc>
          <w:tcPr>
            <w:tcW w:w="2893" w:type="dxa"/>
          </w:tcPr>
          <w:p w:rsidR="0094686E" w:rsidRPr="0088697A" w:rsidRDefault="0094686E" w:rsidP="0026024D">
            <w:pPr>
              <w:autoSpaceDE w:val="0"/>
              <w:autoSpaceDN w:val="0"/>
              <w:adjustRightInd w:val="0"/>
              <w:jc w:val="center"/>
              <w:rPr>
                <w:rFonts w:cs="Arial"/>
                <w:szCs w:val="24"/>
                <w:lang w:val="en-CA"/>
              </w:rPr>
            </w:pPr>
            <w:r w:rsidRPr="0088697A">
              <w:rPr>
                <w:rFonts w:cs="Arial"/>
                <w:szCs w:val="24"/>
                <w:lang w:val="en-CA"/>
              </w:rPr>
              <w:t>Percentage of population as of March 31, 2019</w:t>
            </w:r>
          </w:p>
        </w:tc>
      </w:tr>
      <w:tr w:rsidR="0094686E" w:rsidRPr="0088697A" w:rsidTr="00AB5348">
        <w:trPr>
          <w:trHeight w:val="290"/>
        </w:trPr>
        <w:tc>
          <w:tcPr>
            <w:tcW w:w="4705"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National Capital Region (NCR)</w:t>
            </w:r>
          </w:p>
        </w:tc>
        <w:tc>
          <w:tcPr>
            <w:tcW w:w="207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7</w:t>
            </w:r>
          </w:p>
        </w:tc>
        <w:tc>
          <w:tcPr>
            <w:tcW w:w="289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100%</w:t>
            </w:r>
          </w:p>
        </w:tc>
      </w:tr>
      <w:tr w:rsidR="0094686E" w:rsidRPr="0088697A" w:rsidTr="00AB5348">
        <w:trPr>
          <w:trHeight w:val="290"/>
        </w:trPr>
        <w:tc>
          <w:tcPr>
            <w:tcW w:w="4705"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Non-NCR</w:t>
            </w:r>
          </w:p>
        </w:tc>
        <w:tc>
          <w:tcPr>
            <w:tcW w:w="207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89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r>
      <w:tr w:rsidR="0094686E" w:rsidRPr="0088697A" w:rsidTr="00AB5348">
        <w:trPr>
          <w:trHeight w:val="290"/>
        </w:trPr>
        <w:tc>
          <w:tcPr>
            <w:tcW w:w="4705"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Unknown</w:t>
            </w:r>
          </w:p>
        </w:tc>
        <w:tc>
          <w:tcPr>
            <w:tcW w:w="207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893" w:type="dxa"/>
          </w:tcPr>
          <w:p w:rsidR="0094686E" w:rsidRPr="0088697A" w:rsidRDefault="0094686E" w:rsidP="0026024D">
            <w:pPr>
              <w:autoSpaceDE w:val="0"/>
              <w:autoSpaceDN w:val="0"/>
              <w:adjustRightInd w:val="0"/>
              <w:jc w:val="center"/>
              <w:rPr>
                <w:rFonts w:cs="Arial"/>
                <w:color w:val="000000"/>
                <w:szCs w:val="24"/>
                <w:lang w:val="en-CA"/>
              </w:rPr>
            </w:pPr>
          </w:p>
        </w:tc>
      </w:tr>
    </w:tbl>
    <w:p w:rsidR="0094686E" w:rsidRPr="0088697A" w:rsidRDefault="0094686E" w:rsidP="0094686E">
      <w:pPr>
        <w:rPr>
          <w:rFonts w:cs="Arial"/>
          <w:szCs w:val="24"/>
          <w:lang w:val="en-CA"/>
        </w:rPr>
      </w:pPr>
    </w:p>
    <w:p w:rsidR="0094686E" w:rsidRPr="0088697A" w:rsidRDefault="0094686E" w:rsidP="0094686E">
      <w:pPr>
        <w:spacing w:after="160" w:line="259" w:lineRule="auto"/>
        <w:rPr>
          <w:rFonts w:cs="Arial"/>
          <w:b/>
          <w:szCs w:val="24"/>
          <w:lang w:val="en-CA"/>
        </w:rPr>
      </w:pPr>
      <w:r w:rsidRPr="0088697A">
        <w:rPr>
          <w:rFonts w:cs="Arial"/>
          <w:b/>
          <w:szCs w:val="24"/>
          <w:lang w:val="en-CA"/>
        </w:rPr>
        <w:br w:type="page"/>
      </w:r>
    </w:p>
    <w:p w:rsidR="0094686E" w:rsidRPr="0088697A" w:rsidRDefault="0094686E" w:rsidP="0094686E">
      <w:pPr>
        <w:rPr>
          <w:rFonts w:cs="Arial"/>
          <w:szCs w:val="24"/>
          <w:lang w:val="en-CA"/>
        </w:rPr>
      </w:pPr>
    </w:p>
    <w:p w:rsidR="0094686E" w:rsidRPr="0088697A" w:rsidRDefault="0094686E" w:rsidP="0094686E">
      <w:pPr>
        <w:spacing w:after="160" w:line="259" w:lineRule="auto"/>
        <w:rPr>
          <w:rFonts w:cs="Arial"/>
          <w:b/>
          <w:szCs w:val="24"/>
          <w:lang w:val="en-CA"/>
        </w:rPr>
      </w:pPr>
      <w:r w:rsidRPr="0088697A">
        <w:rPr>
          <w:rFonts w:cs="Arial"/>
          <w:b/>
          <w:szCs w:val="24"/>
          <w:lang w:val="en-CA"/>
        </w:rPr>
        <w:t>Staffing activities by appointment type and fiscal year</w:t>
      </w:r>
    </w:p>
    <w:tbl>
      <w:tblPr>
        <w:tblStyle w:val="TableGrid"/>
        <w:tblW w:w="0" w:type="auto"/>
        <w:tblLook w:val="00A0" w:firstRow="1" w:lastRow="0" w:firstColumn="1" w:lastColumn="0" w:noHBand="0" w:noVBand="0"/>
        <w:tblDescription w:val="Staffing activities by appointment type and fiscal year"/>
      </w:tblPr>
      <w:tblGrid>
        <w:gridCol w:w="1589"/>
        <w:gridCol w:w="1426"/>
        <w:gridCol w:w="1806"/>
        <w:gridCol w:w="2453"/>
        <w:gridCol w:w="2211"/>
        <w:gridCol w:w="874"/>
      </w:tblGrid>
      <w:tr w:rsidR="0094686E" w:rsidRPr="0088697A" w:rsidTr="00AB5348">
        <w:trPr>
          <w:tblHeader/>
        </w:trPr>
        <w:tc>
          <w:tcPr>
            <w:tcW w:w="1700" w:type="dxa"/>
          </w:tcPr>
          <w:p w:rsidR="0094686E" w:rsidRPr="0088697A" w:rsidRDefault="0094686E" w:rsidP="0026024D">
            <w:pPr>
              <w:autoSpaceDE w:val="0"/>
              <w:autoSpaceDN w:val="0"/>
              <w:adjustRightInd w:val="0"/>
              <w:rPr>
                <w:rFonts w:cs="Arial"/>
                <w:color w:val="000000"/>
                <w:szCs w:val="24"/>
                <w:lang w:val="en-CA"/>
              </w:rPr>
            </w:pPr>
            <w:bookmarkStart w:id="10" w:name="Title_8"/>
            <w:bookmarkEnd w:id="10"/>
            <w:r w:rsidRPr="0088697A">
              <w:rPr>
                <w:rFonts w:cs="Arial"/>
                <w:color w:val="000000"/>
                <w:szCs w:val="24"/>
                <w:lang w:val="en-CA"/>
              </w:rPr>
              <w:t>Fiscal year</w:t>
            </w:r>
          </w:p>
        </w:tc>
        <w:tc>
          <w:tcPr>
            <w:tcW w:w="14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Promotions</w:t>
            </w:r>
          </w:p>
        </w:tc>
        <w:tc>
          <w:tcPr>
            <w:tcW w:w="187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Lateral and downward movements</w:t>
            </w:r>
          </w:p>
        </w:tc>
        <w:tc>
          <w:tcPr>
            <w:tcW w:w="257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Appointments to the public service (includes casuals and students)</w:t>
            </w:r>
          </w:p>
        </w:tc>
        <w:tc>
          <w:tcPr>
            <w:tcW w:w="2308"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Acting appointments (excludes appointments of less than 4 months)</w:t>
            </w:r>
          </w:p>
        </w:tc>
        <w:tc>
          <w:tcPr>
            <w:tcW w:w="895"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Total</w:t>
            </w:r>
          </w:p>
        </w:tc>
      </w:tr>
      <w:tr w:rsidR="0094686E" w:rsidRPr="0088697A" w:rsidTr="00AB5348">
        <w:tc>
          <w:tcPr>
            <w:tcW w:w="1700"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 xml:space="preserve">2014 to 2015 </w:t>
            </w:r>
          </w:p>
        </w:tc>
        <w:tc>
          <w:tcPr>
            <w:tcW w:w="14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187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57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2308"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89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r>
      <w:tr w:rsidR="0094686E" w:rsidRPr="0088697A" w:rsidTr="00AB5348">
        <w:tc>
          <w:tcPr>
            <w:tcW w:w="1700"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2015 to 2016</w:t>
            </w:r>
          </w:p>
        </w:tc>
        <w:tc>
          <w:tcPr>
            <w:tcW w:w="14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87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257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308"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89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r>
      <w:tr w:rsidR="0094686E" w:rsidRPr="0088697A" w:rsidTr="00AB5348">
        <w:tc>
          <w:tcPr>
            <w:tcW w:w="1700"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 xml:space="preserve">2016 to 2017 </w:t>
            </w:r>
          </w:p>
        </w:tc>
        <w:tc>
          <w:tcPr>
            <w:tcW w:w="14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87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57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308"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89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r>
      <w:tr w:rsidR="0094686E" w:rsidRPr="0088697A" w:rsidTr="00AB5348">
        <w:tc>
          <w:tcPr>
            <w:tcW w:w="1700"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2017 to 2018</w:t>
            </w:r>
          </w:p>
        </w:tc>
        <w:tc>
          <w:tcPr>
            <w:tcW w:w="14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87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257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308"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89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r>
      <w:tr w:rsidR="0094686E" w:rsidRPr="0088697A" w:rsidTr="00AB5348">
        <w:tc>
          <w:tcPr>
            <w:tcW w:w="1700"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2018 to 2019</w:t>
            </w:r>
          </w:p>
        </w:tc>
        <w:tc>
          <w:tcPr>
            <w:tcW w:w="14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4</w:t>
            </w:r>
          </w:p>
        </w:tc>
        <w:tc>
          <w:tcPr>
            <w:tcW w:w="1873"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257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2308"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89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6</w:t>
            </w:r>
          </w:p>
        </w:tc>
      </w:tr>
    </w:tbl>
    <w:p w:rsidR="0094686E" w:rsidRPr="0088697A" w:rsidRDefault="0094686E" w:rsidP="0094686E">
      <w:pPr>
        <w:rPr>
          <w:rFonts w:cs="Arial"/>
          <w:szCs w:val="24"/>
          <w:lang w:val="en-CA"/>
        </w:rPr>
      </w:pPr>
    </w:p>
    <w:p w:rsidR="0094686E" w:rsidRPr="0088697A" w:rsidRDefault="0094686E" w:rsidP="0094686E">
      <w:pPr>
        <w:rPr>
          <w:rFonts w:cs="Arial"/>
          <w:b/>
          <w:szCs w:val="24"/>
          <w:lang w:val="en-CA"/>
        </w:rPr>
      </w:pPr>
      <w:r w:rsidRPr="0088697A">
        <w:rPr>
          <w:rFonts w:cs="Arial"/>
          <w:b/>
          <w:szCs w:val="24"/>
          <w:lang w:val="en-CA"/>
        </w:rPr>
        <w:t>Staffing activities by tenure and fiscal year</w:t>
      </w:r>
    </w:p>
    <w:tbl>
      <w:tblPr>
        <w:tblStyle w:val="TableGrid"/>
        <w:tblW w:w="0" w:type="auto"/>
        <w:tblLook w:val="00A0" w:firstRow="1" w:lastRow="0" w:firstColumn="1" w:lastColumn="0" w:noHBand="0" w:noVBand="0"/>
        <w:tblDescription w:val="Staffing activities by tenure and fiscal year"/>
      </w:tblPr>
      <w:tblGrid>
        <w:gridCol w:w="3518"/>
        <w:gridCol w:w="1670"/>
        <w:gridCol w:w="1313"/>
        <w:gridCol w:w="1236"/>
        <w:gridCol w:w="1313"/>
        <w:gridCol w:w="1309"/>
      </w:tblGrid>
      <w:tr w:rsidR="0094686E" w:rsidRPr="0088697A" w:rsidTr="00AB5348">
        <w:trPr>
          <w:tblHeader/>
        </w:trPr>
        <w:tc>
          <w:tcPr>
            <w:tcW w:w="3837" w:type="dxa"/>
          </w:tcPr>
          <w:p w:rsidR="0094686E" w:rsidRPr="0088697A" w:rsidRDefault="0094686E" w:rsidP="0026024D">
            <w:pPr>
              <w:autoSpaceDE w:val="0"/>
              <w:autoSpaceDN w:val="0"/>
              <w:adjustRightInd w:val="0"/>
              <w:rPr>
                <w:rFonts w:cs="Arial"/>
                <w:color w:val="000000"/>
                <w:szCs w:val="24"/>
                <w:lang w:val="en-CA"/>
              </w:rPr>
            </w:pPr>
            <w:bookmarkStart w:id="11" w:name="Title_9"/>
            <w:bookmarkEnd w:id="11"/>
            <w:r w:rsidRPr="0088697A">
              <w:rPr>
                <w:rFonts w:cs="Arial"/>
                <w:color w:val="000000"/>
                <w:szCs w:val="24"/>
                <w:lang w:val="en-CA"/>
              </w:rPr>
              <w:t>Fiscal year</w:t>
            </w:r>
          </w:p>
        </w:tc>
        <w:tc>
          <w:tcPr>
            <w:tcW w:w="168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Indeterminate staffing activities</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Term staffing activities</w:t>
            </w:r>
          </w:p>
        </w:tc>
        <w:tc>
          <w:tcPr>
            <w:tcW w:w="125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Casual staffing activities</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Student staffing activities</w:t>
            </w:r>
          </w:p>
        </w:tc>
        <w:tc>
          <w:tcPr>
            <w:tcW w:w="133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Total staffing activities</w:t>
            </w:r>
          </w:p>
        </w:tc>
      </w:tr>
      <w:tr w:rsidR="0094686E" w:rsidRPr="0088697A" w:rsidTr="00AB5348">
        <w:tc>
          <w:tcPr>
            <w:tcW w:w="3837"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2014 to 2015</w:t>
            </w:r>
          </w:p>
        </w:tc>
        <w:tc>
          <w:tcPr>
            <w:tcW w:w="168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1</w:t>
            </w:r>
          </w:p>
        </w:tc>
        <w:tc>
          <w:tcPr>
            <w:tcW w:w="125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3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r>
      <w:tr w:rsidR="0094686E" w:rsidRPr="0088697A" w:rsidTr="00AB5348">
        <w:tc>
          <w:tcPr>
            <w:tcW w:w="3837"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2015 to 2016</w:t>
            </w:r>
          </w:p>
        </w:tc>
        <w:tc>
          <w:tcPr>
            <w:tcW w:w="168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25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3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r>
      <w:tr w:rsidR="0094686E" w:rsidRPr="0088697A" w:rsidTr="00AB5348">
        <w:tc>
          <w:tcPr>
            <w:tcW w:w="3837"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2016 to 2017</w:t>
            </w:r>
          </w:p>
        </w:tc>
        <w:tc>
          <w:tcPr>
            <w:tcW w:w="168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25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3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r>
      <w:tr w:rsidR="0094686E" w:rsidRPr="0088697A" w:rsidTr="00AB5348">
        <w:tc>
          <w:tcPr>
            <w:tcW w:w="3837"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2017 to 2018</w:t>
            </w:r>
          </w:p>
        </w:tc>
        <w:tc>
          <w:tcPr>
            <w:tcW w:w="168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25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3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2</w:t>
            </w:r>
          </w:p>
        </w:tc>
      </w:tr>
      <w:tr w:rsidR="0094686E" w:rsidRPr="0088697A" w:rsidTr="00AB5348">
        <w:tc>
          <w:tcPr>
            <w:tcW w:w="3837" w:type="dxa"/>
          </w:tcPr>
          <w:p w:rsidR="0094686E" w:rsidRPr="0088697A" w:rsidRDefault="0094686E" w:rsidP="0026024D">
            <w:pPr>
              <w:autoSpaceDE w:val="0"/>
              <w:autoSpaceDN w:val="0"/>
              <w:adjustRightInd w:val="0"/>
              <w:rPr>
                <w:rFonts w:cs="Arial"/>
                <w:color w:val="000000"/>
                <w:szCs w:val="24"/>
                <w:lang w:val="en-CA"/>
              </w:rPr>
            </w:pPr>
            <w:r w:rsidRPr="0088697A">
              <w:rPr>
                <w:rFonts w:cs="Arial"/>
                <w:color w:val="000000"/>
                <w:szCs w:val="24"/>
                <w:lang w:val="en-CA"/>
              </w:rPr>
              <w:t>2018 to 2019</w:t>
            </w:r>
          </w:p>
        </w:tc>
        <w:tc>
          <w:tcPr>
            <w:tcW w:w="168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3</w:t>
            </w:r>
          </w:p>
        </w:tc>
        <w:tc>
          <w:tcPr>
            <w:tcW w:w="1254"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40"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0</w:t>
            </w:r>
          </w:p>
        </w:tc>
        <w:tc>
          <w:tcPr>
            <w:tcW w:w="1335" w:type="dxa"/>
          </w:tcPr>
          <w:p w:rsidR="0094686E" w:rsidRPr="0088697A" w:rsidRDefault="0094686E" w:rsidP="0026024D">
            <w:pPr>
              <w:autoSpaceDE w:val="0"/>
              <w:autoSpaceDN w:val="0"/>
              <w:adjustRightInd w:val="0"/>
              <w:jc w:val="center"/>
              <w:rPr>
                <w:rFonts w:cs="Arial"/>
                <w:color w:val="000000"/>
                <w:szCs w:val="24"/>
                <w:lang w:val="en-CA"/>
              </w:rPr>
            </w:pPr>
            <w:r w:rsidRPr="0088697A">
              <w:rPr>
                <w:rFonts w:cs="Arial"/>
                <w:color w:val="000000"/>
                <w:szCs w:val="24"/>
                <w:lang w:val="en-CA"/>
              </w:rPr>
              <w:t>6</w:t>
            </w:r>
          </w:p>
        </w:tc>
      </w:tr>
    </w:tbl>
    <w:p w:rsidR="0094686E" w:rsidRPr="0088697A" w:rsidRDefault="0094686E" w:rsidP="0094686E">
      <w:pPr>
        <w:rPr>
          <w:rFonts w:cs="Arial"/>
          <w:szCs w:val="24"/>
          <w:lang w:val="en-CA"/>
        </w:rPr>
      </w:pPr>
    </w:p>
    <w:sectPr w:rsidR="0094686E" w:rsidRPr="0088697A" w:rsidSect="0094686E">
      <w:footnotePr>
        <w:numFmt w:val="lowerLetter"/>
      </w:footnotePr>
      <w:endnotePr>
        <w:numFmt w:val="lowerLetter"/>
      </w:endnotePr>
      <w:pgSz w:w="12240" w:h="15840" w:code="1"/>
      <w:pgMar w:top="709" w:right="1304" w:bottom="709" w:left="567" w:header="284"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F54" w:rsidRDefault="00445F54">
      <w:r>
        <w:separator/>
      </w:r>
    </w:p>
  </w:endnote>
  <w:endnote w:type="continuationSeparator" w:id="0">
    <w:p w:rsidR="00445F54" w:rsidRDefault="004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299795"/>
      <w:docPartObj>
        <w:docPartGallery w:val="Page Numbers (Bottom of Page)"/>
        <w:docPartUnique/>
      </w:docPartObj>
    </w:sdtPr>
    <w:sdtEndPr/>
    <w:sdtContent>
      <w:p w:rsidR="00F55F0E" w:rsidRDefault="00F55F0E">
        <w:pPr>
          <w:pStyle w:val="Footer"/>
        </w:pPr>
        <w:r>
          <w:fldChar w:fldCharType="begin"/>
        </w:r>
        <w:r>
          <w:instrText>PAGE   \* MERGEFORMAT</w:instrText>
        </w:r>
        <w:r>
          <w:fldChar w:fldCharType="separate"/>
        </w:r>
        <w:r w:rsidR="009B71E5" w:rsidRPr="009B71E5">
          <w:rPr>
            <w:noProof/>
            <w:lang w:val="fr-FR"/>
          </w:rPr>
          <w:t>3</w:t>
        </w:r>
        <w:r>
          <w:fldChar w:fldCharType="end"/>
        </w:r>
        <w:r>
          <w:tab/>
        </w:r>
      </w:p>
    </w:sdtContent>
  </w:sdt>
  <w:p w:rsidR="00F55F0E" w:rsidRDefault="00F55F0E" w:rsidP="00F55F0E">
    <w:pPr>
      <w:pBdr>
        <w:top w:val="single" w:sz="4" w:space="1" w:color="D9D9D9"/>
      </w:pBdr>
      <w:tabs>
        <w:tab w:val="center" w:pos="4680"/>
        <w:tab w:val="right" w:pos="9360"/>
      </w:tabs>
      <w:jc w:val="center"/>
    </w:pPr>
    <w:r w:rsidRPr="006B2FDC">
      <w:rPr>
        <w:rFonts w:ascii="Calibri" w:eastAsia="Calibri" w:hAnsi="Calibri" w:cs="Arial"/>
        <w:sz w:val="16"/>
        <w:szCs w:val="22"/>
        <w:lang w:val="en-CA"/>
      </w:rPr>
      <w:t xml:space="preserve">GCDOCS </w:t>
    </w:r>
    <w:r>
      <w:rPr>
        <w:rFonts w:ascii="Calibri" w:eastAsia="Calibri" w:hAnsi="Calibri" w:cs="Arial"/>
        <w:sz w:val="16"/>
        <w:szCs w:val="22"/>
        <w:lang w:val="en-CA"/>
      </w:rPr>
      <w:t>9</w:t>
    </w:r>
    <w:r w:rsidR="00F266A5">
      <w:rPr>
        <w:rFonts w:ascii="Calibri" w:eastAsia="Calibri" w:hAnsi="Calibri" w:cs="Arial"/>
        <w:sz w:val="16"/>
        <w:szCs w:val="22"/>
        <w:lang w:val="en-CA"/>
      </w:rPr>
      <w:t>758785</w:t>
    </w:r>
  </w:p>
  <w:p w:rsidR="0058671B" w:rsidRPr="00F55F0E" w:rsidRDefault="0058671B" w:rsidP="00F55F0E">
    <w:pPr>
      <w:pStyle w:val="Footer"/>
      <w:jc w:val="center"/>
      <w:rPr>
        <w:rFonts w:ascii="Arial" w:hAnsi="Arial" w:cs="Arial"/>
        <w:sz w:val="22"/>
        <w:szCs w:val="22"/>
        <w:lang w:val="fr-C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F3" w:rsidRDefault="005D08F3" w:rsidP="00A50618">
    <w:pPr>
      <w:pStyle w:val="Footer"/>
      <w:jc w:val="center"/>
    </w:pPr>
    <w:r>
      <w:t xml:space="preserve"> Produced by Data Services and Analysis Directorate (PSC) – Updated on June 6,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395389"/>
      <w:docPartObj>
        <w:docPartGallery w:val="Page Numbers (Bottom of Page)"/>
        <w:docPartUnique/>
      </w:docPartObj>
    </w:sdtPr>
    <w:sdtEndPr/>
    <w:sdtContent>
      <w:p w:rsidR="00C936CE" w:rsidRDefault="00C936CE">
        <w:pPr>
          <w:pStyle w:val="Footer"/>
        </w:pPr>
        <w:r>
          <w:fldChar w:fldCharType="begin"/>
        </w:r>
        <w:r>
          <w:instrText>PAGE   \* MERGEFORMAT</w:instrText>
        </w:r>
        <w:r>
          <w:fldChar w:fldCharType="separate"/>
        </w:r>
        <w:r w:rsidR="009B71E5" w:rsidRPr="009B71E5">
          <w:rPr>
            <w:noProof/>
            <w:lang w:val="fr-FR"/>
          </w:rPr>
          <w:t>11</w:t>
        </w:r>
        <w:r>
          <w:fldChar w:fldCharType="end"/>
        </w:r>
        <w:r>
          <w:tab/>
        </w:r>
      </w:p>
    </w:sdtContent>
  </w:sdt>
  <w:p w:rsidR="00C936CE" w:rsidRDefault="00C936CE" w:rsidP="00F55F0E">
    <w:pPr>
      <w:pBdr>
        <w:top w:val="single" w:sz="4" w:space="1" w:color="D9D9D9"/>
      </w:pBdr>
      <w:tabs>
        <w:tab w:val="center" w:pos="4680"/>
        <w:tab w:val="right" w:pos="9360"/>
      </w:tabs>
      <w:jc w:val="center"/>
    </w:pPr>
    <w:r w:rsidRPr="006B2FDC">
      <w:rPr>
        <w:rFonts w:ascii="Calibri" w:eastAsia="Calibri" w:hAnsi="Calibri" w:cs="Arial"/>
        <w:sz w:val="16"/>
        <w:szCs w:val="22"/>
        <w:lang w:val="en-CA"/>
      </w:rPr>
      <w:t xml:space="preserve">GCDOCS </w:t>
    </w:r>
    <w:r>
      <w:rPr>
        <w:rFonts w:ascii="Calibri" w:eastAsia="Calibri" w:hAnsi="Calibri" w:cs="Arial"/>
        <w:sz w:val="16"/>
        <w:szCs w:val="22"/>
        <w:lang w:val="en-CA"/>
      </w:rPr>
      <w:t>9758785</w:t>
    </w:r>
  </w:p>
  <w:p w:rsidR="00C936CE" w:rsidRPr="00F55F0E" w:rsidRDefault="00C936CE" w:rsidP="00F55F0E">
    <w:pPr>
      <w:pStyle w:val="Footer"/>
      <w:jc w:val="center"/>
      <w:rPr>
        <w:rFonts w:ascii="Arial" w:hAnsi="Arial" w:cs="Arial"/>
        <w:sz w:val="22"/>
        <w:szCs w:val="22"/>
        <w:lang w:val="fr-C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F3" w:rsidRPr="00A54E96" w:rsidRDefault="005D08F3" w:rsidP="00A54E96">
    <w:pPr>
      <w:pStyle w:val="Header"/>
      <w:jc w:val="center"/>
      <w:rPr>
        <w:rFonts w:asciiTheme="minorHAnsi" w:hAnsiTheme="minorHAnsi" w:cstheme="minorHAnsi"/>
        <w:b/>
        <w:sz w:val="20"/>
      </w:rPr>
    </w:pPr>
    <w:r w:rsidRPr="00490871">
      <w:rPr>
        <w:rFonts w:asciiTheme="minorHAnsi" w:hAnsiTheme="minorHAnsi" w:cstheme="minorHAnsi"/>
        <w:b/>
        <w:sz w:val="20"/>
      </w:rPr>
      <w:t xml:space="preserve">AS = Administrative Services </w:t>
    </w:r>
    <w:r>
      <w:rPr>
        <w:rFonts w:asciiTheme="minorHAnsi" w:hAnsiTheme="minorHAnsi" w:cstheme="minorHAnsi"/>
        <w:b/>
        <w:sz w:val="20"/>
      </w:rPr>
      <w:t>EX = Executive LP</w:t>
    </w:r>
    <w:r w:rsidRPr="00490871">
      <w:rPr>
        <w:rFonts w:asciiTheme="minorHAnsi" w:hAnsiTheme="minorHAnsi" w:cstheme="minorHAnsi"/>
        <w:b/>
        <w:sz w:val="20"/>
      </w:rPr>
      <w:t xml:space="preserve"> = </w:t>
    </w:r>
    <w:r>
      <w:rPr>
        <w:rFonts w:asciiTheme="minorHAnsi" w:hAnsiTheme="minorHAnsi" w:cstheme="minorHAnsi"/>
        <w:b/>
        <w:sz w:val="20"/>
      </w:rPr>
      <w:t>Law Practitioner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F54" w:rsidRDefault="00445F54">
      <w:r>
        <w:separator/>
      </w:r>
    </w:p>
  </w:footnote>
  <w:footnote w:type="continuationSeparator" w:id="0">
    <w:p w:rsidR="00445F54" w:rsidRDefault="00445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7C3" w:rsidRPr="005C3392" w:rsidRDefault="00445F54" w:rsidP="00C507C3">
    <w:pPr>
      <w:pStyle w:val="Heading1"/>
      <w:jc w:val="right"/>
      <w:rPr>
        <w:rFonts w:ascii="Arial Narrow" w:hAnsi="Arial Narrow"/>
        <w:sz w:val="22"/>
      </w:rPr>
    </w:pPr>
    <w:sdt>
      <w:sdtPr>
        <w:rPr>
          <w:rFonts w:ascii="Arial Narrow" w:hAnsi="Arial Narrow"/>
          <w:sz w:val="22"/>
        </w:rPr>
        <w:alias w:val="Title"/>
        <w:tag w:val=""/>
        <w:id w:val="942040131"/>
        <w:placeholder>
          <w:docPart w:val="8D732070428D49CABA881105BCA0F7B6"/>
        </w:placeholder>
        <w:dataBinding w:prefixMappings="xmlns:ns0='http://purl.org/dc/elements/1.1/' xmlns:ns1='http://schemas.openxmlformats.org/package/2006/metadata/core-properties' " w:xpath="/ns1:coreProperties[1]/ns0:title[1]" w:storeItemID="{6C3C8BC8-F283-45AE-878A-BAB7291924A1}"/>
        <w:text/>
      </w:sdtPr>
      <w:sdtEndPr/>
      <w:sdtContent>
        <w:r w:rsidR="00C507C3" w:rsidRPr="005C3392">
          <w:rPr>
            <w:rFonts w:ascii="Arial Narrow" w:hAnsi="Arial Narrow"/>
            <w:sz w:val="22"/>
          </w:rPr>
          <w:t>to be published on the open government portal</w:t>
        </w:r>
      </w:sdtContent>
    </w:sdt>
  </w:p>
  <w:p w:rsidR="00C507C3" w:rsidRDefault="00C507C3" w:rsidP="00C507C3">
    <w:pPr>
      <w:pStyle w:val="Header"/>
      <w:tabs>
        <w:tab w:val="clear" w:pos="4680"/>
        <w:tab w:val="clear" w:pos="9360"/>
        <w:tab w:val="left" w:pos="432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CE" w:rsidRPr="005C3392" w:rsidRDefault="00445F54" w:rsidP="00C507C3">
    <w:pPr>
      <w:pStyle w:val="Heading1"/>
      <w:jc w:val="right"/>
      <w:rPr>
        <w:rFonts w:ascii="Arial Narrow" w:hAnsi="Arial Narrow"/>
        <w:sz w:val="22"/>
      </w:rPr>
    </w:pPr>
    <w:sdt>
      <w:sdtPr>
        <w:rPr>
          <w:rFonts w:ascii="Arial Narrow" w:hAnsi="Arial Narrow"/>
          <w:sz w:val="22"/>
        </w:rPr>
        <w:alias w:val="Title"/>
        <w:tag w:val=""/>
        <w:id w:val="967163049"/>
        <w:placeholder>
          <w:docPart w:val="D5E0412B61F24A15964E90F280538D96"/>
        </w:placeholder>
        <w:dataBinding w:prefixMappings="xmlns:ns0='http://purl.org/dc/elements/1.1/' xmlns:ns1='http://schemas.openxmlformats.org/package/2006/metadata/core-properties' " w:xpath="/ns1:coreProperties[1]/ns0:title[1]" w:storeItemID="{6C3C8BC8-F283-45AE-878A-BAB7291924A1}"/>
        <w:text/>
      </w:sdtPr>
      <w:sdtEndPr/>
      <w:sdtContent>
        <w:r w:rsidR="00C936CE" w:rsidRPr="005C3392">
          <w:rPr>
            <w:rFonts w:ascii="Arial Narrow" w:hAnsi="Arial Narrow"/>
            <w:sz w:val="22"/>
          </w:rPr>
          <w:t>to be published on the open government portal</w:t>
        </w:r>
      </w:sdtContent>
    </w:sdt>
  </w:p>
  <w:p w:rsidR="00C936CE" w:rsidRDefault="00C936CE" w:rsidP="00C507C3">
    <w:pPr>
      <w:pStyle w:val="Header"/>
      <w:tabs>
        <w:tab w:val="clear" w:pos="4680"/>
        <w:tab w:val="clear" w:pos="9360"/>
        <w:tab w:val="left" w:pos="432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F3" w:rsidRPr="00DF5098" w:rsidRDefault="005D08F3" w:rsidP="00DF5098">
    <w:pPr>
      <w:pStyle w:val="Header"/>
      <w:jc w:val="center"/>
    </w:pPr>
    <w:r>
      <w:rPr>
        <w:rFonts w:asciiTheme="minorHAnsi" w:hAnsiTheme="minorHAnsi" w:cstheme="minorHAnsi"/>
        <w:b/>
        <w:sz w:val="20"/>
      </w:rPr>
      <w:t>Royal Canadian Mounted Police External Review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E65"/>
    <w:multiLevelType w:val="hybridMultilevel"/>
    <w:tmpl w:val="56AEBF50"/>
    <w:lvl w:ilvl="0" w:tplc="CF92CBCA">
      <w:start w:val="1"/>
      <w:numFmt w:val="bullet"/>
      <w:lvlText w:val=""/>
      <w:lvlJc w:val="left"/>
      <w:pPr>
        <w:ind w:left="360" w:hanging="360"/>
      </w:pPr>
      <w:rPr>
        <w:rFonts w:ascii="Symbol" w:hAnsi="Symbol" w:hint="default"/>
        <w:color w:val="000000"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9104A4"/>
    <w:multiLevelType w:val="hybridMultilevel"/>
    <w:tmpl w:val="00C49782"/>
    <w:lvl w:ilvl="0" w:tplc="F2B4A5D0">
      <w:start w:val="1"/>
      <w:numFmt w:val="bullet"/>
      <w:lvlText w:val=""/>
      <w:lvlJc w:val="left"/>
      <w:pPr>
        <w:ind w:left="720" w:hanging="360"/>
      </w:pPr>
      <w:rPr>
        <w:rFonts w:ascii="Symbol" w:hAnsi="Symbol" w:hint="default"/>
        <w:b/>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232685"/>
    <w:multiLevelType w:val="hybridMultilevel"/>
    <w:tmpl w:val="DEFC0C6E"/>
    <w:lvl w:ilvl="0" w:tplc="10090001">
      <w:start w:val="1"/>
      <w:numFmt w:val="bullet"/>
      <w:lvlText w:val=""/>
      <w:lvlJc w:val="left"/>
      <w:pPr>
        <w:ind w:left="644" w:hanging="360"/>
      </w:pPr>
      <w:rPr>
        <w:rFonts w:ascii="Symbol" w:hAnsi="Symbol" w:hint="default"/>
      </w:rPr>
    </w:lvl>
    <w:lvl w:ilvl="1" w:tplc="54E072B4">
      <w:start w:val="1"/>
      <w:numFmt w:val="bullet"/>
      <w:lvlText w:val="o"/>
      <w:lvlJc w:val="left"/>
      <w:pPr>
        <w:ind w:left="1440" w:hanging="360"/>
      </w:pPr>
      <w:rPr>
        <w:rFonts w:ascii="Courier New" w:hAnsi="Courier New" w:cs="Courier New" w:hint="default"/>
        <w:color w:val="AEAAAA" w:themeColor="background2" w:themeShade="B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7C0245"/>
    <w:multiLevelType w:val="hybridMultilevel"/>
    <w:tmpl w:val="60CCC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A90A0D"/>
    <w:multiLevelType w:val="hybridMultilevel"/>
    <w:tmpl w:val="4E4C1586"/>
    <w:lvl w:ilvl="0" w:tplc="10090001">
      <w:start w:val="1"/>
      <w:numFmt w:val="bullet"/>
      <w:lvlText w:val=""/>
      <w:lvlJc w:val="left"/>
      <w:pPr>
        <w:ind w:left="720" w:hanging="360"/>
      </w:pPr>
      <w:rPr>
        <w:rFonts w:ascii="Symbol" w:hAnsi="Symbol"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3A31DC"/>
    <w:multiLevelType w:val="hybridMultilevel"/>
    <w:tmpl w:val="0D6C2602"/>
    <w:lvl w:ilvl="0" w:tplc="10090001">
      <w:start w:val="1"/>
      <w:numFmt w:val="bullet"/>
      <w:lvlText w:val=""/>
      <w:lvlJc w:val="left"/>
      <w:pPr>
        <w:ind w:left="360" w:hanging="360"/>
      </w:pPr>
      <w:rPr>
        <w:rFonts w:ascii="Symbol" w:hAnsi="Symbol" w:hint="default"/>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7F42391"/>
    <w:multiLevelType w:val="hybridMultilevel"/>
    <w:tmpl w:val="A22C0D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5E62A6"/>
    <w:multiLevelType w:val="hybridMultilevel"/>
    <w:tmpl w:val="83804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066135"/>
    <w:multiLevelType w:val="hybridMultilevel"/>
    <w:tmpl w:val="A22C0D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BD32ED"/>
    <w:multiLevelType w:val="hybridMultilevel"/>
    <w:tmpl w:val="90C8C3F2"/>
    <w:lvl w:ilvl="0" w:tplc="4858B44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515B3D"/>
    <w:multiLevelType w:val="hybridMultilevel"/>
    <w:tmpl w:val="30DE2C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D1A71FC"/>
    <w:multiLevelType w:val="hybridMultilevel"/>
    <w:tmpl w:val="92704C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E581946"/>
    <w:multiLevelType w:val="hybridMultilevel"/>
    <w:tmpl w:val="A5EE3698"/>
    <w:lvl w:ilvl="0" w:tplc="975C5224">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156594"/>
    <w:multiLevelType w:val="hybridMultilevel"/>
    <w:tmpl w:val="5F0E340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D64130"/>
    <w:multiLevelType w:val="hybridMultilevel"/>
    <w:tmpl w:val="0F3A9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C22289E"/>
    <w:multiLevelType w:val="hybridMultilevel"/>
    <w:tmpl w:val="D03C3C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F42FA"/>
    <w:multiLevelType w:val="hybridMultilevel"/>
    <w:tmpl w:val="2738D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56442F1"/>
    <w:multiLevelType w:val="hybridMultilevel"/>
    <w:tmpl w:val="B4BE7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667F5F"/>
    <w:multiLevelType w:val="hybridMultilevel"/>
    <w:tmpl w:val="4316F0E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A94E9A"/>
    <w:multiLevelType w:val="hybridMultilevel"/>
    <w:tmpl w:val="A03C8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E03E94"/>
    <w:multiLevelType w:val="hybridMultilevel"/>
    <w:tmpl w:val="CDB8B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2100DE"/>
    <w:multiLevelType w:val="hybridMultilevel"/>
    <w:tmpl w:val="E006C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D64185"/>
    <w:multiLevelType w:val="hybridMultilevel"/>
    <w:tmpl w:val="A516D5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BD25E2C"/>
    <w:multiLevelType w:val="hybridMultilevel"/>
    <w:tmpl w:val="F67EC2D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D031B0"/>
    <w:multiLevelType w:val="hybridMultilevel"/>
    <w:tmpl w:val="BF4C5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D3022F"/>
    <w:multiLevelType w:val="hybridMultilevel"/>
    <w:tmpl w:val="6D84EB30"/>
    <w:lvl w:ilvl="0" w:tplc="9FC49FBC">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41F480F"/>
    <w:multiLevelType w:val="hybridMultilevel"/>
    <w:tmpl w:val="30CEC1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46C4B5C"/>
    <w:multiLevelType w:val="hybridMultilevel"/>
    <w:tmpl w:val="5F2C7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A96095"/>
    <w:multiLevelType w:val="hybridMultilevel"/>
    <w:tmpl w:val="F9281FF4"/>
    <w:lvl w:ilvl="0" w:tplc="5B7286B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7" w15:restartNumberingAfterBreak="0">
    <w:nsid w:val="6D0C3C2F"/>
    <w:multiLevelType w:val="hybridMultilevel"/>
    <w:tmpl w:val="4224CA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6003D15"/>
    <w:multiLevelType w:val="hybridMultilevel"/>
    <w:tmpl w:val="3C18D050"/>
    <w:lvl w:ilvl="0" w:tplc="10090001">
      <w:start w:val="1"/>
      <w:numFmt w:val="bullet"/>
      <w:lvlText w:val=""/>
      <w:lvlJc w:val="left"/>
      <w:pPr>
        <w:ind w:left="360" w:hanging="360"/>
      </w:pPr>
      <w:rPr>
        <w:rFonts w:ascii="Symbol" w:hAnsi="Symbol" w:hint="default"/>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B6651AC"/>
    <w:multiLevelType w:val="hybridMultilevel"/>
    <w:tmpl w:val="FEA80B08"/>
    <w:lvl w:ilvl="0" w:tplc="B234F38C">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7E903B5A"/>
    <w:multiLevelType w:val="hybridMultilevel"/>
    <w:tmpl w:val="E5023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2"/>
  </w:num>
  <w:num w:numId="4">
    <w:abstractNumId w:val="8"/>
  </w:num>
  <w:num w:numId="5">
    <w:abstractNumId w:val="40"/>
  </w:num>
  <w:num w:numId="6">
    <w:abstractNumId w:val="23"/>
  </w:num>
  <w:num w:numId="7">
    <w:abstractNumId w:val="17"/>
  </w:num>
  <w:num w:numId="8">
    <w:abstractNumId w:val="36"/>
  </w:num>
  <w:num w:numId="9">
    <w:abstractNumId w:val="14"/>
  </w:num>
  <w:num w:numId="10">
    <w:abstractNumId w:val="36"/>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5"/>
  </w:num>
  <w:num w:numId="14">
    <w:abstractNumId w:val="21"/>
  </w:num>
  <w:num w:numId="15">
    <w:abstractNumId w:val="3"/>
  </w:num>
  <w:num w:numId="16">
    <w:abstractNumId w:val="13"/>
  </w:num>
  <w:num w:numId="17">
    <w:abstractNumId w:val="33"/>
  </w:num>
  <w:num w:numId="18">
    <w:abstractNumId w:val="19"/>
  </w:num>
  <w:num w:numId="19">
    <w:abstractNumId w:val="32"/>
  </w:num>
  <w:num w:numId="20">
    <w:abstractNumId w:val="25"/>
  </w:num>
  <w:num w:numId="21">
    <w:abstractNumId w:val="20"/>
  </w:num>
  <w:num w:numId="22">
    <w:abstractNumId w:val="26"/>
  </w:num>
  <w:num w:numId="23">
    <w:abstractNumId w:val="34"/>
  </w:num>
  <w:num w:numId="24">
    <w:abstractNumId w:val="31"/>
  </w:num>
  <w:num w:numId="25">
    <w:abstractNumId w:val="7"/>
  </w:num>
  <w:num w:numId="26">
    <w:abstractNumId w:val="10"/>
  </w:num>
  <w:num w:numId="27">
    <w:abstractNumId w:val="39"/>
  </w:num>
  <w:num w:numId="28">
    <w:abstractNumId w:val="39"/>
  </w:num>
  <w:num w:numId="29">
    <w:abstractNumId w:val="9"/>
  </w:num>
  <w:num w:numId="30">
    <w:abstractNumId w:val="22"/>
  </w:num>
  <w:num w:numId="31">
    <w:abstractNumId w:val="6"/>
  </w:num>
  <w:num w:numId="32">
    <w:abstractNumId w:val="11"/>
  </w:num>
  <w:num w:numId="33">
    <w:abstractNumId w:val="30"/>
  </w:num>
  <w:num w:numId="34">
    <w:abstractNumId w:val="18"/>
  </w:num>
  <w:num w:numId="35">
    <w:abstractNumId w:val="16"/>
  </w:num>
  <w:num w:numId="36">
    <w:abstractNumId w:val="4"/>
  </w:num>
  <w:num w:numId="37">
    <w:abstractNumId w:val="37"/>
  </w:num>
  <w:num w:numId="38">
    <w:abstractNumId w:val="0"/>
  </w:num>
  <w:num w:numId="39">
    <w:abstractNumId w:val="38"/>
  </w:num>
  <w:num w:numId="40">
    <w:abstractNumId w:val="5"/>
  </w:num>
  <w:num w:numId="41">
    <w:abstractNumId w:val="1"/>
  </w:num>
  <w:num w:numId="42">
    <w:abstractNumId w:val="24"/>
  </w:num>
  <w:num w:numId="43">
    <w:abstractNumId w:val="29"/>
  </w:num>
  <w:num w:numId="44">
    <w:abstractNumId w:val="35"/>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8505"/>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65"/>
    <w:rsid w:val="00000519"/>
    <w:rsid w:val="00000900"/>
    <w:rsid w:val="00005EEE"/>
    <w:rsid w:val="000060FD"/>
    <w:rsid w:val="0000686C"/>
    <w:rsid w:val="00011C9D"/>
    <w:rsid w:val="00013C70"/>
    <w:rsid w:val="00020225"/>
    <w:rsid w:val="00021EC1"/>
    <w:rsid w:val="0002550B"/>
    <w:rsid w:val="00026B6E"/>
    <w:rsid w:val="00030344"/>
    <w:rsid w:val="000328E0"/>
    <w:rsid w:val="0003366E"/>
    <w:rsid w:val="000346DE"/>
    <w:rsid w:val="00034732"/>
    <w:rsid w:val="00043A29"/>
    <w:rsid w:val="00045A26"/>
    <w:rsid w:val="00046252"/>
    <w:rsid w:val="000500A0"/>
    <w:rsid w:val="00054322"/>
    <w:rsid w:val="000571F0"/>
    <w:rsid w:val="00061EA6"/>
    <w:rsid w:val="00064B61"/>
    <w:rsid w:val="00064DA8"/>
    <w:rsid w:val="00067645"/>
    <w:rsid w:val="00070865"/>
    <w:rsid w:val="00075977"/>
    <w:rsid w:val="0007665B"/>
    <w:rsid w:val="0008225E"/>
    <w:rsid w:val="000825DB"/>
    <w:rsid w:val="00082C3F"/>
    <w:rsid w:val="00082F13"/>
    <w:rsid w:val="0008536C"/>
    <w:rsid w:val="000878A7"/>
    <w:rsid w:val="000944FC"/>
    <w:rsid w:val="00094F23"/>
    <w:rsid w:val="000A03AA"/>
    <w:rsid w:val="000A76BE"/>
    <w:rsid w:val="000B066A"/>
    <w:rsid w:val="000B0DC1"/>
    <w:rsid w:val="000B13C2"/>
    <w:rsid w:val="000B548F"/>
    <w:rsid w:val="000B5A32"/>
    <w:rsid w:val="000B6816"/>
    <w:rsid w:val="000C069E"/>
    <w:rsid w:val="000C13F6"/>
    <w:rsid w:val="000C302E"/>
    <w:rsid w:val="000C39F2"/>
    <w:rsid w:val="000C3BB8"/>
    <w:rsid w:val="000C4A9A"/>
    <w:rsid w:val="000C5FEA"/>
    <w:rsid w:val="000C77B6"/>
    <w:rsid w:val="000C7830"/>
    <w:rsid w:val="000D6C3B"/>
    <w:rsid w:val="000D7AED"/>
    <w:rsid w:val="000E2754"/>
    <w:rsid w:val="000E3446"/>
    <w:rsid w:val="000E3D1F"/>
    <w:rsid w:val="000F6267"/>
    <w:rsid w:val="0010079D"/>
    <w:rsid w:val="00101449"/>
    <w:rsid w:val="00101DA8"/>
    <w:rsid w:val="001049F0"/>
    <w:rsid w:val="00105BAA"/>
    <w:rsid w:val="00112490"/>
    <w:rsid w:val="00113C72"/>
    <w:rsid w:val="00114459"/>
    <w:rsid w:val="00115777"/>
    <w:rsid w:val="00117468"/>
    <w:rsid w:val="0012259A"/>
    <w:rsid w:val="00127463"/>
    <w:rsid w:val="00131367"/>
    <w:rsid w:val="00131410"/>
    <w:rsid w:val="001322B5"/>
    <w:rsid w:val="0013511D"/>
    <w:rsid w:val="0013670F"/>
    <w:rsid w:val="001371B0"/>
    <w:rsid w:val="00144343"/>
    <w:rsid w:val="001519E7"/>
    <w:rsid w:val="00152C7A"/>
    <w:rsid w:val="00153C8F"/>
    <w:rsid w:val="0015405E"/>
    <w:rsid w:val="00154759"/>
    <w:rsid w:val="00155FFA"/>
    <w:rsid w:val="00156433"/>
    <w:rsid w:val="00157351"/>
    <w:rsid w:val="00161983"/>
    <w:rsid w:val="00162B6D"/>
    <w:rsid w:val="001666C5"/>
    <w:rsid w:val="00170D05"/>
    <w:rsid w:val="00172AC6"/>
    <w:rsid w:val="00175338"/>
    <w:rsid w:val="001914B3"/>
    <w:rsid w:val="00197EF2"/>
    <w:rsid w:val="001A4D01"/>
    <w:rsid w:val="001A5019"/>
    <w:rsid w:val="001A5ECB"/>
    <w:rsid w:val="001B106D"/>
    <w:rsid w:val="001B256F"/>
    <w:rsid w:val="001B327D"/>
    <w:rsid w:val="001B5A28"/>
    <w:rsid w:val="001B5BED"/>
    <w:rsid w:val="001B77BF"/>
    <w:rsid w:val="001C1928"/>
    <w:rsid w:val="001C2E94"/>
    <w:rsid w:val="001C7FA5"/>
    <w:rsid w:val="001D0B96"/>
    <w:rsid w:val="001D2265"/>
    <w:rsid w:val="001D2D45"/>
    <w:rsid w:val="001D3B0E"/>
    <w:rsid w:val="001D5850"/>
    <w:rsid w:val="001D7886"/>
    <w:rsid w:val="001E285E"/>
    <w:rsid w:val="001E2B26"/>
    <w:rsid w:val="001E2B97"/>
    <w:rsid w:val="001E4938"/>
    <w:rsid w:val="001E606D"/>
    <w:rsid w:val="001F2064"/>
    <w:rsid w:val="001F4F7F"/>
    <w:rsid w:val="002004BF"/>
    <w:rsid w:val="00200DE7"/>
    <w:rsid w:val="00201200"/>
    <w:rsid w:val="00201EF4"/>
    <w:rsid w:val="00203558"/>
    <w:rsid w:val="002119A4"/>
    <w:rsid w:val="00212D17"/>
    <w:rsid w:val="002133D4"/>
    <w:rsid w:val="00215F4E"/>
    <w:rsid w:val="002214FF"/>
    <w:rsid w:val="00222833"/>
    <w:rsid w:val="002273C8"/>
    <w:rsid w:val="00227A07"/>
    <w:rsid w:val="00230AFD"/>
    <w:rsid w:val="00231F8B"/>
    <w:rsid w:val="002323D8"/>
    <w:rsid w:val="00235EBF"/>
    <w:rsid w:val="00244988"/>
    <w:rsid w:val="00246ED6"/>
    <w:rsid w:val="002553A6"/>
    <w:rsid w:val="00256498"/>
    <w:rsid w:val="00256A4E"/>
    <w:rsid w:val="00262246"/>
    <w:rsid w:val="00263944"/>
    <w:rsid w:val="002654D2"/>
    <w:rsid w:val="002656E7"/>
    <w:rsid w:val="002665FC"/>
    <w:rsid w:val="00267237"/>
    <w:rsid w:val="0026770A"/>
    <w:rsid w:val="00267B5F"/>
    <w:rsid w:val="002705D5"/>
    <w:rsid w:val="0027156E"/>
    <w:rsid w:val="002723B4"/>
    <w:rsid w:val="002743FD"/>
    <w:rsid w:val="00277640"/>
    <w:rsid w:val="00281B55"/>
    <w:rsid w:val="00284F97"/>
    <w:rsid w:val="00287C00"/>
    <w:rsid w:val="002921B1"/>
    <w:rsid w:val="00293AE6"/>
    <w:rsid w:val="00296798"/>
    <w:rsid w:val="002A2AC8"/>
    <w:rsid w:val="002A43A2"/>
    <w:rsid w:val="002A55A1"/>
    <w:rsid w:val="002B1C3B"/>
    <w:rsid w:val="002C0DB0"/>
    <w:rsid w:val="002C54CA"/>
    <w:rsid w:val="002C7EC9"/>
    <w:rsid w:val="002D449F"/>
    <w:rsid w:val="002D469F"/>
    <w:rsid w:val="002D5543"/>
    <w:rsid w:val="002E0516"/>
    <w:rsid w:val="002E0A88"/>
    <w:rsid w:val="002E4057"/>
    <w:rsid w:val="002E7BB9"/>
    <w:rsid w:val="002F2276"/>
    <w:rsid w:val="002F3FAB"/>
    <w:rsid w:val="002F705B"/>
    <w:rsid w:val="002F7EAA"/>
    <w:rsid w:val="00304265"/>
    <w:rsid w:val="00317F7A"/>
    <w:rsid w:val="003264DD"/>
    <w:rsid w:val="0032776A"/>
    <w:rsid w:val="00331650"/>
    <w:rsid w:val="0033202C"/>
    <w:rsid w:val="00332C98"/>
    <w:rsid w:val="00340303"/>
    <w:rsid w:val="00343059"/>
    <w:rsid w:val="00344789"/>
    <w:rsid w:val="00350D77"/>
    <w:rsid w:val="00353828"/>
    <w:rsid w:val="00360282"/>
    <w:rsid w:val="003637B8"/>
    <w:rsid w:val="00363CD6"/>
    <w:rsid w:val="003649C1"/>
    <w:rsid w:val="0036572A"/>
    <w:rsid w:val="00373825"/>
    <w:rsid w:val="003776BB"/>
    <w:rsid w:val="00377DBA"/>
    <w:rsid w:val="00381947"/>
    <w:rsid w:val="003843CD"/>
    <w:rsid w:val="003866BE"/>
    <w:rsid w:val="00393EC8"/>
    <w:rsid w:val="00397920"/>
    <w:rsid w:val="003A000A"/>
    <w:rsid w:val="003A0CA3"/>
    <w:rsid w:val="003A2FE0"/>
    <w:rsid w:val="003B1F5C"/>
    <w:rsid w:val="003B6B6D"/>
    <w:rsid w:val="003B6D6C"/>
    <w:rsid w:val="003C05BF"/>
    <w:rsid w:val="003C206C"/>
    <w:rsid w:val="003C2113"/>
    <w:rsid w:val="003C3C16"/>
    <w:rsid w:val="003C6B0F"/>
    <w:rsid w:val="003C6CCA"/>
    <w:rsid w:val="003C78FC"/>
    <w:rsid w:val="003D05FE"/>
    <w:rsid w:val="003D0FA0"/>
    <w:rsid w:val="003D40E0"/>
    <w:rsid w:val="003E3184"/>
    <w:rsid w:val="003E4DDB"/>
    <w:rsid w:val="003E7AFC"/>
    <w:rsid w:val="003F0E09"/>
    <w:rsid w:val="003F1CDE"/>
    <w:rsid w:val="003F2A26"/>
    <w:rsid w:val="00402A9A"/>
    <w:rsid w:val="00405189"/>
    <w:rsid w:val="00406963"/>
    <w:rsid w:val="004269F5"/>
    <w:rsid w:val="00426DAB"/>
    <w:rsid w:val="00426FAF"/>
    <w:rsid w:val="00432504"/>
    <w:rsid w:val="0043255B"/>
    <w:rsid w:val="00434AA5"/>
    <w:rsid w:val="00437ADA"/>
    <w:rsid w:val="00437BB6"/>
    <w:rsid w:val="0044438C"/>
    <w:rsid w:val="00445F54"/>
    <w:rsid w:val="00447115"/>
    <w:rsid w:val="00450825"/>
    <w:rsid w:val="004508BF"/>
    <w:rsid w:val="00450E7C"/>
    <w:rsid w:val="00453849"/>
    <w:rsid w:val="00453CCD"/>
    <w:rsid w:val="00454980"/>
    <w:rsid w:val="00455595"/>
    <w:rsid w:val="00461926"/>
    <w:rsid w:val="00465DB1"/>
    <w:rsid w:val="00466762"/>
    <w:rsid w:val="004705BB"/>
    <w:rsid w:val="0047304A"/>
    <w:rsid w:val="0047498D"/>
    <w:rsid w:val="0047636A"/>
    <w:rsid w:val="00477FBA"/>
    <w:rsid w:val="004830A2"/>
    <w:rsid w:val="00483666"/>
    <w:rsid w:val="004843DC"/>
    <w:rsid w:val="004859C0"/>
    <w:rsid w:val="004865E1"/>
    <w:rsid w:val="00497D53"/>
    <w:rsid w:val="00497F04"/>
    <w:rsid w:val="004A5837"/>
    <w:rsid w:val="004A5FD0"/>
    <w:rsid w:val="004B33C7"/>
    <w:rsid w:val="004B48D3"/>
    <w:rsid w:val="004B6BD8"/>
    <w:rsid w:val="004C11E0"/>
    <w:rsid w:val="004C2B9B"/>
    <w:rsid w:val="004C4656"/>
    <w:rsid w:val="004C4733"/>
    <w:rsid w:val="004C4D15"/>
    <w:rsid w:val="004D0D04"/>
    <w:rsid w:val="004D1778"/>
    <w:rsid w:val="004D392F"/>
    <w:rsid w:val="004D4D0A"/>
    <w:rsid w:val="004D6A22"/>
    <w:rsid w:val="004E1150"/>
    <w:rsid w:val="004E136F"/>
    <w:rsid w:val="004E1FA7"/>
    <w:rsid w:val="004E2C4F"/>
    <w:rsid w:val="004E4334"/>
    <w:rsid w:val="004E5D2A"/>
    <w:rsid w:val="004E5FDB"/>
    <w:rsid w:val="004F2040"/>
    <w:rsid w:val="004F4710"/>
    <w:rsid w:val="004F599C"/>
    <w:rsid w:val="00502DE7"/>
    <w:rsid w:val="00507604"/>
    <w:rsid w:val="00507725"/>
    <w:rsid w:val="005174D0"/>
    <w:rsid w:val="00522E05"/>
    <w:rsid w:val="00525786"/>
    <w:rsid w:val="00526758"/>
    <w:rsid w:val="00531E1B"/>
    <w:rsid w:val="00532405"/>
    <w:rsid w:val="00535193"/>
    <w:rsid w:val="00535236"/>
    <w:rsid w:val="00535A69"/>
    <w:rsid w:val="00536243"/>
    <w:rsid w:val="00537FE5"/>
    <w:rsid w:val="00541081"/>
    <w:rsid w:val="00541FE0"/>
    <w:rsid w:val="00542CE3"/>
    <w:rsid w:val="00543B1F"/>
    <w:rsid w:val="00545D75"/>
    <w:rsid w:val="00550C69"/>
    <w:rsid w:val="00562805"/>
    <w:rsid w:val="00565A1C"/>
    <w:rsid w:val="005663FE"/>
    <w:rsid w:val="00566EE0"/>
    <w:rsid w:val="005756DF"/>
    <w:rsid w:val="005765D3"/>
    <w:rsid w:val="005864B5"/>
    <w:rsid w:val="0058671B"/>
    <w:rsid w:val="00590382"/>
    <w:rsid w:val="0059088E"/>
    <w:rsid w:val="00594946"/>
    <w:rsid w:val="00595251"/>
    <w:rsid w:val="00595E29"/>
    <w:rsid w:val="00597791"/>
    <w:rsid w:val="005A1011"/>
    <w:rsid w:val="005A1A41"/>
    <w:rsid w:val="005A4DAA"/>
    <w:rsid w:val="005A578D"/>
    <w:rsid w:val="005A6FC9"/>
    <w:rsid w:val="005B56B6"/>
    <w:rsid w:val="005B73C7"/>
    <w:rsid w:val="005C06D6"/>
    <w:rsid w:val="005C1F79"/>
    <w:rsid w:val="005C3392"/>
    <w:rsid w:val="005C565D"/>
    <w:rsid w:val="005C576C"/>
    <w:rsid w:val="005C6258"/>
    <w:rsid w:val="005D02BB"/>
    <w:rsid w:val="005D08F3"/>
    <w:rsid w:val="005D1535"/>
    <w:rsid w:val="005D1B0F"/>
    <w:rsid w:val="005D1C94"/>
    <w:rsid w:val="005D308C"/>
    <w:rsid w:val="005D365A"/>
    <w:rsid w:val="005D54BC"/>
    <w:rsid w:val="005D6E66"/>
    <w:rsid w:val="005E056F"/>
    <w:rsid w:val="005E076A"/>
    <w:rsid w:val="005E0C2D"/>
    <w:rsid w:val="005E1432"/>
    <w:rsid w:val="005E565E"/>
    <w:rsid w:val="005F523A"/>
    <w:rsid w:val="00604C63"/>
    <w:rsid w:val="00606E24"/>
    <w:rsid w:val="00606E5C"/>
    <w:rsid w:val="00620A40"/>
    <w:rsid w:val="00622FCE"/>
    <w:rsid w:val="00624D0C"/>
    <w:rsid w:val="00625467"/>
    <w:rsid w:val="00626A55"/>
    <w:rsid w:val="00626D66"/>
    <w:rsid w:val="006379B7"/>
    <w:rsid w:val="00644521"/>
    <w:rsid w:val="006519AA"/>
    <w:rsid w:val="006522B9"/>
    <w:rsid w:val="0065561B"/>
    <w:rsid w:val="00657365"/>
    <w:rsid w:val="00661F48"/>
    <w:rsid w:val="006707D0"/>
    <w:rsid w:val="006715A6"/>
    <w:rsid w:val="00677CEB"/>
    <w:rsid w:val="00677D65"/>
    <w:rsid w:val="00677F03"/>
    <w:rsid w:val="0068085E"/>
    <w:rsid w:val="00680893"/>
    <w:rsid w:val="006857DA"/>
    <w:rsid w:val="00691861"/>
    <w:rsid w:val="00695E23"/>
    <w:rsid w:val="006A7D67"/>
    <w:rsid w:val="006B2FDC"/>
    <w:rsid w:val="006C14C3"/>
    <w:rsid w:val="006C30AE"/>
    <w:rsid w:val="006D1204"/>
    <w:rsid w:val="006D20A2"/>
    <w:rsid w:val="006D34AB"/>
    <w:rsid w:val="006D5C21"/>
    <w:rsid w:val="006D6BF5"/>
    <w:rsid w:val="006E39FC"/>
    <w:rsid w:val="006E6493"/>
    <w:rsid w:val="006F2F9C"/>
    <w:rsid w:val="006F4A9E"/>
    <w:rsid w:val="006F7C5D"/>
    <w:rsid w:val="007055BE"/>
    <w:rsid w:val="00712021"/>
    <w:rsid w:val="007126BB"/>
    <w:rsid w:val="0071336D"/>
    <w:rsid w:val="007144CE"/>
    <w:rsid w:val="007227FA"/>
    <w:rsid w:val="0072297B"/>
    <w:rsid w:val="00725BC1"/>
    <w:rsid w:val="00730965"/>
    <w:rsid w:val="00735D5D"/>
    <w:rsid w:val="0074103A"/>
    <w:rsid w:val="007416CA"/>
    <w:rsid w:val="0074461D"/>
    <w:rsid w:val="00745EC5"/>
    <w:rsid w:val="007462B3"/>
    <w:rsid w:val="00747C29"/>
    <w:rsid w:val="00752A8E"/>
    <w:rsid w:val="0075363F"/>
    <w:rsid w:val="007619DB"/>
    <w:rsid w:val="00761B16"/>
    <w:rsid w:val="007622B8"/>
    <w:rsid w:val="007629CD"/>
    <w:rsid w:val="00767834"/>
    <w:rsid w:val="007748D8"/>
    <w:rsid w:val="007758B2"/>
    <w:rsid w:val="00776F6C"/>
    <w:rsid w:val="0078120B"/>
    <w:rsid w:val="00781821"/>
    <w:rsid w:val="00782332"/>
    <w:rsid w:val="00785FA5"/>
    <w:rsid w:val="00787B21"/>
    <w:rsid w:val="00794B06"/>
    <w:rsid w:val="00796ABD"/>
    <w:rsid w:val="0079783A"/>
    <w:rsid w:val="007A4918"/>
    <w:rsid w:val="007A629F"/>
    <w:rsid w:val="007A63AC"/>
    <w:rsid w:val="007B1769"/>
    <w:rsid w:val="007B744E"/>
    <w:rsid w:val="007C1D99"/>
    <w:rsid w:val="007C4462"/>
    <w:rsid w:val="007C68BB"/>
    <w:rsid w:val="007D0EC3"/>
    <w:rsid w:val="007D165C"/>
    <w:rsid w:val="007E00F8"/>
    <w:rsid w:val="007E1D64"/>
    <w:rsid w:val="007E28FB"/>
    <w:rsid w:val="007E5C20"/>
    <w:rsid w:val="007F7793"/>
    <w:rsid w:val="00801500"/>
    <w:rsid w:val="00802040"/>
    <w:rsid w:val="00803B89"/>
    <w:rsid w:val="00803E86"/>
    <w:rsid w:val="00804792"/>
    <w:rsid w:val="008058A7"/>
    <w:rsid w:val="00814A48"/>
    <w:rsid w:val="00814A4E"/>
    <w:rsid w:val="00815542"/>
    <w:rsid w:val="00816A5A"/>
    <w:rsid w:val="00822C36"/>
    <w:rsid w:val="008233D8"/>
    <w:rsid w:val="0082534E"/>
    <w:rsid w:val="00827DBE"/>
    <w:rsid w:val="008308FB"/>
    <w:rsid w:val="0083303D"/>
    <w:rsid w:val="0083471C"/>
    <w:rsid w:val="0084366D"/>
    <w:rsid w:val="008442DE"/>
    <w:rsid w:val="008447CA"/>
    <w:rsid w:val="008471C7"/>
    <w:rsid w:val="008508FB"/>
    <w:rsid w:val="0085610C"/>
    <w:rsid w:val="00856792"/>
    <w:rsid w:val="0086184A"/>
    <w:rsid w:val="008648E1"/>
    <w:rsid w:val="008661EA"/>
    <w:rsid w:val="008705B6"/>
    <w:rsid w:val="0087105E"/>
    <w:rsid w:val="00872398"/>
    <w:rsid w:val="00884AD6"/>
    <w:rsid w:val="008856F6"/>
    <w:rsid w:val="0088600C"/>
    <w:rsid w:val="0088697A"/>
    <w:rsid w:val="00892222"/>
    <w:rsid w:val="008951A0"/>
    <w:rsid w:val="0089600B"/>
    <w:rsid w:val="008A45A7"/>
    <w:rsid w:val="008A53E9"/>
    <w:rsid w:val="008B7551"/>
    <w:rsid w:val="008C0CBA"/>
    <w:rsid w:val="008C77F7"/>
    <w:rsid w:val="008D2921"/>
    <w:rsid w:val="008E5074"/>
    <w:rsid w:val="008E50EB"/>
    <w:rsid w:val="008F0605"/>
    <w:rsid w:val="008F0FD0"/>
    <w:rsid w:val="008F6238"/>
    <w:rsid w:val="009003A1"/>
    <w:rsid w:val="009028D2"/>
    <w:rsid w:val="00902E10"/>
    <w:rsid w:val="0090428C"/>
    <w:rsid w:val="0091254C"/>
    <w:rsid w:val="00912EA9"/>
    <w:rsid w:val="009137EB"/>
    <w:rsid w:val="00913BCB"/>
    <w:rsid w:val="00931C8C"/>
    <w:rsid w:val="00935A11"/>
    <w:rsid w:val="00936C3F"/>
    <w:rsid w:val="009372B9"/>
    <w:rsid w:val="009374ED"/>
    <w:rsid w:val="00942036"/>
    <w:rsid w:val="009442E3"/>
    <w:rsid w:val="0094519D"/>
    <w:rsid w:val="00946379"/>
    <w:rsid w:val="009465F0"/>
    <w:rsid w:val="0094686E"/>
    <w:rsid w:val="00946E3E"/>
    <w:rsid w:val="0094711C"/>
    <w:rsid w:val="0096661D"/>
    <w:rsid w:val="00967700"/>
    <w:rsid w:val="00967EE2"/>
    <w:rsid w:val="00970809"/>
    <w:rsid w:val="00971CE4"/>
    <w:rsid w:val="00971DE1"/>
    <w:rsid w:val="00983885"/>
    <w:rsid w:val="00983F67"/>
    <w:rsid w:val="00992D9F"/>
    <w:rsid w:val="00995018"/>
    <w:rsid w:val="009963CB"/>
    <w:rsid w:val="009A0EDD"/>
    <w:rsid w:val="009A4E0E"/>
    <w:rsid w:val="009B0C29"/>
    <w:rsid w:val="009B3456"/>
    <w:rsid w:val="009B39D1"/>
    <w:rsid w:val="009B52D2"/>
    <w:rsid w:val="009B5F2B"/>
    <w:rsid w:val="009B6741"/>
    <w:rsid w:val="009B71E5"/>
    <w:rsid w:val="009B790A"/>
    <w:rsid w:val="009C2A4F"/>
    <w:rsid w:val="009C7A7A"/>
    <w:rsid w:val="009D0778"/>
    <w:rsid w:val="009D0F73"/>
    <w:rsid w:val="009D1D8F"/>
    <w:rsid w:val="009D1E2B"/>
    <w:rsid w:val="009D2191"/>
    <w:rsid w:val="009D4DF9"/>
    <w:rsid w:val="009D74B1"/>
    <w:rsid w:val="009E0C34"/>
    <w:rsid w:val="009E1288"/>
    <w:rsid w:val="009E1F61"/>
    <w:rsid w:val="009E5AB4"/>
    <w:rsid w:val="009F0314"/>
    <w:rsid w:val="009F25AA"/>
    <w:rsid w:val="009F323B"/>
    <w:rsid w:val="00A022F1"/>
    <w:rsid w:val="00A03415"/>
    <w:rsid w:val="00A044DB"/>
    <w:rsid w:val="00A05C25"/>
    <w:rsid w:val="00A07935"/>
    <w:rsid w:val="00A101E0"/>
    <w:rsid w:val="00A107ED"/>
    <w:rsid w:val="00A246E6"/>
    <w:rsid w:val="00A24EEA"/>
    <w:rsid w:val="00A25080"/>
    <w:rsid w:val="00A2702D"/>
    <w:rsid w:val="00A308C9"/>
    <w:rsid w:val="00A31CFC"/>
    <w:rsid w:val="00A3315E"/>
    <w:rsid w:val="00A33911"/>
    <w:rsid w:val="00A33F4D"/>
    <w:rsid w:val="00A357E5"/>
    <w:rsid w:val="00A45172"/>
    <w:rsid w:val="00A520EC"/>
    <w:rsid w:val="00A55273"/>
    <w:rsid w:val="00A56F7B"/>
    <w:rsid w:val="00A61348"/>
    <w:rsid w:val="00A61392"/>
    <w:rsid w:val="00A629E9"/>
    <w:rsid w:val="00A6742D"/>
    <w:rsid w:val="00A769C7"/>
    <w:rsid w:val="00A77E41"/>
    <w:rsid w:val="00A811A9"/>
    <w:rsid w:val="00A85013"/>
    <w:rsid w:val="00A855A9"/>
    <w:rsid w:val="00A85FB9"/>
    <w:rsid w:val="00A864BB"/>
    <w:rsid w:val="00A87575"/>
    <w:rsid w:val="00A87C75"/>
    <w:rsid w:val="00A924EC"/>
    <w:rsid w:val="00A93416"/>
    <w:rsid w:val="00AA729E"/>
    <w:rsid w:val="00AB0818"/>
    <w:rsid w:val="00AB4040"/>
    <w:rsid w:val="00AB5348"/>
    <w:rsid w:val="00AB56C8"/>
    <w:rsid w:val="00AB65E5"/>
    <w:rsid w:val="00AB70EC"/>
    <w:rsid w:val="00AC1752"/>
    <w:rsid w:val="00AC6F83"/>
    <w:rsid w:val="00AC7862"/>
    <w:rsid w:val="00AD047D"/>
    <w:rsid w:val="00AD4027"/>
    <w:rsid w:val="00AE08D3"/>
    <w:rsid w:val="00AE25B9"/>
    <w:rsid w:val="00AE4BCA"/>
    <w:rsid w:val="00AE7F39"/>
    <w:rsid w:val="00AF060D"/>
    <w:rsid w:val="00AF0616"/>
    <w:rsid w:val="00AF1374"/>
    <w:rsid w:val="00AF21EE"/>
    <w:rsid w:val="00AF6D27"/>
    <w:rsid w:val="00AF6E11"/>
    <w:rsid w:val="00B019D2"/>
    <w:rsid w:val="00B052A7"/>
    <w:rsid w:val="00B06146"/>
    <w:rsid w:val="00B10E5D"/>
    <w:rsid w:val="00B11DFA"/>
    <w:rsid w:val="00B13372"/>
    <w:rsid w:val="00B21D84"/>
    <w:rsid w:val="00B22B4D"/>
    <w:rsid w:val="00B22F88"/>
    <w:rsid w:val="00B3421E"/>
    <w:rsid w:val="00B35EDA"/>
    <w:rsid w:val="00B366C8"/>
    <w:rsid w:val="00B405EF"/>
    <w:rsid w:val="00B4190B"/>
    <w:rsid w:val="00B574A7"/>
    <w:rsid w:val="00B60E59"/>
    <w:rsid w:val="00B61DF0"/>
    <w:rsid w:val="00B67895"/>
    <w:rsid w:val="00B71D7B"/>
    <w:rsid w:val="00B71F30"/>
    <w:rsid w:val="00B7275F"/>
    <w:rsid w:val="00B72EDA"/>
    <w:rsid w:val="00B730A1"/>
    <w:rsid w:val="00B74E99"/>
    <w:rsid w:val="00B80F6D"/>
    <w:rsid w:val="00B81079"/>
    <w:rsid w:val="00B90855"/>
    <w:rsid w:val="00B91148"/>
    <w:rsid w:val="00B9737D"/>
    <w:rsid w:val="00BA35C4"/>
    <w:rsid w:val="00BA6784"/>
    <w:rsid w:val="00BA73FE"/>
    <w:rsid w:val="00BB0528"/>
    <w:rsid w:val="00BB0744"/>
    <w:rsid w:val="00BC270D"/>
    <w:rsid w:val="00BC34AC"/>
    <w:rsid w:val="00BC361E"/>
    <w:rsid w:val="00BC4DB9"/>
    <w:rsid w:val="00BC4F60"/>
    <w:rsid w:val="00BC61EF"/>
    <w:rsid w:val="00BD1846"/>
    <w:rsid w:val="00BD18BD"/>
    <w:rsid w:val="00BD2D8A"/>
    <w:rsid w:val="00BD413C"/>
    <w:rsid w:val="00BD41D5"/>
    <w:rsid w:val="00BD4209"/>
    <w:rsid w:val="00BD44B0"/>
    <w:rsid w:val="00BE21C1"/>
    <w:rsid w:val="00BE395E"/>
    <w:rsid w:val="00BE3DCF"/>
    <w:rsid w:val="00BE456F"/>
    <w:rsid w:val="00BE6B61"/>
    <w:rsid w:val="00BE711B"/>
    <w:rsid w:val="00BE7336"/>
    <w:rsid w:val="00BF2223"/>
    <w:rsid w:val="00BF2FC3"/>
    <w:rsid w:val="00BF4AC5"/>
    <w:rsid w:val="00BF522D"/>
    <w:rsid w:val="00BF75A9"/>
    <w:rsid w:val="00C00727"/>
    <w:rsid w:val="00C10769"/>
    <w:rsid w:val="00C12607"/>
    <w:rsid w:val="00C12FD9"/>
    <w:rsid w:val="00C16CF2"/>
    <w:rsid w:val="00C179B1"/>
    <w:rsid w:val="00C17F2F"/>
    <w:rsid w:val="00C205D7"/>
    <w:rsid w:val="00C21943"/>
    <w:rsid w:val="00C24E3F"/>
    <w:rsid w:val="00C27674"/>
    <w:rsid w:val="00C303C3"/>
    <w:rsid w:val="00C31402"/>
    <w:rsid w:val="00C33A99"/>
    <w:rsid w:val="00C37FCF"/>
    <w:rsid w:val="00C403F5"/>
    <w:rsid w:val="00C414D8"/>
    <w:rsid w:val="00C44215"/>
    <w:rsid w:val="00C474DD"/>
    <w:rsid w:val="00C47694"/>
    <w:rsid w:val="00C507C3"/>
    <w:rsid w:val="00C553D5"/>
    <w:rsid w:val="00C62B40"/>
    <w:rsid w:val="00C64ACB"/>
    <w:rsid w:val="00C70DD1"/>
    <w:rsid w:val="00C72EE5"/>
    <w:rsid w:val="00C75040"/>
    <w:rsid w:val="00C7769A"/>
    <w:rsid w:val="00C81E9A"/>
    <w:rsid w:val="00C835CC"/>
    <w:rsid w:val="00C8687F"/>
    <w:rsid w:val="00C87E16"/>
    <w:rsid w:val="00C936CE"/>
    <w:rsid w:val="00C9578D"/>
    <w:rsid w:val="00C9651F"/>
    <w:rsid w:val="00CA126A"/>
    <w:rsid w:val="00CA2F44"/>
    <w:rsid w:val="00CA78A0"/>
    <w:rsid w:val="00CB311B"/>
    <w:rsid w:val="00CB3B50"/>
    <w:rsid w:val="00CB7237"/>
    <w:rsid w:val="00CB7884"/>
    <w:rsid w:val="00CC1738"/>
    <w:rsid w:val="00CC1C6D"/>
    <w:rsid w:val="00CC5424"/>
    <w:rsid w:val="00CC594F"/>
    <w:rsid w:val="00CE1E07"/>
    <w:rsid w:val="00CE70FE"/>
    <w:rsid w:val="00CF06C6"/>
    <w:rsid w:val="00CF18D8"/>
    <w:rsid w:val="00CF2FD7"/>
    <w:rsid w:val="00CF5D84"/>
    <w:rsid w:val="00D0093C"/>
    <w:rsid w:val="00D254D3"/>
    <w:rsid w:val="00D30639"/>
    <w:rsid w:val="00D330DA"/>
    <w:rsid w:val="00D40D3C"/>
    <w:rsid w:val="00D4217A"/>
    <w:rsid w:val="00D442E6"/>
    <w:rsid w:val="00D450A8"/>
    <w:rsid w:val="00D52BE3"/>
    <w:rsid w:val="00D55721"/>
    <w:rsid w:val="00D64878"/>
    <w:rsid w:val="00D649A3"/>
    <w:rsid w:val="00D677BD"/>
    <w:rsid w:val="00D67AB8"/>
    <w:rsid w:val="00D715DD"/>
    <w:rsid w:val="00D72683"/>
    <w:rsid w:val="00D76C8E"/>
    <w:rsid w:val="00D809EB"/>
    <w:rsid w:val="00D91516"/>
    <w:rsid w:val="00D923AB"/>
    <w:rsid w:val="00D95CE0"/>
    <w:rsid w:val="00DA484D"/>
    <w:rsid w:val="00DA586C"/>
    <w:rsid w:val="00DA7BA3"/>
    <w:rsid w:val="00DA7F9B"/>
    <w:rsid w:val="00DB1315"/>
    <w:rsid w:val="00DB4785"/>
    <w:rsid w:val="00DB528F"/>
    <w:rsid w:val="00DB69AF"/>
    <w:rsid w:val="00DB69E7"/>
    <w:rsid w:val="00DB7CBE"/>
    <w:rsid w:val="00DC3643"/>
    <w:rsid w:val="00DC430C"/>
    <w:rsid w:val="00DC70AE"/>
    <w:rsid w:val="00DD3700"/>
    <w:rsid w:val="00DE0CB3"/>
    <w:rsid w:val="00DE539E"/>
    <w:rsid w:val="00DE6571"/>
    <w:rsid w:val="00DE6AF4"/>
    <w:rsid w:val="00DF087C"/>
    <w:rsid w:val="00DF0A2B"/>
    <w:rsid w:val="00DF0D1E"/>
    <w:rsid w:val="00DF0DEC"/>
    <w:rsid w:val="00E02AAC"/>
    <w:rsid w:val="00E050C6"/>
    <w:rsid w:val="00E07EC0"/>
    <w:rsid w:val="00E23DB3"/>
    <w:rsid w:val="00E25BFD"/>
    <w:rsid w:val="00E26DED"/>
    <w:rsid w:val="00E279FC"/>
    <w:rsid w:val="00E313DD"/>
    <w:rsid w:val="00E3165A"/>
    <w:rsid w:val="00E33CC7"/>
    <w:rsid w:val="00E34C05"/>
    <w:rsid w:val="00E42F20"/>
    <w:rsid w:val="00E45C3D"/>
    <w:rsid w:val="00E463D9"/>
    <w:rsid w:val="00E474CE"/>
    <w:rsid w:val="00E5704E"/>
    <w:rsid w:val="00E57791"/>
    <w:rsid w:val="00E57CD7"/>
    <w:rsid w:val="00E623DF"/>
    <w:rsid w:val="00E64C22"/>
    <w:rsid w:val="00E757EC"/>
    <w:rsid w:val="00E773B7"/>
    <w:rsid w:val="00E84461"/>
    <w:rsid w:val="00E876E8"/>
    <w:rsid w:val="00E876F1"/>
    <w:rsid w:val="00E8781B"/>
    <w:rsid w:val="00E90DA6"/>
    <w:rsid w:val="00E924AE"/>
    <w:rsid w:val="00E9517B"/>
    <w:rsid w:val="00E9618D"/>
    <w:rsid w:val="00EA0C29"/>
    <w:rsid w:val="00EA1816"/>
    <w:rsid w:val="00EB4674"/>
    <w:rsid w:val="00EB4777"/>
    <w:rsid w:val="00EB5506"/>
    <w:rsid w:val="00EB6E24"/>
    <w:rsid w:val="00EB767A"/>
    <w:rsid w:val="00EC2A97"/>
    <w:rsid w:val="00ED0AEC"/>
    <w:rsid w:val="00EE17EE"/>
    <w:rsid w:val="00EF44AD"/>
    <w:rsid w:val="00EF66A8"/>
    <w:rsid w:val="00EF69FF"/>
    <w:rsid w:val="00F05605"/>
    <w:rsid w:val="00F07F1A"/>
    <w:rsid w:val="00F11BE3"/>
    <w:rsid w:val="00F13F3B"/>
    <w:rsid w:val="00F1744C"/>
    <w:rsid w:val="00F21005"/>
    <w:rsid w:val="00F21D9F"/>
    <w:rsid w:val="00F23CB1"/>
    <w:rsid w:val="00F25329"/>
    <w:rsid w:val="00F266A5"/>
    <w:rsid w:val="00F26D9D"/>
    <w:rsid w:val="00F32CB5"/>
    <w:rsid w:val="00F43446"/>
    <w:rsid w:val="00F43A4B"/>
    <w:rsid w:val="00F45784"/>
    <w:rsid w:val="00F45AD0"/>
    <w:rsid w:val="00F477F3"/>
    <w:rsid w:val="00F47BBF"/>
    <w:rsid w:val="00F50A87"/>
    <w:rsid w:val="00F51565"/>
    <w:rsid w:val="00F54B90"/>
    <w:rsid w:val="00F55F0E"/>
    <w:rsid w:val="00F56F09"/>
    <w:rsid w:val="00F573F3"/>
    <w:rsid w:val="00F57C26"/>
    <w:rsid w:val="00F641E3"/>
    <w:rsid w:val="00F655F0"/>
    <w:rsid w:val="00F702A9"/>
    <w:rsid w:val="00F711B2"/>
    <w:rsid w:val="00F71C1C"/>
    <w:rsid w:val="00F75BEB"/>
    <w:rsid w:val="00F76EBB"/>
    <w:rsid w:val="00F80703"/>
    <w:rsid w:val="00F8336F"/>
    <w:rsid w:val="00F90842"/>
    <w:rsid w:val="00F91B96"/>
    <w:rsid w:val="00F93673"/>
    <w:rsid w:val="00F94F22"/>
    <w:rsid w:val="00FA0B1A"/>
    <w:rsid w:val="00FA257C"/>
    <w:rsid w:val="00FA2E01"/>
    <w:rsid w:val="00FA46F1"/>
    <w:rsid w:val="00FB52E2"/>
    <w:rsid w:val="00FB60A1"/>
    <w:rsid w:val="00FC009D"/>
    <w:rsid w:val="00FC0868"/>
    <w:rsid w:val="00FC19F7"/>
    <w:rsid w:val="00FC343F"/>
    <w:rsid w:val="00FC3C78"/>
    <w:rsid w:val="00FD00E8"/>
    <w:rsid w:val="00FD1424"/>
    <w:rsid w:val="00FD5C37"/>
    <w:rsid w:val="00FE1917"/>
    <w:rsid w:val="00FE2A67"/>
    <w:rsid w:val="00FE3CDD"/>
    <w:rsid w:val="00FE675A"/>
    <w:rsid w:val="00FF0A81"/>
    <w:rsid w:val="00FF3025"/>
    <w:rsid w:val="00FF48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88BD92-BD8E-46F6-A635-8F778420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265"/>
    <w:rPr>
      <w:rFonts w:ascii="Times New Roman" w:eastAsia="Times New Roman" w:hAnsi="Times New Roman"/>
      <w:sz w:val="24"/>
      <w:lang w:val="en-US" w:eastAsia="en-US"/>
    </w:rPr>
  </w:style>
  <w:style w:type="paragraph" w:styleId="Heading1">
    <w:name w:val="heading 1"/>
    <w:basedOn w:val="Normal"/>
    <w:next w:val="Normal"/>
    <w:link w:val="Heading1Char"/>
    <w:uiPriority w:val="9"/>
    <w:qFormat/>
    <w:rsid w:val="005E0C2D"/>
    <w:pPr>
      <w:keepNext/>
      <w:keepLines/>
      <w:spacing w:before="240"/>
      <w:outlineLvl w:val="0"/>
    </w:pPr>
    <w:rPr>
      <w:rFonts w:ascii="Arial Bold" w:eastAsiaTheme="majorEastAsia" w:hAnsi="Arial Bold" w:cstheme="majorBidi"/>
      <w:b/>
      <w:caps/>
      <w:color w:val="000000" w:themeColor="text1"/>
      <w:szCs w:val="32"/>
    </w:rPr>
  </w:style>
  <w:style w:type="paragraph" w:styleId="Heading2">
    <w:name w:val="heading 2"/>
    <w:basedOn w:val="Heading3"/>
    <w:next w:val="Normal"/>
    <w:link w:val="Heading2Char"/>
    <w:uiPriority w:val="9"/>
    <w:unhideWhenUsed/>
    <w:qFormat/>
    <w:rsid w:val="007416CA"/>
    <w:pPr>
      <w:outlineLvl w:val="1"/>
    </w:pPr>
  </w:style>
  <w:style w:type="paragraph" w:styleId="Heading3">
    <w:name w:val="heading 3"/>
    <w:basedOn w:val="Normal"/>
    <w:next w:val="Normal"/>
    <w:link w:val="Heading3Char"/>
    <w:uiPriority w:val="9"/>
    <w:unhideWhenUsed/>
    <w:qFormat/>
    <w:rsid w:val="005D1535"/>
    <w:pPr>
      <w:keepNext/>
      <w:keepLines/>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pct5" w:color="auto" w:fill="auto"/>
      <w:spacing w:before="40"/>
      <w:outlineLvl w:val="2"/>
    </w:pPr>
    <w:rPr>
      <w:rFonts w:ascii="Arial" w:eastAsiaTheme="majorEastAsia" w:hAnsi="Arial" w:cstheme="majorBidi"/>
      <w:b/>
      <w:color w:val="000000" w:themeColor="text1"/>
      <w:sz w:val="22"/>
      <w:szCs w:val="24"/>
    </w:rPr>
  </w:style>
  <w:style w:type="paragraph" w:styleId="Heading4">
    <w:name w:val="heading 4"/>
    <w:basedOn w:val="Normal"/>
    <w:next w:val="Normal"/>
    <w:link w:val="Heading4Char"/>
    <w:uiPriority w:val="9"/>
    <w:unhideWhenUsed/>
    <w:qFormat/>
    <w:rsid w:val="008661EA"/>
    <w:pPr>
      <w:keepNext/>
      <w:keepLines/>
      <w:spacing w:before="40"/>
      <w:jc w:val="center"/>
      <w:outlineLvl w:val="3"/>
    </w:pPr>
    <w:rPr>
      <w:rFonts w:ascii="Arial Bold" w:eastAsiaTheme="majorEastAsia" w:hAnsi="Arial Bold" w:cstheme="majorBidi"/>
      <w:b/>
      <w:iCs/>
      <w:caps/>
      <w:color w:val="33CCCC"/>
    </w:rPr>
  </w:style>
  <w:style w:type="paragraph" w:styleId="Heading5">
    <w:name w:val="heading 5"/>
    <w:basedOn w:val="Normal"/>
    <w:next w:val="Normal"/>
    <w:link w:val="Heading5Char"/>
    <w:uiPriority w:val="9"/>
    <w:unhideWhenUsed/>
    <w:qFormat/>
    <w:rsid w:val="008661EA"/>
    <w:pPr>
      <w:keepNext/>
      <w:keepLines/>
      <w:spacing w:before="40"/>
      <w:jc w:val="center"/>
      <w:outlineLvl w:val="4"/>
    </w:pPr>
    <w:rPr>
      <w:rFonts w:ascii="Arial Bold" w:eastAsiaTheme="majorEastAsia" w:hAnsi="Arial Bold" w:cstheme="majorBidi"/>
      <w:b/>
      <w:cap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2265"/>
    <w:pPr>
      <w:spacing w:before="100" w:beforeAutospacing="1" w:after="100" w:afterAutospacing="1"/>
    </w:pPr>
    <w:rPr>
      <w:rFonts w:ascii="Verdana" w:hAnsi="Verdana"/>
      <w:szCs w:val="24"/>
    </w:rPr>
  </w:style>
  <w:style w:type="paragraph" w:styleId="Header">
    <w:name w:val="header"/>
    <w:basedOn w:val="Normal"/>
    <w:link w:val="HeaderChar"/>
    <w:uiPriority w:val="99"/>
    <w:unhideWhenUsed/>
    <w:rsid w:val="001D2265"/>
    <w:pPr>
      <w:tabs>
        <w:tab w:val="center" w:pos="4680"/>
        <w:tab w:val="right" w:pos="9360"/>
      </w:tabs>
    </w:pPr>
  </w:style>
  <w:style w:type="character" w:customStyle="1" w:styleId="HeaderChar">
    <w:name w:val="Header Char"/>
    <w:link w:val="Header"/>
    <w:uiPriority w:val="99"/>
    <w:rsid w:val="001D2265"/>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1D2265"/>
    <w:pPr>
      <w:tabs>
        <w:tab w:val="center" w:pos="4680"/>
        <w:tab w:val="right" w:pos="9360"/>
      </w:tabs>
    </w:pPr>
  </w:style>
  <w:style w:type="character" w:customStyle="1" w:styleId="FooterChar">
    <w:name w:val="Footer Char"/>
    <w:link w:val="Footer"/>
    <w:uiPriority w:val="99"/>
    <w:rsid w:val="001D2265"/>
    <w:rPr>
      <w:rFonts w:ascii="Times New Roman" w:eastAsia="Times New Roman" w:hAnsi="Times New Roman" w:cs="Times New Roman"/>
      <w:sz w:val="24"/>
      <w:szCs w:val="20"/>
      <w:lang w:val="en-US"/>
    </w:rPr>
  </w:style>
  <w:style w:type="paragraph" w:customStyle="1" w:styleId="Level1">
    <w:name w:val="Level 1"/>
    <w:basedOn w:val="Normal"/>
    <w:uiPriority w:val="99"/>
    <w:rsid w:val="006D5C21"/>
    <w:pPr>
      <w:widowControl w:val="0"/>
    </w:pPr>
  </w:style>
  <w:style w:type="character" w:styleId="Hyperlink">
    <w:name w:val="Hyperlink"/>
    <w:uiPriority w:val="99"/>
    <w:unhideWhenUsed/>
    <w:rsid w:val="00C37FCF"/>
    <w:rPr>
      <w:color w:val="0563C1"/>
      <w:u w:val="single"/>
    </w:rPr>
  </w:style>
  <w:style w:type="paragraph" w:styleId="BalloonText">
    <w:name w:val="Balloon Text"/>
    <w:basedOn w:val="Normal"/>
    <w:link w:val="BalloonTextChar"/>
    <w:uiPriority w:val="99"/>
    <w:semiHidden/>
    <w:unhideWhenUsed/>
    <w:rsid w:val="00D30639"/>
    <w:rPr>
      <w:rFonts w:ascii="Segoe UI" w:hAnsi="Segoe UI" w:cs="Segoe UI"/>
      <w:sz w:val="18"/>
      <w:szCs w:val="18"/>
    </w:rPr>
  </w:style>
  <w:style w:type="character" w:customStyle="1" w:styleId="BalloonTextChar">
    <w:name w:val="Balloon Text Char"/>
    <w:link w:val="BalloonText"/>
    <w:uiPriority w:val="99"/>
    <w:semiHidden/>
    <w:rsid w:val="00D30639"/>
    <w:rPr>
      <w:rFonts w:ascii="Segoe UI" w:eastAsia="Times New Roman" w:hAnsi="Segoe UI" w:cs="Segoe UI"/>
      <w:sz w:val="18"/>
      <w:szCs w:val="18"/>
      <w:lang w:val="en-US" w:eastAsia="en-US"/>
    </w:rPr>
  </w:style>
  <w:style w:type="character" w:styleId="CommentReference">
    <w:name w:val="annotation reference"/>
    <w:uiPriority w:val="99"/>
    <w:semiHidden/>
    <w:unhideWhenUsed/>
    <w:rsid w:val="00CF06C6"/>
    <w:rPr>
      <w:sz w:val="16"/>
      <w:szCs w:val="16"/>
    </w:rPr>
  </w:style>
  <w:style w:type="paragraph" w:styleId="CommentText">
    <w:name w:val="annotation text"/>
    <w:basedOn w:val="Normal"/>
    <w:link w:val="CommentTextChar"/>
    <w:uiPriority w:val="99"/>
    <w:semiHidden/>
    <w:unhideWhenUsed/>
    <w:rsid w:val="00CF06C6"/>
    <w:rPr>
      <w:sz w:val="20"/>
    </w:rPr>
  </w:style>
  <w:style w:type="character" w:customStyle="1" w:styleId="CommentTextChar">
    <w:name w:val="Comment Text Char"/>
    <w:link w:val="CommentText"/>
    <w:uiPriority w:val="99"/>
    <w:semiHidden/>
    <w:rsid w:val="00CF06C6"/>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F06C6"/>
    <w:rPr>
      <w:b/>
      <w:bCs/>
    </w:rPr>
  </w:style>
  <w:style w:type="character" w:customStyle="1" w:styleId="CommentSubjectChar">
    <w:name w:val="Comment Subject Char"/>
    <w:link w:val="CommentSubject"/>
    <w:uiPriority w:val="99"/>
    <w:semiHidden/>
    <w:rsid w:val="00CF06C6"/>
    <w:rPr>
      <w:rFonts w:ascii="Times New Roman" w:eastAsia="Times New Roman" w:hAnsi="Times New Roman"/>
      <w:b/>
      <w:bCs/>
      <w:lang w:val="en-US" w:eastAsia="en-US"/>
    </w:rPr>
  </w:style>
  <w:style w:type="paragraph" w:styleId="NoSpacing">
    <w:name w:val="No Spacing"/>
    <w:uiPriority w:val="1"/>
    <w:qFormat/>
    <w:rsid w:val="00F8336F"/>
    <w:rPr>
      <w:rFonts w:ascii="Times New Roman" w:eastAsia="Times New Roman" w:hAnsi="Times New Roman"/>
      <w:sz w:val="24"/>
      <w:lang w:val="en-US" w:eastAsia="en-US"/>
    </w:rPr>
  </w:style>
  <w:style w:type="character" w:styleId="FollowedHyperlink">
    <w:name w:val="FollowedHyperlink"/>
    <w:uiPriority w:val="99"/>
    <w:semiHidden/>
    <w:unhideWhenUsed/>
    <w:rsid w:val="000E3D1F"/>
    <w:rPr>
      <w:color w:val="954F72"/>
      <w:u w:val="single"/>
    </w:rPr>
  </w:style>
  <w:style w:type="paragraph" w:styleId="ListParagraph">
    <w:name w:val="List Paragraph"/>
    <w:basedOn w:val="Normal"/>
    <w:uiPriority w:val="34"/>
    <w:qFormat/>
    <w:rsid w:val="00507604"/>
    <w:pPr>
      <w:spacing w:after="160" w:line="259" w:lineRule="auto"/>
      <w:ind w:left="720"/>
      <w:contextualSpacing/>
    </w:pPr>
    <w:rPr>
      <w:rFonts w:ascii="Calibri" w:eastAsia="Calibri" w:hAnsi="Calibri"/>
      <w:sz w:val="22"/>
      <w:szCs w:val="22"/>
      <w:lang w:val="fr-CA"/>
    </w:rPr>
  </w:style>
  <w:style w:type="table" w:styleId="TableGrid">
    <w:name w:val="Table Grid"/>
    <w:basedOn w:val="TableNormal"/>
    <w:uiPriority w:val="39"/>
    <w:rsid w:val="00946E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BD413C"/>
    <w:rPr>
      <w:rFonts w:ascii="Arial" w:hAnsi="Arial"/>
      <w:sz w:val="20"/>
      <w:lang w:val="en-CA" w:eastAsia="en-CA"/>
    </w:rPr>
  </w:style>
  <w:style w:type="character" w:customStyle="1" w:styleId="EndnoteTextChar">
    <w:name w:val="Endnote Text Char"/>
    <w:link w:val="EndnoteText"/>
    <w:rsid w:val="00BD413C"/>
    <w:rPr>
      <w:rFonts w:ascii="Arial" w:eastAsia="Times New Roman" w:hAnsi="Arial"/>
    </w:rPr>
  </w:style>
  <w:style w:type="character" w:styleId="EndnoteReference">
    <w:name w:val="endnote reference"/>
    <w:uiPriority w:val="99"/>
    <w:semiHidden/>
    <w:unhideWhenUsed/>
    <w:rsid w:val="00BD413C"/>
    <w:rPr>
      <w:vertAlign w:val="superscript"/>
    </w:rPr>
  </w:style>
  <w:style w:type="paragraph" w:customStyle="1" w:styleId="Style1">
    <w:name w:val="Style1"/>
    <w:basedOn w:val="Normal"/>
    <w:link w:val="Style1Char"/>
    <w:qFormat/>
    <w:rsid w:val="005E0C2D"/>
    <w:pPr>
      <w:autoSpaceDE w:val="0"/>
      <w:autoSpaceDN w:val="0"/>
      <w:adjustRightInd w:val="0"/>
      <w:ind w:right="50"/>
    </w:pPr>
    <w:rPr>
      <w:rFonts w:ascii="Arial" w:hAnsi="Arial" w:cs="Arial"/>
      <w:b/>
      <w:caps/>
      <w:color w:val="000000" w:themeColor="text1"/>
      <w:sz w:val="22"/>
      <w:szCs w:val="22"/>
      <w:lang w:val="en-CA"/>
    </w:rPr>
  </w:style>
  <w:style w:type="paragraph" w:customStyle="1" w:styleId="Style2">
    <w:name w:val="Style2"/>
    <w:basedOn w:val="Normal"/>
    <w:link w:val="Style2Char"/>
    <w:qFormat/>
    <w:rsid w:val="00A769C7"/>
    <w:pPr>
      <w:shd w:val="clear" w:color="auto" w:fill="F2F2F2"/>
    </w:pPr>
    <w:rPr>
      <w:rFonts w:ascii="Arial" w:hAnsi="Arial" w:cs="Arial"/>
      <w:b/>
      <w:color w:val="009999"/>
      <w:spacing w:val="-10"/>
      <w:sz w:val="22"/>
      <w:szCs w:val="22"/>
      <w:lang w:val="en-CA"/>
    </w:rPr>
  </w:style>
  <w:style w:type="character" w:customStyle="1" w:styleId="Style1Char">
    <w:name w:val="Style1 Char"/>
    <w:basedOn w:val="DefaultParagraphFont"/>
    <w:link w:val="Style1"/>
    <w:rsid w:val="005E0C2D"/>
    <w:rPr>
      <w:rFonts w:ascii="Arial" w:eastAsia="Times New Roman" w:hAnsi="Arial" w:cs="Arial"/>
      <w:b/>
      <w:caps/>
      <w:color w:val="000000" w:themeColor="text1"/>
      <w:sz w:val="22"/>
      <w:szCs w:val="22"/>
      <w:lang w:eastAsia="en-US"/>
    </w:rPr>
  </w:style>
  <w:style w:type="character" w:customStyle="1" w:styleId="Style2Char">
    <w:name w:val="Style2 Char"/>
    <w:basedOn w:val="DefaultParagraphFont"/>
    <w:link w:val="Style2"/>
    <w:rsid w:val="00A769C7"/>
    <w:rPr>
      <w:rFonts w:ascii="Arial" w:eastAsia="Times New Roman" w:hAnsi="Arial" w:cs="Arial"/>
      <w:b/>
      <w:color w:val="009999"/>
      <w:spacing w:val="-10"/>
      <w:sz w:val="22"/>
      <w:szCs w:val="22"/>
      <w:shd w:val="clear" w:color="auto" w:fill="F2F2F2"/>
      <w:lang w:eastAsia="en-US"/>
    </w:rPr>
  </w:style>
  <w:style w:type="paragraph" w:customStyle="1" w:styleId="Style3">
    <w:name w:val="Style3"/>
    <w:basedOn w:val="Normal"/>
    <w:link w:val="Style3Char"/>
    <w:qFormat/>
    <w:rsid w:val="009B3456"/>
    <w:pPr>
      <w:jc w:val="center"/>
    </w:pPr>
    <w:rPr>
      <w:rFonts w:ascii="Arial" w:hAnsi="Arial" w:cs="Arial"/>
      <w:b/>
      <w:sz w:val="22"/>
      <w:szCs w:val="22"/>
      <w:u w:val="single"/>
    </w:rPr>
  </w:style>
  <w:style w:type="paragraph" w:customStyle="1" w:styleId="Style4">
    <w:name w:val="Style4"/>
    <w:basedOn w:val="Normal"/>
    <w:link w:val="Style4Char"/>
    <w:qFormat/>
    <w:rsid w:val="009B3456"/>
    <w:rPr>
      <w:rFonts w:ascii="Arial" w:hAnsi="Arial" w:cs="Arial"/>
      <w:sz w:val="22"/>
      <w:szCs w:val="22"/>
      <w:u w:val="single"/>
      <w:lang w:val="en-CA" w:eastAsia="en-CA"/>
    </w:rPr>
  </w:style>
  <w:style w:type="character" w:customStyle="1" w:styleId="Style3Char">
    <w:name w:val="Style3 Char"/>
    <w:basedOn w:val="DefaultParagraphFont"/>
    <w:link w:val="Style3"/>
    <w:rsid w:val="009B3456"/>
    <w:rPr>
      <w:rFonts w:ascii="Arial" w:eastAsia="Times New Roman" w:hAnsi="Arial" w:cs="Arial"/>
      <w:b/>
      <w:sz w:val="22"/>
      <w:szCs w:val="22"/>
      <w:u w:val="single"/>
      <w:lang w:val="en-US" w:eastAsia="en-US"/>
    </w:rPr>
  </w:style>
  <w:style w:type="paragraph" w:customStyle="1" w:styleId="Style5">
    <w:name w:val="Style5"/>
    <w:basedOn w:val="Normal"/>
    <w:link w:val="Style5Char"/>
    <w:qFormat/>
    <w:rsid w:val="009B3456"/>
    <w:pPr>
      <w:jc w:val="center"/>
    </w:pPr>
    <w:rPr>
      <w:rFonts w:ascii="Arial" w:hAnsi="Arial" w:cs="Arial"/>
      <w:b/>
      <w:bCs/>
      <w:sz w:val="22"/>
      <w:szCs w:val="22"/>
      <w:lang w:val="en"/>
    </w:rPr>
  </w:style>
  <w:style w:type="character" w:customStyle="1" w:styleId="Style4Char">
    <w:name w:val="Style4 Char"/>
    <w:basedOn w:val="DefaultParagraphFont"/>
    <w:link w:val="Style4"/>
    <w:rsid w:val="009B3456"/>
    <w:rPr>
      <w:rFonts w:ascii="Arial" w:eastAsia="Times New Roman" w:hAnsi="Arial" w:cs="Arial"/>
      <w:sz w:val="22"/>
      <w:szCs w:val="22"/>
      <w:u w:val="single"/>
    </w:rPr>
  </w:style>
  <w:style w:type="paragraph" w:customStyle="1" w:styleId="Style6">
    <w:name w:val="Style6"/>
    <w:basedOn w:val="Normal"/>
    <w:link w:val="Style6Char"/>
    <w:qFormat/>
    <w:rsid w:val="005E0C2D"/>
    <w:pPr>
      <w:jc w:val="center"/>
    </w:pPr>
    <w:rPr>
      <w:rFonts w:ascii="Arial" w:hAnsi="Arial" w:cs="Arial"/>
      <w:b/>
      <w:color w:val="404040" w:themeColor="text1" w:themeTint="BF"/>
      <w:szCs w:val="24"/>
    </w:rPr>
  </w:style>
  <w:style w:type="character" w:customStyle="1" w:styleId="Style5Char">
    <w:name w:val="Style5 Char"/>
    <w:basedOn w:val="DefaultParagraphFont"/>
    <w:link w:val="Style5"/>
    <w:rsid w:val="009B3456"/>
    <w:rPr>
      <w:rFonts w:ascii="Arial" w:eastAsia="Times New Roman" w:hAnsi="Arial" w:cs="Arial"/>
      <w:b/>
      <w:bCs/>
      <w:sz w:val="22"/>
      <w:szCs w:val="22"/>
      <w:lang w:val="en" w:eastAsia="en-US"/>
    </w:rPr>
  </w:style>
  <w:style w:type="paragraph" w:customStyle="1" w:styleId="Style7">
    <w:name w:val="Style7"/>
    <w:basedOn w:val="Normal"/>
    <w:link w:val="Style7Char"/>
    <w:qFormat/>
    <w:rsid w:val="00FC0868"/>
    <w:pPr>
      <w:jc w:val="center"/>
    </w:pPr>
    <w:rPr>
      <w:rFonts w:ascii="Arial" w:hAnsi="Arial" w:cs="Arial"/>
      <w:color w:val="009999"/>
      <w:sz w:val="22"/>
      <w:szCs w:val="32"/>
    </w:rPr>
  </w:style>
  <w:style w:type="character" w:customStyle="1" w:styleId="Style6Char">
    <w:name w:val="Style6 Char"/>
    <w:basedOn w:val="DefaultParagraphFont"/>
    <w:link w:val="Style6"/>
    <w:rsid w:val="005E0C2D"/>
    <w:rPr>
      <w:rFonts w:ascii="Arial" w:eastAsia="Times New Roman" w:hAnsi="Arial" w:cs="Arial"/>
      <w:b/>
      <w:color w:val="404040" w:themeColor="text1" w:themeTint="BF"/>
      <w:sz w:val="24"/>
      <w:szCs w:val="24"/>
      <w:lang w:val="en-US" w:eastAsia="en-US"/>
    </w:rPr>
  </w:style>
  <w:style w:type="paragraph" w:customStyle="1" w:styleId="Style8">
    <w:name w:val="Style8"/>
    <w:basedOn w:val="Normal"/>
    <w:link w:val="Style8Char"/>
    <w:qFormat/>
    <w:rsid w:val="00FC0868"/>
    <w:rPr>
      <w:rFonts w:ascii="Arial" w:hAnsi="Arial" w:cs="Arial"/>
      <w:color w:val="767171"/>
      <w:sz w:val="16"/>
      <w:szCs w:val="22"/>
      <w:lang w:val="en-CA"/>
    </w:rPr>
  </w:style>
  <w:style w:type="character" w:customStyle="1" w:styleId="Style7Char">
    <w:name w:val="Style7 Char"/>
    <w:basedOn w:val="DefaultParagraphFont"/>
    <w:link w:val="Style7"/>
    <w:rsid w:val="00FC0868"/>
    <w:rPr>
      <w:rFonts w:ascii="Arial" w:eastAsia="Times New Roman" w:hAnsi="Arial" w:cs="Arial"/>
      <w:color w:val="009999"/>
      <w:sz w:val="22"/>
      <w:szCs w:val="32"/>
      <w:lang w:val="en-US" w:eastAsia="en-US"/>
    </w:rPr>
  </w:style>
  <w:style w:type="paragraph" w:customStyle="1" w:styleId="Style9">
    <w:name w:val="Style9"/>
    <w:basedOn w:val="Normal"/>
    <w:link w:val="Style9Char"/>
    <w:qFormat/>
    <w:rsid w:val="00FC0868"/>
    <w:rPr>
      <w:rFonts w:ascii="Arial" w:hAnsi="Arial" w:cs="Arial"/>
      <w:b/>
      <w:color w:val="009999"/>
      <w:spacing w:val="-10"/>
      <w:sz w:val="22"/>
      <w:szCs w:val="22"/>
      <w:lang w:val="en-CA"/>
    </w:rPr>
  </w:style>
  <w:style w:type="character" w:customStyle="1" w:styleId="Style8Char">
    <w:name w:val="Style8 Char"/>
    <w:basedOn w:val="DefaultParagraphFont"/>
    <w:link w:val="Style8"/>
    <w:rsid w:val="00FC0868"/>
    <w:rPr>
      <w:rFonts w:ascii="Arial" w:eastAsia="Times New Roman" w:hAnsi="Arial" w:cs="Arial"/>
      <w:color w:val="767171"/>
      <w:sz w:val="16"/>
      <w:szCs w:val="22"/>
      <w:lang w:eastAsia="en-US"/>
    </w:rPr>
  </w:style>
  <w:style w:type="character" w:customStyle="1" w:styleId="Style9Char">
    <w:name w:val="Style9 Char"/>
    <w:basedOn w:val="DefaultParagraphFont"/>
    <w:link w:val="Style9"/>
    <w:rsid w:val="00FC0868"/>
    <w:rPr>
      <w:rFonts w:ascii="Arial" w:eastAsia="Times New Roman" w:hAnsi="Arial" w:cs="Arial"/>
      <w:b/>
      <w:color w:val="009999"/>
      <w:spacing w:val="-10"/>
      <w:sz w:val="22"/>
      <w:szCs w:val="22"/>
      <w:lang w:eastAsia="en-US"/>
    </w:rPr>
  </w:style>
  <w:style w:type="character" w:customStyle="1" w:styleId="Heading1Char">
    <w:name w:val="Heading 1 Char"/>
    <w:basedOn w:val="DefaultParagraphFont"/>
    <w:link w:val="Heading1"/>
    <w:uiPriority w:val="9"/>
    <w:rsid w:val="005E0C2D"/>
    <w:rPr>
      <w:rFonts w:ascii="Arial Bold" w:eastAsiaTheme="majorEastAsia" w:hAnsi="Arial Bold" w:cstheme="majorBidi"/>
      <w:b/>
      <w:caps/>
      <w:color w:val="000000" w:themeColor="text1"/>
      <w:sz w:val="24"/>
      <w:szCs w:val="32"/>
      <w:lang w:val="en-US" w:eastAsia="en-US"/>
    </w:rPr>
  </w:style>
  <w:style w:type="character" w:customStyle="1" w:styleId="Heading2Char">
    <w:name w:val="Heading 2 Char"/>
    <w:basedOn w:val="DefaultParagraphFont"/>
    <w:link w:val="Heading2"/>
    <w:uiPriority w:val="9"/>
    <w:rsid w:val="007416CA"/>
    <w:rPr>
      <w:rFonts w:ascii="Arial" w:eastAsiaTheme="majorEastAsia" w:hAnsi="Arial" w:cstheme="majorBidi"/>
      <w:b/>
      <w:color w:val="000000" w:themeColor="text1"/>
      <w:sz w:val="22"/>
      <w:szCs w:val="24"/>
      <w:shd w:val="pct5" w:color="auto" w:fill="auto"/>
      <w:lang w:val="en-US" w:eastAsia="en-US"/>
    </w:rPr>
  </w:style>
  <w:style w:type="character" w:customStyle="1" w:styleId="Heading3Char">
    <w:name w:val="Heading 3 Char"/>
    <w:basedOn w:val="DefaultParagraphFont"/>
    <w:link w:val="Heading3"/>
    <w:uiPriority w:val="9"/>
    <w:rsid w:val="005D1535"/>
    <w:rPr>
      <w:rFonts w:ascii="Arial" w:eastAsiaTheme="majorEastAsia" w:hAnsi="Arial" w:cstheme="majorBidi"/>
      <w:b/>
      <w:color w:val="000000" w:themeColor="text1"/>
      <w:sz w:val="22"/>
      <w:szCs w:val="24"/>
      <w:shd w:val="pct5" w:color="auto" w:fill="auto"/>
      <w:lang w:val="en-US" w:eastAsia="en-US"/>
    </w:rPr>
  </w:style>
  <w:style w:type="character" w:customStyle="1" w:styleId="Heading4Char">
    <w:name w:val="Heading 4 Char"/>
    <w:basedOn w:val="DefaultParagraphFont"/>
    <w:link w:val="Heading4"/>
    <w:uiPriority w:val="9"/>
    <w:rsid w:val="008661EA"/>
    <w:rPr>
      <w:rFonts w:ascii="Arial Bold" w:eastAsiaTheme="majorEastAsia" w:hAnsi="Arial Bold" w:cstheme="majorBidi"/>
      <w:b/>
      <w:iCs/>
      <w:caps/>
      <w:color w:val="33CCCC"/>
      <w:sz w:val="24"/>
      <w:lang w:val="en-US" w:eastAsia="en-US"/>
    </w:rPr>
  </w:style>
  <w:style w:type="character" w:customStyle="1" w:styleId="Heading5Char">
    <w:name w:val="Heading 5 Char"/>
    <w:basedOn w:val="DefaultParagraphFont"/>
    <w:link w:val="Heading5"/>
    <w:uiPriority w:val="9"/>
    <w:rsid w:val="008661EA"/>
    <w:rPr>
      <w:rFonts w:ascii="Arial Bold" w:eastAsiaTheme="majorEastAsia" w:hAnsi="Arial Bold" w:cstheme="majorBidi"/>
      <w:b/>
      <w:caps/>
      <w:color w:val="000000" w:themeColor="text1"/>
      <w:sz w:val="24"/>
      <w:lang w:val="en-US" w:eastAsia="en-US"/>
    </w:rPr>
  </w:style>
  <w:style w:type="paragraph" w:styleId="Subtitle">
    <w:name w:val="Subtitle"/>
    <w:basedOn w:val="Normal"/>
    <w:next w:val="Normal"/>
    <w:link w:val="SubtitleChar"/>
    <w:uiPriority w:val="11"/>
    <w:qFormat/>
    <w:rsid w:val="005D08F3"/>
    <w:pPr>
      <w:numPr>
        <w:ilvl w:val="1"/>
      </w:numPr>
      <w:spacing w:after="160"/>
    </w:pPr>
    <w:rPr>
      <w:rFonts w:asciiTheme="minorHAnsi" w:eastAsiaTheme="minorEastAsia" w:hAnsiTheme="minorHAnsi" w:cstheme="minorBidi"/>
      <w:color w:val="5A5A5A" w:themeColor="text1" w:themeTint="A5"/>
      <w:spacing w:val="15"/>
      <w:sz w:val="22"/>
      <w:szCs w:val="22"/>
      <w:lang w:val="en-CA"/>
    </w:rPr>
  </w:style>
  <w:style w:type="character" w:customStyle="1" w:styleId="SubtitleChar">
    <w:name w:val="Subtitle Char"/>
    <w:basedOn w:val="DefaultParagraphFont"/>
    <w:link w:val="Subtitle"/>
    <w:uiPriority w:val="11"/>
    <w:rsid w:val="005D08F3"/>
    <w:rPr>
      <w:rFonts w:asciiTheme="minorHAnsi" w:eastAsiaTheme="minorEastAsia" w:hAnsiTheme="minorHAnsi" w:cstheme="minorBidi"/>
      <w:color w:val="5A5A5A" w:themeColor="text1" w:themeTint="A5"/>
      <w:spacing w:val="15"/>
      <w:sz w:val="22"/>
      <w:szCs w:val="22"/>
      <w:lang w:eastAsia="en-US"/>
    </w:rPr>
  </w:style>
  <w:style w:type="paragraph" w:styleId="Title">
    <w:name w:val="Title"/>
    <w:basedOn w:val="Normal"/>
    <w:next w:val="Normal"/>
    <w:link w:val="TitleChar"/>
    <w:uiPriority w:val="10"/>
    <w:qFormat/>
    <w:rsid w:val="00970809"/>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970809"/>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7080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1777">
      <w:bodyDiv w:val="1"/>
      <w:marLeft w:val="0"/>
      <w:marRight w:val="0"/>
      <w:marTop w:val="0"/>
      <w:marBottom w:val="0"/>
      <w:divBdr>
        <w:top w:val="none" w:sz="0" w:space="0" w:color="auto"/>
        <w:left w:val="none" w:sz="0" w:space="0" w:color="auto"/>
        <w:bottom w:val="none" w:sz="0" w:space="0" w:color="auto"/>
        <w:right w:val="none" w:sz="0" w:space="0" w:color="auto"/>
      </w:divBdr>
    </w:div>
    <w:div w:id="107741768">
      <w:bodyDiv w:val="1"/>
      <w:marLeft w:val="0"/>
      <w:marRight w:val="0"/>
      <w:marTop w:val="0"/>
      <w:marBottom w:val="0"/>
      <w:divBdr>
        <w:top w:val="none" w:sz="0" w:space="0" w:color="auto"/>
        <w:left w:val="none" w:sz="0" w:space="0" w:color="auto"/>
        <w:bottom w:val="none" w:sz="0" w:space="0" w:color="auto"/>
        <w:right w:val="none" w:sz="0" w:space="0" w:color="auto"/>
      </w:divBdr>
    </w:div>
    <w:div w:id="154414653">
      <w:bodyDiv w:val="1"/>
      <w:marLeft w:val="0"/>
      <w:marRight w:val="0"/>
      <w:marTop w:val="0"/>
      <w:marBottom w:val="0"/>
      <w:divBdr>
        <w:top w:val="none" w:sz="0" w:space="0" w:color="auto"/>
        <w:left w:val="none" w:sz="0" w:space="0" w:color="auto"/>
        <w:bottom w:val="none" w:sz="0" w:space="0" w:color="auto"/>
        <w:right w:val="none" w:sz="0" w:space="0" w:color="auto"/>
      </w:divBdr>
    </w:div>
    <w:div w:id="283539756">
      <w:bodyDiv w:val="1"/>
      <w:marLeft w:val="0"/>
      <w:marRight w:val="0"/>
      <w:marTop w:val="0"/>
      <w:marBottom w:val="0"/>
      <w:divBdr>
        <w:top w:val="none" w:sz="0" w:space="0" w:color="auto"/>
        <w:left w:val="none" w:sz="0" w:space="0" w:color="auto"/>
        <w:bottom w:val="none" w:sz="0" w:space="0" w:color="auto"/>
        <w:right w:val="none" w:sz="0" w:space="0" w:color="auto"/>
      </w:divBdr>
    </w:div>
    <w:div w:id="399908692">
      <w:bodyDiv w:val="1"/>
      <w:marLeft w:val="0"/>
      <w:marRight w:val="0"/>
      <w:marTop w:val="0"/>
      <w:marBottom w:val="0"/>
      <w:divBdr>
        <w:top w:val="none" w:sz="0" w:space="0" w:color="auto"/>
        <w:left w:val="none" w:sz="0" w:space="0" w:color="auto"/>
        <w:bottom w:val="none" w:sz="0" w:space="0" w:color="auto"/>
        <w:right w:val="none" w:sz="0" w:space="0" w:color="auto"/>
      </w:divBdr>
    </w:div>
    <w:div w:id="429855416">
      <w:bodyDiv w:val="1"/>
      <w:marLeft w:val="0"/>
      <w:marRight w:val="0"/>
      <w:marTop w:val="0"/>
      <w:marBottom w:val="0"/>
      <w:divBdr>
        <w:top w:val="none" w:sz="0" w:space="0" w:color="auto"/>
        <w:left w:val="none" w:sz="0" w:space="0" w:color="auto"/>
        <w:bottom w:val="none" w:sz="0" w:space="0" w:color="auto"/>
        <w:right w:val="none" w:sz="0" w:space="0" w:color="auto"/>
      </w:divBdr>
    </w:div>
    <w:div w:id="593975450">
      <w:bodyDiv w:val="1"/>
      <w:marLeft w:val="0"/>
      <w:marRight w:val="0"/>
      <w:marTop w:val="0"/>
      <w:marBottom w:val="0"/>
      <w:divBdr>
        <w:top w:val="none" w:sz="0" w:space="0" w:color="auto"/>
        <w:left w:val="none" w:sz="0" w:space="0" w:color="auto"/>
        <w:bottom w:val="none" w:sz="0" w:space="0" w:color="auto"/>
        <w:right w:val="none" w:sz="0" w:space="0" w:color="auto"/>
      </w:divBdr>
    </w:div>
    <w:div w:id="1023826236">
      <w:bodyDiv w:val="1"/>
      <w:marLeft w:val="0"/>
      <w:marRight w:val="0"/>
      <w:marTop w:val="0"/>
      <w:marBottom w:val="0"/>
      <w:divBdr>
        <w:top w:val="none" w:sz="0" w:space="0" w:color="auto"/>
        <w:left w:val="none" w:sz="0" w:space="0" w:color="auto"/>
        <w:bottom w:val="none" w:sz="0" w:space="0" w:color="auto"/>
        <w:right w:val="none" w:sz="0" w:space="0" w:color="auto"/>
      </w:divBdr>
    </w:div>
    <w:div w:id="1049186310">
      <w:bodyDiv w:val="1"/>
      <w:marLeft w:val="0"/>
      <w:marRight w:val="0"/>
      <w:marTop w:val="0"/>
      <w:marBottom w:val="0"/>
      <w:divBdr>
        <w:top w:val="none" w:sz="0" w:space="0" w:color="auto"/>
        <w:left w:val="none" w:sz="0" w:space="0" w:color="auto"/>
        <w:bottom w:val="none" w:sz="0" w:space="0" w:color="auto"/>
        <w:right w:val="none" w:sz="0" w:space="0" w:color="auto"/>
      </w:divBdr>
    </w:div>
    <w:div w:id="1247379200">
      <w:bodyDiv w:val="1"/>
      <w:marLeft w:val="0"/>
      <w:marRight w:val="0"/>
      <w:marTop w:val="0"/>
      <w:marBottom w:val="0"/>
      <w:divBdr>
        <w:top w:val="none" w:sz="0" w:space="0" w:color="auto"/>
        <w:left w:val="none" w:sz="0" w:space="0" w:color="auto"/>
        <w:bottom w:val="none" w:sz="0" w:space="0" w:color="auto"/>
        <w:right w:val="none" w:sz="0" w:space="0" w:color="auto"/>
      </w:divBdr>
    </w:div>
    <w:div w:id="1397624701">
      <w:bodyDiv w:val="1"/>
      <w:marLeft w:val="0"/>
      <w:marRight w:val="0"/>
      <w:marTop w:val="0"/>
      <w:marBottom w:val="0"/>
      <w:divBdr>
        <w:top w:val="none" w:sz="0" w:space="0" w:color="auto"/>
        <w:left w:val="none" w:sz="0" w:space="0" w:color="auto"/>
        <w:bottom w:val="none" w:sz="0" w:space="0" w:color="auto"/>
        <w:right w:val="none" w:sz="0" w:space="0" w:color="auto"/>
      </w:divBdr>
      <w:divsChild>
        <w:div w:id="1284964574">
          <w:marLeft w:val="0"/>
          <w:marRight w:val="0"/>
          <w:marTop w:val="0"/>
          <w:marBottom w:val="0"/>
          <w:divBdr>
            <w:top w:val="none" w:sz="0" w:space="0" w:color="auto"/>
            <w:left w:val="none" w:sz="0" w:space="0" w:color="auto"/>
            <w:bottom w:val="none" w:sz="0" w:space="0" w:color="auto"/>
            <w:right w:val="none" w:sz="0" w:space="0" w:color="auto"/>
          </w:divBdr>
          <w:divsChild>
            <w:div w:id="18159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382">
      <w:bodyDiv w:val="1"/>
      <w:marLeft w:val="0"/>
      <w:marRight w:val="0"/>
      <w:marTop w:val="0"/>
      <w:marBottom w:val="0"/>
      <w:divBdr>
        <w:top w:val="none" w:sz="0" w:space="0" w:color="auto"/>
        <w:left w:val="none" w:sz="0" w:space="0" w:color="auto"/>
        <w:bottom w:val="none" w:sz="0" w:space="0" w:color="auto"/>
        <w:right w:val="none" w:sz="0" w:space="0" w:color="auto"/>
      </w:divBdr>
    </w:div>
    <w:div w:id="1770347082">
      <w:bodyDiv w:val="1"/>
      <w:marLeft w:val="0"/>
      <w:marRight w:val="0"/>
      <w:marTop w:val="0"/>
      <w:marBottom w:val="0"/>
      <w:divBdr>
        <w:top w:val="none" w:sz="0" w:space="0" w:color="auto"/>
        <w:left w:val="none" w:sz="0" w:space="0" w:color="auto"/>
        <w:bottom w:val="none" w:sz="0" w:space="0" w:color="auto"/>
        <w:right w:val="none" w:sz="0" w:space="0" w:color="auto"/>
      </w:divBdr>
    </w:div>
    <w:div w:id="1793669945">
      <w:bodyDiv w:val="1"/>
      <w:marLeft w:val="60"/>
      <w:marRight w:val="60"/>
      <w:marTop w:val="60"/>
      <w:marBottom w:val="15"/>
      <w:divBdr>
        <w:top w:val="none" w:sz="0" w:space="0" w:color="auto"/>
        <w:left w:val="none" w:sz="0" w:space="0" w:color="auto"/>
        <w:bottom w:val="none" w:sz="0" w:space="0" w:color="auto"/>
        <w:right w:val="none" w:sz="0" w:space="0" w:color="auto"/>
      </w:divBdr>
      <w:divsChild>
        <w:div w:id="1190218236">
          <w:marLeft w:val="0"/>
          <w:marRight w:val="0"/>
          <w:marTop w:val="0"/>
          <w:marBottom w:val="0"/>
          <w:divBdr>
            <w:top w:val="none" w:sz="0" w:space="0" w:color="auto"/>
            <w:left w:val="none" w:sz="0" w:space="0" w:color="auto"/>
            <w:bottom w:val="none" w:sz="0" w:space="0" w:color="auto"/>
            <w:right w:val="none" w:sz="0" w:space="0" w:color="auto"/>
          </w:divBdr>
        </w:div>
      </w:divsChild>
    </w:div>
    <w:div w:id="1814985023">
      <w:bodyDiv w:val="1"/>
      <w:marLeft w:val="0"/>
      <w:marRight w:val="0"/>
      <w:marTop w:val="0"/>
      <w:marBottom w:val="0"/>
      <w:divBdr>
        <w:top w:val="none" w:sz="0" w:space="0" w:color="auto"/>
        <w:left w:val="none" w:sz="0" w:space="0" w:color="auto"/>
        <w:bottom w:val="none" w:sz="0" w:space="0" w:color="auto"/>
        <w:right w:val="none" w:sz="0" w:space="0" w:color="auto"/>
      </w:divBdr>
    </w:div>
    <w:div w:id="1884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000" b="1" i="0" baseline="0">
                <a:effectLst/>
              </a:rPr>
              <a:t>Population by tenure as of March 31</a:t>
            </a:r>
            <a:endParaRPr lang="en-CA" sz="1000">
              <a:effectLst/>
            </a:endParaRP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204612824505994"/>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(N=4) </c:v>
                </c:pt>
                <c:pt idx="1">
                  <c:v> 2015 
(N= 5) </c:v>
                </c:pt>
                <c:pt idx="2">
                  <c:v> 2016 
(N=6) </c:v>
                </c:pt>
                <c:pt idx="3">
                  <c:v> 2017 
(N=6) </c:v>
                </c:pt>
                <c:pt idx="4">
                  <c:v> 2018
(N=6) </c:v>
                </c:pt>
                <c:pt idx="5">
                  <c:v> 2019
(N=7) </c:v>
                </c:pt>
              </c:strCache>
            </c:strRef>
          </c:cat>
          <c:val>
            <c:numRef>
              <c:f>Sheet1!$B$2:$B$7</c:f>
              <c:numCache>
                <c:formatCode>#\ ###</c:formatCode>
                <c:ptCount val="6"/>
                <c:pt idx="0">
                  <c:v>4</c:v>
                </c:pt>
                <c:pt idx="1">
                  <c:v>4</c:v>
                </c:pt>
                <c:pt idx="2">
                  <c:v>5</c:v>
                </c:pt>
                <c:pt idx="3">
                  <c:v>5</c:v>
                </c:pt>
                <c:pt idx="4">
                  <c:v>6</c:v>
                </c:pt>
                <c:pt idx="5">
                  <c:v>5</c:v>
                </c:pt>
              </c:numCache>
            </c:numRef>
          </c:val>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2.8239558760857657E-17"/>
                  <c:y val="-2.3809248763050377E-17"/>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5.6479117521715313E-17"/>
                  <c:y val="0"/>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3.0807147258163892E-3"/>
                  <c:y val="-4.7618497526100754E-17"/>
                </c:manualLayout>
              </c:layout>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3809248763050377E-17"/>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3809248763050377E-17"/>
                </c:manualLayout>
              </c:layout>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(N=4) </c:v>
                </c:pt>
                <c:pt idx="1">
                  <c:v> 2015 
(N= 5) </c:v>
                </c:pt>
                <c:pt idx="2">
                  <c:v> 2016 
(N=6) </c:v>
                </c:pt>
                <c:pt idx="3">
                  <c:v> 2017 
(N=6) </c:v>
                </c:pt>
                <c:pt idx="4">
                  <c:v> 2018
(N=6) </c:v>
                </c:pt>
                <c:pt idx="5">
                  <c:v> 2019
(N=7) </c:v>
                </c:pt>
              </c:strCache>
            </c:strRef>
          </c:cat>
          <c:val>
            <c:numRef>
              <c:f>Sheet1!$C$2:$C$7</c:f>
              <c:numCache>
                <c:formatCode>#\ ###</c:formatCode>
                <c:ptCount val="6"/>
                <c:pt idx="0">
                  <c:v>0</c:v>
                </c:pt>
                <c:pt idx="1">
                  <c:v>1</c:v>
                </c:pt>
                <c:pt idx="2">
                  <c:v>1</c:v>
                </c:pt>
                <c:pt idx="3">
                  <c:v>1</c:v>
                </c:pt>
                <c:pt idx="4">
                  <c:v>0</c:v>
                </c:pt>
                <c:pt idx="5">
                  <c:v>2</c:v>
                </c:pt>
              </c:numCache>
            </c:numRef>
          </c:val>
        </c:ser>
        <c:dLbls>
          <c:dLblPos val="ctr"/>
          <c:showLegendKey val="0"/>
          <c:showVal val="1"/>
          <c:showCatName val="0"/>
          <c:showSerName val="0"/>
          <c:showPercent val="0"/>
          <c:showBubbleSize val="0"/>
        </c:dLbls>
        <c:gapWidth val="150"/>
        <c:overlap val="100"/>
        <c:axId val="618764160"/>
        <c:axId val="618767296"/>
      </c:barChart>
      <c:catAx>
        <c:axId val="61876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67296"/>
        <c:crosses val="autoZero"/>
        <c:auto val="1"/>
        <c:lblAlgn val="ctr"/>
        <c:lblOffset val="100"/>
        <c:noMultiLvlLbl val="0"/>
      </c:catAx>
      <c:valAx>
        <c:axId val="61876729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6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00"/>
              <a:t>Population by language requirements</a:t>
            </a:r>
            <a:r>
              <a:rPr lang="en-CA" sz="1000" baseline="0"/>
              <a:t> as of March 31, 2019 (N = 7)</a:t>
            </a:r>
            <a:endParaRPr lang="en-CA" sz="1000">
              <a:solidFill>
                <a:srgbClr val="FF0000"/>
              </a:solidFill>
            </a:endParaRPr>
          </a:p>
        </c:rich>
      </c:tx>
      <c:layout>
        <c:manualLayout>
          <c:xMode val="edge"/>
          <c:yMode val="edge"/>
          <c:x val="0.13994491885697385"/>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10954616588419405"/>
                  <c:y val="-3.0596992072905588E-2"/>
                </c:manualLayout>
              </c:layout>
              <c:tx>
                <c:rich>
                  <a:bodyPr/>
                  <a:lstStyle/>
                  <a:p>
                    <a:fld id="{B3C14B7D-F9E0-44C4-A57B-A5FE808B4417}" type="CATEGORYNAME">
                      <a:rPr lang="en-US"/>
                      <a:pPr/>
                      <a:t>[CATEGORY NAME]</a:t>
                    </a:fld>
                    <a:r>
                      <a:rPr lang="en-US" baseline="0"/>
                      <a:t>
</a:t>
                    </a:r>
                    <a:fld id="{434FB770-29C0-4C55-9295-6441B41C8E7B}" type="CELLREF">
                      <a:rPr lang="en-US" baseline="0"/>
                      <a:pPr/>
                      <a:t>[CELLREF]</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15:dlblFieldTable>
                    <c15:dlblFTEntry>
                      <c15:txfldGUID>{434FB770-29C0-4C55-9295-6441B41C8E7B}</c15:txfldGUID>
                      <c15:f>Sheet1!$B$2</c15:f>
                      <c15:dlblFieldTableCache>
                        <c:ptCount val="1"/>
                        <c:pt idx="0">
                          <c:v>3</c:v>
                        </c:pt>
                      </c15:dlblFieldTableCache>
                    </c15:dlblFTEntry>
                  </c15:dlblFieldTable>
                  <c15:showDataLabelsRange val="0"/>
                </c:ext>
              </c:extLst>
            </c:dLbl>
            <c:dLbl>
              <c:idx val="1"/>
              <c:layout>
                <c:manualLayout>
                  <c:x val="-5.4773082942097095E-2"/>
                  <c:y val="5.696177723701043E-2"/>
                </c:manualLayout>
              </c:layout>
              <c:tx>
                <c:rich>
                  <a:bodyPr/>
                  <a:lstStyle/>
                  <a:p>
                    <a:fld id="{3DA0439F-5729-4BC0-B4A5-2F5DD270A164}" type="CATEGORYNAME">
                      <a:rPr lang="en-US"/>
                      <a:pPr/>
                      <a:t>[CATEGORY NAME]</a:t>
                    </a:fld>
                    <a:r>
                      <a:rPr lang="en-US" baseline="0"/>
                      <a:t>
</a:t>
                    </a:r>
                    <a:fld id="{2969BB5C-D998-41A5-BE5A-741AE347AF09}" type="CELLREF">
                      <a:rPr lang="en-US" baseline="0"/>
                      <a:pPr/>
                      <a:t>[CELLREF]</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15:dlblFieldTable>
                    <c15:dlblFTEntry>
                      <c15:txfldGUID>{2969BB5C-D998-41A5-BE5A-741AE347AF09}</c15:txfldGUID>
                      <c15:f>Sheet1!$B$3</c15:f>
                      <c15:dlblFieldTableCache>
                        <c:ptCount val="1"/>
                        <c:pt idx="0">
                          <c:v>1</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3</c:v>
                </c:pt>
                <c:pt idx="1">
                  <c:v>1</c:v>
                </c:pt>
              </c:numCache>
            </c:numRef>
          </c:val>
        </c:ser>
        <c:dLbls>
          <c:showLegendKey val="0"/>
          <c:showVal val="0"/>
          <c:showCatName val="0"/>
          <c:showSerName val="0"/>
          <c:showPercent val="0"/>
          <c:showBubbleSize val="0"/>
          <c:showLeaderLines val="1"/>
        </c:dLbls>
        <c:firstSliceAng val="124"/>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Population by occupational</a:t>
            </a:r>
            <a:r>
              <a:rPr lang="en-US" sz="1000" baseline="0"/>
              <a:t> group</a:t>
            </a:r>
            <a:r>
              <a:rPr lang="en-US" sz="1000"/>
              <a:t> as of March 31,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accent3"/>
              </a:solidFill>
              <a:ln w="3175">
                <a:solidFill>
                  <a:schemeClr val="lt1"/>
                </a:solidFill>
              </a:ln>
              <a:effectLst/>
            </c:spPr>
          </c:dPt>
          <c:dLbls>
            <c:dLbl>
              <c:idx val="0"/>
              <c:layout>
                <c:manualLayout>
                  <c:x val="0.17927747239142272"/>
                  <c:y val="-0.14671854734111545"/>
                </c:manualLayout>
              </c:layout>
              <c:tx>
                <c:rich>
                  <a:bodyPr/>
                  <a:lstStyle/>
                  <a:p>
                    <a:fld id="{5EA47592-33C2-4BBF-9AEB-ADE27E07C7AE}" type="CATEGORYNAME">
                      <a:rPr lang="en-US"/>
                      <a:pPr/>
                      <a:t>[CATEGORY NAME]</a:t>
                    </a:fld>
                    <a:r>
                      <a:rPr lang="en-US" baseline="0"/>
                      <a:t>
</a:t>
                    </a:r>
                    <a:fld id="{B9557F79-E289-4BF0-99E4-450A955635A8}" type="CELLREF">
                      <a:rPr lang="en-US" baseline="0"/>
                      <a:pPr/>
                      <a:t>[CELLREF]</a:t>
                    </a:fld>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dlblFTEntry>
                      <c15:txfldGUID>{B9557F79-E289-4BF0-99E4-450A955635A8}</c15:txfldGUID>
                      <c15:f>Sheet1!$B$2</c15:f>
                      <c15:dlblFieldTableCache>
                        <c:ptCount val="1"/>
                        <c:pt idx="0">
                          <c:v>3</c:v>
                        </c:pt>
                      </c15:dlblFieldTableCache>
                    </c15:dlblFTEntry>
                  </c15:dlblFieldTable>
                  <c15:showDataLabelsRange val="0"/>
                </c:ext>
              </c:extLst>
            </c:dLbl>
            <c:dLbl>
              <c:idx val="1"/>
              <c:layout>
                <c:manualLayout>
                  <c:x val="4.3227232209181329E-2"/>
                  <c:y val="0.17170215590755442"/>
                </c:manualLayout>
              </c:layout>
              <c:tx>
                <c:rich>
                  <a:bodyPr/>
                  <a:lstStyle/>
                  <a:p>
                    <a:fld id="{932DD908-A87D-4F1C-9E8F-A69BBB566AC2}" type="CATEGORYNAME">
                      <a:rPr lang="en-US"/>
                      <a:pPr/>
                      <a:t>[CATEGORY NAME]</a:t>
                    </a:fld>
                    <a:r>
                      <a:rPr lang="en-US" baseline="0"/>
                      <a:t>
</a:t>
                    </a:r>
                    <a:fld id="{04C7AB31-0432-410B-B641-0C61EF0DECDC}" type="CELLREF">
                      <a:rPr lang="en-US" baseline="0"/>
                      <a:pPr/>
                      <a:t>[CELLREF]</a:t>
                    </a:fld>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dlblFTEntry>
                      <c15:txfldGUID>{04C7AB31-0432-410B-B641-0C61EF0DECDC}</c15:txfldGUID>
                      <c15:f>Sheet1!$B$3</c15:f>
                      <c15:dlblFieldTableCache>
                        <c:ptCount val="1"/>
                        <c:pt idx="0">
                          <c:v>2</c:v>
                        </c:pt>
                      </c15:dlblFieldTableCache>
                    </c15:dlblFTEntry>
                  </c15:dlblFieldTable>
                  <c15:showDataLabelsRange val="0"/>
                </c:ext>
              </c:extLst>
            </c:dLbl>
            <c:dLbl>
              <c:idx val="2"/>
              <c:layout>
                <c:manualLayout>
                  <c:x val="-7.8616661714455499E-2"/>
                  <c:y val="-6.4064462759275714E-2"/>
                </c:manualLayout>
              </c:layout>
              <c:tx>
                <c:rich>
                  <a:bodyPr/>
                  <a:lstStyle/>
                  <a:p>
                    <a:fld id="{7EA3C036-B8BB-424B-9A15-C3B67D2B03D3}" type="CATEGORYNAME">
                      <a:rPr lang="en-US"/>
                      <a:pPr/>
                      <a:t>[CATEGORY NAME]</a:t>
                    </a:fld>
                    <a:r>
                      <a:rPr lang="en-US" baseline="0"/>
                      <a:t>
</a:t>
                    </a:r>
                    <a:fld id="{BD5C76A8-178B-4D9D-B4DF-BD2F420A2EFC}" type="CELLREF">
                      <a:rPr lang="en-US" baseline="0"/>
                      <a:pPr/>
                      <a:t>[CELLREF]</a:t>
                    </a:fld>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15:dlblFieldTable>
                    <c15:dlblFTEntry>
                      <c15:txfldGUID>{BD5C76A8-178B-4D9D-B4DF-BD2F420A2EFC}</c15:txfldGUID>
                      <c15:f>Sheet1!$B$4</c15:f>
                      <c15:dlblFieldTableCache>
                        <c:ptCount val="1"/>
                        <c:pt idx="0">
                          <c:v>2</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LP</c:v>
                </c:pt>
                <c:pt idx="1">
                  <c:v>AS</c:v>
                </c:pt>
                <c:pt idx="2">
                  <c:v>EX</c:v>
                </c:pt>
              </c:strCache>
            </c:strRef>
          </c:cat>
          <c:val>
            <c:numRef>
              <c:f>Sheet1!$B$2:$B$4</c:f>
              <c:numCache>
                <c:formatCode>General</c:formatCode>
                <c:ptCount val="3"/>
                <c:pt idx="0">
                  <c:v>3</c:v>
                </c:pt>
                <c:pt idx="1">
                  <c:v>2</c:v>
                </c:pt>
                <c:pt idx="2">
                  <c:v>2</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00"/>
              <a:t>Population by region as</a:t>
            </a:r>
            <a:r>
              <a:rPr lang="en-CA" sz="1000" baseline="0"/>
              <a:t> of March 31, 2019 (N = 7)</a:t>
            </a:r>
            <a:endParaRPr lang="en-CA" sz="1000"/>
          </a:p>
        </c:rich>
      </c:tx>
      <c:layout>
        <c:manualLayout>
          <c:xMode val="edge"/>
          <c:yMode val="edge"/>
          <c:x val="8.5171835914876842E-2"/>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explosion val="2"/>
          <c:dPt>
            <c:idx val="0"/>
            <c:bubble3D val="0"/>
            <c:spPr>
              <a:solidFill>
                <a:schemeClr val="accent2"/>
              </a:solidFill>
              <a:ln>
                <a:noFill/>
              </a:ln>
              <a:effectLst>
                <a:outerShdw blurRad="57150" dist="19050" dir="5400000" algn="ctr" rotWithShape="0">
                  <a:srgbClr val="000000">
                    <a:alpha val="63000"/>
                  </a:srgbClr>
                </a:outerShdw>
              </a:effectLst>
            </c:spPr>
          </c:dPt>
          <c:dLbls>
            <c:dLbl>
              <c:idx val="0"/>
              <c:layout>
                <c:manualLayout>
                  <c:x val="0.34158269233686828"/>
                  <c:y val="0.21791629494589038"/>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28AB8764-A839-4DBD-BF16-4F2E332E90CA}" type="CATEGORYNAME">
                      <a:rPr lang="en-US"/>
                      <a:pPr>
                        <a:defRPr b="1"/>
                      </a:pPr>
                      <a:t>[CATEGORY NAME]</a:t>
                    </a:fld>
                    <a:r>
                      <a:rPr lang="en-US" baseline="0"/>
                      <a:t>
</a:t>
                    </a:r>
                    <a:fld id="{13F12A71-69B0-4291-A379-C32D85C5C6DF}" type="CELLREF">
                      <a:rPr lang="en-US" baseline="0"/>
                      <a:pPr>
                        <a:defRPr b="1"/>
                      </a:pPr>
                      <a:t>[CELLREF]</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9102119460500958"/>
                      <c:h val="0.20718195162083866"/>
                    </c:manualLayout>
                  </c15:layout>
                  <c15:dlblFieldTable>
                    <c15:dlblFTEntry>
                      <c15:txfldGUID>{13F12A71-69B0-4291-A379-C32D85C5C6DF}</c15:txfldGUID>
                      <c15:f>Sheet1!$B$2</c15:f>
                      <c15:dlblFieldTableCache>
                        <c:ptCount val="1"/>
                        <c:pt idx="0">
                          <c:v>7</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NCR</c:v>
                </c:pt>
              </c:strCache>
            </c:strRef>
          </c:cat>
          <c:val>
            <c:numRef>
              <c:f>Sheet1!$B$2</c:f>
              <c:numCache>
                <c:formatCode>0</c:formatCode>
                <c:ptCount val="1"/>
                <c:pt idx="0">
                  <c:v>7</c:v>
                </c:pt>
              </c:numCache>
            </c:numRef>
          </c:val>
        </c:ser>
        <c:dLbls>
          <c:showLegendKey val="0"/>
          <c:showVal val="0"/>
          <c:showCatName val="0"/>
          <c:showSerName val="0"/>
          <c:showPercent val="0"/>
          <c:showBubbleSize val="0"/>
          <c:showLeaderLines val="1"/>
        </c:dLbls>
        <c:firstSliceAng val="12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00"/>
              <a:t>Staffing</a:t>
            </a:r>
            <a:r>
              <a:rPr lang="en-CA" sz="1000" baseline="0"/>
              <a:t> by appointment type</a:t>
            </a:r>
            <a:endParaRPr lang="en-CA" sz="10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8730337169392289"/>
          <c:w val="0.84333349635643373"/>
          <c:h val="0.51261926105390676"/>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c:v>
                </c:pt>
                <c:pt idx="1">
                  <c:v>2015-16
(N=3)</c:v>
                </c:pt>
                <c:pt idx="2">
                  <c:v>2016-17 
(N=0)</c:v>
                </c:pt>
                <c:pt idx="3">
                  <c:v>2017-18
(N=2)</c:v>
                </c:pt>
                <c:pt idx="4">
                  <c:v>2018-19
(N=6)</c:v>
                </c:pt>
              </c:strCache>
            </c:strRef>
          </c:cat>
          <c:val>
            <c:numRef>
              <c:f>Sheet1!$B$3:$B$7</c:f>
              <c:numCache>
                <c:formatCode>#\ ###</c:formatCode>
                <c:ptCount val="5"/>
                <c:pt idx="0">
                  <c:v>1</c:v>
                </c:pt>
                <c:pt idx="1">
                  <c:v>0</c:v>
                </c:pt>
                <c:pt idx="2">
                  <c:v>0</c:v>
                </c:pt>
                <c:pt idx="3">
                  <c:v>0</c:v>
                </c:pt>
                <c:pt idx="4">
                  <c:v>4</c:v>
                </c:pt>
              </c:numCache>
            </c:numRef>
          </c:val>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c:v>
                </c:pt>
                <c:pt idx="1">
                  <c:v>2015-16
(N=3)</c:v>
                </c:pt>
                <c:pt idx="2">
                  <c:v>2016-17 
(N=0)</c:v>
                </c:pt>
                <c:pt idx="3">
                  <c:v>2017-18
(N=2)</c:v>
                </c:pt>
                <c:pt idx="4">
                  <c:v>2018-19
(N=6)</c:v>
                </c:pt>
              </c:strCache>
            </c:strRef>
          </c:cat>
          <c:val>
            <c:numRef>
              <c:f>Sheet1!$C$3:$C$7</c:f>
              <c:numCache>
                <c:formatCode>#\ ###</c:formatCode>
                <c:ptCount val="5"/>
                <c:pt idx="0">
                  <c:v>0</c:v>
                </c:pt>
                <c:pt idx="1">
                  <c:v>2</c:v>
                </c:pt>
                <c:pt idx="2">
                  <c:v>0</c:v>
                </c:pt>
                <c:pt idx="3">
                  <c:v>2</c:v>
                </c:pt>
                <c:pt idx="4">
                  <c:v>0</c:v>
                </c:pt>
              </c:numCache>
            </c:numRef>
          </c:val>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c:v>
                </c:pt>
                <c:pt idx="1">
                  <c:v>2015-16
(N=3)</c:v>
                </c:pt>
                <c:pt idx="2">
                  <c:v>2016-17 
(N=0)</c:v>
                </c:pt>
                <c:pt idx="3">
                  <c:v>2017-18
(N=2)</c:v>
                </c:pt>
                <c:pt idx="4">
                  <c:v>2018-19
(N=6)</c:v>
                </c:pt>
              </c:strCache>
            </c:strRef>
          </c:cat>
          <c:val>
            <c:numRef>
              <c:f>Sheet1!$D$3:$D$7</c:f>
              <c:numCache>
                <c:formatCode>#\ ###</c:formatCode>
                <c:ptCount val="5"/>
                <c:pt idx="0">
                  <c:v>2</c:v>
                </c:pt>
                <c:pt idx="1">
                  <c:v>0</c:v>
                </c:pt>
                <c:pt idx="2">
                  <c:v>0</c:v>
                </c:pt>
                <c:pt idx="3">
                  <c:v>0</c:v>
                </c:pt>
                <c:pt idx="4">
                  <c:v>1</c:v>
                </c:pt>
              </c:numCache>
            </c:numRef>
          </c:val>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c:v>
                </c:pt>
                <c:pt idx="1">
                  <c:v>2015-16
(N=3)</c:v>
                </c:pt>
                <c:pt idx="2">
                  <c:v>2016-17 
(N=0)</c:v>
                </c:pt>
                <c:pt idx="3">
                  <c:v>2017-18
(N=2)</c:v>
                </c:pt>
                <c:pt idx="4">
                  <c:v>2018-19
(N=6)</c:v>
                </c:pt>
              </c:strCache>
            </c:strRef>
          </c:cat>
          <c:val>
            <c:numRef>
              <c:f>Sheet1!$E$3:$E$7</c:f>
              <c:numCache>
                <c:formatCode>#\ ###</c:formatCode>
                <c:ptCount val="5"/>
                <c:pt idx="0">
                  <c:v>0</c:v>
                </c:pt>
                <c:pt idx="1">
                  <c:v>1</c:v>
                </c:pt>
                <c:pt idx="2">
                  <c:v>0</c:v>
                </c:pt>
                <c:pt idx="3">
                  <c:v>0</c:v>
                </c:pt>
                <c:pt idx="4">
                  <c:v>1</c:v>
                </c:pt>
              </c:numCache>
            </c:numRef>
          </c:val>
        </c:ser>
        <c:dLbls>
          <c:showLegendKey val="0"/>
          <c:showVal val="1"/>
          <c:showCatName val="0"/>
          <c:showSerName val="0"/>
          <c:showPercent val="0"/>
          <c:showBubbleSize val="0"/>
        </c:dLbls>
        <c:gapWidth val="150"/>
        <c:shape val="box"/>
        <c:axId val="618768080"/>
        <c:axId val="618764944"/>
        <c:axId val="0"/>
      </c:bar3DChart>
      <c:catAx>
        <c:axId val="618768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64944"/>
        <c:crosses val="autoZero"/>
        <c:auto val="0"/>
        <c:lblAlgn val="ctr"/>
        <c:lblOffset val="100"/>
        <c:noMultiLvlLbl val="0"/>
      </c:catAx>
      <c:valAx>
        <c:axId val="61876494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68080"/>
        <c:crosses val="autoZero"/>
        <c:crossBetween val="between"/>
        <c:majorUnit val="1"/>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00"/>
              <a:t>Staffing by</a:t>
            </a:r>
            <a:r>
              <a:rPr lang="en-CA" sz="1000" baseline="0"/>
              <a:t> tenure</a:t>
            </a:r>
            <a:endParaRPr lang="en-CA" sz="10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6004554815263478"/>
          <c:w val="0.86277799650043729"/>
          <c:h val="0.55072432868968291"/>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c:v>
                </c:pt>
                <c:pt idx="1">
                  <c:v>2015-16
 (N=3)</c:v>
                </c:pt>
                <c:pt idx="2">
                  <c:v>2016-17
 (N=0)</c:v>
                </c:pt>
                <c:pt idx="3">
                  <c:v>2017-18
 (N=2)</c:v>
                </c:pt>
                <c:pt idx="4">
                  <c:v>2018-19
 (N=6)</c:v>
                </c:pt>
              </c:strCache>
            </c:strRef>
          </c:cat>
          <c:val>
            <c:numRef>
              <c:f>Sheet1!$B$2:$B$6</c:f>
              <c:numCache>
                <c:formatCode>#\ ###</c:formatCode>
                <c:ptCount val="5"/>
                <c:pt idx="0">
                  <c:v>2</c:v>
                </c:pt>
                <c:pt idx="1">
                  <c:v>3</c:v>
                </c:pt>
                <c:pt idx="2">
                  <c:v>0</c:v>
                </c:pt>
                <c:pt idx="3">
                  <c:v>2</c:v>
                </c:pt>
                <c:pt idx="4">
                  <c:v>3</c:v>
                </c:pt>
              </c:numCache>
            </c:numRef>
          </c:val>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c:v>
                </c:pt>
                <c:pt idx="1">
                  <c:v>2015-16
 (N=3)</c:v>
                </c:pt>
                <c:pt idx="2">
                  <c:v>2016-17
 (N=0)</c:v>
                </c:pt>
                <c:pt idx="3">
                  <c:v>2017-18
 (N=2)</c:v>
                </c:pt>
                <c:pt idx="4">
                  <c:v>2018-19
 (N=6)</c:v>
                </c:pt>
              </c:strCache>
            </c:strRef>
          </c:cat>
          <c:val>
            <c:numRef>
              <c:f>Sheet1!$C$2:$C$6</c:f>
              <c:numCache>
                <c:formatCode>#\ ###</c:formatCode>
                <c:ptCount val="5"/>
                <c:pt idx="0">
                  <c:v>1</c:v>
                </c:pt>
                <c:pt idx="1">
                  <c:v>0</c:v>
                </c:pt>
                <c:pt idx="2">
                  <c:v>0</c:v>
                </c:pt>
                <c:pt idx="3">
                  <c:v>0</c:v>
                </c:pt>
                <c:pt idx="4">
                  <c:v>3</c:v>
                </c:pt>
              </c:numCache>
            </c:numRef>
          </c:val>
        </c:ser>
        <c:dLbls>
          <c:showLegendKey val="0"/>
          <c:showVal val="1"/>
          <c:showCatName val="0"/>
          <c:showSerName val="0"/>
          <c:showPercent val="0"/>
          <c:showBubbleSize val="0"/>
        </c:dLbls>
        <c:gapWidth val="150"/>
        <c:shape val="box"/>
        <c:axId val="618768472"/>
        <c:axId val="618765336"/>
        <c:axId val="0"/>
      </c:bar3DChart>
      <c:catAx>
        <c:axId val="6187684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65336"/>
        <c:crosses val="autoZero"/>
        <c:auto val="1"/>
        <c:lblAlgn val="ctr"/>
        <c:lblOffset val="100"/>
        <c:noMultiLvlLbl val="0"/>
      </c:catAx>
      <c:valAx>
        <c:axId val="61876533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768472"/>
        <c:crosses val="autoZero"/>
        <c:crossBetween val="between"/>
        <c:majorUnit val="1"/>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3</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0</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732070428D49CABA881105BCA0F7B6"/>
        <w:category>
          <w:name w:val="Général"/>
          <w:gallery w:val="placeholder"/>
        </w:category>
        <w:types>
          <w:type w:val="bbPlcHdr"/>
        </w:types>
        <w:behaviors>
          <w:behavior w:val="content"/>
        </w:behaviors>
        <w:guid w:val="{0A9F322E-04A9-46F2-9E74-96A250CE6BD1}"/>
      </w:docPartPr>
      <w:docPartBody>
        <w:p w:rsidR="001949E3" w:rsidRDefault="0040757C" w:rsidP="0040757C">
          <w:pPr>
            <w:pStyle w:val="8D732070428D49CABA881105BCA0F7B6"/>
          </w:pPr>
          <w:r>
            <w:rPr>
              <w:color w:val="404040" w:themeColor="text1" w:themeTint="BF"/>
            </w:rPr>
            <w:t>[Document title]</w:t>
          </w:r>
        </w:p>
      </w:docPartBody>
    </w:docPart>
    <w:docPart>
      <w:docPartPr>
        <w:name w:val="D5E0412B61F24A15964E90F280538D96"/>
        <w:category>
          <w:name w:val="Général"/>
          <w:gallery w:val="placeholder"/>
        </w:category>
        <w:types>
          <w:type w:val="bbPlcHdr"/>
        </w:types>
        <w:behaviors>
          <w:behavior w:val="content"/>
        </w:behaviors>
        <w:guid w:val="{77DA7D9D-239F-4640-856D-83E990798B51}"/>
      </w:docPartPr>
      <w:docPartBody>
        <w:p w:rsidR="00E260D8" w:rsidRDefault="0007002E" w:rsidP="0007002E">
          <w:pPr>
            <w:pStyle w:val="D5E0412B61F24A15964E90F280538D9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7C"/>
    <w:rsid w:val="0007002E"/>
    <w:rsid w:val="001949E3"/>
    <w:rsid w:val="0040757C"/>
    <w:rsid w:val="00430164"/>
    <w:rsid w:val="00A04A14"/>
    <w:rsid w:val="00A31D49"/>
    <w:rsid w:val="00D112B2"/>
    <w:rsid w:val="00E260D8"/>
    <w:rsid w:val="00E651B0"/>
    <w:rsid w:val="00ED4C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32070428D49CABA881105BCA0F7B6">
    <w:name w:val="8D732070428D49CABA881105BCA0F7B6"/>
    <w:rsid w:val="0040757C"/>
  </w:style>
  <w:style w:type="paragraph" w:customStyle="1" w:styleId="3939BCEB80BE4A05B3F80A0EFD91697D">
    <w:name w:val="3939BCEB80BE4A05B3F80A0EFD91697D"/>
    <w:rsid w:val="0040757C"/>
  </w:style>
  <w:style w:type="paragraph" w:customStyle="1" w:styleId="BA64E7DFB3F44979A8DC202013664599">
    <w:name w:val="BA64E7DFB3F44979A8DC202013664599"/>
    <w:rsid w:val="00D112B2"/>
  </w:style>
  <w:style w:type="paragraph" w:customStyle="1" w:styleId="D5E0412B61F24A15964E90F280538D96">
    <w:name w:val="D5E0412B61F24A15964E90F280538D96"/>
    <w:rsid w:val="00070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35FA-38A4-4B8A-9AC0-35E1C854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2302</Words>
  <Characters>13123</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 be published on the open government portal</vt:lpstr>
      <vt:lpstr>to be published on the open government portal</vt:lpstr>
    </vt:vector>
  </TitlesOfParts>
  <Company>PSC-CFP</Company>
  <LinksUpToDate>false</LinksUpToDate>
  <CharactersWithSpaces>15395</CharactersWithSpaces>
  <SharedDoc>false</SharedDoc>
  <HLinks>
    <vt:vector size="120" baseType="variant">
      <vt:variant>
        <vt:i4>262211</vt:i4>
      </vt:variant>
      <vt:variant>
        <vt:i4>57</vt:i4>
      </vt:variant>
      <vt:variant>
        <vt:i4>0</vt:i4>
      </vt:variant>
      <vt:variant>
        <vt:i4>5</vt:i4>
      </vt:variant>
      <vt:variant>
        <vt:lpwstr>https://gcdocs.gc.ca/psc-cfp/llisapi.dll?func=ll&amp;objId=609690&amp;objAction=browse&amp;viewType=1</vt:lpwstr>
      </vt:variant>
      <vt:variant>
        <vt:lpwstr/>
      </vt:variant>
      <vt:variant>
        <vt:i4>6815863</vt:i4>
      </vt:variant>
      <vt:variant>
        <vt:i4>54</vt:i4>
      </vt:variant>
      <vt:variant>
        <vt:i4>0</vt:i4>
      </vt:variant>
      <vt:variant>
        <vt:i4>5</vt:i4>
      </vt:variant>
      <vt:variant>
        <vt:lpwstr/>
      </vt:variant>
      <vt:variant>
        <vt:lpwstr>AnnexC</vt:lpwstr>
      </vt:variant>
      <vt:variant>
        <vt:i4>6881399</vt:i4>
      </vt:variant>
      <vt:variant>
        <vt:i4>51</vt:i4>
      </vt:variant>
      <vt:variant>
        <vt:i4>0</vt:i4>
      </vt:variant>
      <vt:variant>
        <vt:i4>5</vt:i4>
      </vt:variant>
      <vt:variant>
        <vt:lpwstr/>
      </vt:variant>
      <vt:variant>
        <vt:lpwstr>AnnexB</vt:lpwstr>
      </vt:variant>
      <vt:variant>
        <vt:i4>6946935</vt:i4>
      </vt:variant>
      <vt:variant>
        <vt:i4>48</vt:i4>
      </vt:variant>
      <vt:variant>
        <vt:i4>0</vt:i4>
      </vt:variant>
      <vt:variant>
        <vt:i4>5</vt:i4>
      </vt:variant>
      <vt:variant>
        <vt:lpwstr/>
      </vt:variant>
      <vt:variant>
        <vt:lpwstr>AnnexA</vt:lpwstr>
      </vt:variant>
      <vt:variant>
        <vt:i4>4456465</vt:i4>
      </vt:variant>
      <vt:variant>
        <vt:i4>45</vt:i4>
      </vt:variant>
      <vt:variant>
        <vt:i4>0</vt:i4>
      </vt:variant>
      <vt:variant>
        <vt:i4>5</vt:i4>
      </vt:variant>
      <vt:variant>
        <vt:lpwstr>https://gcdocs.gc.ca/psc-cfp/llisapi.dll?func=ll&amp;objaction=overview&amp;objid=5667479</vt:lpwstr>
      </vt:variant>
      <vt:variant>
        <vt:lpwstr/>
      </vt:variant>
      <vt:variant>
        <vt:i4>3735673</vt:i4>
      </vt:variant>
      <vt:variant>
        <vt:i4>42</vt:i4>
      </vt:variant>
      <vt:variant>
        <vt:i4>0</vt:i4>
      </vt:variant>
      <vt:variant>
        <vt:i4>5</vt:i4>
      </vt:variant>
      <vt:variant>
        <vt:lpwstr>https://gcdocs.gc.ca/psc-cfp/llisapi.dll?func=ll&amp;objId=606735&amp;objAction=browse&amp;sort=name&amp;viewType=1</vt:lpwstr>
      </vt:variant>
      <vt:variant>
        <vt:lpwstr/>
      </vt:variant>
      <vt:variant>
        <vt:i4>3735673</vt:i4>
      </vt:variant>
      <vt:variant>
        <vt:i4>39</vt:i4>
      </vt:variant>
      <vt:variant>
        <vt:i4>0</vt:i4>
      </vt:variant>
      <vt:variant>
        <vt:i4>5</vt:i4>
      </vt:variant>
      <vt:variant>
        <vt:lpwstr>https://gcdocs.gc.ca/psc-cfp/llisapi.dll?func=ll&amp;objId=606735&amp;objAction=browse&amp;sort=name&amp;viewType=1</vt:lpwstr>
      </vt:variant>
      <vt:variant>
        <vt:lpwstr/>
      </vt:variant>
      <vt:variant>
        <vt:i4>3735673</vt:i4>
      </vt:variant>
      <vt:variant>
        <vt:i4>36</vt:i4>
      </vt:variant>
      <vt:variant>
        <vt:i4>0</vt:i4>
      </vt:variant>
      <vt:variant>
        <vt:i4>5</vt:i4>
      </vt:variant>
      <vt:variant>
        <vt:lpwstr>https://gcdocs.gc.ca/psc-cfp/llisapi.dll?func=ll&amp;objId=606735&amp;objAction=browse&amp;sort=name&amp;viewType=1</vt:lpwstr>
      </vt:variant>
      <vt:variant>
        <vt:lpwstr/>
      </vt:variant>
      <vt:variant>
        <vt:i4>1638489</vt:i4>
      </vt:variant>
      <vt:variant>
        <vt:i4>33</vt:i4>
      </vt:variant>
      <vt:variant>
        <vt:i4>0</vt:i4>
      </vt:variant>
      <vt:variant>
        <vt:i4>5</vt:i4>
      </vt:variant>
      <vt:variant>
        <vt:lpwstr>https://www.canada.ca/en/treasury-board-secretariat/services/planned-government-spending/reports-plans-priorities/2017-18-departmental-plan.html</vt:lpwstr>
      </vt:variant>
      <vt:variant>
        <vt:lpwstr/>
      </vt:variant>
      <vt:variant>
        <vt:i4>1638489</vt:i4>
      </vt:variant>
      <vt:variant>
        <vt:i4>30</vt:i4>
      </vt:variant>
      <vt:variant>
        <vt:i4>0</vt:i4>
      </vt:variant>
      <vt:variant>
        <vt:i4>5</vt:i4>
      </vt:variant>
      <vt:variant>
        <vt:lpwstr>https://www.canada.ca/en/treasury-board-secretariat/services/planned-government-spending/reports-plans-priorities/2017-18-departmental-plan.html</vt:lpwstr>
      </vt:variant>
      <vt:variant>
        <vt:lpwstr/>
      </vt:variant>
      <vt:variant>
        <vt:i4>4325395</vt:i4>
      </vt:variant>
      <vt:variant>
        <vt:i4>27</vt:i4>
      </vt:variant>
      <vt:variant>
        <vt:i4>0</vt:i4>
      </vt:variant>
      <vt:variant>
        <vt:i4>5</vt:i4>
      </vt:variant>
      <vt:variant>
        <vt:lpwstr>https://www.canada.ca/en/treasury-board-secretariat/services/departmental-performance-reports/list-institutions-2016-17-departmental-results-reports.html</vt:lpwstr>
      </vt:variant>
      <vt:variant>
        <vt:lpwstr/>
      </vt:variant>
      <vt:variant>
        <vt:i4>5505033</vt:i4>
      </vt:variant>
      <vt:variant>
        <vt:i4>24</vt:i4>
      </vt:variant>
      <vt:variant>
        <vt:i4>0</vt:i4>
      </vt:variant>
      <vt:variant>
        <vt:i4>5</vt:i4>
      </vt:variant>
      <vt:variant>
        <vt:lpwstr>https://www.canada.ca/en/privy-council/programs/appointments/senior-public-service/deputy-minister-champions.html</vt:lpwstr>
      </vt:variant>
      <vt:variant>
        <vt:lpwstr/>
      </vt:variant>
      <vt:variant>
        <vt:i4>262211</vt:i4>
      </vt:variant>
      <vt:variant>
        <vt:i4>20</vt:i4>
      </vt:variant>
      <vt:variant>
        <vt:i4>0</vt:i4>
      </vt:variant>
      <vt:variant>
        <vt:i4>5</vt:i4>
      </vt:variant>
      <vt:variant>
        <vt:lpwstr>https://gcdocs.gc.ca/psc-cfp/llisapi.dll?func=ll&amp;objId=609690&amp;objAction=browse&amp;viewType=1</vt:lpwstr>
      </vt:variant>
      <vt:variant>
        <vt:lpwstr/>
      </vt:variant>
      <vt:variant>
        <vt:i4>262211</vt:i4>
      </vt:variant>
      <vt:variant>
        <vt:i4>18</vt:i4>
      </vt:variant>
      <vt:variant>
        <vt:i4>0</vt:i4>
      </vt:variant>
      <vt:variant>
        <vt:i4>5</vt:i4>
      </vt:variant>
      <vt:variant>
        <vt:lpwstr>https://gcdocs.gc.ca/psc-cfp/llisapi.dll?func=ll&amp;objId=609690&amp;objAction=browse&amp;viewType=1</vt:lpwstr>
      </vt:variant>
      <vt:variant>
        <vt:lpwstr/>
      </vt:variant>
      <vt:variant>
        <vt:i4>5832704</vt:i4>
      </vt:variant>
      <vt:variant>
        <vt:i4>15</vt:i4>
      </vt:variant>
      <vt:variant>
        <vt:i4>0</vt:i4>
      </vt:variant>
      <vt:variant>
        <vt:i4>5</vt:i4>
      </vt:variant>
      <vt:variant>
        <vt:lpwstr>https://gcdocs.gc.ca/psc-cfp/llisapi.dll/link/6685840</vt:lpwstr>
      </vt:variant>
      <vt:variant>
        <vt:lpwstr/>
      </vt:variant>
      <vt:variant>
        <vt:i4>262211</vt:i4>
      </vt:variant>
      <vt:variant>
        <vt:i4>12</vt:i4>
      </vt:variant>
      <vt:variant>
        <vt:i4>0</vt:i4>
      </vt:variant>
      <vt:variant>
        <vt:i4>5</vt:i4>
      </vt:variant>
      <vt:variant>
        <vt:lpwstr>https://gcdocs.gc.ca/psc-cfp/llisapi.dll?func=ll&amp;objId=609690&amp;objAction=browse&amp;viewType=1</vt:lpwstr>
      </vt:variant>
      <vt:variant>
        <vt:lpwstr/>
      </vt:variant>
      <vt:variant>
        <vt:i4>262211</vt:i4>
      </vt:variant>
      <vt:variant>
        <vt:i4>9</vt:i4>
      </vt:variant>
      <vt:variant>
        <vt:i4>0</vt:i4>
      </vt:variant>
      <vt:variant>
        <vt:i4>5</vt:i4>
      </vt:variant>
      <vt:variant>
        <vt:lpwstr>https://gcdocs.gc.ca/psc-cfp/llisapi.dll?func=ll&amp;objId=609690&amp;objAction=browse&amp;viewType=1</vt:lpwstr>
      </vt:variant>
      <vt:variant>
        <vt:lpwstr/>
      </vt:variant>
      <vt:variant>
        <vt:i4>6881399</vt:i4>
      </vt:variant>
      <vt:variant>
        <vt:i4>6</vt:i4>
      </vt:variant>
      <vt:variant>
        <vt:i4>0</vt:i4>
      </vt:variant>
      <vt:variant>
        <vt:i4>5</vt:i4>
      </vt:variant>
      <vt:variant>
        <vt:lpwstr/>
      </vt:variant>
      <vt:variant>
        <vt:lpwstr>AnnexB</vt:lpwstr>
      </vt:variant>
      <vt:variant>
        <vt:i4>6946935</vt:i4>
      </vt:variant>
      <vt:variant>
        <vt:i4>3</vt:i4>
      </vt:variant>
      <vt:variant>
        <vt:i4>0</vt:i4>
      </vt:variant>
      <vt:variant>
        <vt:i4>5</vt:i4>
      </vt:variant>
      <vt:variant>
        <vt:lpwstr/>
      </vt:variant>
      <vt:variant>
        <vt:lpwstr>AnnexA</vt:lpwstr>
      </vt:variant>
      <vt:variant>
        <vt:i4>7012395</vt:i4>
      </vt:variant>
      <vt:variant>
        <vt:i4>0</vt:i4>
      </vt:variant>
      <vt:variant>
        <vt:i4>0</vt:i4>
      </vt:variant>
      <vt:variant>
        <vt:i4>5</vt:i4>
      </vt:variant>
      <vt:variant>
        <vt:lpwstr>https://gcdocs.gc.ca/psc-cfp/llisapi.dll?func=ll&amp;objId=606735&amp;objAction=browse&amp;viewType=1</vt:lpwstr>
      </vt:variant>
      <vt:variant>
        <vt:lpwstr>2_1__50_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published on the open government portal</dc:title>
  <dc:subject/>
  <dc:creator>smuscrof</dc:creator>
  <cp:keywords/>
  <dc:description/>
  <cp:lastModifiedBy>Snjezana Kulic</cp:lastModifiedBy>
  <cp:revision>2</cp:revision>
  <cp:lastPrinted>2019-10-01T18:31:00Z</cp:lastPrinted>
  <dcterms:created xsi:type="dcterms:W3CDTF">2020-02-21T22:16:00Z</dcterms:created>
  <dcterms:modified xsi:type="dcterms:W3CDTF">2020-02-21T22:16:00Z</dcterms:modified>
</cp:coreProperties>
</file>