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EA" w:rsidRPr="00B16F85" w:rsidRDefault="006E11EA" w:rsidP="00C20B76">
      <w:pPr>
        <w:pStyle w:val="Style6"/>
        <w:rPr>
          <w:lang w:val="fr-CA"/>
        </w:rPr>
      </w:pPr>
      <w:bookmarkStart w:id="0" w:name="_GoBack"/>
      <w:bookmarkEnd w:id="0"/>
      <w:r w:rsidRPr="00B16F85">
        <w:rPr>
          <w:lang w:val="fr-CA"/>
        </w:rPr>
        <w:t>RÉUNION DU PRÉSIDENT AVEC</w:t>
      </w:r>
      <w:r w:rsidRPr="00B16F85">
        <w:rPr>
          <w:lang w:val="fr-CA"/>
        </w:rPr>
        <w:br/>
        <w:t xml:space="preserve">CHARLES RANDALL SMITH, </w:t>
      </w:r>
      <w:r w:rsidR="00D7686B" w:rsidRPr="00B16F85">
        <w:rPr>
          <w:lang w:val="fr-CA"/>
        </w:rPr>
        <w:br/>
      </w:r>
      <w:r w:rsidRPr="00B16F85">
        <w:rPr>
          <w:lang w:val="fr-CA"/>
        </w:rPr>
        <w:t>PRÉSIDENT DU COMITÉ EXTERNE D’EXAMEN DE LA GRC</w:t>
      </w:r>
      <w:r w:rsidR="00102874" w:rsidRPr="00B16F85">
        <w:rPr>
          <w:lang w:val="fr-CA"/>
        </w:rPr>
        <w:br/>
        <w:t>13 août 2019</w:t>
      </w:r>
    </w:p>
    <w:p w:rsidR="001A5019" w:rsidRPr="00B16F85" w:rsidRDefault="006E11EA" w:rsidP="00C20B76">
      <w:pPr>
        <w:pStyle w:val="Heading1"/>
        <w:pBdr>
          <w:bottom w:val="single" w:sz="4" w:space="1" w:color="auto"/>
        </w:pBdr>
        <w:rPr>
          <w:lang w:val="fr-CA"/>
        </w:rPr>
      </w:pPr>
      <w:r w:rsidRPr="00B16F85">
        <w:rPr>
          <w:lang w:val="fr-CA"/>
        </w:rPr>
        <w:t>Introduction</w:t>
      </w:r>
    </w:p>
    <w:p w:rsidR="00002565" w:rsidRPr="00B16F85" w:rsidRDefault="00002565" w:rsidP="00002565">
      <w:pPr>
        <w:autoSpaceDE w:val="0"/>
        <w:autoSpaceDN w:val="0"/>
        <w:adjustRightInd w:val="0"/>
        <w:ind w:right="50"/>
        <w:rPr>
          <w:rFonts w:ascii="Arial" w:hAnsi="Arial" w:cs="Arial"/>
          <w:b/>
          <w:sz w:val="22"/>
          <w:szCs w:val="22"/>
          <w:lang w:val="fr-CA"/>
        </w:rPr>
      </w:pPr>
    </w:p>
    <w:p w:rsidR="00002565" w:rsidRPr="00B16F85" w:rsidRDefault="00002565" w:rsidP="00102874">
      <w:pPr>
        <w:pStyle w:val="Heading2"/>
      </w:pPr>
      <w:r w:rsidRPr="00B16F85">
        <w:t>Administrateur général</w:t>
      </w:r>
    </w:p>
    <w:p w:rsidR="00002565" w:rsidRPr="00B16F85" w:rsidRDefault="00002565" w:rsidP="00002565">
      <w:pPr>
        <w:pStyle w:val="NormalWeb"/>
        <w:spacing w:before="0" w:beforeAutospacing="0" w:after="0" w:afterAutospacing="0"/>
        <w:rPr>
          <w:rFonts w:ascii="Arial" w:hAnsi="Arial" w:cs="Arial"/>
          <w:b/>
          <w:sz w:val="22"/>
          <w:szCs w:val="22"/>
          <w:lang w:val="fr-CA"/>
        </w:rPr>
      </w:pPr>
    </w:p>
    <w:p w:rsidR="00002565" w:rsidRPr="00B16F85" w:rsidRDefault="00002565" w:rsidP="00002565">
      <w:pPr>
        <w:pStyle w:val="NoSpacing"/>
        <w:rPr>
          <w:rFonts w:ascii="Arial" w:hAnsi="Arial" w:cs="Arial"/>
          <w:sz w:val="22"/>
          <w:szCs w:val="22"/>
          <w:lang w:val="fr-CA" w:eastAsia="en-CA"/>
        </w:rPr>
      </w:pPr>
      <w:r w:rsidRPr="00B16F85">
        <w:rPr>
          <w:rFonts w:ascii="Arial" w:hAnsi="Arial" w:cs="Arial"/>
          <w:sz w:val="22"/>
          <w:szCs w:val="22"/>
          <w:lang w:val="fr-CA" w:eastAsia="en-CA"/>
        </w:rPr>
        <w:t>M. Charles Randall Smith a été nommé président du Comité externe d’examen (CEE) de la Gendarmerie royale du Canada (GRC) le 18 juin 2019.</w:t>
      </w:r>
    </w:p>
    <w:p w:rsidR="00002565" w:rsidRPr="00B16F85" w:rsidRDefault="00002565" w:rsidP="00002565">
      <w:pPr>
        <w:pStyle w:val="NoSpacing"/>
        <w:rPr>
          <w:rFonts w:ascii="Arial" w:hAnsi="Arial" w:cs="Arial"/>
          <w:sz w:val="22"/>
          <w:szCs w:val="22"/>
          <w:lang w:val="fr-CA" w:eastAsia="en-CA"/>
        </w:rPr>
      </w:pPr>
    </w:p>
    <w:p w:rsidR="00002565" w:rsidRPr="00B16F85" w:rsidRDefault="00505F3A" w:rsidP="00002565">
      <w:pPr>
        <w:pStyle w:val="NoSpacing"/>
        <w:rPr>
          <w:rFonts w:ascii="Arial" w:hAnsi="Arial" w:cs="Arial"/>
          <w:sz w:val="22"/>
          <w:szCs w:val="22"/>
          <w:lang w:val="fr-CA"/>
        </w:rPr>
      </w:pPr>
      <w:r w:rsidRPr="00B16F85">
        <w:rPr>
          <w:rFonts w:ascii="Arial" w:hAnsi="Arial" w:cs="Arial"/>
          <w:sz w:val="22"/>
          <w:szCs w:val="22"/>
          <w:lang w:val="fr-CA" w:eastAsia="en-CA"/>
        </w:rPr>
        <w:t>L</w:t>
      </w:r>
      <w:r w:rsidR="00002565" w:rsidRPr="00B16F85">
        <w:rPr>
          <w:rFonts w:ascii="Arial" w:hAnsi="Arial" w:cs="Arial"/>
          <w:sz w:val="22"/>
          <w:szCs w:val="22"/>
          <w:lang w:val="fr-CA" w:eastAsia="en-CA"/>
        </w:rPr>
        <w:t xml:space="preserve">a biographie de M. Smith </w:t>
      </w:r>
      <w:r w:rsidRPr="00B16F85">
        <w:rPr>
          <w:rFonts w:ascii="Arial" w:hAnsi="Arial" w:cs="Arial"/>
          <w:sz w:val="22"/>
          <w:szCs w:val="22"/>
          <w:lang w:val="fr-CA" w:eastAsia="en-CA"/>
        </w:rPr>
        <w:t xml:space="preserve">est jointe à titre d’information </w:t>
      </w:r>
      <w:r w:rsidR="00002565" w:rsidRPr="00B16F85">
        <w:rPr>
          <w:rFonts w:ascii="Arial" w:hAnsi="Arial" w:cs="Arial"/>
          <w:sz w:val="22"/>
          <w:szCs w:val="22"/>
          <w:lang w:val="fr-CA" w:eastAsia="en-CA"/>
        </w:rPr>
        <w:t>à l’</w:t>
      </w:r>
      <w:hyperlink w:anchor="AnnexA" w:history="1">
        <w:r w:rsidR="00002565" w:rsidRPr="00B16F85">
          <w:rPr>
            <w:rStyle w:val="Hyperlink"/>
            <w:rFonts w:ascii="Arial" w:hAnsi="Arial" w:cs="Arial"/>
            <w:sz w:val="22"/>
            <w:lang w:val="fr-CA"/>
          </w:rPr>
          <w:t>annexe A</w:t>
        </w:r>
      </w:hyperlink>
      <w:r w:rsidR="00002565" w:rsidRPr="00B16F85">
        <w:rPr>
          <w:rFonts w:ascii="Arial" w:hAnsi="Arial" w:cs="Arial"/>
          <w:sz w:val="22"/>
          <w:szCs w:val="22"/>
          <w:lang w:val="fr-CA" w:eastAsia="en-CA"/>
        </w:rPr>
        <w:t>. Veuillez consulter l’</w:t>
      </w:r>
      <w:hyperlink w:anchor="AnnexB" w:history="1">
        <w:r w:rsidRPr="00B16F85">
          <w:rPr>
            <w:rStyle w:val="Hyperlink"/>
            <w:rFonts w:ascii="Arial" w:hAnsi="Arial" w:cs="Arial"/>
            <w:sz w:val="22"/>
            <w:lang w:val="fr-CA"/>
          </w:rPr>
          <w:t>annexe B</w:t>
        </w:r>
      </w:hyperlink>
      <w:r w:rsidR="00002565" w:rsidRPr="00B16F85">
        <w:rPr>
          <w:rFonts w:ascii="Arial" w:hAnsi="Arial" w:cs="Arial"/>
          <w:sz w:val="22"/>
          <w:szCs w:val="22"/>
          <w:lang w:val="fr-CA" w:eastAsia="en-CA"/>
        </w:rPr>
        <w:t xml:space="preserve"> pour connaître les messages clés à transmettre au nouvel administrateur général.</w:t>
      </w:r>
    </w:p>
    <w:p w:rsidR="00002565" w:rsidRPr="00B16F85" w:rsidRDefault="00002565" w:rsidP="00002565">
      <w:pPr>
        <w:pStyle w:val="NoSpacing"/>
        <w:rPr>
          <w:rFonts w:ascii="Arial" w:hAnsi="Arial" w:cs="Arial"/>
          <w:sz w:val="22"/>
          <w:szCs w:val="22"/>
          <w:lang w:val="fr-CA"/>
        </w:rPr>
      </w:pPr>
    </w:p>
    <w:p w:rsidR="00002565" w:rsidRPr="00B16F85" w:rsidRDefault="00002565" w:rsidP="00102874">
      <w:pPr>
        <w:pStyle w:val="Heading2"/>
      </w:pPr>
      <w:r w:rsidRPr="00B16F85">
        <w:t>Administrateur général de l’extérieur de la fonction publique fédérale</w:t>
      </w:r>
    </w:p>
    <w:p w:rsidR="00002565" w:rsidRPr="00B16F85" w:rsidRDefault="00002565" w:rsidP="00002565">
      <w:pPr>
        <w:autoSpaceDE w:val="0"/>
        <w:autoSpaceDN w:val="0"/>
        <w:adjustRightInd w:val="0"/>
        <w:ind w:right="50"/>
        <w:rPr>
          <w:rFonts w:ascii="Arial" w:hAnsi="Arial" w:cs="Arial"/>
          <w:sz w:val="22"/>
          <w:szCs w:val="22"/>
          <w:lang w:val="fr-CA"/>
        </w:rPr>
      </w:pPr>
    </w:p>
    <w:p w:rsidR="00002565" w:rsidRPr="00B16F85" w:rsidRDefault="00002565" w:rsidP="00002565">
      <w:pPr>
        <w:autoSpaceDE w:val="0"/>
        <w:autoSpaceDN w:val="0"/>
        <w:adjustRightInd w:val="0"/>
        <w:ind w:right="50"/>
        <w:rPr>
          <w:rFonts w:ascii="Arial" w:hAnsi="Arial" w:cs="Arial"/>
          <w:sz w:val="22"/>
          <w:szCs w:val="22"/>
          <w:lang w:val="fr-CA"/>
        </w:rPr>
      </w:pPr>
      <w:r w:rsidRPr="00B16F85">
        <w:rPr>
          <w:rFonts w:ascii="Arial" w:hAnsi="Arial" w:cs="Arial"/>
          <w:sz w:val="22"/>
          <w:szCs w:val="22"/>
          <w:lang w:val="fr-CA"/>
        </w:rPr>
        <w:t>Puisque</w:t>
      </w:r>
      <w:r w:rsidRPr="00B16F85">
        <w:rPr>
          <w:rFonts w:ascii="Arial" w:hAnsi="Arial" w:cs="Arial"/>
          <w:sz w:val="22"/>
          <w:szCs w:val="22"/>
          <w:lang w:val="fr-CA" w:eastAsia="en-CA"/>
        </w:rPr>
        <w:t xml:space="preserve"> M. Smith vient de l’extérieur de la fonction publique, </w:t>
      </w:r>
      <w:r w:rsidRPr="00B16F85">
        <w:rPr>
          <w:rFonts w:ascii="Arial" w:hAnsi="Arial" w:cs="Arial"/>
          <w:sz w:val="22"/>
          <w:szCs w:val="22"/>
          <w:lang w:val="fr-CA"/>
        </w:rPr>
        <w:t xml:space="preserve">veuillez consulter </w:t>
      </w:r>
      <w:r w:rsidR="00505F3A" w:rsidRPr="00B16F85">
        <w:rPr>
          <w:rFonts w:ascii="Arial" w:hAnsi="Arial" w:cs="Arial"/>
          <w:sz w:val="22"/>
          <w:szCs w:val="22"/>
          <w:lang w:val="fr-CA"/>
        </w:rPr>
        <w:t>la présentation ci</w:t>
      </w:r>
      <w:r w:rsidR="00505F3A" w:rsidRPr="00B16F85">
        <w:rPr>
          <w:rFonts w:ascii="Arial" w:hAnsi="Arial" w:cs="Arial"/>
          <w:sz w:val="22"/>
          <w:szCs w:val="22"/>
          <w:lang w:val="fr-CA"/>
        </w:rPr>
        <w:noBreakHyphen/>
      </w:r>
      <w:r w:rsidRPr="00B16F85">
        <w:rPr>
          <w:rFonts w:ascii="Arial" w:hAnsi="Arial" w:cs="Arial"/>
          <w:sz w:val="22"/>
          <w:szCs w:val="22"/>
          <w:lang w:val="fr-CA"/>
        </w:rPr>
        <w:t>joint</w:t>
      </w:r>
      <w:r w:rsidR="00505F3A" w:rsidRPr="00B16F85">
        <w:rPr>
          <w:rFonts w:ascii="Arial" w:hAnsi="Arial" w:cs="Arial"/>
          <w:sz w:val="22"/>
          <w:szCs w:val="22"/>
          <w:lang w:val="fr-CA"/>
        </w:rPr>
        <w:t>e</w:t>
      </w:r>
      <w:r w:rsidRPr="00B16F85">
        <w:rPr>
          <w:rFonts w:ascii="Arial" w:hAnsi="Arial" w:cs="Arial"/>
          <w:sz w:val="22"/>
          <w:szCs w:val="22"/>
          <w:lang w:val="fr-CA"/>
        </w:rPr>
        <w:t xml:space="preserve"> pour obtenir des renseignements importants sur les rôles et les responsabilités en matière de dotation.</w:t>
      </w:r>
      <w:r w:rsidRPr="00B16F85">
        <w:rPr>
          <w:rFonts w:ascii="Arial" w:hAnsi="Arial" w:cs="Arial"/>
          <w:sz w:val="22"/>
          <w:szCs w:val="22"/>
          <w:lang w:val="fr-CA"/>
        </w:rPr>
        <w:br/>
      </w:r>
    </w:p>
    <w:p w:rsidR="00002565" w:rsidRPr="00B16F85" w:rsidRDefault="00002565" w:rsidP="00102874">
      <w:pPr>
        <w:pStyle w:val="Heading2"/>
        <w:rPr>
          <w:u w:val="single"/>
        </w:rPr>
      </w:pPr>
      <w:r w:rsidRPr="00B16F85">
        <w:t>La personne nommée exerce pour la première fois les pouvoirs de la Commission de la fonction publique</w:t>
      </w:r>
    </w:p>
    <w:p w:rsidR="00002565" w:rsidRPr="00B16F85" w:rsidRDefault="00002565" w:rsidP="00002565">
      <w:pPr>
        <w:rPr>
          <w:rFonts w:ascii="Arial" w:hAnsi="Arial" w:cs="Arial"/>
          <w:sz w:val="22"/>
          <w:szCs w:val="22"/>
          <w:highlight w:val="yellow"/>
          <w:lang w:val="fr-CA" w:eastAsia="en-CA"/>
        </w:rPr>
      </w:pPr>
    </w:p>
    <w:p w:rsidR="00002565" w:rsidRPr="00B16F85" w:rsidRDefault="00002565" w:rsidP="00002565">
      <w:pPr>
        <w:rPr>
          <w:rFonts w:ascii="Arial" w:hAnsi="Arial" w:cs="Arial"/>
          <w:sz w:val="22"/>
          <w:szCs w:val="22"/>
          <w:lang w:val="fr-CA" w:eastAsia="en-CA"/>
        </w:rPr>
      </w:pPr>
      <w:r w:rsidRPr="00B16F85">
        <w:rPr>
          <w:rFonts w:ascii="Arial" w:hAnsi="Arial" w:cs="Arial"/>
          <w:sz w:val="22"/>
          <w:szCs w:val="22"/>
          <w:lang w:val="fr-CA" w:eastAsia="en-CA"/>
        </w:rPr>
        <w:t>Étant donné que M. Smith exerce les pouvoirs de la Commission de la fonction publique (CFP) pour la première fois à titre d’administrateur général, il</w:t>
      </w:r>
      <w:r w:rsidRPr="00B16F85">
        <w:rPr>
          <w:rFonts w:ascii="Arial" w:hAnsi="Arial" w:cs="Arial"/>
          <w:sz w:val="22"/>
          <w:szCs w:val="22"/>
          <w:lang w:val="fr-CA"/>
        </w:rPr>
        <w:t xml:space="preserve"> est également suggéré </w:t>
      </w:r>
      <w:r w:rsidRPr="00B16F85">
        <w:rPr>
          <w:rFonts w:ascii="Arial" w:hAnsi="Arial" w:cs="Arial"/>
          <w:sz w:val="22"/>
          <w:szCs w:val="22"/>
          <w:lang w:val="fr-CA" w:eastAsia="en-CA"/>
        </w:rPr>
        <w:t>qu’on lui remette le tableau de bord destiné aux AG sur la Nouvelle orientation en dotation (NOD). Une copie de ce tableau de bord est jointe à</w:t>
      </w:r>
      <w:r w:rsidRPr="00B16F85">
        <w:rPr>
          <w:rFonts w:ascii="Arial" w:hAnsi="Arial" w:cs="Arial"/>
          <w:sz w:val="22"/>
          <w:szCs w:val="22"/>
          <w:lang w:val="fr-CA"/>
        </w:rPr>
        <w:t xml:space="preserve"> l’</w:t>
      </w:r>
      <w:hyperlink w:anchor="AnnexC" w:history="1">
        <w:r w:rsidRPr="00B16F85">
          <w:rPr>
            <w:rStyle w:val="Hyperlink"/>
            <w:rFonts w:ascii="Arial" w:hAnsi="Arial" w:cs="Arial"/>
            <w:sz w:val="22"/>
            <w:szCs w:val="22"/>
            <w:lang w:val="fr-CA"/>
          </w:rPr>
          <w:t>annexe C</w:t>
        </w:r>
      </w:hyperlink>
      <w:r w:rsidRPr="00B16F85">
        <w:rPr>
          <w:rFonts w:ascii="Arial" w:hAnsi="Arial" w:cs="Arial"/>
          <w:sz w:val="22"/>
          <w:szCs w:val="22"/>
          <w:lang w:val="fr-CA" w:eastAsia="en-CA"/>
        </w:rPr>
        <w:t>.</w:t>
      </w:r>
    </w:p>
    <w:p w:rsidR="00002565" w:rsidRPr="00B16F85" w:rsidRDefault="00002565" w:rsidP="00C20B76">
      <w:pPr>
        <w:pStyle w:val="Heading1"/>
        <w:pBdr>
          <w:bottom w:val="single" w:sz="4" w:space="1" w:color="auto"/>
        </w:pBdr>
        <w:rPr>
          <w:lang w:val="fr-CA"/>
        </w:rPr>
      </w:pPr>
      <w:r w:rsidRPr="00B16F85">
        <w:rPr>
          <w:lang w:val="fr-CA"/>
        </w:rPr>
        <w:t>contexte organisationnel</w:t>
      </w:r>
    </w:p>
    <w:p w:rsidR="00002565" w:rsidRPr="00B16F85" w:rsidRDefault="00002565" w:rsidP="00002565">
      <w:pPr>
        <w:rPr>
          <w:rFonts w:ascii="Arial" w:hAnsi="Arial" w:cs="Arial"/>
          <w:sz w:val="22"/>
          <w:szCs w:val="22"/>
          <w:lang w:val="fr-CA"/>
        </w:rPr>
      </w:pPr>
    </w:p>
    <w:p w:rsidR="00002565" w:rsidRPr="00B16F85" w:rsidRDefault="00002565" w:rsidP="00102874">
      <w:pPr>
        <w:pStyle w:val="Heading2"/>
        <w:rPr>
          <w:u w:val="single"/>
        </w:rPr>
      </w:pPr>
      <w:r w:rsidRPr="00B16F85">
        <w:t>Mandat</w:t>
      </w:r>
    </w:p>
    <w:p w:rsidR="00002565" w:rsidRPr="00B16F85" w:rsidRDefault="00002565" w:rsidP="00002565">
      <w:pPr>
        <w:autoSpaceDE w:val="0"/>
        <w:autoSpaceDN w:val="0"/>
        <w:adjustRightInd w:val="0"/>
        <w:ind w:right="50"/>
        <w:rPr>
          <w:rFonts w:ascii="Arial" w:hAnsi="Arial" w:cs="Arial"/>
          <w:b/>
          <w:sz w:val="22"/>
          <w:szCs w:val="22"/>
          <w:lang w:val="fr-CA"/>
        </w:rPr>
      </w:pPr>
    </w:p>
    <w:p w:rsidR="00002565" w:rsidRPr="00B16F85" w:rsidRDefault="00002565" w:rsidP="00002565">
      <w:pPr>
        <w:rPr>
          <w:rFonts w:ascii="Arial" w:hAnsi="Arial" w:cs="Arial"/>
          <w:color w:val="000000"/>
          <w:sz w:val="22"/>
          <w:szCs w:val="22"/>
          <w:lang w:val="fr-CA"/>
        </w:rPr>
      </w:pPr>
      <w:r w:rsidRPr="00B16F85">
        <w:rPr>
          <w:rFonts w:ascii="Arial" w:hAnsi="Arial" w:cs="Arial"/>
          <w:color w:val="000000"/>
          <w:sz w:val="22"/>
          <w:szCs w:val="22"/>
          <w:lang w:val="fr-CA"/>
        </w:rPr>
        <w:t>Le CEE est un tribunal administratif indépendant et une organisation distincte de la GRC. Il examine de façon impartiale les cas et présente des conclusions et des recommandations relatives aux décisions d’appel touchant certains dossiers de relations de travail au sein de la GRC. Le CEE est le seul mécanisme d’examen indépendant de ce genre offert aux membres de la GRC.</w:t>
      </w:r>
    </w:p>
    <w:p w:rsidR="00BC4DB9" w:rsidRPr="00B16F85" w:rsidRDefault="00BC4DB9">
      <w:pPr>
        <w:rPr>
          <w:rFonts w:ascii="Arial" w:hAnsi="Arial" w:cs="Arial"/>
          <w:color w:val="000000"/>
          <w:sz w:val="22"/>
          <w:szCs w:val="22"/>
          <w:lang w:val="fr-CA"/>
        </w:rPr>
      </w:pPr>
      <w:r w:rsidRPr="00B16F85">
        <w:rPr>
          <w:rFonts w:ascii="Arial" w:hAnsi="Arial" w:cs="Arial"/>
          <w:color w:val="000000"/>
          <w:sz w:val="22"/>
          <w:szCs w:val="22"/>
          <w:lang w:val="fr-CA"/>
        </w:rPr>
        <w:br w:type="page"/>
      </w:r>
    </w:p>
    <w:p w:rsidR="00680AA7" w:rsidRPr="00B16F85" w:rsidRDefault="00680AA7" w:rsidP="00C20B76">
      <w:pPr>
        <w:pStyle w:val="Heading1"/>
        <w:pBdr>
          <w:bottom w:val="single" w:sz="4" w:space="1" w:color="auto"/>
        </w:pBdr>
        <w:rPr>
          <w:lang w:val="fr-CA"/>
        </w:rPr>
      </w:pPr>
      <w:r w:rsidRPr="00B16F85">
        <w:rPr>
          <w:lang w:val="fr-CA"/>
        </w:rPr>
        <w:lastRenderedPageBreak/>
        <w:t>effectif ET activités de dotation</w:t>
      </w:r>
    </w:p>
    <w:p w:rsidR="00680AA7" w:rsidRPr="00B16F85" w:rsidRDefault="00680AA7" w:rsidP="00680AA7">
      <w:pPr>
        <w:rPr>
          <w:rFonts w:ascii="Arial" w:hAnsi="Arial" w:cs="Arial"/>
          <w:sz w:val="22"/>
          <w:szCs w:val="22"/>
          <w:lang w:val="fr-CA"/>
        </w:rPr>
      </w:pPr>
    </w:p>
    <w:p w:rsidR="00680AA7" w:rsidRPr="00B16F85" w:rsidRDefault="00680AA7" w:rsidP="00102874">
      <w:pPr>
        <w:pStyle w:val="Heading2"/>
        <w:rPr>
          <w:u w:val="single"/>
        </w:rPr>
      </w:pPr>
      <w:r w:rsidRPr="00B16F85">
        <w:t>Effectif</w:t>
      </w:r>
    </w:p>
    <w:p w:rsidR="00680AA7" w:rsidRPr="00B16F85" w:rsidRDefault="00680AA7" w:rsidP="00680AA7">
      <w:pPr>
        <w:pStyle w:val="NormalWeb"/>
        <w:spacing w:before="0" w:beforeAutospacing="0" w:after="0" w:afterAutospacing="0"/>
        <w:rPr>
          <w:rFonts w:ascii="Arial" w:hAnsi="Arial" w:cs="Arial"/>
          <w:color w:val="000000"/>
          <w:sz w:val="22"/>
          <w:szCs w:val="22"/>
          <w:lang w:val="fr-CA"/>
        </w:rPr>
      </w:pPr>
    </w:p>
    <w:p w:rsidR="00680AA7" w:rsidRPr="00B16F85" w:rsidRDefault="00680AA7" w:rsidP="00680AA7">
      <w:pPr>
        <w:pStyle w:val="NoSpacing"/>
        <w:rPr>
          <w:rFonts w:ascii="Arial" w:hAnsi="Arial" w:cs="Arial"/>
          <w:color w:val="000000"/>
          <w:sz w:val="22"/>
          <w:szCs w:val="22"/>
          <w:lang w:val="fr-CA"/>
        </w:rPr>
      </w:pPr>
      <w:r w:rsidRPr="00B16F85">
        <w:rPr>
          <w:rFonts w:ascii="Arial" w:hAnsi="Arial" w:cs="Arial"/>
          <w:color w:val="000000"/>
          <w:sz w:val="22"/>
          <w:szCs w:val="22"/>
          <w:lang w:val="fr-CA"/>
        </w:rPr>
        <w:t xml:space="preserve">Le CEE est une micro-organisation qui comptait sept employés au 31 mars 2019. Il compte également des employés en détachement provenant d’autres organisations, mais les données à cet égard ne sont pas disponibles. </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80AA7">
      <w:pPr>
        <w:pStyle w:val="NoSpacing"/>
        <w:rPr>
          <w:rFonts w:ascii="Arial" w:hAnsi="Arial" w:cs="Arial"/>
          <w:color w:val="000000"/>
          <w:sz w:val="22"/>
          <w:szCs w:val="22"/>
          <w:lang w:val="fr-CA"/>
        </w:rPr>
      </w:pPr>
      <w:r w:rsidRPr="00B16F85">
        <w:rPr>
          <w:rFonts w:ascii="Arial" w:hAnsi="Arial" w:cs="Arial"/>
          <w:sz w:val="22"/>
          <w:szCs w:val="22"/>
          <w:lang w:val="fr-CA" w:eastAsia="en-CA"/>
        </w:rPr>
        <w:t>Veuillez consulter l’</w:t>
      </w:r>
      <w:hyperlink w:anchor="AnnexD" w:history="1">
        <w:r w:rsidRPr="00B16F85">
          <w:rPr>
            <w:rStyle w:val="Hyperlink"/>
            <w:rFonts w:ascii="Arial" w:hAnsi="Arial" w:cs="Arial"/>
            <w:sz w:val="22"/>
            <w:szCs w:val="22"/>
            <w:lang w:val="fr-CA" w:eastAsia="en-CA"/>
          </w:rPr>
          <w:t>annexe D</w:t>
        </w:r>
      </w:hyperlink>
      <w:r w:rsidRPr="00B16F85">
        <w:rPr>
          <w:rFonts w:ascii="Arial" w:hAnsi="Arial" w:cs="Arial"/>
          <w:sz w:val="22"/>
          <w:szCs w:val="22"/>
          <w:lang w:val="fr-CA" w:eastAsia="en-CA"/>
        </w:rPr>
        <w:t xml:space="preserve"> pour de plus amples renseignements. </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102874">
      <w:pPr>
        <w:pStyle w:val="Heading2"/>
        <w:rPr>
          <w:u w:val="single"/>
        </w:rPr>
      </w:pPr>
      <w:r w:rsidRPr="00B16F85">
        <w:t>Activités de dotation</w:t>
      </w:r>
    </w:p>
    <w:p w:rsidR="00680AA7" w:rsidRPr="00B16F85" w:rsidRDefault="00680AA7" w:rsidP="00680AA7">
      <w:pPr>
        <w:pStyle w:val="NormalWeb"/>
        <w:spacing w:before="0" w:beforeAutospacing="0" w:after="0" w:afterAutospacing="0"/>
        <w:rPr>
          <w:rFonts w:ascii="Arial" w:hAnsi="Arial" w:cs="Arial"/>
          <w:color w:val="000000"/>
          <w:sz w:val="22"/>
          <w:szCs w:val="22"/>
          <w:lang w:val="fr-CA"/>
        </w:rPr>
      </w:pPr>
    </w:p>
    <w:p w:rsidR="00680AA7" w:rsidRPr="00B16F85" w:rsidRDefault="00680AA7" w:rsidP="00680AA7">
      <w:pPr>
        <w:rPr>
          <w:rFonts w:ascii="Arial" w:hAnsi="Arial" w:cs="Arial"/>
          <w:color w:val="000000"/>
          <w:sz w:val="22"/>
          <w:szCs w:val="22"/>
          <w:lang w:val="fr-CA"/>
        </w:rPr>
      </w:pPr>
      <w:r w:rsidRPr="00B16F85">
        <w:rPr>
          <w:rFonts w:ascii="Arial" w:hAnsi="Arial" w:cs="Arial"/>
          <w:sz w:val="22"/>
          <w:szCs w:val="22"/>
          <w:lang w:val="fr-CA"/>
        </w:rPr>
        <w:t xml:space="preserve">Le CEE a conclu une entente avec Sécurité publique Canada pour être son fournisseur de services de dotation. </w:t>
      </w:r>
      <w:r w:rsidRPr="00B16F85">
        <w:rPr>
          <w:rFonts w:ascii="Arial" w:hAnsi="Arial" w:cs="Arial"/>
          <w:color w:val="000000"/>
          <w:sz w:val="22"/>
          <w:szCs w:val="22"/>
          <w:lang w:val="fr-CA"/>
        </w:rPr>
        <w:t>En 2018-2019, le CEE a procédé à un total de six activités d</w:t>
      </w:r>
      <w:r w:rsidR="0098480E" w:rsidRPr="00B16F85">
        <w:rPr>
          <w:rFonts w:ascii="Arial" w:hAnsi="Arial" w:cs="Arial"/>
          <w:color w:val="000000"/>
          <w:sz w:val="22"/>
          <w:szCs w:val="22"/>
          <w:lang w:val="fr-CA"/>
        </w:rPr>
        <w:t>e dotation :</w:t>
      </w:r>
    </w:p>
    <w:p w:rsidR="00680AA7" w:rsidRPr="00B16F85" w:rsidRDefault="00680AA7" w:rsidP="00680AA7">
      <w:pPr>
        <w:rPr>
          <w:rFonts w:ascii="Arial" w:hAnsi="Arial" w:cs="Arial"/>
          <w:color w:val="000000"/>
          <w:sz w:val="22"/>
          <w:szCs w:val="22"/>
          <w:lang w:val="fr-CA"/>
        </w:rPr>
      </w:pPr>
    </w:p>
    <w:p w:rsidR="00680AA7" w:rsidRPr="00B16F85" w:rsidRDefault="00680AA7" w:rsidP="00680AA7">
      <w:pPr>
        <w:numPr>
          <w:ilvl w:val="0"/>
          <w:numId w:val="21"/>
        </w:numPr>
        <w:rPr>
          <w:rFonts w:ascii="Arial" w:hAnsi="Arial" w:cs="Arial"/>
          <w:color w:val="000000"/>
          <w:sz w:val="22"/>
          <w:szCs w:val="22"/>
          <w:lang w:val="fr-CA"/>
        </w:rPr>
      </w:pPr>
      <w:r w:rsidRPr="00B16F85">
        <w:rPr>
          <w:rFonts w:ascii="Arial" w:hAnsi="Arial" w:cs="Arial"/>
          <w:color w:val="000000"/>
          <w:sz w:val="22"/>
          <w:szCs w:val="22"/>
          <w:lang w:val="fr-CA"/>
        </w:rPr>
        <w:t xml:space="preserve">une nomination à la fonction publique; </w:t>
      </w:r>
    </w:p>
    <w:p w:rsidR="00680AA7" w:rsidRPr="00B16F85" w:rsidRDefault="00680AA7" w:rsidP="00680AA7">
      <w:pPr>
        <w:numPr>
          <w:ilvl w:val="0"/>
          <w:numId w:val="21"/>
        </w:numPr>
        <w:rPr>
          <w:rFonts w:ascii="Arial" w:hAnsi="Arial" w:cs="Arial"/>
          <w:color w:val="000000"/>
          <w:sz w:val="22"/>
          <w:szCs w:val="22"/>
          <w:lang w:val="fr-CA"/>
        </w:rPr>
      </w:pPr>
      <w:r w:rsidRPr="00B16F85">
        <w:rPr>
          <w:rFonts w:ascii="Arial" w:hAnsi="Arial" w:cs="Arial"/>
          <w:color w:val="000000"/>
          <w:sz w:val="22"/>
          <w:szCs w:val="22"/>
          <w:lang w:val="fr-CA"/>
        </w:rPr>
        <w:t xml:space="preserve">quatre promotions; </w:t>
      </w:r>
    </w:p>
    <w:p w:rsidR="00680AA7" w:rsidRPr="00B16F85" w:rsidRDefault="00680AA7" w:rsidP="00680AA7">
      <w:pPr>
        <w:numPr>
          <w:ilvl w:val="0"/>
          <w:numId w:val="21"/>
        </w:numPr>
        <w:rPr>
          <w:rFonts w:ascii="Arial" w:hAnsi="Arial" w:cs="Arial"/>
          <w:color w:val="000000"/>
          <w:sz w:val="22"/>
          <w:szCs w:val="22"/>
          <w:lang w:val="fr-CA"/>
        </w:rPr>
      </w:pPr>
      <w:r w:rsidRPr="00B16F85">
        <w:rPr>
          <w:rFonts w:ascii="Arial" w:hAnsi="Arial" w:cs="Arial"/>
          <w:color w:val="000000"/>
          <w:sz w:val="22"/>
          <w:szCs w:val="22"/>
          <w:lang w:val="fr-CA"/>
        </w:rPr>
        <w:t>une nomination intérimaire.</w:t>
      </w:r>
    </w:p>
    <w:p w:rsidR="00680AA7" w:rsidRPr="00B16F85" w:rsidRDefault="00680AA7" w:rsidP="00680AA7">
      <w:pPr>
        <w:ind w:left="720"/>
        <w:rPr>
          <w:rFonts w:ascii="Arial" w:hAnsi="Arial" w:cs="Arial"/>
          <w:color w:val="000000"/>
          <w:sz w:val="22"/>
          <w:szCs w:val="22"/>
          <w:lang w:val="fr-CA"/>
        </w:rPr>
      </w:pPr>
    </w:p>
    <w:p w:rsidR="00680AA7" w:rsidRPr="00B16F85" w:rsidRDefault="00680AA7" w:rsidP="00680AA7">
      <w:pPr>
        <w:pStyle w:val="NoSpacing"/>
        <w:rPr>
          <w:rFonts w:ascii="Arial" w:hAnsi="Arial" w:cs="Arial"/>
          <w:color w:val="000000"/>
          <w:sz w:val="22"/>
          <w:szCs w:val="22"/>
          <w:lang w:val="fr-CA"/>
        </w:rPr>
      </w:pPr>
      <w:r w:rsidRPr="00B16F85">
        <w:rPr>
          <w:rFonts w:ascii="Arial" w:hAnsi="Arial" w:cs="Arial"/>
          <w:sz w:val="22"/>
          <w:szCs w:val="22"/>
          <w:lang w:val="fr-CA" w:eastAsia="en-CA"/>
        </w:rPr>
        <w:t>Veuillez consulter l’</w:t>
      </w:r>
      <w:hyperlink w:anchor="AnnexD" w:history="1">
        <w:r w:rsidRPr="00B16F85">
          <w:rPr>
            <w:rStyle w:val="Hyperlink"/>
            <w:rFonts w:ascii="Arial" w:hAnsi="Arial" w:cs="Arial"/>
            <w:sz w:val="22"/>
            <w:szCs w:val="22"/>
            <w:lang w:val="fr-CA" w:eastAsia="en-CA"/>
          </w:rPr>
          <w:t>annexe D</w:t>
        </w:r>
      </w:hyperlink>
      <w:r w:rsidRPr="00B16F85">
        <w:rPr>
          <w:rFonts w:ascii="Arial" w:hAnsi="Arial" w:cs="Arial"/>
          <w:sz w:val="22"/>
          <w:szCs w:val="22"/>
          <w:lang w:val="fr-CA" w:eastAsia="en-CA"/>
        </w:rPr>
        <w:t xml:space="preserve"> pour</w:t>
      </w:r>
      <w:r w:rsidR="0098480E" w:rsidRPr="00B16F85">
        <w:rPr>
          <w:rFonts w:ascii="Arial" w:hAnsi="Arial" w:cs="Arial"/>
          <w:sz w:val="22"/>
          <w:szCs w:val="22"/>
          <w:lang w:val="fr-CA" w:eastAsia="en-CA"/>
        </w:rPr>
        <w:t xml:space="preserve"> de plus amples renseignements.</w:t>
      </w:r>
    </w:p>
    <w:p w:rsidR="00680AA7" w:rsidRPr="00B16F85" w:rsidRDefault="00680AA7" w:rsidP="00C20B76">
      <w:pPr>
        <w:pStyle w:val="Heading1"/>
        <w:pBdr>
          <w:bottom w:val="single" w:sz="4" w:space="1" w:color="auto"/>
        </w:pBdr>
        <w:rPr>
          <w:lang w:val="fr-CA"/>
        </w:rPr>
      </w:pPr>
      <w:r w:rsidRPr="00B16F85">
        <w:rPr>
          <w:lang w:val="fr-CA"/>
        </w:rPr>
        <w:t>durée du processus de dotation</w:t>
      </w:r>
    </w:p>
    <w:p w:rsidR="00680AA7" w:rsidRPr="00B16F85" w:rsidRDefault="00680AA7" w:rsidP="00680AA7">
      <w:pPr>
        <w:rPr>
          <w:rFonts w:ascii="Arial" w:hAnsi="Arial" w:cs="Arial"/>
          <w:sz w:val="22"/>
          <w:szCs w:val="22"/>
          <w:lang w:val="fr-CA"/>
        </w:rPr>
      </w:pPr>
    </w:p>
    <w:p w:rsidR="00680AA7" w:rsidRPr="00B16F85" w:rsidRDefault="00680AA7" w:rsidP="00680AA7">
      <w:pPr>
        <w:spacing w:line="259" w:lineRule="auto"/>
        <w:rPr>
          <w:rFonts w:ascii="Arial" w:eastAsia="Calibri" w:hAnsi="Arial" w:cs="Arial"/>
          <w:sz w:val="22"/>
          <w:szCs w:val="22"/>
          <w:lang w:val="fr-CA"/>
        </w:rPr>
      </w:pPr>
      <w:r w:rsidRPr="00B16F85">
        <w:rPr>
          <w:rFonts w:ascii="Arial" w:eastAsia="Calibri" w:hAnsi="Arial" w:cs="Arial"/>
          <w:sz w:val="22"/>
          <w:szCs w:val="22"/>
          <w:lang w:val="fr-CA"/>
        </w:rPr>
        <w:t>Les données sont insuffisantes pour fournir de l’information sur la durée du processus de dotation du CEE.</w:t>
      </w:r>
    </w:p>
    <w:p w:rsidR="00680AA7" w:rsidRPr="00B16F85" w:rsidRDefault="00E82601" w:rsidP="00C20B76">
      <w:pPr>
        <w:pStyle w:val="Heading1"/>
        <w:pBdr>
          <w:bottom w:val="single" w:sz="4" w:space="1" w:color="auto"/>
        </w:pBdr>
        <w:rPr>
          <w:lang w:val="fr-CA"/>
        </w:rPr>
      </w:pPr>
      <w:r w:rsidRPr="00B16F85">
        <w:rPr>
          <w:lang w:val="fr-CA"/>
        </w:rPr>
        <w:t>cadre de dotation</w:t>
      </w:r>
    </w:p>
    <w:p w:rsidR="00680AA7" w:rsidRPr="00B16F85" w:rsidRDefault="00680AA7" w:rsidP="00680AA7">
      <w:pPr>
        <w:rPr>
          <w:rFonts w:ascii="Arial" w:hAnsi="Arial" w:cs="Arial"/>
          <w:b/>
          <w:sz w:val="22"/>
          <w:szCs w:val="22"/>
          <w:lang w:val="fr-CA"/>
        </w:rPr>
      </w:pPr>
    </w:p>
    <w:p w:rsidR="00680AA7" w:rsidRPr="00B16F85" w:rsidRDefault="00680AA7" w:rsidP="00102874">
      <w:pPr>
        <w:pStyle w:val="Heading2"/>
      </w:pPr>
      <w:r w:rsidRPr="00B16F85">
        <w:t>Mise en œuvre de la Nouvelle orientation en dotation</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80AA7">
      <w:pPr>
        <w:pStyle w:val="NormalWeb"/>
        <w:spacing w:before="0" w:beforeAutospacing="0" w:after="0" w:afterAutospacing="0"/>
        <w:rPr>
          <w:rFonts w:ascii="Arial" w:hAnsi="Arial" w:cs="Arial"/>
          <w:i/>
          <w:sz w:val="22"/>
          <w:szCs w:val="22"/>
          <w:lang w:val="fr-CA"/>
        </w:rPr>
      </w:pPr>
      <w:r w:rsidRPr="00B16F85">
        <w:rPr>
          <w:rFonts w:ascii="Arial" w:hAnsi="Arial" w:cs="Arial"/>
          <w:bCs/>
          <w:sz w:val="22"/>
          <w:szCs w:val="22"/>
          <w:lang w:val="fr-CA"/>
        </w:rPr>
        <w:t>Le CEE a travaillé en collaboration avec la conseillère en soutien à la dotation (CSD) pendant l’élaboration de son nouveau cadre de dotation et a rempli toutes les exigences obligatoires pour le 1</w:t>
      </w:r>
      <w:r w:rsidRPr="00B16F85">
        <w:rPr>
          <w:rFonts w:ascii="Arial" w:hAnsi="Arial" w:cs="Arial"/>
          <w:bCs/>
          <w:sz w:val="22"/>
          <w:szCs w:val="22"/>
          <w:vertAlign w:val="superscript"/>
          <w:lang w:val="fr-CA"/>
        </w:rPr>
        <w:t>er</w:t>
      </w:r>
      <w:r w:rsidRPr="00B16F85">
        <w:rPr>
          <w:rFonts w:ascii="Arial" w:hAnsi="Arial" w:cs="Arial"/>
          <w:bCs/>
          <w:sz w:val="22"/>
          <w:szCs w:val="22"/>
          <w:lang w:val="fr-CA"/>
        </w:rPr>
        <w:t> avril 2016.</w:t>
      </w:r>
    </w:p>
    <w:p w:rsidR="00680AA7" w:rsidRPr="00B16F85" w:rsidRDefault="00680AA7" w:rsidP="00C20B76">
      <w:pPr>
        <w:pStyle w:val="Heading1"/>
        <w:pBdr>
          <w:bottom w:val="single" w:sz="4" w:space="1" w:color="auto"/>
        </w:pBdr>
        <w:rPr>
          <w:lang w:val="fr-CA"/>
        </w:rPr>
      </w:pPr>
      <w:r w:rsidRPr="00B16F85">
        <w:rPr>
          <w:lang w:val="fr-CA"/>
        </w:rPr>
        <w:t>rapport prévus par l’annexe d de l’INSTRUMENT DE DÉLÉGATION ET DE RESPONSABILI</w:t>
      </w:r>
      <w:r w:rsidR="00E82601" w:rsidRPr="00B16F85">
        <w:rPr>
          <w:lang w:val="fr-CA"/>
        </w:rPr>
        <w:t>SATion EN MATIÈRE DE NOMINATION</w:t>
      </w:r>
    </w:p>
    <w:p w:rsidR="00680AA7" w:rsidRPr="00B16F85" w:rsidRDefault="00680AA7" w:rsidP="00680AA7">
      <w:pPr>
        <w:pStyle w:val="NormalWeb"/>
        <w:spacing w:before="0" w:beforeAutospacing="0" w:after="0" w:afterAutospacing="0"/>
        <w:rPr>
          <w:rFonts w:ascii="Arial" w:hAnsi="Arial" w:cs="Arial"/>
          <w:sz w:val="22"/>
          <w:szCs w:val="22"/>
          <w:lang w:val="fr-CA"/>
        </w:rPr>
      </w:pPr>
    </w:p>
    <w:p w:rsidR="00680AA7" w:rsidRPr="00B16F85" w:rsidRDefault="00680AA7" w:rsidP="00102874">
      <w:pPr>
        <w:pStyle w:val="Heading2"/>
      </w:pPr>
      <w:r w:rsidRPr="00B16F85">
        <w:t>Recours au Décret d’exemption concernant les langues officielles dans la fonction publique et au Règlement sur les langues officielles – nomina</w:t>
      </w:r>
      <w:r w:rsidR="00E82601" w:rsidRPr="00B16F85">
        <w:t>tions dans la fonction publique</w:t>
      </w:r>
    </w:p>
    <w:p w:rsidR="00DB69E7" w:rsidRPr="00B16F85" w:rsidRDefault="00DB69E7" w:rsidP="001E606D">
      <w:pPr>
        <w:pStyle w:val="NormalWeb"/>
        <w:spacing w:before="0" w:beforeAutospacing="0" w:after="0" w:afterAutospacing="0"/>
        <w:rPr>
          <w:rFonts w:ascii="Arial" w:hAnsi="Arial" w:cs="Arial"/>
          <w:color w:val="000000"/>
          <w:sz w:val="22"/>
          <w:szCs w:val="22"/>
          <w:lang w:val="fr-CA"/>
        </w:rPr>
      </w:pPr>
    </w:p>
    <w:p w:rsidR="00680AA7" w:rsidRPr="00B16F85" w:rsidRDefault="00680AA7" w:rsidP="00680AA7">
      <w:pPr>
        <w:pStyle w:val="NoSpacing"/>
        <w:rPr>
          <w:rFonts w:ascii="Arial" w:hAnsi="Arial" w:cs="Arial"/>
          <w:color w:val="222222"/>
          <w:sz w:val="22"/>
          <w:szCs w:val="22"/>
          <w:lang w:val="fr-CA"/>
        </w:rPr>
      </w:pPr>
      <w:r w:rsidRPr="00B16F85">
        <w:rPr>
          <w:rFonts w:ascii="Arial" w:hAnsi="Arial" w:cs="Arial"/>
          <w:color w:val="000000"/>
          <w:sz w:val="22"/>
          <w:szCs w:val="22"/>
          <w:lang w:val="fr-CA"/>
        </w:rPr>
        <w:t xml:space="preserve">Le CEE n’a pas de cas en suspens aux termes du </w:t>
      </w:r>
      <w:r w:rsidRPr="00B16F85">
        <w:rPr>
          <w:rFonts w:ascii="Arial" w:hAnsi="Arial" w:cs="Arial"/>
          <w:i/>
          <w:color w:val="222222"/>
          <w:sz w:val="22"/>
          <w:szCs w:val="22"/>
          <w:lang w:val="fr-CA"/>
        </w:rPr>
        <w:t xml:space="preserve">Décret d’exemption concernant les langues officielles dans la fonction publique </w:t>
      </w:r>
      <w:r w:rsidRPr="00B16F85">
        <w:rPr>
          <w:rFonts w:ascii="Arial" w:hAnsi="Arial" w:cs="Arial"/>
          <w:color w:val="222222"/>
          <w:sz w:val="22"/>
          <w:szCs w:val="22"/>
          <w:lang w:val="fr-CA"/>
        </w:rPr>
        <w:t xml:space="preserve">ou du </w:t>
      </w:r>
      <w:r w:rsidRPr="00B16F85">
        <w:rPr>
          <w:rFonts w:ascii="Arial" w:hAnsi="Arial" w:cs="Arial"/>
          <w:i/>
          <w:color w:val="222222"/>
          <w:sz w:val="22"/>
          <w:szCs w:val="22"/>
          <w:lang w:val="fr-CA"/>
        </w:rPr>
        <w:t xml:space="preserve">Règlement sur les langues officielles </w:t>
      </w:r>
      <w:r w:rsidRPr="00B16F85">
        <w:rPr>
          <w:rFonts w:ascii="Arial" w:hAnsi="Arial" w:cs="Arial"/>
          <w:color w:val="222222"/>
          <w:sz w:val="22"/>
          <w:szCs w:val="22"/>
          <w:lang w:val="fr-CA"/>
        </w:rPr>
        <w:t>–</w:t>
      </w:r>
      <w:r w:rsidRPr="00B16F85">
        <w:rPr>
          <w:rFonts w:ascii="Arial" w:hAnsi="Arial" w:cs="Arial"/>
          <w:i/>
          <w:color w:val="222222"/>
          <w:sz w:val="22"/>
          <w:szCs w:val="22"/>
          <w:lang w:val="fr-CA"/>
        </w:rPr>
        <w:t xml:space="preserve"> nominations dans la fonction publique. </w:t>
      </w:r>
      <w:r w:rsidRPr="00B16F85">
        <w:rPr>
          <w:rFonts w:ascii="Arial" w:hAnsi="Arial" w:cs="Arial"/>
          <w:color w:val="222222"/>
          <w:sz w:val="22"/>
          <w:szCs w:val="22"/>
          <w:lang w:val="fr-CA"/>
        </w:rPr>
        <w:t>Par conséquent, aucune mesure n’est nécessaire pour cette organisation.</w:t>
      </w:r>
    </w:p>
    <w:p w:rsidR="00D330DA" w:rsidRPr="00B16F85" w:rsidRDefault="00D330DA" w:rsidP="001E606D">
      <w:pPr>
        <w:pStyle w:val="NoSpacing"/>
        <w:rPr>
          <w:rFonts w:ascii="Arial" w:hAnsi="Arial" w:cs="Arial"/>
          <w:color w:val="000000"/>
          <w:sz w:val="22"/>
          <w:szCs w:val="22"/>
          <w:lang w:val="fr-CA"/>
        </w:rPr>
      </w:pPr>
    </w:p>
    <w:p w:rsidR="00680AA7" w:rsidRPr="00B16F85" w:rsidRDefault="00680AA7" w:rsidP="00102874">
      <w:pPr>
        <w:pStyle w:val="Heading2"/>
      </w:pPr>
      <w:r w:rsidRPr="00B16F85">
        <w:lastRenderedPageBreak/>
        <w:t>Exceptions approuvées par l’Administrateur général aux exigences de la Zone nationale de sélection pour un processus de nomination externe annoncé</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80AA7">
      <w:pPr>
        <w:pStyle w:val="NoSpacing"/>
        <w:rPr>
          <w:rFonts w:ascii="Arial" w:hAnsi="Arial" w:cs="Arial"/>
          <w:color w:val="000000"/>
          <w:sz w:val="22"/>
          <w:szCs w:val="22"/>
          <w:lang w:val="fr-CA"/>
        </w:rPr>
      </w:pPr>
      <w:r w:rsidRPr="00B16F85">
        <w:rPr>
          <w:rFonts w:ascii="Arial" w:hAnsi="Arial" w:cs="Arial"/>
          <w:color w:val="000000"/>
          <w:sz w:val="22"/>
          <w:szCs w:val="22"/>
          <w:lang w:val="fr-CA"/>
        </w:rPr>
        <w:t>L’administrateur général du CEE n’a approuvé aucune exception à la zone nationale de sélection.</w:t>
      </w:r>
    </w:p>
    <w:p w:rsidR="00680AA7" w:rsidRPr="00B16F85" w:rsidRDefault="00680AA7" w:rsidP="00680AA7">
      <w:pPr>
        <w:pStyle w:val="NoSpacing"/>
        <w:rPr>
          <w:rFonts w:ascii="Arial" w:hAnsi="Arial" w:cs="Arial"/>
          <w:i/>
          <w:color w:val="000000"/>
          <w:sz w:val="22"/>
          <w:szCs w:val="22"/>
          <w:lang w:val="fr-CA"/>
        </w:rPr>
      </w:pPr>
    </w:p>
    <w:p w:rsidR="00680AA7" w:rsidRPr="00B16F85" w:rsidRDefault="00680AA7" w:rsidP="006D2268">
      <w:pPr>
        <w:pStyle w:val="Heading2"/>
      </w:pPr>
      <w:r w:rsidRPr="00B16F85">
        <w:t>Résultats de l’évaluation cyclique organisationnelle</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80AA7">
      <w:pPr>
        <w:rPr>
          <w:rFonts w:ascii="Arial" w:hAnsi="Arial" w:cs="Arial"/>
          <w:sz w:val="22"/>
          <w:szCs w:val="22"/>
          <w:lang w:val="fr-CA"/>
        </w:rPr>
      </w:pPr>
      <w:r w:rsidRPr="00B16F85">
        <w:rPr>
          <w:rFonts w:ascii="Arial" w:hAnsi="Arial" w:cs="Arial"/>
          <w:sz w:val="22"/>
          <w:szCs w:val="22"/>
          <w:lang w:val="fr-CA"/>
        </w:rPr>
        <w:t>À titre de micro-organisation, le CEE peut consulter la CFP pour prendre des dispositions en vue de la réalisation d’une évaluation cyclique en son nom, aux termes de la section 3 de l’Instrument de délégation et de responsabilisation en matière de nomination (IDRN). Ses membres n’ont pas manifesté d’intérêt pour le projet pilote mentionné dans la Lettre aux chefs des ressources humaines du 24 mai, mais ils ont indiqué qu’ils fourniraient leur première évaluation cyclique avant la fin de l’exercice financier 2021-2022.</w:t>
      </w:r>
    </w:p>
    <w:p w:rsidR="00CC1738" w:rsidRPr="00B16F85" w:rsidRDefault="00CC1738" w:rsidP="001E606D">
      <w:pPr>
        <w:pStyle w:val="NoSpacing"/>
        <w:rPr>
          <w:rFonts w:ascii="Arial" w:hAnsi="Arial" w:cs="Arial"/>
          <w:color w:val="000000"/>
          <w:sz w:val="22"/>
          <w:szCs w:val="22"/>
          <w:lang w:val="fr-CA"/>
        </w:rPr>
      </w:pPr>
    </w:p>
    <w:p w:rsidR="00680AA7" w:rsidRPr="00B16F85" w:rsidRDefault="00680AA7" w:rsidP="006D2268">
      <w:pPr>
        <w:pStyle w:val="Heading2"/>
      </w:pPr>
      <w:r w:rsidRPr="00B16F85">
        <w:t>Demandes de renseignements et tendances</w:t>
      </w:r>
    </w:p>
    <w:p w:rsidR="00680AA7" w:rsidRPr="00B16F85" w:rsidRDefault="00680AA7" w:rsidP="00680AA7">
      <w:pPr>
        <w:pStyle w:val="NoSpacing"/>
        <w:rPr>
          <w:rFonts w:ascii="Arial" w:hAnsi="Arial" w:cs="Arial"/>
          <w:color w:val="222222"/>
          <w:sz w:val="22"/>
          <w:szCs w:val="22"/>
          <w:lang w:val="fr-CA"/>
        </w:rPr>
      </w:pPr>
    </w:p>
    <w:p w:rsidR="00680AA7" w:rsidRPr="00B16F85" w:rsidRDefault="00680AA7" w:rsidP="00680AA7">
      <w:pPr>
        <w:pStyle w:val="NoSpacing"/>
        <w:rPr>
          <w:rFonts w:ascii="Arial" w:hAnsi="Arial" w:cs="Arial"/>
          <w:color w:val="000000"/>
          <w:sz w:val="22"/>
          <w:szCs w:val="22"/>
          <w:lang w:val="fr-CA"/>
        </w:rPr>
      </w:pPr>
      <w:r w:rsidRPr="00B16F85">
        <w:rPr>
          <w:rFonts w:ascii="Arial" w:hAnsi="Arial" w:cs="Arial"/>
          <w:color w:val="000000"/>
          <w:sz w:val="22"/>
          <w:szCs w:val="22"/>
          <w:lang w:val="fr-CA"/>
        </w:rPr>
        <w:t>Au cours de la dernière année, le CEE a présenté dix demandes de renseignements à sa CSD. Quatre portaient sur les lignes directrices en matière de nomination, deux sur l’IDRN et les autres sur divers sujets.</w:t>
      </w:r>
    </w:p>
    <w:p w:rsidR="00680AA7" w:rsidRPr="00B16F85" w:rsidRDefault="00680AA7" w:rsidP="00072EFA">
      <w:pPr>
        <w:pStyle w:val="Heading1"/>
        <w:pBdr>
          <w:bottom w:val="single" w:sz="4" w:space="1" w:color="auto"/>
        </w:pBdr>
        <w:rPr>
          <w:lang w:val="fr-CA"/>
        </w:rPr>
      </w:pPr>
      <w:r w:rsidRPr="00B16F85">
        <w:rPr>
          <w:lang w:val="fr-CA"/>
        </w:rPr>
        <w:t>surveillance</w:t>
      </w:r>
    </w:p>
    <w:p w:rsidR="00680AA7" w:rsidRPr="00B16F85" w:rsidRDefault="00680AA7" w:rsidP="00680AA7">
      <w:pPr>
        <w:rPr>
          <w:rFonts w:ascii="Arial" w:hAnsi="Arial" w:cs="Arial"/>
          <w:color w:val="222222"/>
          <w:sz w:val="22"/>
          <w:szCs w:val="22"/>
          <w:lang w:val="fr-CA"/>
        </w:rPr>
      </w:pPr>
    </w:p>
    <w:p w:rsidR="00680AA7" w:rsidRPr="00B16F85" w:rsidRDefault="00680AA7" w:rsidP="006D2268">
      <w:pPr>
        <w:pStyle w:val="Heading2"/>
        <w:rPr>
          <w:u w:val="single"/>
        </w:rPr>
      </w:pPr>
      <w:r w:rsidRPr="00B16F85">
        <w:t>Vérifications</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80AA7">
      <w:pPr>
        <w:pStyle w:val="NoSpacing"/>
        <w:rPr>
          <w:rFonts w:ascii="Arial" w:hAnsi="Arial" w:cs="Arial"/>
          <w:color w:val="000000"/>
          <w:sz w:val="22"/>
          <w:szCs w:val="22"/>
          <w:lang w:val="fr-CA"/>
        </w:rPr>
      </w:pPr>
      <w:r w:rsidRPr="00B16F85">
        <w:rPr>
          <w:rFonts w:ascii="Arial" w:hAnsi="Arial" w:cs="Arial"/>
          <w:color w:val="000000"/>
          <w:sz w:val="22"/>
          <w:szCs w:val="22"/>
          <w:lang w:val="fr-CA"/>
        </w:rPr>
        <w:t>La CFP a indiqué que le CEE devait faire l’objet d’une vérification organisationnelle dans son plan de vérification de 2015-2016. Toutefois, en raison de la transition vers le nouveau cadre des lignes directrices en matière de nomination, la CFP a choisi de procéder à une évaluation de la dotation du CEE plutôt qu’à une vérification organisationnelle. L’objectif était d’appuyer l’organisation dans la mise en œuvre de la NOD. La CFP a terminé l’évaluation de dotation du CEE en 2016, qui a révélé que l’organisation était en voie de satisfaire aux exigences de la NOD.</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80AA7">
      <w:pPr>
        <w:pStyle w:val="NoSpacing"/>
        <w:rPr>
          <w:rFonts w:ascii="Arial" w:hAnsi="Arial" w:cs="Arial"/>
          <w:i/>
          <w:color w:val="000000"/>
          <w:sz w:val="22"/>
          <w:szCs w:val="22"/>
          <w:lang w:val="fr-CA"/>
        </w:rPr>
      </w:pPr>
      <w:r w:rsidRPr="00B16F85">
        <w:rPr>
          <w:rFonts w:ascii="Arial" w:hAnsi="Arial" w:cs="Arial"/>
          <w:color w:val="000000"/>
          <w:sz w:val="22"/>
          <w:szCs w:val="22"/>
          <w:lang w:val="fr-CA"/>
        </w:rPr>
        <w:t xml:space="preserve">Le CEE n’a pas fait partie des vérifications horizontales récemment terminées ou en cours, comme le projet pilote de vérification de la dotation à l’échelle du système ou la vérification horizontale de la validation des titres de compétences. </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D2268">
      <w:pPr>
        <w:pStyle w:val="Heading2"/>
        <w:rPr>
          <w:u w:val="single"/>
        </w:rPr>
      </w:pPr>
      <w:r w:rsidRPr="00B16F85">
        <w:t>Enquêtes</w:t>
      </w:r>
    </w:p>
    <w:p w:rsidR="00680AA7" w:rsidRPr="00B16F85" w:rsidRDefault="00680AA7" w:rsidP="00680AA7">
      <w:pPr>
        <w:pStyle w:val="NoSpacing"/>
        <w:rPr>
          <w:rFonts w:ascii="Arial" w:hAnsi="Arial" w:cs="Arial"/>
          <w:color w:val="000000"/>
          <w:sz w:val="22"/>
          <w:szCs w:val="22"/>
          <w:lang w:val="fr-CA"/>
        </w:rPr>
      </w:pPr>
    </w:p>
    <w:p w:rsidR="00680AA7" w:rsidRPr="00B16F85" w:rsidRDefault="00680AA7" w:rsidP="00680AA7">
      <w:pPr>
        <w:pStyle w:val="NoSpacing"/>
        <w:rPr>
          <w:rFonts w:ascii="Arial" w:hAnsi="Arial" w:cs="Arial"/>
          <w:color w:val="000000"/>
          <w:sz w:val="22"/>
          <w:szCs w:val="22"/>
          <w:lang w:val="fr-CA"/>
        </w:rPr>
      </w:pPr>
      <w:r w:rsidRPr="00B16F85">
        <w:rPr>
          <w:rFonts w:ascii="Arial" w:hAnsi="Arial" w:cs="Arial"/>
          <w:color w:val="000000"/>
          <w:sz w:val="22"/>
          <w:szCs w:val="22"/>
          <w:lang w:val="fr-CA"/>
        </w:rPr>
        <w:t xml:space="preserve">Le CEE n’a aucun dossier d’enquête en </w:t>
      </w:r>
      <w:r w:rsidR="00A4007C" w:rsidRPr="00B16F85">
        <w:rPr>
          <w:rFonts w:ascii="Arial" w:hAnsi="Arial" w:cs="Arial"/>
          <w:color w:val="000000"/>
          <w:sz w:val="22"/>
          <w:szCs w:val="22"/>
          <w:lang w:val="fr-CA"/>
        </w:rPr>
        <w:t>cours</w:t>
      </w:r>
      <w:r w:rsidRPr="00B16F85">
        <w:rPr>
          <w:rFonts w:ascii="Arial" w:hAnsi="Arial" w:cs="Arial"/>
          <w:color w:val="000000"/>
          <w:sz w:val="22"/>
          <w:szCs w:val="22"/>
          <w:lang w:val="fr-CA"/>
        </w:rPr>
        <w:t>.</w:t>
      </w:r>
    </w:p>
    <w:p w:rsidR="00680AA7" w:rsidRPr="00B16F85" w:rsidRDefault="00680AA7" w:rsidP="00680AA7">
      <w:pPr>
        <w:pStyle w:val="NoSpacing"/>
        <w:rPr>
          <w:rFonts w:ascii="Arial" w:hAnsi="Arial" w:cs="Arial"/>
          <w:color w:val="000000"/>
          <w:sz w:val="22"/>
          <w:szCs w:val="22"/>
          <w:lang w:val="fr-CA"/>
        </w:rPr>
      </w:pPr>
    </w:p>
    <w:p w:rsidR="00554299" w:rsidRPr="00B16F85" w:rsidRDefault="00554299" w:rsidP="006D2268">
      <w:pPr>
        <w:pStyle w:val="Heading2"/>
        <w:rPr>
          <w:u w:val="single"/>
        </w:rPr>
      </w:pPr>
      <w:r w:rsidRPr="00B16F85">
        <w:t>Résultats du sondage sur la dotation et l’impartialité politique</w:t>
      </w:r>
    </w:p>
    <w:p w:rsidR="00554299" w:rsidRPr="00B16F85" w:rsidRDefault="00554299" w:rsidP="00554299">
      <w:pPr>
        <w:pStyle w:val="Style1"/>
        <w:pBdr>
          <w:bottom w:val="none" w:sz="0" w:space="0" w:color="auto"/>
        </w:pBdr>
        <w:rPr>
          <w:b w:val="0"/>
          <w:caps w:val="0"/>
          <w:color w:val="000000"/>
          <w:lang w:val="fr-CA"/>
        </w:rPr>
      </w:pPr>
    </w:p>
    <w:p w:rsidR="00554299" w:rsidRPr="00B16F85" w:rsidRDefault="00554299" w:rsidP="006D2268">
      <w:pPr>
        <w:pStyle w:val="Style1"/>
        <w:pBdr>
          <w:bottom w:val="single" w:sz="4" w:space="1" w:color="auto"/>
        </w:pBdr>
        <w:rPr>
          <w:b w:val="0"/>
          <w:i/>
          <w:caps w:val="0"/>
          <w:color w:val="000000"/>
          <w:lang w:val="fr-CA"/>
        </w:rPr>
      </w:pPr>
      <w:r w:rsidRPr="00B16F85">
        <w:rPr>
          <w:b w:val="0"/>
          <w:caps w:val="0"/>
          <w:color w:val="000000"/>
          <w:lang w:val="fr-CA"/>
        </w:rPr>
        <w:t>En raison de sa très petite taille, le CEE n’est pas tenu de remplir le sondage sur la dotation et l’impartialité.</w:t>
      </w:r>
    </w:p>
    <w:p w:rsidR="00554299" w:rsidRPr="00B16F85" w:rsidRDefault="00554299" w:rsidP="006D2268">
      <w:pPr>
        <w:pStyle w:val="Style1"/>
        <w:pBdr>
          <w:bottom w:val="single" w:sz="4" w:space="1" w:color="auto"/>
        </w:pBdr>
        <w:rPr>
          <w:b w:val="0"/>
          <w:i/>
          <w:caps w:val="0"/>
          <w:color w:val="000000"/>
          <w:lang w:val="fr-CA"/>
        </w:rPr>
      </w:pPr>
    </w:p>
    <w:p w:rsidR="00554299" w:rsidRPr="00B16F85" w:rsidRDefault="00554299" w:rsidP="006D2268">
      <w:pPr>
        <w:pStyle w:val="Style1"/>
        <w:pBdr>
          <w:bottom w:val="single" w:sz="4" w:space="1" w:color="auto"/>
        </w:pBdr>
        <w:rPr>
          <w:b w:val="0"/>
          <w:color w:val="000000" w:themeColor="text1"/>
          <w:lang w:val="fr-CA"/>
        </w:rPr>
      </w:pPr>
      <w:r w:rsidRPr="00B16F85">
        <w:rPr>
          <w:rStyle w:val="Heading1Char"/>
          <w:b/>
          <w:lang w:val="fr-CA"/>
        </w:rPr>
        <w:t xml:space="preserve">PROFIL DE DIVERSITÉ </w:t>
      </w:r>
    </w:p>
    <w:p w:rsidR="00554299" w:rsidRPr="00B16F85" w:rsidRDefault="00554299" w:rsidP="00554299">
      <w:pPr>
        <w:rPr>
          <w:rFonts w:ascii="Arial" w:hAnsi="Arial" w:cs="Arial"/>
          <w:b/>
          <w:sz w:val="22"/>
          <w:szCs w:val="22"/>
          <w:lang w:val="fr-CA"/>
        </w:rPr>
      </w:pPr>
    </w:p>
    <w:p w:rsidR="00554299" w:rsidRPr="00B16F85" w:rsidRDefault="00554299" w:rsidP="00554299">
      <w:pPr>
        <w:pStyle w:val="NoSpacing"/>
        <w:rPr>
          <w:rFonts w:ascii="Arial" w:hAnsi="Arial" w:cs="Arial"/>
          <w:color w:val="000000"/>
          <w:sz w:val="22"/>
          <w:szCs w:val="22"/>
          <w:lang w:val="fr-CA"/>
        </w:rPr>
      </w:pPr>
      <w:r w:rsidRPr="00B16F85">
        <w:rPr>
          <w:rFonts w:ascii="Arial" w:hAnsi="Arial" w:cs="Arial"/>
          <w:color w:val="000000"/>
          <w:sz w:val="22"/>
          <w:szCs w:val="22"/>
          <w:lang w:val="fr-CA"/>
        </w:rPr>
        <w:lastRenderedPageBreak/>
        <w:t>Étant donné le petit nombre d’employés au sein du CEE, les données sont insuffisantes pour effectuer une analyse.</w:t>
      </w:r>
    </w:p>
    <w:p w:rsidR="00554299" w:rsidRPr="00B16F85" w:rsidRDefault="00554299" w:rsidP="006D2268">
      <w:pPr>
        <w:pStyle w:val="Heading1"/>
        <w:pBdr>
          <w:bottom w:val="single" w:sz="4" w:space="1" w:color="auto"/>
        </w:pBdr>
        <w:rPr>
          <w:lang w:val="fr-CA"/>
        </w:rPr>
      </w:pPr>
      <w:r w:rsidRPr="00B16F85">
        <w:rPr>
          <w:lang w:val="fr-CA"/>
        </w:rPr>
        <w:t>droits de priorité et vétérans</w:t>
      </w:r>
    </w:p>
    <w:p w:rsidR="00554299" w:rsidRPr="00B16F85" w:rsidRDefault="00554299" w:rsidP="00554299">
      <w:pPr>
        <w:pStyle w:val="NoSpacing"/>
        <w:rPr>
          <w:rFonts w:ascii="Arial" w:hAnsi="Arial" w:cs="Arial"/>
          <w:color w:val="000000"/>
          <w:sz w:val="22"/>
          <w:szCs w:val="22"/>
          <w:lang w:val="fr-CA"/>
        </w:rPr>
      </w:pPr>
    </w:p>
    <w:p w:rsidR="00554299" w:rsidRPr="00B16F85" w:rsidRDefault="00554299" w:rsidP="00554299">
      <w:pPr>
        <w:pStyle w:val="NoSpacing"/>
        <w:rPr>
          <w:rFonts w:ascii="Arial" w:hAnsi="Arial" w:cs="Arial"/>
          <w:color w:val="000000"/>
          <w:sz w:val="22"/>
          <w:szCs w:val="22"/>
          <w:lang w:val="fr-CA"/>
        </w:rPr>
      </w:pPr>
      <w:r w:rsidRPr="00B16F85">
        <w:rPr>
          <w:rFonts w:ascii="Arial" w:hAnsi="Arial" w:cs="Arial"/>
          <w:color w:val="000000"/>
          <w:sz w:val="22"/>
          <w:szCs w:val="22"/>
          <w:lang w:val="fr-CA"/>
        </w:rPr>
        <w:t>Le CEE n’a aucune personne ayant un droit de priorité et aucune information sur l’embauche de vétérans à déclarer.</w:t>
      </w:r>
    </w:p>
    <w:p w:rsidR="00554299" w:rsidRPr="00B16F85" w:rsidRDefault="00554299" w:rsidP="006D2268">
      <w:pPr>
        <w:pStyle w:val="Heading1"/>
        <w:pBdr>
          <w:bottom w:val="single" w:sz="4" w:space="1" w:color="auto"/>
        </w:pBdr>
        <w:rPr>
          <w:lang w:val="fr-CA"/>
        </w:rPr>
      </w:pPr>
      <w:r w:rsidRPr="00B16F85">
        <w:rPr>
          <w:lang w:val="fr-CA"/>
        </w:rPr>
        <w:t xml:space="preserve">impartialité dans la fonction publique </w:t>
      </w:r>
    </w:p>
    <w:p w:rsidR="00554299" w:rsidRPr="00B16F85" w:rsidRDefault="00554299" w:rsidP="00554299">
      <w:pPr>
        <w:pStyle w:val="NoSpacing"/>
        <w:rPr>
          <w:rFonts w:ascii="Arial" w:hAnsi="Arial" w:cs="Arial"/>
          <w:color w:val="000000"/>
          <w:sz w:val="22"/>
          <w:szCs w:val="22"/>
          <w:lang w:val="fr-CA"/>
        </w:rPr>
      </w:pPr>
    </w:p>
    <w:p w:rsidR="00554299" w:rsidRPr="00B16F85" w:rsidRDefault="00554299" w:rsidP="00554299">
      <w:pPr>
        <w:pStyle w:val="NoSpacing"/>
        <w:rPr>
          <w:rFonts w:ascii="Arial" w:hAnsi="Arial" w:cs="Arial"/>
          <w:sz w:val="22"/>
          <w:szCs w:val="22"/>
          <w:lang w:val="fr-CA"/>
        </w:rPr>
      </w:pPr>
      <w:r w:rsidRPr="00B16F85">
        <w:rPr>
          <w:rFonts w:ascii="Arial" w:hAnsi="Arial" w:cs="Arial"/>
          <w:sz w:val="22"/>
          <w:szCs w:val="22"/>
          <w:lang w:val="fr-CA"/>
        </w:rPr>
        <w:t>Il n’y a aucun enjeu ou aucune préoccupation en ce qui a trait aux activités politiques et à l’impartialité politique du CEE. Depuis 2013, la CFP n’a reçu aucune demande de candidature des employés du CEE.</w:t>
      </w:r>
    </w:p>
    <w:p w:rsidR="00554299" w:rsidRPr="00B16F85" w:rsidRDefault="00554299" w:rsidP="00554299">
      <w:pPr>
        <w:pStyle w:val="NoSpacing"/>
        <w:rPr>
          <w:rFonts w:ascii="Arial" w:hAnsi="Arial" w:cs="Arial"/>
          <w:sz w:val="22"/>
          <w:szCs w:val="22"/>
          <w:lang w:val="fr-CA"/>
        </w:rPr>
      </w:pPr>
    </w:p>
    <w:p w:rsidR="00554299" w:rsidRPr="00B16F85" w:rsidRDefault="00554299" w:rsidP="00554299">
      <w:pPr>
        <w:pStyle w:val="NoSpacing"/>
        <w:rPr>
          <w:rFonts w:ascii="Arial" w:hAnsi="Arial" w:cs="Arial"/>
          <w:sz w:val="22"/>
          <w:szCs w:val="22"/>
          <w:lang w:val="fr-CA"/>
        </w:rPr>
      </w:pPr>
      <w:r w:rsidRPr="00B16F85">
        <w:rPr>
          <w:rFonts w:ascii="Arial" w:hAnsi="Arial" w:cs="Arial"/>
          <w:sz w:val="22"/>
          <w:szCs w:val="22"/>
          <w:lang w:val="fr-CA"/>
        </w:rPr>
        <w:t>Le 31 janvier 2019, la CFP a tenu une séance de sensibilisation sur les droits et les responsabilités des employés en matière d’activités politiques à l’intention des employés du CEE.</w:t>
      </w:r>
    </w:p>
    <w:p w:rsidR="00554299" w:rsidRPr="00B16F85" w:rsidRDefault="00554299" w:rsidP="006D2268">
      <w:pPr>
        <w:pStyle w:val="Heading1"/>
        <w:pBdr>
          <w:bottom w:val="single" w:sz="4" w:space="1" w:color="auto"/>
        </w:pBdr>
        <w:rPr>
          <w:lang w:val="fr-CA"/>
        </w:rPr>
      </w:pPr>
      <w:r w:rsidRPr="00B16F85">
        <w:rPr>
          <w:lang w:val="fr-CA"/>
        </w:rPr>
        <w:t>initiatives de la commission de la fonction publique</w:t>
      </w:r>
    </w:p>
    <w:p w:rsidR="00554299" w:rsidRPr="00B16F85" w:rsidRDefault="00554299" w:rsidP="00554299">
      <w:pPr>
        <w:pStyle w:val="NoSpacing"/>
        <w:rPr>
          <w:rFonts w:ascii="Arial" w:hAnsi="Arial" w:cs="Arial"/>
          <w:color w:val="000000"/>
          <w:sz w:val="22"/>
          <w:szCs w:val="22"/>
          <w:lang w:val="fr-CA"/>
        </w:rPr>
      </w:pPr>
    </w:p>
    <w:p w:rsidR="00554299" w:rsidRPr="00B16F85" w:rsidRDefault="00554299" w:rsidP="00554299">
      <w:pPr>
        <w:pStyle w:val="NoSpacing"/>
        <w:rPr>
          <w:rFonts w:ascii="Arial" w:hAnsi="Arial" w:cs="Arial"/>
          <w:i/>
          <w:sz w:val="22"/>
          <w:szCs w:val="22"/>
          <w:lang w:val="fr-CA"/>
        </w:rPr>
      </w:pPr>
      <w:r w:rsidRPr="00B16F85">
        <w:rPr>
          <w:rFonts w:ascii="Arial" w:hAnsi="Arial" w:cs="Arial"/>
          <w:color w:val="000000"/>
          <w:sz w:val="22"/>
          <w:szCs w:val="22"/>
          <w:lang w:val="fr-CA"/>
        </w:rPr>
        <w:t>Le CEE n’a participé à aucune initiative dirigée par la CFP.</w:t>
      </w:r>
    </w:p>
    <w:p w:rsidR="00554299" w:rsidRPr="00B16F85" w:rsidRDefault="00554299" w:rsidP="006D2268">
      <w:pPr>
        <w:pStyle w:val="Heading1"/>
        <w:pBdr>
          <w:bottom w:val="single" w:sz="4" w:space="1" w:color="auto"/>
        </w:pBdr>
        <w:rPr>
          <w:lang w:val="fr-CA"/>
        </w:rPr>
      </w:pPr>
      <w:r w:rsidRPr="00B16F85">
        <w:rPr>
          <w:lang w:val="fr-CA"/>
        </w:rPr>
        <w:t>soutien en dotation</w:t>
      </w:r>
    </w:p>
    <w:p w:rsidR="00554299" w:rsidRPr="00B16F85" w:rsidRDefault="00554299" w:rsidP="00554299">
      <w:pPr>
        <w:pStyle w:val="ListParagraph"/>
        <w:spacing w:after="0" w:line="240" w:lineRule="auto"/>
        <w:ind w:left="0"/>
        <w:rPr>
          <w:rFonts w:ascii="Arial" w:hAnsi="Arial" w:cs="Arial"/>
        </w:rPr>
      </w:pPr>
    </w:p>
    <w:p w:rsidR="00554299" w:rsidRPr="00B16F85" w:rsidRDefault="00554299" w:rsidP="006D2268">
      <w:pPr>
        <w:pStyle w:val="Heading2"/>
        <w:rPr>
          <w:u w:val="single"/>
        </w:rPr>
      </w:pPr>
      <w:r w:rsidRPr="00B16F85">
        <w:t xml:space="preserve">Représentants de la Commission de la fonction publique et personnes-ressources au sein de l’organisation </w:t>
      </w:r>
    </w:p>
    <w:p w:rsidR="00554299" w:rsidRPr="00B16F85" w:rsidRDefault="00554299" w:rsidP="00554299">
      <w:pPr>
        <w:pStyle w:val="NoSpacing"/>
        <w:rPr>
          <w:rFonts w:ascii="Arial" w:hAnsi="Arial" w:cs="Arial"/>
          <w:color w:val="000000"/>
          <w:sz w:val="22"/>
          <w:szCs w:val="22"/>
          <w:lang w:val="fr-CA"/>
        </w:rPr>
      </w:pPr>
    </w:p>
    <w:p w:rsidR="00554299" w:rsidRPr="00B16F85" w:rsidRDefault="00554299" w:rsidP="0096128B">
      <w:pPr>
        <w:rPr>
          <w:rFonts w:ascii="Arial" w:hAnsi="Arial" w:cs="Arial"/>
          <w:b/>
          <w:sz w:val="22"/>
          <w:szCs w:val="22"/>
          <w:lang w:val="fr-CA"/>
        </w:rPr>
      </w:pPr>
      <w:r w:rsidRPr="00B16F85">
        <w:rPr>
          <w:rFonts w:ascii="Arial" w:hAnsi="Arial" w:cs="Arial"/>
          <w:sz w:val="22"/>
          <w:szCs w:val="22"/>
          <w:lang w:val="fr-CA" w:eastAsia="en-CA"/>
        </w:rPr>
        <w:t xml:space="preserve">La CSD assignée à cette organisation est Véronique Geoffroy. La principale personne-ressource au sein de l’organisation est </w:t>
      </w:r>
      <w:r w:rsidRPr="00B16F85">
        <w:rPr>
          <w:rFonts w:ascii="Arial" w:hAnsi="Arial" w:cs="Arial"/>
          <w:sz w:val="22"/>
          <w:szCs w:val="22"/>
          <w:lang w:val="fr-CA"/>
        </w:rPr>
        <w:t xml:space="preserve">Julie Brunet, directrice, </w:t>
      </w:r>
      <w:r w:rsidR="0096128B" w:rsidRPr="00B16F85">
        <w:rPr>
          <w:rFonts w:ascii="Arial" w:hAnsi="Arial" w:cs="Arial"/>
          <w:sz w:val="22"/>
          <w:szCs w:val="22"/>
          <w:lang w:val="fr-CA"/>
        </w:rPr>
        <w:t>Services généraux et greffière.</w:t>
      </w:r>
    </w:p>
    <w:p w:rsidR="00554299" w:rsidRPr="00B16F85" w:rsidRDefault="0096128B" w:rsidP="00554299">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r w:rsidRPr="00B16F85">
        <w:rPr>
          <w:rFonts w:ascii="Arial" w:hAnsi="Arial" w:cs="Arial"/>
          <w:b/>
          <w:bCs/>
          <w:sz w:val="22"/>
          <w:szCs w:val="22"/>
          <w:lang w:val="fr-CA"/>
        </w:rPr>
        <w:t>PRÉPARÉ PAR :</w:t>
      </w:r>
    </w:p>
    <w:p w:rsidR="00554299" w:rsidRPr="00B16F85" w:rsidRDefault="00554299" w:rsidP="00554299">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p>
    <w:p w:rsidR="00554299" w:rsidRPr="00B16F85" w:rsidRDefault="00554299" w:rsidP="0096128B">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rPr>
          <w:rFonts w:ascii="Arial" w:hAnsi="Arial" w:cs="Arial"/>
          <w:b/>
          <w:sz w:val="22"/>
          <w:szCs w:val="22"/>
          <w:lang w:val="fr-CA"/>
        </w:rPr>
      </w:pPr>
      <w:r w:rsidRPr="00B16F85">
        <w:rPr>
          <w:rFonts w:ascii="Arial" w:hAnsi="Arial" w:cs="Arial"/>
          <w:sz w:val="22"/>
          <w:szCs w:val="22"/>
          <w:lang w:val="fr-CA"/>
        </w:rPr>
        <w:t>Véronique Geoffroy, CSD, D</w:t>
      </w:r>
      <w:r w:rsidR="0096128B" w:rsidRPr="00B16F85">
        <w:rPr>
          <w:rFonts w:ascii="Arial" w:hAnsi="Arial" w:cs="Arial"/>
          <w:sz w:val="22"/>
          <w:szCs w:val="22"/>
          <w:lang w:val="fr-CA"/>
        </w:rPr>
        <w:t>ivision du soutien en dotation</w:t>
      </w:r>
    </w:p>
    <w:p w:rsidR="00554299" w:rsidRPr="00B16F85" w:rsidRDefault="00554299" w:rsidP="00554299">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r w:rsidRPr="00B16F85">
        <w:rPr>
          <w:rFonts w:ascii="Arial" w:hAnsi="Arial" w:cs="Arial"/>
          <w:sz w:val="22"/>
          <w:szCs w:val="22"/>
          <w:lang w:val="fr-CA"/>
        </w:rPr>
        <w:t>____________________</w:t>
      </w:r>
      <w:r w:rsidR="0096128B" w:rsidRPr="00B16F85">
        <w:rPr>
          <w:rFonts w:ascii="Arial" w:hAnsi="Arial" w:cs="Arial"/>
          <w:sz w:val="22"/>
          <w:szCs w:val="22"/>
          <w:lang w:val="fr-CA"/>
        </w:rPr>
        <w:t>___</w:t>
      </w:r>
      <w:r w:rsidR="0096128B" w:rsidRPr="00B16F85">
        <w:rPr>
          <w:rFonts w:ascii="Arial" w:hAnsi="Arial" w:cs="Arial"/>
          <w:sz w:val="22"/>
          <w:szCs w:val="22"/>
          <w:lang w:val="fr-CA"/>
        </w:rPr>
        <w:tab/>
      </w:r>
      <w:r w:rsidR="0096128B" w:rsidRPr="00B16F85">
        <w:rPr>
          <w:rFonts w:ascii="Arial" w:hAnsi="Arial" w:cs="Arial"/>
          <w:sz w:val="22"/>
          <w:szCs w:val="22"/>
          <w:lang w:val="fr-CA"/>
        </w:rPr>
        <w:tab/>
      </w:r>
      <w:r w:rsidR="0096128B" w:rsidRPr="00B16F85">
        <w:rPr>
          <w:rFonts w:ascii="Arial" w:hAnsi="Arial" w:cs="Arial"/>
          <w:sz w:val="22"/>
          <w:szCs w:val="22"/>
          <w:lang w:val="fr-CA"/>
        </w:rPr>
        <w:tab/>
        <w:t xml:space="preserve">_______________________ </w:t>
      </w:r>
    </w:p>
    <w:p w:rsidR="00554299" w:rsidRPr="00B16F85" w:rsidRDefault="00554299" w:rsidP="00554299">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r w:rsidRPr="00B16F85">
        <w:rPr>
          <w:rFonts w:ascii="Arial" w:hAnsi="Arial" w:cs="Arial"/>
          <w:sz w:val="22"/>
          <w:szCs w:val="22"/>
          <w:lang w:val="fr-CA" w:eastAsia="en-CA"/>
        </w:rPr>
        <w:t>Approuvé par Catherine Gendron</w:t>
      </w:r>
      <w:r w:rsidRPr="00B16F85">
        <w:rPr>
          <w:rFonts w:ascii="Arial" w:hAnsi="Arial" w:cs="Arial"/>
          <w:sz w:val="22"/>
          <w:szCs w:val="22"/>
          <w:lang w:val="fr-CA"/>
        </w:rPr>
        <w:tab/>
      </w:r>
      <w:r w:rsidRPr="00B16F85">
        <w:rPr>
          <w:rFonts w:ascii="Arial" w:hAnsi="Arial" w:cs="Arial"/>
          <w:sz w:val="22"/>
          <w:szCs w:val="22"/>
          <w:lang w:val="fr-CA"/>
        </w:rPr>
        <w:tab/>
        <w:t>Approuvé par Patricia Jaton</w:t>
      </w:r>
    </w:p>
    <w:p w:rsidR="00554299" w:rsidRPr="00B16F85" w:rsidRDefault="00554299" w:rsidP="00554299">
      <w:pPr>
        <w:numPr>
          <w:ilvl w:val="12"/>
          <w:numId w:val="0"/>
        </w:numPr>
        <w:tabs>
          <w:tab w:val="left" w:pos="-1326"/>
          <w:tab w:val="left" w:pos="-720"/>
          <w:tab w:val="left" w:pos="0"/>
          <w:tab w:val="left" w:pos="3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r w:rsidRPr="00B16F85">
        <w:rPr>
          <w:rFonts w:ascii="Arial" w:hAnsi="Arial" w:cs="Arial"/>
          <w:sz w:val="22"/>
          <w:szCs w:val="22"/>
          <w:lang w:val="fr-CA"/>
        </w:rPr>
        <w:t>Directrice générale p. i.</w:t>
      </w:r>
      <w:r w:rsidRPr="00B16F85">
        <w:rPr>
          <w:rFonts w:ascii="Arial" w:hAnsi="Arial" w:cs="Arial"/>
          <w:sz w:val="22"/>
          <w:szCs w:val="22"/>
          <w:lang w:val="fr-CA"/>
        </w:rPr>
        <w:tab/>
      </w:r>
      <w:r w:rsidR="0096128B" w:rsidRPr="00B16F85">
        <w:rPr>
          <w:rFonts w:ascii="Arial" w:hAnsi="Arial" w:cs="Arial"/>
          <w:sz w:val="22"/>
          <w:szCs w:val="22"/>
          <w:lang w:val="fr-CA"/>
        </w:rPr>
        <w:tab/>
      </w:r>
      <w:r w:rsidR="0096128B" w:rsidRPr="00B16F85">
        <w:rPr>
          <w:rFonts w:ascii="Arial" w:hAnsi="Arial" w:cs="Arial"/>
          <w:sz w:val="22"/>
          <w:szCs w:val="22"/>
          <w:lang w:val="fr-CA"/>
        </w:rPr>
        <w:tab/>
        <w:t>Vice-présidente, Politiques</w:t>
      </w:r>
    </w:p>
    <w:p w:rsidR="00554299" w:rsidRPr="00B16F85" w:rsidRDefault="00554299" w:rsidP="0096128B">
      <w:pPr>
        <w:numPr>
          <w:ilvl w:val="12"/>
          <w:numId w:val="0"/>
        </w:numPr>
        <w:tabs>
          <w:tab w:val="left" w:pos="-1326"/>
          <w:tab w:val="left" w:pos="-720"/>
          <w:tab w:val="left" w:pos="0"/>
          <w:tab w:val="left" w:pos="3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0"/>
        <w:rPr>
          <w:rFonts w:ascii="Arial" w:hAnsi="Arial" w:cs="Arial"/>
          <w:sz w:val="22"/>
          <w:szCs w:val="22"/>
          <w:lang w:val="fr-CA"/>
        </w:rPr>
      </w:pPr>
      <w:r w:rsidRPr="00B16F85">
        <w:rPr>
          <w:rFonts w:ascii="Arial" w:hAnsi="Arial" w:cs="Arial"/>
          <w:sz w:val="22"/>
          <w:szCs w:val="22"/>
          <w:lang w:val="fr-CA"/>
        </w:rPr>
        <w:t>Soutien en dotation, priorités</w:t>
      </w:r>
      <w:r w:rsidRPr="00B16F85">
        <w:rPr>
          <w:rFonts w:ascii="Arial" w:hAnsi="Arial" w:cs="Arial"/>
          <w:sz w:val="22"/>
          <w:szCs w:val="22"/>
          <w:lang w:val="fr-CA"/>
        </w:rPr>
        <w:tab/>
      </w:r>
      <w:r w:rsidRPr="00B16F85">
        <w:rPr>
          <w:rFonts w:ascii="Arial" w:hAnsi="Arial" w:cs="Arial"/>
          <w:sz w:val="22"/>
          <w:szCs w:val="22"/>
          <w:lang w:val="fr-CA"/>
        </w:rPr>
        <w:tab/>
      </w:r>
      <w:r w:rsidRPr="00B16F85">
        <w:rPr>
          <w:rFonts w:ascii="Arial" w:hAnsi="Arial" w:cs="Arial"/>
          <w:sz w:val="22"/>
          <w:szCs w:val="22"/>
          <w:lang w:val="fr-CA"/>
        </w:rPr>
        <w:tab/>
        <w:t>Secteur des politiques et des communications</w:t>
      </w:r>
      <w:r w:rsidR="006D2268" w:rsidRPr="00B16F85">
        <w:rPr>
          <w:rFonts w:ascii="Arial" w:hAnsi="Arial" w:cs="Arial"/>
          <w:sz w:val="22"/>
          <w:szCs w:val="22"/>
          <w:lang w:val="fr-CA"/>
        </w:rPr>
        <w:br/>
      </w:r>
      <w:r w:rsidRPr="00B16F85">
        <w:rPr>
          <w:rFonts w:ascii="Arial" w:hAnsi="Arial" w:cs="Arial"/>
          <w:sz w:val="22"/>
          <w:szCs w:val="22"/>
          <w:lang w:val="fr-CA"/>
        </w:rPr>
        <w:t>et activités politiques</w:t>
      </w:r>
    </w:p>
    <w:p w:rsidR="00554299" w:rsidRPr="00B16F85" w:rsidRDefault="00554299" w:rsidP="00554299">
      <w:pPr>
        <w:numPr>
          <w:ilvl w:val="12"/>
          <w:numId w:val="0"/>
        </w:numPr>
        <w:tabs>
          <w:tab w:val="left" w:pos="-1326"/>
          <w:tab w:val="left" w:pos="-720"/>
          <w:tab w:val="left" w:pos="0"/>
          <w:tab w:val="left" w:pos="3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r w:rsidRPr="00B16F85">
        <w:rPr>
          <w:rFonts w:ascii="Arial" w:hAnsi="Arial" w:cs="Arial"/>
          <w:sz w:val="22"/>
          <w:szCs w:val="22"/>
          <w:lang w:val="fr-CA"/>
        </w:rPr>
        <w:t>___________________</w:t>
      </w:r>
      <w:r w:rsidR="0096128B" w:rsidRPr="00B16F85">
        <w:rPr>
          <w:rFonts w:ascii="Arial" w:hAnsi="Arial" w:cs="Arial"/>
          <w:sz w:val="22"/>
          <w:szCs w:val="22"/>
          <w:lang w:val="fr-CA"/>
        </w:rPr>
        <w:t>____</w:t>
      </w:r>
      <w:r w:rsidR="003A24E2" w:rsidRPr="00B16F85">
        <w:rPr>
          <w:rFonts w:ascii="Arial" w:hAnsi="Arial" w:cs="Arial"/>
          <w:sz w:val="22"/>
          <w:szCs w:val="22"/>
          <w:lang w:val="fr-CA"/>
        </w:rPr>
        <w:t xml:space="preserve"> </w:t>
      </w:r>
      <w:r w:rsidR="0096128B" w:rsidRPr="00B16F85">
        <w:rPr>
          <w:rFonts w:ascii="Arial" w:hAnsi="Arial" w:cs="Arial"/>
          <w:sz w:val="22"/>
          <w:szCs w:val="22"/>
          <w:lang w:val="fr-CA"/>
        </w:rPr>
        <w:tab/>
      </w:r>
      <w:r w:rsidR="0096128B" w:rsidRPr="00B16F85">
        <w:rPr>
          <w:rFonts w:ascii="Arial" w:hAnsi="Arial" w:cs="Arial"/>
          <w:sz w:val="22"/>
          <w:szCs w:val="22"/>
          <w:lang w:val="fr-CA"/>
        </w:rPr>
        <w:tab/>
        <w:t>_______________________</w:t>
      </w:r>
    </w:p>
    <w:p w:rsidR="00DF0DEC" w:rsidRPr="00B16F85" w:rsidRDefault="00554299" w:rsidP="003A24E2">
      <w:pPr>
        <w:numPr>
          <w:ilvl w:val="12"/>
          <w:numId w:val="0"/>
        </w:numPr>
        <w:tabs>
          <w:tab w:val="left" w:pos="-1326"/>
          <w:tab w:val="left" w:pos="-720"/>
          <w:tab w:val="left" w:pos="0"/>
          <w:tab w:val="left" w:pos="313"/>
          <w:tab w:val="left" w:pos="2160"/>
          <w:tab w:val="left" w:pos="4320"/>
          <w:tab w:val="left" w:pos="43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40"/>
        <w:rPr>
          <w:rFonts w:ascii="Arial" w:hAnsi="Arial" w:cs="Arial"/>
          <w:sz w:val="22"/>
          <w:szCs w:val="22"/>
          <w:lang w:val="fr-CA"/>
        </w:rPr>
      </w:pPr>
      <w:r w:rsidRPr="00B16F85">
        <w:rPr>
          <w:rFonts w:ascii="Arial" w:hAnsi="Arial" w:cs="Arial"/>
          <w:sz w:val="22"/>
          <w:szCs w:val="22"/>
          <w:lang w:val="fr-CA"/>
        </w:rPr>
        <w:t>Date</w:t>
      </w:r>
      <w:r w:rsidR="003A24E2" w:rsidRPr="00B16F85">
        <w:rPr>
          <w:rFonts w:ascii="Arial" w:hAnsi="Arial" w:cs="Arial"/>
          <w:sz w:val="22"/>
          <w:szCs w:val="22"/>
          <w:lang w:val="fr-CA"/>
        </w:rPr>
        <w:tab/>
      </w:r>
      <w:r w:rsidR="003A24E2" w:rsidRPr="00B16F85">
        <w:rPr>
          <w:rFonts w:ascii="Arial" w:hAnsi="Arial" w:cs="Arial"/>
          <w:sz w:val="22"/>
          <w:szCs w:val="22"/>
          <w:lang w:val="fr-CA"/>
        </w:rPr>
        <w:tab/>
      </w:r>
      <w:r w:rsidRPr="00B16F85">
        <w:rPr>
          <w:rFonts w:ascii="Arial" w:hAnsi="Arial" w:cs="Arial"/>
          <w:sz w:val="22"/>
          <w:szCs w:val="22"/>
          <w:lang w:val="fr-CA"/>
        </w:rPr>
        <w:t>Date</w:t>
      </w:r>
    </w:p>
    <w:p w:rsidR="00170D05" w:rsidRPr="00B16F85" w:rsidRDefault="00170D05" w:rsidP="001E6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fr-CA"/>
        </w:rPr>
      </w:pPr>
      <w:r w:rsidRPr="00B16F85">
        <w:rPr>
          <w:rFonts w:ascii="Arial" w:hAnsi="Arial" w:cs="Arial"/>
          <w:sz w:val="22"/>
          <w:szCs w:val="22"/>
          <w:lang w:val="fr-CA"/>
        </w:rPr>
        <w:lastRenderedPageBreak/>
        <w:t>Annexes</w:t>
      </w:r>
      <w:r w:rsidR="00554299" w:rsidRPr="00B16F85">
        <w:rPr>
          <w:rFonts w:ascii="Arial" w:hAnsi="Arial" w:cs="Arial"/>
          <w:sz w:val="22"/>
          <w:szCs w:val="22"/>
          <w:lang w:val="fr-CA"/>
        </w:rPr>
        <w:t xml:space="preserve"> </w:t>
      </w:r>
      <w:r w:rsidRPr="00B16F85">
        <w:rPr>
          <w:rFonts w:ascii="Arial" w:hAnsi="Arial" w:cs="Arial"/>
          <w:sz w:val="22"/>
          <w:szCs w:val="22"/>
          <w:lang w:val="fr-CA"/>
        </w:rPr>
        <w:t>:</w:t>
      </w:r>
    </w:p>
    <w:p w:rsidR="00170D05" w:rsidRPr="00B16F85" w:rsidRDefault="00051008" w:rsidP="000118CC">
      <w:pPr>
        <w:ind w:firstLine="720"/>
        <w:rPr>
          <w:rFonts w:ascii="Arial" w:hAnsi="Arial" w:cs="Arial"/>
          <w:bCs/>
          <w:sz w:val="22"/>
          <w:szCs w:val="22"/>
          <w:lang w:val="fr-CA"/>
        </w:rPr>
      </w:pPr>
      <w:hyperlink w:anchor="AnnexA" w:history="1">
        <w:r w:rsidR="00170D05" w:rsidRPr="00B16F85">
          <w:rPr>
            <w:rStyle w:val="Hyperlink"/>
            <w:rFonts w:ascii="Arial" w:hAnsi="Arial" w:cs="Arial"/>
            <w:sz w:val="22"/>
            <w:szCs w:val="22"/>
            <w:lang w:val="fr-CA"/>
          </w:rPr>
          <w:t>Annex</w:t>
        </w:r>
        <w:r w:rsidR="00554299" w:rsidRPr="00B16F85">
          <w:rPr>
            <w:rStyle w:val="Hyperlink"/>
            <w:rFonts w:ascii="Arial" w:hAnsi="Arial" w:cs="Arial"/>
            <w:sz w:val="22"/>
            <w:szCs w:val="22"/>
            <w:lang w:val="fr-CA"/>
          </w:rPr>
          <w:t>e</w:t>
        </w:r>
        <w:r w:rsidR="00170D05" w:rsidRPr="00B16F85">
          <w:rPr>
            <w:rStyle w:val="Hyperlink"/>
            <w:rFonts w:ascii="Arial" w:hAnsi="Arial" w:cs="Arial"/>
            <w:sz w:val="22"/>
            <w:szCs w:val="22"/>
            <w:lang w:val="fr-CA"/>
          </w:rPr>
          <w:t xml:space="preserve"> A</w:t>
        </w:r>
        <w:r w:rsidR="00B80F6D" w:rsidRPr="00B16F85">
          <w:rPr>
            <w:rStyle w:val="Hyperlink"/>
            <w:rFonts w:ascii="Arial" w:hAnsi="Arial" w:cs="Arial"/>
            <w:sz w:val="22"/>
            <w:szCs w:val="22"/>
            <w:lang w:val="fr-CA"/>
          </w:rPr>
          <w:t xml:space="preserve"> – </w:t>
        </w:r>
        <w:r w:rsidR="00554299" w:rsidRPr="00B16F85">
          <w:rPr>
            <w:rStyle w:val="Hyperlink"/>
            <w:rFonts w:ascii="Arial" w:hAnsi="Arial" w:cs="Arial"/>
            <w:sz w:val="22"/>
            <w:szCs w:val="22"/>
            <w:lang w:val="fr-CA"/>
          </w:rPr>
          <w:t>Biographie</w:t>
        </w:r>
      </w:hyperlink>
    </w:p>
    <w:p w:rsidR="00170D05" w:rsidRPr="00B16F85" w:rsidRDefault="00051008" w:rsidP="001E606D">
      <w:pPr>
        <w:numPr>
          <w:ilvl w:val="0"/>
          <w:numId w:val="1"/>
        </w:numPr>
        <w:rPr>
          <w:rFonts w:ascii="Arial" w:hAnsi="Arial" w:cs="Arial"/>
          <w:bCs/>
          <w:sz w:val="22"/>
          <w:szCs w:val="22"/>
          <w:lang w:val="fr-CA"/>
        </w:rPr>
      </w:pPr>
      <w:hyperlink w:anchor="AnnexB" w:history="1">
        <w:r w:rsidR="000C731D" w:rsidRPr="00B16F85">
          <w:rPr>
            <w:rStyle w:val="Hyperlink"/>
            <w:rFonts w:ascii="Arial" w:hAnsi="Arial" w:cs="Arial"/>
            <w:sz w:val="22"/>
            <w:szCs w:val="22"/>
            <w:lang w:val="fr-CA"/>
          </w:rPr>
          <w:t>Annexe B – Messages clés</w:t>
        </w:r>
      </w:hyperlink>
    </w:p>
    <w:p w:rsidR="00170D05" w:rsidRPr="00B16F85" w:rsidRDefault="00051008" w:rsidP="00554299">
      <w:pPr>
        <w:numPr>
          <w:ilvl w:val="0"/>
          <w:numId w:val="1"/>
        </w:numPr>
        <w:rPr>
          <w:rFonts w:ascii="Arial" w:hAnsi="Arial" w:cs="Arial"/>
          <w:bCs/>
          <w:sz w:val="22"/>
          <w:szCs w:val="22"/>
          <w:lang w:val="fr-CA"/>
        </w:rPr>
      </w:pPr>
      <w:hyperlink w:anchor="AnnexC" w:history="1">
        <w:r w:rsidR="00170D05" w:rsidRPr="00B16F85">
          <w:rPr>
            <w:rStyle w:val="Hyperlink"/>
            <w:rFonts w:ascii="Arial" w:hAnsi="Arial" w:cs="Arial"/>
            <w:sz w:val="22"/>
            <w:szCs w:val="22"/>
            <w:lang w:val="fr-CA"/>
          </w:rPr>
          <w:t>Annex</w:t>
        </w:r>
        <w:r w:rsidR="00554299" w:rsidRPr="00B16F85">
          <w:rPr>
            <w:rStyle w:val="Hyperlink"/>
            <w:rFonts w:ascii="Arial" w:hAnsi="Arial" w:cs="Arial"/>
            <w:sz w:val="22"/>
            <w:szCs w:val="22"/>
            <w:lang w:val="fr-CA"/>
          </w:rPr>
          <w:t>e</w:t>
        </w:r>
        <w:r w:rsidR="00170D05" w:rsidRPr="00B16F85">
          <w:rPr>
            <w:rStyle w:val="Hyperlink"/>
            <w:rFonts w:ascii="Arial" w:hAnsi="Arial" w:cs="Arial"/>
            <w:sz w:val="22"/>
            <w:szCs w:val="22"/>
            <w:lang w:val="fr-CA"/>
          </w:rPr>
          <w:t xml:space="preserve"> </w:t>
        </w:r>
        <w:r w:rsidR="0068085E" w:rsidRPr="00B16F85">
          <w:rPr>
            <w:rStyle w:val="Hyperlink"/>
            <w:rFonts w:ascii="Arial" w:hAnsi="Arial" w:cs="Arial"/>
            <w:sz w:val="22"/>
            <w:szCs w:val="22"/>
            <w:lang w:val="fr-CA"/>
          </w:rPr>
          <w:t>C</w:t>
        </w:r>
        <w:r w:rsidR="00170D05" w:rsidRPr="00B16F85">
          <w:rPr>
            <w:rStyle w:val="Hyperlink"/>
            <w:rFonts w:ascii="Arial" w:hAnsi="Arial" w:cs="Arial"/>
            <w:sz w:val="22"/>
            <w:szCs w:val="22"/>
            <w:lang w:val="fr-CA"/>
          </w:rPr>
          <w:t xml:space="preserve"> </w:t>
        </w:r>
        <w:r w:rsidR="00B80F6D" w:rsidRPr="00B16F85">
          <w:rPr>
            <w:rStyle w:val="Hyperlink"/>
            <w:rFonts w:ascii="Arial" w:hAnsi="Arial" w:cs="Arial"/>
            <w:sz w:val="22"/>
            <w:szCs w:val="22"/>
            <w:lang w:val="fr-CA"/>
          </w:rPr>
          <w:t>–</w:t>
        </w:r>
        <w:r w:rsidR="00170D05" w:rsidRPr="00B16F85">
          <w:rPr>
            <w:rStyle w:val="Hyperlink"/>
            <w:rFonts w:ascii="Arial" w:hAnsi="Arial" w:cs="Arial"/>
            <w:sz w:val="22"/>
            <w:szCs w:val="22"/>
            <w:lang w:val="fr-CA"/>
          </w:rPr>
          <w:t xml:space="preserve"> </w:t>
        </w:r>
        <w:r w:rsidR="00554299" w:rsidRPr="00B16F85">
          <w:rPr>
            <w:rStyle w:val="Hyperlink"/>
            <w:rFonts w:ascii="Arial" w:hAnsi="Arial" w:cs="Arial"/>
            <w:sz w:val="22"/>
            <w:szCs w:val="22"/>
            <w:lang w:val="fr-CA"/>
          </w:rPr>
          <w:t xml:space="preserve">Tableau de bord destiné aux administrateurs généraux sur les faits saillants de la nouvelle orientation en dotation </w:t>
        </w:r>
      </w:hyperlink>
    </w:p>
    <w:p w:rsidR="00170D05" w:rsidRPr="00B16F85" w:rsidRDefault="00051008" w:rsidP="00554299">
      <w:pPr>
        <w:numPr>
          <w:ilvl w:val="0"/>
          <w:numId w:val="1"/>
        </w:numPr>
        <w:rPr>
          <w:rFonts w:ascii="Arial" w:hAnsi="Arial" w:cs="Arial"/>
          <w:bCs/>
          <w:strike/>
          <w:sz w:val="22"/>
          <w:szCs w:val="22"/>
          <w:lang w:val="fr-CA"/>
        </w:rPr>
      </w:pPr>
      <w:hyperlink w:anchor="AnnexD" w:history="1">
        <w:r w:rsidR="00C179B1" w:rsidRPr="00B16F85">
          <w:rPr>
            <w:rStyle w:val="Hyperlink"/>
            <w:rFonts w:ascii="Arial" w:hAnsi="Arial" w:cs="Arial"/>
            <w:sz w:val="22"/>
            <w:szCs w:val="22"/>
            <w:lang w:val="fr-CA"/>
          </w:rPr>
          <w:t>Annex</w:t>
        </w:r>
        <w:r w:rsidR="00554299" w:rsidRPr="00B16F85">
          <w:rPr>
            <w:rStyle w:val="Hyperlink"/>
            <w:rFonts w:ascii="Arial" w:hAnsi="Arial" w:cs="Arial"/>
            <w:sz w:val="22"/>
            <w:szCs w:val="22"/>
            <w:lang w:val="fr-CA"/>
          </w:rPr>
          <w:t>e</w:t>
        </w:r>
        <w:r w:rsidR="00C179B1" w:rsidRPr="00B16F85">
          <w:rPr>
            <w:rStyle w:val="Hyperlink"/>
            <w:rFonts w:ascii="Arial" w:hAnsi="Arial" w:cs="Arial"/>
            <w:sz w:val="22"/>
            <w:szCs w:val="22"/>
            <w:lang w:val="fr-CA"/>
          </w:rPr>
          <w:t xml:space="preserve"> </w:t>
        </w:r>
        <w:r w:rsidR="0068085E" w:rsidRPr="00B16F85">
          <w:rPr>
            <w:rStyle w:val="Hyperlink"/>
            <w:rFonts w:ascii="Arial" w:hAnsi="Arial" w:cs="Arial"/>
            <w:sz w:val="22"/>
            <w:szCs w:val="22"/>
            <w:lang w:val="fr-CA"/>
          </w:rPr>
          <w:t>D</w:t>
        </w:r>
        <w:r w:rsidR="00170D05" w:rsidRPr="00B16F85">
          <w:rPr>
            <w:rStyle w:val="Hyperlink"/>
            <w:rFonts w:ascii="Arial" w:hAnsi="Arial" w:cs="Arial"/>
            <w:sz w:val="22"/>
            <w:szCs w:val="22"/>
            <w:lang w:val="fr-CA"/>
          </w:rPr>
          <w:t xml:space="preserve"> </w:t>
        </w:r>
        <w:r w:rsidR="00B80F6D" w:rsidRPr="00B16F85">
          <w:rPr>
            <w:rStyle w:val="Hyperlink"/>
            <w:rFonts w:ascii="Arial" w:hAnsi="Arial" w:cs="Arial"/>
            <w:sz w:val="22"/>
            <w:szCs w:val="22"/>
            <w:lang w:val="fr-CA"/>
          </w:rPr>
          <w:t>–</w:t>
        </w:r>
        <w:r w:rsidR="00170D05" w:rsidRPr="00B16F85">
          <w:rPr>
            <w:rStyle w:val="Hyperlink"/>
            <w:rFonts w:ascii="Arial" w:hAnsi="Arial" w:cs="Arial"/>
            <w:sz w:val="22"/>
            <w:szCs w:val="22"/>
            <w:lang w:val="fr-CA"/>
          </w:rPr>
          <w:t xml:space="preserve"> </w:t>
        </w:r>
        <w:r w:rsidR="00554299" w:rsidRPr="00B16F85">
          <w:rPr>
            <w:rStyle w:val="Hyperlink"/>
            <w:rFonts w:ascii="Arial" w:hAnsi="Arial" w:cs="Arial"/>
            <w:sz w:val="22"/>
            <w:szCs w:val="22"/>
            <w:lang w:val="fr-CA"/>
          </w:rPr>
          <w:t xml:space="preserve">Données sur l’effectif et les activités de dotation </w:t>
        </w:r>
      </w:hyperlink>
    </w:p>
    <w:p w:rsidR="00A101E0" w:rsidRPr="00B16F85" w:rsidRDefault="00A101E0" w:rsidP="0084366D">
      <w:pPr>
        <w:ind w:left="7920"/>
        <w:jc w:val="right"/>
        <w:rPr>
          <w:rFonts w:ascii="Arial" w:hAnsi="Arial" w:cs="Arial"/>
          <w:b/>
          <w:bCs/>
          <w:sz w:val="22"/>
          <w:szCs w:val="22"/>
          <w:lang w:val="fr-CA"/>
        </w:rPr>
      </w:pPr>
      <w:r w:rsidRPr="00B16F85">
        <w:rPr>
          <w:rFonts w:ascii="Arial" w:hAnsi="Arial" w:cs="Arial"/>
          <w:b/>
          <w:bCs/>
          <w:sz w:val="22"/>
          <w:szCs w:val="22"/>
          <w:lang w:val="fr-CA"/>
        </w:rPr>
        <w:br w:type="page"/>
      </w:r>
      <w:bookmarkStart w:id="1" w:name="AnnexA"/>
      <w:r w:rsidRPr="00B16F85">
        <w:rPr>
          <w:rFonts w:ascii="Arial" w:hAnsi="Arial" w:cs="Arial"/>
          <w:b/>
          <w:bCs/>
          <w:sz w:val="22"/>
          <w:szCs w:val="22"/>
          <w:lang w:val="fr-CA"/>
        </w:rPr>
        <w:lastRenderedPageBreak/>
        <w:t>Annex</w:t>
      </w:r>
      <w:r w:rsidR="00E015F4" w:rsidRPr="00B16F85">
        <w:rPr>
          <w:rFonts w:ascii="Arial" w:hAnsi="Arial" w:cs="Arial"/>
          <w:b/>
          <w:bCs/>
          <w:sz w:val="22"/>
          <w:szCs w:val="22"/>
          <w:lang w:val="fr-CA"/>
        </w:rPr>
        <w:t>e</w:t>
      </w:r>
      <w:r w:rsidRPr="00B16F85">
        <w:rPr>
          <w:rFonts w:ascii="Arial" w:hAnsi="Arial" w:cs="Arial"/>
          <w:b/>
          <w:bCs/>
          <w:sz w:val="22"/>
          <w:szCs w:val="22"/>
          <w:lang w:val="fr-CA"/>
        </w:rPr>
        <w:t xml:space="preserve"> A</w:t>
      </w:r>
      <w:bookmarkEnd w:id="1"/>
    </w:p>
    <w:p w:rsidR="00A101E0" w:rsidRPr="00B16F85" w:rsidRDefault="00A101E0" w:rsidP="001D2265">
      <w:pPr>
        <w:jc w:val="center"/>
        <w:rPr>
          <w:rFonts w:ascii="Arial" w:hAnsi="Arial" w:cs="Arial"/>
          <w:b/>
          <w:bCs/>
          <w:sz w:val="22"/>
          <w:szCs w:val="22"/>
          <w:lang w:val="fr-CA"/>
        </w:rPr>
      </w:pPr>
    </w:p>
    <w:p w:rsidR="00A101E0" w:rsidRPr="00B16F85" w:rsidRDefault="006E2853" w:rsidP="0022494C">
      <w:pPr>
        <w:pStyle w:val="Heading1"/>
        <w:rPr>
          <w:lang w:val="fr-CA"/>
        </w:rPr>
      </w:pPr>
      <w:r w:rsidRPr="00B16F85">
        <w:rPr>
          <w:lang w:val="fr-CA"/>
        </w:rPr>
        <w:t>BIOGRAPHIE</w:t>
      </w:r>
    </w:p>
    <w:p w:rsidR="00A101E0" w:rsidRPr="00B16F85" w:rsidRDefault="00A101E0" w:rsidP="00A101E0">
      <w:pPr>
        <w:jc w:val="right"/>
        <w:rPr>
          <w:rFonts w:ascii="Arial" w:hAnsi="Arial" w:cs="Arial"/>
          <w:b/>
          <w:bCs/>
          <w:sz w:val="22"/>
          <w:szCs w:val="22"/>
          <w:lang w:val="fr-CA"/>
        </w:rPr>
      </w:pPr>
    </w:p>
    <w:p w:rsidR="00E015F4" w:rsidRPr="00B16F85" w:rsidRDefault="00E015F4" w:rsidP="00281B55">
      <w:pPr>
        <w:rPr>
          <w:rFonts w:ascii="Arial" w:hAnsi="Arial" w:cs="Arial"/>
          <w:sz w:val="22"/>
          <w:szCs w:val="22"/>
          <w:lang w:val="fr-CA"/>
        </w:rPr>
      </w:pPr>
      <w:r w:rsidRPr="00B16F85">
        <w:rPr>
          <w:rFonts w:ascii="Arial" w:hAnsi="Arial" w:cs="Arial"/>
          <w:sz w:val="22"/>
          <w:szCs w:val="22"/>
          <w:lang w:val="fr-CA"/>
        </w:rPr>
        <w:t xml:space="preserve">Charles Randall Smith a été nommé président du CEE pour un mandat de cinq ans ayant débuté le 18 juin 2019. Il occupait le poste de vice-président depuis le 11 avril 2019. </w:t>
      </w:r>
    </w:p>
    <w:p w:rsidR="00E015F4" w:rsidRPr="00B16F85" w:rsidRDefault="00E015F4" w:rsidP="00281B55">
      <w:pPr>
        <w:rPr>
          <w:rFonts w:ascii="Arial" w:hAnsi="Arial" w:cs="Arial"/>
          <w:sz w:val="22"/>
          <w:szCs w:val="22"/>
          <w:lang w:val="fr-CA"/>
        </w:rPr>
      </w:pPr>
    </w:p>
    <w:p w:rsidR="00E015F4" w:rsidRPr="00B16F85" w:rsidRDefault="00E015F4" w:rsidP="00281B55">
      <w:pPr>
        <w:rPr>
          <w:rFonts w:ascii="Arial" w:hAnsi="Arial" w:cs="Arial"/>
          <w:sz w:val="22"/>
          <w:szCs w:val="22"/>
          <w:lang w:val="fr-CA"/>
        </w:rPr>
      </w:pPr>
      <w:r w:rsidRPr="00B16F85">
        <w:rPr>
          <w:rFonts w:ascii="Arial" w:hAnsi="Arial" w:cs="Arial"/>
          <w:sz w:val="22"/>
          <w:szCs w:val="22"/>
          <w:lang w:val="fr-CA"/>
        </w:rPr>
        <w:t xml:space="preserve">M. Smith a servi dans les Forces armées canadiennes pendant plus de 40 ans, dont 30 ans à titre d’avocat militaire au Cabinet du juge-avocat général (JAG). M. Smith a occupé plusieurs postes au sein du Cabinet du JAG, où il a atteint le grade de lieutenant-colonel et a été affecté à plusieurs endroits, y compris au Collège militaire royal (CMR) de Kingston, à Ottawa, à Petawawa et à Edmonton. Il a également été déployé à Kandahar, en Afghanistan, pour y occuper le poste d’avocat militaire principal. </w:t>
      </w:r>
    </w:p>
    <w:p w:rsidR="00E015F4" w:rsidRPr="00B16F85" w:rsidRDefault="00E015F4" w:rsidP="00281B55">
      <w:pPr>
        <w:rPr>
          <w:rFonts w:ascii="Arial" w:hAnsi="Arial" w:cs="Arial"/>
          <w:sz w:val="22"/>
          <w:szCs w:val="22"/>
          <w:lang w:val="fr-CA"/>
        </w:rPr>
      </w:pPr>
    </w:p>
    <w:p w:rsidR="00E015F4" w:rsidRPr="00B16F85" w:rsidRDefault="00E015F4" w:rsidP="00281B55">
      <w:pPr>
        <w:rPr>
          <w:rFonts w:ascii="Arial" w:hAnsi="Arial" w:cs="Arial"/>
          <w:sz w:val="22"/>
          <w:szCs w:val="22"/>
          <w:lang w:val="fr-CA"/>
        </w:rPr>
      </w:pPr>
      <w:r w:rsidRPr="00B16F85">
        <w:rPr>
          <w:rFonts w:ascii="Arial" w:hAnsi="Arial" w:cs="Arial"/>
          <w:sz w:val="22"/>
          <w:szCs w:val="22"/>
          <w:lang w:val="fr-CA"/>
        </w:rPr>
        <w:t>Il est diplômé du Collège militaire royal de Saint-Jean, titulaire de diplômes en droit civil et en common law de l’Université McGill et détenteur d’une maîtrise en droit de la US Army JAG School, située à Charlottesville, en Virginie. M. Smith est membre du Barreau de l’Ontario.</w:t>
      </w:r>
    </w:p>
    <w:p w:rsidR="00E015F4" w:rsidRPr="00B16F85" w:rsidRDefault="00A101E0" w:rsidP="00E015F4">
      <w:pPr>
        <w:jc w:val="right"/>
        <w:rPr>
          <w:rFonts w:ascii="Arial" w:hAnsi="Arial" w:cs="Arial"/>
          <w:b/>
          <w:sz w:val="22"/>
          <w:szCs w:val="22"/>
          <w:lang w:val="fr-CA"/>
        </w:rPr>
      </w:pPr>
      <w:r w:rsidRPr="00B16F85">
        <w:rPr>
          <w:rFonts w:ascii="Arial" w:hAnsi="Arial" w:cs="Arial"/>
          <w:sz w:val="22"/>
          <w:szCs w:val="22"/>
          <w:lang w:val="fr-CA"/>
        </w:rPr>
        <w:br w:type="page"/>
      </w:r>
      <w:bookmarkStart w:id="2" w:name="AnnexB"/>
      <w:r w:rsidR="00E015F4" w:rsidRPr="00B16F85">
        <w:rPr>
          <w:rFonts w:ascii="Arial" w:hAnsi="Arial" w:cs="Arial"/>
          <w:b/>
          <w:bCs/>
          <w:sz w:val="22"/>
          <w:szCs w:val="22"/>
          <w:lang w:val="fr-CA"/>
        </w:rPr>
        <w:lastRenderedPageBreak/>
        <w:t xml:space="preserve">Annexe </w:t>
      </w:r>
      <w:bookmarkEnd w:id="2"/>
      <w:r w:rsidR="00E015F4" w:rsidRPr="00B16F85">
        <w:rPr>
          <w:rFonts w:ascii="Arial" w:hAnsi="Arial" w:cs="Arial"/>
          <w:b/>
          <w:bCs/>
          <w:sz w:val="22"/>
          <w:szCs w:val="22"/>
          <w:lang w:val="fr-CA"/>
        </w:rPr>
        <w:t>B</w:t>
      </w:r>
    </w:p>
    <w:p w:rsidR="00E015F4" w:rsidRPr="00B16F85" w:rsidRDefault="00E015F4" w:rsidP="00E015F4">
      <w:pPr>
        <w:jc w:val="center"/>
        <w:rPr>
          <w:rFonts w:ascii="Arial" w:hAnsi="Arial" w:cs="Arial"/>
          <w:b/>
          <w:sz w:val="22"/>
          <w:szCs w:val="22"/>
          <w:lang w:val="fr-CA"/>
        </w:rPr>
      </w:pPr>
    </w:p>
    <w:p w:rsidR="00E015F4" w:rsidRPr="00B16F85" w:rsidRDefault="00E015F4" w:rsidP="0022494C">
      <w:pPr>
        <w:pStyle w:val="Heading1"/>
        <w:rPr>
          <w:lang w:val="fr-CA"/>
        </w:rPr>
      </w:pPr>
      <w:r w:rsidRPr="00B16F85">
        <w:rPr>
          <w:lang w:val="fr-CA"/>
        </w:rPr>
        <w:t>Messages clés à communiquer lors de la rencontre avec un nouvel administrateur général/une nouvelle administratrice générale</w:t>
      </w:r>
    </w:p>
    <w:p w:rsidR="00E015F4" w:rsidRPr="00B16F85" w:rsidRDefault="00E015F4" w:rsidP="00E015F4">
      <w:pPr>
        <w:jc w:val="center"/>
        <w:rPr>
          <w:rFonts w:ascii="Arial" w:hAnsi="Arial" w:cs="Arial"/>
          <w:b/>
          <w:sz w:val="22"/>
          <w:szCs w:val="22"/>
          <w:lang w:val="fr-CA"/>
        </w:rPr>
      </w:pPr>
    </w:p>
    <w:p w:rsidR="00E015F4" w:rsidRPr="00B16F85" w:rsidRDefault="00E015F4" w:rsidP="00E015F4">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 xml:space="preserve">L’impartialité politique est un pilier principal de la </w:t>
      </w:r>
      <w:r w:rsidRPr="00B16F85">
        <w:rPr>
          <w:rFonts w:ascii="Arial" w:hAnsi="Arial" w:cs="Arial"/>
          <w:i/>
          <w:sz w:val="22"/>
          <w:szCs w:val="22"/>
          <w:lang w:val="fr-CA"/>
        </w:rPr>
        <w:t xml:space="preserve">Loi sur l’emploi dans la fonction publique </w:t>
      </w:r>
      <w:r w:rsidRPr="00B16F85">
        <w:rPr>
          <w:rFonts w:ascii="Arial" w:hAnsi="Arial" w:cs="Arial"/>
          <w:sz w:val="22"/>
          <w:szCs w:val="22"/>
          <w:lang w:val="fr-CA"/>
        </w:rPr>
        <w:t xml:space="preserve">(LEFP) et constitue l’un des fondements d’une fonction publique professionnelle et d’un gouvernement démocratique responsable. Dans une fonction publique non partisane, les nominations sont fondées sur le mérite et indépendantes de toute influence politique, et les fonctionnaires exercent leurs fonctions de façon impartiale et sont perçus de la sorte. </w:t>
      </w:r>
    </w:p>
    <w:p w:rsidR="00E015F4" w:rsidRPr="00B16F85" w:rsidRDefault="00E015F4" w:rsidP="00E015F4">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La Commission de la fonction publique (CFP) maintient :</w:t>
      </w:r>
    </w:p>
    <w:p w:rsidR="00E015F4" w:rsidRPr="00B16F85" w:rsidRDefault="00E015F4" w:rsidP="00E015F4">
      <w:pPr>
        <w:pStyle w:val="Level1"/>
        <w:numPr>
          <w:ilvl w:val="1"/>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le pouvoir d’enquêter sur les processus de nomination externes, les nominations pouvant résulter de l’exercice d’une influence politique ou d’une fraude, et les allégations d’activités politiques irrégulières;</w:t>
      </w:r>
    </w:p>
    <w:p w:rsidR="00E015F4" w:rsidRPr="00B16F85" w:rsidRDefault="00E015F4" w:rsidP="00E015F4">
      <w:pPr>
        <w:pStyle w:val="Level1"/>
        <w:numPr>
          <w:ilvl w:val="1"/>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le pouvoir d’autoriser l’exemption de satisfaire aux exigences en matière de compétence dans les langues officielles pour raison d’ordre médical; et</w:t>
      </w:r>
    </w:p>
    <w:p w:rsidR="00E015F4" w:rsidRPr="00B16F85" w:rsidRDefault="00E015F4" w:rsidP="00E015F4">
      <w:pPr>
        <w:pStyle w:val="Level1"/>
        <w:numPr>
          <w:ilvl w:val="1"/>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la responsabilité de confirmer l’admissibilité des anciens membres du personnel des cabinets de ministres et du gouverneur général à la participation à des processus de nomination internes annoncés.</w:t>
      </w:r>
    </w:p>
    <w:p w:rsidR="00E015F4" w:rsidRPr="00B16F85" w:rsidRDefault="00E015F4" w:rsidP="00E015F4">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 xml:space="preserve">L’Instrument de délégation et de responsabilisation en matière de nomination (IDRN) favorise la subdélégation aux échelons les plus bas possible au sein de l’organisation. </w:t>
      </w:r>
    </w:p>
    <w:p w:rsidR="00E015F4" w:rsidRPr="00B16F85" w:rsidRDefault="00E015F4" w:rsidP="00E015F4">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 xml:space="preserve">Les organisations doivent respecter les dispositions de la LEFP traitant des droits de priorité. </w:t>
      </w:r>
    </w:p>
    <w:p w:rsidR="00E015F4" w:rsidRPr="00B16F85" w:rsidRDefault="00E015F4" w:rsidP="00E015F4">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 xml:space="preserve">Il incombe aux administrateurs généraux (AG) de faire valoir la mise en œuvre de la </w:t>
      </w:r>
      <w:r w:rsidRPr="00B16F85">
        <w:rPr>
          <w:rFonts w:ascii="Arial" w:hAnsi="Arial" w:cs="Arial"/>
          <w:i/>
          <w:sz w:val="22"/>
          <w:szCs w:val="22"/>
          <w:lang w:val="fr-CA"/>
        </w:rPr>
        <w:t xml:space="preserve">Loi sur l’embauche des anciens combattants </w:t>
      </w:r>
      <w:r w:rsidRPr="00B16F85">
        <w:rPr>
          <w:rFonts w:ascii="Arial" w:hAnsi="Arial" w:cs="Arial"/>
          <w:sz w:val="22"/>
          <w:szCs w:val="22"/>
          <w:lang w:val="fr-CA"/>
        </w:rPr>
        <w:t xml:space="preserve">au sein de leur organisation pour faciliter l’embauche d’un nombre plus important de vétérans pour des emplois de la fonction publique. </w:t>
      </w:r>
    </w:p>
    <w:p w:rsidR="00E015F4" w:rsidRPr="00B16F85" w:rsidRDefault="00E015F4" w:rsidP="00E015F4">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 xml:space="preserve">Les AG ne peuvent se livrer à aucune activité politique, à l’exception de l’exercice de leur droit de vote lors d’une élection. Le maintien de la nature non partisane de la fonction publique est la responsabilité de tous les fonctionnaires, et ce, peu importe leur niveau hiérarchique et la nature de leurs fonctions. Les AG, en particulier, exercent un rôle de direction pour protéger l’impartialité politique dans le cadre de leur surveillance de la conduite de leurs employés. La CFP, en collaboration avec d’autres intervenants, les AG compris, exerce un rôle clé dans le maintien de l’impartialité politique de la fonction publique.  </w:t>
      </w:r>
    </w:p>
    <w:p w:rsidR="00D44B6E" w:rsidRPr="00B16F85" w:rsidRDefault="00E015F4" w:rsidP="00D44B6E">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t xml:space="preserve">Nouvelle orientation en dotation – La CFP a révisé sa politique de nomination, son instrument de délégation et son modèle de surveillance pour rationaliser les exigences, s’assurer que la surveillance est adaptée aux risques relevés dans le système et simplifier la dotation. Le nouveau modèle de soutien adopté par la CFP prévoit un dialogue continu avec les organisations par l’entremise d’un seul point de contact (les conseillers au soutien en dotation), </w:t>
      </w:r>
      <w:r w:rsidRPr="00B16F85">
        <w:rPr>
          <w:rFonts w:ascii="Arial" w:hAnsi="Arial" w:cs="Arial"/>
          <w:sz w:val="22"/>
          <w:szCs w:val="22"/>
          <w:lang w:val="fr-CA"/>
        </w:rPr>
        <w:lastRenderedPageBreak/>
        <w:t>une approche renouvelée de l’orientation, l’animation de séances d’information et la dispense d’une formation ciblée. Reposant sur la communication bilatérale et la collaboration, cette approche aide aussi les AG qui ont la responsabilité de surveiller le système de dotation de leur organisation. La CFP s’attend à ce que les organisations entreprennent une surveillance proactive et une amélior</w:t>
      </w:r>
      <w:r w:rsidR="00D44B6E" w:rsidRPr="00B16F85">
        <w:rPr>
          <w:rFonts w:ascii="Arial" w:hAnsi="Arial" w:cs="Arial"/>
          <w:sz w:val="22"/>
          <w:szCs w:val="22"/>
          <w:lang w:val="fr-CA"/>
        </w:rPr>
        <w:t>ation continue de la dotation.</w:t>
      </w:r>
    </w:p>
    <w:p w:rsidR="00D44B6E" w:rsidRPr="00B16F85" w:rsidRDefault="00D44B6E">
      <w:pPr>
        <w:rPr>
          <w:rFonts w:ascii="Arial" w:hAnsi="Arial" w:cs="Arial"/>
          <w:sz w:val="22"/>
          <w:szCs w:val="22"/>
          <w:lang w:val="fr-CA"/>
        </w:rPr>
      </w:pPr>
      <w:r w:rsidRPr="00B16F85">
        <w:rPr>
          <w:rFonts w:ascii="Arial" w:hAnsi="Arial" w:cs="Arial"/>
          <w:sz w:val="22"/>
          <w:szCs w:val="22"/>
          <w:lang w:val="fr-CA"/>
        </w:rPr>
        <w:br w:type="page"/>
      </w:r>
    </w:p>
    <w:p w:rsidR="00E015F4" w:rsidRPr="00B16F85" w:rsidRDefault="00E015F4" w:rsidP="00D44B6E">
      <w:pPr>
        <w:pStyle w:val="Level1"/>
        <w:numPr>
          <w:ilvl w:val="0"/>
          <w:numId w:val="11"/>
        </w:numPr>
        <w:autoSpaceDE w:val="0"/>
        <w:autoSpaceDN w:val="0"/>
        <w:adjustRightInd w:val="0"/>
        <w:spacing w:after="120"/>
        <w:rPr>
          <w:rFonts w:ascii="Arial" w:hAnsi="Arial" w:cs="Arial"/>
          <w:sz w:val="22"/>
          <w:szCs w:val="22"/>
          <w:lang w:val="fr-CA"/>
        </w:rPr>
      </w:pPr>
      <w:r w:rsidRPr="00B16F85">
        <w:rPr>
          <w:rFonts w:ascii="Arial" w:hAnsi="Arial" w:cs="Arial"/>
          <w:sz w:val="22"/>
          <w:szCs w:val="22"/>
          <w:lang w:val="fr-CA"/>
        </w:rPr>
        <w:lastRenderedPageBreak/>
        <w:t xml:space="preserve">La CFP s’efforce de suivre l’évolution des besoins des gestionnaires d’embauche et des candidats, et de soutenir le système de dotation de la fonction publique de l’avenir. Grâce à une collaboration avec nos partenaires, nous étudions de nouveaux moyens par lesquels attirer, recruter et évaluer les candidats. Nous recensons les possibilités d’amélioration de nos programmes et nos services en ciblant nos efforts sur les domaines où nous influons directement le système de dotation, notamment la plateforme de recrutement du gouvernement du Canada – Emplois GC. Nous étudions également de nouvelles approches pour que le processus de dotation soit intégré et intuitif, tant pour les candidats que pour les gestionnaires d’embauche, </w:t>
      </w:r>
      <w:r w:rsidRPr="00B16F85">
        <w:rPr>
          <w:rStyle w:val="tlid-translation"/>
          <w:rFonts w:ascii="Arial" w:hAnsi="Arial" w:cs="Arial"/>
          <w:sz w:val="22"/>
          <w:szCs w:val="22"/>
          <w:lang w:val="fr-CA"/>
        </w:rPr>
        <w:t>dans le but de réduire le durée totale du processus de dotation et de faire appel à la prochaine génération de talents.</w:t>
      </w:r>
    </w:p>
    <w:p w:rsidR="00E015F4" w:rsidRPr="00B16F85" w:rsidRDefault="00E015F4" w:rsidP="00E015F4">
      <w:pPr>
        <w:pStyle w:val="Level1"/>
        <w:autoSpaceDE w:val="0"/>
        <w:autoSpaceDN w:val="0"/>
        <w:adjustRightInd w:val="0"/>
        <w:jc w:val="right"/>
        <w:rPr>
          <w:rFonts w:ascii="Arial" w:hAnsi="Arial" w:cs="Arial"/>
          <w:sz w:val="22"/>
          <w:szCs w:val="22"/>
          <w:lang w:val="fr-CA"/>
        </w:rPr>
        <w:sectPr w:rsidR="00E015F4" w:rsidRPr="00B16F85" w:rsidSect="00EA0041">
          <w:headerReference w:type="default" r:id="rId8"/>
          <w:footerReference w:type="even" r:id="rId9"/>
          <w:footerReference w:type="default" r:id="rId10"/>
          <w:footnotePr>
            <w:numFmt w:val="lowerLetter"/>
          </w:footnotePr>
          <w:endnotePr>
            <w:numFmt w:val="lowerLetter"/>
          </w:endnotePr>
          <w:pgSz w:w="12240" w:h="15840" w:code="1"/>
          <w:pgMar w:top="709" w:right="1304" w:bottom="1361" w:left="1304" w:header="284" w:footer="284" w:gutter="0"/>
          <w:pgNumType w:start="1"/>
          <w:cols w:space="720"/>
          <w:docGrid w:linePitch="326"/>
        </w:sectPr>
      </w:pPr>
    </w:p>
    <w:p w:rsidR="00E015F4" w:rsidRPr="00B16F85" w:rsidRDefault="00E015F4" w:rsidP="00E015F4">
      <w:pPr>
        <w:pStyle w:val="Level1"/>
        <w:tabs>
          <w:tab w:val="left" w:pos="-1440"/>
        </w:tabs>
        <w:autoSpaceDE w:val="0"/>
        <w:autoSpaceDN w:val="0"/>
        <w:adjustRightInd w:val="0"/>
        <w:jc w:val="right"/>
        <w:rPr>
          <w:rFonts w:ascii="Arial" w:hAnsi="Arial" w:cs="Arial"/>
          <w:b/>
          <w:sz w:val="22"/>
          <w:szCs w:val="22"/>
          <w:lang w:val="fr-CA"/>
        </w:rPr>
      </w:pPr>
      <w:r w:rsidRPr="00B16F85">
        <w:rPr>
          <w:rFonts w:ascii="Arial" w:hAnsi="Arial" w:cs="Arial"/>
          <w:b/>
          <w:sz w:val="22"/>
          <w:szCs w:val="22"/>
          <w:lang w:val="fr-CA"/>
        </w:rPr>
        <w:lastRenderedPageBreak/>
        <w:t>A</w:t>
      </w:r>
      <w:bookmarkStart w:id="3" w:name="AnnexC"/>
      <w:bookmarkEnd w:id="3"/>
      <w:r w:rsidRPr="00B16F85">
        <w:rPr>
          <w:rFonts w:ascii="Arial" w:hAnsi="Arial" w:cs="Arial"/>
          <w:b/>
          <w:sz w:val="22"/>
          <w:szCs w:val="22"/>
          <w:lang w:val="fr-CA"/>
        </w:rPr>
        <w:t>nnexe C</w:t>
      </w:r>
    </w:p>
    <w:p w:rsidR="000E49DD" w:rsidRPr="00B16F85" w:rsidRDefault="000E49DD" w:rsidP="00E015F4">
      <w:pPr>
        <w:jc w:val="right"/>
        <w:rPr>
          <w:rStyle w:val="Hyperlink"/>
          <w:b/>
          <w:noProof/>
          <w:lang w:val="fr-CA" w:eastAsia="en-CA"/>
        </w:rPr>
      </w:pPr>
    </w:p>
    <w:p w:rsidR="000E49DD" w:rsidRPr="00B16F85" w:rsidRDefault="000E49DD" w:rsidP="000E49DD">
      <w:pPr>
        <w:pStyle w:val="Title"/>
        <w:spacing w:before="240"/>
        <w:contextualSpacing w:val="0"/>
        <w:jc w:val="center"/>
        <w:rPr>
          <w:rFonts w:asciiTheme="minorBidi" w:hAnsiTheme="minorBidi" w:cstheme="minorBidi"/>
          <w:sz w:val="40"/>
          <w:szCs w:val="40"/>
          <w:lang w:val="fr-CA"/>
        </w:rPr>
      </w:pPr>
      <w:r w:rsidRPr="00B16F85">
        <w:rPr>
          <w:rFonts w:ascii="Georgia" w:hAnsi="Georgia"/>
          <w:sz w:val="40"/>
          <w:szCs w:val="40"/>
          <w:lang w:val="fr-CA"/>
        </w:rPr>
        <w:t xml:space="preserve">Une </w:t>
      </w:r>
      <w:r w:rsidRPr="00B16F85">
        <w:rPr>
          <w:rFonts w:ascii="Arial" w:hAnsi="Arial" w:cs="Arial"/>
          <w:b/>
          <w:sz w:val="40"/>
          <w:szCs w:val="40"/>
          <w:lang w:val="fr-CA"/>
        </w:rPr>
        <w:t>nouvelle orientation</w:t>
      </w:r>
      <w:r w:rsidRPr="00B16F85">
        <w:rPr>
          <w:rFonts w:ascii="Georgia" w:hAnsi="Georgia"/>
          <w:sz w:val="40"/>
          <w:szCs w:val="40"/>
          <w:lang w:val="fr-CA"/>
        </w:rPr>
        <w:t xml:space="preserve"> </w:t>
      </w:r>
      <w:r w:rsidRPr="00B16F85">
        <w:rPr>
          <w:rStyle w:val="SubtleEmphasis"/>
          <w:color w:val="auto"/>
          <w:sz w:val="40"/>
          <w:szCs w:val="40"/>
          <w:lang w:val="fr-CA"/>
        </w:rPr>
        <w:t>en</w:t>
      </w:r>
      <w:r w:rsidRPr="00B16F85">
        <w:rPr>
          <w:rFonts w:ascii="Georgia" w:hAnsi="Georgia"/>
          <w:sz w:val="40"/>
          <w:szCs w:val="40"/>
          <w:lang w:val="fr-CA"/>
        </w:rPr>
        <w:t xml:space="preserve"> dotation</w:t>
      </w:r>
    </w:p>
    <w:p w:rsidR="000E49DD" w:rsidRPr="00B16F85" w:rsidRDefault="000E49DD" w:rsidP="000E49DD">
      <w:pPr>
        <w:jc w:val="center"/>
        <w:rPr>
          <w:rFonts w:ascii="Arial" w:hAnsi="Arial" w:cs="Arial"/>
          <w:b/>
          <w:color w:val="000000" w:themeColor="text1"/>
          <w:spacing w:val="44"/>
          <w:sz w:val="20"/>
          <w:lang w:val="fr-CA"/>
        </w:rPr>
      </w:pPr>
      <w:r w:rsidRPr="00B16F85">
        <w:rPr>
          <w:rFonts w:ascii="Arial" w:hAnsi="Arial" w:cs="Arial"/>
          <w:b/>
          <w:color w:val="000000" w:themeColor="text1"/>
          <w:spacing w:val="44"/>
          <w:sz w:val="20"/>
          <w:lang w:val="fr-CA"/>
        </w:rPr>
        <w:t>Un système fondé sur le mérite et axé sur l’efficacité, l’efficience et la justice</w:t>
      </w:r>
    </w:p>
    <w:p w:rsidR="000E49DD" w:rsidRPr="00B16F85" w:rsidRDefault="000E49DD" w:rsidP="000E49DD">
      <w:pPr>
        <w:pStyle w:val="ListParagraph"/>
        <w:rPr>
          <w:color w:val="000000" w:themeColor="text1"/>
          <w:sz w:val="12"/>
          <w:szCs w:val="12"/>
        </w:rPr>
      </w:pPr>
    </w:p>
    <w:p w:rsidR="000E49DD" w:rsidRPr="00B16F85" w:rsidRDefault="000E49DD" w:rsidP="000E49DD">
      <w:pPr>
        <w:rPr>
          <w:color w:val="000000" w:themeColor="text1"/>
          <w:sz w:val="18"/>
          <w:szCs w:val="18"/>
          <w:lang w:val="fr-CA"/>
        </w:rPr>
      </w:pPr>
    </w:p>
    <w:p w:rsidR="000E49DD" w:rsidRPr="00B16F85" w:rsidRDefault="000E49DD" w:rsidP="000E49DD">
      <w:pPr>
        <w:pStyle w:val="ListParagraph"/>
        <w:numPr>
          <w:ilvl w:val="0"/>
          <w:numId w:val="39"/>
        </w:numPr>
        <w:spacing w:after="0" w:line="240" w:lineRule="auto"/>
        <w:rPr>
          <w:rFonts w:ascii="Arial" w:hAnsi="Arial" w:cs="Arial"/>
        </w:rPr>
      </w:pPr>
      <w:r w:rsidRPr="00B16F85">
        <w:rPr>
          <w:rFonts w:ascii="Arial" w:hAnsi="Arial" w:cs="Arial"/>
        </w:rPr>
        <w:t>Politique de nomination</w:t>
      </w:r>
    </w:p>
    <w:p w:rsidR="000E49DD" w:rsidRPr="00B16F85" w:rsidRDefault="000E49DD" w:rsidP="000E49DD">
      <w:pPr>
        <w:pStyle w:val="ListParagraph"/>
        <w:rPr>
          <w:rFonts w:ascii="Arial" w:hAnsi="Arial" w:cs="Arial"/>
          <w:sz w:val="16"/>
          <w:szCs w:val="16"/>
        </w:rPr>
      </w:pPr>
    </w:p>
    <w:p w:rsidR="000E49DD" w:rsidRPr="00B16F85" w:rsidRDefault="000E49DD" w:rsidP="00C94CAC">
      <w:pPr>
        <w:ind w:firstLine="360"/>
        <w:rPr>
          <w:rFonts w:ascii="Arial" w:hAnsi="Arial" w:cs="Arial"/>
          <w:i/>
          <w:color w:val="000000" w:themeColor="text1"/>
          <w:spacing w:val="-6"/>
          <w:sz w:val="22"/>
          <w:szCs w:val="22"/>
          <w:lang w:val="fr-CA"/>
        </w:rPr>
      </w:pPr>
      <w:r w:rsidRPr="00B16F85">
        <w:rPr>
          <w:rFonts w:ascii="Arial" w:hAnsi="Arial" w:cs="Arial"/>
          <w:b/>
          <w:i/>
          <w:color w:val="0070C0"/>
          <w:spacing w:val="-6"/>
          <w:sz w:val="22"/>
          <w:szCs w:val="22"/>
          <w:lang w:val="fr-CA"/>
        </w:rPr>
        <w:t>L’accent est davantage mis sur  les exigences de base</w:t>
      </w:r>
      <w:r w:rsidRPr="00B16F85">
        <w:rPr>
          <w:rFonts w:ascii="Arial" w:hAnsi="Arial" w:cs="Arial"/>
          <w:i/>
          <w:color w:val="000000" w:themeColor="text1"/>
          <w:spacing w:val="-6"/>
          <w:sz w:val="22"/>
          <w:szCs w:val="22"/>
          <w:lang w:val="fr-CA"/>
        </w:rPr>
        <w:t xml:space="preserve"> afin de fournir aux personnes subdéléguées une plus grande  latitude à l’égard des nominations</w:t>
      </w:r>
    </w:p>
    <w:p w:rsidR="000E49DD" w:rsidRPr="00B16F85" w:rsidRDefault="000E49DD" w:rsidP="000E49DD">
      <w:pPr>
        <w:ind w:left="851"/>
        <w:rPr>
          <w:rFonts w:ascii="Arial" w:hAnsi="Arial" w:cs="Arial"/>
          <w:i/>
          <w:color w:val="000000" w:themeColor="text1"/>
          <w:spacing w:val="-6"/>
          <w:sz w:val="22"/>
          <w:szCs w:val="22"/>
          <w:lang w:val="fr-CA"/>
        </w:rPr>
      </w:pPr>
    </w:p>
    <w:p w:rsidR="000E49DD" w:rsidRPr="00C94CAC" w:rsidRDefault="000E49DD" w:rsidP="00C94CAC">
      <w:pPr>
        <w:pStyle w:val="ListParagraph"/>
        <w:numPr>
          <w:ilvl w:val="2"/>
          <w:numId w:val="40"/>
        </w:numPr>
        <w:ind w:left="1570" w:hanging="357"/>
        <w:rPr>
          <w:rFonts w:ascii="Arial" w:hAnsi="Arial" w:cs="Arial"/>
          <w:color w:val="000000" w:themeColor="text1"/>
          <w:spacing w:val="-6"/>
        </w:rPr>
      </w:pPr>
      <w:r w:rsidRPr="00C94CAC">
        <w:rPr>
          <w:rFonts w:ascii="Arial" w:hAnsi="Arial" w:cs="Arial"/>
          <w:b/>
          <w:color w:val="0070C0"/>
          <w:spacing w:val="-6"/>
        </w:rPr>
        <w:t>Une seule politique de nomination</w:t>
      </w:r>
      <w:r w:rsidRPr="00C94CAC">
        <w:rPr>
          <w:rFonts w:ascii="Arial" w:hAnsi="Arial" w:cs="Arial"/>
          <w:color w:val="000000" w:themeColor="text1"/>
          <w:spacing w:val="-6"/>
        </w:rPr>
        <w:t xml:space="preserve">, sans chevauchement des obligations juridiques </w:t>
      </w:r>
    </w:p>
    <w:p w:rsidR="000E49DD" w:rsidRPr="00C94CAC" w:rsidRDefault="000E49DD" w:rsidP="00C94CAC">
      <w:pPr>
        <w:pStyle w:val="ListParagraph"/>
        <w:numPr>
          <w:ilvl w:val="2"/>
          <w:numId w:val="40"/>
        </w:numPr>
        <w:ind w:left="1570" w:hanging="357"/>
        <w:rPr>
          <w:rFonts w:ascii="Arial" w:hAnsi="Arial" w:cs="Arial"/>
          <w:color w:val="000000" w:themeColor="text1"/>
          <w:spacing w:val="-6"/>
        </w:rPr>
      </w:pPr>
      <w:r w:rsidRPr="00C94CAC">
        <w:rPr>
          <w:rFonts w:ascii="Arial" w:hAnsi="Arial" w:cs="Arial"/>
          <w:b/>
          <w:color w:val="0070C0"/>
          <w:spacing w:val="-6"/>
        </w:rPr>
        <w:t>Accent accru sur un système axé sur les valeurs</w:t>
      </w:r>
      <w:r w:rsidRPr="00C94CAC">
        <w:rPr>
          <w:rFonts w:ascii="Arial" w:hAnsi="Arial" w:cs="Arial"/>
          <w:color w:val="2E74B5" w:themeColor="accent1" w:themeShade="BF"/>
        </w:rPr>
        <w:t xml:space="preserve"> </w:t>
      </w:r>
      <w:r w:rsidRPr="00C94CAC">
        <w:rPr>
          <w:rFonts w:ascii="Arial" w:hAnsi="Arial" w:cs="Arial"/>
        </w:rPr>
        <w:t xml:space="preserve">plutôt que sur un </w:t>
      </w:r>
      <w:r w:rsidRPr="00C94CAC">
        <w:rPr>
          <w:rFonts w:ascii="Arial" w:hAnsi="Arial" w:cs="Arial"/>
          <w:spacing w:val="-6"/>
        </w:rPr>
        <w:t>système axé sur les règles</w:t>
      </w:r>
      <w:r w:rsidRPr="00C94CAC">
        <w:rPr>
          <w:rFonts w:ascii="Arial" w:hAnsi="Arial" w:cs="Arial"/>
          <w:b/>
          <w:spacing w:val="-6"/>
        </w:rPr>
        <w:t xml:space="preserve"> </w:t>
      </w:r>
    </w:p>
    <w:p w:rsidR="00C94CAC" w:rsidRPr="00C94CAC" w:rsidRDefault="000E49DD" w:rsidP="00C94CAC">
      <w:pPr>
        <w:pStyle w:val="ListParagraph"/>
        <w:numPr>
          <w:ilvl w:val="2"/>
          <w:numId w:val="40"/>
        </w:numPr>
        <w:ind w:left="1570" w:hanging="357"/>
        <w:rPr>
          <w:rFonts w:ascii="Arial" w:hAnsi="Arial" w:cs="Arial"/>
          <w:color w:val="000000" w:themeColor="text1"/>
          <w:spacing w:val="-6"/>
        </w:rPr>
      </w:pPr>
      <w:r w:rsidRPr="00C94CAC">
        <w:rPr>
          <w:rFonts w:ascii="Arial" w:hAnsi="Arial" w:cs="Arial"/>
          <w:color w:val="000000" w:themeColor="text1"/>
          <w:spacing w:val="-6"/>
        </w:rPr>
        <w:t xml:space="preserve">Politique de nomination appuyée par une </w:t>
      </w:r>
      <w:r w:rsidRPr="00C94CAC">
        <w:rPr>
          <w:rFonts w:ascii="Arial" w:hAnsi="Arial" w:cs="Arial"/>
          <w:b/>
          <w:color w:val="0070C0"/>
          <w:spacing w:val="-6"/>
        </w:rPr>
        <w:t xml:space="preserve">orientation rationalisée </w:t>
      </w:r>
      <w:r w:rsidRPr="00C94CAC">
        <w:rPr>
          <w:rFonts w:ascii="Arial" w:hAnsi="Arial" w:cs="Arial"/>
          <w:color w:val="0070C0"/>
          <w:spacing w:val="-6"/>
        </w:rPr>
        <w:t>:</w:t>
      </w:r>
    </w:p>
    <w:p w:rsidR="000E49DD" w:rsidRDefault="000E49DD" w:rsidP="00C94CAC">
      <w:pPr>
        <w:pStyle w:val="ListParagraph"/>
        <w:numPr>
          <w:ilvl w:val="4"/>
          <w:numId w:val="40"/>
        </w:numPr>
        <w:ind w:leftChars="1077" w:left="2945"/>
        <w:rPr>
          <w:rFonts w:ascii="Arial" w:hAnsi="Arial" w:cs="Arial"/>
          <w:color w:val="000000" w:themeColor="text1"/>
          <w:spacing w:val="-6"/>
        </w:rPr>
      </w:pPr>
      <w:r w:rsidRPr="00C94CAC">
        <w:rPr>
          <w:rFonts w:ascii="Arial" w:hAnsi="Arial" w:cs="Arial"/>
          <w:color w:val="000000" w:themeColor="text1"/>
          <w:spacing w:val="-6"/>
        </w:rPr>
        <w:t>Feuille de route précisant les exigences relatives aux lois, règlements et politiques</w:t>
      </w:r>
    </w:p>
    <w:p w:rsidR="000E49DD" w:rsidRPr="00C94CAC" w:rsidRDefault="000E49DD" w:rsidP="00C94CAC">
      <w:pPr>
        <w:pStyle w:val="ListParagraph"/>
        <w:numPr>
          <w:ilvl w:val="4"/>
          <w:numId w:val="40"/>
        </w:numPr>
        <w:ind w:leftChars="1077" w:left="2945"/>
        <w:rPr>
          <w:rFonts w:ascii="Arial" w:hAnsi="Arial" w:cs="Arial"/>
          <w:color w:val="000000" w:themeColor="text1"/>
          <w:spacing w:val="-6"/>
        </w:rPr>
      </w:pPr>
      <w:r w:rsidRPr="00C94CAC">
        <w:rPr>
          <w:rFonts w:ascii="Arial" w:hAnsi="Arial" w:cs="Arial"/>
          <w:color w:val="000000" w:themeColor="text1"/>
          <w:spacing w:val="-6"/>
        </w:rPr>
        <w:t>Options et considérations relatives à  la prise de décisions dans les cas où il existe une certaine latitude</w:t>
      </w:r>
    </w:p>
    <w:p w:rsidR="000E49DD" w:rsidRPr="00B16F85" w:rsidRDefault="000E49DD" w:rsidP="00C94CAC">
      <w:pPr>
        <w:pStyle w:val="ListParagraph"/>
        <w:ind w:leftChars="1077" w:left="2585"/>
        <w:rPr>
          <w:rFonts w:ascii="Arial" w:hAnsi="Arial" w:cs="Arial"/>
          <w:color w:val="000000" w:themeColor="text1"/>
          <w:spacing w:val="-6"/>
        </w:rPr>
      </w:pPr>
    </w:p>
    <w:p w:rsidR="000E49DD" w:rsidRPr="00B16F85" w:rsidRDefault="000E49DD" w:rsidP="00C94CAC">
      <w:pPr>
        <w:pStyle w:val="ListParagraph"/>
        <w:numPr>
          <w:ilvl w:val="0"/>
          <w:numId w:val="48"/>
        </w:numPr>
        <w:rPr>
          <w:rFonts w:ascii="Arial" w:hAnsi="Arial" w:cs="Arial"/>
          <w:color w:val="000000" w:themeColor="text1"/>
          <w:spacing w:val="-6"/>
        </w:rPr>
      </w:pPr>
      <w:r w:rsidRPr="00B16F85">
        <w:rPr>
          <w:rFonts w:ascii="Arial" w:hAnsi="Arial" w:cs="Arial"/>
          <w:b/>
          <w:color w:val="0070C0"/>
          <w:spacing w:val="-6"/>
        </w:rPr>
        <w:t>Attentes clairement définies</w:t>
      </w:r>
      <w:r w:rsidRPr="00B16F85">
        <w:rPr>
          <w:rFonts w:ascii="Arial" w:hAnsi="Arial" w:cs="Arial"/>
          <w:color w:val="000000" w:themeColor="text1"/>
          <w:spacing w:val="-6"/>
        </w:rPr>
        <w:t xml:space="preserve"> quant aux droits de priorité</w:t>
      </w:r>
    </w:p>
    <w:p w:rsidR="000E49DD" w:rsidRDefault="000E49DD" w:rsidP="00C94CAC">
      <w:pPr>
        <w:pStyle w:val="ListParagraph"/>
        <w:numPr>
          <w:ilvl w:val="0"/>
          <w:numId w:val="48"/>
        </w:numPr>
        <w:rPr>
          <w:rFonts w:ascii="Arial" w:hAnsi="Arial" w:cs="Arial"/>
          <w:spacing w:val="-6"/>
        </w:rPr>
      </w:pPr>
      <w:r w:rsidRPr="00B16F85">
        <w:rPr>
          <w:rFonts w:ascii="Arial" w:hAnsi="Arial" w:cs="Arial"/>
          <w:spacing w:val="-6"/>
        </w:rPr>
        <w:t>Aucune restriction quant aux méthodes d’évaluation pour la  nomination des cadres de direction (EX)</w:t>
      </w:r>
    </w:p>
    <w:p w:rsidR="000E49DD" w:rsidRPr="00C94CAC" w:rsidRDefault="000E49DD" w:rsidP="00C94CAC">
      <w:pPr>
        <w:pStyle w:val="ListParagraph"/>
        <w:numPr>
          <w:ilvl w:val="0"/>
          <w:numId w:val="48"/>
        </w:numPr>
        <w:rPr>
          <w:rFonts w:ascii="Arial" w:hAnsi="Arial" w:cs="Arial"/>
          <w:spacing w:val="-6"/>
        </w:rPr>
      </w:pPr>
      <w:r w:rsidRPr="00C94CAC">
        <w:rPr>
          <w:rFonts w:ascii="Arial" w:hAnsi="Arial" w:cs="Arial"/>
          <w:spacing w:val="-6"/>
        </w:rPr>
        <w:t>Exceptions à la zone nationale de sélection approuvées</w:t>
      </w:r>
    </w:p>
    <w:p w:rsidR="000E49DD" w:rsidRPr="00B16F85" w:rsidRDefault="000E49DD" w:rsidP="000E49DD">
      <w:pPr>
        <w:ind w:left="709"/>
        <w:jc w:val="both"/>
        <w:rPr>
          <w:rFonts w:ascii="Arial" w:hAnsi="Arial" w:cs="Arial"/>
          <w:sz w:val="22"/>
          <w:szCs w:val="22"/>
          <w:lang w:val="fr-CA"/>
        </w:rPr>
      </w:pPr>
    </w:p>
    <w:p w:rsidR="000E49DD" w:rsidRPr="00B16F85" w:rsidRDefault="000E49DD" w:rsidP="000E49DD">
      <w:pPr>
        <w:pStyle w:val="ListParagraph"/>
        <w:numPr>
          <w:ilvl w:val="0"/>
          <w:numId w:val="41"/>
        </w:numPr>
        <w:spacing w:after="0" w:line="240" w:lineRule="auto"/>
        <w:rPr>
          <w:rFonts w:ascii="Arial" w:hAnsi="Arial" w:cs="Arial"/>
        </w:rPr>
      </w:pPr>
      <w:r w:rsidRPr="00B16F85">
        <w:rPr>
          <w:rFonts w:ascii="Arial" w:hAnsi="Arial" w:cs="Arial"/>
        </w:rPr>
        <w:t>Délégation</w:t>
      </w:r>
    </w:p>
    <w:p w:rsidR="000E49DD" w:rsidRPr="00B16F85" w:rsidRDefault="000E49DD" w:rsidP="000E49DD">
      <w:pPr>
        <w:pStyle w:val="ListParagraph"/>
        <w:rPr>
          <w:rFonts w:ascii="Arial" w:hAnsi="Arial" w:cs="Arial"/>
        </w:rPr>
      </w:pPr>
    </w:p>
    <w:p w:rsidR="000E49DD" w:rsidRPr="00B16F85" w:rsidRDefault="000E49DD" w:rsidP="000E49DD">
      <w:pPr>
        <w:ind w:left="851"/>
        <w:rPr>
          <w:rFonts w:ascii="Arial" w:hAnsi="Arial" w:cs="Arial"/>
          <w:i/>
          <w:color w:val="000000" w:themeColor="text1"/>
          <w:spacing w:val="-8"/>
          <w:sz w:val="22"/>
          <w:szCs w:val="22"/>
          <w:lang w:val="fr-CA"/>
        </w:rPr>
      </w:pPr>
      <w:r w:rsidRPr="00B16F85">
        <w:rPr>
          <w:rFonts w:ascii="Arial" w:hAnsi="Arial" w:cs="Arial"/>
          <w:b/>
          <w:i/>
          <w:color w:val="0070C0"/>
          <w:spacing w:val="-8"/>
          <w:sz w:val="22"/>
          <w:szCs w:val="22"/>
          <w:lang w:val="fr-CA"/>
        </w:rPr>
        <w:t xml:space="preserve">L’accent est davantage mis sur la capacité d’adapter </w:t>
      </w:r>
      <w:r w:rsidRPr="00B16F85">
        <w:rPr>
          <w:rFonts w:ascii="Arial" w:hAnsi="Arial" w:cs="Arial"/>
          <w:b/>
          <w:bCs/>
          <w:i/>
          <w:color w:val="0070C0"/>
          <w:spacing w:val="-8"/>
          <w:sz w:val="22"/>
          <w:szCs w:val="22"/>
          <w:lang w:val="fr-CA"/>
        </w:rPr>
        <w:t>le système de dotation  de l’organisation</w:t>
      </w:r>
      <w:r w:rsidRPr="00B16F85">
        <w:rPr>
          <w:rFonts w:ascii="Arial" w:hAnsi="Arial" w:cs="Arial"/>
          <w:b/>
          <w:bCs/>
          <w:i/>
          <w:color w:val="000000" w:themeColor="text1"/>
          <w:spacing w:val="-8"/>
          <w:sz w:val="22"/>
          <w:szCs w:val="22"/>
          <w:lang w:val="fr-CA"/>
        </w:rPr>
        <w:t xml:space="preserve"> </w:t>
      </w:r>
      <w:r w:rsidRPr="00B16F85">
        <w:rPr>
          <w:rFonts w:ascii="Arial" w:hAnsi="Arial" w:cs="Arial"/>
          <w:i/>
          <w:color w:val="000000" w:themeColor="text1"/>
          <w:spacing w:val="-8"/>
          <w:sz w:val="22"/>
          <w:szCs w:val="22"/>
          <w:lang w:val="fr-CA"/>
        </w:rPr>
        <w:t xml:space="preserve">en fonction du contexte particulier et des besoins opérationnels en évolution </w:t>
      </w:r>
    </w:p>
    <w:p w:rsidR="000E49DD" w:rsidRPr="00B16F85" w:rsidRDefault="000E49DD" w:rsidP="000E49DD">
      <w:pPr>
        <w:rPr>
          <w:rFonts w:ascii="Arial" w:hAnsi="Arial" w:cs="Arial"/>
          <w:b/>
          <w:i/>
          <w:color w:val="0070C0"/>
          <w:spacing w:val="-8"/>
          <w:sz w:val="22"/>
          <w:szCs w:val="22"/>
          <w:lang w:val="fr-CA"/>
        </w:rPr>
      </w:pPr>
    </w:p>
    <w:p w:rsidR="000E49DD" w:rsidRPr="00B16F85" w:rsidRDefault="000E49DD" w:rsidP="000E49DD">
      <w:pPr>
        <w:pStyle w:val="ListParagraph"/>
        <w:numPr>
          <w:ilvl w:val="0"/>
          <w:numId w:val="42"/>
        </w:numPr>
        <w:ind w:left="1418" w:hanging="567"/>
        <w:rPr>
          <w:rFonts w:ascii="Arial" w:hAnsi="Arial" w:cs="Arial"/>
          <w:color w:val="000000" w:themeColor="text1"/>
          <w:spacing w:val="-8"/>
        </w:rPr>
      </w:pPr>
      <w:r w:rsidRPr="00B16F85">
        <w:rPr>
          <w:rFonts w:ascii="Arial" w:hAnsi="Arial" w:cs="Arial"/>
          <w:color w:val="000000" w:themeColor="text1"/>
          <w:spacing w:val="-8"/>
        </w:rPr>
        <w:t xml:space="preserve">L’administrateur général établit une orientation quant à </w:t>
      </w:r>
      <w:r w:rsidRPr="00B16F85">
        <w:rPr>
          <w:rFonts w:ascii="Arial" w:hAnsi="Arial" w:cs="Arial"/>
          <w:b/>
          <w:color w:val="0070C0"/>
          <w:spacing w:val="-8"/>
        </w:rPr>
        <w:t>l’utilisation des processus de nomination annoncés et non annoncés</w:t>
      </w:r>
      <w:r w:rsidRPr="00B16F85">
        <w:rPr>
          <w:rFonts w:ascii="Arial" w:hAnsi="Arial" w:cs="Arial"/>
          <w:color w:val="0070C0"/>
          <w:spacing w:val="-8"/>
        </w:rPr>
        <w:t xml:space="preserve"> </w:t>
      </w:r>
    </w:p>
    <w:p w:rsidR="000E49DD" w:rsidRPr="00B16F85" w:rsidRDefault="000E49DD" w:rsidP="000E49DD">
      <w:pPr>
        <w:pStyle w:val="ListParagraph"/>
        <w:numPr>
          <w:ilvl w:val="0"/>
          <w:numId w:val="42"/>
        </w:numPr>
        <w:ind w:left="1418" w:hanging="567"/>
        <w:rPr>
          <w:rFonts w:ascii="Arial" w:hAnsi="Arial" w:cs="Arial"/>
          <w:color w:val="000000" w:themeColor="text1"/>
          <w:spacing w:val="-8"/>
        </w:rPr>
      </w:pPr>
      <w:r w:rsidRPr="00B16F85">
        <w:rPr>
          <w:rFonts w:ascii="Arial" w:hAnsi="Arial" w:cs="Arial"/>
          <w:color w:val="000000" w:themeColor="text1"/>
          <w:spacing w:val="-8"/>
        </w:rPr>
        <w:t xml:space="preserve">L’administrateur général établit les exigences pour les personnes subdéléguées </w:t>
      </w:r>
      <w:r w:rsidRPr="00B16F85">
        <w:rPr>
          <w:rFonts w:ascii="Arial" w:hAnsi="Arial" w:cs="Arial"/>
          <w:b/>
          <w:color w:val="0070C0"/>
          <w:spacing w:val="-8"/>
        </w:rPr>
        <w:t xml:space="preserve">de formuler, par écrit, la décision de sélection </w:t>
      </w:r>
    </w:p>
    <w:p w:rsidR="000E49DD" w:rsidRPr="00B16F85" w:rsidRDefault="000E49DD" w:rsidP="000E49DD">
      <w:pPr>
        <w:pStyle w:val="ListParagraph"/>
        <w:numPr>
          <w:ilvl w:val="0"/>
          <w:numId w:val="42"/>
        </w:numPr>
        <w:ind w:left="1418" w:hanging="567"/>
        <w:rPr>
          <w:rFonts w:ascii="Arial" w:hAnsi="Arial" w:cs="Arial"/>
          <w:color w:val="000000" w:themeColor="text1"/>
          <w:spacing w:val="-8"/>
        </w:rPr>
      </w:pPr>
      <w:r w:rsidRPr="00B16F85">
        <w:rPr>
          <w:rFonts w:ascii="Arial" w:hAnsi="Arial" w:cs="Arial"/>
          <w:color w:val="000000" w:themeColor="text1"/>
          <w:spacing w:val="-8"/>
        </w:rPr>
        <w:t>Exigences plus claires concernant les enquêtes</w:t>
      </w:r>
    </w:p>
    <w:p w:rsidR="000E49DD" w:rsidRPr="00B16F85" w:rsidRDefault="000E49DD" w:rsidP="000E49DD">
      <w:pPr>
        <w:pStyle w:val="ListParagraph"/>
        <w:numPr>
          <w:ilvl w:val="0"/>
          <w:numId w:val="42"/>
        </w:numPr>
        <w:ind w:left="1418" w:hanging="567"/>
        <w:rPr>
          <w:rFonts w:ascii="Arial" w:hAnsi="Arial" w:cs="Arial"/>
          <w:color w:val="000000" w:themeColor="text1"/>
          <w:spacing w:val="-8"/>
        </w:rPr>
      </w:pPr>
      <w:r w:rsidRPr="00B16F85">
        <w:rPr>
          <w:rFonts w:ascii="Arial" w:hAnsi="Arial" w:cs="Arial"/>
          <w:b/>
          <w:color w:val="0070C0"/>
          <w:spacing w:val="-8"/>
        </w:rPr>
        <w:t>Formulaire d’attestation</w:t>
      </w:r>
      <w:r w:rsidRPr="00B16F85">
        <w:rPr>
          <w:rFonts w:ascii="Arial" w:hAnsi="Arial" w:cs="Arial"/>
          <w:color w:val="000000" w:themeColor="text1"/>
          <w:spacing w:val="-8"/>
        </w:rPr>
        <w:t xml:space="preserve"> réitérant les responsabilités des personnes subdéléguées</w:t>
      </w:r>
    </w:p>
    <w:p w:rsidR="000E49DD" w:rsidRPr="00B16F85" w:rsidRDefault="000E49DD" w:rsidP="000E49DD">
      <w:pPr>
        <w:ind w:left="851" w:right="-202"/>
        <w:rPr>
          <w:rFonts w:ascii="Arial" w:hAnsi="Arial" w:cs="Arial"/>
          <w:color w:val="7030A0"/>
          <w:spacing w:val="-8"/>
          <w:sz w:val="22"/>
          <w:szCs w:val="22"/>
          <w:lang w:val="fr-CA"/>
        </w:rPr>
      </w:pPr>
      <w:r w:rsidRPr="00B16F85">
        <w:rPr>
          <w:rFonts w:ascii="Arial" w:hAnsi="Arial" w:cs="Arial"/>
          <w:color w:val="000000" w:themeColor="text1"/>
          <w:spacing w:val="-8"/>
          <w:sz w:val="22"/>
          <w:szCs w:val="22"/>
          <w:lang w:val="fr-CA"/>
        </w:rPr>
        <w:t>Toutes les exigences de la CFP en matière de surveillance et de présentation de rapports figurent maintenant dans l’Instrument de délégation et de responsabilisation en matière de nomination</w:t>
      </w:r>
      <w:r w:rsidRPr="00B16F85">
        <w:rPr>
          <w:rFonts w:ascii="Arial" w:hAnsi="Arial" w:cs="Arial"/>
          <w:color w:val="7030A0"/>
          <w:spacing w:val="-8"/>
          <w:sz w:val="22"/>
          <w:szCs w:val="22"/>
          <w:lang w:val="fr-CA"/>
        </w:rPr>
        <w:t xml:space="preserve"> </w:t>
      </w:r>
    </w:p>
    <w:p w:rsidR="000E49DD" w:rsidRPr="00B16F85" w:rsidRDefault="000E49DD" w:rsidP="000E49DD">
      <w:pPr>
        <w:pStyle w:val="ListParagraph"/>
        <w:rPr>
          <w:rFonts w:ascii="Arial" w:hAnsi="Arial" w:cs="Arial"/>
        </w:rPr>
      </w:pPr>
    </w:p>
    <w:p w:rsidR="000E49DD" w:rsidRPr="00B16F85" w:rsidRDefault="000E49DD" w:rsidP="000E49DD">
      <w:pPr>
        <w:pStyle w:val="ListParagraph"/>
        <w:numPr>
          <w:ilvl w:val="0"/>
          <w:numId w:val="43"/>
        </w:numPr>
        <w:spacing w:after="0" w:line="240" w:lineRule="auto"/>
        <w:rPr>
          <w:rFonts w:ascii="Arial" w:hAnsi="Arial" w:cs="Arial"/>
        </w:rPr>
      </w:pPr>
      <w:r w:rsidRPr="00B16F85">
        <w:rPr>
          <w:rFonts w:ascii="Arial" w:hAnsi="Arial" w:cs="Arial"/>
        </w:rPr>
        <w:t>Surveillance et rapports</w:t>
      </w:r>
    </w:p>
    <w:p w:rsidR="000E49DD" w:rsidRPr="00B16F85" w:rsidRDefault="000E49DD" w:rsidP="000E49DD">
      <w:pPr>
        <w:pStyle w:val="ListParagraph"/>
        <w:rPr>
          <w:rFonts w:ascii="Arial" w:hAnsi="Arial" w:cs="Arial"/>
        </w:rPr>
      </w:pPr>
    </w:p>
    <w:p w:rsidR="000E49DD" w:rsidRPr="00B16F85" w:rsidRDefault="000E49DD" w:rsidP="000E49DD">
      <w:pPr>
        <w:ind w:left="851"/>
        <w:rPr>
          <w:rFonts w:ascii="Arial" w:hAnsi="Arial" w:cs="Arial"/>
          <w:i/>
          <w:color w:val="000000" w:themeColor="text1"/>
          <w:sz w:val="22"/>
          <w:szCs w:val="22"/>
          <w:lang w:val="fr-CA"/>
        </w:rPr>
      </w:pPr>
      <w:r w:rsidRPr="00B16F85">
        <w:rPr>
          <w:rFonts w:ascii="Arial" w:hAnsi="Arial" w:cs="Arial"/>
          <w:b/>
          <w:i/>
          <w:color w:val="0070C0"/>
          <w:sz w:val="22"/>
          <w:szCs w:val="22"/>
          <w:lang w:val="fr-CA"/>
        </w:rPr>
        <w:t xml:space="preserve">La surveillance est établie par les organisations, </w:t>
      </w:r>
      <w:r w:rsidRPr="00B16F85">
        <w:rPr>
          <w:rFonts w:ascii="Arial" w:hAnsi="Arial" w:cs="Arial"/>
          <w:i/>
          <w:color w:val="000000" w:themeColor="text1"/>
          <w:sz w:val="22"/>
          <w:szCs w:val="22"/>
          <w:lang w:val="fr-CA"/>
        </w:rPr>
        <w:t>ciblée à leurs besoins</w:t>
      </w:r>
    </w:p>
    <w:p w:rsidR="000E49DD" w:rsidRPr="00B16F85" w:rsidRDefault="000E49DD" w:rsidP="000E49DD">
      <w:pPr>
        <w:ind w:left="851"/>
        <w:rPr>
          <w:rFonts w:ascii="Arial" w:hAnsi="Arial" w:cs="Arial"/>
          <w:i/>
          <w:color w:val="000000" w:themeColor="text1"/>
          <w:sz w:val="22"/>
          <w:szCs w:val="22"/>
          <w:highlight w:val="yellow"/>
          <w:lang w:val="fr-CA"/>
        </w:rPr>
      </w:pPr>
    </w:p>
    <w:p w:rsidR="000E49DD" w:rsidRPr="00B16F85" w:rsidRDefault="000E49DD" w:rsidP="000E49DD">
      <w:pPr>
        <w:pStyle w:val="ListParagraph"/>
        <w:numPr>
          <w:ilvl w:val="0"/>
          <w:numId w:val="44"/>
        </w:numPr>
        <w:ind w:left="1418" w:hanging="567"/>
        <w:rPr>
          <w:rFonts w:ascii="Arial" w:hAnsi="Arial" w:cs="Arial"/>
          <w:color w:val="000000" w:themeColor="text1"/>
        </w:rPr>
      </w:pPr>
      <w:r w:rsidRPr="00B16F85">
        <w:rPr>
          <w:rFonts w:ascii="Arial" w:hAnsi="Arial" w:cs="Arial"/>
          <w:color w:val="000000" w:themeColor="text1"/>
        </w:rPr>
        <w:t>Le Rapport ministériel sur l’obligation de rendre compte en dotation n’est plus requis</w:t>
      </w:r>
    </w:p>
    <w:p w:rsidR="000E49DD" w:rsidRPr="00B16F85" w:rsidRDefault="000E49DD" w:rsidP="000E49DD">
      <w:pPr>
        <w:pStyle w:val="ListParagraph"/>
        <w:numPr>
          <w:ilvl w:val="0"/>
          <w:numId w:val="44"/>
        </w:numPr>
        <w:ind w:left="1418" w:hanging="567"/>
        <w:rPr>
          <w:rFonts w:ascii="Arial" w:hAnsi="Arial" w:cs="Arial"/>
          <w:color w:val="000000" w:themeColor="text1"/>
        </w:rPr>
      </w:pPr>
      <w:r w:rsidRPr="00B16F85">
        <w:rPr>
          <w:rFonts w:ascii="Arial" w:hAnsi="Arial" w:cs="Arial"/>
          <w:b/>
          <w:color w:val="0070C0"/>
        </w:rPr>
        <w:t>Le rapport annuel à la CFP portera seulement</w:t>
      </w:r>
      <w:r w:rsidRPr="00B16F85">
        <w:rPr>
          <w:rFonts w:ascii="Arial" w:hAnsi="Arial" w:cs="Arial"/>
        </w:rPr>
        <w:t xml:space="preserve"> </w:t>
      </w:r>
      <w:r w:rsidRPr="00B16F85">
        <w:rPr>
          <w:rFonts w:ascii="Arial" w:hAnsi="Arial" w:cs="Arial"/>
          <w:bCs/>
          <w:color w:val="000000" w:themeColor="text1"/>
        </w:rPr>
        <w:t>sur :</w:t>
      </w:r>
    </w:p>
    <w:p w:rsidR="000E49DD" w:rsidRPr="00B16F85" w:rsidRDefault="000E49DD" w:rsidP="000E49DD">
      <w:pPr>
        <w:pStyle w:val="ListParagraph"/>
        <w:ind w:left="1418"/>
        <w:rPr>
          <w:rFonts w:ascii="Arial" w:hAnsi="Arial" w:cs="Arial"/>
          <w:color w:val="000000" w:themeColor="text1"/>
        </w:rPr>
      </w:pPr>
    </w:p>
    <w:p w:rsidR="000E49DD" w:rsidRPr="00B16F85" w:rsidRDefault="000E49DD" w:rsidP="000E49DD">
      <w:pPr>
        <w:pStyle w:val="ListParagraph"/>
        <w:numPr>
          <w:ilvl w:val="1"/>
          <w:numId w:val="44"/>
        </w:numPr>
        <w:ind w:left="1843" w:hanging="567"/>
        <w:rPr>
          <w:rFonts w:ascii="Arial" w:hAnsi="Arial" w:cs="Arial"/>
          <w:color w:val="000000" w:themeColor="text1"/>
        </w:rPr>
      </w:pPr>
      <w:r w:rsidRPr="00B16F85">
        <w:rPr>
          <w:rFonts w:ascii="Arial" w:hAnsi="Arial" w:cs="Arial"/>
          <w:color w:val="000000" w:themeColor="text1"/>
        </w:rPr>
        <w:t>l’utilisation du Décret d’exemption concernant les langues officielles dans la fonction publique</w:t>
      </w:r>
    </w:p>
    <w:p w:rsidR="000E49DD" w:rsidRPr="00B16F85" w:rsidRDefault="000E49DD" w:rsidP="000E49DD">
      <w:pPr>
        <w:pStyle w:val="ListParagraph"/>
        <w:numPr>
          <w:ilvl w:val="1"/>
          <w:numId w:val="44"/>
        </w:numPr>
        <w:ind w:left="1843" w:hanging="567"/>
        <w:rPr>
          <w:rFonts w:ascii="Arial" w:hAnsi="Arial" w:cs="Arial"/>
          <w:color w:val="000000" w:themeColor="text1"/>
        </w:rPr>
      </w:pPr>
      <w:r w:rsidRPr="00B16F85">
        <w:rPr>
          <w:rFonts w:ascii="Arial" w:hAnsi="Arial" w:cs="Arial"/>
          <w:color w:val="000000" w:themeColor="text1"/>
        </w:rPr>
        <w:t>les exceptions à la zone nationale de sélection approuvée par l’administrateur général</w:t>
      </w:r>
    </w:p>
    <w:p w:rsidR="000E49DD" w:rsidRPr="00B16F85" w:rsidRDefault="000E49DD" w:rsidP="000E49DD">
      <w:pPr>
        <w:pStyle w:val="ListParagraph"/>
        <w:numPr>
          <w:ilvl w:val="1"/>
          <w:numId w:val="44"/>
        </w:numPr>
        <w:ind w:left="1843" w:hanging="567"/>
        <w:rPr>
          <w:rFonts w:ascii="Arial" w:hAnsi="Arial" w:cs="Arial"/>
          <w:color w:val="000000" w:themeColor="text1"/>
        </w:rPr>
      </w:pPr>
      <w:r w:rsidRPr="00B16F85">
        <w:rPr>
          <w:rFonts w:ascii="Arial" w:hAnsi="Arial" w:cs="Arial"/>
          <w:color w:val="000000" w:themeColor="text1"/>
        </w:rPr>
        <w:t xml:space="preserve">les résultats de toutes enquêtes internes </w:t>
      </w:r>
    </w:p>
    <w:p w:rsidR="000E49DD" w:rsidRPr="00B16F85" w:rsidRDefault="000E49DD" w:rsidP="000E49DD">
      <w:pPr>
        <w:pStyle w:val="ListParagraph"/>
        <w:numPr>
          <w:ilvl w:val="1"/>
          <w:numId w:val="44"/>
        </w:numPr>
        <w:ind w:left="1843" w:hanging="567"/>
        <w:rPr>
          <w:rFonts w:ascii="Arial" w:hAnsi="Arial" w:cs="Arial"/>
          <w:color w:val="000000" w:themeColor="text1"/>
        </w:rPr>
      </w:pPr>
      <w:r w:rsidRPr="00B16F85">
        <w:rPr>
          <w:rFonts w:ascii="Arial" w:hAnsi="Arial" w:cs="Arial"/>
          <w:color w:val="000000" w:themeColor="text1"/>
        </w:rPr>
        <w:t>les mesures prises à la suite de toutes enquêtes ou vérifications menées par la CFP</w:t>
      </w:r>
    </w:p>
    <w:p w:rsidR="000E49DD" w:rsidRPr="00B16F85" w:rsidRDefault="000E49DD" w:rsidP="000E49DD">
      <w:pPr>
        <w:pStyle w:val="ListParagraph"/>
        <w:ind w:left="1843"/>
        <w:rPr>
          <w:rFonts w:ascii="Arial" w:hAnsi="Arial" w:cs="Arial"/>
          <w:color w:val="000000" w:themeColor="text1"/>
        </w:rPr>
      </w:pPr>
    </w:p>
    <w:p w:rsidR="000E49DD" w:rsidRPr="00B16F85" w:rsidRDefault="000E49DD" w:rsidP="000E49DD">
      <w:pPr>
        <w:pStyle w:val="ListParagraph"/>
        <w:numPr>
          <w:ilvl w:val="0"/>
          <w:numId w:val="44"/>
        </w:numPr>
        <w:ind w:left="1418" w:hanging="567"/>
        <w:rPr>
          <w:rFonts w:ascii="Arial" w:hAnsi="Arial" w:cs="Arial"/>
          <w:b/>
          <w:color w:val="0070C0"/>
        </w:rPr>
      </w:pPr>
      <w:r w:rsidRPr="00B16F85">
        <w:rPr>
          <w:rFonts w:ascii="Arial" w:hAnsi="Arial" w:cs="Arial"/>
        </w:rPr>
        <w:t>L’administrateur général est responsable</w:t>
      </w:r>
      <w:r w:rsidRPr="00B16F85">
        <w:rPr>
          <w:rFonts w:ascii="Arial" w:hAnsi="Arial" w:cs="Arial"/>
          <w:b/>
        </w:rPr>
        <w:t xml:space="preserve"> </w:t>
      </w:r>
      <w:r w:rsidRPr="00B16F85">
        <w:rPr>
          <w:rFonts w:ascii="Arial" w:hAnsi="Arial" w:cs="Arial"/>
          <w:b/>
          <w:color w:val="0070C0"/>
        </w:rPr>
        <w:t xml:space="preserve">de la surveillance continue du système de dotation </w:t>
      </w:r>
      <w:r w:rsidRPr="00B16F85">
        <w:rPr>
          <w:rFonts w:ascii="Arial" w:hAnsi="Arial" w:cs="Arial"/>
        </w:rPr>
        <w:t>de l’organisation en fonction de son contexte particulier</w:t>
      </w:r>
    </w:p>
    <w:p w:rsidR="000E49DD" w:rsidRPr="00B16F85" w:rsidRDefault="000E49DD" w:rsidP="000E49DD">
      <w:pPr>
        <w:pStyle w:val="ListParagraph"/>
        <w:ind w:left="1418"/>
        <w:rPr>
          <w:rFonts w:ascii="Arial" w:hAnsi="Arial" w:cs="Arial"/>
          <w:b/>
          <w:color w:val="0070C0"/>
        </w:rPr>
      </w:pPr>
    </w:p>
    <w:p w:rsidR="000E49DD" w:rsidRPr="00B16F85" w:rsidRDefault="000E49DD" w:rsidP="000E49DD">
      <w:pPr>
        <w:pStyle w:val="ListParagraph"/>
        <w:numPr>
          <w:ilvl w:val="1"/>
          <w:numId w:val="44"/>
        </w:numPr>
        <w:ind w:left="1843" w:hanging="567"/>
        <w:rPr>
          <w:rFonts w:ascii="Arial" w:hAnsi="Arial" w:cs="Arial"/>
          <w:color w:val="000000" w:themeColor="text1"/>
        </w:rPr>
      </w:pPr>
      <w:r w:rsidRPr="00B16F85">
        <w:rPr>
          <w:rFonts w:ascii="Arial" w:hAnsi="Arial" w:cs="Arial"/>
          <w:b/>
          <w:color w:val="0070C0"/>
        </w:rPr>
        <w:t xml:space="preserve">examen de la conformité  aux exigences, </w:t>
      </w:r>
      <w:r w:rsidRPr="00B16F85">
        <w:rPr>
          <w:rFonts w:ascii="Arial" w:hAnsi="Arial" w:cs="Arial"/>
        </w:rPr>
        <w:t>fondé sur les risques spécifiques de l’organisation, a</w:t>
      </w:r>
      <w:r w:rsidRPr="00B16F85">
        <w:rPr>
          <w:rFonts w:ascii="Arial" w:hAnsi="Arial" w:cs="Arial"/>
          <w:color w:val="000000" w:themeColor="text1"/>
        </w:rPr>
        <w:t>u moins une fois tous les cinq ans</w:t>
      </w:r>
    </w:p>
    <w:p w:rsidR="000E49DD" w:rsidRPr="00B16F85" w:rsidRDefault="000E49DD" w:rsidP="000E49DD">
      <w:pPr>
        <w:spacing w:after="160" w:line="259" w:lineRule="auto"/>
        <w:rPr>
          <w:rFonts w:ascii="Arial" w:hAnsi="Arial" w:cs="Arial"/>
          <w:color w:val="000000" w:themeColor="text1"/>
          <w:sz w:val="22"/>
          <w:szCs w:val="22"/>
          <w:lang w:val="fr-CA"/>
        </w:rPr>
      </w:pPr>
    </w:p>
    <w:p w:rsidR="000E49DD" w:rsidRPr="00B16F85" w:rsidRDefault="000E49DD" w:rsidP="000E49DD">
      <w:pPr>
        <w:spacing w:after="160" w:line="259" w:lineRule="auto"/>
        <w:rPr>
          <w:rFonts w:ascii="Arial" w:hAnsi="Arial" w:cs="Arial"/>
          <w:color w:val="000000" w:themeColor="text1"/>
          <w:sz w:val="22"/>
          <w:szCs w:val="22"/>
          <w:lang w:val="fr-CA"/>
        </w:rPr>
      </w:pPr>
    </w:p>
    <w:p w:rsidR="000E49DD" w:rsidRPr="00B16F85" w:rsidRDefault="000E49DD" w:rsidP="000E49DD">
      <w:pPr>
        <w:pStyle w:val="Title"/>
        <w:numPr>
          <w:ilvl w:val="0"/>
          <w:numId w:val="45"/>
        </w:numPr>
        <w:rPr>
          <w:rFonts w:ascii="Arial" w:hAnsi="Arial" w:cs="Arial"/>
          <w:sz w:val="22"/>
          <w:szCs w:val="22"/>
          <w:lang w:val="fr-CA"/>
        </w:rPr>
      </w:pPr>
      <w:r w:rsidRPr="00B16F85">
        <w:rPr>
          <w:rFonts w:ascii="Arial" w:hAnsi="Arial" w:cs="Arial"/>
          <w:sz w:val="22"/>
          <w:szCs w:val="22"/>
          <w:lang w:val="fr-CA"/>
        </w:rPr>
        <w:t>Surveillance de la CFP</w:t>
      </w:r>
    </w:p>
    <w:p w:rsidR="000E49DD" w:rsidRPr="00B16F85" w:rsidRDefault="000E49DD" w:rsidP="000E49DD">
      <w:pPr>
        <w:pStyle w:val="ListParagraph"/>
        <w:numPr>
          <w:ilvl w:val="0"/>
          <w:numId w:val="44"/>
        </w:numPr>
        <w:spacing w:after="0" w:line="240" w:lineRule="auto"/>
        <w:ind w:left="851" w:hanging="491"/>
        <w:rPr>
          <w:rFonts w:ascii="Arial" w:hAnsi="Arial" w:cs="Arial"/>
        </w:rPr>
      </w:pPr>
      <w:r w:rsidRPr="00B16F85">
        <w:rPr>
          <w:rFonts w:ascii="Arial" w:hAnsi="Arial" w:cs="Arial"/>
        </w:rPr>
        <w:t xml:space="preserve">Axée sur l’ensemble du </w:t>
      </w:r>
      <w:r w:rsidRPr="00B16F85">
        <w:rPr>
          <w:rFonts w:ascii="Arial" w:hAnsi="Arial" w:cs="Arial"/>
        </w:rPr>
        <w:br/>
        <w:t xml:space="preserve">système </w:t>
      </w:r>
      <w:r w:rsidRPr="00B16F85">
        <w:rPr>
          <w:rFonts w:ascii="Arial" w:hAnsi="Arial" w:cs="Arial"/>
        </w:rPr>
        <w:br/>
      </w:r>
    </w:p>
    <w:p w:rsidR="000E49DD" w:rsidRPr="00B16F85" w:rsidRDefault="000E49DD" w:rsidP="000E49DD">
      <w:pPr>
        <w:pStyle w:val="ListParagraph"/>
        <w:numPr>
          <w:ilvl w:val="0"/>
          <w:numId w:val="36"/>
        </w:numPr>
        <w:spacing w:after="0" w:line="240" w:lineRule="auto"/>
        <w:ind w:left="1418" w:hanging="567"/>
        <w:rPr>
          <w:rFonts w:ascii="Arial" w:hAnsi="Arial" w:cs="Arial"/>
          <w:color w:val="000000" w:themeColor="text1"/>
        </w:rPr>
      </w:pPr>
      <w:r w:rsidRPr="00B16F85">
        <w:rPr>
          <w:rFonts w:ascii="Arial" w:hAnsi="Arial" w:cs="Arial"/>
          <w:b/>
          <w:color w:val="0070C0"/>
        </w:rPr>
        <w:t xml:space="preserve">Vérification de la conformité pangouvernementale tous les deux ans </w:t>
      </w:r>
    </w:p>
    <w:p w:rsidR="000E49DD" w:rsidRPr="00B16F85" w:rsidRDefault="000E49DD" w:rsidP="000E49DD">
      <w:pPr>
        <w:pStyle w:val="ListParagraph"/>
        <w:numPr>
          <w:ilvl w:val="0"/>
          <w:numId w:val="36"/>
        </w:numPr>
        <w:spacing w:after="0" w:line="240" w:lineRule="auto"/>
        <w:ind w:left="1418" w:hanging="567"/>
        <w:rPr>
          <w:rFonts w:ascii="Arial" w:hAnsi="Arial" w:cs="Arial"/>
          <w:color w:val="000000" w:themeColor="text1"/>
        </w:rPr>
      </w:pPr>
      <w:r w:rsidRPr="00B16F85">
        <w:rPr>
          <w:rFonts w:ascii="Arial" w:hAnsi="Arial" w:cs="Arial"/>
          <w:b/>
          <w:color w:val="0070C0"/>
        </w:rPr>
        <w:t xml:space="preserve">Nouveau Sondage sur la dotation </w:t>
      </w:r>
      <w:r w:rsidRPr="00B16F85">
        <w:rPr>
          <w:rFonts w:ascii="Arial" w:hAnsi="Arial" w:cs="Arial"/>
          <w:color w:val="000000" w:themeColor="text1"/>
        </w:rPr>
        <w:t>administré en alternance avec la vérification pangouvernementale</w:t>
      </w:r>
    </w:p>
    <w:p w:rsidR="000E49DD" w:rsidRPr="00B16F85" w:rsidRDefault="000E49DD" w:rsidP="000E49DD">
      <w:pPr>
        <w:pStyle w:val="ListParagraph"/>
        <w:numPr>
          <w:ilvl w:val="0"/>
          <w:numId w:val="36"/>
        </w:numPr>
        <w:spacing w:after="0" w:line="240" w:lineRule="auto"/>
        <w:ind w:left="1418" w:hanging="567"/>
        <w:rPr>
          <w:rFonts w:ascii="Arial" w:hAnsi="Arial" w:cs="Arial"/>
          <w:b/>
          <w:bCs/>
          <w:color w:val="0070C0"/>
        </w:rPr>
      </w:pPr>
      <w:r w:rsidRPr="00B16F85">
        <w:rPr>
          <w:rFonts w:ascii="Arial" w:hAnsi="Arial" w:cs="Arial"/>
          <w:b/>
          <w:bCs/>
          <w:color w:val="0070C0"/>
        </w:rPr>
        <w:t xml:space="preserve">Examens de l’efficacité et de l’efficience de l’ensemble du système </w:t>
      </w:r>
      <w:r w:rsidRPr="00B16F85">
        <w:rPr>
          <w:rFonts w:ascii="Arial" w:hAnsi="Arial" w:cs="Arial"/>
          <w:bCs/>
          <w:color w:val="000000" w:themeColor="text1"/>
        </w:rPr>
        <w:t>pour appuyer l’amélioration continue</w:t>
      </w:r>
    </w:p>
    <w:p w:rsidR="000E49DD" w:rsidRPr="00B16F85" w:rsidRDefault="000E49DD" w:rsidP="000E49DD">
      <w:pPr>
        <w:pStyle w:val="ListParagraph"/>
        <w:numPr>
          <w:ilvl w:val="0"/>
          <w:numId w:val="36"/>
        </w:numPr>
        <w:spacing w:after="0" w:line="240" w:lineRule="auto"/>
        <w:ind w:left="1418" w:hanging="567"/>
        <w:rPr>
          <w:rFonts w:ascii="Arial" w:hAnsi="Arial" w:cs="Arial"/>
          <w:bCs/>
          <w:color w:val="000000" w:themeColor="text1"/>
        </w:rPr>
      </w:pPr>
      <w:r w:rsidRPr="00B16F85">
        <w:rPr>
          <w:rFonts w:ascii="Arial" w:hAnsi="Arial" w:cs="Arial"/>
          <w:b/>
          <w:bCs/>
          <w:color w:val="0070C0"/>
        </w:rPr>
        <w:t>Vérifications ciblées de la CFP</w:t>
      </w:r>
      <w:r w:rsidRPr="00B16F85">
        <w:rPr>
          <w:rFonts w:ascii="Arial" w:hAnsi="Arial" w:cs="Arial"/>
          <w:bCs/>
          <w:color w:val="000000" w:themeColor="text1"/>
        </w:rPr>
        <w:t xml:space="preserve"> suite aux risques pangouvernementaux ou organisationnels identifiés, ou à la demande de l’administrateur général </w:t>
      </w:r>
    </w:p>
    <w:p w:rsidR="000E49DD" w:rsidRPr="00B16F85" w:rsidRDefault="000E49DD" w:rsidP="000E49DD">
      <w:pPr>
        <w:pStyle w:val="ListParagraph"/>
        <w:numPr>
          <w:ilvl w:val="0"/>
          <w:numId w:val="36"/>
        </w:numPr>
        <w:spacing w:after="0" w:line="240" w:lineRule="auto"/>
        <w:ind w:left="1418" w:hanging="567"/>
        <w:rPr>
          <w:rFonts w:ascii="Arial" w:hAnsi="Arial" w:cs="Arial"/>
          <w:b/>
          <w:bCs/>
          <w:color w:val="0070C0"/>
        </w:rPr>
      </w:pPr>
      <w:r w:rsidRPr="00B16F85">
        <w:rPr>
          <w:rFonts w:ascii="Arial" w:hAnsi="Arial" w:cs="Arial"/>
          <w:b/>
          <w:bCs/>
          <w:color w:val="0070C0"/>
        </w:rPr>
        <w:t>Enquêtes</w:t>
      </w:r>
      <w:r w:rsidRPr="00B16F85">
        <w:rPr>
          <w:rFonts w:ascii="Arial" w:hAnsi="Arial" w:cs="Arial"/>
          <w:b/>
          <w:color w:val="0070C0"/>
          <w:spacing w:val="-8"/>
        </w:rPr>
        <w:t xml:space="preserve"> menées</w:t>
      </w:r>
      <w:r w:rsidRPr="00B16F85">
        <w:rPr>
          <w:rFonts w:ascii="Arial" w:hAnsi="Arial" w:cs="Arial"/>
          <w:color w:val="0070C0"/>
          <w:spacing w:val="-8"/>
        </w:rPr>
        <w:t xml:space="preserve"> </w:t>
      </w:r>
      <w:r w:rsidRPr="00B16F85">
        <w:rPr>
          <w:rFonts w:ascii="Arial" w:hAnsi="Arial" w:cs="Arial"/>
          <w:color w:val="000000" w:themeColor="text1"/>
          <w:spacing w:val="-8"/>
        </w:rPr>
        <w:t>lorsqu’il y a lieu de croire  qu’il pourrait y avoir ingérence politique, fraude ou conduite irrégulière dans le cadre d’un  processus de nomination</w:t>
      </w:r>
    </w:p>
    <w:p w:rsidR="000E49DD" w:rsidRPr="00B16F85" w:rsidRDefault="000E49DD" w:rsidP="000E49DD">
      <w:pPr>
        <w:pStyle w:val="ListParagraph"/>
        <w:ind w:left="1418"/>
        <w:rPr>
          <w:rFonts w:ascii="Arial" w:hAnsi="Arial" w:cs="Arial"/>
          <w:b/>
          <w:bCs/>
          <w:color w:val="0070C0"/>
        </w:rPr>
      </w:pPr>
    </w:p>
    <w:p w:rsidR="000E49DD" w:rsidRPr="00B16F85" w:rsidRDefault="000E49DD" w:rsidP="000E49DD">
      <w:pPr>
        <w:pStyle w:val="ListParagraph"/>
        <w:spacing w:after="0" w:line="240" w:lineRule="auto"/>
        <w:ind w:left="1418"/>
        <w:rPr>
          <w:rFonts w:ascii="Arial" w:hAnsi="Arial" w:cs="Arial"/>
          <w:b/>
          <w:bCs/>
          <w:color w:val="0070C0"/>
        </w:rPr>
      </w:pPr>
    </w:p>
    <w:p w:rsidR="000E49DD" w:rsidRPr="00B16F85" w:rsidRDefault="000E49DD" w:rsidP="00C94CAC">
      <w:pPr>
        <w:jc w:val="center"/>
        <w:rPr>
          <w:rStyle w:val="Hyperlink"/>
          <w:rFonts w:ascii="Arial" w:hAnsi="Arial" w:cs="Arial"/>
          <w:b/>
          <w:noProof/>
          <w:sz w:val="22"/>
          <w:szCs w:val="22"/>
          <w:lang w:val="fr-CA" w:eastAsia="en-CA"/>
        </w:rPr>
        <w:sectPr w:rsidR="000E49DD" w:rsidRPr="00B16F85" w:rsidSect="000E49DD">
          <w:headerReference w:type="default" r:id="rId11"/>
          <w:footerReference w:type="even" r:id="rId12"/>
          <w:headerReference w:type="first" r:id="rId13"/>
          <w:footerReference w:type="first" r:id="rId14"/>
          <w:footnotePr>
            <w:numFmt w:val="lowerLetter"/>
          </w:footnotePr>
          <w:endnotePr>
            <w:numFmt w:val="lowerLetter"/>
          </w:endnotePr>
          <w:pgSz w:w="12240" w:h="15840" w:code="1"/>
          <w:pgMar w:top="709" w:right="1304" w:bottom="709" w:left="567" w:header="284" w:footer="284" w:gutter="0"/>
          <w:cols w:space="720"/>
          <w:docGrid w:linePitch="326"/>
        </w:sectPr>
      </w:pPr>
      <w:r w:rsidRPr="00B16F85">
        <w:rPr>
          <w:rFonts w:ascii="Arial" w:hAnsi="Arial" w:cs="Arial"/>
          <w:b/>
          <w:color w:val="0070C0"/>
          <w:sz w:val="22"/>
          <w:szCs w:val="22"/>
          <w:lang w:val="fr-CA"/>
        </w:rPr>
        <w:t xml:space="preserve">Ce document doit être lu conjointement avec la </w:t>
      </w:r>
      <w:r w:rsidRPr="00B16F85">
        <w:rPr>
          <w:rFonts w:ascii="Arial" w:hAnsi="Arial" w:cs="Arial"/>
          <w:b/>
          <w:i/>
          <w:color w:val="0070C0"/>
          <w:sz w:val="22"/>
          <w:szCs w:val="22"/>
          <w:lang w:val="fr-CA"/>
        </w:rPr>
        <w:t>Loi sur l’emploi dans la fonction publique</w:t>
      </w:r>
      <w:r w:rsidRPr="00B16F85">
        <w:rPr>
          <w:rFonts w:ascii="Arial" w:hAnsi="Arial" w:cs="Arial"/>
          <w:b/>
          <w:color w:val="0070C0"/>
          <w:sz w:val="22"/>
          <w:szCs w:val="22"/>
          <w:lang w:val="fr-CA"/>
        </w:rPr>
        <w:t xml:space="preserve">, le </w:t>
      </w:r>
      <w:r w:rsidRPr="00B16F85">
        <w:rPr>
          <w:rFonts w:ascii="Arial" w:hAnsi="Arial" w:cs="Arial"/>
          <w:b/>
          <w:i/>
          <w:color w:val="0070C0"/>
          <w:sz w:val="22"/>
          <w:szCs w:val="22"/>
          <w:lang w:val="fr-CA"/>
        </w:rPr>
        <w:t>R</w:t>
      </w:r>
      <w:r w:rsidRPr="00B16F85">
        <w:rPr>
          <w:rStyle w:val="Emphasis"/>
          <w:rFonts w:ascii="Arial" w:hAnsi="Arial" w:cs="Arial"/>
          <w:b/>
          <w:color w:val="0070C0"/>
          <w:sz w:val="22"/>
          <w:szCs w:val="22"/>
          <w:lang w:val="fr-CA"/>
        </w:rPr>
        <w:t>èglement sur l'emploi dans la fonction publique</w:t>
      </w:r>
      <w:r w:rsidRPr="00B16F85">
        <w:rPr>
          <w:rFonts w:ascii="Arial" w:hAnsi="Arial" w:cs="Arial"/>
          <w:b/>
          <w:color w:val="0070C0"/>
          <w:sz w:val="22"/>
          <w:szCs w:val="22"/>
          <w:lang w:val="fr-CA"/>
        </w:rPr>
        <w:t>, la ligne directrice en matière de nomination de la CFP ainsi que l’Instrument de délégation et de responsabilisation en matière de nomination de la CFP</w:t>
      </w:r>
      <w:r w:rsidR="00C94CAC">
        <w:rPr>
          <w:rFonts w:ascii="Arial" w:hAnsi="Arial" w:cs="Arial"/>
          <w:b/>
          <w:color w:val="0070C0"/>
          <w:sz w:val="22"/>
          <w:szCs w:val="22"/>
          <w:lang w:val="fr-CA"/>
        </w:rPr>
        <w:t>.</w:t>
      </w:r>
    </w:p>
    <w:p w:rsidR="005F523A" w:rsidRPr="00B16F85" w:rsidRDefault="00051008" w:rsidP="003A24E2">
      <w:pPr>
        <w:jc w:val="center"/>
        <w:rPr>
          <w:b/>
          <w:noProof/>
          <w:lang w:val="fr-CA" w:eastAsia="en-CA"/>
        </w:rPr>
      </w:pPr>
      <w:hyperlink w:anchor="Alternative_Text" w:history="1">
        <w:r w:rsidR="00383469" w:rsidRPr="00B16F85">
          <w:rPr>
            <w:rStyle w:val="Hyperlink"/>
            <w:b/>
            <w:noProof/>
            <w:lang w:val="fr-CA" w:eastAsia="en-CA"/>
          </w:rPr>
          <w:t>Lien à la version texte</w:t>
        </w:r>
      </w:hyperlink>
      <w:r w:rsidR="000C731D" w:rsidRPr="00B16F85">
        <w:rPr>
          <w:rStyle w:val="Hyperlink"/>
          <w:b/>
          <w:noProof/>
          <w:u w:val="none"/>
          <w:lang w:val="fr-CA" w:eastAsia="en-CA"/>
        </w:rPr>
        <w:tab/>
      </w:r>
      <w:r w:rsidR="005F523A" w:rsidRPr="00B16F85">
        <w:rPr>
          <w:rFonts w:ascii="Arial" w:hAnsi="Arial" w:cs="Arial"/>
          <w:b/>
          <w:sz w:val="22"/>
          <w:szCs w:val="22"/>
          <w:lang w:val="fr-CA"/>
        </w:rPr>
        <w:t>An</w:t>
      </w:r>
      <w:bookmarkStart w:id="4" w:name="AnnexD"/>
      <w:bookmarkEnd w:id="4"/>
      <w:r w:rsidR="005F523A" w:rsidRPr="00B16F85">
        <w:rPr>
          <w:rFonts w:ascii="Arial" w:hAnsi="Arial" w:cs="Arial"/>
          <w:b/>
          <w:sz w:val="22"/>
          <w:szCs w:val="22"/>
          <w:lang w:val="fr-CA"/>
        </w:rPr>
        <w:t>nex</w:t>
      </w:r>
      <w:r w:rsidR="000C731D" w:rsidRPr="00B16F85">
        <w:rPr>
          <w:rFonts w:ascii="Arial" w:hAnsi="Arial" w:cs="Arial"/>
          <w:b/>
          <w:sz w:val="22"/>
          <w:szCs w:val="22"/>
          <w:lang w:val="fr-CA"/>
        </w:rPr>
        <w:t>e</w:t>
      </w:r>
      <w:r w:rsidR="005F523A" w:rsidRPr="00B16F85">
        <w:rPr>
          <w:rFonts w:ascii="Arial" w:hAnsi="Arial" w:cs="Arial"/>
          <w:b/>
          <w:sz w:val="22"/>
          <w:szCs w:val="22"/>
          <w:lang w:val="fr-CA"/>
        </w:rPr>
        <w:t xml:space="preserve"> </w:t>
      </w:r>
      <w:r w:rsidR="0068085E" w:rsidRPr="00B16F85">
        <w:rPr>
          <w:rFonts w:ascii="Arial" w:hAnsi="Arial" w:cs="Arial"/>
          <w:b/>
          <w:sz w:val="22"/>
          <w:szCs w:val="22"/>
          <w:lang w:val="fr-CA"/>
        </w:rPr>
        <w:t>D</w:t>
      </w:r>
    </w:p>
    <w:p w:rsidR="005D08F3" w:rsidRPr="00B16F85" w:rsidRDefault="00383469" w:rsidP="005D08F3">
      <w:pPr>
        <w:tabs>
          <w:tab w:val="left" w:pos="7839"/>
        </w:tabs>
        <w:rPr>
          <w:lang w:val="fr-CA"/>
        </w:rPr>
      </w:pPr>
      <w:r w:rsidRPr="00B16F85">
        <w:rPr>
          <w:noProof/>
          <w:lang w:val="en-CA" w:eastAsia="en-CA"/>
        </w:rPr>
        <w:drawing>
          <wp:inline distT="0" distB="0" distL="0" distR="0" wp14:anchorId="49A0B485" wp14:editId="353A2E7B">
            <wp:extent cx="4122420" cy="2150552"/>
            <wp:effectExtent l="0" t="0" r="11430" b="2540"/>
            <wp:docPr id="2" name="Chart 13" descr="Ce diagramme à colonnes verticales présente la population au 31 mars des années 2014 à 2019 selon la durée d'emploi indéterminée et déterminée.  Nous observons une tendance à la légère hausse du nombre de postes indéterminé pendant cette période, d'où une proportion plus importante de poste déterminé pour l'annéee 2019." title="Population selon la durée d'emploi au 31 m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D08F3" w:rsidRPr="00B16F85">
        <w:rPr>
          <w:noProof/>
          <w:lang w:val="fr-CA" w:eastAsia="en-CA"/>
        </w:rPr>
        <w:t xml:space="preserve"> </w:t>
      </w:r>
      <w:r w:rsidRPr="00B16F85">
        <w:rPr>
          <w:noProof/>
          <w:lang w:val="en-CA" w:eastAsia="en-CA"/>
        </w:rPr>
        <w:drawing>
          <wp:inline distT="0" distB="0" distL="0" distR="0" wp14:anchorId="1B6775CF" wp14:editId="6B1F5194">
            <wp:extent cx="1455420" cy="2143539"/>
            <wp:effectExtent l="0" t="0" r="11430" b="9525"/>
            <wp:docPr id="18" name="Chart 18" descr="Ce graphique circulaire présente le profil linguistique de la population au 31 mars 2019 dont les 3 sont bilingues et seulement un est unilingue.  Nous démontrons aussi que près de la moitié de ce profil nous est inconnu." title="Population selon le profil linguistique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16F85">
        <w:rPr>
          <w:noProof/>
          <w:lang w:val="en-CA" w:eastAsia="en-CA"/>
        </w:rPr>
        <w:drawing>
          <wp:inline distT="0" distB="0" distL="0" distR="0" wp14:anchorId="09E76B58" wp14:editId="0E0DBD94">
            <wp:extent cx="1704975" cy="2145776"/>
            <wp:effectExtent l="0" t="0" r="9525" b="6985"/>
            <wp:docPr id="4" name="Chart 5" descr="Ce diagramme circulaire présente la population pour les groupes professionnels LP, EX et AS au 31 mars 2019.  Au nombre total de 7, les groupes LP et EX sont de 2 chacun et au nombre de 3 se retrouvent dans le groupe AS." title="Population selon le groupe professionnel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16F85">
        <w:rPr>
          <w:noProof/>
          <w:lang w:val="en-CA" w:eastAsia="en-CA"/>
        </w:rPr>
        <w:drawing>
          <wp:inline distT="0" distB="0" distL="0" distR="0" wp14:anchorId="3BC15E35" wp14:editId="0447DB25">
            <wp:extent cx="1771650" cy="2151270"/>
            <wp:effectExtent l="0" t="0" r="0" b="1905"/>
            <wp:docPr id="15" name="Chart 15" descr="Ce diagramme circulaire présente la population selon la région.  Au nombre de 7, nous observons que la totalité se retrouvent dans la région de la capitale nationale (RCN) et qu'aucun nous est inconnu." title="Population selon la région au 31 mars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D08F3" w:rsidRPr="00B16F85">
        <w:rPr>
          <w:noProof/>
          <w:lang w:val="fr-CA" w:eastAsia="en-CA"/>
        </w:rPr>
        <w:tab/>
      </w:r>
    </w:p>
    <w:p w:rsidR="005D08F3" w:rsidRPr="00B16F85" w:rsidRDefault="00383469" w:rsidP="005D08F3">
      <w:pPr>
        <w:rPr>
          <w:lang w:val="fr-CA"/>
        </w:rPr>
      </w:pPr>
      <w:r w:rsidRPr="00B16F85">
        <w:rPr>
          <w:noProof/>
          <w:lang w:val="en-CA" w:eastAsia="en-CA"/>
        </w:rPr>
        <w:lastRenderedPageBreak/>
        <w:drawing>
          <wp:inline distT="0" distB="0" distL="0" distR="0" wp14:anchorId="40428902" wp14:editId="538ED709">
            <wp:extent cx="4572000" cy="2944550"/>
            <wp:effectExtent l="0" t="0" r="0" b="8255"/>
            <wp:docPr id="9" name="Chart 9" descr="Ce diagramme à colonnes verticales présente les activités de dotation, en nombre, pour les années financières de 2014-2015 à 2018-2019. Ainsi, une absence de promotion est observée entre les périodes 2015-2016 et 2017-2018, mais un rattrapage est observé en 2018-2019. Deux déplacements latéraux et régressifs sont observés en 2015-2016, puis 2017-2018. Quant aux nomination à la fonction publique, nous en observons deux en 2014-2015 et une seule en 2018-2019.  Aucune activité n'est observée en dotation pour l'année 2016-2017." title="Dotation selon le type de nomin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16F85">
        <w:rPr>
          <w:noProof/>
          <w:lang w:val="en-CA" w:eastAsia="en-CA"/>
        </w:rPr>
        <w:drawing>
          <wp:inline distT="0" distB="0" distL="0" distR="0" wp14:anchorId="6526C7E8" wp14:editId="1BCFEEAB">
            <wp:extent cx="4572000" cy="2920061"/>
            <wp:effectExtent l="0" t="0" r="0" b="13970"/>
            <wp:docPr id="6" name="Chart 3" descr="Ce diagramme à colonnes verticales présente les activités de dotation selon la durée d'emploi indéterminée et déterminée pour les exercices financiers de 2014-2015 à 2018-2019. Nous observons des activités relativement constantes, mais plus importante pour les postes indéterminés.  Pour les poste déterminés, les activités ont augmenté en 2018-2019 après 3 années consécutives sans aucune activité pour cette catégorie.&#10;" title="Dotation selon la durée d'emploi"/>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3469" w:rsidRPr="00B16F85" w:rsidRDefault="00383469" w:rsidP="005D08F3">
      <w:pPr>
        <w:rPr>
          <w:lang w:val="fr-CA"/>
        </w:rPr>
        <w:sectPr w:rsidR="00383469" w:rsidRPr="00B16F85" w:rsidSect="005F523A">
          <w:footnotePr>
            <w:numFmt w:val="lowerLetter"/>
          </w:footnotePr>
          <w:endnotePr>
            <w:numFmt w:val="lowerLetter"/>
          </w:endnotePr>
          <w:pgSz w:w="15840" w:h="12240" w:orient="landscape" w:code="1"/>
          <w:pgMar w:top="567" w:right="709" w:bottom="1304" w:left="709" w:header="284" w:footer="284" w:gutter="0"/>
          <w:cols w:space="720"/>
          <w:docGrid w:linePitch="326"/>
        </w:sectPr>
      </w:pPr>
    </w:p>
    <w:p w:rsidR="0000207A" w:rsidRPr="00B16F85" w:rsidRDefault="0000207A" w:rsidP="0000207A">
      <w:pPr>
        <w:rPr>
          <w:rFonts w:cs="Arial"/>
          <w:b/>
          <w:szCs w:val="24"/>
          <w:lang w:val="fr-CA"/>
        </w:rPr>
      </w:pPr>
      <w:bookmarkStart w:id="5" w:name="Alternative_Text"/>
      <w:r w:rsidRPr="00B16F85">
        <w:rPr>
          <w:rFonts w:cs="Arial"/>
          <w:b/>
          <w:szCs w:val="24"/>
          <w:lang w:val="fr-CA"/>
        </w:rPr>
        <w:lastRenderedPageBreak/>
        <w:t>Version texte</w:t>
      </w:r>
    </w:p>
    <w:bookmarkEnd w:id="5"/>
    <w:p w:rsidR="0000207A" w:rsidRPr="00B16F85" w:rsidRDefault="0000207A" w:rsidP="0000207A">
      <w:pPr>
        <w:rPr>
          <w:rFonts w:cs="Arial"/>
          <w:b/>
          <w:szCs w:val="24"/>
          <w:lang w:val="fr-CA"/>
        </w:rPr>
      </w:pPr>
      <w:r w:rsidRPr="00B16F85">
        <w:rPr>
          <w:rFonts w:cs="Arial"/>
          <w:b/>
          <w:szCs w:val="24"/>
          <w:lang w:val="fr-CA"/>
        </w:rPr>
        <w:fldChar w:fldCharType="begin"/>
      </w:r>
      <w:r w:rsidRPr="00B16F85">
        <w:rPr>
          <w:rFonts w:cs="Arial"/>
          <w:b/>
          <w:szCs w:val="24"/>
          <w:lang w:val="fr-CA"/>
        </w:rPr>
        <w:instrText>HYPERLINK  \l "AnnexD"</w:instrText>
      </w:r>
      <w:r w:rsidRPr="00B16F85">
        <w:rPr>
          <w:rFonts w:cs="Arial"/>
          <w:b/>
          <w:szCs w:val="24"/>
          <w:lang w:val="fr-CA"/>
        </w:rPr>
        <w:fldChar w:fldCharType="separate"/>
      </w:r>
      <w:r w:rsidRPr="00B16F85">
        <w:rPr>
          <w:rStyle w:val="Hyperlink"/>
          <w:rFonts w:cs="Arial"/>
          <w:b/>
          <w:szCs w:val="24"/>
          <w:lang w:val="fr-CA"/>
        </w:rPr>
        <w:t>Liens aux graphiques</w:t>
      </w:r>
      <w:r w:rsidRPr="00B16F85">
        <w:rPr>
          <w:rFonts w:cs="Arial"/>
          <w:b/>
          <w:szCs w:val="24"/>
          <w:lang w:val="fr-CA"/>
        </w:rPr>
        <w:fldChar w:fldCharType="end"/>
      </w:r>
    </w:p>
    <w:p w:rsidR="0000207A" w:rsidRPr="00B16F85" w:rsidRDefault="0000207A" w:rsidP="0000207A">
      <w:pPr>
        <w:rPr>
          <w:rFonts w:cs="Arial"/>
          <w:szCs w:val="24"/>
          <w:lang w:val="fr-CA"/>
        </w:rPr>
      </w:pPr>
    </w:p>
    <w:p w:rsidR="0000207A" w:rsidRPr="00B16F85" w:rsidRDefault="0000207A" w:rsidP="0000207A">
      <w:pPr>
        <w:rPr>
          <w:rFonts w:cs="Arial"/>
          <w:b/>
          <w:szCs w:val="24"/>
          <w:lang w:val="fr-CA"/>
        </w:rPr>
      </w:pPr>
      <w:r w:rsidRPr="00B16F85">
        <w:rPr>
          <w:rFonts w:cs="Arial"/>
          <w:b/>
          <w:szCs w:val="24"/>
          <w:lang w:val="fr-CA"/>
        </w:rPr>
        <w:t>Comité externe d’examen de la Gendarmerie royale du Canada</w:t>
      </w:r>
    </w:p>
    <w:p w:rsidR="0000207A" w:rsidRPr="00B16F85" w:rsidRDefault="0000207A" w:rsidP="0000207A">
      <w:pPr>
        <w:rPr>
          <w:rFonts w:cs="Arial"/>
          <w:szCs w:val="24"/>
          <w:lang w:val="fr-CA"/>
        </w:rPr>
      </w:pPr>
    </w:p>
    <w:p w:rsidR="0000207A" w:rsidRPr="00B16F85" w:rsidRDefault="0000207A" w:rsidP="0000207A">
      <w:pPr>
        <w:rPr>
          <w:rFonts w:cs="Arial"/>
          <w:b/>
          <w:szCs w:val="24"/>
          <w:lang w:val="fr-CA"/>
        </w:rPr>
      </w:pPr>
      <w:r w:rsidRPr="00B16F85">
        <w:rPr>
          <w:rFonts w:cs="Arial"/>
          <w:b/>
          <w:szCs w:val="24"/>
          <w:lang w:val="fr-CA"/>
        </w:rPr>
        <w:t xml:space="preserve">Effectif régi par la </w:t>
      </w:r>
      <w:r w:rsidRPr="00B16F85">
        <w:rPr>
          <w:rFonts w:cs="Arial"/>
          <w:b/>
          <w:i/>
          <w:szCs w:val="24"/>
          <w:lang w:val="fr-CA"/>
        </w:rPr>
        <w:t>Loi sur l’emploi dans la fonction publique</w:t>
      </w:r>
      <w:r w:rsidRPr="00B16F85">
        <w:rPr>
          <w:rFonts w:cs="Arial"/>
          <w:b/>
          <w:szCs w:val="24"/>
          <w:lang w:val="fr-CA"/>
        </w:rPr>
        <w:t xml:space="preserve"> au 31 mars selon la durée d’emploi </w:t>
      </w:r>
    </w:p>
    <w:tbl>
      <w:tblPr>
        <w:tblStyle w:val="TableGrid"/>
        <w:tblW w:w="0" w:type="auto"/>
        <w:tblLook w:val="00A0" w:firstRow="1" w:lastRow="0" w:firstColumn="1" w:lastColumn="0" w:noHBand="0" w:noVBand="0"/>
        <w:tblCaption w:val="Effectif régi par la Loi sur l’embauche dans la fonction publique au 31 mars selon la durée d’emploi "/>
        <w:tblDescription w:val="Ce tableau décrit les effectifs régis du 31 mars 2014 au 31 mars 2019 selon la durée d'emploi des postes indéterminés, déterminés, occasionnels et étudiant."/>
      </w:tblPr>
      <w:tblGrid>
        <w:gridCol w:w="1876"/>
        <w:gridCol w:w="1482"/>
        <w:gridCol w:w="1336"/>
        <w:gridCol w:w="1496"/>
        <w:gridCol w:w="1030"/>
        <w:gridCol w:w="723"/>
      </w:tblGrid>
      <w:tr w:rsidR="0000207A" w:rsidRPr="00B16F85" w:rsidTr="00D44B6E">
        <w:trPr>
          <w:trHeight w:val="290"/>
          <w:tblHeader/>
        </w:trPr>
        <w:tc>
          <w:tcPr>
            <w:tcW w:w="0" w:type="auto"/>
          </w:tcPr>
          <w:p w:rsidR="0000207A" w:rsidRPr="00B16F85" w:rsidRDefault="0000207A" w:rsidP="0026024D">
            <w:pPr>
              <w:autoSpaceDE w:val="0"/>
              <w:autoSpaceDN w:val="0"/>
              <w:adjustRightInd w:val="0"/>
              <w:jc w:val="both"/>
              <w:rPr>
                <w:rFonts w:cs="Arial"/>
                <w:color w:val="000000"/>
                <w:szCs w:val="24"/>
                <w:lang w:val="fr-CA"/>
              </w:rPr>
            </w:pPr>
            <w:r w:rsidRPr="00B16F85">
              <w:rPr>
                <w:rFonts w:cs="Arial"/>
                <w:color w:val="000000"/>
                <w:szCs w:val="24"/>
                <w:lang w:val="fr-CA"/>
              </w:rPr>
              <w:t xml:space="preserve"> </w:t>
            </w:r>
            <w:bookmarkStart w:id="6" w:name="Titre_1"/>
            <w:bookmarkEnd w:id="6"/>
            <w:r w:rsidRPr="00B16F85">
              <w:rPr>
                <w:rFonts w:cs="Arial"/>
                <w:color w:val="000000"/>
                <w:szCs w:val="24"/>
                <w:lang w:val="fr-CA"/>
              </w:rPr>
              <w:t>Année</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Indéterminée</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Déterminée</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Occasionnels</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Étudiant</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Total</w:t>
            </w:r>
          </w:p>
        </w:tc>
      </w:tr>
      <w:tr w:rsidR="0000207A" w:rsidRPr="00B16F85" w:rsidTr="00D44B6E">
        <w:trPr>
          <w:trHeight w:val="290"/>
        </w:trPr>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Au 31 mars 2014</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4</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4</w:t>
            </w:r>
          </w:p>
        </w:tc>
      </w:tr>
      <w:tr w:rsidR="0000207A" w:rsidRPr="00B16F85" w:rsidTr="00D44B6E">
        <w:trPr>
          <w:trHeight w:val="290"/>
        </w:trPr>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Au 31 mars 2015</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4</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5</w:t>
            </w:r>
          </w:p>
        </w:tc>
      </w:tr>
      <w:tr w:rsidR="0000207A" w:rsidRPr="00B16F85" w:rsidTr="00D44B6E">
        <w:trPr>
          <w:trHeight w:val="290"/>
        </w:trPr>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Au 31 mars 2016</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5</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6</w:t>
            </w:r>
          </w:p>
        </w:tc>
      </w:tr>
      <w:tr w:rsidR="0000207A" w:rsidRPr="00B16F85" w:rsidTr="00D44B6E">
        <w:trPr>
          <w:trHeight w:val="290"/>
        </w:trPr>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Au 31 mars 2017</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5</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6</w:t>
            </w:r>
          </w:p>
        </w:tc>
      </w:tr>
      <w:tr w:rsidR="0000207A" w:rsidRPr="00B16F85" w:rsidTr="00D44B6E">
        <w:trPr>
          <w:trHeight w:val="290"/>
        </w:trPr>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Au 31 mars 2018</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6</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6</w:t>
            </w:r>
          </w:p>
        </w:tc>
      </w:tr>
      <w:tr w:rsidR="0000207A" w:rsidRPr="00B16F85" w:rsidTr="00D44B6E">
        <w:trPr>
          <w:trHeight w:val="290"/>
        </w:trPr>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Au 31 mars 2019</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5</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7</w:t>
            </w:r>
          </w:p>
        </w:tc>
      </w:tr>
    </w:tbl>
    <w:p w:rsidR="0000207A" w:rsidRPr="00B16F85" w:rsidRDefault="0000207A" w:rsidP="0000207A">
      <w:pPr>
        <w:rPr>
          <w:rFonts w:cs="Arial"/>
          <w:szCs w:val="24"/>
          <w:lang w:val="fr-CA"/>
        </w:rPr>
      </w:pPr>
    </w:p>
    <w:p w:rsidR="0000207A" w:rsidRPr="00B16F85" w:rsidRDefault="0000207A" w:rsidP="0000207A">
      <w:pPr>
        <w:rPr>
          <w:rFonts w:cs="Arial"/>
          <w:b/>
          <w:szCs w:val="24"/>
          <w:lang w:val="fr-CA"/>
        </w:rPr>
      </w:pPr>
      <w:r w:rsidRPr="00B16F85">
        <w:rPr>
          <w:rFonts w:cs="Arial"/>
          <w:b/>
          <w:szCs w:val="24"/>
          <w:lang w:val="fr-CA"/>
        </w:rPr>
        <w:t xml:space="preserve">Effectif régi par la </w:t>
      </w:r>
      <w:r w:rsidRPr="00B16F85">
        <w:rPr>
          <w:rFonts w:cs="Arial"/>
          <w:b/>
          <w:i/>
          <w:szCs w:val="24"/>
          <w:lang w:val="fr-CA"/>
        </w:rPr>
        <w:t>Loi sur l’emploi dans la fonction publique</w:t>
      </w:r>
      <w:r w:rsidRPr="00B16F85">
        <w:rPr>
          <w:rFonts w:cs="Arial"/>
          <w:b/>
          <w:szCs w:val="24"/>
          <w:lang w:val="fr-CA"/>
        </w:rPr>
        <w:t xml:space="preserve"> selon le profil linguistique au 31 mars 2019</w:t>
      </w:r>
    </w:p>
    <w:tbl>
      <w:tblPr>
        <w:tblStyle w:val="TableGrid"/>
        <w:tblW w:w="0" w:type="auto"/>
        <w:tblLook w:val="00A0" w:firstRow="1" w:lastRow="0" w:firstColumn="1" w:lastColumn="0" w:noHBand="0" w:noVBand="0"/>
        <w:tblCaption w:val="Effectif régi par la Loi sur l’embauche dans la fonction publique selon le profil linguistique  au 31 mars 2019"/>
        <w:tblDescription w:val="Ce tableau décrit les effectifs régi selon le profil linguistique bilingue, unilingue ou inconnu en nombre et en pourcentage au 31 mars 2019."/>
      </w:tblPr>
      <w:tblGrid>
        <w:gridCol w:w="1956"/>
        <w:gridCol w:w="2602"/>
        <w:gridCol w:w="4205"/>
      </w:tblGrid>
      <w:tr w:rsidR="0000207A" w:rsidRPr="00C94CAC" w:rsidTr="00D44B6E">
        <w:trPr>
          <w:trHeight w:val="290"/>
          <w:tblHeader/>
        </w:trPr>
        <w:tc>
          <w:tcPr>
            <w:tcW w:w="0" w:type="auto"/>
          </w:tcPr>
          <w:p w:rsidR="0000207A" w:rsidRPr="00B16F85" w:rsidRDefault="0000207A" w:rsidP="0026024D">
            <w:pPr>
              <w:autoSpaceDE w:val="0"/>
              <w:autoSpaceDN w:val="0"/>
              <w:adjustRightInd w:val="0"/>
              <w:rPr>
                <w:rFonts w:cs="Arial"/>
                <w:color w:val="000000"/>
                <w:szCs w:val="24"/>
                <w:lang w:val="fr-CA"/>
              </w:rPr>
            </w:pPr>
            <w:bookmarkStart w:id="7" w:name="Titre_2"/>
            <w:bookmarkEnd w:id="7"/>
            <w:r w:rsidRPr="00B16F85">
              <w:rPr>
                <w:rFonts w:cs="Arial"/>
                <w:szCs w:val="24"/>
                <w:lang w:val="fr-CA"/>
              </w:rPr>
              <w:t xml:space="preserve">Profil linguistique  </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Effectif au 31 mars 2019</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szCs w:val="24"/>
                <w:lang w:val="fr-CA"/>
              </w:rPr>
              <w:t>Pourcentage de l'effectif au 31 mars 2019</w:t>
            </w:r>
          </w:p>
        </w:tc>
      </w:tr>
      <w:tr w:rsidR="0000207A" w:rsidRPr="00B16F85" w:rsidTr="00D44B6E">
        <w:trPr>
          <w:trHeight w:val="290"/>
        </w:trPr>
        <w:tc>
          <w:tcPr>
            <w:tcW w:w="0" w:type="auto"/>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 xml:space="preserve">Bilingue </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75%</w:t>
            </w:r>
          </w:p>
        </w:tc>
      </w:tr>
      <w:tr w:rsidR="0000207A" w:rsidRPr="00B16F85" w:rsidTr="00D44B6E">
        <w:trPr>
          <w:trHeight w:val="290"/>
        </w:trPr>
        <w:tc>
          <w:tcPr>
            <w:tcW w:w="0" w:type="auto"/>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Unilingue</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25%</w:t>
            </w:r>
          </w:p>
        </w:tc>
      </w:tr>
      <w:tr w:rsidR="0000207A" w:rsidRPr="00B16F85" w:rsidTr="00D44B6E">
        <w:trPr>
          <w:trHeight w:val="290"/>
        </w:trPr>
        <w:tc>
          <w:tcPr>
            <w:tcW w:w="0" w:type="auto"/>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Inconnus</w:t>
            </w:r>
          </w:p>
        </w:tc>
        <w:tc>
          <w:tcPr>
            <w:tcW w:w="0" w:type="auto"/>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c>
          <w:tcPr>
            <w:tcW w:w="0" w:type="auto"/>
          </w:tcPr>
          <w:p w:rsidR="0000207A" w:rsidRPr="00B16F85" w:rsidRDefault="0000207A" w:rsidP="0026024D">
            <w:pPr>
              <w:autoSpaceDE w:val="0"/>
              <w:autoSpaceDN w:val="0"/>
              <w:adjustRightInd w:val="0"/>
              <w:jc w:val="center"/>
              <w:rPr>
                <w:rFonts w:cs="Arial"/>
                <w:color w:val="000000"/>
                <w:szCs w:val="24"/>
                <w:lang w:val="fr-CA"/>
              </w:rPr>
            </w:pPr>
          </w:p>
        </w:tc>
      </w:tr>
    </w:tbl>
    <w:p w:rsidR="0000207A" w:rsidRPr="00B16F85" w:rsidRDefault="0000207A" w:rsidP="0000207A">
      <w:pPr>
        <w:rPr>
          <w:rFonts w:cs="Arial"/>
          <w:szCs w:val="24"/>
          <w:lang w:val="fr-CA"/>
        </w:rPr>
      </w:pPr>
    </w:p>
    <w:p w:rsidR="0000207A" w:rsidRPr="00B16F85" w:rsidRDefault="0000207A" w:rsidP="0000207A">
      <w:pPr>
        <w:rPr>
          <w:rFonts w:cs="Arial"/>
          <w:b/>
          <w:szCs w:val="24"/>
          <w:lang w:val="fr-CA"/>
        </w:rPr>
      </w:pPr>
      <w:r w:rsidRPr="00B16F85">
        <w:rPr>
          <w:rFonts w:cs="Arial"/>
          <w:b/>
          <w:szCs w:val="24"/>
          <w:lang w:val="fr-CA"/>
        </w:rPr>
        <w:t xml:space="preserve">Groupes d’emploi, pourcentage de l'effectif régi par la </w:t>
      </w:r>
      <w:r w:rsidRPr="00B16F85">
        <w:rPr>
          <w:rFonts w:cs="Arial"/>
          <w:b/>
          <w:i/>
          <w:szCs w:val="24"/>
          <w:lang w:val="fr-CA"/>
        </w:rPr>
        <w:t>Loi sur l’emploi dans la fonction publique</w:t>
      </w:r>
      <w:r w:rsidRPr="00B16F85">
        <w:rPr>
          <w:rFonts w:cs="Arial"/>
          <w:b/>
          <w:szCs w:val="24"/>
          <w:lang w:val="fr-CA"/>
        </w:rPr>
        <w:t xml:space="preserve"> au 31 mars 2018 </w:t>
      </w:r>
    </w:p>
    <w:tbl>
      <w:tblPr>
        <w:tblStyle w:val="TableGrid"/>
        <w:tblW w:w="0" w:type="auto"/>
        <w:tblLook w:val="00A0" w:firstRow="1" w:lastRow="0" w:firstColumn="1" w:lastColumn="0" w:noHBand="0" w:noVBand="0"/>
        <w:tblCaption w:val="Groupes d’emploi, Pourcentage de l'effectif régi par la LEFP au 31 mars 2019"/>
        <w:tblDescription w:val="Ce tableau décrit le pourcentage de l'effectif régi au 31 mars 2018 selon le groupe professionnel LP, AS et EX."/>
      </w:tblPr>
      <w:tblGrid>
        <w:gridCol w:w="5505"/>
        <w:gridCol w:w="1910"/>
        <w:gridCol w:w="2944"/>
      </w:tblGrid>
      <w:tr w:rsidR="0000207A" w:rsidRPr="00C94CAC" w:rsidTr="00D44B6E">
        <w:trPr>
          <w:trHeight w:val="290"/>
          <w:tblHeader/>
        </w:trPr>
        <w:tc>
          <w:tcPr>
            <w:tcW w:w="5767" w:type="dxa"/>
          </w:tcPr>
          <w:p w:rsidR="0000207A" w:rsidRPr="00B16F85" w:rsidRDefault="0000207A" w:rsidP="0026024D">
            <w:pPr>
              <w:autoSpaceDE w:val="0"/>
              <w:autoSpaceDN w:val="0"/>
              <w:adjustRightInd w:val="0"/>
              <w:rPr>
                <w:rFonts w:cs="Arial"/>
                <w:color w:val="000000"/>
                <w:szCs w:val="24"/>
                <w:lang w:val="fr-CA"/>
              </w:rPr>
            </w:pPr>
            <w:bookmarkStart w:id="8" w:name="Titre_3"/>
            <w:bookmarkEnd w:id="8"/>
            <w:r w:rsidRPr="00B16F85">
              <w:rPr>
                <w:rFonts w:cs="Arial"/>
                <w:szCs w:val="24"/>
                <w:lang w:val="fr-CA"/>
              </w:rPr>
              <w:t>Groupes professionnels</w:t>
            </w:r>
          </w:p>
        </w:tc>
        <w:tc>
          <w:tcPr>
            <w:tcW w:w="197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szCs w:val="24"/>
                <w:lang w:val="fr-CA"/>
              </w:rPr>
              <w:t>Effectif au 31 mars 2018</w:t>
            </w:r>
          </w:p>
        </w:tc>
        <w:tc>
          <w:tcPr>
            <w:tcW w:w="3048" w:type="dxa"/>
          </w:tcPr>
          <w:p w:rsidR="0000207A" w:rsidRPr="00B16F85" w:rsidRDefault="0000207A" w:rsidP="0026024D">
            <w:pPr>
              <w:autoSpaceDE w:val="0"/>
              <w:autoSpaceDN w:val="0"/>
              <w:adjustRightInd w:val="0"/>
              <w:jc w:val="center"/>
              <w:rPr>
                <w:rFonts w:cs="Arial"/>
                <w:szCs w:val="24"/>
                <w:lang w:val="fr-CA"/>
              </w:rPr>
            </w:pPr>
            <w:r w:rsidRPr="00B16F85">
              <w:rPr>
                <w:rFonts w:cs="Arial"/>
                <w:szCs w:val="24"/>
                <w:lang w:val="fr-CA"/>
              </w:rPr>
              <w:t>Pourcentage de l'effectif au 31 mars 2018</w:t>
            </w:r>
          </w:p>
        </w:tc>
      </w:tr>
      <w:tr w:rsidR="0000207A" w:rsidRPr="00B16F85" w:rsidTr="00D44B6E">
        <w:trPr>
          <w:trHeight w:val="290"/>
        </w:trPr>
        <w:tc>
          <w:tcPr>
            <w:tcW w:w="5767"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LP – Praticiens du droit</w:t>
            </w:r>
          </w:p>
        </w:tc>
        <w:tc>
          <w:tcPr>
            <w:tcW w:w="197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c>
          <w:tcPr>
            <w:tcW w:w="304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43%</w:t>
            </w:r>
          </w:p>
        </w:tc>
      </w:tr>
      <w:tr w:rsidR="0000207A" w:rsidRPr="00B16F85" w:rsidTr="00D44B6E">
        <w:trPr>
          <w:trHeight w:val="290"/>
        </w:trPr>
        <w:tc>
          <w:tcPr>
            <w:tcW w:w="5767"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AS – Services administratifs</w:t>
            </w:r>
          </w:p>
        </w:tc>
        <w:tc>
          <w:tcPr>
            <w:tcW w:w="197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304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29%</w:t>
            </w:r>
          </w:p>
        </w:tc>
      </w:tr>
      <w:tr w:rsidR="0000207A" w:rsidRPr="00B16F85" w:rsidTr="00D44B6E">
        <w:trPr>
          <w:trHeight w:val="290"/>
        </w:trPr>
        <w:tc>
          <w:tcPr>
            <w:tcW w:w="5767"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EX – Direction</w:t>
            </w:r>
          </w:p>
        </w:tc>
        <w:tc>
          <w:tcPr>
            <w:tcW w:w="197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304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29%</w:t>
            </w:r>
          </w:p>
        </w:tc>
      </w:tr>
    </w:tbl>
    <w:p w:rsidR="0000207A" w:rsidRPr="00B16F85" w:rsidRDefault="0000207A" w:rsidP="0000207A">
      <w:pPr>
        <w:rPr>
          <w:rFonts w:cs="Arial"/>
          <w:szCs w:val="24"/>
          <w:lang w:val="fr-CA"/>
        </w:rPr>
      </w:pPr>
    </w:p>
    <w:p w:rsidR="0000207A" w:rsidRPr="00B16F85" w:rsidRDefault="0000207A" w:rsidP="0000207A">
      <w:pPr>
        <w:rPr>
          <w:rFonts w:cs="Arial"/>
          <w:b/>
          <w:szCs w:val="24"/>
          <w:lang w:val="fr-CA"/>
        </w:rPr>
      </w:pPr>
      <w:r w:rsidRPr="00B16F85">
        <w:rPr>
          <w:rFonts w:cs="Arial"/>
          <w:b/>
          <w:szCs w:val="24"/>
          <w:lang w:val="fr-CA"/>
        </w:rPr>
        <w:t xml:space="preserve">Effectif par région, pourcentage de l'effectif régi par la </w:t>
      </w:r>
      <w:r w:rsidRPr="00B16F85">
        <w:rPr>
          <w:rFonts w:cs="Arial"/>
          <w:b/>
          <w:i/>
          <w:szCs w:val="24"/>
          <w:lang w:val="fr-CA"/>
        </w:rPr>
        <w:t>Loi sur l’emploi dans la fonction publique</w:t>
      </w:r>
      <w:r w:rsidRPr="00B16F85">
        <w:rPr>
          <w:rFonts w:cs="Arial"/>
          <w:b/>
          <w:szCs w:val="24"/>
          <w:lang w:val="fr-CA"/>
        </w:rPr>
        <w:t xml:space="preserve"> au 31 mars 2019</w:t>
      </w:r>
    </w:p>
    <w:tbl>
      <w:tblPr>
        <w:tblStyle w:val="TableGrid"/>
        <w:tblW w:w="0" w:type="auto"/>
        <w:tblLook w:val="00A0" w:firstRow="1" w:lastRow="0" w:firstColumn="1" w:lastColumn="0" w:noHBand="0" w:noVBand="0"/>
        <w:tblCaption w:val="Effectif par région, Pourcentage de l'effectif régi par la Loi sur l’embauche dans la fonction publique  au 31 mars 2019"/>
        <w:tblDescription w:val="Ce tableau décrit le pourcentage d'effectif en fonction de la région  de la capitale nationale (RCN) et des régions à l'extérieurs de la RCN au 31 mars 2019."/>
      </w:tblPr>
      <w:tblGrid>
        <w:gridCol w:w="4705"/>
        <w:gridCol w:w="2070"/>
        <w:gridCol w:w="2893"/>
      </w:tblGrid>
      <w:tr w:rsidR="0000207A" w:rsidRPr="00C94CAC" w:rsidTr="00D44B6E">
        <w:trPr>
          <w:trHeight w:val="290"/>
          <w:tblHeader/>
        </w:trPr>
        <w:tc>
          <w:tcPr>
            <w:tcW w:w="4705" w:type="dxa"/>
          </w:tcPr>
          <w:p w:rsidR="0000207A" w:rsidRPr="00B16F85" w:rsidRDefault="0000207A" w:rsidP="0026024D">
            <w:pPr>
              <w:autoSpaceDE w:val="0"/>
              <w:autoSpaceDN w:val="0"/>
              <w:adjustRightInd w:val="0"/>
              <w:rPr>
                <w:rFonts w:cs="Arial"/>
                <w:color w:val="000000"/>
                <w:szCs w:val="24"/>
                <w:lang w:val="fr-CA"/>
              </w:rPr>
            </w:pPr>
            <w:bookmarkStart w:id="9" w:name="Titre_4"/>
            <w:bookmarkEnd w:id="9"/>
            <w:r w:rsidRPr="00B16F85">
              <w:rPr>
                <w:rFonts w:cs="Arial"/>
                <w:color w:val="000000"/>
                <w:szCs w:val="24"/>
                <w:lang w:val="fr-CA"/>
              </w:rPr>
              <w:t>Région</w:t>
            </w:r>
          </w:p>
        </w:tc>
        <w:tc>
          <w:tcPr>
            <w:tcW w:w="207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szCs w:val="24"/>
                <w:lang w:val="fr-CA"/>
              </w:rPr>
              <w:t>Effectif au 31 mars 2019</w:t>
            </w:r>
          </w:p>
        </w:tc>
        <w:tc>
          <w:tcPr>
            <w:tcW w:w="2893" w:type="dxa"/>
          </w:tcPr>
          <w:p w:rsidR="0000207A" w:rsidRPr="00B16F85" w:rsidRDefault="0000207A" w:rsidP="0026024D">
            <w:pPr>
              <w:autoSpaceDE w:val="0"/>
              <w:autoSpaceDN w:val="0"/>
              <w:adjustRightInd w:val="0"/>
              <w:jc w:val="center"/>
              <w:rPr>
                <w:rFonts w:cs="Arial"/>
                <w:szCs w:val="24"/>
                <w:lang w:val="fr-CA"/>
              </w:rPr>
            </w:pPr>
            <w:r w:rsidRPr="00B16F85">
              <w:rPr>
                <w:rFonts w:cs="Arial"/>
                <w:szCs w:val="24"/>
                <w:lang w:val="fr-CA"/>
              </w:rPr>
              <w:t>Pourcentage de l'effectif au 31 mars 2019</w:t>
            </w:r>
          </w:p>
        </w:tc>
      </w:tr>
      <w:tr w:rsidR="0000207A" w:rsidRPr="00B16F85" w:rsidTr="00D44B6E">
        <w:trPr>
          <w:trHeight w:val="290"/>
        </w:trPr>
        <w:tc>
          <w:tcPr>
            <w:tcW w:w="4705"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Région de la capitale nationale (RCN)</w:t>
            </w:r>
          </w:p>
        </w:tc>
        <w:tc>
          <w:tcPr>
            <w:tcW w:w="207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7</w:t>
            </w:r>
          </w:p>
        </w:tc>
        <w:tc>
          <w:tcPr>
            <w:tcW w:w="289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100%</w:t>
            </w:r>
          </w:p>
        </w:tc>
      </w:tr>
      <w:tr w:rsidR="0000207A" w:rsidRPr="00B16F85" w:rsidTr="00D44B6E">
        <w:trPr>
          <w:trHeight w:val="290"/>
        </w:trPr>
        <w:tc>
          <w:tcPr>
            <w:tcW w:w="4705"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Régions à l’extérieur de la RCN</w:t>
            </w:r>
          </w:p>
        </w:tc>
        <w:tc>
          <w:tcPr>
            <w:tcW w:w="207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89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r>
      <w:tr w:rsidR="0000207A" w:rsidRPr="00B16F85" w:rsidTr="00D44B6E">
        <w:trPr>
          <w:trHeight w:val="290"/>
        </w:trPr>
        <w:tc>
          <w:tcPr>
            <w:tcW w:w="4705"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Inconnus</w:t>
            </w:r>
          </w:p>
        </w:tc>
        <w:tc>
          <w:tcPr>
            <w:tcW w:w="207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893" w:type="dxa"/>
          </w:tcPr>
          <w:p w:rsidR="0000207A" w:rsidRPr="00B16F85" w:rsidRDefault="0000207A" w:rsidP="0026024D">
            <w:pPr>
              <w:autoSpaceDE w:val="0"/>
              <w:autoSpaceDN w:val="0"/>
              <w:adjustRightInd w:val="0"/>
              <w:jc w:val="center"/>
              <w:rPr>
                <w:rFonts w:cs="Arial"/>
                <w:color w:val="000000"/>
                <w:szCs w:val="24"/>
                <w:lang w:val="fr-CA"/>
              </w:rPr>
            </w:pPr>
          </w:p>
        </w:tc>
      </w:tr>
    </w:tbl>
    <w:p w:rsidR="0000207A" w:rsidRPr="00B16F85" w:rsidRDefault="0000207A" w:rsidP="0000207A">
      <w:pPr>
        <w:rPr>
          <w:rFonts w:cs="Arial"/>
          <w:szCs w:val="24"/>
          <w:lang w:val="fr-CA"/>
        </w:rPr>
      </w:pPr>
    </w:p>
    <w:p w:rsidR="0000207A" w:rsidRPr="00B16F85" w:rsidRDefault="0000207A" w:rsidP="0000207A">
      <w:pPr>
        <w:spacing w:after="160" w:line="259" w:lineRule="auto"/>
        <w:rPr>
          <w:rFonts w:cs="Arial"/>
          <w:b/>
          <w:szCs w:val="24"/>
          <w:lang w:val="fr-CA"/>
        </w:rPr>
      </w:pPr>
      <w:r w:rsidRPr="00B16F85">
        <w:rPr>
          <w:rFonts w:cs="Arial"/>
          <w:b/>
          <w:szCs w:val="24"/>
          <w:lang w:val="fr-CA"/>
        </w:rPr>
        <w:br w:type="page"/>
      </w:r>
    </w:p>
    <w:p w:rsidR="0000207A" w:rsidRPr="00B16F85" w:rsidRDefault="0000207A" w:rsidP="0000207A">
      <w:pPr>
        <w:rPr>
          <w:rFonts w:cs="Arial"/>
          <w:b/>
          <w:szCs w:val="24"/>
          <w:lang w:val="fr-CA"/>
        </w:rPr>
      </w:pPr>
      <w:r w:rsidRPr="00B16F85">
        <w:rPr>
          <w:rFonts w:cs="Arial"/>
          <w:b/>
          <w:szCs w:val="24"/>
          <w:lang w:val="fr-CA"/>
        </w:rPr>
        <w:lastRenderedPageBreak/>
        <w:t>Activités de dotation selon le type de nomination et exercice financier</w:t>
      </w:r>
    </w:p>
    <w:tbl>
      <w:tblPr>
        <w:tblStyle w:val="TableGrid"/>
        <w:tblW w:w="0" w:type="auto"/>
        <w:tblLook w:val="00A0" w:firstRow="1" w:lastRow="0" w:firstColumn="1" w:lastColumn="0" w:noHBand="0" w:noVBand="0"/>
        <w:tblCaption w:val="Activités de dotation selon le type de nomination et exercice financier"/>
        <w:tblDescription w:val="Ce tableau présente le nombre de nomination pour les exercices financier 2014-2015 à 2018-2019 selon le type de nomination, soit par la promotion, les déplacements latéraux et régressifs, les nominations à la fonction publique (y compris les employés occasionnels et les étudiants) et les nomination intérimaires (excluant les nominations de moins de 4 mois)."/>
      </w:tblPr>
      <w:tblGrid>
        <w:gridCol w:w="1614"/>
        <w:gridCol w:w="1424"/>
        <w:gridCol w:w="1833"/>
        <w:gridCol w:w="2423"/>
        <w:gridCol w:w="2193"/>
        <w:gridCol w:w="872"/>
      </w:tblGrid>
      <w:tr w:rsidR="0000207A" w:rsidRPr="00B16F85" w:rsidTr="00D44B6E">
        <w:trPr>
          <w:tblHeader/>
        </w:trPr>
        <w:tc>
          <w:tcPr>
            <w:tcW w:w="1700" w:type="dxa"/>
          </w:tcPr>
          <w:p w:rsidR="0000207A" w:rsidRPr="00B16F85" w:rsidRDefault="0000207A" w:rsidP="0026024D">
            <w:pPr>
              <w:autoSpaceDE w:val="0"/>
              <w:autoSpaceDN w:val="0"/>
              <w:adjustRightInd w:val="0"/>
              <w:rPr>
                <w:rFonts w:cs="Arial"/>
                <w:color w:val="000000"/>
                <w:szCs w:val="24"/>
                <w:lang w:val="fr-CA"/>
              </w:rPr>
            </w:pPr>
            <w:bookmarkStart w:id="10" w:name="Titre_8"/>
            <w:bookmarkEnd w:id="10"/>
            <w:r w:rsidRPr="00B16F85">
              <w:rPr>
                <w:rFonts w:cs="Arial"/>
                <w:color w:val="000000"/>
                <w:szCs w:val="24"/>
                <w:lang w:val="fr-CA"/>
              </w:rPr>
              <w:t>Exercice financier</w:t>
            </w:r>
          </w:p>
        </w:tc>
        <w:tc>
          <w:tcPr>
            <w:tcW w:w="144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Promotions</w:t>
            </w:r>
          </w:p>
        </w:tc>
        <w:tc>
          <w:tcPr>
            <w:tcW w:w="187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Déplacements latéraux et régressifs</w:t>
            </w:r>
          </w:p>
        </w:tc>
        <w:tc>
          <w:tcPr>
            <w:tcW w:w="257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Nominations à la fonction publique (y compris les employés occasionnels et les étudiants)</w:t>
            </w:r>
          </w:p>
        </w:tc>
        <w:tc>
          <w:tcPr>
            <w:tcW w:w="2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Nominations intérimaires (Excluant les nominations de moins de 4 mois)</w:t>
            </w:r>
          </w:p>
        </w:tc>
        <w:tc>
          <w:tcPr>
            <w:tcW w:w="895"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Total</w:t>
            </w:r>
          </w:p>
        </w:tc>
      </w:tr>
      <w:tr w:rsidR="0000207A" w:rsidRPr="00B16F85" w:rsidTr="00D44B6E">
        <w:tc>
          <w:tcPr>
            <w:tcW w:w="1700" w:type="dxa"/>
          </w:tcPr>
          <w:p w:rsidR="0000207A" w:rsidRPr="00B16F85" w:rsidRDefault="00D44B6E" w:rsidP="0026024D">
            <w:pPr>
              <w:autoSpaceDE w:val="0"/>
              <w:autoSpaceDN w:val="0"/>
              <w:adjustRightInd w:val="0"/>
              <w:rPr>
                <w:rFonts w:cs="Arial"/>
                <w:color w:val="000000"/>
                <w:szCs w:val="24"/>
                <w:lang w:val="fr-CA"/>
              </w:rPr>
            </w:pPr>
            <w:r w:rsidRPr="00B16F85">
              <w:rPr>
                <w:rFonts w:cs="Arial"/>
                <w:color w:val="000000"/>
                <w:szCs w:val="24"/>
                <w:lang w:val="fr-CA"/>
              </w:rPr>
              <w:t>2014 à 2015</w:t>
            </w:r>
          </w:p>
        </w:tc>
        <w:tc>
          <w:tcPr>
            <w:tcW w:w="144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187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57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2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89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r>
      <w:tr w:rsidR="0000207A" w:rsidRPr="00B16F85" w:rsidTr="00D44B6E">
        <w:tc>
          <w:tcPr>
            <w:tcW w:w="1700"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2015 à 2016</w:t>
            </w:r>
          </w:p>
        </w:tc>
        <w:tc>
          <w:tcPr>
            <w:tcW w:w="144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87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257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89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r>
      <w:tr w:rsidR="0000207A" w:rsidRPr="00B16F85" w:rsidTr="00D44B6E">
        <w:tc>
          <w:tcPr>
            <w:tcW w:w="1700" w:type="dxa"/>
          </w:tcPr>
          <w:p w:rsidR="0000207A" w:rsidRPr="00B16F85" w:rsidRDefault="00D44B6E" w:rsidP="0026024D">
            <w:pPr>
              <w:autoSpaceDE w:val="0"/>
              <w:autoSpaceDN w:val="0"/>
              <w:adjustRightInd w:val="0"/>
              <w:rPr>
                <w:rFonts w:cs="Arial"/>
                <w:color w:val="000000"/>
                <w:szCs w:val="24"/>
                <w:lang w:val="fr-CA"/>
              </w:rPr>
            </w:pPr>
            <w:r w:rsidRPr="00B16F85">
              <w:rPr>
                <w:rFonts w:cs="Arial"/>
                <w:color w:val="000000"/>
                <w:szCs w:val="24"/>
                <w:lang w:val="fr-CA"/>
              </w:rPr>
              <w:t>2016 à 2017</w:t>
            </w:r>
          </w:p>
        </w:tc>
        <w:tc>
          <w:tcPr>
            <w:tcW w:w="144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87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57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89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r>
      <w:tr w:rsidR="0000207A" w:rsidRPr="00B16F85" w:rsidTr="00D44B6E">
        <w:tc>
          <w:tcPr>
            <w:tcW w:w="1700"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2017 à 2018</w:t>
            </w:r>
          </w:p>
        </w:tc>
        <w:tc>
          <w:tcPr>
            <w:tcW w:w="144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87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257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89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r>
      <w:tr w:rsidR="0000207A" w:rsidRPr="00B16F85" w:rsidTr="00D44B6E">
        <w:tc>
          <w:tcPr>
            <w:tcW w:w="1700"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2018 à 2019</w:t>
            </w:r>
          </w:p>
        </w:tc>
        <w:tc>
          <w:tcPr>
            <w:tcW w:w="1440"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4</w:t>
            </w:r>
          </w:p>
        </w:tc>
        <w:tc>
          <w:tcPr>
            <w:tcW w:w="1873"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257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2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89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6</w:t>
            </w:r>
          </w:p>
        </w:tc>
      </w:tr>
    </w:tbl>
    <w:p w:rsidR="0000207A" w:rsidRPr="00B16F85" w:rsidRDefault="0000207A" w:rsidP="0000207A">
      <w:pPr>
        <w:rPr>
          <w:rFonts w:cs="Arial"/>
          <w:szCs w:val="24"/>
          <w:lang w:val="fr-CA"/>
        </w:rPr>
      </w:pPr>
    </w:p>
    <w:p w:rsidR="0000207A" w:rsidRPr="00B16F85" w:rsidRDefault="0000207A" w:rsidP="0000207A">
      <w:pPr>
        <w:rPr>
          <w:rFonts w:cs="Arial"/>
          <w:b/>
          <w:szCs w:val="24"/>
          <w:lang w:val="fr-CA"/>
        </w:rPr>
      </w:pPr>
      <w:r w:rsidRPr="00B16F85">
        <w:rPr>
          <w:rFonts w:cs="Arial"/>
          <w:b/>
          <w:szCs w:val="24"/>
          <w:lang w:val="fr-CA"/>
        </w:rPr>
        <w:t>Activités de dotation selon la durée d’emploi et l’exercice financier</w:t>
      </w:r>
    </w:p>
    <w:tbl>
      <w:tblPr>
        <w:tblStyle w:val="TableGrid"/>
        <w:tblW w:w="0" w:type="auto"/>
        <w:tblLook w:val="00A0" w:firstRow="1" w:lastRow="0" w:firstColumn="1" w:lastColumn="0" w:noHBand="0" w:noVBand="0"/>
        <w:tblCaption w:val="Activités de dotation selon la durée d’emploi et l’exercice financier"/>
        <w:tblDescription w:val="Ce tableau décrit les activités de dotation pour les exercices financiers de 2014-2015 à 2018-2019 selon la durée d'emploi pour les exercices financiers de 2014-2015 à 2018-2019 selon la durée d'emploi telle que les période indéterminée, déterminée, emplois occasionnels et les emplois étudiants."/>
      </w:tblPr>
      <w:tblGrid>
        <w:gridCol w:w="3216"/>
        <w:gridCol w:w="1587"/>
        <w:gridCol w:w="1400"/>
        <w:gridCol w:w="1583"/>
        <w:gridCol w:w="1294"/>
        <w:gridCol w:w="1279"/>
      </w:tblGrid>
      <w:tr w:rsidR="0000207A" w:rsidRPr="00B16F85" w:rsidTr="00D44B6E">
        <w:trPr>
          <w:tblHeader/>
        </w:trPr>
        <w:tc>
          <w:tcPr>
            <w:tcW w:w="3532" w:type="dxa"/>
          </w:tcPr>
          <w:p w:rsidR="0000207A" w:rsidRPr="00B16F85" w:rsidRDefault="0000207A" w:rsidP="0026024D">
            <w:pPr>
              <w:autoSpaceDE w:val="0"/>
              <w:autoSpaceDN w:val="0"/>
              <w:adjustRightInd w:val="0"/>
              <w:rPr>
                <w:rFonts w:cs="Arial"/>
                <w:color w:val="000000"/>
                <w:szCs w:val="24"/>
                <w:lang w:val="fr-CA"/>
              </w:rPr>
            </w:pPr>
            <w:bookmarkStart w:id="11" w:name="Titre_9"/>
            <w:bookmarkEnd w:id="11"/>
            <w:r w:rsidRPr="00B16F85">
              <w:rPr>
                <w:rFonts w:cs="Arial"/>
                <w:color w:val="000000"/>
                <w:szCs w:val="24"/>
                <w:lang w:val="fr-CA"/>
              </w:rPr>
              <w:t>Exercice financier</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Activités de dotation pour des postes pour une période indéterminée</w:t>
            </w:r>
          </w:p>
        </w:tc>
        <w:tc>
          <w:tcPr>
            <w:tcW w:w="1417"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Activités de dotation pour des postes de durée déterminée</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Activités de dotation de durée pour les emplois occasionnels</w:t>
            </w:r>
          </w:p>
        </w:tc>
        <w:tc>
          <w:tcPr>
            <w:tcW w:w="132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Activités de dotation pour les emplois étudiants</w:t>
            </w:r>
          </w:p>
        </w:tc>
        <w:tc>
          <w:tcPr>
            <w:tcW w:w="1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Activités de dotation totale</w:t>
            </w:r>
          </w:p>
        </w:tc>
      </w:tr>
      <w:tr w:rsidR="0000207A" w:rsidRPr="00B16F85" w:rsidTr="00D44B6E">
        <w:tc>
          <w:tcPr>
            <w:tcW w:w="3532"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2014 à 2015</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1417"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1</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2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r>
      <w:tr w:rsidR="0000207A" w:rsidRPr="00B16F85" w:rsidTr="00D44B6E">
        <w:tc>
          <w:tcPr>
            <w:tcW w:w="3532"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2015 à 2016</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c>
          <w:tcPr>
            <w:tcW w:w="1417"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2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r>
      <w:tr w:rsidR="0000207A" w:rsidRPr="00B16F85" w:rsidTr="00D44B6E">
        <w:tc>
          <w:tcPr>
            <w:tcW w:w="3532"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2016 à 2017</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417"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2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r>
      <w:tr w:rsidR="0000207A" w:rsidRPr="00B16F85" w:rsidTr="00D44B6E">
        <w:tc>
          <w:tcPr>
            <w:tcW w:w="3532"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2017 à 2018</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c>
          <w:tcPr>
            <w:tcW w:w="1417"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2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2</w:t>
            </w:r>
          </w:p>
        </w:tc>
      </w:tr>
      <w:tr w:rsidR="0000207A" w:rsidRPr="00B16F85" w:rsidTr="00D44B6E">
        <w:tc>
          <w:tcPr>
            <w:tcW w:w="3532" w:type="dxa"/>
          </w:tcPr>
          <w:p w:rsidR="0000207A" w:rsidRPr="00B16F85" w:rsidRDefault="0000207A" w:rsidP="0026024D">
            <w:pPr>
              <w:autoSpaceDE w:val="0"/>
              <w:autoSpaceDN w:val="0"/>
              <w:adjustRightInd w:val="0"/>
              <w:rPr>
                <w:rFonts w:cs="Arial"/>
                <w:color w:val="000000"/>
                <w:szCs w:val="24"/>
                <w:lang w:val="fr-CA"/>
              </w:rPr>
            </w:pPr>
            <w:r w:rsidRPr="00B16F85">
              <w:rPr>
                <w:rFonts w:cs="Arial"/>
                <w:color w:val="000000"/>
                <w:szCs w:val="24"/>
                <w:lang w:val="fr-CA"/>
              </w:rPr>
              <w:t>2018 à 2019</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c>
          <w:tcPr>
            <w:tcW w:w="1417"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3</w:t>
            </w:r>
          </w:p>
        </w:tc>
        <w:tc>
          <w:tcPr>
            <w:tcW w:w="1604"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25"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0</w:t>
            </w:r>
          </w:p>
        </w:tc>
        <w:tc>
          <w:tcPr>
            <w:tcW w:w="1308" w:type="dxa"/>
          </w:tcPr>
          <w:p w:rsidR="0000207A" w:rsidRPr="00B16F85" w:rsidRDefault="0000207A" w:rsidP="0026024D">
            <w:pPr>
              <w:autoSpaceDE w:val="0"/>
              <w:autoSpaceDN w:val="0"/>
              <w:adjustRightInd w:val="0"/>
              <w:jc w:val="center"/>
              <w:rPr>
                <w:rFonts w:cs="Arial"/>
                <w:color w:val="000000"/>
                <w:szCs w:val="24"/>
                <w:lang w:val="fr-CA"/>
              </w:rPr>
            </w:pPr>
            <w:r w:rsidRPr="00B16F85">
              <w:rPr>
                <w:rFonts w:cs="Arial"/>
                <w:color w:val="000000"/>
                <w:szCs w:val="24"/>
                <w:lang w:val="fr-CA"/>
              </w:rPr>
              <w:t>6</w:t>
            </w:r>
          </w:p>
        </w:tc>
      </w:tr>
    </w:tbl>
    <w:p w:rsidR="005D08F3" w:rsidRPr="00B16F85" w:rsidRDefault="005D08F3" w:rsidP="005D08F3">
      <w:pPr>
        <w:rPr>
          <w:lang w:val="fr-CA"/>
        </w:rPr>
      </w:pPr>
    </w:p>
    <w:sectPr w:rsidR="005D08F3" w:rsidRPr="00B16F85" w:rsidSect="00383469">
      <w:footnotePr>
        <w:numFmt w:val="lowerLetter"/>
      </w:footnotePr>
      <w:endnotePr>
        <w:numFmt w:val="lowerLetter"/>
      </w:endnotePr>
      <w:pgSz w:w="12240" w:h="15840" w:code="1"/>
      <w:pgMar w:top="709" w:right="1304" w:bottom="709" w:left="567"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08" w:rsidRDefault="00051008">
      <w:r>
        <w:separator/>
      </w:r>
    </w:p>
  </w:endnote>
  <w:endnote w:type="continuationSeparator" w:id="0">
    <w:p w:rsidR="00051008" w:rsidRDefault="000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F4" w:rsidRDefault="00E015F4" w:rsidP="005C1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F4" w:rsidRPr="008A6060" w:rsidRDefault="00E015F4" w:rsidP="001923B2">
    <w:pPr>
      <w:pStyle w:val="Footer"/>
      <w:rPr>
        <w:lang w:val="fr-CA"/>
      </w:rPr>
    </w:pPr>
    <w:r w:rsidRPr="00F963C1">
      <w:rPr>
        <w:rFonts w:ascii="Calibri" w:eastAsia="Calibri" w:hAnsi="Calibri" w:cs="Arial"/>
        <w:sz w:val="16"/>
        <w:szCs w:val="22"/>
        <w:lang w:val="fr-CA"/>
      </w:rPr>
      <w:fldChar w:fldCharType="begin"/>
    </w:r>
    <w:r w:rsidRPr="00F963C1">
      <w:rPr>
        <w:rFonts w:ascii="Calibri" w:eastAsia="Calibri" w:hAnsi="Calibri" w:cs="Arial"/>
        <w:sz w:val="16"/>
        <w:szCs w:val="22"/>
        <w:lang w:val="en-CA"/>
      </w:rPr>
      <w:instrText xml:space="preserve"> PAGE   \* MERGEFORMAT </w:instrText>
    </w:r>
    <w:r w:rsidRPr="00F963C1">
      <w:rPr>
        <w:rFonts w:ascii="Calibri" w:eastAsia="Calibri" w:hAnsi="Calibri" w:cs="Arial"/>
        <w:sz w:val="16"/>
        <w:szCs w:val="22"/>
        <w:lang w:val="fr-CA"/>
      </w:rPr>
      <w:fldChar w:fldCharType="separate"/>
    </w:r>
    <w:r w:rsidR="00542F71" w:rsidRPr="00542F71">
      <w:rPr>
        <w:rFonts w:ascii="Calibri" w:eastAsia="Calibri" w:hAnsi="Calibri" w:cs="Arial"/>
        <w:b/>
        <w:bCs/>
        <w:noProof/>
        <w:sz w:val="16"/>
        <w:szCs w:val="22"/>
        <w:lang w:val="en-CA"/>
      </w:rPr>
      <w:t>1</w:t>
    </w:r>
    <w:r w:rsidRPr="00F963C1">
      <w:rPr>
        <w:rFonts w:ascii="Calibri" w:eastAsia="Calibri" w:hAnsi="Calibri" w:cs="Arial"/>
        <w:b/>
        <w:bCs/>
        <w:noProof/>
        <w:sz w:val="16"/>
        <w:szCs w:val="22"/>
        <w:lang w:val="fr-CA"/>
      </w:rPr>
      <w:fldChar w:fldCharType="end"/>
    </w:r>
    <w:r w:rsidRPr="006B2FDC">
      <w:rPr>
        <w:rFonts w:ascii="Calibri" w:eastAsia="Calibri" w:hAnsi="Calibri" w:cs="Arial"/>
        <w:b/>
        <w:bCs/>
        <w:sz w:val="16"/>
        <w:szCs w:val="22"/>
        <w:lang w:val="en-CA"/>
      </w:rPr>
      <w:t>|</w:t>
    </w:r>
    <w:r w:rsidRPr="00F963C1">
      <w:rPr>
        <w:rFonts w:ascii="Calibri" w:eastAsia="Calibri" w:hAnsi="Calibri" w:cs="Arial"/>
        <w:sz w:val="16"/>
        <w:szCs w:val="22"/>
        <w:lang w:val="en-CA"/>
      </w:rPr>
      <w:t xml:space="preserve"> </w:t>
    </w:r>
    <w:r>
      <w:rPr>
        <w:rFonts w:ascii="Calibri" w:eastAsia="Calibri" w:hAnsi="Calibri" w:cs="Arial"/>
        <w:sz w:val="16"/>
        <w:szCs w:val="22"/>
        <w:lang w:val="en-CA"/>
      </w:rPr>
      <w:tab/>
    </w:r>
    <w:r>
      <w:rPr>
        <w:rFonts w:ascii="Calibri" w:eastAsia="Calibri" w:hAnsi="Calibri" w:cs="Arial"/>
        <w:sz w:val="16"/>
        <w:szCs w:val="22"/>
        <w:lang w:val="en-CA"/>
      </w:rPr>
      <w:tab/>
    </w:r>
    <w:r w:rsidRPr="006B2FDC">
      <w:rPr>
        <w:rFonts w:ascii="Calibri" w:eastAsia="Calibri" w:hAnsi="Calibri" w:cs="Arial"/>
        <w:sz w:val="16"/>
        <w:szCs w:val="22"/>
        <w:lang w:val="en-CA"/>
      </w:rPr>
      <w:t xml:space="preserve">GCDOCS </w:t>
    </w:r>
    <w:r w:rsidR="003408DB">
      <w:rPr>
        <w:rFonts w:ascii="Calibri" w:eastAsia="Calibri" w:hAnsi="Calibri" w:cs="Arial"/>
        <w:sz w:val="16"/>
        <w:szCs w:val="22"/>
        <w:lang w:val="en-CA"/>
      </w:rPr>
      <w:t>9</w:t>
    </w:r>
    <w:r w:rsidR="001923B2">
      <w:rPr>
        <w:rFonts w:ascii="Calibri" w:eastAsia="Calibri" w:hAnsi="Calibri" w:cs="Arial"/>
        <w:sz w:val="16"/>
        <w:szCs w:val="22"/>
        <w:lang w:val="en-CA"/>
      </w:rPr>
      <w:t>808927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F3" w:rsidRDefault="005D08F3" w:rsidP="00A50618">
    <w:pPr>
      <w:pStyle w:val="Footer"/>
      <w:jc w:val="center"/>
    </w:pPr>
    <w:r>
      <w:t xml:space="preserve"> Produced by Data Services and Analysis Directorate (PSC) – Updated on June 6,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F3" w:rsidRPr="00A54E96" w:rsidRDefault="005D08F3" w:rsidP="00A54E96">
    <w:pPr>
      <w:pStyle w:val="Header"/>
      <w:jc w:val="center"/>
      <w:rPr>
        <w:rFonts w:asciiTheme="minorHAnsi" w:hAnsiTheme="minorHAnsi" w:cstheme="minorHAnsi"/>
        <w:b/>
        <w:sz w:val="20"/>
      </w:rPr>
    </w:pPr>
    <w:r w:rsidRPr="00490871">
      <w:rPr>
        <w:rFonts w:asciiTheme="minorHAnsi" w:hAnsiTheme="minorHAnsi" w:cstheme="minorHAnsi"/>
        <w:b/>
        <w:sz w:val="20"/>
      </w:rPr>
      <w:t xml:space="preserve">AS = Administrative Services </w:t>
    </w:r>
    <w:r>
      <w:rPr>
        <w:rFonts w:asciiTheme="minorHAnsi" w:hAnsiTheme="minorHAnsi" w:cstheme="minorHAnsi"/>
        <w:b/>
        <w:sz w:val="20"/>
      </w:rPr>
      <w:t>EX = Executive LP</w:t>
    </w:r>
    <w:r w:rsidRPr="00490871">
      <w:rPr>
        <w:rFonts w:asciiTheme="minorHAnsi" w:hAnsiTheme="minorHAnsi" w:cstheme="minorHAnsi"/>
        <w:b/>
        <w:sz w:val="20"/>
      </w:rPr>
      <w:t xml:space="preserve"> = </w:t>
    </w:r>
    <w:r>
      <w:rPr>
        <w:rFonts w:asciiTheme="minorHAnsi" w:hAnsiTheme="minorHAnsi" w:cstheme="minorHAnsi"/>
        <w:b/>
        <w:sz w:val="20"/>
      </w:rPr>
      <w:t>Law Practitioner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08" w:rsidRDefault="00051008">
      <w:r>
        <w:separator/>
      </w:r>
    </w:p>
  </w:footnote>
  <w:footnote w:type="continuationSeparator" w:id="0">
    <w:p w:rsidR="00051008" w:rsidRDefault="0005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65" w:rsidRPr="00002565" w:rsidRDefault="00051008" w:rsidP="006E11EA">
    <w:pPr>
      <w:pStyle w:val="Heading1"/>
      <w:pBdr>
        <w:bottom w:val="single" w:sz="4" w:space="1" w:color="auto"/>
      </w:pBdr>
      <w:jc w:val="right"/>
      <w:rPr>
        <w:rFonts w:ascii="Arial Narrow" w:hAnsi="Arial Narrow"/>
        <w:sz w:val="22"/>
        <w:lang w:val="fr-CA"/>
      </w:rPr>
    </w:pPr>
    <w:sdt>
      <w:sdtPr>
        <w:rPr>
          <w:rFonts w:ascii="Arial Narrow" w:hAnsi="Arial Narrow"/>
          <w:sz w:val="22"/>
          <w:lang w:val="fr-CA"/>
        </w:rPr>
        <w:alias w:val="Title"/>
        <w:tag w:val=""/>
        <w:id w:val="1671764142"/>
        <w:placeholder>
          <w:docPart w:val="A79F77D7EAEC45A4909A9304DC6F283F"/>
        </w:placeholder>
        <w:dataBinding w:prefixMappings="xmlns:ns0='http://purl.org/dc/elements/1.1/' xmlns:ns1='http://schemas.openxmlformats.org/package/2006/metadata/core-properties' " w:xpath="/ns1:coreProperties[1]/ns0:title[1]" w:storeItemID="{6C3C8BC8-F283-45AE-878A-BAB7291924A1}"/>
        <w:text/>
      </w:sdtPr>
      <w:sdtEndPr/>
      <w:sdtContent>
        <w:r w:rsidR="00002565" w:rsidRPr="006E11EA">
          <w:rPr>
            <w:rFonts w:ascii="Arial Narrow" w:hAnsi="Arial Narrow"/>
            <w:sz w:val="22"/>
            <w:lang w:val="fr-CA"/>
          </w:rPr>
          <w:t>à publier sur le portail du gouvernement ouvert</w:t>
        </w:r>
      </w:sdtContent>
    </w:sdt>
  </w:p>
  <w:p w:rsidR="00E015F4" w:rsidRPr="00002565" w:rsidRDefault="00E015F4" w:rsidP="00A10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F3" w:rsidRPr="00647EAF" w:rsidRDefault="00051008" w:rsidP="00647EAF">
    <w:pPr>
      <w:pStyle w:val="Heading1"/>
      <w:jc w:val="right"/>
      <w:rPr>
        <w:rFonts w:ascii="Arial Narrow" w:hAnsi="Arial Narrow"/>
        <w:sz w:val="22"/>
        <w:lang w:val="fr-CA"/>
      </w:rPr>
    </w:pPr>
    <w:sdt>
      <w:sdtPr>
        <w:rPr>
          <w:rFonts w:ascii="Arial Narrow" w:hAnsi="Arial Narrow"/>
          <w:sz w:val="22"/>
          <w:lang w:val="fr-CA"/>
        </w:rPr>
        <w:alias w:val="Title"/>
        <w:tag w:val=""/>
        <w:id w:val="-635719794"/>
        <w:dataBinding w:prefixMappings="xmlns:ns0='http://purl.org/dc/elements/1.1/' xmlns:ns1='http://schemas.openxmlformats.org/package/2006/metadata/core-properties' " w:xpath="/ns1:coreProperties[1]/ns0:title[1]" w:storeItemID="{6C3C8BC8-F283-45AE-878A-BAB7291924A1}"/>
        <w:text/>
      </w:sdtPr>
      <w:sdtEndPr/>
      <w:sdtContent>
        <w:r w:rsidR="00002565" w:rsidRPr="00002565">
          <w:rPr>
            <w:rFonts w:ascii="Arial Narrow" w:hAnsi="Arial Narrow"/>
            <w:sz w:val="22"/>
            <w:lang w:val="fr-CA"/>
          </w:rPr>
          <w:t>à publier sur le portail du gouvernement ouvert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F3" w:rsidRPr="00DF5098" w:rsidRDefault="005D08F3" w:rsidP="00DF5098">
    <w:pPr>
      <w:pStyle w:val="Header"/>
      <w:jc w:val="center"/>
    </w:pPr>
    <w:r>
      <w:rPr>
        <w:rFonts w:asciiTheme="minorHAnsi" w:hAnsiTheme="minorHAnsi" w:cstheme="minorHAnsi"/>
        <w:b/>
        <w:sz w:val="20"/>
      </w:rPr>
      <w:t>Royal Canadian Mounted Police External Review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E65"/>
    <w:multiLevelType w:val="hybridMultilevel"/>
    <w:tmpl w:val="56AEBF50"/>
    <w:lvl w:ilvl="0" w:tplc="CF92CBCA">
      <w:start w:val="1"/>
      <w:numFmt w:val="bullet"/>
      <w:lvlText w:val=""/>
      <w:lvlJc w:val="left"/>
      <w:pPr>
        <w:ind w:left="360" w:hanging="360"/>
      </w:pPr>
      <w:rPr>
        <w:rFonts w:ascii="Symbol" w:hAnsi="Symbol" w:hint="default"/>
        <w:color w:val="000000" w:themeColor="text1"/>
      </w:rPr>
    </w:lvl>
    <w:lvl w:ilvl="1" w:tplc="7C82211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D72EB4"/>
    <w:multiLevelType w:val="hybridMultilevel"/>
    <w:tmpl w:val="D22EB260"/>
    <w:lvl w:ilvl="0" w:tplc="10090001">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D40AC9"/>
    <w:multiLevelType w:val="hybridMultilevel"/>
    <w:tmpl w:val="8FD44AC6"/>
    <w:lvl w:ilvl="0" w:tplc="10090005">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067C0245"/>
    <w:multiLevelType w:val="hybridMultilevel"/>
    <w:tmpl w:val="60CC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A90A0D"/>
    <w:multiLevelType w:val="hybridMultilevel"/>
    <w:tmpl w:val="4E4C1586"/>
    <w:lvl w:ilvl="0" w:tplc="10090001">
      <w:start w:val="1"/>
      <w:numFmt w:val="bullet"/>
      <w:lvlText w:val=""/>
      <w:lvlJc w:val="left"/>
      <w:pPr>
        <w:ind w:left="720" w:hanging="360"/>
      </w:pPr>
      <w:rPr>
        <w:rFonts w:ascii="Symbol" w:hAnsi="Symbol"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A31DC"/>
    <w:multiLevelType w:val="hybridMultilevel"/>
    <w:tmpl w:val="0D6C2602"/>
    <w:lvl w:ilvl="0" w:tplc="10090001">
      <w:start w:val="1"/>
      <w:numFmt w:val="bullet"/>
      <w:lvlText w:val=""/>
      <w:lvlJc w:val="left"/>
      <w:pPr>
        <w:ind w:left="360" w:hanging="360"/>
      </w:pPr>
      <w:rPr>
        <w:rFonts w:ascii="Symbol" w:hAnsi="Symbol" w:hint="default"/>
      </w:rPr>
    </w:lvl>
    <w:lvl w:ilvl="1" w:tplc="7C82211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7F42391"/>
    <w:multiLevelType w:val="hybridMultilevel"/>
    <w:tmpl w:val="A22C0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6E2164"/>
    <w:multiLevelType w:val="hybridMultilevel"/>
    <w:tmpl w:val="528AF900"/>
    <w:lvl w:ilvl="0" w:tplc="3DE84C70">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B64CBB"/>
    <w:multiLevelType w:val="hybridMultilevel"/>
    <w:tmpl w:val="F43C4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5E62A6"/>
    <w:multiLevelType w:val="hybridMultilevel"/>
    <w:tmpl w:val="83804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066135"/>
    <w:multiLevelType w:val="hybridMultilevel"/>
    <w:tmpl w:val="A22C0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BD32ED"/>
    <w:multiLevelType w:val="hybridMultilevel"/>
    <w:tmpl w:val="90C8C3F2"/>
    <w:lvl w:ilvl="0" w:tplc="4858B44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515B3D"/>
    <w:multiLevelType w:val="hybridMultilevel"/>
    <w:tmpl w:val="30DE2C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AE2091"/>
    <w:multiLevelType w:val="hybridMultilevel"/>
    <w:tmpl w:val="29225EF8"/>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BC2F79"/>
    <w:multiLevelType w:val="hybridMultilevel"/>
    <w:tmpl w:val="C28C30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A71FC"/>
    <w:multiLevelType w:val="hybridMultilevel"/>
    <w:tmpl w:val="92704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E581946"/>
    <w:multiLevelType w:val="hybridMultilevel"/>
    <w:tmpl w:val="A5EE3698"/>
    <w:lvl w:ilvl="0" w:tplc="975C5224">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156594"/>
    <w:multiLevelType w:val="hybridMultilevel"/>
    <w:tmpl w:val="5F0E340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30D64130"/>
    <w:multiLevelType w:val="hybridMultilevel"/>
    <w:tmpl w:val="0F3A9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22289E"/>
    <w:multiLevelType w:val="hybridMultilevel"/>
    <w:tmpl w:val="D03C3C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F42FA"/>
    <w:multiLevelType w:val="hybridMultilevel"/>
    <w:tmpl w:val="2738D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6442F1"/>
    <w:multiLevelType w:val="hybridMultilevel"/>
    <w:tmpl w:val="B4BE7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7D4D8E"/>
    <w:multiLevelType w:val="hybridMultilevel"/>
    <w:tmpl w:val="B18601BC"/>
    <w:lvl w:ilvl="0" w:tplc="10090005">
      <w:start w:val="1"/>
      <w:numFmt w:val="bullet"/>
      <w:lvlText w:val=""/>
      <w:lvlJc w:val="left"/>
      <w:pPr>
        <w:ind w:left="1211" w:hanging="360"/>
      </w:pPr>
      <w:rPr>
        <w:rFonts w:ascii="Wingdings" w:hAnsi="Wingding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6" w15:restartNumberingAfterBreak="0">
    <w:nsid w:val="47DC19D5"/>
    <w:multiLevelType w:val="hybridMultilevel"/>
    <w:tmpl w:val="A530C03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A94E9A"/>
    <w:multiLevelType w:val="hybridMultilevel"/>
    <w:tmpl w:val="A03C8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E03E94"/>
    <w:multiLevelType w:val="hybridMultilevel"/>
    <w:tmpl w:val="CDB8B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2100DE"/>
    <w:multiLevelType w:val="hybridMultilevel"/>
    <w:tmpl w:val="E006C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595C82"/>
    <w:multiLevelType w:val="hybridMultilevel"/>
    <w:tmpl w:val="6772D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D64185"/>
    <w:multiLevelType w:val="hybridMultilevel"/>
    <w:tmpl w:val="A516D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D031B0"/>
    <w:multiLevelType w:val="hybridMultilevel"/>
    <w:tmpl w:val="BF4C5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D3022F"/>
    <w:multiLevelType w:val="hybridMultilevel"/>
    <w:tmpl w:val="6D84EB30"/>
    <w:lvl w:ilvl="0" w:tplc="9FC49FB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41F480F"/>
    <w:multiLevelType w:val="hybridMultilevel"/>
    <w:tmpl w:val="30CEC1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46C4B5C"/>
    <w:multiLevelType w:val="hybridMultilevel"/>
    <w:tmpl w:val="5F2C7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4244CF"/>
    <w:multiLevelType w:val="hybridMultilevel"/>
    <w:tmpl w:val="0BE822B2"/>
    <w:lvl w:ilvl="0" w:tplc="10090005">
      <w:start w:val="1"/>
      <w:numFmt w:val="bullet"/>
      <w:lvlText w:val=""/>
      <w:lvlJc w:val="left"/>
      <w:pPr>
        <w:ind w:left="1211"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37"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6D0C3C2F"/>
    <w:multiLevelType w:val="hybridMultilevel"/>
    <w:tmpl w:val="4224CA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3333A32"/>
    <w:multiLevelType w:val="hybridMultilevel"/>
    <w:tmpl w:val="87763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6003D15"/>
    <w:multiLevelType w:val="hybridMultilevel"/>
    <w:tmpl w:val="3C18D050"/>
    <w:lvl w:ilvl="0" w:tplc="10090001">
      <w:start w:val="1"/>
      <w:numFmt w:val="bullet"/>
      <w:lvlText w:val=""/>
      <w:lvlJc w:val="left"/>
      <w:pPr>
        <w:ind w:left="360" w:hanging="360"/>
      </w:pPr>
      <w:rPr>
        <w:rFonts w:ascii="Symbol" w:hAnsi="Symbol" w:hint="default"/>
      </w:rPr>
    </w:lvl>
    <w:lvl w:ilvl="1" w:tplc="7C82211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B6651AC"/>
    <w:multiLevelType w:val="hybridMultilevel"/>
    <w:tmpl w:val="FEA80B08"/>
    <w:lvl w:ilvl="0" w:tplc="B234F38C">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7B8F7E94"/>
    <w:multiLevelType w:val="hybridMultilevel"/>
    <w:tmpl w:val="AE267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903B5A"/>
    <w:multiLevelType w:val="hybridMultilevel"/>
    <w:tmpl w:val="E5023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3"/>
  </w:num>
  <w:num w:numId="4">
    <w:abstractNumId w:val="9"/>
  </w:num>
  <w:num w:numId="5">
    <w:abstractNumId w:val="43"/>
  </w:num>
  <w:num w:numId="6">
    <w:abstractNumId w:val="24"/>
  </w:num>
  <w:num w:numId="7">
    <w:abstractNumId w:val="19"/>
  </w:num>
  <w:num w:numId="8">
    <w:abstractNumId w:val="37"/>
  </w:num>
  <w:num w:numId="9">
    <w:abstractNumId w:val="17"/>
  </w:num>
  <w:num w:numId="10">
    <w:abstractNumId w:val="37"/>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8"/>
  </w:num>
  <w:num w:numId="14">
    <w:abstractNumId w:val="22"/>
  </w:num>
  <w:num w:numId="15">
    <w:abstractNumId w:val="3"/>
  </w:num>
  <w:num w:numId="16">
    <w:abstractNumId w:val="16"/>
  </w:num>
  <w:num w:numId="17">
    <w:abstractNumId w:val="34"/>
  </w:num>
  <w:num w:numId="18">
    <w:abstractNumId w:val="20"/>
  </w:num>
  <w:num w:numId="19">
    <w:abstractNumId w:val="33"/>
  </w:num>
  <w:num w:numId="20">
    <w:abstractNumId w:val="27"/>
  </w:num>
  <w:num w:numId="21">
    <w:abstractNumId w:val="21"/>
  </w:num>
  <w:num w:numId="22">
    <w:abstractNumId w:val="28"/>
  </w:num>
  <w:num w:numId="23">
    <w:abstractNumId w:val="35"/>
  </w:num>
  <w:num w:numId="24">
    <w:abstractNumId w:val="32"/>
  </w:num>
  <w:num w:numId="25">
    <w:abstractNumId w:val="8"/>
  </w:num>
  <w:num w:numId="26">
    <w:abstractNumId w:val="11"/>
  </w:num>
  <w:num w:numId="27">
    <w:abstractNumId w:val="41"/>
  </w:num>
  <w:num w:numId="28">
    <w:abstractNumId w:val="41"/>
  </w:num>
  <w:num w:numId="29">
    <w:abstractNumId w:val="10"/>
  </w:num>
  <w:num w:numId="30">
    <w:abstractNumId w:val="23"/>
  </w:num>
  <w:num w:numId="31">
    <w:abstractNumId w:val="6"/>
  </w:num>
  <w:num w:numId="32">
    <w:abstractNumId w:val="12"/>
  </w:num>
  <w:num w:numId="33">
    <w:abstractNumId w:val="39"/>
  </w:num>
  <w:num w:numId="34">
    <w:abstractNumId w:val="4"/>
  </w:num>
  <w:num w:numId="35">
    <w:abstractNumId w:val="38"/>
  </w:num>
  <w:num w:numId="36">
    <w:abstractNumId w:val="0"/>
  </w:num>
  <w:num w:numId="37">
    <w:abstractNumId w:val="40"/>
  </w:num>
  <w:num w:numId="38">
    <w:abstractNumId w:val="5"/>
  </w:num>
  <w:num w:numId="39">
    <w:abstractNumId w:val="30"/>
  </w:num>
  <w:num w:numId="40">
    <w:abstractNumId w:val="26"/>
  </w:num>
  <w:num w:numId="41">
    <w:abstractNumId w:val="15"/>
  </w:num>
  <w:num w:numId="42">
    <w:abstractNumId w:val="14"/>
  </w:num>
  <w:num w:numId="43">
    <w:abstractNumId w:val="42"/>
  </w:num>
  <w:num w:numId="44">
    <w:abstractNumId w:val="7"/>
  </w:num>
  <w:num w:numId="45">
    <w:abstractNumId w:val="1"/>
  </w:num>
  <w:num w:numId="46">
    <w:abstractNumId w:val="25"/>
  </w:num>
  <w:num w:numId="47">
    <w:abstractNumId w:val="3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8505"/>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5"/>
    <w:rsid w:val="00000519"/>
    <w:rsid w:val="00000900"/>
    <w:rsid w:val="0000207A"/>
    <w:rsid w:val="00002565"/>
    <w:rsid w:val="00005EEE"/>
    <w:rsid w:val="000060FD"/>
    <w:rsid w:val="0000686C"/>
    <w:rsid w:val="000118CC"/>
    <w:rsid w:val="00011C9D"/>
    <w:rsid w:val="00020225"/>
    <w:rsid w:val="00021EC1"/>
    <w:rsid w:val="0002550B"/>
    <w:rsid w:val="00026B6E"/>
    <w:rsid w:val="00030344"/>
    <w:rsid w:val="000328E0"/>
    <w:rsid w:val="0003366E"/>
    <w:rsid w:val="000346DE"/>
    <w:rsid w:val="00034732"/>
    <w:rsid w:val="00043A29"/>
    <w:rsid w:val="00045A26"/>
    <w:rsid w:val="00046252"/>
    <w:rsid w:val="000500A0"/>
    <w:rsid w:val="00051008"/>
    <w:rsid w:val="00054322"/>
    <w:rsid w:val="000571F0"/>
    <w:rsid w:val="00061EA6"/>
    <w:rsid w:val="00064B61"/>
    <w:rsid w:val="00064DA8"/>
    <w:rsid w:val="00067645"/>
    <w:rsid w:val="00070865"/>
    <w:rsid w:val="00072EFA"/>
    <w:rsid w:val="00075977"/>
    <w:rsid w:val="0007665B"/>
    <w:rsid w:val="0008225E"/>
    <w:rsid w:val="000825DB"/>
    <w:rsid w:val="00082C3F"/>
    <w:rsid w:val="00082F13"/>
    <w:rsid w:val="0008536C"/>
    <w:rsid w:val="000944FC"/>
    <w:rsid w:val="00094F23"/>
    <w:rsid w:val="000A03AA"/>
    <w:rsid w:val="000A76BE"/>
    <w:rsid w:val="000B066A"/>
    <w:rsid w:val="000B0DC1"/>
    <w:rsid w:val="000B13C2"/>
    <w:rsid w:val="000B548F"/>
    <w:rsid w:val="000B5A32"/>
    <w:rsid w:val="000B6816"/>
    <w:rsid w:val="000C069E"/>
    <w:rsid w:val="000C13F6"/>
    <w:rsid w:val="000C302E"/>
    <w:rsid w:val="000C39F2"/>
    <w:rsid w:val="000C3BB8"/>
    <w:rsid w:val="000C4A9A"/>
    <w:rsid w:val="000C5FEA"/>
    <w:rsid w:val="000C731D"/>
    <w:rsid w:val="000C77B6"/>
    <w:rsid w:val="000C7830"/>
    <w:rsid w:val="000D6C3B"/>
    <w:rsid w:val="000D7AED"/>
    <w:rsid w:val="000E2754"/>
    <w:rsid w:val="000E3446"/>
    <w:rsid w:val="000E3D1F"/>
    <w:rsid w:val="000E49DD"/>
    <w:rsid w:val="000F6267"/>
    <w:rsid w:val="0010079D"/>
    <w:rsid w:val="00101449"/>
    <w:rsid w:val="00101DA8"/>
    <w:rsid w:val="00102874"/>
    <w:rsid w:val="001049F0"/>
    <w:rsid w:val="00105BAA"/>
    <w:rsid w:val="00112490"/>
    <w:rsid w:val="00113C72"/>
    <w:rsid w:val="00114459"/>
    <w:rsid w:val="00115777"/>
    <w:rsid w:val="00117468"/>
    <w:rsid w:val="0012259A"/>
    <w:rsid w:val="00127463"/>
    <w:rsid w:val="00131367"/>
    <w:rsid w:val="00131410"/>
    <w:rsid w:val="001322B5"/>
    <w:rsid w:val="0013511D"/>
    <w:rsid w:val="0013670F"/>
    <w:rsid w:val="001371B0"/>
    <w:rsid w:val="00144343"/>
    <w:rsid w:val="001519E7"/>
    <w:rsid w:val="00152C7A"/>
    <w:rsid w:val="00153C8F"/>
    <w:rsid w:val="0015405E"/>
    <w:rsid w:val="00154759"/>
    <w:rsid w:val="00155FFA"/>
    <w:rsid w:val="00156433"/>
    <w:rsid w:val="00161983"/>
    <w:rsid w:val="00162B6D"/>
    <w:rsid w:val="001666C5"/>
    <w:rsid w:val="00170D05"/>
    <w:rsid w:val="00172AC6"/>
    <w:rsid w:val="00175338"/>
    <w:rsid w:val="001914B3"/>
    <w:rsid w:val="001923B2"/>
    <w:rsid w:val="00197EF2"/>
    <w:rsid w:val="001A4D01"/>
    <w:rsid w:val="001A5019"/>
    <w:rsid w:val="001A5ECB"/>
    <w:rsid w:val="001B256F"/>
    <w:rsid w:val="001B327D"/>
    <w:rsid w:val="001B5A28"/>
    <w:rsid w:val="001B5BED"/>
    <w:rsid w:val="001B77BF"/>
    <w:rsid w:val="001C1928"/>
    <w:rsid w:val="001C2E94"/>
    <w:rsid w:val="001C7FA5"/>
    <w:rsid w:val="001D0B96"/>
    <w:rsid w:val="001D2265"/>
    <w:rsid w:val="001D2D45"/>
    <w:rsid w:val="001D3B0E"/>
    <w:rsid w:val="001D5850"/>
    <w:rsid w:val="001D7886"/>
    <w:rsid w:val="001E285E"/>
    <w:rsid w:val="001E2B26"/>
    <w:rsid w:val="001E2B97"/>
    <w:rsid w:val="001E4938"/>
    <w:rsid w:val="001E606D"/>
    <w:rsid w:val="001F2064"/>
    <w:rsid w:val="001F4F7F"/>
    <w:rsid w:val="002004BF"/>
    <w:rsid w:val="00200DE7"/>
    <w:rsid w:val="00201200"/>
    <w:rsid w:val="00201EF4"/>
    <w:rsid w:val="00203558"/>
    <w:rsid w:val="002119A4"/>
    <w:rsid w:val="00212D17"/>
    <w:rsid w:val="002133D4"/>
    <w:rsid w:val="00215F4E"/>
    <w:rsid w:val="002214FF"/>
    <w:rsid w:val="00222833"/>
    <w:rsid w:val="0022494C"/>
    <w:rsid w:val="002273C8"/>
    <w:rsid w:val="00227A07"/>
    <w:rsid w:val="00230AFD"/>
    <w:rsid w:val="00231F8B"/>
    <w:rsid w:val="002323D8"/>
    <w:rsid w:val="00235EBF"/>
    <w:rsid w:val="00244988"/>
    <w:rsid w:val="00246ED6"/>
    <w:rsid w:val="002553A6"/>
    <w:rsid w:val="00256498"/>
    <w:rsid w:val="00256A4E"/>
    <w:rsid w:val="00262246"/>
    <w:rsid w:val="00263944"/>
    <w:rsid w:val="002654D2"/>
    <w:rsid w:val="002656E7"/>
    <w:rsid w:val="00265C4A"/>
    <w:rsid w:val="002665FC"/>
    <w:rsid w:val="00267237"/>
    <w:rsid w:val="0026770A"/>
    <w:rsid w:val="00267B5F"/>
    <w:rsid w:val="002705D5"/>
    <w:rsid w:val="0027156E"/>
    <w:rsid w:val="002723B4"/>
    <w:rsid w:val="002743FD"/>
    <w:rsid w:val="00277640"/>
    <w:rsid w:val="00281B55"/>
    <w:rsid w:val="00284F97"/>
    <w:rsid w:val="00287C00"/>
    <w:rsid w:val="002921B1"/>
    <w:rsid w:val="00293AE6"/>
    <w:rsid w:val="00296798"/>
    <w:rsid w:val="002A2AC8"/>
    <w:rsid w:val="002A43A2"/>
    <w:rsid w:val="002A55A1"/>
    <w:rsid w:val="002B1C3B"/>
    <w:rsid w:val="002C0DB0"/>
    <w:rsid w:val="002C54CA"/>
    <w:rsid w:val="002C7EC9"/>
    <w:rsid w:val="002D449F"/>
    <w:rsid w:val="002D469F"/>
    <w:rsid w:val="002D5543"/>
    <w:rsid w:val="002E0516"/>
    <w:rsid w:val="002E0A88"/>
    <w:rsid w:val="002E4057"/>
    <w:rsid w:val="002E7BB9"/>
    <w:rsid w:val="002F2276"/>
    <w:rsid w:val="002F3FAB"/>
    <w:rsid w:val="002F705B"/>
    <w:rsid w:val="002F7EAA"/>
    <w:rsid w:val="00304265"/>
    <w:rsid w:val="00317F7A"/>
    <w:rsid w:val="003264DD"/>
    <w:rsid w:val="0032776A"/>
    <w:rsid w:val="00331650"/>
    <w:rsid w:val="0033202C"/>
    <w:rsid w:val="00332C98"/>
    <w:rsid w:val="00340303"/>
    <w:rsid w:val="003408DB"/>
    <w:rsid w:val="00344789"/>
    <w:rsid w:val="00350D77"/>
    <w:rsid w:val="00353828"/>
    <w:rsid w:val="00360282"/>
    <w:rsid w:val="003637B8"/>
    <w:rsid w:val="00363CD6"/>
    <w:rsid w:val="003649C1"/>
    <w:rsid w:val="0036572A"/>
    <w:rsid w:val="00373825"/>
    <w:rsid w:val="003776BB"/>
    <w:rsid w:val="00377DBA"/>
    <w:rsid w:val="00381947"/>
    <w:rsid w:val="00383469"/>
    <w:rsid w:val="003843CD"/>
    <w:rsid w:val="003866BE"/>
    <w:rsid w:val="00393EC8"/>
    <w:rsid w:val="00397920"/>
    <w:rsid w:val="003A000A"/>
    <w:rsid w:val="003A0CA3"/>
    <w:rsid w:val="003A24E2"/>
    <w:rsid w:val="003A2FE0"/>
    <w:rsid w:val="003B1F5C"/>
    <w:rsid w:val="003B6B6D"/>
    <w:rsid w:val="003B6D6C"/>
    <w:rsid w:val="003C05BF"/>
    <w:rsid w:val="003C206C"/>
    <w:rsid w:val="003C2113"/>
    <w:rsid w:val="003C3C16"/>
    <w:rsid w:val="003C6B0F"/>
    <w:rsid w:val="003C6CCA"/>
    <w:rsid w:val="003C78FC"/>
    <w:rsid w:val="003D05FE"/>
    <w:rsid w:val="003D0FA0"/>
    <w:rsid w:val="003D40E0"/>
    <w:rsid w:val="003E3184"/>
    <w:rsid w:val="003E4DDB"/>
    <w:rsid w:val="003E7AFC"/>
    <w:rsid w:val="003F0E09"/>
    <w:rsid w:val="003F1CDE"/>
    <w:rsid w:val="003F2A26"/>
    <w:rsid w:val="00402A9A"/>
    <w:rsid w:val="00405189"/>
    <w:rsid w:val="00406963"/>
    <w:rsid w:val="00424652"/>
    <w:rsid w:val="004269F5"/>
    <w:rsid w:val="00426DAB"/>
    <w:rsid w:val="00426FAF"/>
    <w:rsid w:val="00432504"/>
    <w:rsid w:val="0043255B"/>
    <w:rsid w:val="00434AA5"/>
    <w:rsid w:val="00437ADA"/>
    <w:rsid w:val="00437BB6"/>
    <w:rsid w:val="0044438C"/>
    <w:rsid w:val="00447115"/>
    <w:rsid w:val="00450825"/>
    <w:rsid w:val="004508BF"/>
    <w:rsid w:val="00450E7C"/>
    <w:rsid w:val="00453849"/>
    <w:rsid w:val="00453CCD"/>
    <w:rsid w:val="00454980"/>
    <w:rsid w:val="00455595"/>
    <w:rsid w:val="00461926"/>
    <w:rsid w:val="00465DB1"/>
    <w:rsid w:val="00466762"/>
    <w:rsid w:val="004705BB"/>
    <w:rsid w:val="0047304A"/>
    <w:rsid w:val="0047498D"/>
    <w:rsid w:val="0047636A"/>
    <w:rsid w:val="00477FBA"/>
    <w:rsid w:val="004830A2"/>
    <w:rsid w:val="004843DC"/>
    <w:rsid w:val="004859C0"/>
    <w:rsid w:val="004865E1"/>
    <w:rsid w:val="00497D53"/>
    <w:rsid w:val="00497F04"/>
    <w:rsid w:val="004A5837"/>
    <w:rsid w:val="004A5FD0"/>
    <w:rsid w:val="004B33C7"/>
    <w:rsid w:val="004B48D3"/>
    <w:rsid w:val="004B6BD8"/>
    <w:rsid w:val="004C11E0"/>
    <w:rsid w:val="004C2B9B"/>
    <w:rsid w:val="004C4656"/>
    <w:rsid w:val="004C4733"/>
    <w:rsid w:val="004C4D15"/>
    <w:rsid w:val="004D0D04"/>
    <w:rsid w:val="004D1778"/>
    <w:rsid w:val="004D392F"/>
    <w:rsid w:val="004D4D0A"/>
    <w:rsid w:val="004D6A22"/>
    <w:rsid w:val="004E1150"/>
    <w:rsid w:val="004E136F"/>
    <w:rsid w:val="004E1FA7"/>
    <w:rsid w:val="004E2C4F"/>
    <w:rsid w:val="004E4334"/>
    <w:rsid w:val="004E5D2A"/>
    <w:rsid w:val="004E5FDB"/>
    <w:rsid w:val="004F2040"/>
    <w:rsid w:val="004F4710"/>
    <w:rsid w:val="004F599C"/>
    <w:rsid w:val="00502DE7"/>
    <w:rsid w:val="00505F3A"/>
    <w:rsid w:val="00507604"/>
    <w:rsid w:val="00507725"/>
    <w:rsid w:val="005174D0"/>
    <w:rsid w:val="00522E05"/>
    <w:rsid w:val="00524213"/>
    <w:rsid w:val="00525786"/>
    <w:rsid w:val="00526758"/>
    <w:rsid w:val="00531E1B"/>
    <w:rsid w:val="00532405"/>
    <w:rsid w:val="00535193"/>
    <w:rsid w:val="00535236"/>
    <w:rsid w:val="00535A69"/>
    <w:rsid w:val="00536243"/>
    <w:rsid w:val="00537FE5"/>
    <w:rsid w:val="00541081"/>
    <w:rsid w:val="00541FE0"/>
    <w:rsid w:val="00542CE3"/>
    <w:rsid w:val="00542F71"/>
    <w:rsid w:val="00543B1F"/>
    <w:rsid w:val="00545D75"/>
    <w:rsid w:val="00550C69"/>
    <w:rsid w:val="00554299"/>
    <w:rsid w:val="00562805"/>
    <w:rsid w:val="00565A1C"/>
    <w:rsid w:val="005663FE"/>
    <w:rsid w:val="00566EE0"/>
    <w:rsid w:val="005756DF"/>
    <w:rsid w:val="005765D3"/>
    <w:rsid w:val="005864B5"/>
    <w:rsid w:val="0058671B"/>
    <w:rsid w:val="00590382"/>
    <w:rsid w:val="0059088E"/>
    <w:rsid w:val="00594946"/>
    <w:rsid w:val="00595251"/>
    <w:rsid w:val="00595E29"/>
    <w:rsid w:val="00597791"/>
    <w:rsid w:val="005A1011"/>
    <w:rsid w:val="005A1A41"/>
    <w:rsid w:val="005A4DAA"/>
    <w:rsid w:val="005A578D"/>
    <w:rsid w:val="005A6FC9"/>
    <w:rsid w:val="005B56B6"/>
    <w:rsid w:val="005B73C7"/>
    <w:rsid w:val="005C06D6"/>
    <w:rsid w:val="005C1F79"/>
    <w:rsid w:val="005C3392"/>
    <w:rsid w:val="005C565D"/>
    <w:rsid w:val="005C576C"/>
    <w:rsid w:val="005C6258"/>
    <w:rsid w:val="005D02BB"/>
    <w:rsid w:val="005D08F3"/>
    <w:rsid w:val="005D1B0F"/>
    <w:rsid w:val="005D1C94"/>
    <w:rsid w:val="005D308C"/>
    <w:rsid w:val="005D365A"/>
    <w:rsid w:val="005D54BC"/>
    <w:rsid w:val="005D6E66"/>
    <w:rsid w:val="005E056F"/>
    <w:rsid w:val="005E076A"/>
    <w:rsid w:val="005E1432"/>
    <w:rsid w:val="005E565E"/>
    <w:rsid w:val="005F523A"/>
    <w:rsid w:val="00604C63"/>
    <w:rsid w:val="00606E24"/>
    <w:rsid w:val="00606E5C"/>
    <w:rsid w:val="00620A40"/>
    <w:rsid w:val="00622FCE"/>
    <w:rsid w:val="00624D0C"/>
    <w:rsid w:val="00625467"/>
    <w:rsid w:val="00626A55"/>
    <w:rsid w:val="00626D66"/>
    <w:rsid w:val="006379B7"/>
    <w:rsid w:val="00644521"/>
    <w:rsid w:val="00647EAF"/>
    <w:rsid w:val="006519AA"/>
    <w:rsid w:val="006522B9"/>
    <w:rsid w:val="0065561B"/>
    <w:rsid w:val="00657365"/>
    <w:rsid w:val="00661F48"/>
    <w:rsid w:val="006707D0"/>
    <w:rsid w:val="006715A6"/>
    <w:rsid w:val="00677CEB"/>
    <w:rsid w:val="00677D65"/>
    <w:rsid w:val="00677F03"/>
    <w:rsid w:val="0068085E"/>
    <w:rsid w:val="00680893"/>
    <w:rsid w:val="00680AA7"/>
    <w:rsid w:val="006857DA"/>
    <w:rsid w:val="00691861"/>
    <w:rsid w:val="00695E23"/>
    <w:rsid w:val="006A7D07"/>
    <w:rsid w:val="006A7D67"/>
    <w:rsid w:val="006B2FDC"/>
    <w:rsid w:val="006C14C3"/>
    <w:rsid w:val="006C30AE"/>
    <w:rsid w:val="006D1204"/>
    <w:rsid w:val="006D20A2"/>
    <w:rsid w:val="006D2268"/>
    <w:rsid w:val="006D34AB"/>
    <w:rsid w:val="006D5C21"/>
    <w:rsid w:val="006D6BF5"/>
    <w:rsid w:val="006E11EA"/>
    <w:rsid w:val="006E2853"/>
    <w:rsid w:val="006E39FC"/>
    <w:rsid w:val="006E6493"/>
    <w:rsid w:val="006F2F9C"/>
    <w:rsid w:val="006F4A9E"/>
    <w:rsid w:val="006F7C5D"/>
    <w:rsid w:val="007055BE"/>
    <w:rsid w:val="00712021"/>
    <w:rsid w:val="007126BB"/>
    <w:rsid w:val="0071336D"/>
    <w:rsid w:val="007144CE"/>
    <w:rsid w:val="007227FA"/>
    <w:rsid w:val="0072297B"/>
    <w:rsid w:val="00725BC1"/>
    <w:rsid w:val="00730965"/>
    <w:rsid w:val="00735D5D"/>
    <w:rsid w:val="0074103A"/>
    <w:rsid w:val="0074461D"/>
    <w:rsid w:val="00745EC5"/>
    <w:rsid w:val="007462B3"/>
    <w:rsid w:val="00747C29"/>
    <w:rsid w:val="00752A8E"/>
    <w:rsid w:val="0075363F"/>
    <w:rsid w:val="007619DB"/>
    <w:rsid w:val="007622B8"/>
    <w:rsid w:val="007629CD"/>
    <w:rsid w:val="00767834"/>
    <w:rsid w:val="007748D8"/>
    <w:rsid w:val="007758B2"/>
    <w:rsid w:val="00776F6C"/>
    <w:rsid w:val="0078120B"/>
    <w:rsid w:val="00781821"/>
    <w:rsid w:val="00782332"/>
    <w:rsid w:val="00785FA5"/>
    <w:rsid w:val="00787B21"/>
    <w:rsid w:val="00794B06"/>
    <w:rsid w:val="00796ABD"/>
    <w:rsid w:val="0079783A"/>
    <w:rsid w:val="007A4918"/>
    <w:rsid w:val="007A629F"/>
    <w:rsid w:val="007A63AC"/>
    <w:rsid w:val="007A7CA0"/>
    <w:rsid w:val="007B1769"/>
    <w:rsid w:val="007B744E"/>
    <w:rsid w:val="007C1D99"/>
    <w:rsid w:val="007C4462"/>
    <w:rsid w:val="007C68BB"/>
    <w:rsid w:val="007D0EC3"/>
    <w:rsid w:val="007D165C"/>
    <w:rsid w:val="007E00F8"/>
    <w:rsid w:val="007E1D64"/>
    <w:rsid w:val="007E28FB"/>
    <w:rsid w:val="007E5AD6"/>
    <w:rsid w:val="007E5C20"/>
    <w:rsid w:val="007F7793"/>
    <w:rsid w:val="00801500"/>
    <w:rsid w:val="00802040"/>
    <w:rsid w:val="00803B89"/>
    <w:rsid w:val="00803E86"/>
    <w:rsid w:val="008058A7"/>
    <w:rsid w:val="00814A48"/>
    <w:rsid w:val="00814A4E"/>
    <w:rsid w:val="00815542"/>
    <w:rsid w:val="00816A5A"/>
    <w:rsid w:val="00822C36"/>
    <w:rsid w:val="008233D8"/>
    <w:rsid w:val="00827DBE"/>
    <w:rsid w:val="008308FB"/>
    <w:rsid w:val="0083303D"/>
    <w:rsid w:val="0083471C"/>
    <w:rsid w:val="0084366D"/>
    <w:rsid w:val="008442DE"/>
    <w:rsid w:val="008447CA"/>
    <w:rsid w:val="008471C7"/>
    <w:rsid w:val="008554A8"/>
    <w:rsid w:val="00856792"/>
    <w:rsid w:val="0086184A"/>
    <w:rsid w:val="008648E1"/>
    <w:rsid w:val="008661EA"/>
    <w:rsid w:val="008705B6"/>
    <w:rsid w:val="0087105E"/>
    <w:rsid w:val="00872398"/>
    <w:rsid w:val="00884AD6"/>
    <w:rsid w:val="008856F6"/>
    <w:rsid w:val="0088600C"/>
    <w:rsid w:val="00892222"/>
    <w:rsid w:val="008951A0"/>
    <w:rsid w:val="0089600B"/>
    <w:rsid w:val="008A45A7"/>
    <w:rsid w:val="008A53E9"/>
    <w:rsid w:val="008B7551"/>
    <w:rsid w:val="008C0CBA"/>
    <w:rsid w:val="008C77F7"/>
    <w:rsid w:val="008D2921"/>
    <w:rsid w:val="008E5074"/>
    <w:rsid w:val="008E50EB"/>
    <w:rsid w:val="008E57F1"/>
    <w:rsid w:val="008F0605"/>
    <w:rsid w:val="008F0FD0"/>
    <w:rsid w:val="008F6238"/>
    <w:rsid w:val="009003A1"/>
    <w:rsid w:val="009028D2"/>
    <w:rsid w:val="00902E10"/>
    <w:rsid w:val="0090428C"/>
    <w:rsid w:val="0091254C"/>
    <w:rsid w:val="00912EA9"/>
    <w:rsid w:val="009137EB"/>
    <w:rsid w:val="00913BCB"/>
    <w:rsid w:val="00931C8C"/>
    <w:rsid w:val="00935A11"/>
    <w:rsid w:val="00936C3F"/>
    <w:rsid w:val="009372B9"/>
    <w:rsid w:val="009374ED"/>
    <w:rsid w:val="00942036"/>
    <w:rsid w:val="009442E3"/>
    <w:rsid w:val="0094519D"/>
    <w:rsid w:val="00946379"/>
    <w:rsid w:val="009465F0"/>
    <w:rsid w:val="00946E3E"/>
    <w:rsid w:val="0094711C"/>
    <w:rsid w:val="0096128B"/>
    <w:rsid w:val="0096661D"/>
    <w:rsid w:val="009676A5"/>
    <w:rsid w:val="00967700"/>
    <w:rsid w:val="00967EE2"/>
    <w:rsid w:val="00971CE4"/>
    <w:rsid w:val="00971DE1"/>
    <w:rsid w:val="00983885"/>
    <w:rsid w:val="00983F67"/>
    <w:rsid w:val="0098480E"/>
    <w:rsid w:val="00992D9F"/>
    <w:rsid w:val="00995018"/>
    <w:rsid w:val="009963CB"/>
    <w:rsid w:val="009A0EDD"/>
    <w:rsid w:val="009A4E0E"/>
    <w:rsid w:val="009B0C29"/>
    <w:rsid w:val="009B3456"/>
    <w:rsid w:val="009B39D1"/>
    <w:rsid w:val="009B52D2"/>
    <w:rsid w:val="009B5F2B"/>
    <w:rsid w:val="009B790A"/>
    <w:rsid w:val="009C2A4F"/>
    <w:rsid w:val="009C7A7A"/>
    <w:rsid w:val="009D0778"/>
    <w:rsid w:val="009D0F73"/>
    <w:rsid w:val="009D1D8F"/>
    <w:rsid w:val="009D1E2B"/>
    <w:rsid w:val="009D2191"/>
    <w:rsid w:val="009D4DF9"/>
    <w:rsid w:val="009D74B1"/>
    <w:rsid w:val="009E0C34"/>
    <w:rsid w:val="009E1288"/>
    <w:rsid w:val="009E5AB4"/>
    <w:rsid w:val="009F0314"/>
    <w:rsid w:val="009F0F0F"/>
    <w:rsid w:val="009F25AA"/>
    <w:rsid w:val="009F323B"/>
    <w:rsid w:val="00A022F1"/>
    <w:rsid w:val="00A03415"/>
    <w:rsid w:val="00A044DB"/>
    <w:rsid w:val="00A05C25"/>
    <w:rsid w:val="00A07935"/>
    <w:rsid w:val="00A101E0"/>
    <w:rsid w:val="00A107ED"/>
    <w:rsid w:val="00A246E6"/>
    <w:rsid w:val="00A24EEA"/>
    <w:rsid w:val="00A25080"/>
    <w:rsid w:val="00A2702D"/>
    <w:rsid w:val="00A308C9"/>
    <w:rsid w:val="00A31CFC"/>
    <w:rsid w:val="00A3315E"/>
    <w:rsid w:val="00A33911"/>
    <w:rsid w:val="00A33F4D"/>
    <w:rsid w:val="00A357E5"/>
    <w:rsid w:val="00A4007C"/>
    <w:rsid w:val="00A45172"/>
    <w:rsid w:val="00A520EC"/>
    <w:rsid w:val="00A55273"/>
    <w:rsid w:val="00A56F7B"/>
    <w:rsid w:val="00A61392"/>
    <w:rsid w:val="00A629E9"/>
    <w:rsid w:val="00A6742D"/>
    <w:rsid w:val="00A769C7"/>
    <w:rsid w:val="00A77E41"/>
    <w:rsid w:val="00A811A9"/>
    <w:rsid w:val="00A85013"/>
    <w:rsid w:val="00A855A9"/>
    <w:rsid w:val="00A85FB9"/>
    <w:rsid w:val="00A864BB"/>
    <w:rsid w:val="00A87575"/>
    <w:rsid w:val="00A87C75"/>
    <w:rsid w:val="00A924EC"/>
    <w:rsid w:val="00A93416"/>
    <w:rsid w:val="00AA729E"/>
    <w:rsid w:val="00AB0818"/>
    <w:rsid w:val="00AB4040"/>
    <w:rsid w:val="00AB56C8"/>
    <w:rsid w:val="00AB65E5"/>
    <w:rsid w:val="00AB70EC"/>
    <w:rsid w:val="00AC1752"/>
    <w:rsid w:val="00AC6F83"/>
    <w:rsid w:val="00AC7862"/>
    <w:rsid w:val="00AD047D"/>
    <w:rsid w:val="00AD3148"/>
    <w:rsid w:val="00AD4027"/>
    <w:rsid w:val="00AE08D3"/>
    <w:rsid w:val="00AE25B9"/>
    <w:rsid w:val="00AE4BCA"/>
    <w:rsid w:val="00AE7F39"/>
    <w:rsid w:val="00AF060D"/>
    <w:rsid w:val="00AF0616"/>
    <w:rsid w:val="00AF1374"/>
    <w:rsid w:val="00AF21EE"/>
    <w:rsid w:val="00AF6D27"/>
    <w:rsid w:val="00AF6E11"/>
    <w:rsid w:val="00B019D2"/>
    <w:rsid w:val="00B052A7"/>
    <w:rsid w:val="00B06146"/>
    <w:rsid w:val="00B10E5D"/>
    <w:rsid w:val="00B11DFA"/>
    <w:rsid w:val="00B13372"/>
    <w:rsid w:val="00B16F85"/>
    <w:rsid w:val="00B21D84"/>
    <w:rsid w:val="00B22B4D"/>
    <w:rsid w:val="00B22F88"/>
    <w:rsid w:val="00B3421E"/>
    <w:rsid w:val="00B35EDA"/>
    <w:rsid w:val="00B366C8"/>
    <w:rsid w:val="00B405EF"/>
    <w:rsid w:val="00B4190B"/>
    <w:rsid w:val="00B574A7"/>
    <w:rsid w:val="00B60E59"/>
    <w:rsid w:val="00B61DF0"/>
    <w:rsid w:val="00B67895"/>
    <w:rsid w:val="00B71D7B"/>
    <w:rsid w:val="00B71F30"/>
    <w:rsid w:val="00B7275F"/>
    <w:rsid w:val="00B72EDA"/>
    <w:rsid w:val="00B730A1"/>
    <w:rsid w:val="00B74E99"/>
    <w:rsid w:val="00B80F6D"/>
    <w:rsid w:val="00B81079"/>
    <w:rsid w:val="00B90855"/>
    <w:rsid w:val="00B91148"/>
    <w:rsid w:val="00B9737D"/>
    <w:rsid w:val="00BA35C4"/>
    <w:rsid w:val="00BA6784"/>
    <w:rsid w:val="00BA73FE"/>
    <w:rsid w:val="00BB0528"/>
    <w:rsid w:val="00BB0744"/>
    <w:rsid w:val="00BC270D"/>
    <w:rsid w:val="00BC34AC"/>
    <w:rsid w:val="00BC361E"/>
    <w:rsid w:val="00BC4DB9"/>
    <w:rsid w:val="00BC4F60"/>
    <w:rsid w:val="00BC61EF"/>
    <w:rsid w:val="00BD1846"/>
    <w:rsid w:val="00BD18BD"/>
    <w:rsid w:val="00BD2D8A"/>
    <w:rsid w:val="00BD413C"/>
    <w:rsid w:val="00BD41D5"/>
    <w:rsid w:val="00BD4209"/>
    <w:rsid w:val="00BD44B0"/>
    <w:rsid w:val="00BE395E"/>
    <w:rsid w:val="00BE3DCF"/>
    <w:rsid w:val="00BE456F"/>
    <w:rsid w:val="00BE6B61"/>
    <w:rsid w:val="00BE711B"/>
    <w:rsid w:val="00BE7336"/>
    <w:rsid w:val="00BF2223"/>
    <w:rsid w:val="00BF2FC3"/>
    <w:rsid w:val="00BF4AC5"/>
    <w:rsid w:val="00BF522D"/>
    <w:rsid w:val="00BF75A9"/>
    <w:rsid w:val="00C00727"/>
    <w:rsid w:val="00C10769"/>
    <w:rsid w:val="00C12607"/>
    <w:rsid w:val="00C12FD9"/>
    <w:rsid w:val="00C16CF2"/>
    <w:rsid w:val="00C179B1"/>
    <w:rsid w:val="00C17F2F"/>
    <w:rsid w:val="00C20B76"/>
    <w:rsid w:val="00C21943"/>
    <w:rsid w:val="00C21BF5"/>
    <w:rsid w:val="00C24E3F"/>
    <w:rsid w:val="00C27674"/>
    <w:rsid w:val="00C303C3"/>
    <w:rsid w:val="00C31402"/>
    <w:rsid w:val="00C33A99"/>
    <w:rsid w:val="00C37FCF"/>
    <w:rsid w:val="00C403F5"/>
    <w:rsid w:val="00C414D8"/>
    <w:rsid w:val="00C44215"/>
    <w:rsid w:val="00C474DD"/>
    <w:rsid w:val="00C47694"/>
    <w:rsid w:val="00C507C3"/>
    <w:rsid w:val="00C553D5"/>
    <w:rsid w:val="00C62B40"/>
    <w:rsid w:val="00C64ACB"/>
    <w:rsid w:val="00C70DD1"/>
    <w:rsid w:val="00C72EE5"/>
    <w:rsid w:val="00C75040"/>
    <w:rsid w:val="00C7769A"/>
    <w:rsid w:val="00C81E9A"/>
    <w:rsid w:val="00C835CC"/>
    <w:rsid w:val="00C8687F"/>
    <w:rsid w:val="00C87E16"/>
    <w:rsid w:val="00C94CAC"/>
    <w:rsid w:val="00C9578D"/>
    <w:rsid w:val="00C9651F"/>
    <w:rsid w:val="00CA126A"/>
    <w:rsid w:val="00CA2F44"/>
    <w:rsid w:val="00CA3DDF"/>
    <w:rsid w:val="00CA4456"/>
    <w:rsid w:val="00CA78A0"/>
    <w:rsid w:val="00CB311B"/>
    <w:rsid w:val="00CB3B50"/>
    <w:rsid w:val="00CB7237"/>
    <w:rsid w:val="00CB7884"/>
    <w:rsid w:val="00CC1738"/>
    <w:rsid w:val="00CC1C6D"/>
    <w:rsid w:val="00CC5424"/>
    <w:rsid w:val="00CC594F"/>
    <w:rsid w:val="00CE1E07"/>
    <w:rsid w:val="00CE70FE"/>
    <w:rsid w:val="00CF06C6"/>
    <w:rsid w:val="00CF18D8"/>
    <w:rsid w:val="00CF2FD7"/>
    <w:rsid w:val="00CF5D84"/>
    <w:rsid w:val="00D0093C"/>
    <w:rsid w:val="00D14C00"/>
    <w:rsid w:val="00D254D3"/>
    <w:rsid w:val="00D30639"/>
    <w:rsid w:val="00D330DA"/>
    <w:rsid w:val="00D40D3C"/>
    <w:rsid w:val="00D4217A"/>
    <w:rsid w:val="00D442E6"/>
    <w:rsid w:val="00D44B6E"/>
    <w:rsid w:val="00D450A8"/>
    <w:rsid w:val="00D52BE3"/>
    <w:rsid w:val="00D55721"/>
    <w:rsid w:val="00D64878"/>
    <w:rsid w:val="00D649A3"/>
    <w:rsid w:val="00D677BD"/>
    <w:rsid w:val="00D67AB8"/>
    <w:rsid w:val="00D7686B"/>
    <w:rsid w:val="00D76C8E"/>
    <w:rsid w:val="00D809EB"/>
    <w:rsid w:val="00D91516"/>
    <w:rsid w:val="00D923AB"/>
    <w:rsid w:val="00D95CE0"/>
    <w:rsid w:val="00DA484D"/>
    <w:rsid w:val="00DA586C"/>
    <w:rsid w:val="00DA7BA3"/>
    <w:rsid w:val="00DA7F9B"/>
    <w:rsid w:val="00DB1315"/>
    <w:rsid w:val="00DB4785"/>
    <w:rsid w:val="00DB528F"/>
    <w:rsid w:val="00DB69AF"/>
    <w:rsid w:val="00DB69E7"/>
    <w:rsid w:val="00DB7CBE"/>
    <w:rsid w:val="00DC3643"/>
    <w:rsid w:val="00DC430C"/>
    <w:rsid w:val="00DC70AE"/>
    <w:rsid w:val="00DD2426"/>
    <w:rsid w:val="00DD3700"/>
    <w:rsid w:val="00DE0CB3"/>
    <w:rsid w:val="00DE539E"/>
    <w:rsid w:val="00DE6571"/>
    <w:rsid w:val="00DE6AF4"/>
    <w:rsid w:val="00DF087C"/>
    <w:rsid w:val="00DF0A2B"/>
    <w:rsid w:val="00DF0D1E"/>
    <w:rsid w:val="00DF0DEC"/>
    <w:rsid w:val="00E015F4"/>
    <w:rsid w:val="00E02AAC"/>
    <w:rsid w:val="00E050C6"/>
    <w:rsid w:val="00E07EC0"/>
    <w:rsid w:val="00E23DB3"/>
    <w:rsid w:val="00E25BFD"/>
    <w:rsid w:val="00E26DED"/>
    <w:rsid w:val="00E279FC"/>
    <w:rsid w:val="00E313DD"/>
    <w:rsid w:val="00E3165A"/>
    <w:rsid w:val="00E33CC7"/>
    <w:rsid w:val="00E34C05"/>
    <w:rsid w:val="00E42F20"/>
    <w:rsid w:val="00E45C3D"/>
    <w:rsid w:val="00E463D9"/>
    <w:rsid w:val="00E474CE"/>
    <w:rsid w:val="00E5704E"/>
    <w:rsid w:val="00E57791"/>
    <w:rsid w:val="00E57CD7"/>
    <w:rsid w:val="00E623DF"/>
    <w:rsid w:val="00E64C22"/>
    <w:rsid w:val="00E757EC"/>
    <w:rsid w:val="00E773B7"/>
    <w:rsid w:val="00E82601"/>
    <w:rsid w:val="00E84461"/>
    <w:rsid w:val="00E876E8"/>
    <w:rsid w:val="00E876F1"/>
    <w:rsid w:val="00E8781B"/>
    <w:rsid w:val="00E90DA6"/>
    <w:rsid w:val="00E924AE"/>
    <w:rsid w:val="00E9517B"/>
    <w:rsid w:val="00E9618D"/>
    <w:rsid w:val="00EA0C29"/>
    <w:rsid w:val="00EA1816"/>
    <w:rsid w:val="00EB4674"/>
    <w:rsid w:val="00EB4777"/>
    <w:rsid w:val="00EB5506"/>
    <w:rsid w:val="00EB6E24"/>
    <w:rsid w:val="00EB767A"/>
    <w:rsid w:val="00EC2A97"/>
    <w:rsid w:val="00ED0AEC"/>
    <w:rsid w:val="00EE17EE"/>
    <w:rsid w:val="00EF44AD"/>
    <w:rsid w:val="00EF66A8"/>
    <w:rsid w:val="00EF69FF"/>
    <w:rsid w:val="00F05605"/>
    <w:rsid w:val="00F07F1A"/>
    <w:rsid w:val="00F11BE3"/>
    <w:rsid w:val="00F13F3B"/>
    <w:rsid w:val="00F1744C"/>
    <w:rsid w:val="00F21005"/>
    <w:rsid w:val="00F21D9F"/>
    <w:rsid w:val="00F23CB1"/>
    <w:rsid w:val="00F25329"/>
    <w:rsid w:val="00F26D9D"/>
    <w:rsid w:val="00F32CB5"/>
    <w:rsid w:val="00F43446"/>
    <w:rsid w:val="00F43A4B"/>
    <w:rsid w:val="00F45784"/>
    <w:rsid w:val="00F45AD0"/>
    <w:rsid w:val="00F477F3"/>
    <w:rsid w:val="00F47BBF"/>
    <w:rsid w:val="00F50A87"/>
    <w:rsid w:val="00F51565"/>
    <w:rsid w:val="00F54B90"/>
    <w:rsid w:val="00F56F09"/>
    <w:rsid w:val="00F573F3"/>
    <w:rsid w:val="00F57C26"/>
    <w:rsid w:val="00F641E3"/>
    <w:rsid w:val="00F655F0"/>
    <w:rsid w:val="00F702A9"/>
    <w:rsid w:val="00F711B2"/>
    <w:rsid w:val="00F71C1C"/>
    <w:rsid w:val="00F75BEB"/>
    <w:rsid w:val="00F76EBB"/>
    <w:rsid w:val="00F80703"/>
    <w:rsid w:val="00F8336F"/>
    <w:rsid w:val="00F90842"/>
    <w:rsid w:val="00F91B96"/>
    <w:rsid w:val="00F93673"/>
    <w:rsid w:val="00F94F22"/>
    <w:rsid w:val="00FA0B1A"/>
    <w:rsid w:val="00FA257C"/>
    <w:rsid w:val="00FA2E01"/>
    <w:rsid w:val="00FA46F1"/>
    <w:rsid w:val="00FB52E2"/>
    <w:rsid w:val="00FB60A1"/>
    <w:rsid w:val="00FC009D"/>
    <w:rsid w:val="00FC0868"/>
    <w:rsid w:val="00FC19F7"/>
    <w:rsid w:val="00FC343F"/>
    <w:rsid w:val="00FC3C78"/>
    <w:rsid w:val="00FD00E8"/>
    <w:rsid w:val="00FD1424"/>
    <w:rsid w:val="00FD5C37"/>
    <w:rsid w:val="00FE1917"/>
    <w:rsid w:val="00FE2A67"/>
    <w:rsid w:val="00FE3CDD"/>
    <w:rsid w:val="00FE675A"/>
    <w:rsid w:val="00FF0A81"/>
    <w:rsid w:val="00FF3025"/>
    <w:rsid w:val="00FF4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88BD92-BD8E-46F6-A635-8F778420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65"/>
    <w:rPr>
      <w:rFonts w:ascii="Times New Roman" w:eastAsia="Times New Roman" w:hAnsi="Times New Roman"/>
      <w:sz w:val="24"/>
      <w:lang w:val="en-US" w:eastAsia="en-US"/>
    </w:rPr>
  </w:style>
  <w:style w:type="paragraph" w:styleId="Heading1">
    <w:name w:val="heading 1"/>
    <w:basedOn w:val="Normal"/>
    <w:next w:val="Normal"/>
    <w:link w:val="Heading1Char"/>
    <w:uiPriority w:val="9"/>
    <w:qFormat/>
    <w:rsid w:val="000118CC"/>
    <w:pPr>
      <w:keepNext/>
      <w:keepLines/>
      <w:pBdr>
        <w:bottom w:val="single" w:sz="4" w:space="1" w:color="000000" w:themeColor="text1"/>
      </w:pBdr>
      <w:spacing w:before="240"/>
      <w:outlineLvl w:val="0"/>
    </w:pPr>
    <w:rPr>
      <w:rFonts w:ascii="Arial Bold" w:eastAsiaTheme="majorEastAsia" w:hAnsi="Arial Bold" w:cstheme="majorBidi"/>
      <w:b/>
      <w:caps/>
      <w:color w:val="000000" w:themeColor="text1"/>
      <w:szCs w:val="32"/>
    </w:rPr>
  </w:style>
  <w:style w:type="paragraph" w:styleId="Heading2">
    <w:name w:val="heading 2"/>
    <w:basedOn w:val="Heading3"/>
    <w:next w:val="Normal"/>
    <w:link w:val="Heading2Char"/>
    <w:uiPriority w:val="9"/>
    <w:unhideWhenUsed/>
    <w:qFormat/>
    <w:rsid w:val="00102874"/>
    <w:pPr>
      <w:outlineLvl w:val="1"/>
    </w:pPr>
    <w:rPr>
      <w:lang w:val="fr-CA"/>
    </w:rPr>
  </w:style>
  <w:style w:type="paragraph" w:styleId="Heading3">
    <w:name w:val="heading 3"/>
    <w:basedOn w:val="Normal"/>
    <w:next w:val="Normal"/>
    <w:link w:val="Heading3Char"/>
    <w:uiPriority w:val="9"/>
    <w:unhideWhenUsed/>
    <w:qFormat/>
    <w:rsid w:val="00102874"/>
    <w:pPr>
      <w:keepNext/>
      <w:keepLines/>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pct5" w:color="auto" w:fill="auto"/>
      <w:spacing w:before="40"/>
      <w:outlineLvl w:val="2"/>
    </w:pPr>
    <w:rPr>
      <w:rFonts w:ascii="Arial" w:eastAsiaTheme="majorEastAsia" w:hAnsi="Arial" w:cstheme="majorBidi"/>
      <w:b/>
      <w:color w:val="000000" w:themeColor="text1"/>
      <w:sz w:val="22"/>
      <w:szCs w:val="24"/>
    </w:rPr>
  </w:style>
  <w:style w:type="paragraph" w:styleId="Heading4">
    <w:name w:val="heading 4"/>
    <w:basedOn w:val="Normal"/>
    <w:next w:val="Normal"/>
    <w:link w:val="Heading4Char"/>
    <w:uiPriority w:val="9"/>
    <w:unhideWhenUsed/>
    <w:qFormat/>
    <w:rsid w:val="008661EA"/>
    <w:pPr>
      <w:keepNext/>
      <w:keepLines/>
      <w:spacing w:before="40"/>
      <w:jc w:val="center"/>
      <w:outlineLvl w:val="3"/>
    </w:pPr>
    <w:rPr>
      <w:rFonts w:ascii="Arial Bold" w:eastAsiaTheme="majorEastAsia" w:hAnsi="Arial Bold" w:cstheme="majorBidi"/>
      <w:b/>
      <w:iCs/>
      <w:caps/>
      <w:color w:val="33CCCC"/>
    </w:rPr>
  </w:style>
  <w:style w:type="paragraph" w:styleId="Heading5">
    <w:name w:val="heading 5"/>
    <w:basedOn w:val="Normal"/>
    <w:next w:val="Normal"/>
    <w:link w:val="Heading5Char"/>
    <w:uiPriority w:val="9"/>
    <w:unhideWhenUsed/>
    <w:qFormat/>
    <w:rsid w:val="008661EA"/>
    <w:pPr>
      <w:keepNext/>
      <w:keepLines/>
      <w:spacing w:before="40"/>
      <w:jc w:val="center"/>
      <w:outlineLvl w:val="4"/>
    </w:pPr>
    <w:rPr>
      <w:rFonts w:ascii="Arial Bold" w:eastAsiaTheme="majorEastAsia" w:hAnsi="Arial Bold" w:cstheme="majorBidi"/>
      <w:b/>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265"/>
    <w:pPr>
      <w:spacing w:before="100" w:beforeAutospacing="1" w:after="100" w:afterAutospacing="1"/>
    </w:pPr>
    <w:rPr>
      <w:rFonts w:ascii="Verdana" w:hAnsi="Verdana"/>
      <w:szCs w:val="24"/>
    </w:rPr>
  </w:style>
  <w:style w:type="paragraph" w:styleId="Header">
    <w:name w:val="header"/>
    <w:basedOn w:val="Normal"/>
    <w:link w:val="HeaderChar"/>
    <w:uiPriority w:val="99"/>
    <w:unhideWhenUsed/>
    <w:rsid w:val="001D2265"/>
    <w:pPr>
      <w:tabs>
        <w:tab w:val="center" w:pos="4680"/>
        <w:tab w:val="right" w:pos="9360"/>
      </w:tabs>
    </w:pPr>
  </w:style>
  <w:style w:type="character" w:customStyle="1" w:styleId="HeaderChar">
    <w:name w:val="Header Char"/>
    <w:link w:val="Header"/>
    <w:uiPriority w:val="99"/>
    <w:rsid w:val="001D226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D2265"/>
    <w:pPr>
      <w:tabs>
        <w:tab w:val="center" w:pos="4680"/>
        <w:tab w:val="right" w:pos="9360"/>
      </w:tabs>
    </w:pPr>
  </w:style>
  <w:style w:type="character" w:customStyle="1" w:styleId="FooterChar">
    <w:name w:val="Footer Char"/>
    <w:link w:val="Footer"/>
    <w:uiPriority w:val="99"/>
    <w:rsid w:val="001D2265"/>
    <w:rPr>
      <w:rFonts w:ascii="Times New Roman" w:eastAsia="Times New Roman" w:hAnsi="Times New Roman" w:cs="Times New Roman"/>
      <w:sz w:val="24"/>
      <w:szCs w:val="20"/>
      <w:lang w:val="en-US"/>
    </w:rPr>
  </w:style>
  <w:style w:type="paragraph" w:customStyle="1" w:styleId="Level1">
    <w:name w:val="Level 1"/>
    <w:basedOn w:val="Normal"/>
    <w:uiPriority w:val="99"/>
    <w:rsid w:val="006D5C21"/>
    <w:pPr>
      <w:widowControl w:val="0"/>
    </w:pPr>
  </w:style>
  <w:style w:type="character" w:styleId="Hyperlink">
    <w:name w:val="Hyperlink"/>
    <w:uiPriority w:val="99"/>
    <w:unhideWhenUsed/>
    <w:rsid w:val="00C37FCF"/>
    <w:rPr>
      <w:color w:val="0563C1"/>
      <w:u w:val="single"/>
    </w:rPr>
  </w:style>
  <w:style w:type="paragraph" w:styleId="BalloonText">
    <w:name w:val="Balloon Text"/>
    <w:basedOn w:val="Normal"/>
    <w:link w:val="BalloonTextChar"/>
    <w:uiPriority w:val="99"/>
    <w:semiHidden/>
    <w:unhideWhenUsed/>
    <w:rsid w:val="00D30639"/>
    <w:rPr>
      <w:rFonts w:ascii="Segoe UI" w:hAnsi="Segoe UI" w:cs="Segoe UI"/>
      <w:sz w:val="18"/>
      <w:szCs w:val="18"/>
    </w:rPr>
  </w:style>
  <w:style w:type="character" w:customStyle="1" w:styleId="BalloonTextChar">
    <w:name w:val="Balloon Text Char"/>
    <w:link w:val="BalloonText"/>
    <w:uiPriority w:val="99"/>
    <w:semiHidden/>
    <w:rsid w:val="00D30639"/>
    <w:rPr>
      <w:rFonts w:ascii="Segoe UI" w:eastAsia="Times New Roman" w:hAnsi="Segoe UI" w:cs="Segoe UI"/>
      <w:sz w:val="18"/>
      <w:szCs w:val="18"/>
      <w:lang w:val="en-US" w:eastAsia="en-US"/>
    </w:rPr>
  </w:style>
  <w:style w:type="character" w:styleId="CommentReference">
    <w:name w:val="annotation reference"/>
    <w:uiPriority w:val="99"/>
    <w:semiHidden/>
    <w:unhideWhenUsed/>
    <w:rsid w:val="00CF06C6"/>
    <w:rPr>
      <w:sz w:val="16"/>
      <w:szCs w:val="16"/>
    </w:rPr>
  </w:style>
  <w:style w:type="paragraph" w:styleId="CommentText">
    <w:name w:val="annotation text"/>
    <w:basedOn w:val="Normal"/>
    <w:link w:val="CommentTextChar"/>
    <w:uiPriority w:val="99"/>
    <w:semiHidden/>
    <w:unhideWhenUsed/>
    <w:rsid w:val="00CF06C6"/>
    <w:rPr>
      <w:sz w:val="20"/>
    </w:rPr>
  </w:style>
  <w:style w:type="character" w:customStyle="1" w:styleId="CommentTextChar">
    <w:name w:val="Comment Text Char"/>
    <w:link w:val="CommentText"/>
    <w:uiPriority w:val="99"/>
    <w:semiHidden/>
    <w:rsid w:val="00CF06C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6C6"/>
    <w:rPr>
      <w:b/>
      <w:bCs/>
    </w:rPr>
  </w:style>
  <w:style w:type="character" w:customStyle="1" w:styleId="CommentSubjectChar">
    <w:name w:val="Comment Subject Char"/>
    <w:link w:val="CommentSubject"/>
    <w:uiPriority w:val="99"/>
    <w:semiHidden/>
    <w:rsid w:val="00CF06C6"/>
    <w:rPr>
      <w:rFonts w:ascii="Times New Roman" w:eastAsia="Times New Roman" w:hAnsi="Times New Roman"/>
      <w:b/>
      <w:bCs/>
      <w:lang w:val="en-US" w:eastAsia="en-US"/>
    </w:rPr>
  </w:style>
  <w:style w:type="paragraph" w:styleId="NoSpacing">
    <w:name w:val="No Spacing"/>
    <w:uiPriority w:val="1"/>
    <w:qFormat/>
    <w:rsid w:val="00F8336F"/>
    <w:rPr>
      <w:rFonts w:ascii="Times New Roman" w:eastAsia="Times New Roman" w:hAnsi="Times New Roman"/>
      <w:sz w:val="24"/>
      <w:lang w:val="en-US" w:eastAsia="en-US"/>
    </w:rPr>
  </w:style>
  <w:style w:type="character" w:styleId="FollowedHyperlink">
    <w:name w:val="FollowedHyperlink"/>
    <w:uiPriority w:val="99"/>
    <w:semiHidden/>
    <w:unhideWhenUsed/>
    <w:rsid w:val="000E3D1F"/>
    <w:rPr>
      <w:color w:val="954F72"/>
      <w:u w:val="single"/>
    </w:rPr>
  </w:style>
  <w:style w:type="paragraph" w:styleId="ListParagraph">
    <w:name w:val="List Paragraph"/>
    <w:basedOn w:val="Normal"/>
    <w:uiPriority w:val="34"/>
    <w:qFormat/>
    <w:rsid w:val="00507604"/>
    <w:pPr>
      <w:spacing w:after="160" w:line="259" w:lineRule="auto"/>
      <w:ind w:left="720"/>
      <w:contextualSpacing/>
    </w:pPr>
    <w:rPr>
      <w:rFonts w:ascii="Calibri" w:eastAsia="Calibri" w:hAnsi="Calibri"/>
      <w:sz w:val="22"/>
      <w:szCs w:val="22"/>
      <w:lang w:val="fr-CA"/>
    </w:rPr>
  </w:style>
  <w:style w:type="table" w:styleId="TableGrid">
    <w:name w:val="Table Grid"/>
    <w:basedOn w:val="TableNormal"/>
    <w:uiPriority w:val="39"/>
    <w:rsid w:val="00946E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BD413C"/>
    <w:rPr>
      <w:rFonts w:ascii="Arial" w:hAnsi="Arial"/>
      <w:sz w:val="20"/>
      <w:lang w:val="en-CA" w:eastAsia="en-CA"/>
    </w:rPr>
  </w:style>
  <w:style w:type="character" w:customStyle="1" w:styleId="EndnoteTextChar">
    <w:name w:val="Endnote Text Char"/>
    <w:link w:val="EndnoteText"/>
    <w:rsid w:val="00BD413C"/>
    <w:rPr>
      <w:rFonts w:ascii="Arial" w:eastAsia="Times New Roman" w:hAnsi="Arial"/>
    </w:rPr>
  </w:style>
  <w:style w:type="character" w:styleId="EndnoteReference">
    <w:name w:val="endnote reference"/>
    <w:uiPriority w:val="99"/>
    <w:semiHidden/>
    <w:unhideWhenUsed/>
    <w:rsid w:val="00BD413C"/>
    <w:rPr>
      <w:vertAlign w:val="superscript"/>
    </w:rPr>
  </w:style>
  <w:style w:type="paragraph" w:customStyle="1" w:styleId="Style1">
    <w:name w:val="Style1"/>
    <w:basedOn w:val="Normal"/>
    <w:link w:val="Style1Char"/>
    <w:qFormat/>
    <w:rsid w:val="00A769C7"/>
    <w:pPr>
      <w:pBdr>
        <w:bottom w:val="single" w:sz="4" w:space="1" w:color="92D050"/>
      </w:pBdr>
      <w:autoSpaceDE w:val="0"/>
      <w:autoSpaceDN w:val="0"/>
      <w:adjustRightInd w:val="0"/>
      <w:ind w:right="50"/>
    </w:pPr>
    <w:rPr>
      <w:rFonts w:ascii="Arial" w:hAnsi="Arial" w:cs="Arial"/>
      <w:b/>
      <w:caps/>
      <w:color w:val="92D050"/>
      <w:sz w:val="22"/>
      <w:szCs w:val="22"/>
      <w:lang w:val="en-CA"/>
    </w:rPr>
  </w:style>
  <w:style w:type="paragraph" w:customStyle="1" w:styleId="Style2">
    <w:name w:val="Style2"/>
    <w:basedOn w:val="Normal"/>
    <w:link w:val="Style2Char"/>
    <w:qFormat/>
    <w:rsid w:val="00A769C7"/>
    <w:pPr>
      <w:shd w:val="clear" w:color="auto" w:fill="F2F2F2"/>
    </w:pPr>
    <w:rPr>
      <w:rFonts w:ascii="Arial" w:hAnsi="Arial" w:cs="Arial"/>
      <w:b/>
      <w:color w:val="009999"/>
      <w:spacing w:val="-10"/>
      <w:sz w:val="22"/>
      <w:szCs w:val="22"/>
      <w:lang w:val="en-CA"/>
    </w:rPr>
  </w:style>
  <w:style w:type="character" w:customStyle="1" w:styleId="Style1Char">
    <w:name w:val="Style1 Char"/>
    <w:basedOn w:val="DefaultParagraphFont"/>
    <w:link w:val="Style1"/>
    <w:rsid w:val="00A769C7"/>
    <w:rPr>
      <w:rFonts w:ascii="Arial" w:eastAsia="Times New Roman" w:hAnsi="Arial" w:cs="Arial"/>
      <w:b/>
      <w:caps/>
      <w:color w:val="92D050"/>
      <w:sz w:val="22"/>
      <w:szCs w:val="22"/>
      <w:lang w:eastAsia="en-US"/>
    </w:rPr>
  </w:style>
  <w:style w:type="character" w:customStyle="1" w:styleId="Style2Char">
    <w:name w:val="Style2 Char"/>
    <w:basedOn w:val="DefaultParagraphFont"/>
    <w:link w:val="Style2"/>
    <w:rsid w:val="00A769C7"/>
    <w:rPr>
      <w:rFonts w:ascii="Arial" w:eastAsia="Times New Roman" w:hAnsi="Arial" w:cs="Arial"/>
      <w:b/>
      <w:color w:val="009999"/>
      <w:spacing w:val="-10"/>
      <w:sz w:val="22"/>
      <w:szCs w:val="22"/>
      <w:shd w:val="clear" w:color="auto" w:fill="F2F2F2"/>
      <w:lang w:eastAsia="en-US"/>
    </w:rPr>
  </w:style>
  <w:style w:type="paragraph" w:customStyle="1" w:styleId="Style3">
    <w:name w:val="Style3"/>
    <w:basedOn w:val="Normal"/>
    <w:link w:val="Style3Char"/>
    <w:qFormat/>
    <w:rsid w:val="009B3456"/>
    <w:pPr>
      <w:jc w:val="center"/>
    </w:pPr>
    <w:rPr>
      <w:rFonts w:ascii="Arial" w:hAnsi="Arial" w:cs="Arial"/>
      <w:b/>
      <w:sz w:val="22"/>
      <w:szCs w:val="22"/>
      <w:u w:val="single"/>
    </w:rPr>
  </w:style>
  <w:style w:type="paragraph" w:customStyle="1" w:styleId="Style4">
    <w:name w:val="Style4"/>
    <w:basedOn w:val="Normal"/>
    <w:link w:val="Style4Char"/>
    <w:qFormat/>
    <w:rsid w:val="009B3456"/>
    <w:rPr>
      <w:rFonts w:ascii="Arial" w:hAnsi="Arial" w:cs="Arial"/>
      <w:sz w:val="22"/>
      <w:szCs w:val="22"/>
      <w:u w:val="single"/>
      <w:lang w:val="en-CA" w:eastAsia="en-CA"/>
    </w:rPr>
  </w:style>
  <w:style w:type="character" w:customStyle="1" w:styleId="Style3Char">
    <w:name w:val="Style3 Char"/>
    <w:basedOn w:val="DefaultParagraphFont"/>
    <w:link w:val="Style3"/>
    <w:rsid w:val="009B3456"/>
    <w:rPr>
      <w:rFonts w:ascii="Arial" w:eastAsia="Times New Roman" w:hAnsi="Arial" w:cs="Arial"/>
      <w:b/>
      <w:sz w:val="22"/>
      <w:szCs w:val="22"/>
      <w:u w:val="single"/>
      <w:lang w:val="en-US" w:eastAsia="en-US"/>
    </w:rPr>
  </w:style>
  <w:style w:type="paragraph" w:customStyle="1" w:styleId="Style5">
    <w:name w:val="Style5"/>
    <w:basedOn w:val="Normal"/>
    <w:link w:val="Style5Char"/>
    <w:qFormat/>
    <w:rsid w:val="009B3456"/>
    <w:pPr>
      <w:jc w:val="center"/>
    </w:pPr>
    <w:rPr>
      <w:rFonts w:ascii="Arial" w:hAnsi="Arial" w:cs="Arial"/>
      <w:b/>
      <w:bCs/>
      <w:sz w:val="22"/>
      <w:szCs w:val="22"/>
      <w:lang w:val="en"/>
    </w:rPr>
  </w:style>
  <w:style w:type="character" w:customStyle="1" w:styleId="Style4Char">
    <w:name w:val="Style4 Char"/>
    <w:basedOn w:val="DefaultParagraphFont"/>
    <w:link w:val="Style4"/>
    <w:rsid w:val="009B3456"/>
    <w:rPr>
      <w:rFonts w:ascii="Arial" w:eastAsia="Times New Roman" w:hAnsi="Arial" w:cs="Arial"/>
      <w:sz w:val="22"/>
      <w:szCs w:val="22"/>
      <w:u w:val="single"/>
    </w:rPr>
  </w:style>
  <w:style w:type="paragraph" w:customStyle="1" w:styleId="Style6">
    <w:name w:val="Style6"/>
    <w:basedOn w:val="Normal"/>
    <w:link w:val="Style6Char"/>
    <w:qFormat/>
    <w:rsid w:val="00C20B76"/>
    <w:pPr>
      <w:jc w:val="center"/>
    </w:pPr>
    <w:rPr>
      <w:rFonts w:ascii="Arial" w:hAnsi="Arial" w:cs="Arial"/>
      <w:b/>
      <w:color w:val="000000" w:themeColor="text1"/>
      <w:szCs w:val="24"/>
    </w:rPr>
  </w:style>
  <w:style w:type="character" w:customStyle="1" w:styleId="Style5Char">
    <w:name w:val="Style5 Char"/>
    <w:basedOn w:val="DefaultParagraphFont"/>
    <w:link w:val="Style5"/>
    <w:rsid w:val="009B3456"/>
    <w:rPr>
      <w:rFonts w:ascii="Arial" w:eastAsia="Times New Roman" w:hAnsi="Arial" w:cs="Arial"/>
      <w:b/>
      <w:bCs/>
      <w:sz w:val="22"/>
      <w:szCs w:val="22"/>
      <w:lang w:val="en" w:eastAsia="en-US"/>
    </w:rPr>
  </w:style>
  <w:style w:type="paragraph" w:customStyle="1" w:styleId="Style7">
    <w:name w:val="Style7"/>
    <w:basedOn w:val="Normal"/>
    <w:link w:val="Style7Char"/>
    <w:qFormat/>
    <w:rsid w:val="00FC0868"/>
    <w:pPr>
      <w:jc w:val="center"/>
    </w:pPr>
    <w:rPr>
      <w:rFonts w:ascii="Arial" w:hAnsi="Arial" w:cs="Arial"/>
      <w:color w:val="009999"/>
      <w:sz w:val="22"/>
      <w:szCs w:val="32"/>
    </w:rPr>
  </w:style>
  <w:style w:type="character" w:customStyle="1" w:styleId="Style6Char">
    <w:name w:val="Style6 Char"/>
    <w:basedOn w:val="DefaultParagraphFont"/>
    <w:link w:val="Style6"/>
    <w:rsid w:val="00C20B76"/>
    <w:rPr>
      <w:rFonts w:ascii="Arial" w:eastAsia="Times New Roman" w:hAnsi="Arial" w:cs="Arial"/>
      <w:b/>
      <w:color w:val="000000" w:themeColor="text1"/>
      <w:sz w:val="24"/>
      <w:szCs w:val="24"/>
      <w:lang w:val="en-US" w:eastAsia="en-US"/>
    </w:rPr>
  </w:style>
  <w:style w:type="paragraph" w:customStyle="1" w:styleId="Style8">
    <w:name w:val="Style8"/>
    <w:basedOn w:val="Normal"/>
    <w:link w:val="Style8Char"/>
    <w:qFormat/>
    <w:rsid w:val="00FC0868"/>
    <w:rPr>
      <w:rFonts w:ascii="Arial" w:hAnsi="Arial" w:cs="Arial"/>
      <w:color w:val="767171"/>
      <w:sz w:val="16"/>
      <w:szCs w:val="22"/>
      <w:lang w:val="en-CA"/>
    </w:rPr>
  </w:style>
  <w:style w:type="character" w:customStyle="1" w:styleId="Style7Char">
    <w:name w:val="Style7 Char"/>
    <w:basedOn w:val="DefaultParagraphFont"/>
    <w:link w:val="Style7"/>
    <w:rsid w:val="00FC0868"/>
    <w:rPr>
      <w:rFonts w:ascii="Arial" w:eastAsia="Times New Roman" w:hAnsi="Arial" w:cs="Arial"/>
      <w:color w:val="009999"/>
      <w:sz w:val="22"/>
      <w:szCs w:val="32"/>
      <w:lang w:val="en-US" w:eastAsia="en-US"/>
    </w:rPr>
  </w:style>
  <w:style w:type="paragraph" w:customStyle="1" w:styleId="Style9">
    <w:name w:val="Style9"/>
    <w:basedOn w:val="Normal"/>
    <w:link w:val="Style9Char"/>
    <w:qFormat/>
    <w:rsid w:val="00FC0868"/>
    <w:rPr>
      <w:rFonts w:ascii="Arial" w:hAnsi="Arial" w:cs="Arial"/>
      <w:b/>
      <w:color w:val="009999"/>
      <w:spacing w:val="-10"/>
      <w:sz w:val="22"/>
      <w:szCs w:val="22"/>
      <w:lang w:val="en-CA"/>
    </w:rPr>
  </w:style>
  <w:style w:type="character" w:customStyle="1" w:styleId="Style8Char">
    <w:name w:val="Style8 Char"/>
    <w:basedOn w:val="DefaultParagraphFont"/>
    <w:link w:val="Style8"/>
    <w:rsid w:val="00FC0868"/>
    <w:rPr>
      <w:rFonts w:ascii="Arial" w:eastAsia="Times New Roman" w:hAnsi="Arial" w:cs="Arial"/>
      <w:color w:val="767171"/>
      <w:sz w:val="16"/>
      <w:szCs w:val="22"/>
      <w:lang w:eastAsia="en-US"/>
    </w:rPr>
  </w:style>
  <w:style w:type="character" w:customStyle="1" w:styleId="Style9Char">
    <w:name w:val="Style9 Char"/>
    <w:basedOn w:val="DefaultParagraphFont"/>
    <w:link w:val="Style9"/>
    <w:rsid w:val="00FC0868"/>
    <w:rPr>
      <w:rFonts w:ascii="Arial" w:eastAsia="Times New Roman" w:hAnsi="Arial" w:cs="Arial"/>
      <w:b/>
      <w:color w:val="009999"/>
      <w:spacing w:val="-10"/>
      <w:sz w:val="22"/>
      <w:szCs w:val="22"/>
      <w:lang w:eastAsia="en-US"/>
    </w:rPr>
  </w:style>
  <w:style w:type="character" w:customStyle="1" w:styleId="Heading1Char">
    <w:name w:val="Heading 1 Char"/>
    <w:basedOn w:val="DefaultParagraphFont"/>
    <w:link w:val="Heading1"/>
    <w:uiPriority w:val="9"/>
    <w:rsid w:val="000118CC"/>
    <w:rPr>
      <w:rFonts w:ascii="Arial Bold" w:eastAsiaTheme="majorEastAsia" w:hAnsi="Arial Bold" w:cstheme="majorBidi"/>
      <w:b/>
      <w:caps/>
      <w:color w:val="000000" w:themeColor="text1"/>
      <w:sz w:val="24"/>
      <w:szCs w:val="32"/>
      <w:lang w:val="en-US" w:eastAsia="en-US"/>
    </w:rPr>
  </w:style>
  <w:style w:type="character" w:customStyle="1" w:styleId="Heading2Char">
    <w:name w:val="Heading 2 Char"/>
    <w:basedOn w:val="DefaultParagraphFont"/>
    <w:link w:val="Heading2"/>
    <w:uiPriority w:val="9"/>
    <w:rsid w:val="00102874"/>
    <w:rPr>
      <w:rFonts w:ascii="Arial" w:eastAsiaTheme="majorEastAsia" w:hAnsi="Arial" w:cstheme="majorBidi"/>
      <w:b/>
      <w:color w:val="000000" w:themeColor="text1"/>
      <w:sz w:val="22"/>
      <w:szCs w:val="24"/>
      <w:shd w:val="pct5" w:color="auto" w:fill="auto"/>
      <w:lang w:val="fr-CA" w:eastAsia="en-US"/>
    </w:rPr>
  </w:style>
  <w:style w:type="character" w:customStyle="1" w:styleId="Heading3Char">
    <w:name w:val="Heading 3 Char"/>
    <w:basedOn w:val="DefaultParagraphFont"/>
    <w:link w:val="Heading3"/>
    <w:uiPriority w:val="9"/>
    <w:rsid w:val="00102874"/>
    <w:rPr>
      <w:rFonts w:ascii="Arial" w:eastAsiaTheme="majorEastAsia" w:hAnsi="Arial" w:cstheme="majorBidi"/>
      <w:b/>
      <w:color w:val="000000" w:themeColor="text1"/>
      <w:sz w:val="22"/>
      <w:szCs w:val="24"/>
      <w:shd w:val="pct5" w:color="auto" w:fill="auto"/>
      <w:lang w:val="en-US" w:eastAsia="en-US"/>
    </w:rPr>
  </w:style>
  <w:style w:type="character" w:customStyle="1" w:styleId="Heading4Char">
    <w:name w:val="Heading 4 Char"/>
    <w:basedOn w:val="DefaultParagraphFont"/>
    <w:link w:val="Heading4"/>
    <w:uiPriority w:val="9"/>
    <w:rsid w:val="008661EA"/>
    <w:rPr>
      <w:rFonts w:ascii="Arial Bold" w:eastAsiaTheme="majorEastAsia" w:hAnsi="Arial Bold" w:cstheme="majorBidi"/>
      <w:b/>
      <w:iCs/>
      <w:caps/>
      <w:color w:val="33CCCC"/>
      <w:sz w:val="24"/>
      <w:lang w:val="en-US" w:eastAsia="en-US"/>
    </w:rPr>
  </w:style>
  <w:style w:type="character" w:customStyle="1" w:styleId="Heading5Char">
    <w:name w:val="Heading 5 Char"/>
    <w:basedOn w:val="DefaultParagraphFont"/>
    <w:link w:val="Heading5"/>
    <w:uiPriority w:val="9"/>
    <w:rsid w:val="008661EA"/>
    <w:rPr>
      <w:rFonts w:ascii="Arial Bold" w:eastAsiaTheme="majorEastAsia" w:hAnsi="Arial Bold" w:cstheme="majorBidi"/>
      <w:b/>
      <w:caps/>
      <w:color w:val="000000" w:themeColor="text1"/>
      <w:sz w:val="24"/>
      <w:lang w:val="en-US" w:eastAsia="en-US"/>
    </w:rPr>
  </w:style>
  <w:style w:type="paragraph" w:styleId="Subtitle">
    <w:name w:val="Subtitle"/>
    <w:basedOn w:val="Normal"/>
    <w:next w:val="Normal"/>
    <w:link w:val="SubtitleChar"/>
    <w:uiPriority w:val="11"/>
    <w:qFormat/>
    <w:rsid w:val="005D08F3"/>
    <w:pPr>
      <w:numPr>
        <w:ilvl w:val="1"/>
      </w:numPr>
      <w:spacing w:after="160"/>
    </w:pPr>
    <w:rPr>
      <w:rFonts w:asciiTheme="minorHAnsi" w:eastAsiaTheme="minorEastAsia" w:hAnsiTheme="minorHAnsi" w:cstheme="minorBidi"/>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5D08F3"/>
    <w:rPr>
      <w:rFonts w:asciiTheme="minorHAnsi" w:eastAsiaTheme="minorEastAsia" w:hAnsiTheme="minorHAnsi" w:cstheme="minorBidi"/>
      <w:color w:val="5A5A5A" w:themeColor="text1" w:themeTint="A5"/>
      <w:spacing w:val="15"/>
      <w:sz w:val="22"/>
      <w:szCs w:val="22"/>
      <w:lang w:eastAsia="en-US"/>
    </w:rPr>
  </w:style>
  <w:style w:type="character" w:customStyle="1" w:styleId="tlid-translation">
    <w:name w:val="tlid-translation"/>
    <w:basedOn w:val="DefaultParagraphFont"/>
    <w:rsid w:val="00E015F4"/>
  </w:style>
  <w:style w:type="paragraph" w:styleId="Title">
    <w:name w:val="Title"/>
    <w:basedOn w:val="Normal"/>
    <w:next w:val="Normal"/>
    <w:link w:val="TitleChar"/>
    <w:uiPriority w:val="10"/>
    <w:qFormat/>
    <w:rsid w:val="00647EAF"/>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647EAF"/>
    <w:rPr>
      <w:rFonts w:asciiTheme="majorHAnsi" w:eastAsiaTheme="majorEastAsia" w:hAnsiTheme="majorHAnsi" w:cstheme="majorBidi"/>
      <w:spacing w:val="-10"/>
      <w:kern w:val="28"/>
      <w:sz w:val="56"/>
      <w:szCs w:val="56"/>
      <w:lang w:eastAsia="en-US"/>
    </w:rPr>
  </w:style>
  <w:style w:type="character" w:styleId="SubtleEmphasis">
    <w:name w:val="Subtle Emphasis"/>
    <w:basedOn w:val="DefaultParagraphFont"/>
    <w:uiPriority w:val="19"/>
    <w:qFormat/>
    <w:rsid w:val="00647EAF"/>
    <w:rPr>
      <w:i/>
      <w:iCs/>
      <w:color w:val="808080" w:themeColor="text1" w:themeTint="7F"/>
    </w:rPr>
  </w:style>
  <w:style w:type="character" w:styleId="Emphasis">
    <w:name w:val="Emphasis"/>
    <w:basedOn w:val="DefaultParagraphFont"/>
    <w:uiPriority w:val="20"/>
    <w:qFormat/>
    <w:rsid w:val="007A7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1777">
      <w:bodyDiv w:val="1"/>
      <w:marLeft w:val="0"/>
      <w:marRight w:val="0"/>
      <w:marTop w:val="0"/>
      <w:marBottom w:val="0"/>
      <w:divBdr>
        <w:top w:val="none" w:sz="0" w:space="0" w:color="auto"/>
        <w:left w:val="none" w:sz="0" w:space="0" w:color="auto"/>
        <w:bottom w:val="none" w:sz="0" w:space="0" w:color="auto"/>
        <w:right w:val="none" w:sz="0" w:space="0" w:color="auto"/>
      </w:divBdr>
    </w:div>
    <w:div w:id="107741768">
      <w:bodyDiv w:val="1"/>
      <w:marLeft w:val="0"/>
      <w:marRight w:val="0"/>
      <w:marTop w:val="0"/>
      <w:marBottom w:val="0"/>
      <w:divBdr>
        <w:top w:val="none" w:sz="0" w:space="0" w:color="auto"/>
        <w:left w:val="none" w:sz="0" w:space="0" w:color="auto"/>
        <w:bottom w:val="none" w:sz="0" w:space="0" w:color="auto"/>
        <w:right w:val="none" w:sz="0" w:space="0" w:color="auto"/>
      </w:divBdr>
    </w:div>
    <w:div w:id="154414653">
      <w:bodyDiv w:val="1"/>
      <w:marLeft w:val="0"/>
      <w:marRight w:val="0"/>
      <w:marTop w:val="0"/>
      <w:marBottom w:val="0"/>
      <w:divBdr>
        <w:top w:val="none" w:sz="0" w:space="0" w:color="auto"/>
        <w:left w:val="none" w:sz="0" w:space="0" w:color="auto"/>
        <w:bottom w:val="none" w:sz="0" w:space="0" w:color="auto"/>
        <w:right w:val="none" w:sz="0" w:space="0" w:color="auto"/>
      </w:divBdr>
    </w:div>
    <w:div w:id="283539756">
      <w:bodyDiv w:val="1"/>
      <w:marLeft w:val="0"/>
      <w:marRight w:val="0"/>
      <w:marTop w:val="0"/>
      <w:marBottom w:val="0"/>
      <w:divBdr>
        <w:top w:val="none" w:sz="0" w:space="0" w:color="auto"/>
        <w:left w:val="none" w:sz="0" w:space="0" w:color="auto"/>
        <w:bottom w:val="none" w:sz="0" w:space="0" w:color="auto"/>
        <w:right w:val="none" w:sz="0" w:space="0" w:color="auto"/>
      </w:divBdr>
    </w:div>
    <w:div w:id="399908692">
      <w:bodyDiv w:val="1"/>
      <w:marLeft w:val="0"/>
      <w:marRight w:val="0"/>
      <w:marTop w:val="0"/>
      <w:marBottom w:val="0"/>
      <w:divBdr>
        <w:top w:val="none" w:sz="0" w:space="0" w:color="auto"/>
        <w:left w:val="none" w:sz="0" w:space="0" w:color="auto"/>
        <w:bottom w:val="none" w:sz="0" w:space="0" w:color="auto"/>
        <w:right w:val="none" w:sz="0" w:space="0" w:color="auto"/>
      </w:divBdr>
    </w:div>
    <w:div w:id="429855416">
      <w:bodyDiv w:val="1"/>
      <w:marLeft w:val="0"/>
      <w:marRight w:val="0"/>
      <w:marTop w:val="0"/>
      <w:marBottom w:val="0"/>
      <w:divBdr>
        <w:top w:val="none" w:sz="0" w:space="0" w:color="auto"/>
        <w:left w:val="none" w:sz="0" w:space="0" w:color="auto"/>
        <w:bottom w:val="none" w:sz="0" w:space="0" w:color="auto"/>
        <w:right w:val="none" w:sz="0" w:space="0" w:color="auto"/>
      </w:divBdr>
    </w:div>
    <w:div w:id="593975450">
      <w:bodyDiv w:val="1"/>
      <w:marLeft w:val="0"/>
      <w:marRight w:val="0"/>
      <w:marTop w:val="0"/>
      <w:marBottom w:val="0"/>
      <w:divBdr>
        <w:top w:val="none" w:sz="0" w:space="0" w:color="auto"/>
        <w:left w:val="none" w:sz="0" w:space="0" w:color="auto"/>
        <w:bottom w:val="none" w:sz="0" w:space="0" w:color="auto"/>
        <w:right w:val="none" w:sz="0" w:space="0" w:color="auto"/>
      </w:divBdr>
    </w:div>
    <w:div w:id="1023826236">
      <w:bodyDiv w:val="1"/>
      <w:marLeft w:val="0"/>
      <w:marRight w:val="0"/>
      <w:marTop w:val="0"/>
      <w:marBottom w:val="0"/>
      <w:divBdr>
        <w:top w:val="none" w:sz="0" w:space="0" w:color="auto"/>
        <w:left w:val="none" w:sz="0" w:space="0" w:color="auto"/>
        <w:bottom w:val="none" w:sz="0" w:space="0" w:color="auto"/>
        <w:right w:val="none" w:sz="0" w:space="0" w:color="auto"/>
      </w:divBdr>
    </w:div>
    <w:div w:id="1049186310">
      <w:bodyDiv w:val="1"/>
      <w:marLeft w:val="0"/>
      <w:marRight w:val="0"/>
      <w:marTop w:val="0"/>
      <w:marBottom w:val="0"/>
      <w:divBdr>
        <w:top w:val="none" w:sz="0" w:space="0" w:color="auto"/>
        <w:left w:val="none" w:sz="0" w:space="0" w:color="auto"/>
        <w:bottom w:val="none" w:sz="0" w:space="0" w:color="auto"/>
        <w:right w:val="none" w:sz="0" w:space="0" w:color="auto"/>
      </w:divBdr>
    </w:div>
    <w:div w:id="1247379200">
      <w:bodyDiv w:val="1"/>
      <w:marLeft w:val="0"/>
      <w:marRight w:val="0"/>
      <w:marTop w:val="0"/>
      <w:marBottom w:val="0"/>
      <w:divBdr>
        <w:top w:val="none" w:sz="0" w:space="0" w:color="auto"/>
        <w:left w:val="none" w:sz="0" w:space="0" w:color="auto"/>
        <w:bottom w:val="none" w:sz="0" w:space="0" w:color="auto"/>
        <w:right w:val="none" w:sz="0" w:space="0" w:color="auto"/>
      </w:divBdr>
    </w:div>
    <w:div w:id="1397624701">
      <w:bodyDiv w:val="1"/>
      <w:marLeft w:val="0"/>
      <w:marRight w:val="0"/>
      <w:marTop w:val="0"/>
      <w:marBottom w:val="0"/>
      <w:divBdr>
        <w:top w:val="none" w:sz="0" w:space="0" w:color="auto"/>
        <w:left w:val="none" w:sz="0" w:space="0" w:color="auto"/>
        <w:bottom w:val="none" w:sz="0" w:space="0" w:color="auto"/>
        <w:right w:val="none" w:sz="0" w:space="0" w:color="auto"/>
      </w:divBdr>
      <w:divsChild>
        <w:div w:id="1284964574">
          <w:marLeft w:val="0"/>
          <w:marRight w:val="0"/>
          <w:marTop w:val="0"/>
          <w:marBottom w:val="0"/>
          <w:divBdr>
            <w:top w:val="none" w:sz="0" w:space="0" w:color="auto"/>
            <w:left w:val="none" w:sz="0" w:space="0" w:color="auto"/>
            <w:bottom w:val="none" w:sz="0" w:space="0" w:color="auto"/>
            <w:right w:val="none" w:sz="0" w:space="0" w:color="auto"/>
          </w:divBdr>
          <w:divsChild>
            <w:div w:id="18159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82">
      <w:bodyDiv w:val="1"/>
      <w:marLeft w:val="0"/>
      <w:marRight w:val="0"/>
      <w:marTop w:val="0"/>
      <w:marBottom w:val="0"/>
      <w:divBdr>
        <w:top w:val="none" w:sz="0" w:space="0" w:color="auto"/>
        <w:left w:val="none" w:sz="0" w:space="0" w:color="auto"/>
        <w:bottom w:val="none" w:sz="0" w:space="0" w:color="auto"/>
        <w:right w:val="none" w:sz="0" w:space="0" w:color="auto"/>
      </w:divBdr>
    </w:div>
    <w:div w:id="1770347082">
      <w:bodyDiv w:val="1"/>
      <w:marLeft w:val="0"/>
      <w:marRight w:val="0"/>
      <w:marTop w:val="0"/>
      <w:marBottom w:val="0"/>
      <w:divBdr>
        <w:top w:val="none" w:sz="0" w:space="0" w:color="auto"/>
        <w:left w:val="none" w:sz="0" w:space="0" w:color="auto"/>
        <w:bottom w:val="none" w:sz="0" w:space="0" w:color="auto"/>
        <w:right w:val="none" w:sz="0" w:space="0" w:color="auto"/>
      </w:divBdr>
    </w:div>
    <w:div w:id="1793669945">
      <w:bodyDiv w:val="1"/>
      <w:marLeft w:val="60"/>
      <w:marRight w:val="60"/>
      <w:marTop w:val="60"/>
      <w:marBottom w:val="15"/>
      <w:divBdr>
        <w:top w:val="none" w:sz="0" w:space="0" w:color="auto"/>
        <w:left w:val="none" w:sz="0" w:space="0" w:color="auto"/>
        <w:bottom w:val="none" w:sz="0" w:space="0" w:color="auto"/>
        <w:right w:val="none" w:sz="0" w:space="0" w:color="auto"/>
      </w:divBdr>
      <w:divsChild>
        <w:div w:id="1190218236">
          <w:marLeft w:val="0"/>
          <w:marRight w:val="0"/>
          <w:marTop w:val="0"/>
          <w:marBottom w:val="0"/>
          <w:divBdr>
            <w:top w:val="none" w:sz="0" w:space="0" w:color="auto"/>
            <w:left w:val="none" w:sz="0" w:space="0" w:color="auto"/>
            <w:bottom w:val="none" w:sz="0" w:space="0" w:color="auto"/>
            <w:right w:val="none" w:sz="0" w:space="0" w:color="auto"/>
          </w:divBdr>
        </w:div>
      </w:divsChild>
    </w:div>
    <w:div w:id="1814985023">
      <w:bodyDiv w:val="1"/>
      <w:marLeft w:val="0"/>
      <w:marRight w:val="0"/>
      <w:marTop w:val="0"/>
      <w:marBottom w:val="0"/>
      <w:divBdr>
        <w:top w:val="none" w:sz="0" w:space="0" w:color="auto"/>
        <w:left w:val="none" w:sz="0" w:space="0" w:color="auto"/>
        <w:bottom w:val="none" w:sz="0" w:space="0" w:color="auto"/>
        <w:right w:val="none" w:sz="0" w:space="0" w:color="auto"/>
      </w:divBdr>
    </w:div>
    <w:div w:id="18844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000" b="1" i="0" baseline="0">
                <a:effectLst/>
              </a:rPr>
              <a:t>Population selon la durée d'emploi au 31 mars</a:t>
            </a:r>
            <a:endParaRPr lang="en-CA" sz="1000">
              <a:effectLst/>
            </a:endParaRPr>
          </a:p>
        </c:rich>
      </c:tx>
      <c:layout>
        <c:manualLayout>
          <c:xMode val="edge"/>
          <c:yMode val="edge"/>
          <c:x val="0.19680357653999353"/>
          <c:y val="1.5584415584415584E-2"/>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25561684641545"/>
          <c:y val="9.350649350649351E-2"/>
          <c:w val="0.8438565211696043"/>
          <c:h val="0.6100861028735044"/>
        </c:manualLayout>
      </c:layout>
      <c:barChart>
        <c:barDir val="col"/>
        <c:grouping val="stacked"/>
        <c:varyColors val="0"/>
        <c:ser>
          <c:idx val="0"/>
          <c:order val="0"/>
          <c:tx>
            <c:strRef>
              <c:f>Sheet1!$B$1</c:f>
              <c:strCache>
                <c:ptCount val="1"/>
                <c:pt idx="0">
                  <c:v>Indéterminée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(N=4) </c:v>
                </c:pt>
                <c:pt idx="1">
                  <c:v> 2015
(N=5) </c:v>
                </c:pt>
                <c:pt idx="2">
                  <c:v> 2016
(N=6) </c:v>
                </c:pt>
                <c:pt idx="3">
                  <c:v> 2017
(N=6) </c:v>
                </c:pt>
                <c:pt idx="4">
                  <c:v> 2018
(N=6) </c:v>
                </c:pt>
                <c:pt idx="5">
                  <c:v> 2019
(N=7) </c:v>
                </c:pt>
              </c:strCache>
            </c:strRef>
          </c:cat>
          <c:val>
            <c:numRef>
              <c:f>Sheet1!$B$2:$B$7</c:f>
              <c:numCache>
                <c:formatCode>#\ ###</c:formatCode>
                <c:ptCount val="6"/>
                <c:pt idx="0">
                  <c:v>4</c:v>
                </c:pt>
                <c:pt idx="1">
                  <c:v>4</c:v>
                </c:pt>
                <c:pt idx="2">
                  <c:v>5</c:v>
                </c:pt>
                <c:pt idx="3">
                  <c:v>5</c:v>
                </c:pt>
                <c:pt idx="4">
                  <c:v>6</c:v>
                </c:pt>
                <c:pt idx="5">
                  <c:v>5</c:v>
                </c:pt>
              </c:numCache>
            </c:numRef>
          </c:val>
        </c:ser>
        <c:ser>
          <c:idx val="1"/>
          <c:order val="1"/>
          <c:tx>
            <c:strRef>
              <c:f>Sheet1!$C$1</c:f>
              <c:strCache>
                <c:ptCount val="1"/>
                <c:pt idx="0">
                  <c:v>Déterminée</c:v>
                </c:pt>
              </c:strCache>
            </c:strRef>
          </c:tx>
          <c:spPr>
            <a:solidFill>
              <a:schemeClr val="accent2"/>
            </a:solidFill>
            <a:ln>
              <a:noFill/>
            </a:ln>
            <a:effectLst/>
          </c:spPr>
          <c:invertIfNegative val="0"/>
          <c:dLbls>
            <c:dLbl>
              <c:idx val="0"/>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1688311688311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1948051948051714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558441558441556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5974025974025976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(N=4) </c:v>
                </c:pt>
                <c:pt idx="1">
                  <c:v> 2015
(N=5) </c:v>
                </c:pt>
                <c:pt idx="2">
                  <c:v> 2016
(N=6) </c:v>
                </c:pt>
                <c:pt idx="3">
                  <c:v> 2017
(N=6) </c:v>
                </c:pt>
                <c:pt idx="4">
                  <c:v> 2018
(N=6) </c:v>
                </c:pt>
                <c:pt idx="5">
                  <c:v> 2019
(N=7) </c:v>
                </c:pt>
              </c:strCache>
            </c:strRef>
          </c:cat>
          <c:val>
            <c:numRef>
              <c:f>Sheet1!$C$2:$C$7</c:f>
              <c:numCache>
                <c:formatCode>#\ ###</c:formatCode>
                <c:ptCount val="6"/>
                <c:pt idx="0">
                  <c:v>0</c:v>
                </c:pt>
                <c:pt idx="1">
                  <c:v>1</c:v>
                </c:pt>
                <c:pt idx="2">
                  <c:v>1</c:v>
                </c:pt>
                <c:pt idx="3">
                  <c:v>1</c:v>
                </c:pt>
                <c:pt idx="4">
                  <c:v>0</c:v>
                </c:pt>
                <c:pt idx="5">
                  <c:v>2</c:v>
                </c:pt>
              </c:numCache>
            </c:numRef>
          </c:val>
        </c:ser>
        <c:dLbls>
          <c:dLblPos val="ctr"/>
          <c:showLegendKey val="0"/>
          <c:showVal val="1"/>
          <c:showCatName val="0"/>
          <c:showSerName val="0"/>
          <c:showPercent val="0"/>
          <c:showBubbleSize val="0"/>
        </c:dLbls>
        <c:gapWidth val="150"/>
        <c:overlap val="100"/>
        <c:axId val="240172648"/>
        <c:axId val="240169904"/>
      </c:barChart>
      <c:catAx>
        <c:axId val="24017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169904"/>
        <c:crosses val="autoZero"/>
        <c:auto val="1"/>
        <c:lblAlgn val="ctr"/>
        <c:lblOffset val="100"/>
        <c:noMultiLvlLbl val="0"/>
      </c:catAx>
      <c:valAx>
        <c:axId val="24016990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172648"/>
        <c:crosses val="autoZero"/>
        <c:crossBetween val="between"/>
      </c:valAx>
      <c:spPr>
        <a:noFill/>
        <a:ln>
          <a:noFill/>
        </a:ln>
        <a:effectLst/>
      </c:spPr>
    </c:plotArea>
    <c:legend>
      <c:legendPos val="b"/>
      <c:layout>
        <c:manualLayout>
          <c:xMode val="edge"/>
          <c:yMode val="edge"/>
          <c:x val="0.13638008742437693"/>
          <c:y val="0.88116821760916253"/>
          <c:w val="0.77653126076430834"/>
          <c:h val="8.76629512220063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000" b="1" i="0" baseline="0">
                <a:effectLst/>
              </a:rPr>
              <a:t>Population selon le profil linguistique au 31 mars 2019 (N=7)</a:t>
            </a:r>
            <a:endParaRPr lang="en-CA" sz="1000">
              <a:effectLst/>
            </a:endParaRPr>
          </a:p>
        </c:rich>
      </c:tx>
      <c:layout>
        <c:manualLayout>
          <c:xMode val="edge"/>
          <c:yMode val="edge"/>
          <c:x val="0.14725646205219109"/>
          <c:y val="3.352977616928321E-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595553173654358E-3"/>
          <c:y val="0.28853377023524235"/>
          <c:w val="0.99084044468263455"/>
          <c:h val="0.58773454948566217"/>
        </c:manualLayout>
      </c:layout>
      <c:pieChart>
        <c:varyColors val="1"/>
        <c:ser>
          <c:idx val="0"/>
          <c:order val="0"/>
          <c:tx>
            <c:strRef>
              <c:f>Sheet1!$B$1</c:f>
              <c:strCache>
                <c:ptCount val="1"/>
                <c:pt idx="0">
                  <c:v>Population selon le profil linguistique au 31 mars 2018</c:v>
                </c:pt>
              </c:strCache>
            </c:strRef>
          </c:tx>
          <c:spPr>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explosion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manualLayout>
                  <c:x val="-1.9633507853403141E-2"/>
                  <c:y val="5.593933910435108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3717277486910994"/>
                      <c:h val="0.16045548654244307"/>
                    </c:manualLayout>
                  </c15:layout>
                </c:ext>
              </c:extLst>
            </c:dLbl>
            <c:dLbl>
              <c:idx val="1"/>
              <c:layout>
                <c:manualLayout>
                  <c:x val="0.10471238542826126"/>
                  <c:y val="-4.126440716649549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4746945898778353"/>
                      <c:h val="0.1861026882509251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Unilingue</c:v>
                </c:pt>
                <c:pt idx="1">
                  <c:v>Bilingue</c:v>
                </c:pt>
              </c:strCache>
            </c:strRef>
          </c:cat>
          <c:val>
            <c:numRef>
              <c:f>Sheet1!$B$2:$B$3</c:f>
              <c:numCache>
                <c:formatCode>0</c:formatCode>
                <c:ptCount val="2"/>
                <c:pt idx="0">
                  <c:v>1</c:v>
                </c:pt>
                <c:pt idx="1">
                  <c:v>3</c:v>
                </c:pt>
              </c:numCache>
            </c:numRef>
          </c:val>
        </c:ser>
        <c:dLbls>
          <c:showLegendKey val="0"/>
          <c:showVal val="0"/>
          <c:showCatName val="0"/>
          <c:showSerName val="0"/>
          <c:showPercent val="0"/>
          <c:showBubbleSize val="0"/>
          <c:showLeaderLines val="1"/>
        </c:dLbls>
        <c:firstSliceAng val="29"/>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a:t>Population selon le groupe professionnel au 31 mars 2019</a:t>
            </a:r>
          </a:p>
        </c:rich>
      </c:tx>
      <c:layout>
        <c:manualLayout>
          <c:xMode val="edge"/>
          <c:yMode val="edge"/>
          <c:x val="0.11600531316564154"/>
          <c:y val="5.1079996323416775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2974677048050557E-2"/>
          <c:y val="0.30179943484886967"/>
          <c:w val="0.93955862026122472"/>
          <c:h val="0.62025549540682412"/>
        </c:manualLayout>
      </c:layout>
      <c:pieChart>
        <c:varyColors val="1"/>
        <c:ser>
          <c:idx val="0"/>
          <c:order val="0"/>
          <c:tx>
            <c:strRef>
              <c:f>Sheet1!$B$1</c:f>
              <c:strCache>
                <c:ptCount val="1"/>
                <c:pt idx="0">
                  <c:v>Population selon le groupe professionnel au 31 mars 2018</c:v>
                </c:pt>
              </c:strCache>
            </c:strRef>
          </c:tx>
          <c:spPr>
            <a:ln w="3175"/>
          </c:spPr>
          <c:dPt>
            <c:idx val="0"/>
            <c:bubble3D val="0"/>
            <c:spPr>
              <a:solidFill>
                <a:schemeClr val="accent2"/>
              </a:solidFill>
              <a:ln w="3175">
                <a:solidFill>
                  <a:schemeClr val="lt1"/>
                </a:solidFill>
              </a:ln>
              <a:effectLst/>
            </c:spPr>
          </c:dPt>
          <c:dPt>
            <c:idx val="1"/>
            <c:bubble3D val="0"/>
            <c:spPr>
              <a:solidFill>
                <a:schemeClr val="accent1"/>
              </a:solidFill>
              <a:ln w="3175">
                <a:solidFill>
                  <a:schemeClr val="lt1"/>
                </a:solidFill>
              </a:ln>
              <a:effectLst/>
            </c:spPr>
          </c:dPt>
          <c:dPt>
            <c:idx val="2"/>
            <c:bubble3D val="0"/>
            <c:spPr>
              <a:solidFill>
                <a:schemeClr val="bg2">
                  <a:lumMod val="90000"/>
                </a:schemeClr>
              </a:solidFill>
              <a:ln w="3175">
                <a:solidFill>
                  <a:schemeClr val="lt1"/>
                </a:solidFill>
              </a:ln>
              <a:effectLst/>
            </c:spPr>
          </c:dPt>
          <c:dLbls>
            <c:dLbl>
              <c:idx val="0"/>
              <c:layout>
                <c:manualLayout>
                  <c:x val="0.20079766565492163"/>
                  <c:y val="-0.1570946822308690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6.1840202935526917E-2"/>
                  <c:y val="0.16651408846267757"/>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8.1936685288640593E-2"/>
                  <c:y val="1.3715697989113134E-2"/>
                </c:manualLayout>
              </c:layout>
              <c:tx>
                <c:rich>
                  <a:bodyPr/>
                  <a:lstStyle/>
                  <a:p>
                    <a:fld id="{5CC55886-77E7-47D0-9DE5-0EDB2C38F369}" type="CATEGORYNAME">
                      <a:rPr lang="en-US"/>
                      <a:pPr/>
                      <a:t>[CATEGORY NAME]</a:t>
                    </a:fld>
                    <a:r>
                      <a:rPr lang="en-US" baseline="0"/>
                      <a:t>
</a:t>
                    </a:r>
                    <a:fld id="{4615120A-D206-4225-90AD-A005907F71CD}" type="VALUE">
                      <a:rPr lang="en-US" baseline="0"/>
                      <a:pPr/>
                      <a:t>[VALUE]</a:t>
                    </a:fld>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AS</c:v>
                </c:pt>
                <c:pt idx="1">
                  <c:v>LP</c:v>
                </c:pt>
                <c:pt idx="2">
                  <c:v>EX</c:v>
                </c:pt>
              </c:strCache>
            </c:strRef>
          </c:cat>
          <c:val>
            <c:numRef>
              <c:f>Sheet1!$B$2:$B$4</c:f>
              <c:numCache>
                <c:formatCode>General</c:formatCode>
                <c:ptCount val="3"/>
                <c:pt idx="0">
                  <c:v>3</c:v>
                </c:pt>
                <c:pt idx="1">
                  <c:v>2</c:v>
                </c:pt>
                <c:pt idx="2">
                  <c:v>2</c:v>
                </c:pt>
              </c:numCache>
            </c:numRef>
          </c:val>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000" b="1" i="0" baseline="0">
                <a:effectLst/>
              </a:rPr>
              <a:t>Population selon la région au 31 mars 2019 (N=7)</a:t>
            </a:r>
            <a:endParaRPr lang="en-CA" sz="1000">
              <a:effectLst/>
            </a:endParaRPr>
          </a:p>
        </c:rich>
      </c:tx>
      <c:layout>
        <c:manualLayout>
          <c:xMode val="edge"/>
          <c:yMode val="edge"/>
          <c:x val="0.12792086473061834"/>
          <c:y val="2.0703933747412008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640109502441232E-2"/>
          <c:y val="0.22221760323437831"/>
          <c:w val="0.84333349635643373"/>
          <c:h val="0.70579860488143109"/>
        </c:manualLayout>
      </c:layout>
      <c:pieChart>
        <c:varyColors val="1"/>
        <c:ser>
          <c:idx val="0"/>
          <c:order val="0"/>
          <c:tx>
            <c:strRef>
              <c:f>Sheet1!$B$1</c:f>
              <c:strCache>
                <c:ptCount val="1"/>
                <c:pt idx="0">
                  <c:v>Population selon la région au 31 mars 2018</c:v>
                </c:pt>
              </c:strCache>
            </c:strRef>
          </c:tx>
          <c:spPr>
            <a:solidFill>
              <a:schemeClr val="accent2"/>
            </a:solidFill>
            <a:ln>
              <a:noFill/>
            </a:ln>
            <a:effectLst/>
          </c:spPr>
          <c:dPt>
            <c:idx val="0"/>
            <c:bubble3D val="0"/>
            <c:spPr>
              <a:solidFill>
                <a:schemeClr val="accent2"/>
              </a:solidFill>
              <a:ln w="3175">
                <a:noFill/>
              </a:ln>
              <a:effectLst/>
            </c:spPr>
          </c:dPt>
          <c:dLbls>
            <c:dLbl>
              <c:idx val="0"/>
              <c:layout>
                <c:manualLayout>
                  <c:x val="-0.28673835125448027"/>
                  <c:y val="-0.3053830227743272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7992831541218636"/>
                      <c:h val="0.2445652173913043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RCN</c:v>
                </c:pt>
              </c:strCache>
            </c:strRef>
          </c:cat>
          <c:val>
            <c:numRef>
              <c:f>Sheet1!$B$2</c:f>
              <c:numCache>
                <c:formatCode>0</c:formatCode>
                <c:ptCount val="1"/>
                <c:pt idx="0">
                  <c:v>7</c:v>
                </c:pt>
              </c:numCache>
            </c:numRef>
          </c:val>
        </c:ser>
        <c:dLbls>
          <c:showLegendKey val="0"/>
          <c:showVal val="0"/>
          <c:showCatName val="0"/>
          <c:showSerName val="0"/>
          <c:showPercent val="0"/>
          <c:showBubbleSize val="0"/>
          <c:showLeaderLines val="1"/>
        </c:dLbls>
        <c:firstSliceAng val="331"/>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CA" sz="1100"/>
              <a:t>Dotation selon le type de nomination</a:t>
            </a:r>
          </a:p>
        </c:rich>
      </c:tx>
      <c:layout>
        <c:manualLayout>
          <c:xMode val="edge"/>
          <c:yMode val="edge"/>
          <c:x val="0.26583333333333331"/>
          <c:y val="2.461538461538461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6268798707853827"/>
          <c:w val="0.84333349635643373"/>
          <c:h val="0.524926953361599"/>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0717410323709534E-3"/>
                  <c:y val="2.58878255602665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1.97827579244902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5558E-3"/>
                  <c:y val="2.35202907328891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3333333333334356E-3"/>
                  <c:y val="2.38853220270543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(N=3)</c:v>
                </c:pt>
                <c:pt idx="1">
                  <c:v>2015-2016
(N=3)</c:v>
                </c:pt>
                <c:pt idx="2">
                  <c:v>2016-2017 
(N=0)</c:v>
                </c:pt>
                <c:pt idx="3">
                  <c:v>2017-2018
(N=2)</c:v>
                </c:pt>
                <c:pt idx="4">
                  <c:v>2018-2019
(N=6)</c:v>
                </c:pt>
              </c:strCache>
            </c:strRef>
          </c:cat>
          <c:val>
            <c:numRef>
              <c:f>Sheet1!$B$3:$B$7</c:f>
              <c:numCache>
                <c:formatCode>#\ ###</c:formatCode>
                <c:ptCount val="5"/>
                <c:pt idx="0">
                  <c:v>1</c:v>
                </c:pt>
                <c:pt idx="1">
                  <c:v>0</c:v>
                </c:pt>
                <c:pt idx="2">
                  <c:v>0</c:v>
                </c:pt>
                <c:pt idx="3">
                  <c:v>0</c:v>
                </c:pt>
                <c:pt idx="4">
                  <c:v>4</c:v>
                </c:pt>
              </c:numCache>
            </c:numRef>
          </c:val>
        </c:ser>
        <c:ser>
          <c:idx val="1"/>
          <c:order val="1"/>
          <c:tx>
            <c:strRef>
              <c:f>Sheet1!$C$1</c:f>
              <c:strCache>
                <c:ptCount val="1"/>
                <c:pt idx="0">
                  <c:v>Déplacements latéraux et régressifs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38853220270542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1.12125984251967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4356E-3"/>
                  <c:y val="1.99652735715727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9E-3"/>
                  <c:y val="1.176014536644457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5555555555555558E-3"/>
                  <c:y val="3.18998586715122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(N=3)</c:v>
                </c:pt>
                <c:pt idx="1">
                  <c:v>2015-2016
(N=3)</c:v>
                </c:pt>
                <c:pt idx="2">
                  <c:v>2016-2017 
(N=0)</c:v>
                </c:pt>
                <c:pt idx="3">
                  <c:v>2017-2018
(N=2)</c:v>
                </c:pt>
                <c:pt idx="4">
                  <c:v>2018-2019
(N=6)</c:v>
                </c:pt>
              </c:strCache>
            </c:strRef>
          </c:cat>
          <c:val>
            <c:numRef>
              <c:f>Sheet1!$C$3:$C$7</c:f>
              <c:numCache>
                <c:formatCode>#\ ###</c:formatCode>
                <c:ptCount val="5"/>
                <c:pt idx="0">
                  <c:v>0</c:v>
                </c:pt>
                <c:pt idx="1">
                  <c:v>2</c:v>
                </c:pt>
                <c:pt idx="2">
                  <c:v>0</c:v>
                </c:pt>
                <c:pt idx="3">
                  <c:v>2</c:v>
                </c:pt>
              </c:numCache>
            </c:numRef>
          </c:val>
        </c:ser>
        <c:ser>
          <c:idx val="2"/>
          <c:order val="2"/>
          <c:tx>
            <c:strRef>
              <c:f>Sheet1!$D$1</c:f>
              <c:strCache>
                <c:ptCount val="1"/>
                <c:pt idx="0">
                  <c:v>Nominations à la fonction publique (y compris les employés occasionnels et les étudiants)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2.38853220270542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285214348205456E-4"/>
                  <c:y val="2.38853220270543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(N=3)</c:v>
                </c:pt>
                <c:pt idx="1">
                  <c:v>2015-2016
(N=3)</c:v>
                </c:pt>
                <c:pt idx="2">
                  <c:v>2016-2017 
(N=0)</c:v>
                </c:pt>
                <c:pt idx="3">
                  <c:v>2017-2018
(N=2)</c:v>
                </c:pt>
                <c:pt idx="4">
                  <c:v>2018-2019
(N=6)</c:v>
                </c:pt>
              </c:strCache>
            </c:strRef>
          </c:cat>
          <c:val>
            <c:numRef>
              <c:f>Sheet1!$D$3:$D$7</c:f>
              <c:numCache>
                <c:formatCode>#\ ###</c:formatCode>
                <c:ptCount val="5"/>
                <c:pt idx="0">
                  <c:v>2</c:v>
                </c:pt>
                <c:pt idx="1">
                  <c:v>0</c:v>
                </c:pt>
                <c:pt idx="2">
                  <c:v>0</c:v>
                </c:pt>
                <c:pt idx="3">
                  <c:v>0</c:v>
                </c:pt>
                <c:pt idx="4">
                  <c:v>1</c:v>
                </c:pt>
              </c:numCache>
            </c:numRef>
          </c:val>
        </c:ser>
        <c:ser>
          <c:idx val="3"/>
          <c:order val="3"/>
          <c:tx>
            <c:strRef>
              <c:f>Sheet1!$E$1</c:f>
              <c:strCache>
                <c:ptCount val="1"/>
                <c:pt idx="0">
                  <c:v>Nominations intérimaires (Excluant les nominations de moins de quatre mois)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1.96002422774075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2.033030486573793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676E-3"/>
                  <c:y val="2.06953361599030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062992125984253E-3"/>
                  <c:y val="2.03926509186351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062992125984253E-3"/>
                  <c:y val="1.97827579244901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(N=3)</c:v>
                </c:pt>
                <c:pt idx="1">
                  <c:v>2015-2016
(N=3)</c:v>
                </c:pt>
                <c:pt idx="2">
                  <c:v>2016-2017 
(N=0)</c:v>
                </c:pt>
                <c:pt idx="3">
                  <c:v>2017-2018
(N=2)</c:v>
                </c:pt>
                <c:pt idx="4">
                  <c:v>2018-2019
(N=6)</c:v>
                </c:pt>
              </c:strCache>
            </c:strRef>
          </c:cat>
          <c:val>
            <c:numRef>
              <c:f>Sheet1!$E$3:$E$7</c:f>
              <c:numCache>
                <c:formatCode>#\ ###</c:formatCode>
                <c:ptCount val="5"/>
                <c:pt idx="0">
                  <c:v>0</c:v>
                </c:pt>
                <c:pt idx="1">
                  <c:v>1</c:v>
                </c:pt>
                <c:pt idx="2">
                  <c:v>0</c:v>
                </c:pt>
                <c:pt idx="3">
                  <c:v>0</c:v>
                </c:pt>
                <c:pt idx="4">
                  <c:v>1</c:v>
                </c:pt>
              </c:numCache>
            </c:numRef>
          </c:val>
        </c:ser>
        <c:dLbls>
          <c:showLegendKey val="0"/>
          <c:showVal val="0"/>
          <c:showCatName val="0"/>
          <c:showSerName val="0"/>
          <c:showPercent val="0"/>
          <c:showBubbleSize val="0"/>
        </c:dLbls>
        <c:gapWidth val="150"/>
        <c:shape val="box"/>
        <c:axId val="618768864"/>
        <c:axId val="618766512"/>
        <c:axId val="0"/>
      </c:bar3DChart>
      <c:catAx>
        <c:axId val="618768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766512"/>
        <c:crosses val="autoZero"/>
        <c:auto val="0"/>
        <c:lblAlgn val="ctr"/>
        <c:lblOffset val="100"/>
        <c:noMultiLvlLbl val="0"/>
      </c:catAx>
      <c:valAx>
        <c:axId val="61876651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768864"/>
        <c:crosses val="autoZero"/>
        <c:crossBetween val="between"/>
        <c:majorUnit val="1"/>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CA" sz="1100"/>
              <a:t>Dotation selon la durée d'emploi</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5594298405007065"/>
          <c:w val="0.86277799650043729"/>
          <c:h val="0.55482689279224717"/>
        </c:manualLayout>
      </c:layout>
      <c:bar3DChart>
        <c:barDir val="col"/>
        <c:grouping val="clustered"/>
        <c:varyColors val="0"/>
        <c:ser>
          <c:idx val="0"/>
          <c:order val="0"/>
          <c:tx>
            <c:strRef>
              <c:f>Sheet1!$B$1</c:f>
              <c:strCache>
                <c:ptCount val="1"/>
                <c:pt idx="0">
                  <c:v>Indéterminée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37028063799717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(N=3)</c:v>
                </c:pt>
                <c:pt idx="1">
                  <c:v>2015-2016
 (N=3)</c:v>
                </c:pt>
                <c:pt idx="2">
                  <c:v>2016-2017
 (N=0)</c:v>
                </c:pt>
                <c:pt idx="3">
                  <c:v>2017-2018
 (N=2)</c:v>
                </c:pt>
                <c:pt idx="4">
                  <c:v>2018-2019
 (N=6)</c:v>
                </c:pt>
              </c:strCache>
            </c:strRef>
          </c:cat>
          <c:val>
            <c:numRef>
              <c:f>Sheet1!$B$2:$B$6</c:f>
              <c:numCache>
                <c:formatCode>#\ ###</c:formatCode>
                <c:ptCount val="5"/>
                <c:pt idx="0">
                  <c:v>2</c:v>
                </c:pt>
                <c:pt idx="1">
                  <c:v>3</c:v>
                </c:pt>
                <c:pt idx="2">
                  <c:v>0</c:v>
                </c:pt>
                <c:pt idx="3">
                  <c:v>2</c:v>
                </c:pt>
                <c:pt idx="4">
                  <c:v>3</c:v>
                </c:pt>
              </c:numCache>
            </c:numRef>
          </c:val>
        </c:ser>
        <c:ser>
          <c:idx val="1"/>
          <c:order val="1"/>
          <c:tx>
            <c:strRef>
              <c:f>Sheet1!$C$1</c:f>
              <c:strCache>
                <c:ptCount val="1"/>
                <c:pt idx="0">
                  <c:v>Déterminée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35202907328891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8286E-3"/>
                  <c:y val="2.42503533212193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2.37028063799718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37028063799718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7028063799716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(N=3)</c:v>
                </c:pt>
                <c:pt idx="1">
                  <c:v>2015-2016
 (N=3)</c:v>
                </c:pt>
                <c:pt idx="2">
                  <c:v>2016-2017
 (N=0)</c:v>
                </c:pt>
                <c:pt idx="3">
                  <c:v>2017-2018
 (N=2)</c:v>
                </c:pt>
                <c:pt idx="4">
                  <c:v>2018-2019
 (N=6)</c:v>
                </c:pt>
              </c:strCache>
            </c:strRef>
          </c:cat>
          <c:val>
            <c:numRef>
              <c:f>Sheet1!$C$2:$C$6</c:f>
              <c:numCache>
                <c:formatCode>#\ ###</c:formatCode>
                <c:ptCount val="5"/>
                <c:pt idx="0">
                  <c:v>1</c:v>
                </c:pt>
                <c:pt idx="1">
                  <c:v>0</c:v>
                </c:pt>
                <c:pt idx="2">
                  <c:v>0</c:v>
                </c:pt>
                <c:pt idx="3">
                  <c:v>0</c:v>
                </c:pt>
                <c:pt idx="4">
                  <c:v>3</c:v>
                </c:pt>
              </c:numCache>
            </c:numRef>
          </c:val>
        </c:ser>
        <c:dLbls>
          <c:showLegendKey val="0"/>
          <c:showVal val="1"/>
          <c:showCatName val="0"/>
          <c:showSerName val="0"/>
          <c:showPercent val="0"/>
          <c:showBubbleSize val="0"/>
        </c:dLbls>
        <c:gapWidth val="150"/>
        <c:shape val="box"/>
        <c:axId val="618768080"/>
        <c:axId val="618768472"/>
        <c:axId val="0"/>
      </c:bar3DChart>
      <c:catAx>
        <c:axId val="618768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768472"/>
        <c:crosses val="autoZero"/>
        <c:auto val="1"/>
        <c:lblAlgn val="ctr"/>
        <c:lblOffset val="100"/>
        <c:noMultiLvlLbl val="0"/>
      </c:catAx>
      <c:valAx>
        <c:axId val="61876847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768080"/>
        <c:crosses val="autoZero"/>
        <c:crossBetween val="between"/>
        <c:majorUnit val="1"/>
      </c:valAx>
      <c:spPr>
        <a:noFill/>
        <a:ln>
          <a:noFill/>
        </a:ln>
        <a:effectLst/>
      </c:spPr>
    </c:plotArea>
    <c:legend>
      <c:legendPos val="r"/>
      <c:layout>
        <c:manualLayout>
          <c:xMode val="edge"/>
          <c:yMode val="edge"/>
          <c:x val="0.1"/>
          <c:y val="0.84398433272763984"/>
          <c:w val="0.81944444444444442"/>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inconnus= 3</a:t>
          </a:r>
          <a:endParaRPr lang="en-CA" sz="850"/>
        </a:p>
      </cdr:txBody>
    </cdr:sp>
  </cdr:relSizeAnchor>
</c:userShapes>
</file>

<file path=word/drawings/drawing2.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inconnu = 0</a:t>
          </a:r>
          <a:endParaRPr lang="en-CA" sz="85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F77D7EAEC45A4909A9304DC6F283F"/>
        <w:category>
          <w:name w:val="Général"/>
          <w:gallery w:val="placeholder"/>
        </w:category>
        <w:types>
          <w:type w:val="bbPlcHdr"/>
        </w:types>
        <w:behaviors>
          <w:behavior w:val="content"/>
        </w:behaviors>
        <w:guid w:val="{FF242A83-955D-42F8-8DE7-D0302A20A141}"/>
      </w:docPartPr>
      <w:docPartBody>
        <w:p w:rsidR="00F669E0" w:rsidRDefault="00E85287" w:rsidP="00E85287">
          <w:pPr>
            <w:pStyle w:val="A79F77D7EAEC45A4909A9304DC6F283F"/>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7C"/>
    <w:rsid w:val="00115186"/>
    <w:rsid w:val="001949E3"/>
    <w:rsid w:val="003D472B"/>
    <w:rsid w:val="0040757C"/>
    <w:rsid w:val="00442DAE"/>
    <w:rsid w:val="00E85287"/>
    <w:rsid w:val="00F669E0"/>
    <w:rsid w:val="00FF0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32070428D49CABA881105BCA0F7B6">
    <w:name w:val="8D732070428D49CABA881105BCA0F7B6"/>
    <w:rsid w:val="0040757C"/>
  </w:style>
  <w:style w:type="paragraph" w:customStyle="1" w:styleId="3939BCEB80BE4A05B3F80A0EFD91697D">
    <w:name w:val="3939BCEB80BE4A05B3F80A0EFD91697D"/>
    <w:rsid w:val="0040757C"/>
  </w:style>
  <w:style w:type="paragraph" w:customStyle="1" w:styleId="BD9261F7F1C04361A7901556DCC06A26">
    <w:name w:val="BD9261F7F1C04361A7901556DCC06A26"/>
    <w:rsid w:val="00E85287"/>
  </w:style>
  <w:style w:type="paragraph" w:customStyle="1" w:styleId="37882F05AB854D87864DCCAFE58593F2">
    <w:name w:val="37882F05AB854D87864DCCAFE58593F2"/>
    <w:rsid w:val="00E85287"/>
  </w:style>
  <w:style w:type="paragraph" w:customStyle="1" w:styleId="A79F77D7EAEC45A4909A9304DC6F283F">
    <w:name w:val="A79F77D7EAEC45A4909A9304DC6F283F"/>
    <w:rsid w:val="00E85287"/>
  </w:style>
  <w:style w:type="paragraph" w:customStyle="1" w:styleId="A79A38CECFCB40D595B640376BE57512">
    <w:name w:val="A79A38CECFCB40D595B640376BE57512"/>
    <w:rsid w:val="00E85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A755-39E8-42C5-B6E9-249DF46D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2735</Words>
  <Characters>15591</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à publier sur le portail du gouvernement ouvert</vt:lpstr>
      <vt:lpstr>à publier sur le portail du gouvernement ouvert</vt:lpstr>
    </vt:vector>
  </TitlesOfParts>
  <Company>PSC-CFP</Company>
  <LinksUpToDate>false</LinksUpToDate>
  <CharactersWithSpaces>18290</CharactersWithSpaces>
  <SharedDoc>false</SharedDoc>
  <HLinks>
    <vt:vector size="120" baseType="variant">
      <vt:variant>
        <vt:i4>262211</vt:i4>
      </vt:variant>
      <vt:variant>
        <vt:i4>57</vt:i4>
      </vt:variant>
      <vt:variant>
        <vt:i4>0</vt:i4>
      </vt:variant>
      <vt:variant>
        <vt:i4>5</vt:i4>
      </vt:variant>
      <vt:variant>
        <vt:lpwstr>https://gcdocs.gc.ca/psc-cfp/llisapi.dll?func=ll&amp;objId=609690&amp;objAction=browse&amp;viewType=1</vt:lpwstr>
      </vt:variant>
      <vt:variant>
        <vt:lpwstr/>
      </vt:variant>
      <vt:variant>
        <vt:i4>6815863</vt:i4>
      </vt:variant>
      <vt:variant>
        <vt:i4>54</vt:i4>
      </vt:variant>
      <vt:variant>
        <vt:i4>0</vt:i4>
      </vt:variant>
      <vt:variant>
        <vt:i4>5</vt:i4>
      </vt:variant>
      <vt:variant>
        <vt:lpwstr/>
      </vt:variant>
      <vt:variant>
        <vt:lpwstr>AnnexC</vt:lpwstr>
      </vt:variant>
      <vt:variant>
        <vt:i4>6881399</vt:i4>
      </vt:variant>
      <vt:variant>
        <vt:i4>51</vt:i4>
      </vt:variant>
      <vt:variant>
        <vt:i4>0</vt:i4>
      </vt:variant>
      <vt:variant>
        <vt:i4>5</vt:i4>
      </vt:variant>
      <vt:variant>
        <vt:lpwstr/>
      </vt:variant>
      <vt:variant>
        <vt:lpwstr>AnnexB</vt:lpwstr>
      </vt:variant>
      <vt:variant>
        <vt:i4>6946935</vt:i4>
      </vt:variant>
      <vt:variant>
        <vt:i4>48</vt:i4>
      </vt:variant>
      <vt:variant>
        <vt:i4>0</vt:i4>
      </vt:variant>
      <vt:variant>
        <vt:i4>5</vt:i4>
      </vt:variant>
      <vt:variant>
        <vt:lpwstr/>
      </vt:variant>
      <vt:variant>
        <vt:lpwstr>AnnexA</vt:lpwstr>
      </vt:variant>
      <vt:variant>
        <vt:i4>4456465</vt:i4>
      </vt:variant>
      <vt:variant>
        <vt:i4>45</vt:i4>
      </vt:variant>
      <vt:variant>
        <vt:i4>0</vt:i4>
      </vt:variant>
      <vt:variant>
        <vt:i4>5</vt:i4>
      </vt:variant>
      <vt:variant>
        <vt:lpwstr>https://gcdocs.gc.ca/psc-cfp/llisapi.dll?func=ll&amp;objaction=overview&amp;objid=5667479</vt:lpwstr>
      </vt:variant>
      <vt:variant>
        <vt:lpwstr/>
      </vt:variant>
      <vt:variant>
        <vt:i4>3735673</vt:i4>
      </vt:variant>
      <vt:variant>
        <vt:i4>42</vt:i4>
      </vt:variant>
      <vt:variant>
        <vt:i4>0</vt:i4>
      </vt:variant>
      <vt:variant>
        <vt:i4>5</vt:i4>
      </vt:variant>
      <vt:variant>
        <vt:lpwstr>https://gcdocs.gc.ca/psc-cfp/llisapi.dll?func=ll&amp;objId=606735&amp;objAction=browse&amp;sort=name&amp;viewType=1</vt:lpwstr>
      </vt:variant>
      <vt:variant>
        <vt:lpwstr/>
      </vt:variant>
      <vt:variant>
        <vt:i4>3735673</vt:i4>
      </vt:variant>
      <vt:variant>
        <vt:i4>39</vt:i4>
      </vt:variant>
      <vt:variant>
        <vt:i4>0</vt:i4>
      </vt:variant>
      <vt:variant>
        <vt:i4>5</vt:i4>
      </vt:variant>
      <vt:variant>
        <vt:lpwstr>https://gcdocs.gc.ca/psc-cfp/llisapi.dll?func=ll&amp;objId=606735&amp;objAction=browse&amp;sort=name&amp;viewType=1</vt:lpwstr>
      </vt:variant>
      <vt:variant>
        <vt:lpwstr/>
      </vt:variant>
      <vt:variant>
        <vt:i4>3735673</vt:i4>
      </vt:variant>
      <vt:variant>
        <vt:i4>36</vt:i4>
      </vt:variant>
      <vt:variant>
        <vt:i4>0</vt:i4>
      </vt:variant>
      <vt:variant>
        <vt:i4>5</vt:i4>
      </vt:variant>
      <vt:variant>
        <vt:lpwstr>https://gcdocs.gc.ca/psc-cfp/llisapi.dll?func=ll&amp;objId=606735&amp;objAction=browse&amp;sort=name&amp;viewType=1</vt:lpwstr>
      </vt:variant>
      <vt:variant>
        <vt:lpwstr/>
      </vt:variant>
      <vt:variant>
        <vt:i4>1638489</vt:i4>
      </vt:variant>
      <vt:variant>
        <vt:i4>33</vt:i4>
      </vt:variant>
      <vt:variant>
        <vt:i4>0</vt:i4>
      </vt:variant>
      <vt:variant>
        <vt:i4>5</vt:i4>
      </vt:variant>
      <vt:variant>
        <vt:lpwstr>https://www.canada.ca/en/treasury-board-secretariat/services/planned-government-spending/reports-plans-priorities/2017-18-departmental-plan.html</vt:lpwstr>
      </vt:variant>
      <vt:variant>
        <vt:lpwstr/>
      </vt:variant>
      <vt:variant>
        <vt:i4>1638489</vt:i4>
      </vt:variant>
      <vt:variant>
        <vt:i4>30</vt:i4>
      </vt:variant>
      <vt:variant>
        <vt:i4>0</vt:i4>
      </vt:variant>
      <vt:variant>
        <vt:i4>5</vt:i4>
      </vt:variant>
      <vt:variant>
        <vt:lpwstr>https://www.canada.ca/en/treasury-board-secretariat/services/planned-government-spending/reports-plans-priorities/2017-18-departmental-plan.html</vt:lpwstr>
      </vt:variant>
      <vt:variant>
        <vt:lpwstr/>
      </vt:variant>
      <vt:variant>
        <vt:i4>4325395</vt:i4>
      </vt:variant>
      <vt:variant>
        <vt:i4>27</vt:i4>
      </vt:variant>
      <vt:variant>
        <vt:i4>0</vt:i4>
      </vt:variant>
      <vt:variant>
        <vt:i4>5</vt:i4>
      </vt:variant>
      <vt:variant>
        <vt:lpwstr>https://www.canada.ca/en/treasury-board-secretariat/services/departmental-performance-reports/list-institutions-2016-17-departmental-results-reports.html</vt:lpwstr>
      </vt:variant>
      <vt:variant>
        <vt:lpwstr/>
      </vt:variant>
      <vt:variant>
        <vt:i4>5505033</vt:i4>
      </vt:variant>
      <vt:variant>
        <vt:i4>24</vt:i4>
      </vt:variant>
      <vt:variant>
        <vt:i4>0</vt:i4>
      </vt:variant>
      <vt:variant>
        <vt:i4>5</vt:i4>
      </vt:variant>
      <vt:variant>
        <vt:lpwstr>https://www.canada.ca/en/privy-council/programs/appointments/senior-public-service/deputy-minister-champions.html</vt:lpwstr>
      </vt:variant>
      <vt:variant>
        <vt:lpwstr/>
      </vt:variant>
      <vt:variant>
        <vt:i4>262211</vt:i4>
      </vt:variant>
      <vt:variant>
        <vt:i4>20</vt:i4>
      </vt:variant>
      <vt:variant>
        <vt:i4>0</vt:i4>
      </vt:variant>
      <vt:variant>
        <vt:i4>5</vt:i4>
      </vt:variant>
      <vt:variant>
        <vt:lpwstr>https://gcdocs.gc.ca/psc-cfp/llisapi.dll?func=ll&amp;objId=609690&amp;objAction=browse&amp;viewType=1</vt:lpwstr>
      </vt:variant>
      <vt:variant>
        <vt:lpwstr/>
      </vt:variant>
      <vt:variant>
        <vt:i4>262211</vt:i4>
      </vt:variant>
      <vt:variant>
        <vt:i4>18</vt:i4>
      </vt:variant>
      <vt:variant>
        <vt:i4>0</vt:i4>
      </vt:variant>
      <vt:variant>
        <vt:i4>5</vt:i4>
      </vt:variant>
      <vt:variant>
        <vt:lpwstr>https://gcdocs.gc.ca/psc-cfp/llisapi.dll?func=ll&amp;objId=609690&amp;objAction=browse&amp;viewType=1</vt:lpwstr>
      </vt:variant>
      <vt:variant>
        <vt:lpwstr/>
      </vt:variant>
      <vt:variant>
        <vt:i4>5832704</vt:i4>
      </vt:variant>
      <vt:variant>
        <vt:i4>15</vt:i4>
      </vt:variant>
      <vt:variant>
        <vt:i4>0</vt:i4>
      </vt:variant>
      <vt:variant>
        <vt:i4>5</vt:i4>
      </vt:variant>
      <vt:variant>
        <vt:lpwstr>https://gcdocs.gc.ca/psc-cfp/llisapi.dll/link/6685840</vt:lpwstr>
      </vt:variant>
      <vt:variant>
        <vt:lpwstr/>
      </vt:variant>
      <vt:variant>
        <vt:i4>262211</vt:i4>
      </vt:variant>
      <vt:variant>
        <vt:i4>12</vt:i4>
      </vt:variant>
      <vt:variant>
        <vt:i4>0</vt:i4>
      </vt:variant>
      <vt:variant>
        <vt:i4>5</vt:i4>
      </vt:variant>
      <vt:variant>
        <vt:lpwstr>https://gcdocs.gc.ca/psc-cfp/llisapi.dll?func=ll&amp;objId=609690&amp;objAction=browse&amp;viewType=1</vt:lpwstr>
      </vt:variant>
      <vt:variant>
        <vt:lpwstr/>
      </vt:variant>
      <vt:variant>
        <vt:i4>262211</vt:i4>
      </vt:variant>
      <vt:variant>
        <vt:i4>9</vt:i4>
      </vt:variant>
      <vt:variant>
        <vt:i4>0</vt:i4>
      </vt:variant>
      <vt:variant>
        <vt:i4>5</vt:i4>
      </vt:variant>
      <vt:variant>
        <vt:lpwstr>https://gcdocs.gc.ca/psc-cfp/llisapi.dll?func=ll&amp;objId=609690&amp;objAction=browse&amp;viewType=1</vt:lpwstr>
      </vt:variant>
      <vt:variant>
        <vt:lpwstr/>
      </vt:variant>
      <vt:variant>
        <vt:i4>6881399</vt:i4>
      </vt:variant>
      <vt:variant>
        <vt:i4>6</vt:i4>
      </vt:variant>
      <vt:variant>
        <vt:i4>0</vt:i4>
      </vt:variant>
      <vt:variant>
        <vt:i4>5</vt:i4>
      </vt:variant>
      <vt:variant>
        <vt:lpwstr/>
      </vt:variant>
      <vt:variant>
        <vt:lpwstr>AnnexB</vt:lpwstr>
      </vt:variant>
      <vt:variant>
        <vt:i4>6946935</vt:i4>
      </vt:variant>
      <vt:variant>
        <vt:i4>3</vt:i4>
      </vt:variant>
      <vt:variant>
        <vt:i4>0</vt:i4>
      </vt:variant>
      <vt:variant>
        <vt:i4>5</vt:i4>
      </vt:variant>
      <vt:variant>
        <vt:lpwstr/>
      </vt:variant>
      <vt:variant>
        <vt:lpwstr>AnnexA</vt:lpwstr>
      </vt:variant>
      <vt:variant>
        <vt:i4>7012395</vt:i4>
      </vt:variant>
      <vt:variant>
        <vt:i4>0</vt:i4>
      </vt:variant>
      <vt:variant>
        <vt:i4>0</vt:i4>
      </vt:variant>
      <vt:variant>
        <vt:i4>5</vt:i4>
      </vt:variant>
      <vt:variant>
        <vt:lpwstr>https://gcdocs.gc.ca/psc-cfp/llisapi.dll?func=ll&amp;objId=606735&amp;objAction=browse&amp;viewType=1</vt:lpwstr>
      </vt:variant>
      <vt:variant>
        <vt:lpwstr>2_1__50_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publier sur le portail du gouvernement ouvert</dc:title>
  <dc:subject/>
  <dc:creator>smuscrof</dc:creator>
  <cp:keywords/>
  <dc:description/>
  <cp:lastModifiedBy>Snjezana Kulic</cp:lastModifiedBy>
  <cp:revision>2</cp:revision>
  <cp:lastPrinted>2019-11-29T12:54:00Z</cp:lastPrinted>
  <dcterms:created xsi:type="dcterms:W3CDTF">2020-02-21T22:16:00Z</dcterms:created>
  <dcterms:modified xsi:type="dcterms:W3CDTF">2020-02-21T22:16:00Z</dcterms:modified>
</cp:coreProperties>
</file>