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09" w:rsidRPr="004704F3" w:rsidRDefault="000C0C0D" w:rsidP="00E77CF1">
      <w:pPr>
        <w:pStyle w:val="Heading1"/>
        <w:rPr>
          <w:rFonts w:ascii="Arial" w:hAnsi="Arial" w:cs="Arial"/>
          <w:sz w:val="24"/>
          <w:szCs w:val="24"/>
        </w:rPr>
      </w:pPr>
      <w:r w:rsidRPr="004704F3">
        <w:rPr>
          <w:rFonts w:ascii="Arial" w:hAnsi="Arial" w:cs="Arial"/>
          <w:sz w:val="24"/>
          <w:szCs w:val="24"/>
        </w:rPr>
        <w:t>R</w:t>
      </w:r>
      <w:r w:rsidR="00D867D3" w:rsidRPr="004704F3">
        <w:rPr>
          <w:rFonts w:ascii="Arial" w:hAnsi="Arial" w:cs="Arial"/>
          <w:sz w:val="24"/>
          <w:szCs w:val="24"/>
        </w:rPr>
        <w:t xml:space="preserve">esults of 2017-2018 </w:t>
      </w:r>
      <w:r w:rsidR="00B14680">
        <w:rPr>
          <w:rFonts w:ascii="Arial" w:hAnsi="Arial" w:cs="Arial"/>
          <w:sz w:val="24"/>
          <w:szCs w:val="24"/>
        </w:rPr>
        <w:t>organizational reporting</w:t>
      </w:r>
      <w:r w:rsidR="00972759" w:rsidRPr="004704F3">
        <w:rPr>
          <w:rFonts w:ascii="Arial" w:hAnsi="Arial" w:cs="Arial"/>
          <w:sz w:val="24"/>
          <w:szCs w:val="24"/>
        </w:rPr>
        <w:t xml:space="preserve"> (ADAI</w:t>
      </w:r>
      <w:r w:rsidRPr="004704F3">
        <w:rPr>
          <w:rFonts w:ascii="Arial" w:hAnsi="Arial" w:cs="Arial"/>
          <w:sz w:val="24"/>
          <w:szCs w:val="24"/>
        </w:rPr>
        <w:t>-Annex D)</w:t>
      </w:r>
    </w:p>
    <w:p w:rsidR="00972759" w:rsidRPr="004704F3" w:rsidRDefault="00972759" w:rsidP="00E77CF1">
      <w:pPr>
        <w:rPr>
          <w:rFonts w:ascii="Arial" w:hAnsi="Arial" w:cs="Arial"/>
          <w:sz w:val="24"/>
          <w:szCs w:val="24"/>
        </w:rPr>
      </w:pPr>
    </w:p>
    <w:p w:rsidR="000C0C0D" w:rsidRPr="004704F3" w:rsidRDefault="000C0C0D" w:rsidP="00E77CF1">
      <w:pPr>
        <w:rPr>
          <w:rFonts w:ascii="Arial" w:hAnsi="Arial" w:cs="Arial"/>
          <w:sz w:val="24"/>
          <w:szCs w:val="24"/>
        </w:rPr>
      </w:pPr>
      <w:r w:rsidRPr="004704F3">
        <w:rPr>
          <w:rFonts w:ascii="Arial" w:hAnsi="Arial" w:cs="Arial"/>
          <w:sz w:val="24"/>
          <w:szCs w:val="24"/>
        </w:rPr>
        <w:t>November 20, 2018</w:t>
      </w:r>
    </w:p>
    <w:p w:rsidR="00972759" w:rsidRDefault="000C0C0D" w:rsidP="00972759">
      <w:pPr>
        <w:pStyle w:val="Heading1"/>
        <w:rPr>
          <w:rFonts w:ascii="Arial" w:hAnsi="Arial" w:cs="Arial"/>
          <w:sz w:val="24"/>
          <w:szCs w:val="24"/>
        </w:rPr>
      </w:pPr>
      <w:r w:rsidRPr="004704F3">
        <w:rPr>
          <w:rFonts w:ascii="Arial" w:hAnsi="Arial" w:cs="Arial"/>
          <w:sz w:val="24"/>
          <w:szCs w:val="24"/>
        </w:rPr>
        <w:t>Objectives</w:t>
      </w:r>
    </w:p>
    <w:p w:rsidR="004704F3" w:rsidRPr="004704F3" w:rsidRDefault="004704F3" w:rsidP="004704F3"/>
    <w:p w:rsidR="005B1C09" w:rsidRPr="004704F3" w:rsidRDefault="005B1C09" w:rsidP="00E77CF1">
      <w:pPr>
        <w:rPr>
          <w:rFonts w:ascii="Arial" w:hAnsi="Arial" w:cs="Arial"/>
          <w:sz w:val="24"/>
          <w:szCs w:val="24"/>
        </w:rPr>
      </w:pPr>
      <w:r w:rsidRPr="004704F3">
        <w:rPr>
          <w:rFonts w:ascii="Arial" w:hAnsi="Arial" w:cs="Arial"/>
          <w:sz w:val="24"/>
          <w:szCs w:val="24"/>
        </w:rPr>
        <w:t>To provide an overview of the organizational reporting results stemming from Annex D of the Appointment Delegation and Accountability Instrument (ADAI) for year 2 and convey early trend indicators (if any). This includes:</w:t>
      </w:r>
    </w:p>
    <w:p w:rsidR="00C417FF" w:rsidRPr="004704F3" w:rsidRDefault="00E36B95" w:rsidP="00E77CF1">
      <w:pPr>
        <w:rPr>
          <w:rFonts w:ascii="Arial" w:hAnsi="Arial" w:cs="Arial"/>
          <w:sz w:val="24"/>
          <w:szCs w:val="24"/>
        </w:rPr>
      </w:pPr>
      <w:r w:rsidRPr="004704F3">
        <w:rPr>
          <w:rFonts w:ascii="Arial" w:hAnsi="Arial" w:cs="Arial"/>
          <w:sz w:val="24"/>
          <w:szCs w:val="24"/>
        </w:rPr>
        <w:t>Results on exceptions to national area of selection approved by deputy heads (DH).</w:t>
      </w:r>
    </w:p>
    <w:p w:rsidR="00C417FF" w:rsidRPr="004704F3" w:rsidRDefault="00E36B95" w:rsidP="00E77CF1">
      <w:pPr>
        <w:rPr>
          <w:rFonts w:ascii="Arial" w:hAnsi="Arial" w:cs="Arial"/>
          <w:sz w:val="24"/>
          <w:szCs w:val="24"/>
        </w:rPr>
      </w:pPr>
      <w:r w:rsidRPr="004704F3">
        <w:rPr>
          <w:rFonts w:ascii="Arial" w:hAnsi="Arial" w:cs="Arial"/>
          <w:sz w:val="24"/>
          <w:szCs w:val="24"/>
        </w:rPr>
        <w:t xml:space="preserve">Results for internal investigations conducted by DH under subsection 15(3) of the </w:t>
      </w:r>
      <w:r w:rsidRPr="004704F3">
        <w:rPr>
          <w:rFonts w:ascii="Arial" w:hAnsi="Arial" w:cs="Arial"/>
          <w:i/>
          <w:iCs/>
          <w:sz w:val="24"/>
          <w:szCs w:val="24"/>
        </w:rPr>
        <w:t>Public Service Employment Act</w:t>
      </w:r>
      <w:r w:rsidRPr="004704F3">
        <w:rPr>
          <w:rFonts w:ascii="Arial" w:hAnsi="Arial" w:cs="Arial"/>
          <w:sz w:val="24"/>
          <w:szCs w:val="24"/>
        </w:rPr>
        <w:t xml:space="preserve"> (PSEA).</w:t>
      </w:r>
    </w:p>
    <w:p w:rsidR="00C417FF" w:rsidRPr="004704F3" w:rsidRDefault="00E36B95" w:rsidP="00E77CF1">
      <w:pPr>
        <w:rPr>
          <w:rFonts w:ascii="Arial" w:hAnsi="Arial" w:cs="Arial"/>
          <w:sz w:val="24"/>
          <w:szCs w:val="24"/>
        </w:rPr>
      </w:pPr>
      <w:r w:rsidRPr="004704F3">
        <w:rPr>
          <w:rFonts w:ascii="Arial" w:hAnsi="Arial" w:cs="Arial"/>
          <w:sz w:val="24"/>
          <w:szCs w:val="24"/>
        </w:rPr>
        <w:t xml:space="preserve">Use of the </w:t>
      </w:r>
      <w:r w:rsidRPr="004704F3">
        <w:rPr>
          <w:rFonts w:ascii="Arial" w:hAnsi="Arial" w:cs="Arial"/>
          <w:i/>
          <w:iCs/>
          <w:sz w:val="24"/>
          <w:szCs w:val="24"/>
        </w:rPr>
        <w:t xml:space="preserve">Public Service Official Languages Exclusion Approval Order </w:t>
      </w:r>
      <w:r w:rsidRPr="004704F3">
        <w:rPr>
          <w:rFonts w:ascii="Arial" w:hAnsi="Arial" w:cs="Arial"/>
          <w:sz w:val="24"/>
          <w:szCs w:val="24"/>
        </w:rPr>
        <w:t xml:space="preserve">(PSOLEAO) and the </w:t>
      </w:r>
      <w:r w:rsidRPr="004704F3">
        <w:rPr>
          <w:rFonts w:ascii="Arial" w:hAnsi="Arial" w:cs="Arial"/>
          <w:i/>
          <w:iCs/>
          <w:sz w:val="24"/>
          <w:szCs w:val="24"/>
        </w:rPr>
        <w:t xml:space="preserve">Public Service Official Languages Appointment Regulations </w:t>
      </w:r>
      <w:r w:rsidRPr="004704F3">
        <w:rPr>
          <w:rFonts w:ascii="Arial" w:hAnsi="Arial" w:cs="Arial"/>
          <w:sz w:val="24"/>
          <w:szCs w:val="24"/>
        </w:rPr>
        <w:t>(PSOLAR).</w:t>
      </w:r>
    </w:p>
    <w:p w:rsidR="00C417FF" w:rsidRPr="004704F3" w:rsidRDefault="00E36B95" w:rsidP="00E77CF1">
      <w:pPr>
        <w:rPr>
          <w:rFonts w:ascii="Arial" w:hAnsi="Arial" w:cs="Arial"/>
          <w:sz w:val="24"/>
          <w:szCs w:val="24"/>
        </w:rPr>
      </w:pPr>
      <w:r w:rsidRPr="004704F3">
        <w:rPr>
          <w:rFonts w:ascii="Arial" w:hAnsi="Arial" w:cs="Arial"/>
          <w:sz w:val="24"/>
          <w:szCs w:val="24"/>
        </w:rPr>
        <w:t>Results on the Public Service Commission (PSC) transition measure for second languages evaluation (SLE).</w:t>
      </w:r>
    </w:p>
    <w:p w:rsidR="00C417FF" w:rsidRPr="004704F3" w:rsidRDefault="00E36B95" w:rsidP="00E77CF1">
      <w:pPr>
        <w:rPr>
          <w:rFonts w:ascii="Arial" w:hAnsi="Arial" w:cs="Arial"/>
          <w:sz w:val="24"/>
          <w:szCs w:val="24"/>
        </w:rPr>
      </w:pPr>
      <w:r w:rsidRPr="004704F3">
        <w:rPr>
          <w:rFonts w:ascii="Arial" w:hAnsi="Arial" w:cs="Arial"/>
          <w:sz w:val="24"/>
          <w:szCs w:val="24"/>
        </w:rPr>
        <w:t>An update on cyclical assessment results received to date.</w:t>
      </w:r>
    </w:p>
    <w:p w:rsidR="00972759" w:rsidRDefault="005B1C09" w:rsidP="00972759">
      <w:pPr>
        <w:pStyle w:val="Heading1"/>
        <w:rPr>
          <w:rFonts w:ascii="Arial" w:hAnsi="Arial" w:cs="Arial"/>
          <w:sz w:val="24"/>
          <w:szCs w:val="24"/>
        </w:rPr>
      </w:pPr>
      <w:r w:rsidRPr="004704F3">
        <w:rPr>
          <w:rFonts w:ascii="Arial" w:hAnsi="Arial" w:cs="Arial"/>
          <w:sz w:val="24"/>
          <w:szCs w:val="24"/>
        </w:rPr>
        <w:t>Results for exceptions to N</w:t>
      </w:r>
      <w:r w:rsidR="00AA21F0">
        <w:rPr>
          <w:rFonts w:ascii="Arial" w:hAnsi="Arial" w:cs="Arial"/>
          <w:sz w:val="24"/>
          <w:szCs w:val="24"/>
        </w:rPr>
        <w:t>ational Area o</w:t>
      </w:r>
      <w:r w:rsidR="00DB1716" w:rsidRPr="004704F3">
        <w:rPr>
          <w:rFonts w:ascii="Arial" w:hAnsi="Arial" w:cs="Arial"/>
          <w:sz w:val="24"/>
          <w:szCs w:val="24"/>
        </w:rPr>
        <w:t>f Selection</w:t>
      </w:r>
      <w:r w:rsidRPr="004704F3">
        <w:rPr>
          <w:rFonts w:ascii="Arial" w:hAnsi="Arial" w:cs="Arial"/>
          <w:sz w:val="24"/>
          <w:szCs w:val="24"/>
        </w:rPr>
        <w:t xml:space="preserve"> (NAOS)</w:t>
      </w:r>
    </w:p>
    <w:p w:rsidR="004704F3" w:rsidRPr="004704F3" w:rsidRDefault="004704F3" w:rsidP="004704F3"/>
    <w:p w:rsidR="005B1C09" w:rsidRPr="004704F3" w:rsidRDefault="004704F3" w:rsidP="00E77CF1">
      <w:pPr>
        <w:pStyle w:val="Subtitle"/>
        <w:rPr>
          <w:rFonts w:ascii="Arial" w:hAnsi="Arial" w:cs="Arial"/>
          <w:sz w:val="24"/>
          <w:szCs w:val="24"/>
        </w:rPr>
      </w:pPr>
      <w:r>
        <w:rPr>
          <w:rFonts w:ascii="Arial" w:hAnsi="Arial" w:cs="Arial"/>
          <w:sz w:val="24"/>
          <w:szCs w:val="24"/>
        </w:rPr>
        <w:t>Context</w:t>
      </w:r>
    </w:p>
    <w:p w:rsidR="005B1C09" w:rsidRPr="004704F3" w:rsidRDefault="005B1C09" w:rsidP="00E77CF1">
      <w:pPr>
        <w:rPr>
          <w:rFonts w:ascii="Arial" w:hAnsi="Arial" w:cs="Arial"/>
          <w:sz w:val="24"/>
          <w:szCs w:val="24"/>
        </w:rPr>
      </w:pPr>
      <w:r w:rsidRPr="004704F3">
        <w:rPr>
          <w:rFonts w:ascii="Arial" w:hAnsi="Arial" w:cs="Arial"/>
          <w:sz w:val="24"/>
          <w:szCs w:val="24"/>
        </w:rPr>
        <w:t>In 2008, the PSC implemented an NAOS requirement for jobs open to the public, with a provision that deputy heads request an exception to this requirement from the PSC, on a case by case basis. Five requests were received from 2008 to March 2016, and all we</w:t>
      </w:r>
      <w:r w:rsidR="00A1659F">
        <w:rPr>
          <w:rFonts w:ascii="Arial" w:hAnsi="Arial" w:cs="Arial"/>
          <w:sz w:val="24"/>
          <w:szCs w:val="24"/>
        </w:rPr>
        <w:t>re approved.</w:t>
      </w:r>
    </w:p>
    <w:p w:rsidR="00A1659F" w:rsidRDefault="005B1C09" w:rsidP="00E77CF1">
      <w:pPr>
        <w:rPr>
          <w:rFonts w:ascii="Arial" w:hAnsi="Arial" w:cs="Arial"/>
          <w:sz w:val="24"/>
          <w:szCs w:val="24"/>
        </w:rPr>
      </w:pPr>
      <w:r w:rsidRPr="004704F3">
        <w:rPr>
          <w:rFonts w:ascii="Arial" w:hAnsi="Arial" w:cs="Arial"/>
          <w:sz w:val="24"/>
          <w:szCs w:val="24"/>
        </w:rPr>
        <w:t xml:space="preserve">In April 2016, the revised Appointment Policy maintained NAOS and gave DHs the authority to approve exceptions. The PSC therefore asked DHs to report annually on the use of this new </w:t>
      </w:r>
      <w:r w:rsidR="00DA7CAC">
        <w:rPr>
          <w:rFonts w:ascii="Arial" w:hAnsi="Arial" w:cs="Arial"/>
          <w:sz w:val="24"/>
          <w:szCs w:val="24"/>
        </w:rPr>
        <w:t>delegated authority</w:t>
      </w:r>
      <w:r w:rsidRPr="004704F3">
        <w:rPr>
          <w:rFonts w:ascii="Arial" w:hAnsi="Arial" w:cs="Arial"/>
          <w:sz w:val="24"/>
          <w:szCs w:val="24"/>
        </w:rPr>
        <w:t>.</w:t>
      </w:r>
    </w:p>
    <w:p w:rsidR="00A1659F" w:rsidRDefault="00A1659F" w:rsidP="00A1659F">
      <w:r>
        <w:br w:type="page"/>
      </w:r>
    </w:p>
    <w:tbl>
      <w:tblPr>
        <w:tblW w:w="0" w:type="auto"/>
        <w:tblCellMar>
          <w:left w:w="0" w:type="dxa"/>
          <w:right w:w="0" w:type="dxa"/>
        </w:tblCellMar>
        <w:tblLook w:val="0420" w:firstRow="1" w:lastRow="0" w:firstColumn="0" w:lastColumn="0" w:noHBand="0" w:noVBand="1"/>
      </w:tblPr>
      <w:tblGrid>
        <w:gridCol w:w="1928"/>
        <w:gridCol w:w="2199"/>
        <w:gridCol w:w="2594"/>
        <w:gridCol w:w="1899"/>
      </w:tblGrid>
      <w:tr w:rsidR="005B1C09" w:rsidRPr="004704F3" w:rsidTr="001B714B">
        <w:trPr>
          <w:trHeight w:val="747"/>
          <w:tblHeader/>
        </w:trPr>
        <w:tc>
          <w:tcPr>
            <w:tcW w:w="1928" w:type="dxa"/>
            <w:tcBorders>
              <w:top w:val="single" w:sz="8" w:space="0" w:color="3C3C3B"/>
              <w:left w:val="single" w:sz="8" w:space="0" w:color="3C3C3B"/>
              <w:bottom w:val="single" w:sz="8" w:space="0" w:color="3C3C3B"/>
              <w:right w:val="single" w:sz="8" w:space="0" w:color="3C3C3B"/>
            </w:tcBorders>
            <w:shd w:val="clear" w:color="auto" w:fill="43B19E"/>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b/>
                <w:bCs/>
                <w:sz w:val="24"/>
                <w:szCs w:val="24"/>
              </w:rPr>
              <w:lastRenderedPageBreak/>
              <w:t>Year</w:t>
            </w:r>
          </w:p>
        </w:tc>
        <w:tc>
          <w:tcPr>
            <w:tcW w:w="2199" w:type="dxa"/>
            <w:tcBorders>
              <w:top w:val="single" w:sz="8" w:space="0" w:color="3C3C3B"/>
              <w:left w:val="single" w:sz="8" w:space="0" w:color="3C3C3B"/>
              <w:bottom w:val="single" w:sz="8" w:space="0" w:color="3C3C3B"/>
              <w:right w:val="single" w:sz="8" w:space="0" w:color="3C3C3B"/>
            </w:tcBorders>
            <w:shd w:val="clear" w:color="auto" w:fill="43B19E"/>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b/>
                <w:bCs/>
                <w:sz w:val="24"/>
                <w:szCs w:val="24"/>
              </w:rPr>
              <w:t># Exceptions</w:t>
            </w:r>
          </w:p>
          <w:p w:rsidR="005B1C09" w:rsidRPr="004704F3" w:rsidRDefault="005B1C09" w:rsidP="005B1C09">
            <w:pPr>
              <w:rPr>
                <w:rFonts w:ascii="Arial" w:hAnsi="Arial" w:cs="Arial"/>
                <w:sz w:val="24"/>
                <w:szCs w:val="24"/>
              </w:rPr>
            </w:pPr>
            <w:r w:rsidRPr="004704F3">
              <w:rPr>
                <w:rFonts w:ascii="Arial" w:hAnsi="Arial" w:cs="Arial"/>
                <w:b/>
                <w:bCs/>
                <w:sz w:val="24"/>
                <w:szCs w:val="24"/>
              </w:rPr>
              <w:t>(Processes)</w:t>
            </w:r>
          </w:p>
        </w:tc>
        <w:tc>
          <w:tcPr>
            <w:tcW w:w="2594" w:type="dxa"/>
            <w:tcBorders>
              <w:top w:val="single" w:sz="8" w:space="0" w:color="3C3C3B"/>
              <w:left w:val="single" w:sz="8" w:space="0" w:color="3C3C3B"/>
              <w:bottom w:val="single" w:sz="8" w:space="0" w:color="3C3C3B"/>
              <w:right w:val="single" w:sz="8" w:space="0" w:color="3C3C3B"/>
            </w:tcBorders>
            <w:shd w:val="clear" w:color="auto" w:fill="43B19E"/>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b/>
                <w:bCs/>
                <w:sz w:val="24"/>
                <w:szCs w:val="24"/>
              </w:rPr>
              <w:t># Appointments</w:t>
            </w:r>
          </w:p>
        </w:tc>
        <w:tc>
          <w:tcPr>
            <w:tcW w:w="1899" w:type="dxa"/>
            <w:tcBorders>
              <w:top w:val="single" w:sz="8" w:space="0" w:color="3C3C3B"/>
              <w:left w:val="single" w:sz="8" w:space="0" w:color="3C3C3B"/>
              <w:bottom w:val="single" w:sz="8" w:space="0" w:color="3C3C3B"/>
              <w:right w:val="single" w:sz="8" w:space="0" w:color="3C3C3B"/>
            </w:tcBorders>
            <w:shd w:val="clear" w:color="auto" w:fill="43B19E"/>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b/>
                <w:bCs/>
                <w:sz w:val="24"/>
                <w:szCs w:val="24"/>
              </w:rPr>
              <w:t># Orgs</w:t>
            </w:r>
          </w:p>
        </w:tc>
      </w:tr>
      <w:tr w:rsidR="005B1C09" w:rsidRPr="004704F3" w:rsidTr="001B714B">
        <w:trPr>
          <w:trHeight w:val="654"/>
        </w:trPr>
        <w:tc>
          <w:tcPr>
            <w:tcW w:w="1928"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2016-17</w:t>
            </w:r>
          </w:p>
        </w:tc>
        <w:tc>
          <w:tcPr>
            <w:tcW w:w="2199"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17</w:t>
            </w:r>
          </w:p>
        </w:tc>
        <w:tc>
          <w:tcPr>
            <w:tcW w:w="2594"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*49</w:t>
            </w:r>
          </w:p>
        </w:tc>
        <w:tc>
          <w:tcPr>
            <w:tcW w:w="1899"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8</w:t>
            </w:r>
          </w:p>
        </w:tc>
      </w:tr>
      <w:tr w:rsidR="005B1C09" w:rsidRPr="004704F3" w:rsidTr="001B714B">
        <w:trPr>
          <w:trHeight w:val="618"/>
        </w:trPr>
        <w:tc>
          <w:tcPr>
            <w:tcW w:w="1928"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2017-18</w:t>
            </w:r>
          </w:p>
        </w:tc>
        <w:tc>
          <w:tcPr>
            <w:tcW w:w="2199"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43</w:t>
            </w:r>
          </w:p>
        </w:tc>
        <w:tc>
          <w:tcPr>
            <w:tcW w:w="2594"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17</w:t>
            </w:r>
          </w:p>
        </w:tc>
        <w:tc>
          <w:tcPr>
            <w:tcW w:w="1899"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hideMark/>
          </w:tcPr>
          <w:p w:rsidR="005B1C09" w:rsidRPr="004704F3" w:rsidRDefault="005B1C09" w:rsidP="005B1C09">
            <w:pPr>
              <w:rPr>
                <w:rFonts w:ascii="Arial" w:hAnsi="Arial" w:cs="Arial"/>
                <w:sz w:val="24"/>
                <w:szCs w:val="24"/>
              </w:rPr>
            </w:pPr>
            <w:r w:rsidRPr="004704F3">
              <w:rPr>
                <w:rFonts w:ascii="Arial" w:hAnsi="Arial" w:cs="Arial"/>
                <w:sz w:val="24"/>
                <w:szCs w:val="24"/>
              </w:rPr>
              <w:t>6</w:t>
            </w:r>
          </w:p>
        </w:tc>
      </w:tr>
      <w:tr w:rsidR="00A1659F" w:rsidRPr="004704F3" w:rsidTr="001B714B">
        <w:trPr>
          <w:trHeight w:val="618"/>
        </w:trPr>
        <w:tc>
          <w:tcPr>
            <w:tcW w:w="1928"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tcPr>
          <w:p w:rsidR="00A1659F" w:rsidRPr="004704F3" w:rsidRDefault="00A1659F" w:rsidP="005B1C09">
            <w:pPr>
              <w:rPr>
                <w:rFonts w:ascii="Arial" w:hAnsi="Arial" w:cs="Arial"/>
                <w:sz w:val="24"/>
                <w:szCs w:val="24"/>
              </w:rPr>
            </w:pPr>
          </w:p>
        </w:tc>
        <w:tc>
          <w:tcPr>
            <w:tcW w:w="2199"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tcPr>
          <w:p w:rsidR="00A1659F" w:rsidRPr="004704F3" w:rsidRDefault="00A1659F" w:rsidP="005B1C09">
            <w:pPr>
              <w:rPr>
                <w:rFonts w:ascii="Arial" w:hAnsi="Arial" w:cs="Arial"/>
                <w:sz w:val="24"/>
                <w:szCs w:val="24"/>
              </w:rPr>
            </w:pPr>
          </w:p>
        </w:tc>
        <w:tc>
          <w:tcPr>
            <w:tcW w:w="2594"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tcPr>
          <w:p w:rsidR="00A1659F" w:rsidRPr="004704F3" w:rsidRDefault="00A1659F" w:rsidP="005B1C09">
            <w:pPr>
              <w:rPr>
                <w:rFonts w:ascii="Arial" w:hAnsi="Arial" w:cs="Arial"/>
                <w:sz w:val="24"/>
                <w:szCs w:val="24"/>
              </w:rPr>
            </w:pPr>
          </w:p>
        </w:tc>
        <w:tc>
          <w:tcPr>
            <w:tcW w:w="1899" w:type="dxa"/>
            <w:tcBorders>
              <w:top w:val="single" w:sz="8" w:space="0" w:color="3C3C3B"/>
              <w:left w:val="single" w:sz="8" w:space="0" w:color="3C3C3B"/>
              <w:bottom w:val="single" w:sz="8" w:space="0" w:color="3C3C3B"/>
              <w:right w:val="single" w:sz="8" w:space="0" w:color="3C3C3B"/>
            </w:tcBorders>
            <w:shd w:val="clear" w:color="auto" w:fill="FFFFFF"/>
            <w:tcMar>
              <w:top w:w="96" w:type="dxa"/>
              <w:left w:w="192" w:type="dxa"/>
              <w:bottom w:w="96" w:type="dxa"/>
              <w:right w:w="192" w:type="dxa"/>
            </w:tcMar>
          </w:tcPr>
          <w:p w:rsidR="00A1659F" w:rsidRPr="004704F3" w:rsidRDefault="00A1659F" w:rsidP="005B1C09">
            <w:pPr>
              <w:rPr>
                <w:rFonts w:ascii="Arial" w:hAnsi="Arial" w:cs="Arial"/>
                <w:sz w:val="24"/>
                <w:szCs w:val="24"/>
              </w:rPr>
            </w:pPr>
          </w:p>
        </w:tc>
      </w:tr>
    </w:tbl>
    <w:p w:rsidR="005B1C09" w:rsidRPr="004704F3" w:rsidRDefault="005B1C09">
      <w:pPr>
        <w:rPr>
          <w:rFonts w:ascii="Arial" w:hAnsi="Arial" w:cs="Arial"/>
          <w:sz w:val="24"/>
          <w:szCs w:val="24"/>
        </w:rPr>
      </w:pPr>
      <w:r w:rsidRPr="004704F3">
        <w:rPr>
          <w:rFonts w:ascii="Arial" w:hAnsi="Arial" w:cs="Arial"/>
          <w:noProof/>
          <w:sz w:val="24"/>
          <w:szCs w:val="24"/>
          <w:lang w:eastAsia="en-CA"/>
        </w:rPr>
        <mc:AlternateContent>
          <mc:Choice Requires="wps">
            <w:drawing>
              <wp:inline distT="0" distB="0" distL="0" distR="0">
                <wp:extent cx="5553075" cy="253365"/>
                <wp:effectExtent l="0" t="0" r="9525" b="0"/>
                <wp:docPr id="9" name="TextBox 8"/>
                <wp:cNvGraphicFramePr/>
                <a:graphic xmlns:a="http://schemas.openxmlformats.org/drawingml/2006/main">
                  <a:graphicData uri="http://schemas.microsoft.com/office/word/2010/wordprocessingShape">
                    <wps:wsp>
                      <wps:cNvSpPr txBox="1"/>
                      <wps:spPr>
                        <a:xfrm>
                          <a:off x="0" y="0"/>
                          <a:ext cx="5553075" cy="253365"/>
                        </a:xfrm>
                        <a:prstGeom prst="rect">
                          <a:avLst/>
                        </a:prstGeom>
                        <a:solidFill>
                          <a:schemeClr val="accent3">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rsidR="005B1C09" w:rsidRDefault="005B1C09" w:rsidP="005B1C09">
                            <w:pPr>
                              <w:pStyle w:val="NormalWeb"/>
                              <w:spacing w:before="0" w:beforeAutospacing="0" w:after="0" w:afterAutospacing="0"/>
                            </w:pPr>
                            <w:r>
                              <w:rPr>
                                <w:rFonts w:asciiTheme="minorHAnsi" w:hAnsi="Calibri" w:cstheme="minorBidi"/>
                                <w:color w:val="000000" w:themeColor="dark1"/>
                                <w:kern w:val="24"/>
                                <w:sz w:val="21"/>
                                <w:szCs w:val="21"/>
                              </w:rPr>
                              <w:t>* Of 49 appointments, 31 were reported in 2017-18 for exceptions approved in 2016-17</w:t>
                            </w:r>
                          </w:p>
                        </w:txbxContent>
                      </wps:txbx>
                      <wps:bodyPr wrap="square">
                        <a:spAutoFit/>
                      </wps:bodyPr>
                    </wps:wsp>
                  </a:graphicData>
                </a:graphic>
              </wp:inline>
            </w:drawing>
          </mc:Choice>
          <mc:Fallback>
            <w:pict>
              <v:shapetype id="_x0000_t202" coordsize="21600,21600" o:spt="202" path="m,l,21600r21600,l21600,xe">
                <v:stroke joinstyle="miter"/>
                <v:path gradientshapeok="t" o:connecttype="rect"/>
              </v:shapetype>
              <v:shape id="TextBox 8" o:spid="_x0000_s1026" type="#_x0000_t202" style="width:437.2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" fillcolor="#ededed [662]" stroked="f" strokeweight="1pt">
                <v:textbox style="mso-fit-shape-to-text:t">
                  <w:txbxContent>
                    <w:p w:rsidR="005B1C09" w:rsidRDefault="005B1C09" w:rsidP="005B1C09">
                      <w:pPr>
                        <w:pStyle w:val="NormalWeb"/>
                        <w:spacing w:before="0" w:beforeAutospacing="0" w:after="0" w:afterAutospacing="0"/>
                      </w:pPr>
                      <w:r>
                        <w:rPr>
                          <w:rFonts w:asciiTheme="minorHAnsi" w:hAnsi="Calibri" w:cstheme="minorBidi"/>
                          <w:color w:val="000000" w:themeColor="dark1"/>
                          <w:kern w:val="24"/>
                          <w:sz w:val="21"/>
                          <w:szCs w:val="21"/>
                        </w:rPr>
                        <w:t>* Of 49 appointments, 31 were reported in 2017-18 for exceptions approved in 2016-17</w:t>
                      </w:r>
                    </w:p>
                  </w:txbxContent>
                </v:textbox>
                <w10:anchorlock/>
              </v:shape>
            </w:pict>
          </mc:Fallback>
        </mc:AlternateContent>
      </w:r>
    </w:p>
    <w:p w:rsidR="005B1C09" w:rsidRPr="004704F3" w:rsidRDefault="005B1C09">
      <w:pPr>
        <w:rPr>
          <w:rFonts w:ascii="Arial" w:hAnsi="Arial" w:cs="Arial"/>
          <w:sz w:val="24"/>
          <w:szCs w:val="24"/>
        </w:rPr>
      </w:pPr>
    </w:p>
    <w:p w:rsidR="00B14680" w:rsidRDefault="005B1C09" w:rsidP="00E77CF1">
      <w:pPr>
        <w:rPr>
          <w:rFonts w:ascii="Arial" w:hAnsi="Arial" w:cs="Arial"/>
          <w:sz w:val="24"/>
          <w:szCs w:val="24"/>
        </w:rPr>
      </w:pPr>
      <w:r w:rsidRPr="004704F3">
        <w:rPr>
          <w:rFonts w:ascii="Arial" w:hAnsi="Arial" w:cs="Arial"/>
          <w:sz w:val="24"/>
          <w:szCs w:val="24"/>
        </w:rPr>
        <w:t xml:space="preserve">In 2017-18, DH exceptions to NAOS accounted for </w:t>
      </w:r>
      <w:r w:rsidRPr="004704F3">
        <w:rPr>
          <w:rFonts w:ascii="Arial" w:hAnsi="Arial" w:cs="Arial"/>
          <w:b/>
          <w:bCs/>
          <w:sz w:val="24"/>
          <w:szCs w:val="24"/>
        </w:rPr>
        <w:t>1.5%</w:t>
      </w:r>
      <w:r w:rsidRPr="004704F3">
        <w:rPr>
          <w:rFonts w:ascii="Arial" w:hAnsi="Arial" w:cs="Arial"/>
          <w:sz w:val="24"/>
          <w:szCs w:val="24"/>
        </w:rPr>
        <w:t xml:space="preserve"> of all external advertised processes (43/2801).</w:t>
      </w:r>
    </w:p>
    <w:p w:rsidR="000558D1" w:rsidRPr="004704F3" w:rsidRDefault="000558D1" w:rsidP="00E77CF1">
      <w:pPr>
        <w:rPr>
          <w:rFonts w:ascii="Arial" w:hAnsi="Arial" w:cs="Arial"/>
          <w:sz w:val="24"/>
          <w:szCs w:val="24"/>
        </w:rPr>
      </w:pPr>
    </w:p>
    <w:p w:rsidR="004E7636" w:rsidRDefault="00846336" w:rsidP="00E77CF1">
      <w:pPr>
        <w:pStyle w:val="Subtitle"/>
        <w:rPr>
          <w:rFonts w:ascii="Arial" w:hAnsi="Arial" w:cs="Arial"/>
          <w:sz w:val="24"/>
          <w:szCs w:val="24"/>
        </w:rPr>
      </w:pPr>
      <w:r>
        <w:rPr>
          <w:rFonts w:ascii="Arial" w:hAnsi="Arial" w:cs="Arial"/>
          <w:sz w:val="24"/>
          <w:szCs w:val="24"/>
        </w:rPr>
        <w:t>Observations</w:t>
      </w:r>
    </w:p>
    <w:p w:rsidR="00AE01ED" w:rsidRPr="00AE01ED" w:rsidRDefault="00AE01ED" w:rsidP="00AE01ED">
      <w:pPr>
        <w:rPr>
          <w:rFonts w:ascii="Arial" w:hAnsi="Arial" w:cs="Arial"/>
          <w:sz w:val="24"/>
          <w:szCs w:val="24"/>
        </w:rPr>
      </w:pPr>
      <w:r w:rsidRPr="00AE01ED">
        <w:rPr>
          <w:rFonts w:ascii="Arial" w:hAnsi="Arial" w:cs="Arial"/>
          <w:sz w:val="24"/>
          <w:szCs w:val="24"/>
        </w:rPr>
        <w:t>Location</w:t>
      </w:r>
    </w:p>
    <w:p w:rsidR="005B1C09" w:rsidRDefault="004E7636" w:rsidP="00E77CF1">
      <w:pPr>
        <w:pStyle w:val="Subtitle"/>
        <w:rPr>
          <w:rFonts w:ascii="Arial" w:hAnsi="Arial" w:cs="Arial"/>
          <w:sz w:val="24"/>
          <w:szCs w:val="24"/>
        </w:rPr>
      </w:pPr>
      <w:r w:rsidRPr="004704F3">
        <w:rPr>
          <w:rFonts w:ascii="Arial" w:hAnsi="Arial" w:cs="Arial"/>
          <w:noProof/>
          <w:color w:val="538135" w:themeColor="accent6" w:themeShade="BF"/>
          <w:sz w:val="24"/>
          <w:szCs w:val="24"/>
          <w:lang w:eastAsia="en-CA"/>
        </w:rPr>
        <w:drawing>
          <wp:inline distT="0" distB="0" distL="0" distR="0" wp14:anchorId="566D77F3" wp14:editId="409F9419">
            <wp:extent cx="1895475" cy="2247900"/>
            <wp:effectExtent l="0" t="0" r="9525" b="0"/>
            <wp:docPr id="1" name="Graphique 1" descr="This graph indicates that 72% of the NAOS exceptions requested by the DHs come from the regions and 28% come from the headquarters." title="Locaton percentage resul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E01ED" w:rsidRPr="001B714B" w:rsidRDefault="001B714B">
      <w:pPr>
        <w:rPr>
          <w:rFonts w:ascii="Arial" w:hAnsi="Arial" w:cs="Arial"/>
        </w:rPr>
      </w:pPr>
      <w:r w:rsidRPr="001B714B">
        <w:rPr>
          <w:rFonts w:ascii="Arial" w:hAnsi="Arial" w:cs="Arial"/>
        </w:rPr>
        <w:t>This graph indicates that 72% of the NAOS exceptions requested by the DHs come from the regions and 28% come from the headquarters.</w:t>
      </w:r>
      <w:r w:rsidR="00AE01ED" w:rsidRPr="001B714B">
        <w:rPr>
          <w:rFonts w:ascii="Arial" w:hAnsi="Arial" w:cs="Arial"/>
        </w:rPr>
        <w:br w:type="page"/>
      </w:r>
    </w:p>
    <w:p w:rsidR="00AE01ED" w:rsidRPr="00AE01ED" w:rsidRDefault="00AE01ED" w:rsidP="00AE01ED">
      <w:pPr>
        <w:rPr>
          <w:rFonts w:ascii="Arial" w:hAnsi="Arial" w:cs="Arial"/>
          <w:sz w:val="24"/>
          <w:szCs w:val="24"/>
        </w:rPr>
      </w:pPr>
      <w:r w:rsidRPr="00AE01ED">
        <w:rPr>
          <w:rFonts w:ascii="Arial" w:hAnsi="Arial" w:cs="Arial"/>
          <w:b/>
          <w:bCs/>
          <w:sz w:val="24"/>
          <w:szCs w:val="24"/>
          <w:lang w:val="en-US"/>
        </w:rPr>
        <w:lastRenderedPageBreak/>
        <w:t>Type of position</w:t>
      </w:r>
    </w:p>
    <w:p w:rsidR="005B1C09" w:rsidRPr="004704F3" w:rsidRDefault="005B1C09">
      <w:pPr>
        <w:rPr>
          <w:rFonts w:ascii="Arial" w:hAnsi="Arial" w:cs="Arial"/>
          <w:color w:val="538135" w:themeColor="accent6" w:themeShade="BF"/>
          <w:sz w:val="24"/>
          <w:szCs w:val="24"/>
        </w:rPr>
      </w:pPr>
      <w:r w:rsidRPr="004704F3">
        <w:rPr>
          <w:rFonts w:ascii="Arial" w:hAnsi="Arial" w:cs="Arial"/>
          <w:noProof/>
          <w:color w:val="538135" w:themeColor="accent6" w:themeShade="BF"/>
          <w:sz w:val="24"/>
          <w:szCs w:val="24"/>
          <w:lang w:eastAsia="en-CA"/>
        </w:rPr>
        <w:drawing>
          <wp:inline distT="0" distB="0" distL="0" distR="0" wp14:anchorId="49F34D88" wp14:editId="067685ED">
            <wp:extent cx="3600450" cy="3086100"/>
            <wp:effectExtent l="0" t="0" r="0" b="0"/>
            <wp:docPr id="2" name="Graphique 2" descr="This graph indicates that 58% of requests for exceptions to the NAOS requirement are from the Royal Canadian Mounted Police and 12% are from other departments. Regarding the type of position related to the requests received, 70% represent CR-04, CR-05, PO-01 and CS-01 levels and from other departments, 30% of requests received represent other types of positions." title="Type of posi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4680" w:rsidRPr="00B14680" w:rsidRDefault="00B14680" w:rsidP="00B14680">
      <w:pPr>
        <w:pStyle w:val="NormalWeb"/>
        <w:spacing w:before="0" w:beforeAutospacing="0" w:after="0" w:afterAutospacing="0"/>
        <w:rPr>
          <w:rFonts w:ascii="Arial" w:hAnsi="Arial" w:cs="Arial"/>
        </w:rPr>
      </w:pPr>
      <w:r w:rsidRPr="00B14680">
        <w:rPr>
          <w:rFonts w:ascii="Arial" w:hAnsi="Arial" w:cs="Arial"/>
          <w:color w:val="000000" w:themeColor="text1"/>
          <w:kern w:val="24"/>
        </w:rPr>
        <w:t>Rationales included: sufficient pool of candidates (indicated for 10 exceptions), urgency, business needs and operational requirements (e.g. G7 summit in June 2018, staffing positions in the north and rural areas)</w:t>
      </w:r>
    </w:p>
    <w:p w:rsidR="00AE209A" w:rsidRPr="004704F3" w:rsidRDefault="00AE209A">
      <w:pPr>
        <w:rPr>
          <w:rFonts w:ascii="Arial" w:hAnsi="Arial" w:cs="Arial"/>
          <w:color w:val="538135" w:themeColor="accent6" w:themeShade="BF"/>
          <w:sz w:val="24"/>
          <w:szCs w:val="24"/>
        </w:rPr>
      </w:pPr>
    </w:p>
    <w:p w:rsidR="00AE209A" w:rsidRPr="004704F3" w:rsidRDefault="00AE209A" w:rsidP="00E77CF1">
      <w:pPr>
        <w:pStyle w:val="Subtitle"/>
        <w:rPr>
          <w:rFonts w:ascii="Arial" w:hAnsi="Arial" w:cs="Arial"/>
          <w:sz w:val="24"/>
          <w:szCs w:val="24"/>
        </w:rPr>
      </w:pPr>
      <w:r w:rsidRPr="004704F3">
        <w:rPr>
          <w:rFonts w:ascii="Arial" w:hAnsi="Arial" w:cs="Arial"/>
          <w:sz w:val="24"/>
          <w:szCs w:val="24"/>
        </w:rPr>
        <w:t>R</w:t>
      </w:r>
      <w:r w:rsidR="00846336">
        <w:rPr>
          <w:rFonts w:ascii="Arial" w:hAnsi="Arial" w:cs="Arial"/>
          <w:sz w:val="24"/>
          <w:szCs w:val="24"/>
        </w:rPr>
        <w:t>ecommendation</w:t>
      </w:r>
    </w:p>
    <w:p w:rsidR="00AE209A" w:rsidRDefault="00CF1A35" w:rsidP="00AE209A">
      <w:pPr>
        <w:rPr>
          <w:rFonts w:ascii="Arial" w:hAnsi="Arial" w:cs="Arial"/>
          <w:sz w:val="24"/>
          <w:szCs w:val="24"/>
        </w:rPr>
      </w:pPr>
      <w:r>
        <w:rPr>
          <w:rFonts w:ascii="Arial" w:hAnsi="Arial" w:cs="Arial"/>
          <w:sz w:val="24"/>
          <w:szCs w:val="24"/>
        </w:rPr>
        <w:t>Policy Division (PD) of the PSC to c</w:t>
      </w:r>
      <w:r w:rsidR="00AE209A" w:rsidRPr="004704F3">
        <w:rPr>
          <w:rFonts w:ascii="Arial" w:hAnsi="Arial" w:cs="Arial"/>
          <w:sz w:val="24"/>
          <w:szCs w:val="24"/>
        </w:rPr>
        <w:t>ontinue to gather information about the appointments and the various factors contributing to the exceptions, and examine the data to provide insight and gain knowledge about other emerging issues.</w:t>
      </w:r>
    </w:p>
    <w:p w:rsidR="00972759" w:rsidRDefault="00AE209A" w:rsidP="00972759">
      <w:pPr>
        <w:pStyle w:val="Heading1"/>
        <w:rPr>
          <w:rFonts w:ascii="Arial" w:hAnsi="Arial" w:cs="Arial"/>
          <w:sz w:val="24"/>
          <w:szCs w:val="24"/>
        </w:rPr>
      </w:pPr>
      <w:r w:rsidRPr="004704F3">
        <w:rPr>
          <w:rFonts w:ascii="Arial" w:hAnsi="Arial" w:cs="Arial"/>
          <w:sz w:val="24"/>
          <w:szCs w:val="24"/>
        </w:rPr>
        <w:t>Results of internal investigations</w:t>
      </w:r>
    </w:p>
    <w:p w:rsidR="00846336" w:rsidRPr="00846336" w:rsidRDefault="00846336" w:rsidP="00846336"/>
    <w:p w:rsidR="00AE209A" w:rsidRPr="004704F3" w:rsidRDefault="00AE209A" w:rsidP="00E77CF1">
      <w:pPr>
        <w:pStyle w:val="Subtitle"/>
        <w:rPr>
          <w:rFonts w:ascii="Arial" w:hAnsi="Arial" w:cs="Arial"/>
          <w:sz w:val="24"/>
          <w:szCs w:val="24"/>
        </w:rPr>
      </w:pPr>
      <w:r w:rsidRPr="004704F3">
        <w:rPr>
          <w:rFonts w:ascii="Arial" w:hAnsi="Arial" w:cs="Arial"/>
          <w:sz w:val="24"/>
          <w:szCs w:val="24"/>
        </w:rPr>
        <w:t>C</w:t>
      </w:r>
      <w:r w:rsidR="00846336">
        <w:rPr>
          <w:rFonts w:ascii="Arial" w:hAnsi="Arial" w:cs="Arial"/>
          <w:sz w:val="24"/>
          <w:szCs w:val="24"/>
        </w:rPr>
        <w:t>ontext</w:t>
      </w:r>
    </w:p>
    <w:p w:rsidR="00C417FF" w:rsidRDefault="00E36B95" w:rsidP="00E77CF1">
      <w:pPr>
        <w:rPr>
          <w:rFonts w:ascii="Arial" w:hAnsi="Arial" w:cs="Arial"/>
          <w:sz w:val="24"/>
          <w:szCs w:val="24"/>
        </w:rPr>
      </w:pPr>
      <w:r w:rsidRPr="004704F3">
        <w:rPr>
          <w:rFonts w:ascii="Arial" w:hAnsi="Arial" w:cs="Arial"/>
          <w:sz w:val="24"/>
          <w:szCs w:val="24"/>
        </w:rPr>
        <w:t>Since the new ADAI came into effect, deputy heads must report to the PSC the results of any internal investigation undertaken during the fiscal year.</w:t>
      </w:r>
    </w:p>
    <w:p w:rsidR="00B14680" w:rsidRPr="004704F3" w:rsidRDefault="00B14680" w:rsidP="00E77CF1">
      <w:pPr>
        <w:rPr>
          <w:rFonts w:ascii="Arial" w:hAnsi="Arial" w:cs="Arial"/>
          <w:sz w:val="24"/>
          <w:szCs w:val="24"/>
        </w:rPr>
      </w:pPr>
    </w:p>
    <w:p w:rsidR="00AE209A" w:rsidRPr="004704F3" w:rsidRDefault="00AE209A" w:rsidP="00E77CF1">
      <w:pPr>
        <w:pStyle w:val="Subtitle"/>
        <w:rPr>
          <w:rFonts w:ascii="Arial" w:hAnsi="Arial" w:cs="Arial"/>
          <w:sz w:val="24"/>
          <w:szCs w:val="24"/>
        </w:rPr>
      </w:pPr>
      <w:r w:rsidRPr="004704F3">
        <w:rPr>
          <w:rFonts w:ascii="Arial" w:hAnsi="Arial" w:cs="Arial"/>
          <w:sz w:val="24"/>
          <w:szCs w:val="24"/>
        </w:rPr>
        <w:t>O</w:t>
      </w:r>
      <w:r w:rsidR="00846336">
        <w:rPr>
          <w:rFonts w:ascii="Arial" w:hAnsi="Arial" w:cs="Arial"/>
          <w:sz w:val="24"/>
          <w:szCs w:val="24"/>
        </w:rPr>
        <w:t>bservations</w:t>
      </w:r>
    </w:p>
    <w:p w:rsidR="00C417FF" w:rsidRPr="004704F3" w:rsidRDefault="00E36B95" w:rsidP="00E77CF1">
      <w:pPr>
        <w:rPr>
          <w:rFonts w:ascii="Arial" w:hAnsi="Arial" w:cs="Arial"/>
          <w:sz w:val="24"/>
          <w:szCs w:val="24"/>
        </w:rPr>
      </w:pPr>
      <w:r w:rsidRPr="004704F3">
        <w:rPr>
          <w:rFonts w:ascii="Arial" w:hAnsi="Arial" w:cs="Arial"/>
          <w:sz w:val="24"/>
          <w:szCs w:val="24"/>
        </w:rPr>
        <w:t>Fisheries and Oceans Canada and Infrastructure Canada are the only organizations that reported conducting internal investigations under subsect</w:t>
      </w:r>
      <w:r w:rsidR="00A1659F">
        <w:rPr>
          <w:rFonts w:ascii="Arial" w:hAnsi="Arial" w:cs="Arial"/>
          <w:sz w:val="24"/>
          <w:szCs w:val="24"/>
        </w:rPr>
        <w:t>ion 15(3) of the PSEA (2 cases).</w:t>
      </w:r>
    </w:p>
    <w:p w:rsidR="00C417FF" w:rsidRPr="004704F3" w:rsidRDefault="00E36B95" w:rsidP="00E77CF1">
      <w:pPr>
        <w:rPr>
          <w:rFonts w:ascii="Arial" w:hAnsi="Arial" w:cs="Arial"/>
          <w:sz w:val="24"/>
          <w:szCs w:val="24"/>
        </w:rPr>
      </w:pPr>
      <w:r w:rsidRPr="004704F3">
        <w:rPr>
          <w:rFonts w:ascii="Arial" w:hAnsi="Arial" w:cs="Arial"/>
          <w:sz w:val="24"/>
          <w:szCs w:val="24"/>
        </w:rPr>
        <w:t xml:space="preserve">One was founded; the corrective action taken </w:t>
      </w:r>
      <w:r w:rsidR="00A1659F">
        <w:rPr>
          <w:rFonts w:ascii="Arial" w:hAnsi="Arial" w:cs="Arial"/>
          <w:sz w:val="24"/>
          <w:szCs w:val="24"/>
        </w:rPr>
        <w:t>was to re-assess the candidate.</w:t>
      </w:r>
    </w:p>
    <w:p w:rsidR="00C417FF" w:rsidRPr="004704F3" w:rsidRDefault="00E36B95" w:rsidP="00E77CF1">
      <w:pPr>
        <w:rPr>
          <w:rFonts w:ascii="Arial" w:hAnsi="Arial" w:cs="Arial"/>
          <w:sz w:val="24"/>
          <w:szCs w:val="24"/>
        </w:rPr>
      </w:pPr>
      <w:r w:rsidRPr="004704F3">
        <w:rPr>
          <w:rFonts w:ascii="Arial" w:hAnsi="Arial" w:cs="Arial"/>
          <w:sz w:val="24"/>
          <w:szCs w:val="24"/>
        </w:rPr>
        <w:lastRenderedPageBreak/>
        <w:t>The other was unfounded but the organization decided to put a corrective measure in place by adding a requirement in the staffing checklist to review the translation of documents.</w:t>
      </w:r>
    </w:p>
    <w:p w:rsidR="00C417FF" w:rsidRPr="004704F3" w:rsidRDefault="00E36B95" w:rsidP="00E77CF1">
      <w:pPr>
        <w:rPr>
          <w:rFonts w:ascii="Arial" w:hAnsi="Arial" w:cs="Arial"/>
          <w:sz w:val="24"/>
          <w:szCs w:val="24"/>
        </w:rPr>
      </w:pPr>
      <w:r w:rsidRPr="004704F3">
        <w:rPr>
          <w:rFonts w:ascii="Arial" w:hAnsi="Arial" w:cs="Arial"/>
          <w:sz w:val="24"/>
          <w:szCs w:val="24"/>
        </w:rPr>
        <w:t>While DHs can conduct internal investigations under subsection 15(3) of the PSEA, they can also decide to ask the PSC to conduct investigations on their behalf under subsection 67(2) of the PSEA.</w:t>
      </w:r>
    </w:p>
    <w:tbl>
      <w:tblPr>
        <w:tblW w:w="0" w:type="auto"/>
        <w:tblCellMar>
          <w:left w:w="0" w:type="dxa"/>
          <w:right w:w="0" w:type="dxa"/>
        </w:tblCellMar>
        <w:tblLook w:val="0420" w:firstRow="1" w:lastRow="0" w:firstColumn="0" w:lastColumn="0" w:noHBand="0" w:noVBand="1"/>
        <w:tblCaption w:val="Table of number of conducted investigations Internally and PSC"/>
        <w:tblDescription w:val="This table describer the amount of investigations conducted internally and by the PSC for fiscal year 2016-2017 and 2017-2018."/>
      </w:tblPr>
      <w:tblGrid>
        <w:gridCol w:w="1649"/>
        <w:gridCol w:w="2311"/>
        <w:gridCol w:w="2333"/>
        <w:gridCol w:w="2327"/>
      </w:tblGrid>
      <w:tr w:rsidR="002A264C" w:rsidRPr="004704F3" w:rsidTr="001B714B">
        <w:trPr>
          <w:trHeight w:val="996"/>
          <w:tblHeader/>
        </w:trPr>
        <w:tc>
          <w:tcPr>
            <w:tcW w:w="3220" w:type="dxa"/>
            <w:tcBorders>
              <w:top w:val="single" w:sz="8" w:space="0" w:color="3C3C3B"/>
              <w:left w:val="single" w:sz="8" w:space="0" w:color="3C3C3B"/>
              <w:bottom w:val="single" w:sz="8" w:space="0" w:color="3C3C3B"/>
              <w:right w:val="single" w:sz="8" w:space="0" w:color="3C3C3B"/>
            </w:tcBorders>
            <w:shd w:val="clear" w:color="auto" w:fill="43B19E"/>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b/>
                <w:bCs/>
                <w:sz w:val="24"/>
                <w:szCs w:val="24"/>
              </w:rPr>
              <w:t>Year</w:t>
            </w:r>
          </w:p>
        </w:tc>
        <w:tc>
          <w:tcPr>
            <w:tcW w:w="3200" w:type="dxa"/>
            <w:tcBorders>
              <w:top w:val="single" w:sz="8" w:space="0" w:color="3C3C3B"/>
              <w:left w:val="single" w:sz="8" w:space="0" w:color="3C3C3B"/>
              <w:bottom w:val="single" w:sz="8" w:space="0" w:color="3C3C3B"/>
              <w:right w:val="single" w:sz="8" w:space="0" w:color="3C3C3B"/>
            </w:tcBorders>
            <w:shd w:val="clear" w:color="auto" w:fill="43B19E"/>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b/>
                <w:bCs/>
                <w:sz w:val="24"/>
                <w:szCs w:val="24"/>
              </w:rPr>
              <w:t># Organizations</w:t>
            </w:r>
          </w:p>
        </w:tc>
        <w:tc>
          <w:tcPr>
            <w:tcW w:w="3240" w:type="dxa"/>
            <w:tcBorders>
              <w:top w:val="single" w:sz="8" w:space="0" w:color="3C3C3B"/>
              <w:left w:val="single" w:sz="8" w:space="0" w:color="3C3C3B"/>
              <w:bottom w:val="single" w:sz="8" w:space="0" w:color="3C3C3B"/>
              <w:right w:val="single" w:sz="8" w:space="0" w:color="3C3C3B"/>
            </w:tcBorders>
            <w:shd w:val="clear" w:color="auto" w:fill="43B19E"/>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b/>
                <w:bCs/>
                <w:sz w:val="24"/>
                <w:szCs w:val="24"/>
              </w:rPr>
              <w:t xml:space="preserve">Internal Investigations </w:t>
            </w:r>
          </w:p>
          <w:p w:rsidR="002A264C" w:rsidRPr="001B714B" w:rsidRDefault="002A264C" w:rsidP="002A264C">
            <w:pPr>
              <w:rPr>
                <w:rFonts w:ascii="Arial" w:hAnsi="Arial" w:cs="Arial"/>
                <w:sz w:val="24"/>
                <w:szCs w:val="24"/>
              </w:rPr>
            </w:pPr>
            <w:r w:rsidRPr="001B714B">
              <w:rPr>
                <w:rFonts w:ascii="Arial" w:hAnsi="Arial" w:cs="Arial"/>
                <w:b/>
                <w:bCs/>
                <w:sz w:val="24"/>
                <w:szCs w:val="24"/>
              </w:rPr>
              <w:t>15(3)</w:t>
            </w:r>
          </w:p>
        </w:tc>
        <w:tc>
          <w:tcPr>
            <w:tcW w:w="3220" w:type="dxa"/>
            <w:tcBorders>
              <w:top w:val="single" w:sz="8" w:space="0" w:color="3C3C3B"/>
              <w:left w:val="single" w:sz="8" w:space="0" w:color="3C3C3B"/>
              <w:bottom w:val="single" w:sz="8" w:space="0" w:color="3C3C3B"/>
              <w:right w:val="single" w:sz="8" w:space="0" w:color="3C3C3B"/>
            </w:tcBorders>
            <w:shd w:val="clear" w:color="auto" w:fill="43B19E"/>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b/>
                <w:bCs/>
                <w:sz w:val="24"/>
                <w:szCs w:val="24"/>
              </w:rPr>
              <w:t>PSC Investigations for DH</w:t>
            </w:r>
          </w:p>
          <w:p w:rsidR="002A264C" w:rsidRPr="001B714B" w:rsidRDefault="002A264C" w:rsidP="002A264C">
            <w:pPr>
              <w:rPr>
                <w:rFonts w:ascii="Arial" w:hAnsi="Arial" w:cs="Arial"/>
                <w:sz w:val="24"/>
                <w:szCs w:val="24"/>
              </w:rPr>
            </w:pPr>
            <w:r w:rsidRPr="001B714B">
              <w:rPr>
                <w:rFonts w:ascii="Arial" w:hAnsi="Arial" w:cs="Arial"/>
                <w:b/>
                <w:bCs/>
                <w:sz w:val="24"/>
                <w:szCs w:val="24"/>
              </w:rPr>
              <w:t>67(2)</w:t>
            </w:r>
          </w:p>
        </w:tc>
      </w:tr>
      <w:tr w:rsidR="002A264C" w:rsidRPr="004704F3" w:rsidTr="00D867D3">
        <w:trPr>
          <w:trHeight w:val="755"/>
        </w:trPr>
        <w:tc>
          <w:tcPr>
            <w:tcW w:w="3220" w:type="dxa"/>
            <w:tcBorders>
              <w:top w:val="single" w:sz="8" w:space="0" w:color="3C3C3B"/>
              <w:left w:val="single" w:sz="8" w:space="0" w:color="3C3C3B"/>
              <w:bottom w:val="single" w:sz="8" w:space="0" w:color="3C3C3B"/>
              <w:right w:val="single" w:sz="8" w:space="0" w:color="3C3C3B"/>
            </w:tcBorders>
            <w:shd w:val="clear" w:color="auto" w:fill="E9F2F0"/>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2016-2017</w:t>
            </w:r>
          </w:p>
        </w:tc>
        <w:tc>
          <w:tcPr>
            <w:tcW w:w="3200" w:type="dxa"/>
            <w:tcBorders>
              <w:top w:val="single" w:sz="8" w:space="0" w:color="3C3C3B"/>
              <w:left w:val="single" w:sz="8" w:space="0" w:color="3C3C3B"/>
              <w:bottom w:val="single" w:sz="8" w:space="0" w:color="3C3C3B"/>
              <w:right w:val="single" w:sz="8" w:space="0" w:color="3C3C3B"/>
            </w:tcBorders>
            <w:shd w:val="clear" w:color="auto" w:fill="E9F2F0"/>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1</w:t>
            </w:r>
          </w:p>
        </w:tc>
        <w:tc>
          <w:tcPr>
            <w:tcW w:w="3240" w:type="dxa"/>
            <w:tcBorders>
              <w:top w:val="single" w:sz="8" w:space="0" w:color="3C3C3B"/>
              <w:left w:val="single" w:sz="8" w:space="0" w:color="3C3C3B"/>
              <w:bottom w:val="single" w:sz="8" w:space="0" w:color="3C3C3B"/>
              <w:right w:val="single" w:sz="8" w:space="0" w:color="3C3C3B"/>
            </w:tcBorders>
            <w:shd w:val="clear" w:color="auto" w:fill="E9F2F0"/>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3</w:t>
            </w:r>
          </w:p>
        </w:tc>
        <w:tc>
          <w:tcPr>
            <w:tcW w:w="3220" w:type="dxa"/>
            <w:tcBorders>
              <w:top w:val="single" w:sz="8" w:space="0" w:color="3C3C3B"/>
              <w:left w:val="single" w:sz="8" w:space="0" w:color="3C3C3B"/>
              <w:bottom w:val="single" w:sz="8" w:space="0" w:color="3C3C3B"/>
              <w:right w:val="single" w:sz="8" w:space="0" w:color="3C3C3B"/>
            </w:tcBorders>
            <w:shd w:val="clear" w:color="auto" w:fill="E9F2F0"/>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2</w:t>
            </w:r>
          </w:p>
        </w:tc>
      </w:tr>
      <w:tr w:rsidR="002A264C" w:rsidRPr="004704F3" w:rsidTr="00D867D3">
        <w:trPr>
          <w:trHeight w:val="796"/>
        </w:trPr>
        <w:tc>
          <w:tcPr>
            <w:tcW w:w="3220" w:type="dxa"/>
            <w:tcBorders>
              <w:top w:val="single" w:sz="8" w:space="0" w:color="3C3C3B"/>
              <w:left w:val="single" w:sz="8" w:space="0" w:color="3C3C3B"/>
              <w:bottom w:val="single" w:sz="8" w:space="0" w:color="3C3C3B"/>
              <w:right w:val="single" w:sz="8" w:space="0" w:color="3C3C3B"/>
            </w:tcBorders>
            <w:shd w:val="clear" w:color="auto" w:fill="auto"/>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2017-2018</w:t>
            </w:r>
          </w:p>
        </w:tc>
        <w:tc>
          <w:tcPr>
            <w:tcW w:w="3200" w:type="dxa"/>
            <w:tcBorders>
              <w:top w:val="single" w:sz="8" w:space="0" w:color="3C3C3B"/>
              <w:left w:val="single" w:sz="8" w:space="0" w:color="3C3C3B"/>
              <w:bottom w:val="single" w:sz="8" w:space="0" w:color="3C3C3B"/>
              <w:right w:val="single" w:sz="8" w:space="0" w:color="3C3C3B"/>
            </w:tcBorders>
            <w:shd w:val="clear" w:color="auto" w:fill="auto"/>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2</w:t>
            </w:r>
          </w:p>
        </w:tc>
        <w:tc>
          <w:tcPr>
            <w:tcW w:w="3240" w:type="dxa"/>
            <w:tcBorders>
              <w:top w:val="single" w:sz="8" w:space="0" w:color="3C3C3B"/>
              <w:left w:val="single" w:sz="8" w:space="0" w:color="3C3C3B"/>
              <w:bottom w:val="single" w:sz="8" w:space="0" w:color="3C3C3B"/>
              <w:right w:val="single" w:sz="8" w:space="0" w:color="3C3C3B"/>
            </w:tcBorders>
            <w:shd w:val="clear" w:color="auto" w:fill="auto"/>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2</w:t>
            </w:r>
          </w:p>
        </w:tc>
        <w:tc>
          <w:tcPr>
            <w:tcW w:w="3220" w:type="dxa"/>
            <w:tcBorders>
              <w:top w:val="single" w:sz="8" w:space="0" w:color="3C3C3B"/>
              <w:left w:val="single" w:sz="8" w:space="0" w:color="3C3C3B"/>
              <w:bottom w:val="single" w:sz="8" w:space="0" w:color="3C3C3B"/>
              <w:right w:val="single" w:sz="8" w:space="0" w:color="3C3C3B"/>
            </w:tcBorders>
            <w:shd w:val="clear" w:color="auto" w:fill="auto"/>
            <w:tcMar>
              <w:top w:w="72" w:type="dxa"/>
              <w:left w:w="144" w:type="dxa"/>
              <w:bottom w:w="72" w:type="dxa"/>
              <w:right w:w="144" w:type="dxa"/>
            </w:tcMar>
            <w:hideMark/>
          </w:tcPr>
          <w:p w:rsidR="002A264C" w:rsidRPr="001B714B" w:rsidRDefault="002A264C" w:rsidP="002A264C">
            <w:pPr>
              <w:rPr>
                <w:rFonts w:ascii="Arial" w:hAnsi="Arial" w:cs="Arial"/>
                <w:sz w:val="24"/>
                <w:szCs w:val="24"/>
              </w:rPr>
            </w:pPr>
            <w:r w:rsidRPr="001B714B">
              <w:rPr>
                <w:rFonts w:ascii="Arial" w:hAnsi="Arial" w:cs="Arial"/>
                <w:sz w:val="24"/>
                <w:szCs w:val="24"/>
              </w:rPr>
              <w:t>10</w:t>
            </w:r>
          </w:p>
        </w:tc>
      </w:tr>
    </w:tbl>
    <w:p w:rsidR="00972759" w:rsidRPr="004704F3" w:rsidRDefault="00972759" w:rsidP="002A264C">
      <w:pPr>
        <w:rPr>
          <w:rFonts w:ascii="Arial" w:hAnsi="Arial" w:cs="Arial"/>
          <w:sz w:val="24"/>
          <w:szCs w:val="24"/>
        </w:rPr>
      </w:pPr>
    </w:p>
    <w:p w:rsidR="00AE209A" w:rsidRPr="004704F3" w:rsidRDefault="00846336" w:rsidP="00E77CF1">
      <w:pPr>
        <w:pStyle w:val="Subtitle"/>
        <w:rPr>
          <w:rFonts w:ascii="Arial" w:hAnsi="Arial" w:cs="Arial"/>
          <w:sz w:val="24"/>
          <w:szCs w:val="24"/>
        </w:rPr>
      </w:pPr>
      <w:r>
        <w:rPr>
          <w:rFonts w:ascii="Arial" w:hAnsi="Arial" w:cs="Arial"/>
          <w:sz w:val="24"/>
          <w:szCs w:val="24"/>
        </w:rPr>
        <w:t>Recommendation</w:t>
      </w:r>
    </w:p>
    <w:p w:rsidR="00C417FF" w:rsidRDefault="00CF1A35" w:rsidP="00E77CF1">
      <w:pPr>
        <w:rPr>
          <w:rFonts w:ascii="Arial" w:hAnsi="Arial" w:cs="Arial"/>
          <w:sz w:val="24"/>
          <w:szCs w:val="24"/>
        </w:rPr>
      </w:pPr>
      <w:r>
        <w:rPr>
          <w:rFonts w:ascii="Arial" w:hAnsi="Arial" w:cs="Arial"/>
          <w:sz w:val="24"/>
          <w:szCs w:val="24"/>
        </w:rPr>
        <w:t>Investigations Division of the PSC to c</w:t>
      </w:r>
      <w:r w:rsidR="00E36B95" w:rsidRPr="004704F3">
        <w:rPr>
          <w:rFonts w:ascii="Arial" w:hAnsi="Arial" w:cs="Arial"/>
          <w:sz w:val="24"/>
          <w:szCs w:val="24"/>
        </w:rPr>
        <w:t xml:space="preserve">ontinue to partner </w:t>
      </w:r>
      <w:r>
        <w:rPr>
          <w:rFonts w:ascii="Arial" w:hAnsi="Arial" w:cs="Arial"/>
          <w:sz w:val="24"/>
          <w:szCs w:val="24"/>
        </w:rPr>
        <w:t>with organizations via outreach</w:t>
      </w:r>
      <w:r w:rsidR="00CA115B">
        <w:rPr>
          <w:rFonts w:ascii="Arial" w:hAnsi="Arial" w:cs="Arial"/>
          <w:sz w:val="24"/>
          <w:szCs w:val="24"/>
        </w:rPr>
        <w:t xml:space="preserve"> to increase awareness</w:t>
      </w:r>
      <w:r>
        <w:rPr>
          <w:rFonts w:ascii="Arial" w:hAnsi="Arial" w:cs="Arial"/>
          <w:sz w:val="24"/>
          <w:szCs w:val="24"/>
        </w:rPr>
        <w:t xml:space="preserve"> </w:t>
      </w:r>
      <w:r w:rsidR="00E36B95" w:rsidRPr="004704F3">
        <w:rPr>
          <w:rFonts w:ascii="Arial" w:hAnsi="Arial" w:cs="Arial"/>
          <w:sz w:val="24"/>
          <w:szCs w:val="24"/>
        </w:rPr>
        <w:t xml:space="preserve">and </w:t>
      </w:r>
      <w:r>
        <w:rPr>
          <w:rFonts w:ascii="Arial" w:hAnsi="Arial" w:cs="Arial"/>
          <w:sz w:val="24"/>
          <w:szCs w:val="24"/>
        </w:rPr>
        <w:t>the</w:t>
      </w:r>
      <w:r w:rsidR="00DA7CAC">
        <w:rPr>
          <w:rFonts w:ascii="Arial" w:hAnsi="Arial" w:cs="Arial"/>
          <w:sz w:val="24"/>
          <w:szCs w:val="24"/>
        </w:rPr>
        <w:t xml:space="preserve"> </w:t>
      </w:r>
      <w:r w:rsidR="00A1659F">
        <w:rPr>
          <w:rFonts w:ascii="Arial" w:hAnsi="Arial" w:cs="Arial"/>
          <w:sz w:val="24"/>
          <w:szCs w:val="24"/>
        </w:rPr>
        <w:t>annual liaison meeting.</w:t>
      </w:r>
    </w:p>
    <w:p w:rsidR="00972759" w:rsidRDefault="00AE209A" w:rsidP="00972759">
      <w:pPr>
        <w:pStyle w:val="Heading1"/>
        <w:rPr>
          <w:rFonts w:ascii="Arial" w:hAnsi="Arial" w:cs="Arial"/>
          <w:sz w:val="24"/>
          <w:szCs w:val="24"/>
        </w:rPr>
      </w:pPr>
      <w:r w:rsidRPr="004704F3">
        <w:rPr>
          <w:rFonts w:ascii="Arial" w:hAnsi="Arial" w:cs="Arial"/>
          <w:sz w:val="24"/>
          <w:szCs w:val="24"/>
        </w:rPr>
        <w:t>Results on the use of the PSOLEAO and the PSOLAR</w:t>
      </w:r>
    </w:p>
    <w:p w:rsidR="00846336" w:rsidRPr="00846336" w:rsidRDefault="00846336" w:rsidP="00846336"/>
    <w:p w:rsidR="00AE209A" w:rsidRPr="004704F3" w:rsidRDefault="00846336" w:rsidP="00E77CF1">
      <w:pPr>
        <w:pStyle w:val="Subtitle"/>
        <w:rPr>
          <w:rFonts w:ascii="Arial" w:hAnsi="Arial" w:cs="Arial"/>
          <w:sz w:val="24"/>
          <w:szCs w:val="24"/>
        </w:rPr>
      </w:pPr>
      <w:r>
        <w:rPr>
          <w:rFonts w:ascii="Arial" w:hAnsi="Arial" w:cs="Arial"/>
          <w:sz w:val="24"/>
          <w:szCs w:val="24"/>
        </w:rPr>
        <w:t>Context</w:t>
      </w:r>
    </w:p>
    <w:p w:rsidR="00AE209A" w:rsidRPr="004704F3" w:rsidRDefault="00AE209A" w:rsidP="00E77CF1">
      <w:pPr>
        <w:rPr>
          <w:rFonts w:ascii="Arial" w:hAnsi="Arial" w:cs="Arial"/>
          <w:sz w:val="24"/>
          <w:szCs w:val="24"/>
        </w:rPr>
      </w:pPr>
      <w:r w:rsidRPr="004704F3">
        <w:rPr>
          <w:rFonts w:ascii="Arial" w:hAnsi="Arial" w:cs="Arial"/>
          <w:sz w:val="24"/>
          <w:szCs w:val="24"/>
        </w:rPr>
        <w:t xml:space="preserve">There are 3 situations where people may be excluded from meeting the required level of proficiency in their second official language, following non-imperative appointments. When the individual: </w:t>
      </w:r>
    </w:p>
    <w:p w:rsidR="00C417FF" w:rsidRPr="004704F3" w:rsidRDefault="00E36B95" w:rsidP="00E77CF1">
      <w:pPr>
        <w:rPr>
          <w:rFonts w:ascii="Arial" w:hAnsi="Arial" w:cs="Arial"/>
          <w:sz w:val="24"/>
          <w:szCs w:val="24"/>
        </w:rPr>
      </w:pPr>
      <w:r w:rsidRPr="004704F3">
        <w:rPr>
          <w:rFonts w:ascii="Arial" w:hAnsi="Arial" w:cs="Arial"/>
          <w:sz w:val="24"/>
          <w:szCs w:val="24"/>
        </w:rPr>
        <w:t>Submits an agreement to become bilingual;</w:t>
      </w:r>
    </w:p>
    <w:p w:rsidR="00C417FF" w:rsidRPr="004704F3" w:rsidRDefault="00E36B95" w:rsidP="00E77CF1">
      <w:pPr>
        <w:rPr>
          <w:rFonts w:ascii="Arial" w:hAnsi="Arial" w:cs="Arial"/>
          <w:sz w:val="24"/>
          <w:szCs w:val="24"/>
        </w:rPr>
      </w:pPr>
      <w:r w:rsidRPr="004704F3">
        <w:rPr>
          <w:rFonts w:ascii="Arial" w:hAnsi="Arial" w:cs="Arial"/>
          <w:sz w:val="24"/>
          <w:szCs w:val="24"/>
        </w:rPr>
        <w:t>Is eligible for an immediate annuity; or</w:t>
      </w:r>
    </w:p>
    <w:p w:rsidR="00C417FF" w:rsidRPr="004704F3" w:rsidRDefault="00E36B95" w:rsidP="00E77CF1">
      <w:pPr>
        <w:rPr>
          <w:rFonts w:ascii="Arial" w:hAnsi="Arial" w:cs="Arial"/>
          <w:sz w:val="24"/>
          <w:szCs w:val="24"/>
        </w:rPr>
      </w:pPr>
      <w:r w:rsidRPr="004704F3">
        <w:rPr>
          <w:rFonts w:ascii="Arial" w:hAnsi="Arial" w:cs="Arial"/>
          <w:sz w:val="24"/>
          <w:szCs w:val="24"/>
        </w:rPr>
        <w:t>Is excluded for medical reasons.</w:t>
      </w:r>
    </w:p>
    <w:p w:rsidR="00AE209A" w:rsidRPr="004704F3" w:rsidRDefault="00AE209A" w:rsidP="00E77CF1">
      <w:pPr>
        <w:rPr>
          <w:rFonts w:ascii="Arial" w:hAnsi="Arial" w:cs="Arial"/>
          <w:sz w:val="24"/>
          <w:szCs w:val="24"/>
        </w:rPr>
      </w:pPr>
      <w:r w:rsidRPr="004704F3">
        <w:rPr>
          <w:rFonts w:ascii="Arial" w:hAnsi="Arial" w:cs="Arial"/>
          <w:sz w:val="24"/>
          <w:szCs w:val="24"/>
        </w:rPr>
        <w:t xml:space="preserve">DHs must report on the first 2 exclusions. </w:t>
      </w:r>
      <w:r w:rsidR="00CA115B">
        <w:rPr>
          <w:rFonts w:ascii="Arial" w:hAnsi="Arial" w:cs="Arial"/>
          <w:sz w:val="24"/>
          <w:szCs w:val="24"/>
        </w:rPr>
        <w:t>Since</w:t>
      </w:r>
      <w:r w:rsidRPr="004704F3">
        <w:rPr>
          <w:rFonts w:ascii="Arial" w:hAnsi="Arial" w:cs="Arial"/>
          <w:sz w:val="24"/>
          <w:szCs w:val="24"/>
        </w:rPr>
        <w:t xml:space="preserve"> the PSC is responsible for approving exclusions for medical reasons, there is no need for organizations to report on the 3</w:t>
      </w:r>
      <w:r w:rsidRPr="004704F3">
        <w:rPr>
          <w:rFonts w:ascii="Arial" w:hAnsi="Arial" w:cs="Arial"/>
          <w:sz w:val="24"/>
          <w:szCs w:val="24"/>
          <w:vertAlign w:val="superscript"/>
        </w:rPr>
        <w:t>rd</w:t>
      </w:r>
      <w:r w:rsidRPr="004704F3">
        <w:rPr>
          <w:rFonts w:ascii="Arial" w:hAnsi="Arial" w:cs="Arial"/>
          <w:sz w:val="24"/>
          <w:szCs w:val="24"/>
        </w:rPr>
        <w:t xml:space="preserve"> one.</w:t>
      </w:r>
    </w:p>
    <w:p w:rsidR="00C417FF" w:rsidRPr="004704F3" w:rsidRDefault="00E36B95" w:rsidP="00E77CF1">
      <w:pPr>
        <w:rPr>
          <w:rFonts w:ascii="Arial" w:hAnsi="Arial" w:cs="Arial"/>
          <w:sz w:val="24"/>
          <w:szCs w:val="24"/>
        </w:rPr>
      </w:pPr>
      <w:r w:rsidRPr="004704F3">
        <w:rPr>
          <w:rFonts w:ascii="Arial" w:hAnsi="Arial" w:cs="Arial"/>
          <w:sz w:val="24"/>
          <w:szCs w:val="24"/>
        </w:rPr>
        <w:t>The reporting cycle and elements on which the organizations must report remained the same as for previous years.</w:t>
      </w:r>
    </w:p>
    <w:p w:rsidR="00846336" w:rsidRDefault="00E36B95" w:rsidP="00846336">
      <w:pPr>
        <w:rPr>
          <w:rFonts w:ascii="Arial" w:hAnsi="Arial" w:cs="Arial"/>
          <w:sz w:val="24"/>
          <w:szCs w:val="24"/>
        </w:rPr>
      </w:pPr>
      <w:r w:rsidRPr="004704F3">
        <w:rPr>
          <w:rFonts w:ascii="Arial" w:hAnsi="Arial" w:cs="Arial"/>
          <w:sz w:val="24"/>
          <w:szCs w:val="24"/>
        </w:rPr>
        <w:lastRenderedPageBreak/>
        <w:t>Exclusions that are not compliant with the PSOLEAO</w:t>
      </w:r>
      <w:r w:rsidR="00DA7CAC">
        <w:rPr>
          <w:rFonts w:ascii="Arial" w:hAnsi="Arial" w:cs="Arial"/>
          <w:sz w:val="24"/>
          <w:szCs w:val="24"/>
        </w:rPr>
        <w:t xml:space="preserve"> </w:t>
      </w:r>
      <w:r w:rsidRPr="004704F3">
        <w:rPr>
          <w:rFonts w:ascii="Arial" w:hAnsi="Arial" w:cs="Arial"/>
          <w:sz w:val="24"/>
          <w:szCs w:val="24"/>
        </w:rPr>
        <w:t xml:space="preserve">and PSOLAR </w:t>
      </w:r>
      <w:r w:rsidR="00CA115B">
        <w:rPr>
          <w:rFonts w:ascii="Arial" w:hAnsi="Arial" w:cs="Arial"/>
          <w:sz w:val="24"/>
          <w:szCs w:val="24"/>
        </w:rPr>
        <w:t>would</w:t>
      </w:r>
      <w:r w:rsidRPr="004704F3">
        <w:rPr>
          <w:rFonts w:ascii="Arial" w:hAnsi="Arial" w:cs="Arial"/>
          <w:sz w:val="24"/>
          <w:szCs w:val="24"/>
        </w:rPr>
        <w:t xml:space="preserve"> not respect merit in regard to official language proficiency.</w:t>
      </w:r>
    </w:p>
    <w:p w:rsidR="00B14680" w:rsidRPr="00B14680" w:rsidRDefault="00B14680" w:rsidP="00846336">
      <w:pPr>
        <w:rPr>
          <w:rFonts w:ascii="Arial" w:hAnsi="Arial" w:cs="Arial"/>
          <w:sz w:val="24"/>
          <w:szCs w:val="24"/>
        </w:rPr>
      </w:pPr>
    </w:p>
    <w:p w:rsidR="00AE209A" w:rsidRPr="004704F3" w:rsidRDefault="00846336" w:rsidP="00E77CF1">
      <w:pPr>
        <w:pStyle w:val="Subtitle"/>
        <w:rPr>
          <w:rFonts w:ascii="Arial" w:hAnsi="Arial" w:cs="Arial"/>
          <w:sz w:val="24"/>
          <w:szCs w:val="24"/>
        </w:rPr>
      </w:pPr>
      <w:r>
        <w:rPr>
          <w:rFonts w:ascii="Arial" w:hAnsi="Arial" w:cs="Arial"/>
          <w:sz w:val="24"/>
          <w:szCs w:val="24"/>
        </w:rPr>
        <w:t>Observations</w:t>
      </w:r>
    </w:p>
    <w:p w:rsidR="00AE209A" w:rsidRPr="004704F3" w:rsidRDefault="00AE209A" w:rsidP="00E77CF1">
      <w:pPr>
        <w:rPr>
          <w:rFonts w:ascii="Arial" w:hAnsi="Arial" w:cs="Arial"/>
          <w:sz w:val="24"/>
          <w:szCs w:val="24"/>
        </w:rPr>
      </w:pPr>
      <w:r w:rsidRPr="004704F3">
        <w:rPr>
          <w:rFonts w:ascii="Arial" w:hAnsi="Arial" w:cs="Arial"/>
          <w:sz w:val="24"/>
          <w:szCs w:val="24"/>
        </w:rPr>
        <w:t>In 2017-2018, 38 of the 74</w:t>
      </w:r>
      <w:r w:rsidRPr="004704F3">
        <w:rPr>
          <w:rFonts w:ascii="Arial" w:hAnsi="Arial" w:cs="Arial"/>
          <w:b/>
          <w:bCs/>
          <w:sz w:val="24"/>
          <w:szCs w:val="24"/>
        </w:rPr>
        <w:t xml:space="preserve"> </w:t>
      </w:r>
      <w:r w:rsidRPr="004704F3">
        <w:rPr>
          <w:rFonts w:ascii="Arial" w:hAnsi="Arial" w:cs="Arial"/>
          <w:sz w:val="24"/>
          <w:szCs w:val="24"/>
        </w:rPr>
        <w:t>organizations reported using the PSOLEAO and PSOLAR.</w:t>
      </w:r>
    </w:p>
    <w:p w:rsidR="00C417FF" w:rsidRPr="004704F3" w:rsidRDefault="00E36B95" w:rsidP="00E77CF1">
      <w:pPr>
        <w:rPr>
          <w:rFonts w:ascii="Arial" w:hAnsi="Arial" w:cs="Arial"/>
          <w:sz w:val="24"/>
          <w:szCs w:val="24"/>
        </w:rPr>
      </w:pPr>
      <w:r w:rsidRPr="004704F3">
        <w:rPr>
          <w:rFonts w:ascii="Arial" w:hAnsi="Arial" w:cs="Arial"/>
          <w:sz w:val="24"/>
          <w:szCs w:val="24"/>
        </w:rPr>
        <w:t>35 organizations reported managing the exclusions in compliance with the instruments.</w:t>
      </w:r>
    </w:p>
    <w:p w:rsidR="00C417FF" w:rsidRPr="004704F3" w:rsidRDefault="00E36B95" w:rsidP="00E77CF1">
      <w:pPr>
        <w:rPr>
          <w:rFonts w:ascii="Arial" w:hAnsi="Arial" w:cs="Arial"/>
          <w:sz w:val="24"/>
          <w:szCs w:val="24"/>
        </w:rPr>
      </w:pPr>
      <w:r w:rsidRPr="004704F3">
        <w:rPr>
          <w:rFonts w:ascii="Arial" w:hAnsi="Arial" w:cs="Arial"/>
          <w:sz w:val="24"/>
          <w:szCs w:val="24"/>
        </w:rPr>
        <w:t>A total of 4 cases are non-compliant, in 3 organizations (see Annex B).</w:t>
      </w:r>
    </w:p>
    <w:p w:rsidR="00C417FF" w:rsidRPr="004704F3" w:rsidRDefault="00E36B95" w:rsidP="00E77CF1">
      <w:pPr>
        <w:rPr>
          <w:rFonts w:ascii="Arial" w:hAnsi="Arial" w:cs="Arial"/>
          <w:sz w:val="24"/>
          <w:szCs w:val="24"/>
        </w:rPr>
      </w:pPr>
      <w:r w:rsidRPr="004704F3">
        <w:rPr>
          <w:rFonts w:ascii="Arial" w:hAnsi="Arial" w:cs="Arial"/>
          <w:sz w:val="24"/>
          <w:szCs w:val="24"/>
        </w:rPr>
        <w:t>2 cases where the exemption period was not extended beyond the 2-year initial period are now compliant. The 2 extensions have been approved as of April 18, 2018.</w:t>
      </w:r>
    </w:p>
    <w:p w:rsidR="00C417FF" w:rsidRPr="004704F3" w:rsidRDefault="00E36B95" w:rsidP="00E77CF1">
      <w:pPr>
        <w:rPr>
          <w:rFonts w:ascii="Arial" w:hAnsi="Arial" w:cs="Arial"/>
          <w:sz w:val="24"/>
          <w:szCs w:val="24"/>
        </w:rPr>
      </w:pPr>
      <w:r w:rsidRPr="004704F3">
        <w:rPr>
          <w:rFonts w:ascii="Arial" w:hAnsi="Arial" w:cs="Arial"/>
          <w:sz w:val="24"/>
          <w:szCs w:val="24"/>
        </w:rPr>
        <w:t>2 cases where exemptions exceeded the regulated 4-year maxi</w:t>
      </w:r>
      <w:r w:rsidR="00A1659F">
        <w:rPr>
          <w:rFonts w:ascii="Arial" w:hAnsi="Arial" w:cs="Arial"/>
          <w:sz w:val="24"/>
          <w:szCs w:val="24"/>
        </w:rPr>
        <w:t>mum period to become bilingual.</w:t>
      </w:r>
    </w:p>
    <w:p w:rsidR="00C417FF" w:rsidRPr="004704F3" w:rsidRDefault="00E36B95" w:rsidP="00E77CF1">
      <w:pPr>
        <w:rPr>
          <w:rFonts w:ascii="Arial" w:hAnsi="Arial" w:cs="Arial"/>
          <w:sz w:val="24"/>
          <w:szCs w:val="24"/>
        </w:rPr>
      </w:pPr>
      <w:r w:rsidRPr="004704F3">
        <w:rPr>
          <w:rFonts w:ascii="Arial" w:hAnsi="Arial" w:cs="Arial"/>
          <w:sz w:val="24"/>
          <w:szCs w:val="24"/>
        </w:rPr>
        <w:t>The majority of organizations manage the exclusions in accordance with the statutory instruments.</w:t>
      </w:r>
    </w:p>
    <w:p w:rsidR="00AE209A" w:rsidRPr="004704F3" w:rsidRDefault="00846336" w:rsidP="00E77CF1">
      <w:pPr>
        <w:pStyle w:val="Subtitle"/>
        <w:rPr>
          <w:rFonts w:ascii="Arial" w:hAnsi="Arial" w:cs="Arial"/>
          <w:sz w:val="24"/>
          <w:szCs w:val="24"/>
        </w:rPr>
      </w:pPr>
      <w:r>
        <w:rPr>
          <w:rFonts w:ascii="Arial" w:hAnsi="Arial" w:cs="Arial"/>
          <w:sz w:val="24"/>
          <w:szCs w:val="24"/>
        </w:rPr>
        <w:t>Recommendation</w:t>
      </w:r>
    </w:p>
    <w:p w:rsidR="00C417FF" w:rsidRPr="004704F3" w:rsidRDefault="00CF1A35" w:rsidP="00E77CF1">
      <w:pPr>
        <w:rPr>
          <w:rFonts w:ascii="Arial" w:hAnsi="Arial" w:cs="Arial"/>
          <w:sz w:val="24"/>
          <w:szCs w:val="24"/>
        </w:rPr>
      </w:pPr>
      <w:r>
        <w:rPr>
          <w:rFonts w:ascii="Arial" w:hAnsi="Arial" w:cs="Arial"/>
          <w:sz w:val="24"/>
          <w:szCs w:val="24"/>
        </w:rPr>
        <w:t>Policy Division</w:t>
      </w:r>
      <w:r w:rsidR="00E36B95" w:rsidRPr="004704F3">
        <w:rPr>
          <w:rFonts w:ascii="Arial" w:hAnsi="Arial" w:cs="Arial"/>
          <w:sz w:val="24"/>
          <w:szCs w:val="24"/>
        </w:rPr>
        <w:t xml:space="preserve"> (PD) and Staffing Support Division (SSD) </w:t>
      </w:r>
      <w:r>
        <w:rPr>
          <w:rFonts w:ascii="Arial" w:hAnsi="Arial" w:cs="Arial"/>
          <w:sz w:val="24"/>
          <w:szCs w:val="24"/>
        </w:rPr>
        <w:t xml:space="preserve">of the PSC to </w:t>
      </w:r>
      <w:r w:rsidR="00E36B95" w:rsidRPr="004704F3">
        <w:rPr>
          <w:rFonts w:ascii="Arial" w:hAnsi="Arial" w:cs="Arial"/>
          <w:sz w:val="24"/>
          <w:szCs w:val="24"/>
        </w:rPr>
        <w:t xml:space="preserve">work in collaboration with organizations </w:t>
      </w:r>
      <w:r w:rsidR="00A1659F">
        <w:rPr>
          <w:rFonts w:ascii="Arial" w:hAnsi="Arial" w:cs="Arial"/>
          <w:sz w:val="24"/>
          <w:szCs w:val="24"/>
        </w:rPr>
        <w:t>to resolve non-compliant cases.</w:t>
      </w:r>
    </w:p>
    <w:p w:rsidR="00972759" w:rsidRDefault="00AE209A" w:rsidP="00972759">
      <w:pPr>
        <w:pStyle w:val="Heading1"/>
        <w:rPr>
          <w:rFonts w:ascii="Arial" w:hAnsi="Arial" w:cs="Arial"/>
          <w:sz w:val="24"/>
          <w:szCs w:val="24"/>
        </w:rPr>
      </w:pPr>
      <w:r w:rsidRPr="004704F3">
        <w:rPr>
          <w:rFonts w:ascii="Arial" w:hAnsi="Arial" w:cs="Arial"/>
          <w:sz w:val="24"/>
          <w:szCs w:val="24"/>
        </w:rPr>
        <w:t>Results on the PSC’s transition measure for SLE</w:t>
      </w:r>
    </w:p>
    <w:p w:rsidR="00846336" w:rsidRPr="00846336" w:rsidRDefault="00846336" w:rsidP="00846336"/>
    <w:p w:rsidR="00AE209A" w:rsidRPr="004704F3" w:rsidRDefault="00846336" w:rsidP="00E77CF1">
      <w:pPr>
        <w:pStyle w:val="Subtitle"/>
        <w:rPr>
          <w:rFonts w:ascii="Arial" w:hAnsi="Arial" w:cs="Arial"/>
          <w:sz w:val="24"/>
          <w:szCs w:val="24"/>
        </w:rPr>
      </w:pPr>
      <w:r>
        <w:rPr>
          <w:rFonts w:ascii="Arial" w:hAnsi="Arial" w:cs="Arial"/>
          <w:sz w:val="24"/>
          <w:szCs w:val="24"/>
        </w:rPr>
        <w:t>Context</w:t>
      </w:r>
    </w:p>
    <w:p w:rsidR="00C417FF" w:rsidRPr="004704F3" w:rsidRDefault="00846336" w:rsidP="00E77CF1">
      <w:pPr>
        <w:rPr>
          <w:rFonts w:ascii="Arial" w:hAnsi="Arial" w:cs="Arial"/>
          <w:sz w:val="24"/>
          <w:szCs w:val="24"/>
        </w:rPr>
      </w:pPr>
      <w:r>
        <w:rPr>
          <w:rFonts w:ascii="Arial" w:hAnsi="Arial" w:cs="Arial"/>
          <w:sz w:val="24"/>
          <w:szCs w:val="24"/>
        </w:rPr>
        <w:t>Between 2012</w:t>
      </w:r>
      <w:r w:rsidR="00DA7CAC">
        <w:rPr>
          <w:rFonts w:ascii="Arial" w:hAnsi="Arial" w:cs="Arial"/>
          <w:sz w:val="24"/>
          <w:szCs w:val="24"/>
        </w:rPr>
        <w:t xml:space="preserve"> and </w:t>
      </w:r>
      <w:r w:rsidR="00E36B95" w:rsidRPr="004704F3">
        <w:rPr>
          <w:rFonts w:ascii="Arial" w:hAnsi="Arial" w:cs="Arial"/>
          <w:sz w:val="24"/>
          <w:szCs w:val="24"/>
        </w:rPr>
        <w:t>2015, the PSC implemented a transition measure for alternating employees and for employees with a surplus or lay-off priority entitlement:</w:t>
      </w:r>
    </w:p>
    <w:p w:rsidR="00C417FF" w:rsidRPr="004704F3" w:rsidRDefault="00E36B95" w:rsidP="00E77CF1">
      <w:pPr>
        <w:rPr>
          <w:rFonts w:ascii="Arial" w:hAnsi="Arial" w:cs="Arial"/>
          <w:sz w:val="24"/>
          <w:szCs w:val="24"/>
        </w:rPr>
      </w:pPr>
      <w:r w:rsidRPr="004704F3">
        <w:rPr>
          <w:rFonts w:ascii="Arial" w:hAnsi="Arial" w:cs="Arial"/>
          <w:sz w:val="24"/>
          <w:szCs w:val="24"/>
        </w:rPr>
        <w:t>SLE results that were expired were deemed valid, subject to confirmation within 12 months of the alternation or priority appointment.</w:t>
      </w:r>
    </w:p>
    <w:p w:rsidR="00C417FF" w:rsidRPr="004704F3" w:rsidRDefault="00E36B95" w:rsidP="00E77CF1">
      <w:pPr>
        <w:rPr>
          <w:rFonts w:ascii="Arial" w:hAnsi="Arial" w:cs="Arial"/>
          <w:sz w:val="24"/>
          <w:szCs w:val="24"/>
        </w:rPr>
      </w:pPr>
      <w:r w:rsidRPr="004704F3">
        <w:rPr>
          <w:rFonts w:ascii="Arial" w:hAnsi="Arial" w:cs="Arial"/>
          <w:sz w:val="24"/>
          <w:szCs w:val="24"/>
        </w:rPr>
        <w:t>Th</w:t>
      </w:r>
      <w:r w:rsidR="00A1659F">
        <w:rPr>
          <w:rFonts w:ascii="Arial" w:hAnsi="Arial" w:cs="Arial"/>
          <w:sz w:val="24"/>
          <w:szCs w:val="24"/>
        </w:rPr>
        <w:t>is measure was used 501 times.</w:t>
      </w:r>
    </w:p>
    <w:p w:rsidR="00C417FF" w:rsidRPr="004704F3" w:rsidRDefault="00E36B95" w:rsidP="00E77CF1">
      <w:pPr>
        <w:rPr>
          <w:rFonts w:ascii="Arial" w:hAnsi="Arial" w:cs="Arial"/>
          <w:sz w:val="24"/>
          <w:szCs w:val="24"/>
        </w:rPr>
      </w:pPr>
      <w:r w:rsidRPr="004704F3">
        <w:rPr>
          <w:rFonts w:ascii="Arial" w:hAnsi="Arial" w:cs="Arial"/>
          <w:sz w:val="24"/>
          <w:szCs w:val="24"/>
        </w:rPr>
        <w:t>DHs report on the use of this measure until their respective cases are resolved.</w:t>
      </w:r>
    </w:p>
    <w:p w:rsidR="00AE209A" w:rsidRPr="004704F3" w:rsidRDefault="00846336" w:rsidP="00E77CF1">
      <w:pPr>
        <w:pStyle w:val="Subtitle"/>
        <w:rPr>
          <w:rFonts w:ascii="Arial" w:hAnsi="Arial" w:cs="Arial"/>
          <w:sz w:val="24"/>
          <w:szCs w:val="24"/>
        </w:rPr>
      </w:pPr>
      <w:r>
        <w:rPr>
          <w:rFonts w:ascii="Arial" w:hAnsi="Arial" w:cs="Arial"/>
          <w:sz w:val="24"/>
          <w:szCs w:val="24"/>
        </w:rPr>
        <w:t>Observations</w:t>
      </w:r>
    </w:p>
    <w:p w:rsidR="00C417FF" w:rsidRPr="004704F3" w:rsidRDefault="00E36B95" w:rsidP="00E77CF1">
      <w:pPr>
        <w:rPr>
          <w:rFonts w:ascii="Arial" w:hAnsi="Arial" w:cs="Arial"/>
          <w:sz w:val="24"/>
          <w:szCs w:val="24"/>
        </w:rPr>
      </w:pPr>
      <w:r w:rsidRPr="004704F3">
        <w:rPr>
          <w:rFonts w:ascii="Arial" w:hAnsi="Arial" w:cs="Arial"/>
          <w:sz w:val="24"/>
          <w:szCs w:val="24"/>
        </w:rPr>
        <w:t>8 cases outstanding in 7 organizations to be resolved on April 1, 2018 compared to 12 cases in 10 organizations last fiscal year:</w:t>
      </w:r>
    </w:p>
    <w:p w:rsidR="00C417FF" w:rsidRPr="004704F3" w:rsidRDefault="00E36B95" w:rsidP="00E77CF1">
      <w:pPr>
        <w:rPr>
          <w:rFonts w:ascii="Arial" w:hAnsi="Arial" w:cs="Arial"/>
          <w:sz w:val="24"/>
          <w:szCs w:val="24"/>
        </w:rPr>
      </w:pPr>
      <w:r w:rsidRPr="004704F3">
        <w:rPr>
          <w:rFonts w:ascii="Arial" w:hAnsi="Arial" w:cs="Arial"/>
          <w:sz w:val="24"/>
          <w:szCs w:val="24"/>
        </w:rPr>
        <w:lastRenderedPageBreak/>
        <w:t xml:space="preserve">4 cases were non-compliant (see Annex C). 1 case </w:t>
      </w:r>
      <w:r w:rsidR="00CA115B">
        <w:rPr>
          <w:rFonts w:ascii="Arial" w:hAnsi="Arial" w:cs="Arial"/>
          <w:sz w:val="24"/>
          <w:szCs w:val="24"/>
        </w:rPr>
        <w:t>was</w:t>
      </w:r>
      <w:r w:rsidRPr="004704F3">
        <w:rPr>
          <w:rFonts w:ascii="Arial" w:hAnsi="Arial" w:cs="Arial"/>
          <w:sz w:val="24"/>
          <w:szCs w:val="24"/>
        </w:rPr>
        <w:t xml:space="preserve"> resolved </w:t>
      </w:r>
      <w:r w:rsidR="00CA115B">
        <w:rPr>
          <w:rFonts w:ascii="Arial" w:hAnsi="Arial" w:cs="Arial"/>
          <w:sz w:val="24"/>
          <w:szCs w:val="24"/>
        </w:rPr>
        <w:t>on</w:t>
      </w:r>
      <w:r w:rsidRPr="004704F3">
        <w:rPr>
          <w:rFonts w:ascii="Arial" w:hAnsi="Arial" w:cs="Arial"/>
          <w:sz w:val="24"/>
          <w:szCs w:val="24"/>
        </w:rPr>
        <w:t xml:space="preserve"> August 29, 2</w:t>
      </w:r>
      <w:r w:rsidR="00A1659F">
        <w:rPr>
          <w:rFonts w:ascii="Arial" w:hAnsi="Arial" w:cs="Arial"/>
          <w:sz w:val="24"/>
          <w:szCs w:val="24"/>
        </w:rPr>
        <w:t>018.</w:t>
      </w:r>
    </w:p>
    <w:p w:rsidR="00C417FF" w:rsidRPr="004704F3" w:rsidRDefault="00E36B95" w:rsidP="00E77CF1">
      <w:pPr>
        <w:rPr>
          <w:rFonts w:ascii="Arial" w:hAnsi="Arial" w:cs="Arial"/>
          <w:sz w:val="24"/>
          <w:szCs w:val="24"/>
        </w:rPr>
      </w:pPr>
      <w:r w:rsidRPr="004704F3">
        <w:rPr>
          <w:rFonts w:ascii="Arial" w:hAnsi="Arial" w:cs="Arial"/>
          <w:sz w:val="24"/>
          <w:szCs w:val="24"/>
        </w:rPr>
        <w:t>The remaining 4 cases are on extended leave and the computing of the 12-month period was suspended.</w:t>
      </w:r>
    </w:p>
    <w:p w:rsidR="00AE209A" w:rsidRPr="004704F3" w:rsidRDefault="00846336" w:rsidP="00E77CF1">
      <w:pPr>
        <w:pStyle w:val="Subtitle"/>
        <w:rPr>
          <w:rFonts w:ascii="Arial" w:hAnsi="Arial" w:cs="Arial"/>
          <w:sz w:val="24"/>
          <w:szCs w:val="24"/>
        </w:rPr>
      </w:pPr>
      <w:r>
        <w:rPr>
          <w:rFonts w:ascii="Arial" w:hAnsi="Arial" w:cs="Arial"/>
          <w:sz w:val="24"/>
          <w:szCs w:val="24"/>
        </w:rPr>
        <w:t>Recommendation</w:t>
      </w:r>
    </w:p>
    <w:p w:rsidR="00C417FF" w:rsidRPr="004704F3" w:rsidRDefault="00E36B95" w:rsidP="00E77CF1">
      <w:pPr>
        <w:rPr>
          <w:rFonts w:ascii="Arial" w:hAnsi="Arial" w:cs="Arial"/>
          <w:sz w:val="24"/>
          <w:szCs w:val="24"/>
        </w:rPr>
      </w:pPr>
      <w:r w:rsidRPr="004704F3">
        <w:rPr>
          <w:rFonts w:ascii="Arial" w:hAnsi="Arial" w:cs="Arial"/>
          <w:sz w:val="24"/>
          <w:szCs w:val="24"/>
        </w:rPr>
        <w:t>The PD and the SSD</w:t>
      </w:r>
      <w:r w:rsidR="00CF1A35">
        <w:rPr>
          <w:rFonts w:ascii="Arial" w:hAnsi="Arial" w:cs="Arial"/>
          <w:sz w:val="24"/>
          <w:szCs w:val="24"/>
        </w:rPr>
        <w:t xml:space="preserve"> of the PSC</w:t>
      </w:r>
      <w:r w:rsidR="00DA7CAC">
        <w:rPr>
          <w:rFonts w:ascii="Arial" w:hAnsi="Arial" w:cs="Arial"/>
          <w:sz w:val="24"/>
          <w:szCs w:val="24"/>
        </w:rPr>
        <w:t xml:space="preserve"> </w:t>
      </w:r>
      <w:r w:rsidRPr="004704F3">
        <w:rPr>
          <w:rFonts w:ascii="Arial" w:hAnsi="Arial" w:cs="Arial"/>
          <w:sz w:val="24"/>
          <w:szCs w:val="24"/>
        </w:rPr>
        <w:t>to continue working with organizations that have outstanding and non-compliant cases until all cases are resolved.</w:t>
      </w:r>
    </w:p>
    <w:p w:rsidR="00972759" w:rsidRDefault="00AE209A" w:rsidP="00972759">
      <w:pPr>
        <w:pStyle w:val="Heading1"/>
        <w:rPr>
          <w:rFonts w:ascii="Arial" w:hAnsi="Arial" w:cs="Arial"/>
          <w:sz w:val="24"/>
          <w:szCs w:val="24"/>
        </w:rPr>
      </w:pPr>
      <w:r w:rsidRPr="004704F3">
        <w:rPr>
          <w:rFonts w:ascii="Arial" w:hAnsi="Arial" w:cs="Arial"/>
          <w:sz w:val="24"/>
          <w:szCs w:val="24"/>
        </w:rPr>
        <w:t>C</w:t>
      </w:r>
      <w:r w:rsidR="00614CE1" w:rsidRPr="004704F3">
        <w:rPr>
          <w:rFonts w:ascii="Arial" w:hAnsi="Arial" w:cs="Arial"/>
          <w:sz w:val="24"/>
          <w:szCs w:val="24"/>
        </w:rPr>
        <w:t>yclical assessments – Update</w:t>
      </w:r>
    </w:p>
    <w:p w:rsidR="00846336" w:rsidRPr="00846336" w:rsidRDefault="00846336" w:rsidP="00846336"/>
    <w:p w:rsidR="00C417FF" w:rsidRPr="004704F3" w:rsidRDefault="00E36B95" w:rsidP="00E77CF1">
      <w:pPr>
        <w:rPr>
          <w:rFonts w:ascii="Arial" w:hAnsi="Arial" w:cs="Arial"/>
          <w:sz w:val="24"/>
          <w:szCs w:val="24"/>
        </w:rPr>
      </w:pPr>
      <w:r w:rsidRPr="004704F3">
        <w:rPr>
          <w:rFonts w:ascii="Arial" w:hAnsi="Arial" w:cs="Arial"/>
          <w:sz w:val="24"/>
          <w:szCs w:val="24"/>
        </w:rPr>
        <w:t>Since the implementation of the NDS, 8% (6/76) of organisations have submitted their cyclica</w:t>
      </w:r>
      <w:r w:rsidR="00A1659F">
        <w:rPr>
          <w:rFonts w:ascii="Arial" w:hAnsi="Arial" w:cs="Arial"/>
          <w:sz w:val="24"/>
          <w:szCs w:val="24"/>
        </w:rPr>
        <w:t>l assessment reports. They are:</w:t>
      </w:r>
    </w:p>
    <w:tbl>
      <w:tblPr>
        <w:tblW w:w="0" w:type="auto"/>
        <w:tblCellMar>
          <w:left w:w="0" w:type="dxa"/>
          <w:right w:w="0" w:type="dxa"/>
        </w:tblCellMar>
        <w:tblLook w:val="0420" w:firstRow="1" w:lastRow="0" w:firstColumn="0" w:lastColumn="0" w:noHBand="0" w:noVBand="1"/>
        <w:tblCaption w:val="Table of provided cyclical asssessment reports"/>
        <w:tblDescription w:val="This table enumerate the organizations who submitted their cyclical assessment reports."/>
      </w:tblPr>
      <w:tblGrid>
        <w:gridCol w:w="6289"/>
        <w:gridCol w:w="2331"/>
      </w:tblGrid>
      <w:tr w:rsidR="00AE209A" w:rsidRPr="004704F3" w:rsidTr="001B714B">
        <w:trPr>
          <w:trHeight w:val="469"/>
          <w:tblHeader/>
        </w:trPr>
        <w:tc>
          <w:tcPr>
            <w:tcW w:w="8680" w:type="dxa"/>
            <w:tcBorders>
              <w:top w:val="single" w:sz="8" w:space="0" w:color="FFFFFF"/>
              <w:left w:val="single" w:sz="8" w:space="0" w:color="FFFFFF"/>
              <w:bottom w:val="single" w:sz="24" w:space="0" w:color="FFFFFF"/>
              <w:right w:val="single" w:sz="8" w:space="0" w:color="FFFFFF"/>
            </w:tcBorders>
            <w:shd w:val="clear" w:color="auto" w:fill="00A995"/>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b/>
                <w:bCs/>
                <w:color w:val="000000" w:themeColor="text1"/>
                <w:sz w:val="24"/>
                <w:szCs w:val="24"/>
              </w:rPr>
              <w:t>Organization</w:t>
            </w:r>
          </w:p>
        </w:tc>
        <w:tc>
          <w:tcPr>
            <w:tcW w:w="2960" w:type="dxa"/>
            <w:tcBorders>
              <w:top w:val="single" w:sz="8" w:space="0" w:color="FFFFFF"/>
              <w:left w:val="single" w:sz="8" w:space="0" w:color="FFFFFF"/>
              <w:bottom w:val="single" w:sz="24" w:space="0" w:color="FFFFFF"/>
              <w:right w:val="single" w:sz="8" w:space="0" w:color="FFFFFF"/>
            </w:tcBorders>
            <w:shd w:val="clear" w:color="auto" w:fill="00A995"/>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b/>
                <w:bCs/>
                <w:color w:val="000000" w:themeColor="text1"/>
                <w:sz w:val="24"/>
                <w:szCs w:val="24"/>
              </w:rPr>
              <w:t>Cycle received</w:t>
            </w:r>
          </w:p>
        </w:tc>
      </w:tr>
      <w:tr w:rsidR="00AE209A" w:rsidRPr="004704F3" w:rsidTr="00D867D3">
        <w:trPr>
          <w:trHeight w:val="446"/>
        </w:trPr>
        <w:tc>
          <w:tcPr>
            <w:tcW w:w="8680" w:type="dxa"/>
            <w:tcBorders>
              <w:top w:val="single" w:sz="24" w:space="0" w:color="FFFFFF"/>
              <w:left w:val="single" w:sz="8" w:space="0" w:color="FFFFFF"/>
              <w:bottom w:val="single" w:sz="8" w:space="0" w:color="FFFFFF"/>
              <w:right w:val="single" w:sz="8" w:space="0" w:color="FFFFFF"/>
            </w:tcBorders>
            <w:shd w:val="clear" w:color="auto" w:fill="CBE2DD"/>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 xml:space="preserve">Canadian Intergovernmental Conference </w:t>
            </w:r>
            <w:bookmarkStart w:id="0" w:name="_GoBack"/>
            <w:bookmarkEnd w:id="0"/>
            <w:r w:rsidRPr="001B714B">
              <w:rPr>
                <w:rFonts w:ascii="Arial" w:hAnsi="Arial" w:cs="Arial"/>
                <w:color w:val="000000" w:themeColor="text1"/>
                <w:sz w:val="24"/>
                <w:szCs w:val="24"/>
              </w:rPr>
              <w:t>Secretariat</w:t>
            </w:r>
          </w:p>
        </w:tc>
        <w:tc>
          <w:tcPr>
            <w:tcW w:w="2960" w:type="dxa"/>
            <w:tcBorders>
              <w:top w:val="single" w:sz="24" w:space="0" w:color="FFFFFF"/>
              <w:left w:val="single" w:sz="8" w:space="0" w:color="FFFFFF"/>
              <w:bottom w:val="single" w:sz="8" w:space="0" w:color="FFFFFF"/>
              <w:right w:val="single" w:sz="8" w:space="0" w:color="FFFFFF"/>
            </w:tcBorders>
            <w:shd w:val="clear" w:color="auto" w:fill="CBE2DD"/>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2016-2017</w:t>
            </w:r>
          </w:p>
        </w:tc>
      </w:tr>
      <w:tr w:rsidR="00AE209A" w:rsidRPr="004704F3" w:rsidTr="00D867D3">
        <w:trPr>
          <w:trHeight w:val="446"/>
        </w:trPr>
        <w:tc>
          <w:tcPr>
            <w:tcW w:w="8680" w:type="dxa"/>
            <w:tcBorders>
              <w:top w:val="single" w:sz="8" w:space="0" w:color="FFFFFF"/>
              <w:left w:val="single" w:sz="8" w:space="0" w:color="FFFFFF"/>
              <w:bottom w:val="single" w:sz="8" w:space="0" w:color="FFFFFF"/>
              <w:right w:val="single" w:sz="8" w:space="0" w:color="FFFFFF"/>
            </w:tcBorders>
            <w:shd w:val="clear" w:color="auto" w:fill="E7F1EF"/>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Indigenous and Northern Affairs Canada</w:t>
            </w:r>
          </w:p>
        </w:tc>
        <w:tc>
          <w:tcPr>
            <w:tcW w:w="2960" w:type="dxa"/>
            <w:tcBorders>
              <w:top w:val="single" w:sz="8" w:space="0" w:color="FFFFFF"/>
              <w:left w:val="single" w:sz="8" w:space="0" w:color="FFFFFF"/>
              <w:bottom w:val="single" w:sz="8" w:space="0" w:color="FFFFFF"/>
              <w:right w:val="single" w:sz="8" w:space="0" w:color="FFFFFF"/>
            </w:tcBorders>
            <w:shd w:val="clear" w:color="auto" w:fill="E7F1EF"/>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2016-2017</w:t>
            </w:r>
          </w:p>
        </w:tc>
      </w:tr>
      <w:tr w:rsidR="00AE209A" w:rsidRPr="004704F3" w:rsidTr="00D867D3">
        <w:trPr>
          <w:trHeight w:val="446"/>
        </w:trPr>
        <w:tc>
          <w:tcPr>
            <w:tcW w:w="8680" w:type="dxa"/>
            <w:tcBorders>
              <w:top w:val="single" w:sz="8" w:space="0" w:color="FFFFFF"/>
              <w:left w:val="single" w:sz="8" w:space="0" w:color="FFFFFF"/>
              <w:bottom w:val="single" w:sz="8" w:space="0" w:color="FFFFFF"/>
              <w:right w:val="single" w:sz="8" w:space="0" w:color="FFFFFF"/>
            </w:tcBorders>
            <w:shd w:val="clear" w:color="auto" w:fill="CBE2DD"/>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Shared Services Canada*</w:t>
            </w:r>
          </w:p>
        </w:tc>
        <w:tc>
          <w:tcPr>
            <w:tcW w:w="2960" w:type="dxa"/>
            <w:tcBorders>
              <w:top w:val="single" w:sz="8" w:space="0" w:color="FFFFFF"/>
              <w:left w:val="single" w:sz="8" w:space="0" w:color="FFFFFF"/>
              <w:bottom w:val="single" w:sz="8" w:space="0" w:color="FFFFFF"/>
              <w:right w:val="single" w:sz="8" w:space="0" w:color="FFFFFF"/>
            </w:tcBorders>
            <w:shd w:val="clear" w:color="auto" w:fill="CBE2DD"/>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2016-2017</w:t>
            </w:r>
          </w:p>
        </w:tc>
      </w:tr>
      <w:tr w:rsidR="00AE209A" w:rsidRPr="004704F3" w:rsidTr="00D867D3">
        <w:trPr>
          <w:trHeight w:val="446"/>
        </w:trPr>
        <w:tc>
          <w:tcPr>
            <w:tcW w:w="8680" w:type="dxa"/>
            <w:tcBorders>
              <w:top w:val="single" w:sz="8" w:space="0" w:color="FFFFFF"/>
              <w:left w:val="single" w:sz="8" w:space="0" w:color="FFFFFF"/>
              <w:bottom w:val="single" w:sz="8" w:space="0" w:color="FFFFFF"/>
              <w:right w:val="single" w:sz="8" w:space="0" w:color="FFFFFF"/>
            </w:tcBorders>
            <w:shd w:val="clear" w:color="auto" w:fill="E7F1EF"/>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Privy Council Office*</w:t>
            </w:r>
          </w:p>
        </w:tc>
        <w:tc>
          <w:tcPr>
            <w:tcW w:w="2960" w:type="dxa"/>
            <w:tcBorders>
              <w:top w:val="single" w:sz="8" w:space="0" w:color="FFFFFF"/>
              <w:left w:val="single" w:sz="8" w:space="0" w:color="FFFFFF"/>
              <w:bottom w:val="single" w:sz="8" w:space="0" w:color="FFFFFF"/>
              <w:right w:val="single" w:sz="8" w:space="0" w:color="FFFFFF"/>
            </w:tcBorders>
            <w:shd w:val="clear" w:color="auto" w:fill="E7F1EF"/>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2017-2018</w:t>
            </w:r>
          </w:p>
        </w:tc>
      </w:tr>
      <w:tr w:rsidR="00AE209A" w:rsidRPr="004704F3" w:rsidTr="00D867D3">
        <w:trPr>
          <w:trHeight w:val="466"/>
        </w:trPr>
        <w:tc>
          <w:tcPr>
            <w:tcW w:w="8680" w:type="dxa"/>
            <w:tcBorders>
              <w:top w:val="single" w:sz="8" w:space="0" w:color="FFFFFF"/>
              <w:left w:val="single" w:sz="8" w:space="0" w:color="FFFFFF"/>
              <w:bottom w:val="single" w:sz="8" w:space="0" w:color="FFFFFF"/>
              <w:right w:val="single" w:sz="8" w:space="0" w:color="FFFFFF"/>
            </w:tcBorders>
            <w:shd w:val="clear" w:color="auto" w:fill="CBE2DD"/>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Natural Resources Canada</w:t>
            </w:r>
          </w:p>
        </w:tc>
        <w:tc>
          <w:tcPr>
            <w:tcW w:w="2960" w:type="dxa"/>
            <w:tcBorders>
              <w:top w:val="single" w:sz="8" w:space="0" w:color="FFFFFF"/>
              <w:left w:val="single" w:sz="8" w:space="0" w:color="FFFFFF"/>
              <w:bottom w:val="single" w:sz="8" w:space="0" w:color="FFFFFF"/>
              <w:right w:val="single" w:sz="8" w:space="0" w:color="FFFFFF"/>
            </w:tcBorders>
            <w:shd w:val="clear" w:color="auto" w:fill="CBE2DD"/>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2017-2018</w:t>
            </w:r>
          </w:p>
        </w:tc>
      </w:tr>
      <w:tr w:rsidR="00AE209A" w:rsidRPr="004704F3" w:rsidTr="00D867D3">
        <w:trPr>
          <w:trHeight w:val="446"/>
        </w:trPr>
        <w:tc>
          <w:tcPr>
            <w:tcW w:w="8680" w:type="dxa"/>
            <w:tcBorders>
              <w:top w:val="single" w:sz="8" w:space="0" w:color="FFFFFF"/>
              <w:left w:val="single" w:sz="8" w:space="0" w:color="FFFFFF"/>
              <w:bottom w:val="single" w:sz="8" w:space="0" w:color="FFFFFF"/>
              <w:right w:val="single" w:sz="8" w:space="0" w:color="FFFFFF"/>
            </w:tcBorders>
            <w:shd w:val="clear" w:color="auto" w:fill="E7F1EF"/>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Public Safety Canada</w:t>
            </w:r>
          </w:p>
        </w:tc>
        <w:tc>
          <w:tcPr>
            <w:tcW w:w="2960" w:type="dxa"/>
            <w:tcBorders>
              <w:top w:val="single" w:sz="8" w:space="0" w:color="FFFFFF"/>
              <w:left w:val="single" w:sz="8" w:space="0" w:color="FFFFFF"/>
              <w:bottom w:val="single" w:sz="8" w:space="0" w:color="FFFFFF"/>
              <w:right w:val="single" w:sz="8" w:space="0" w:color="FFFFFF"/>
            </w:tcBorders>
            <w:shd w:val="clear" w:color="auto" w:fill="E7F1EF"/>
            <w:tcMar>
              <w:top w:w="72" w:type="dxa"/>
              <w:left w:w="144" w:type="dxa"/>
              <w:bottom w:w="72" w:type="dxa"/>
              <w:right w:w="144" w:type="dxa"/>
            </w:tcMar>
            <w:hideMark/>
          </w:tcPr>
          <w:p w:rsidR="00AE209A" w:rsidRPr="001B714B" w:rsidRDefault="00AE209A" w:rsidP="00AE209A">
            <w:pPr>
              <w:rPr>
                <w:rFonts w:ascii="Arial" w:hAnsi="Arial" w:cs="Arial"/>
                <w:color w:val="000000" w:themeColor="text1"/>
                <w:sz w:val="24"/>
                <w:szCs w:val="24"/>
              </w:rPr>
            </w:pPr>
            <w:r w:rsidRPr="001B714B">
              <w:rPr>
                <w:rFonts w:ascii="Arial" w:hAnsi="Arial" w:cs="Arial"/>
                <w:color w:val="000000" w:themeColor="text1"/>
                <w:sz w:val="24"/>
                <w:szCs w:val="24"/>
              </w:rPr>
              <w:t>2017-2018</w:t>
            </w:r>
          </w:p>
        </w:tc>
      </w:tr>
    </w:tbl>
    <w:p w:rsidR="00AE209A" w:rsidRPr="004704F3" w:rsidRDefault="00AE209A">
      <w:pPr>
        <w:rPr>
          <w:rFonts w:ascii="Arial" w:hAnsi="Arial" w:cs="Arial"/>
          <w:color w:val="538135" w:themeColor="accent6" w:themeShade="BF"/>
          <w:sz w:val="24"/>
          <w:szCs w:val="24"/>
        </w:rPr>
      </w:pPr>
    </w:p>
    <w:p w:rsidR="00C417FF" w:rsidRPr="004704F3" w:rsidRDefault="00E36B95" w:rsidP="00E77CF1">
      <w:pPr>
        <w:rPr>
          <w:rFonts w:ascii="Arial" w:hAnsi="Arial" w:cs="Arial"/>
          <w:sz w:val="24"/>
          <w:szCs w:val="24"/>
        </w:rPr>
      </w:pPr>
      <w:r w:rsidRPr="004704F3">
        <w:rPr>
          <w:rFonts w:ascii="Arial" w:hAnsi="Arial" w:cs="Arial"/>
          <w:sz w:val="24"/>
          <w:szCs w:val="24"/>
        </w:rPr>
        <w:t>The analysis of these reports is ongoing, and will be presented to EMC and MOC in the near future.</w:t>
      </w:r>
    </w:p>
    <w:p w:rsidR="00AE209A" w:rsidRPr="0004766E" w:rsidRDefault="00AE209A" w:rsidP="00E77CF1">
      <w:pPr>
        <w:rPr>
          <w:rFonts w:ascii="Arial" w:hAnsi="Arial" w:cs="Arial"/>
          <w:sz w:val="24"/>
          <w:szCs w:val="24"/>
        </w:rPr>
      </w:pPr>
      <w:r w:rsidRPr="0004766E">
        <w:rPr>
          <w:rFonts w:ascii="Arial" w:hAnsi="Arial" w:cs="Arial"/>
          <w:sz w:val="24"/>
          <w:szCs w:val="24"/>
        </w:rPr>
        <w:t>*Requested by PSC</w:t>
      </w:r>
    </w:p>
    <w:p w:rsidR="00AE209A" w:rsidRDefault="00AE209A" w:rsidP="00E77CF1">
      <w:pPr>
        <w:pStyle w:val="Heading1"/>
        <w:rPr>
          <w:rFonts w:ascii="Arial" w:hAnsi="Arial" w:cs="Arial"/>
          <w:sz w:val="24"/>
          <w:szCs w:val="24"/>
        </w:rPr>
      </w:pPr>
      <w:r w:rsidRPr="004704F3">
        <w:rPr>
          <w:rFonts w:ascii="Arial" w:hAnsi="Arial" w:cs="Arial"/>
          <w:sz w:val="24"/>
          <w:szCs w:val="24"/>
        </w:rPr>
        <w:t>Overall observations</w:t>
      </w:r>
    </w:p>
    <w:p w:rsidR="00846336" w:rsidRPr="00846336" w:rsidRDefault="00846336" w:rsidP="00846336"/>
    <w:p w:rsidR="00C417FF" w:rsidRPr="004704F3" w:rsidRDefault="00E36B95" w:rsidP="00E77CF1">
      <w:pPr>
        <w:rPr>
          <w:rFonts w:ascii="Arial" w:hAnsi="Arial" w:cs="Arial"/>
          <w:sz w:val="24"/>
          <w:szCs w:val="24"/>
        </w:rPr>
      </w:pPr>
      <w:r w:rsidRPr="004704F3">
        <w:rPr>
          <w:rFonts w:ascii="Arial" w:hAnsi="Arial" w:cs="Arial"/>
          <w:sz w:val="24"/>
          <w:szCs w:val="24"/>
        </w:rPr>
        <w:t>No significant trend markers can be identified at this time.</w:t>
      </w:r>
    </w:p>
    <w:p w:rsidR="00C417FF" w:rsidRPr="004704F3" w:rsidRDefault="00E36B95" w:rsidP="00E77CF1">
      <w:pPr>
        <w:rPr>
          <w:rFonts w:ascii="Arial" w:hAnsi="Arial" w:cs="Arial"/>
          <w:sz w:val="24"/>
          <w:szCs w:val="24"/>
        </w:rPr>
      </w:pPr>
      <w:r w:rsidRPr="004704F3">
        <w:rPr>
          <w:rFonts w:ascii="Arial" w:hAnsi="Arial" w:cs="Arial"/>
          <w:sz w:val="24"/>
          <w:szCs w:val="24"/>
        </w:rPr>
        <w:t>The number of appointments made from DH approved exceptions to NAOS remains low.</w:t>
      </w:r>
    </w:p>
    <w:p w:rsidR="00C417FF" w:rsidRPr="004704F3" w:rsidRDefault="00E36B95" w:rsidP="00E77CF1">
      <w:pPr>
        <w:rPr>
          <w:rFonts w:ascii="Arial" w:hAnsi="Arial" w:cs="Arial"/>
          <w:sz w:val="24"/>
          <w:szCs w:val="24"/>
        </w:rPr>
      </w:pPr>
      <w:r w:rsidRPr="004704F3">
        <w:rPr>
          <w:rFonts w:ascii="Arial" w:hAnsi="Arial" w:cs="Arial"/>
          <w:sz w:val="24"/>
          <w:szCs w:val="24"/>
        </w:rPr>
        <w:lastRenderedPageBreak/>
        <w:t>There is no significant change in terms of the number of internal investigations conducted by DH (15(3) of the PSEA) from the previous cycle reporting.</w:t>
      </w:r>
    </w:p>
    <w:p w:rsidR="00AE209A" w:rsidRPr="00A1659F" w:rsidRDefault="00E36B95" w:rsidP="00E77CF1">
      <w:pPr>
        <w:rPr>
          <w:rFonts w:ascii="Arial" w:hAnsi="Arial" w:cs="Arial"/>
          <w:sz w:val="24"/>
          <w:szCs w:val="24"/>
        </w:rPr>
      </w:pPr>
      <w:r w:rsidRPr="004704F3">
        <w:rPr>
          <w:rFonts w:ascii="Arial" w:hAnsi="Arial" w:cs="Arial"/>
          <w:sz w:val="24"/>
          <w:szCs w:val="24"/>
        </w:rPr>
        <w:t>Similar to last year, the majority of organizations manage the exclusions for PSOLEAO in accordance with the statutory instruments.</w:t>
      </w:r>
    </w:p>
    <w:sectPr w:rsidR="00AE209A" w:rsidRPr="00A1659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01E" w:rsidRDefault="00F2201E" w:rsidP="0069656B">
      <w:pPr>
        <w:spacing w:after="0" w:line="240" w:lineRule="auto"/>
      </w:pPr>
      <w:r>
        <w:separator/>
      </w:r>
    </w:p>
  </w:endnote>
  <w:endnote w:type="continuationSeparator" w:id="0">
    <w:p w:rsidR="00F2201E" w:rsidRDefault="00F2201E" w:rsidP="0069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01E" w:rsidRDefault="00F2201E" w:rsidP="0069656B">
      <w:pPr>
        <w:spacing w:after="0" w:line="240" w:lineRule="auto"/>
      </w:pPr>
      <w:r>
        <w:separator/>
      </w:r>
    </w:p>
  </w:footnote>
  <w:footnote w:type="continuationSeparator" w:id="0">
    <w:p w:rsidR="00F2201E" w:rsidRDefault="00F2201E" w:rsidP="00696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729"/>
    <w:multiLevelType w:val="hybridMultilevel"/>
    <w:tmpl w:val="B7FCD4D6"/>
    <w:lvl w:ilvl="0" w:tplc="C88898F8">
      <w:start w:val="1"/>
      <w:numFmt w:val="bullet"/>
      <w:lvlText w:val="•"/>
      <w:lvlJc w:val="left"/>
      <w:pPr>
        <w:tabs>
          <w:tab w:val="num" w:pos="720"/>
        </w:tabs>
        <w:ind w:left="720" w:hanging="360"/>
      </w:pPr>
      <w:rPr>
        <w:rFonts w:ascii="Arial" w:hAnsi="Arial" w:hint="default"/>
      </w:rPr>
    </w:lvl>
    <w:lvl w:ilvl="1" w:tplc="FEFE0D1A" w:tentative="1">
      <w:start w:val="1"/>
      <w:numFmt w:val="bullet"/>
      <w:lvlText w:val="•"/>
      <w:lvlJc w:val="left"/>
      <w:pPr>
        <w:tabs>
          <w:tab w:val="num" w:pos="1440"/>
        </w:tabs>
        <w:ind w:left="1440" w:hanging="360"/>
      </w:pPr>
      <w:rPr>
        <w:rFonts w:ascii="Arial" w:hAnsi="Arial" w:hint="default"/>
      </w:rPr>
    </w:lvl>
    <w:lvl w:ilvl="2" w:tplc="F6BC1642" w:tentative="1">
      <w:start w:val="1"/>
      <w:numFmt w:val="bullet"/>
      <w:lvlText w:val="•"/>
      <w:lvlJc w:val="left"/>
      <w:pPr>
        <w:tabs>
          <w:tab w:val="num" w:pos="2160"/>
        </w:tabs>
        <w:ind w:left="2160" w:hanging="360"/>
      </w:pPr>
      <w:rPr>
        <w:rFonts w:ascii="Arial" w:hAnsi="Arial" w:hint="default"/>
      </w:rPr>
    </w:lvl>
    <w:lvl w:ilvl="3" w:tplc="4FC25F1A" w:tentative="1">
      <w:start w:val="1"/>
      <w:numFmt w:val="bullet"/>
      <w:lvlText w:val="•"/>
      <w:lvlJc w:val="left"/>
      <w:pPr>
        <w:tabs>
          <w:tab w:val="num" w:pos="2880"/>
        </w:tabs>
        <w:ind w:left="2880" w:hanging="360"/>
      </w:pPr>
      <w:rPr>
        <w:rFonts w:ascii="Arial" w:hAnsi="Arial" w:hint="default"/>
      </w:rPr>
    </w:lvl>
    <w:lvl w:ilvl="4" w:tplc="D4A8B8EE" w:tentative="1">
      <w:start w:val="1"/>
      <w:numFmt w:val="bullet"/>
      <w:lvlText w:val="•"/>
      <w:lvlJc w:val="left"/>
      <w:pPr>
        <w:tabs>
          <w:tab w:val="num" w:pos="3600"/>
        </w:tabs>
        <w:ind w:left="3600" w:hanging="360"/>
      </w:pPr>
      <w:rPr>
        <w:rFonts w:ascii="Arial" w:hAnsi="Arial" w:hint="default"/>
      </w:rPr>
    </w:lvl>
    <w:lvl w:ilvl="5" w:tplc="F45607EE" w:tentative="1">
      <w:start w:val="1"/>
      <w:numFmt w:val="bullet"/>
      <w:lvlText w:val="•"/>
      <w:lvlJc w:val="left"/>
      <w:pPr>
        <w:tabs>
          <w:tab w:val="num" w:pos="4320"/>
        </w:tabs>
        <w:ind w:left="4320" w:hanging="360"/>
      </w:pPr>
      <w:rPr>
        <w:rFonts w:ascii="Arial" w:hAnsi="Arial" w:hint="default"/>
      </w:rPr>
    </w:lvl>
    <w:lvl w:ilvl="6" w:tplc="8604A8FA" w:tentative="1">
      <w:start w:val="1"/>
      <w:numFmt w:val="bullet"/>
      <w:lvlText w:val="•"/>
      <w:lvlJc w:val="left"/>
      <w:pPr>
        <w:tabs>
          <w:tab w:val="num" w:pos="5040"/>
        </w:tabs>
        <w:ind w:left="5040" w:hanging="360"/>
      </w:pPr>
      <w:rPr>
        <w:rFonts w:ascii="Arial" w:hAnsi="Arial" w:hint="default"/>
      </w:rPr>
    </w:lvl>
    <w:lvl w:ilvl="7" w:tplc="FB2E9C4E" w:tentative="1">
      <w:start w:val="1"/>
      <w:numFmt w:val="bullet"/>
      <w:lvlText w:val="•"/>
      <w:lvlJc w:val="left"/>
      <w:pPr>
        <w:tabs>
          <w:tab w:val="num" w:pos="5760"/>
        </w:tabs>
        <w:ind w:left="5760" w:hanging="360"/>
      </w:pPr>
      <w:rPr>
        <w:rFonts w:ascii="Arial" w:hAnsi="Arial" w:hint="default"/>
      </w:rPr>
    </w:lvl>
    <w:lvl w:ilvl="8" w:tplc="E93679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057721"/>
    <w:multiLevelType w:val="hybridMultilevel"/>
    <w:tmpl w:val="E62245A2"/>
    <w:lvl w:ilvl="0" w:tplc="C07A96C4">
      <w:start w:val="1"/>
      <w:numFmt w:val="bullet"/>
      <w:lvlText w:val="•"/>
      <w:lvlJc w:val="left"/>
      <w:pPr>
        <w:tabs>
          <w:tab w:val="num" w:pos="720"/>
        </w:tabs>
        <w:ind w:left="720" w:hanging="360"/>
      </w:pPr>
      <w:rPr>
        <w:rFonts w:ascii="Arial" w:hAnsi="Arial" w:hint="default"/>
      </w:rPr>
    </w:lvl>
    <w:lvl w:ilvl="1" w:tplc="55921A0E">
      <w:start w:val="270"/>
      <w:numFmt w:val="bullet"/>
      <w:lvlText w:val="•"/>
      <w:lvlJc w:val="left"/>
      <w:pPr>
        <w:tabs>
          <w:tab w:val="num" w:pos="1440"/>
        </w:tabs>
        <w:ind w:left="1440" w:hanging="360"/>
      </w:pPr>
      <w:rPr>
        <w:rFonts w:ascii="Arial" w:hAnsi="Arial" w:hint="default"/>
      </w:rPr>
    </w:lvl>
    <w:lvl w:ilvl="2" w:tplc="0AA6082A" w:tentative="1">
      <w:start w:val="1"/>
      <w:numFmt w:val="bullet"/>
      <w:lvlText w:val="•"/>
      <w:lvlJc w:val="left"/>
      <w:pPr>
        <w:tabs>
          <w:tab w:val="num" w:pos="2160"/>
        </w:tabs>
        <w:ind w:left="2160" w:hanging="360"/>
      </w:pPr>
      <w:rPr>
        <w:rFonts w:ascii="Arial" w:hAnsi="Arial" w:hint="default"/>
      </w:rPr>
    </w:lvl>
    <w:lvl w:ilvl="3" w:tplc="6C046AD2" w:tentative="1">
      <w:start w:val="1"/>
      <w:numFmt w:val="bullet"/>
      <w:lvlText w:val="•"/>
      <w:lvlJc w:val="left"/>
      <w:pPr>
        <w:tabs>
          <w:tab w:val="num" w:pos="2880"/>
        </w:tabs>
        <w:ind w:left="2880" w:hanging="360"/>
      </w:pPr>
      <w:rPr>
        <w:rFonts w:ascii="Arial" w:hAnsi="Arial" w:hint="default"/>
      </w:rPr>
    </w:lvl>
    <w:lvl w:ilvl="4" w:tplc="872E726A" w:tentative="1">
      <w:start w:val="1"/>
      <w:numFmt w:val="bullet"/>
      <w:lvlText w:val="•"/>
      <w:lvlJc w:val="left"/>
      <w:pPr>
        <w:tabs>
          <w:tab w:val="num" w:pos="3600"/>
        </w:tabs>
        <w:ind w:left="3600" w:hanging="360"/>
      </w:pPr>
      <w:rPr>
        <w:rFonts w:ascii="Arial" w:hAnsi="Arial" w:hint="default"/>
      </w:rPr>
    </w:lvl>
    <w:lvl w:ilvl="5" w:tplc="D3BEB836" w:tentative="1">
      <w:start w:val="1"/>
      <w:numFmt w:val="bullet"/>
      <w:lvlText w:val="•"/>
      <w:lvlJc w:val="left"/>
      <w:pPr>
        <w:tabs>
          <w:tab w:val="num" w:pos="4320"/>
        </w:tabs>
        <w:ind w:left="4320" w:hanging="360"/>
      </w:pPr>
      <w:rPr>
        <w:rFonts w:ascii="Arial" w:hAnsi="Arial" w:hint="default"/>
      </w:rPr>
    </w:lvl>
    <w:lvl w:ilvl="6" w:tplc="6E367C2C" w:tentative="1">
      <w:start w:val="1"/>
      <w:numFmt w:val="bullet"/>
      <w:lvlText w:val="•"/>
      <w:lvlJc w:val="left"/>
      <w:pPr>
        <w:tabs>
          <w:tab w:val="num" w:pos="5040"/>
        </w:tabs>
        <w:ind w:left="5040" w:hanging="360"/>
      </w:pPr>
      <w:rPr>
        <w:rFonts w:ascii="Arial" w:hAnsi="Arial" w:hint="default"/>
      </w:rPr>
    </w:lvl>
    <w:lvl w:ilvl="7" w:tplc="06C2BEBE" w:tentative="1">
      <w:start w:val="1"/>
      <w:numFmt w:val="bullet"/>
      <w:lvlText w:val="•"/>
      <w:lvlJc w:val="left"/>
      <w:pPr>
        <w:tabs>
          <w:tab w:val="num" w:pos="5760"/>
        </w:tabs>
        <w:ind w:left="5760" w:hanging="360"/>
      </w:pPr>
      <w:rPr>
        <w:rFonts w:ascii="Arial" w:hAnsi="Arial" w:hint="default"/>
      </w:rPr>
    </w:lvl>
    <w:lvl w:ilvl="8" w:tplc="14E283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99279D"/>
    <w:multiLevelType w:val="hybridMultilevel"/>
    <w:tmpl w:val="BBFC68AE"/>
    <w:lvl w:ilvl="0" w:tplc="37AA023A">
      <w:start w:val="1"/>
      <w:numFmt w:val="bullet"/>
      <w:lvlText w:val="•"/>
      <w:lvlJc w:val="left"/>
      <w:pPr>
        <w:tabs>
          <w:tab w:val="num" w:pos="720"/>
        </w:tabs>
        <w:ind w:left="720" w:hanging="360"/>
      </w:pPr>
      <w:rPr>
        <w:rFonts w:ascii="Arial" w:hAnsi="Arial" w:hint="default"/>
      </w:rPr>
    </w:lvl>
    <w:lvl w:ilvl="1" w:tplc="BCE64144" w:tentative="1">
      <w:start w:val="1"/>
      <w:numFmt w:val="bullet"/>
      <w:lvlText w:val="•"/>
      <w:lvlJc w:val="left"/>
      <w:pPr>
        <w:tabs>
          <w:tab w:val="num" w:pos="1440"/>
        </w:tabs>
        <w:ind w:left="1440" w:hanging="360"/>
      </w:pPr>
      <w:rPr>
        <w:rFonts w:ascii="Arial" w:hAnsi="Arial" w:hint="default"/>
      </w:rPr>
    </w:lvl>
    <w:lvl w:ilvl="2" w:tplc="42AE5808" w:tentative="1">
      <w:start w:val="1"/>
      <w:numFmt w:val="bullet"/>
      <w:lvlText w:val="•"/>
      <w:lvlJc w:val="left"/>
      <w:pPr>
        <w:tabs>
          <w:tab w:val="num" w:pos="2160"/>
        </w:tabs>
        <w:ind w:left="2160" w:hanging="360"/>
      </w:pPr>
      <w:rPr>
        <w:rFonts w:ascii="Arial" w:hAnsi="Arial" w:hint="default"/>
      </w:rPr>
    </w:lvl>
    <w:lvl w:ilvl="3" w:tplc="C7860FEC" w:tentative="1">
      <w:start w:val="1"/>
      <w:numFmt w:val="bullet"/>
      <w:lvlText w:val="•"/>
      <w:lvlJc w:val="left"/>
      <w:pPr>
        <w:tabs>
          <w:tab w:val="num" w:pos="2880"/>
        </w:tabs>
        <w:ind w:left="2880" w:hanging="360"/>
      </w:pPr>
      <w:rPr>
        <w:rFonts w:ascii="Arial" w:hAnsi="Arial" w:hint="default"/>
      </w:rPr>
    </w:lvl>
    <w:lvl w:ilvl="4" w:tplc="0EDEBE80" w:tentative="1">
      <w:start w:val="1"/>
      <w:numFmt w:val="bullet"/>
      <w:lvlText w:val="•"/>
      <w:lvlJc w:val="left"/>
      <w:pPr>
        <w:tabs>
          <w:tab w:val="num" w:pos="3600"/>
        </w:tabs>
        <w:ind w:left="3600" w:hanging="360"/>
      </w:pPr>
      <w:rPr>
        <w:rFonts w:ascii="Arial" w:hAnsi="Arial" w:hint="default"/>
      </w:rPr>
    </w:lvl>
    <w:lvl w:ilvl="5" w:tplc="A4F00DC6" w:tentative="1">
      <w:start w:val="1"/>
      <w:numFmt w:val="bullet"/>
      <w:lvlText w:val="•"/>
      <w:lvlJc w:val="left"/>
      <w:pPr>
        <w:tabs>
          <w:tab w:val="num" w:pos="4320"/>
        </w:tabs>
        <w:ind w:left="4320" w:hanging="360"/>
      </w:pPr>
      <w:rPr>
        <w:rFonts w:ascii="Arial" w:hAnsi="Arial" w:hint="default"/>
      </w:rPr>
    </w:lvl>
    <w:lvl w:ilvl="6" w:tplc="A568F734" w:tentative="1">
      <w:start w:val="1"/>
      <w:numFmt w:val="bullet"/>
      <w:lvlText w:val="•"/>
      <w:lvlJc w:val="left"/>
      <w:pPr>
        <w:tabs>
          <w:tab w:val="num" w:pos="5040"/>
        </w:tabs>
        <w:ind w:left="5040" w:hanging="360"/>
      </w:pPr>
      <w:rPr>
        <w:rFonts w:ascii="Arial" w:hAnsi="Arial" w:hint="default"/>
      </w:rPr>
    </w:lvl>
    <w:lvl w:ilvl="7" w:tplc="16727B3A" w:tentative="1">
      <w:start w:val="1"/>
      <w:numFmt w:val="bullet"/>
      <w:lvlText w:val="•"/>
      <w:lvlJc w:val="left"/>
      <w:pPr>
        <w:tabs>
          <w:tab w:val="num" w:pos="5760"/>
        </w:tabs>
        <w:ind w:left="5760" w:hanging="360"/>
      </w:pPr>
      <w:rPr>
        <w:rFonts w:ascii="Arial" w:hAnsi="Arial" w:hint="default"/>
      </w:rPr>
    </w:lvl>
    <w:lvl w:ilvl="8" w:tplc="C9A677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76121E"/>
    <w:multiLevelType w:val="hybridMultilevel"/>
    <w:tmpl w:val="6518C5B8"/>
    <w:lvl w:ilvl="0" w:tplc="DFE03D28">
      <w:start w:val="1"/>
      <w:numFmt w:val="bullet"/>
      <w:lvlText w:val="•"/>
      <w:lvlJc w:val="left"/>
      <w:pPr>
        <w:tabs>
          <w:tab w:val="num" w:pos="720"/>
        </w:tabs>
        <w:ind w:left="720" w:hanging="360"/>
      </w:pPr>
      <w:rPr>
        <w:rFonts w:ascii="Arial" w:hAnsi="Arial" w:hint="default"/>
      </w:rPr>
    </w:lvl>
    <w:lvl w:ilvl="1" w:tplc="9AA42D46" w:tentative="1">
      <w:start w:val="1"/>
      <w:numFmt w:val="bullet"/>
      <w:lvlText w:val="•"/>
      <w:lvlJc w:val="left"/>
      <w:pPr>
        <w:tabs>
          <w:tab w:val="num" w:pos="1440"/>
        </w:tabs>
        <w:ind w:left="1440" w:hanging="360"/>
      </w:pPr>
      <w:rPr>
        <w:rFonts w:ascii="Arial" w:hAnsi="Arial" w:hint="default"/>
      </w:rPr>
    </w:lvl>
    <w:lvl w:ilvl="2" w:tplc="46D6FF0C" w:tentative="1">
      <w:start w:val="1"/>
      <w:numFmt w:val="bullet"/>
      <w:lvlText w:val="•"/>
      <w:lvlJc w:val="left"/>
      <w:pPr>
        <w:tabs>
          <w:tab w:val="num" w:pos="2160"/>
        </w:tabs>
        <w:ind w:left="2160" w:hanging="360"/>
      </w:pPr>
      <w:rPr>
        <w:rFonts w:ascii="Arial" w:hAnsi="Arial" w:hint="default"/>
      </w:rPr>
    </w:lvl>
    <w:lvl w:ilvl="3" w:tplc="21342E2C" w:tentative="1">
      <w:start w:val="1"/>
      <w:numFmt w:val="bullet"/>
      <w:lvlText w:val="•"/>
      <w:lvlJc w:val="left"/>
      <w:pPr>
        <w:tabs>
          <w:tab w:val="num" w:pos="2880"/>
        </w:tabs>
        <w:ind w:left="2880" w:hanging="360"/>
      </w:pPr>
      <w:rPr>
        <w:rFonts w:ascii="Arial" w:hAnsi="Arial" w:hint="default"/>
      </w:rPr>
    </w:lvl>
    <w:lvl w:ilvl="4" w:tplc="CFFCAE78" w:tentative="1">
      <w:start w:val="1"/>
      <w:numFmt w:val="bullet"/>
      <w:lvlText w:val="•"/>
      <w:lvlJc w:val="left"/>
      <w:pPr>
        <w:tabs>
          <w:tab w:val="num" w:pos="3600"/>
        </w:tabs>
        <w:ind w:left="3600" w:hanging="360"/>
      </w:pPr>
      <w:rPr>
        <w:rFonts w:ascii="Arial" w:hAnsi="Arial" w:hint="default"/>
      </w:rPr>
    </w:lvl>
    <w:lvl w:ilvl="5" w:tplc="C958CEF2" w:tentative="1">
      <w:start w:val="1"/>
      <w:numFmt w:val="bullet"/>
      <w:lvlText w:val="•"/>
      <w:lvlJc w:val="left"/>
      <w:pPr>
        <w:tabs>
          <w:tab w:val="num" w:pos="4320"/>
        </w:tabs>
        <w:ind w:left="4320" w:hanging="360"/>
      </w:pPr>
      <w:rPr>
        <w:rFonts w:ascii="Arial" w:hAnsi="Arial" w:hint="default"/>
      </w:rPr>
    </w:lvl>
    <w:lvl w:ilvl="6" w:tplc="C50CFB7C" w:tentative="1">
      <w:start w:val="1"/>
      <w:numFmt w:val="bullet"/>
      <w:lvlText w:val="•"/>
      <w:lvlJc w:val="left"/>
      <w:pPr>
        <w:tabs>
          <w:tab w:val="num" w:pos="5040"/>
        </w:tabs>
        <w:ind w:left="5040" w:hanging="360"/>
      </w:pPr>
      <w:rPr>
        <w:rFonts w:ascii="Arial" w:hAnsi="Arial" w:hint="default"/>
      </w:rPr>
    </w:lvl>
    <w:lvl w:ilvl="7" w:tplc="45F066F8" w:tentative="1">
      <w:start w:val="1"/>
      <w:numFmt w:val="bullet"/>
      <w:lvlText w:val="•"/>
      <w:lvlJc w:val="left"/>
      <w:pPr>
        <w:tabs>
          <w:tab w:val="num" w:pos="5760"/>
        </w:tabs>
        <w:ind w:left="5760" w:hanging="360"/>
      </w:pPr>
      <w:rPr>
        <w:rFonts w:ascii="Arial" w:hAnsi="Arial" w:hint="default"/>
      </w:rPr>
    </w:lvl>
    <w:lvl w:ilvl="8" w:tplc="A34ADD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C33217"/>
    <w:multiLevelType w:val="hybridMultilevel"/>
    <w:tmpl w:val="BE206F8A"/>
    <w:lvl w:ilvl="0" w:tplc="651C7D64">
      <w:start w:val="1"/>
      <w:numFmt w:val="bullet"/>
      <w:lvlText w:val="•"/>
      <w:lvlJc w:val="left"/>
      <w:pPr>
        <w:tabs>
          <w:tab w:val="num" w:pos="720"/>
        </w:tabs>
        <w:ind w:left="720" w:hanging="360"/>
      </w:pPr>
      <w:rPr>
        <w:rFonts w:ascii="Arial" w:hAnsi="Arial" w:hint="default"/>
      </w:rPr>
    </w:lvl>
    <w:lvl w:ilvl="1" w:tplc="D0723E7E">
      <w:start w:val="1"/>
      <w:numFmt w:val="bullet"/>
      <w:lvlText w:val="•"/>
      <w:lvlJc w:val="left"/>
      <w:pPr>
        <w:tabs>
          <w:tab w:val="num" w:pos="1440"/>
        </w:tabs>
        <w:ind w:left="1440" w:hanging="360"/>
      </w:pPr>
      <w:rPr>
        <w:rFonts w:ascii="Arial" w:hAnsi="Arial" w:hint="default"/>
      </w:rPr>
    </w:lvl>
    <w:lvl w:ilvl="2" w:tplc="E3748ED0" w:tentative="1">
      <w:start w:val="1"/>
      <w:numFmt w:val="bullet"/>
      <w:lvlText w:val="•"/>
      <w:lvlJc w:val="left"/>
      <w:pPr>
        <w:tabs>
          <w:tab w:val="num" w:pos="2160"/>
        </w:tabs>
        <w:ind w:left="2160" w:hanging="360"/>
      </w:pPr>
      <w:rPr>
        <w:rFonts w:ascii="Arial" w:hAnsi="Arial" w:hint="default"/>
      </w:rPr>
    </w:lvl>
    <w:lvl w:ilvl="3" w:tplc="3D007442" w:tentative="1">
      <w:start w:val="1"/>
      <w:numFmt w:val="bullet"/>
      <w:lvlText w:val="•"/>
      <w:lvlJc w:val="left"/>
      <w:pPr>
        <w:tabs>
          <w:tab w:val="num" w:pos="2880"/>
        </w:tabs>
        <w:ind w:left="2880" w:hanging="360"/>
      </w:pPr>
      <w:rPr>
        <w:rFonts w:ascii="Arial" w:hAnsi="Arial" w:hint="default"/>
      </w:rPr>
    </w:lvl>
    <w:lvl w:ilvl="4" w:tplc="ABA8E420" w:tentative="1">
      <w:start w:val="1"/>
      <w:numFmt w:val="bullet"/>
      <w:lvlText w:val="•"/>
      <w:lvlJc w:val="left"/>
      <w:pPr>
        <w:tabs>
          <w:tab w:val="num" w:pos="3600"/>
        </w:tabs>
        <w:ind w:left="3600" w:hanging="360"/>
      </w:pPr>
      <w:rPr>
        <w:rFonts w:ascii="Arial" w:hAnsi="Arial" w:hint="default"/>
      </w:rPr>
    </w:lvl>
    <w:lvl w:ilvl="5" w:tplc="6380B300" w:tentative="1">
      <w:start w:val="1"/>
      <w:numFmt w:val="bullet"/>
      <w:lvlText w:val="•"/>
      <w:lvlJc w:val="left"/>
      <w:pPr>
        <w:tabs>
          <w:tab w:val="num" w:pos="4320"/>
        </w:tabs>
        <w:ind w:left="4320" w:hanging="360"/>
      </w:pPr>
      <w:rPr>
        <w:rFonts w:ascii="Arial" w:hAnsi="Arial" w:hint="default"/>
      </w:rPr>
    </w:lvl>
    <w:lvl w:ilvl="6" w:tplc="8A96053E" w:tentative="1">
      <w:start w:val="1"/>
      <w:numFmt w:val="bullet"/>
      <w:lvlText w:val="•"/>
      <w:lvlJc w:val="left"/>
      <w:pPr>
        <w:tabs>
          <w:tab w:val="num" w:pos="5040"/>
        </w:tabs>
        <w:ind w:left="5040" w:hanging="360"/>
      </w:pPr>
      <w:rPr>
        <w:rFonts w:ascii="Arial" w:hAnsi="Arial" w:hint="default"/>
      </w:rPr>
    </w:lvl>
    <w:lvl w:ilvl="7" w:tplc="5F327E9A" w:tentative="1">
      <w:start w:val="1"/>
      <w:numFmt w:val="bullet"/>
      <w:lvlText w:val="•"/>
      <w:lvlJc w:val="left"/>
      <w:pPr>
        <w:tabs>
          <w:tab w:val="num" w:pos="5760"/>
        </w:tabs>
        <w:ind w:left="5760" w:hanging="360"/>
      </w:pPr>
      <w:rPr>
        <w:rFonts w:ascii="Arial" w:hAnsi="Arial" w:hint="default"/>
      </w:rPr>
    </w:lvl>
    <w:lvl w:ilvl="8" w:tplc="4FA872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53289C"/>
    <w:multiLevelType w:val="hybridMultilevel"/>
    <w:tmpl w:val="33B4F47A"/>
    <w:lvl w:ilvl="0" w:tplc="9BA0D2CC">
      <w:start w:val="1"/>
      <w:numFmt w:val="bullet"/>
      <w:lvlText w:val="•"/>
      <w:lvlJc w:val="left"/>
      <w:pPr>
        <w:tabs>
          <w:tab w:val="num" w:pos="720"/>
        </w:tabs>
        <w:ind w:left="720" w:hanging="360"/>
      </w:pPr>
      <w:rPr>
        <w:rFonts w:ascii="Arial" w:hAnsi="Arial" w:hint="default"/>
      </w:rPr>
    </w:lvl>
    <w:lvl w:ilvl="1" w:tplc="868C2D82" w:tentative="1">
      <w:start w:val="1"/>
      <w:numFmt w:val="bullet"/>
      <w:lvlText w:val="•"/>
      <w:lvlJc w:val="left"/>
      <w:pPr>
        <w:tabs>
          <w:tab w:val="num" w:pos="1440"/>
        </w:tabs>
        <w:ind w:left="1440" w:hanging="360"/>
      </w:pPr>
      <w:rPr>
        <w:rFonts w:ascii="Arial" w:hAnsi="Arial" w:hint="default"/>
      </w:rPr>
    </w:lvl>
    <w:lvl w:ilvl="2" w:tplc="3E140B4A" w:tentative="1">
      <w:start w:val="1"/>
      <w:numFmt w:val="bullet"/>
      <w:lvlText w:val="•"/>
      <w:lvlJc w:val="left"/>
      <w:pPr>
        <w:tabs>
          <w:tab w:val="num" w:pos="2160"/>
        </w:tabs>
        <w:ind w:left="2160" w:hanging="360"/>
      </w:pPr>
      <w:rPr>
        <w:rFonts w:ascii="Arial" w:hAnsi="Arial" w:hint="default"/>
      </w:rPr>
    </w:lvl>
    <w:lvl w:ilvl="3" w:tplc="5B181E54" w:tentative="1">
      <w:start w:val="1"/>
      <w:numFmt w:val="bullet"/>
      <w:lvlText w:val="•"/>
      <w:lvlJc w:val="left"/>
      <w:pPr>
        <w:tabs>
          <w:tab w:val="num" w:pos="2880"/>
        </w:tabs>
        <w:ind w:left="2880" w:hanging="360"/>
      </w:pPr>
      <w:rPr>
        <w:rFonts w:ascii="Arial" w:hAnsi="Arial" w:hint="default"/>
      </w:rPr>
    </w:lvl>
    <w:lvl w:ilvl="4" w:tplc="C2DCF136" w:tentative="1">
      <w:start w:val="1"/>
      <w:numFmt w:val="bullet"/>
      <w:lvlText w:val="•"/>
      <w:lvlJc w:val="left"/>
      <w:pPr>
        <w:tabs>
          <w:tab w:val="num" w:pos="3600"/>
        </w:tabs>
        <w:ind w:left="3600" w:hanging="360"/>
      </w:pPr>
      <w:rPr>
        <w:rFonts w:ascii="Arial" w:hAnsi="Arial" w:hint="default"/>
      </w:rPr>
    </w:lvl>
    <w:lvl w:ilvl="5" w:tplc="4D925592" w:tentative="1">
      <w:start w:val="1"/>
      <w:numFmt w:val="bullet"/>
      <w:lvlText w:val="•"/>
      <w:lvlJc w:val="left"/>
      <w:pPr>
        <w:tabs>
          <w:tab w:val="num" w:pos="4320"/>
        </w:tabs>
        <w:ind w:left="4320" w:hanging="360"/>
      </w:pPr>
      <w:rPr>
        <w:rFonts w:ascii="Arial" w:hAnsi="Arial" w:hint="default"/>
      </w:rPr>
    </w:lvl>
    <w:lvl w:ilvl="6" w:tplc="37006CD0" w:tentative="1">
      <w:start w:val="1"/>
      <w:numFmt w:val="bullet"/>
      <w:lvlText w:val="•"/>
      <w:lvlJc w:val="left"/>
      <w:pPr>
        <w:tabs>
          <w:tab w:val="num" w:pos="5040"/>
        </w:tabs>
        <w:ind w:left="5040" w:hanging="360"/>
      </w:pPr>
      <w:rPr>
        <w:rFonts w:ascii="Arial" w:hAnsi="Arial" w:hint="default"/>
      </w:rPr>
    </w:lvl>
    <w:lvl w:ilvl="7" w:tplc="ED28B0C6" w:tentative="1">
      <w:start w:val="1"/>
      <w:numFmt w:val="bullet"/>
      <w:lvlText w:val="•"/>
      <w:lvlJc w:val="left"/>
      <w:pPr>
        <w:tabs>
          <w:tab w:val="num" w:pos="5760"/>
        </w:tabs>
        <w:ind w:left="5760" w:hanging="360"/>
      </w:pPr>
      <w:rPr>
        <w:rFonts w:ascii="Arial" w:hAnsi="Arial" w:hint="default"/>
      </w:rPr>
    </w:lvl>
    <w:lvl w:ilvl="8" w:tplc="325422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186EE9"/>
    <w:multiLevelType w:val="hybridMultilevel"/>
    <w:tmpl w:val="44C6CB80"/>
    <w:lvl w:ilvl="0" w:tplc="6114C074">
      <w:start w:val="1"/>
      <w:numFmt w:val="bullet"/>
      <w:lvlText w:val="•"/>
      <w:lvlJc w:val="left"/>
      <w:pPr>
        <w:tabs>
          <w:tab w:val="num" w:pos="720"/>
        </w:tabs>
        <w:ind w:left="720" w:hanging="360"/>
      </w:pPr>
      <w:rPr>
        <w:rFonts w:ascii="Arial" w:hAnsi="Arial" w:hint="default"/>
      </w:rPr>
    </w:lvl>
    <w:lvl w:ilvl="1" w:tplc="AE78E26E">
      <w:start w:val="270"/>
      <w:numFmt w:val="bullet"/>
      <w:lvlText w:val="•"/>
      <w:lvlJc w:val="left"/>
      <w:pPr>
        <w:tabs>
          <w:tab w:val="num" w:pos="1440"/>
        </w:tabs>
        <w:ind w:left="1440" w:hanging="360"/>
      </w:pPr>
      <w:rPr>
        <w:rFonts w:ascii="Arial" w:hAnsi="Arial" w:hint="default"/>
      </w:rPr>
    </w:lvl>
    <w:lvl w:ilvl="2" w:tplc="1260546E" w:tentative="1">
      <w:start w:val="1"/>
      <w:numFmt w:val="bullet"/>
      <w:lvlText w:val="•"/>
      <w:lvlJc w:val="left"/>
      <w:pPr>
        <w:tabs>
          <w:tab w:val="num" w:pos="2160"/>
        </w:tabs>
        <w:ind w:left="2160" w:hanging="360"/>
      </w:pPr>
      <w:rPr>
        <w:rFonts w:ascii="Arial" w:hAnsi="Arial" w:hint="default"/>
      </w:rPr>
    </w:lvl>
    <w:lvl w:ilvl="3" w:tplc="8FAA1986" w:tentative="1">
      <w:start w:val="1"/>
      <w:numFmt w:val="bullet"/>
      <w:lvlText w:val="•"/>
      <w:lvlJc w:val="left"/>
      <w:pPr>
        <w:tabs>
          <w:tab w:val="num" w:pos="2880"/>
        </w:tabs>
        <w:ind w:left="2880" w:hanging="360"/>
      </w:pPr>
      <w:rPr>
        <w:rFonts w:ascii="Arial" w:hAnsi="Arial" w:hint="default"/>
      </w:rPr>
    </w:lvl>
    <w:lvl w:ilvl="4" w:tplc="8FF883FA" w:tentative="1">
      <w:start w:val="1"/>
      <w:numFmt w:val="bullet"/>
      <w:lvlText w:val="•"/>
      <w:lvlJc w:val="left"/>
      <w:pPr>
        <w:tabs>
          <w:tab w:val="num" w:pos="3600"/>
        </w:tabs>
        <w:ind w:left="3600" w:hanging="360"/>
      </w:pPr>
      <w:rPr>
        <w:rFonts w:ascii="Arial" w:hAnsi="Arial" w:hint="default"/>
      </w:rPr>
    </w:lvl>
    <w:lvl w:ilvl="5" w:tplc="B3426D4A" w:tentative="1">
      <w:start w:val="1"/>
      <w:numFmt w:val="bullet"/>
      <w:lvlText w:val="•"/>
      <w:lvlJc w:val="left"/>
      <w:pPr>
        <w:tabs>
          <w:tab w:val="num" w:pos="4320"/>
        </w:tabs>
        <w:ind w:left="4320" w:hanging="360"/>
      </w:pPr>
      <w:rPr>
        <w:rFonts w:ascii="Arial" w:hAnsi="Arial" w:hint="default"/>
      </w:rPr>
    </w:lvl>
    <w:lvl w:ilvl="6" w:tplc="4EA219DE" w:tentative="1">
      <w:start w:val="1"/>
      <w:numFmt w:val="bullet"/>
      <w:lvlText w:val="•"/>
      <w:lvlJc w:val="left"/>
      <w:pPr>
        <w:tabs>
          <w:tab w:val="num" w:pos="5040"/>
        </w:tabs>
        <w:ind w:left="5040" w:hanging="360"/>
      </w:pPr>
      <w:rPr>
        <w:rFonts w:ascii="Arial" w:hAnsi="Arial" w:hint="default"/>
      </w:rPr>
    </w:lvl>
    <w:lvl w:ilvl="7" w:tplc="C4520608" w:tentative="1">
      <w:start w:val="1"/>
      <w:numFmt w:val="bullet"/>
      <w:lvlText w:val="•"/>
      <w:lvlJc w:val="left"/>
      <w:pPr>
        <w:tabs>
          <w:tab w:val="num" w:pos="5760"/>
        </w:tabs>
        <w:ind w:left="5760" w:hanging="360"/>
      </w:pPr>
      <w:rPr>
        <w:rFonts w:ascii="Arial" w:hAnsi="Arial" w:hint="default"/>
      </w:rPr>
    </w:lvl>
    <w:lvl w:ilvl="8" w:tplc="CA362A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790607"/>
    <w:multiLevelType w:val="hybridMultilevel"/>
    <w:tmpl w:val="CD7EF6E0"/>
    <w:lvl w:ilvl="0" w:tplc="9676B774">
      <w:start w:val="1"/>
      <w:numFmt w:val="bullet"/>
      <w:lvlText w:val="•"/>
      <w:lvlJc w:val="left"/>
      <w:pPr>
        <w:tabs>
          <w:tab w:val="num" w:pos="720"/>
        </w:tabs>
        <w:ind w:left="720" w:hanging="360"/>
      </w:pPr>
      <w:rPr>
        <w:rFonts w:ascii="Arial" w:hAnsi="Arial" w:hint="default"/>
      </w:rPr>
    </w:lvl>
    <w:lvl w:ilvl="1" w:tplc="6908DC38">
      <w:start w:val="270"/>
      <w:numFmt w:val="bullet"/>
      <w:lvlText w:val="•"/>
      <w:lvlJc w:val="left"/>
      <w:pPr>
        <w:tabs>
          <w:tab w:val="num" w:pos="1440"/>
        </w:tabs>
        <w:ind w:left="1440" w:hanging="360"/>
      </w:pPr>
      <w:rPr>
        <w:rFonts w:ascii="Arial" w:hAnsi="Arial" w:hint="default"/>
      </w:rPr>
    </w:lvl>
    <w:lvl w:ilvl="2" w:tplc="FF2C074A" w:tentative="1">
      <w:start w:val="1"/>
      <w:numFmt w:val="bullet"/>
      <w:lvlText w:val="•"/>
      <w:lvlJc w:val="left"/>
      <w:pPr>
        <w:tabs>
          <w:tab w:val="num" w:pos="2160"/>
        </w:tabs>
        <w:ind w:left="2160" w:hanging="360"/>
      </w:pPr>
      <w:rPr>
        <w:rFonts w:ascii="Arial" w:hAnsi="Arial" w:hint="default"/>
      </w:rPr>
    </w:lvl>
    <w:lvl w:ilvl="3" w:tplc="DC1EF054" w:tentative="1">
      <w:start w:val="1"/>
      <w:numFmt w:val="bullet"/>
      <w:lvlText w:val="•"/>
      <w:lvlJc w:val="left"/>
      <w:pPr>
        <w:tabs>
          <w:tab w:val="num" w:pos="2880"/>
        </w:tabs>
        <w:ind w:left="2880" w:hanging="360"/>
      </w:pPr>
      <w:rPr>
        <w:rFonts w:ascii="Arial" w:hAnsi="Arial" w:hint="default"/>
      </w:rPr>
    </w:lvl>
    <w:lvl w:ilvl="4" w:tplc="84EAA7BA" w:tentative="1">
      <w:start w:val="1"/>
      <w:numFmt w:val="bullet"/>
      <w:lvlText w:val="•"/>
      <w:lvlJc w:val="left"/>
      <w:pPr>
        <w:tabs>
          <w:tab w:val="num" w:pos="3600"/>
        </w:tabs>
        <w:ind w:left="3600" w:hanging="360"/>
      </w:pPr>
      <w:rPr>
        <w:rFonts w:ascii="Arial" w:hAnsi="Arial" w:hint="default"/>
      </w:rPr>
    </w:lvl>
    <w:lvl w:ilvl="5" w:tplc="09F8C7CC" w:tentative="1">
      <w:start w:val="1"/>
      <w:numFmt w:val="bullet"/>
      <w:lvlText w:val="•"/>
      <w:lvlJc w:val="left"/>
      <w:pPr>
        <w:tabs>
          <w:tab w:val="num" w:pos="4320"/>
        </w:tabs>
        <w:ind w:left="4320" w:hanging="360"/>
      </w:pPr>
      <w:rPr>
        <w:rFonts w:ascii="Arial" w:hAnsi="Arial" w:hint="default"/>
      </w:rPr>
    </w:lvl>
    <w:lvl w:ilvl="6" w:tplc="6D12C74E" w:tentative="1">
      <w:start w:val="1"/>
      <w:numFmt w:val="bullet"/>
      <w:lvlText w:val="•"/>
      <w:lvlJc w:val="left"/>
      <w:pPr>
        <w:tabs>
          <w:tab w:val="num" w:pos="5040"/>
        </w:tabs>
        <w:ind w:left="5040" w:hanging="360"/>
      </w:pPr>
      <w:rPr>
        <w:rFonts w:ascii="Arial" w:hAnsi="Arial" w:hint="default"/>
      </w:rPr>
    </w:lvl>
    <w:lvl w:ilvl="7" w:tplc="7FE268E8" w:tentative="1">
      <w:start w:val="1"/>
      <w:numFmt w:val="bullet"/>
      <w:lvlText w:val="•"/>
      <w:lvlJc w:val="left"/>
      <w:pPr>
        <w:tabs>
          <w:tab w:val="num" w:pos="5760"/>
        </w:tabs>
        <w:ind w:left="5760" w:hanging="360"/>
      </w:pPr>
      <w:rPr>
        <w:rFonts w:ascii="Arial" w:hAnsi="Arial" w:hint="default"/>
      </w:rPr>
    </w:lvl>
    <w:lvl w:ilvl="8" w:tplc="077C7E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B1DB7"/>
    <w:multiLevelType w:val="hybridMultilevel"/>
    <w:tmpl w:val="3C5022E8"/>
    <w:lvl w:ilvl="0" w:tplc="60D2C098">
      <w:start w:val="1"/>
      <w:numFmt w:val="decimal"/>
      <w:lvlText w:val="%1."/>
      <w:lvlJc w:val="left"/>
      <w:pPr>
        <w:tabs>
          <w:tab w:val="num" w:pos="720"/>
        </w:tabs>
        <w:ind w:left="720" w:hanging="360"/>
      </w:pPr>
    </w:lvl>
    <w:lvl w:ilvl="1" w:tplc="0FB4F040" w:tentative="1">
      <w:start w:val="1"/>
      <w:numFmt w:val="decimal"/>
      <w:lvlText w:val="%2."/>
      <w:lvlJc w:val="left"/>
      <w:pPr>
        <w:tabs>
          <w:tab w:val="num" w:pos="1440"/>
        </w:tabs>
        <w:ind w:left="1440" w:hanging="360"/>
      </w:pPr>
    </w:lvl>
    <w:lvl w:ilvl="2" w:tplc="664CDB28" w:tentative="1">
      <w:start w:val="1"/>
      <w:numFmt w:val="decimal"/>
      <w:lvlText w:val="%3."/>
      <w:lvlJc w:val="left"/>
      <w:pPr>
        <w:tabs>
          <w:tab w:val="num" w:pos="2160"/>
        </w:tabs>
        <w:ind w:left="2160" w:hanging="360"/>
      </w:pPr>
    </w:lvl>
    <w:lvl w:ilvl="3" w:tplc="1312DAE4" w:tentative="1">
      <w:start w:val="1"/>
      <w:numFmt w:val="decimal"/>
      <w:lvlText w:val="%4."/>
      <w:lvlJc w:val="left"/>
      <w:pPr>
        <w:tabs>
          <w:tab w:val="num" w:pos="2880"/>
        </w:tabs>
        <w:ind w:left="2880" w:hanging="360"/>
      </w:pPr>
    </w:lvl>
    <w:lvl w:ilvl="4" w:tplc="E49E44CE" w:tentative="1">
      <w:start w:val="1"/>
      <w:numFmt w:val="decimal"/>
      <w:lvlText w:val="%5."/>
      <w:lvlJc w:val="left"/>
      <w:pPr>
        <w:tabs>
          <w:tab w:val="num" w:pos="3600"/>
        </w:tabs>
        <w:ind w:left="3600" w:hanging="360"/>
      </w:pPr>
    </w:lvl>
    <w:lvl w:ilvl="5" w:tplc="F3548CFE" w:tentative="1">
      <w:start w:val="1"/>
      <w:numFmt w:val="decimal"/>
      <w:lvlText w:val="%6."/>
      <w:lvlJc w:val="left"/>
      <w:pPr>
        <w:tabs>
          <w:tab w:val="num" w:pos="4320"/>
        </w:tabs>
        <w:ind w:left="4320" w:hanging="360"/>
      </w:pPr>
    </w:lvl>
    <w:lvl w:ilvl="6" w:tplc="79342D60" w:tentative="1">
      <w:start w:val="1"/>
      <w:numFmt w:val="decimal"/>
      <w:lvlText w:val="%7."/>
      <w:lvlJc w:val="left"/>
      <w:pPr>
        <w:tabs>
          <w:tab w:val="num" w:pos="5040"/>
        </w:tabs>
        <w:ind w:left="5040" w:hanging="360"/>
      </w:pPr>
    </w:lvl>
    <w:lvl w:ilvl="7" w:tplc="243A2392" w:tentative="1">
      <w:start w:val="1"/>
      <w:numFmt w:val="decimal"/>
      <w:lvlText w:val="%8."/>
      <w:lvlJc w:val="left"/>
      <w:pPr>
        <w:tabs>
          <w:tab w:val="num" w:pos="5760"/>
        </w:tabs>
        <w:ind w:left="5760" w:hanging="360"/>
      </w:pPr>
    </w:lvl>
    <w:lvl w:ilvl="8" w:tplc="0F848F62" w:tentative="1">
      <w:start w:val="1"/>
      <w:numFmt w:val="decimal"/>
      <w:lvlText w:val="%9."/>
      <w:lvlJc w:val="left"/>
      <w:pPr>
        <w:tabs>
          <w:tab w:val="num" w:pos="6480"/>
        </w:tabs>
        <w:ind w:left="6480" w:hanging="360"/>
      </w:pPr>
    </w:lvl>
  </w:abstractNum>
  <w:abstractNum w:abstractNumId="9" w15:restartNumberingAfterBreak="0">
    <w:nsid w:val="3C6A6D5C"/>
    <w:multiLevelType w:val="hybridMultilevel"/>
    <w:tmpl w:val="62803154"/>
    <w:lvl w:ilvl="0" w:tplc="CBCAA1C8">
      <w:start w:val="1"/>
      <w:numFmt w:val="bullet"/>
      <w:lvlText w:val="•"/>
      <w:lvlJc w:val="left"/>
      <w:pPr>
        <w:tabs>
          <w:tab w:val="num" w:pos="720"/>
        </w:tabs>
        <w:ind w:left="720" w:hanging="360"/>
      </w:pPr>
      <w:rPr>
        <w:rFonts w:ascii="Arial" w:hAnsi="Arial" w:hint="default"/>
      </w:rPr>
    </w:lvl>
    <w:lvl w:ilvl="1" w:tplc="1130CBDA">
      <w:start w:val="1"/>
      <w:numFmt w:val="bullet"/>
      <w:lvlText w:val="•"/>
      <w:lvlJc w:val="left"/>
      <w:pPr>
        <w:tabs>
          <w:tab w:val="num" w:pos="1440"/>
        </w:tabs>
        <w:ind w:left="1440" w:hanging="360"/>
      </w:pPr>
      <w:rPr>
        <w:rFonts w:ascii="Arial" w:hAnsi="Arial" w:hint="default"/>
      </w:rPr>
    </w:lvl>
    <w:lvl w:ilvl="2" w:tplc="E50EE18C">
      <w:start w:val="270"/>
      <w:numFmt w:val="bullet"/>
      <w:lvlText w:val="•"/>
      <w:lvlJc w:val="left"/>
      <w:pPr>
        <w:tabs>
          <w:tab w:val="num" w:pos="2160"/>
        </w:tabs>
        <w:ind w:left="2160" w:hanging="360"/>
      </w:pPr>
      <w:rPr>
        <w:rFonts w:ascii="Arial" w:hAnsi="Arial" w:hint="default"/>
      </w:rPr>
    </w:lvl>
    <w:lvl w:ilvl="3" w:tplc="7908B4C6" w:tentative="1">
      <w:start w:val="1"/>
      <w:numFmt w:val="bullet"/>
      <w:lvlText w:val="•"/>
      <w:lvlJc w:val="left"/>
      <w:pPr>
        <w:tabs>
          <w:tab w:val="num" w:pos="2880"/>
        </w:tabs>
        <w:ind w:left="2880" w:hanging="360"/>
      </w:pPr>
      <w:rPr>
        <w:rFonts w:ascii="Arial" w:hAnsi="Arial" w:hint="default"/>
      </w:rPr>
    </w:lvl>
    <w:lvl w:ilvl="4" w:tplc="7D280E50" w:tentative="1">
      <w:start w:val="1"/>
      <w:numFmt w:val="bullet"/>
      <w:lvlText w:val="•"/>
      <w:lvlJc w:val="left"/>
      <w:pPr>
        <w:tabs>
          <w:tab w:val="num" w:pos="3600"/>
        </w:tabs>
        <w:ind w:left="3600" w:hanging="360"/>
      </w:pPr>
      <w:rPr>
        <w:rFonts w:ascii="Arial" w:hAnsi="Arial" w:hint="default"/>
      </w:rPr>
    </w:lvl>
    <w:lvl w:ilvl="5" w:tplc="4F4EF50C" w:tentative="1">
      <w:start w:val="1"/>
      <w:numFmt w:val="bullet"/>
      <w:lvlText w:val="•"/>
      <w:lvlJc w:val="left"/>
      <w:pPr>
        <w:tabs>
          <w:tab w:val="num" w:pos="4320"/>
        </w:tabs>
        <w:ind w:left="4320" w:hanging="360"/>
      </w:pPr>
      <w:rPr>
        <w:rFonts w:ascii="Arial" w:hAnsi="Arial" w:hint="default"/>
      </w:rPr>
    </w:lvl>
    <w:lvl w:ilvl="6" w:tplc="66C87E8A" w:tentative="1">
      <w:start w:val="1"/>
      <w:numFmt w:val="bullet"/>
      <w:lvlText w:val="•"/>
      <w:lvlJc w:val="left"/>
      <w:pPr>
        <w:tabs>
          <w:tab w:val="num" w:pos="5040"/>
        </w:tabs>
        <w:ind w:left="5040" w:hanging="360"/>
      </w:pPr>
      <w:rPr>
        <w:rFonts w:ascii="Arial" w:hAnsi="Arial" w:hint="default"/>
      </w:rPr>
    </w:lvl>
    <w:lvl w:ilvl="7" w:tplc="DE68E972" w:tentative="1">
      <w:start w:val="1"/>
      <w:numFmt w:val="bullet"/>
      <w:lvlText w:val="•"/>
      <w:lvlJc w:val="left"/>
      <w:pPr>
        <w:tabs>
          <w:tab w:val="num" w:pos="5760"/>
        </w:tabs>
        <w:ind w:left="5760" w:hanging="360"/>
      </w:pPr>
      <w:rPr>
        <w:rFonts w:ascii="Arial" w:hAnsi="Arial" w:hint="default"/>
      </w:rPr>
    </w:lvl>
    <w:lvl w:ilvl="8" w:tplc="5832CA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5432BD"/>
    <w:multiLevelType w:val="hybridMultilevel"/>
    <w:tmpl w:val="6968312C"/>
    <w:lvl w:ilvl="0" w:tplc="B45A5FFA">
      <w:start w:val="1"/>
      <w:numFmt w:val="bullet"/>
      <w:lvlText w:val="•"/>
      <w:lvlJc w:val="left"/>
      <w:pPr>
        <w:tabs>
          <w:tab w:val="num" w:pos="720"/>
        </w:tabs>
        <w:ind w:left="720" w:hanging="360"/>
      </w:pPr>
      <w:rPr>
        <w:rFonts w:ascii="Arial" w:hAnsi="Arial" w:hint="default"/>
      </w:rPr>
    </w:lvl>
    <w:lvl w:ilvl="1" w:tplc="975048C4" w:tentative="1">
      <w:start w:val="1"/>
      <w:numFmt w:val="bullet"/>
      <w:lvlText w:val="•"/>
      <w:lvlJc w:val="left"/>
      <w:pPr>
        <w:tabs>
          <w:tab w:val="num" w:pos="1440"/>
        </w:tabs>
        <w:ind w:left="1440" w:hanging="360"/>
      </w:pPr>
      <w:rPr>
        <w:rFonts w:ascii="Arial" w:hAnsi="Arial" w:hint="default"/>
      </w:rPr>
    </w:lvl>
    <w:lvl w:ilvl="2" w:tplc="E18C72CE" w:tentative="1">
      <w:start w:val="1"/>
      <w:numFmt w:val="bullet"/>
      <w:lvlText w:val="•"/>
      <w:lvlJc w:val="left"/>
      <w:pPr>
        <w:tabs>
          <w:tab w:val="num" w:pos="2160"/>
        </w:tabs>
        <w:ind w:left="2160" w:hanging="360"/>
      </w:pPr>
      <w:rPr>
        <w:rFonts w:ascii="Arial" w:hAnsi="Arial" w:hint="default"/>
      </w:rPr>
    </w:lvl>
    <w:lvl w:ilvl="3" w:tplc="A3EC30FA" w:tentative="1">
      <w:start w:val="1"/>
      <w:numFmt w:val="bullet"/>
      <w:lvlText w:val="•"/>
      <w:lvlJc w:val="left"/>
      <w:pPr>
        <w:tabs>
          <w:tab w:val="num" w:pos="2880"/>
        </w:tabs>
        <w:ind w:left="2880" w:hanging="360"/>
      </w:pPr>
      <w:rPr>
        <w:rFonts w:ascii="Arial" w:hAnsi="Arial" w:hint="default"/>
      </w:rPr>
    </w:lvl>
    <w:lvl w:ilvl="4" w:tplc="660E7E2A" w:tentative="1">
      <w:start w:val="1"/>
      <w:numFmt w:val="bullet"/>
      <w:lvlText w:val="•"/>
      <w:lvlJc w:val="left"/>
      <w:pPr>
        <w:tabs>
          <w:tab w:val="num" w:pos="3600"/>
        </w:tabs>
        <w:ind w:left="3600" w:hanging="360"/>
      </w:pPr>
      <w:rPr>
        <w:rFonts w:ascii="Arial" w:hAnsi="Arial" w:hint="default"/>
      </w:rPr>
    </w:lvl>
    <w:lvl w:ilvl="5" w:tplc="9A1E030E" w:tentative="1">
      <w:start w:val="1"/>
      <w:numFmt w:val="bullet"/>
      <w:lvlText w:val="•"/>
      <w:lvlJc w:val="left"/>
      <w:pPr>
        <w:tabs>
          <w:tab w:val="num" w:pos="4320"/>
        </w:tabs>
        <w:ind w:left="4320" w:hanging="360"/>
      </w:pPr>
      <w:rPr>
        <w:rFonts w:ascii="Arial" w:hAnsi="Arial" w:hint="default"/>
      </w:rPr>
    </w:lvl>
    <w:lvl w:ilvl="6" w:tplc="6BD65D26" w:tentative="1">
      <w:start w:val="1"/>
      <w:numFmt w:val="bullet"/>
      <w:lvlText w:val="•"/>
      <w:lvlJc w:val="left"/>
      <w:pPr>
        <w:tabs>
          <w:tab w:val="num" w:pos="5040"/>
        </w:tabs>
        <w:ind w:left="5040" w:hanging="360"/>
      </w:pPr>
      <w:rPr>
        <w:rFonts w:ascii="Arial" w:hAnsi="Arial" w:hint="default"/>
      </w:rPr>
    </w:lvl>
    <w:lvl w:ilvl="7" w:tplc="108AD9A8" w:tentative="1">
      <w:start w:val="1"/>
      <w:numFmt w:val="bullet"/>
      <w:lvlText w:val="•"/>
      <w:lvlJc w:val="left"/>
      <w:pPr>
        <w:tabs>
          <w:tab w:val="num" w:pos="5760"/>
        </w:tabs>
        <w:ind w:left="5760" w:hanging="360"/>
      </w:pPr>
      <w:rPr>
        <w:rFonts w:ascii="Arial" w:hAnsi="Arial" w:hint="default"/>
      </w:rPr>
    </w:lvl>
    <w:lvl w:ilvl="8" w:tplc="970C4D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943E56"/>
    <w:multiLevelType w:val="hybridMultilevel"/>
    <w:tmpl w:val="4B34891E"/>
    <w:lvl w:ilvl="0" w:tplc="B5E4911E">
      <w:start w:val="1"/>
      <w:numFmt w:val="bullet"/>
      <w:lvlText w:val="•"/>
      <w:lvlJc w:val="left"/>
      <w:pPr>
        <w:tabs>
          <w:tab w:val="num" w:pos="720"/>
        </w:tabs>
        <w:ind w:left="720" w:hanging="360"/>
      </w:pPr>
      <w:rPr>
        <w:rFonts w:ascii="Arial" w:hAnsi="Arial" w:hint="default"/>
      </w:rPr>
    </w:lvl>
    <w:lvl w:ilvl="1" w:tplc="9C087074" w:tentative="1">
      <w:start w:val="1"/>
      <w:numFmt w:val="bullet"/>
      <w:lvlText w:val="•"/>
      <w:lvlJc w:val="left"/>
      <w:pPr>
        <w:tabs>
          <w:tab w:val="num" w:pos="1440"/>
        </w:tabs>
        <w:ind w:left="1440" w:hanging="360"/>
      </w:pPr>
      <w:rPr>
        <w:rFonts w:ascii="Arial" w:hAnsi="Arial" w:hint="default"/>
      </w:rPr>
    </w:lvl>
    <w:lvl w:ilvl="2" w:tplc="80D259BA" w:tentative="1">
      <w:start w:val="1"/>
      <w:numFmt w:val="bullet"/>
      <w:lvlText w:val="•"/>
      <w:lvlJc w:val="left"/>
      <w:pPr>
        <w:tabs>
          <w:tab w:val="num" w:pos="2160"/>
        </w:tabs>
        <w:ind w:left="2160" w:hanging="360"/>
      </w:pPr>
      <w:rPr>
        <w:rFonts w:ascii="Arial" w:hAnsi="Arial" w:hint="default"/>
      </w:rPr>
    </w:lvl>
    <w:lvl w:ilvl="3" w:tplc="9912DB76" w:tentative="1">
      <w:start w:val="1"/>
      <w:numFmt w:val="bullet"/>
      <w:lvlText w:val="•"/>
      <w:lvlJc w:val="left"/>
      <w:pPr>
        <w:tabs>
          <w:tab w:val="num" w:pos="2880"/>
        </w:tabs>
        <w:ind w:left="2880" w:hanging="360"/>
      </w:pPr>
      <w:rPr>
        <w:rFonts w:ascii="Arial" w:hAnsi="Arial" w:hint="default"/>
      </w:rPr>
    </w:lvl>
    <w:lvl w:ilvl="4" w:tplc="CF56C586" w:tentative="1">
      <w:start w:val="1"/>
      <w:numFmt w:val="bullet"/>
      <w:lvlText w:val="•"/>
      <w:lvlJc w:val="left"/>
      <w:pPr>
        <w:tabs>
          <w:tab w:val="num" w:pos="3600"/>
        </w:tabs>
        <w:ind w:left="3600" w:hanging="360"/>
      </w:pPr>
      <w:rPr>
        <w:rFonts w:ascii="Arial" w:hAnsi="Arial" w:hint="default"/>
      </w:rPr>
    </w:lvl>
    <w:lvl w:ilvl="5" w:tplc="4EA2288E" w:tentative="1">
      <w:start w:val="1"/>
      <w:numFmt w:val="bullet"/>
      <w:lvlText w:val="•"/>
      <w:lvlJc w:val="left"/>
      <w:pPr>
        <w:tabs>
          <w:tab w:val="num" w:pos="4320"/>
        </w:tabs>
        <w:ind w:left="4320" w:hanging="360"/>
      </w:pPr>
      <w:rPr>
        <w:rFonts w:ascii="Arial" w:hAnsi="Arial" w:hint="default"/>
      </w:rPr>
    </w:lvl>
    <w:lvl w:ilvl="6" w:tplc="2898C64A" w:tentative="1">
      <w:start w:val="1"/>
      <w:numFmt w:val="bullet"/>
      <w:lvlText w:val="•"/>
      <w:lvlJc w:val="left"/>
      <w:pPr>
        <w:tabs>
          <w:tab w:val="num" w:pos="5040"/>
        </w:tabs>
        <w:ind w:left="5040" w:hanging="360"/>
      </w:pPr>
      <w:rPr>
        <w:rFonts w:ascii="Arial" w:hAnsi="Arial" w:hint="default"/>
      </w:rPr>
    </w:lvl>
    <w:lvl w:ilvl="7" w:tplc="76C2914C" w:tentative="1">
      <w:start w:val="1"/>
      <w:numFmt w:val="bullet"/>
      <w:lvlText w:val="•"/>
      <w:lvlJc w:val="left"/>
      <w:pPr>
        <w:tabs>
          <w:tab w:val="num" w:pos="5760"/>
        </w:tabs>
        <w:ind w:left="5760" w:hanging="360"/>
      </w:pPr>
      <w:rPr>
        <w:rFonts w:ascii="Arial" w:hAnsi="Arial" w:hint="default"/>
      </w:rPr>
    </w:lvl>
    <w:lvl w:ilvl="8" w:tplc="800274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1B64E25"/>
    <w:multiLevelType w:val="hybridMultilevel"/>
    <w:tmpl w:val="2CBA3050"/>
    <w:lvl w:ilvl="0" w:tplc="C25A7456">
      <w:start w:val="1"/>
      <w:numFmt w:val="bullet"/>
      <w:lvlText w:val="•"/>
      <w:lvlJc w:val="left"/>
      <w:pPr>
        <w:tabs>
          <w:tab w:val="num" w:pos="720"/>
        </w:tabs>
        <w:ind w:left="720" w:hanging="360"/>
      </w:pPr>
      <w:rPr>
        <w:rFonts w:ascii="Arial" w:hAnsi="Arial" w:hint="default"/>
      </w:rPr>
    </w:lvl>
    <w:lvl w:ilvl="1" w:tplc="A3629006" w:tentative="1">
      <w:start w:val="1"/>
      <w:numFmt w:val="bullet"/>
      <w:lvlText w:val="•"/>
      <w:lvlJc w:val="left"/>
      <w:pPr>
        <w:tabs>
          <w:tab w:val="num" w:pos="1440"/>
        </w:tabs>
        <w:ind w:left="1440" w:hanging="360"/>
      </w:pPr>
      <w:rPr>
        <w:rFonts w:ascii="Arial" w:hAnsi="Arial" w:hint="default"/>
      </w:rPr>
    </w:lvl>
    <w:lvl w:ilvl="2" w:tplc="BC5A6034" w:tentative="1">
      <w:start w:val="1"/>
      <w:numFmt w:val="bullet"/>
      <w:lvlText w:val="•"/>
      <w:lvlJc w:val="left"/>
      <w:pPr>
        <w:tabs>
          <w:tab w:val="num" w:pos="2160"/>
        </w:tabs>
        <w:ind w:left="2160" w:hanging="360"/>
      </w:pPr>
      <w:rPr>
        <w:rFonts w:ascii="Arial" w:hAnsi="Arial" w:hint="default"/>
      </w:rPr>
    </w:lvl>
    <w:lvl w:ilvl="3" w:tplc="165C16AA" w:tentative="1">
      <w:start w:val="1"/>
      <w:numFmt w:val="bullet"/>
      <w:lvlText w:val="•"/>
      <w:lvlJc w:val="left"/>
      <w:pPr>
        <w:tabs>
          <w:tab w:val="num" w:pos="2880"/>
        </w:tabs>
        <w:ind w:left="2880" w:hanging="360"/>
      </w:pPr>
      <w:rPr>
        <w:rFonts w:ascii="Arial" w:hAnsi="Arial" w:hint="default"/>
      </w:rPr>
    </w:lvl>
    <w:lvl w:ilvl="4" w:tplc="D5FE33EC" w:tentative="1">
      <w:start w:val="1"/>
      <w:numFmt w:val="bullet"/>
      <w:lvlText w:val="•"/>
      <w:lvlJc w:val="left"/>
      <w:pPr>
        <w:tabs>
          <w:tab w:val="num" w:pos="3600"/>
        </w:tabs>
        <w:ind w:left="3600" w:hanging="360"/>
      </w:pPr>
      <w:rPr>
        <w:rFonts w:ascii="Arial" w:hAnsi="Arial" w:hint="default"/>
      </w:rPr>
    </w:lvl>
    <w:lvl w:ilvl="5" w:tplc="423456D2" w:tentative="1">
      <w:start w:val="1"/>
      <w:numFmt w:val="bullet"/>
      <w:lvlText w:val="•"/>
      <w:lvlJc w:val="left"/>
      <w:pPr>
        <w:tabs>
          <w:tab w:val="num" w:pos="4320"/>
        </w:tabs>
        <w:ind w:left="4320" w:hanging="360"/>
      </w:pPr>
      <w:rPr>
        <w:rFonts w:ascii="Arial" w:hAnsi="Arial" w:hint="default"/>
      </w:rPr>
    </w:lvl>
    <w:lvl w:ilvl="6" w:tplc="4CCC9B74" w:tentative="1">
      <w:start w:val="1"/>
      <w:numFmt w:val="bullet"/>
      <w:lvlText w:val="•"/>
      <w:lvlJc w:val="left"/>
      <w:pPr>
        <w:tabs>
          <w:tab w:val="num" w:pos="5040"/>
        </w:tabs>
        <w:ind w:left="5040" w:hanging="360"/>
      </w:pPr>
      <w:rPr>
        <w:rFonts w:ascii="Arial" w:hAnsi="Arial" w:hint="default"/>
      </w:rPr>
    </w:lvl>
    <w:lvl w:ilvl="7" w:tplc="4DE019F0" w:tentative="1">
      <w:start w:val="1"/>
      <w:numFmt w:val="bullet"/>
      <w:lvlText w:val="•"/>
      <w:lvlJc w:val="left"/>
      <w:pPr>
        <w:tabs>
          <w:tab w:val="num" w:pos="5760"/>
        </w:tabs>
        <w:ind w:left="5760" w:hanging="360"/>
      </w:pPr>
      <w:rPr>
        <w:rFonts w:ascii="Arial" w:hAnsi="Arial" w:hint="default"/>
      </w:rPr>
    </w:lvl>
    <w:lvl w:ilvl="8" w:tplc="77FA40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E37847"/>
    <w:multiLevelType w:val="hybridMultilevel"/>
    <w:tmpl w:val="0EFC516A"/>
    <w:lvl w:ilvl="0" w:tplc="E2AEDD54">
      <w:start w:val="1"/>
      <w:numFmt w:val="bullet"/>
      <w:lvlText w:val="•"/>
      <w:lvlJc w:val="left"/>
      <w:pPr>
        <w:tabs>
          <w:tab w:val="num" w:pos="720"/>
        </w:tabs>
        <w:ind w:left="720" w:hanging="360"/>
      </w:pPr>
      <w:rPr>
        <w:rFonts w:ascii="Arial" w:hAnsi="Arial" w:hint="default"/>
      </w:rPr>
    </w:lvl>
    <w:lvl w:ilvl="1" w:tplc="72802908" w:tentative="1">
      <w:start w:val="1"/>
      <w:numFmt w:val="bullet"/>
      <w:lvlText w:val="•"/>
      <w:lvlJc w:val="left"/>
      <w:pPr>
        <w:tabs>
          <w:tab w:val="num" w:pos="1440"/>
        </w:tabs>
        <w:ind w:left="1440" w:hanging="360"/>
      </w:pPr>
      <w:rPr>
        <w:rFonts w:ascii="Arial" w:hAnsi="Arial" w:hint="default"/>
      </w:rPr>
    </w:lvl>
    <w:lvl w:ilvl="2" w:tplc="987659BE" w:tentative="1">
      <w:start w:val="1"/>
      <w:numFmt w:val="bullet"/>
      <w:lvlText w:val="•"/>
      <w:lvlJc w:val="left"/>
      <w:pPr>
        <w:tabs>
          <w:tab w:val="num" w:pos="2160"/>
        </w:tabs>
        <w:ind w:left="2160" w:hanging="360"/>
      </w:pPr>
      <w:rPr>
        <w:rFonts w:ascii="Arial" w:hAnsi="Arial" w:hint="default"/>
      </w:rPr>
    </w:lvl>
    <w:lvl w:ilvl="3" w:tplc="21B0B40A" w:tentative="1">
      <w:start w:val="1"/>
      <w:numFmt w:val="bullet"/>
      <w:lvlText w:val="•"/>
      <w:lvlJc w:val="left"/>
      <w:pPr>
        <w:tabs>
          <w:tab w:val="num" w:pos="2880"/>
        </w:tabs>
        <w:ind w:left="2880" w:hanging="360"/>
      </w:pPr>
      <w:rPr>
        <w:rFonts w:ascii="Arial" w:hAnsi="Arial" w:hint="default"/>
      </w:rPr>
    </w:lvl>
    <w:lvl w:ilvl="4" w:tplc="7FB27626" w:tentative="1">
      <w:start w:val="1"/>
      <w:numFmt w:val="bullet"/>
      <w:lvlText w:val="•"/>
      <w:lvlJc w:val="left"/>
      <w:pPr>
        <w:tabs>
          <w:tab w:val="num" w:pos="3600"/>
        </w:tabs>
        <w:ind w:left="3600" w:hanging="360"/>
      </w:pPr>
      <w:rPr>
        <w:rFonts w:ascii="Arial" w:hAnsi="Arial" w:hint="default"/>
      </w:rPr>
    </w:lvl>
    <w:lvl w:ilvl="5" w:tplc="EBDC185E" w:tentative="1">
      <w:start w:val="1"/>
      <w:numFmt w:val="bullet"/>
      <w:lvlText w:val="•"/>
      <w:lvlJc w:val="left"/>
      <w:pPr>
        <w:tabs>
          <w:tab w:val="num" w:pos="4320"/>
        </w:tabs>
        <w:ind w:left="4320" w:hanging="360"/>
      </w:pPr>
      <w:rPr>
        <w:rFonts w:ascii="Arial" w:hAnsi="Arial" w:hint="default"/>
      </w:rPr>
    </w:lvl>
    <w:lvl w:ilvl="6" w:tplc="3B5476D0" w:tentative="1">
      <w:start w:val="1"/>
      <w:numFmt w:val="bullet"/>
      <w:lvlText w:val="•"/>
      <w:lvlJc w:val="left"/>
      <w:pPr>
        <w:tabs>
          <w:tab w:val="num" w:pos="5040"/>
        </w:tabs>
        <w:ind w:left="5040" w:hanging="360"/>
      </w:pPr>
      <w:rPr>
        <w:rFonts w:ascii="Arial" w:hAnsi="Arial" w:hint="default"/>
      </w:rPr>
    </w:lvl>
    <w:lvl w:ilvl="7" w:tplc="7A4ADC8A" w:tentative="1">
      <w:start w:val="1"/>
      <w:numFmt w:val="bullet"/>
      <w:lvlText w:val="•"/>
      <w:lvlJc w:val="left"/>
      <w:pPr>
        <w:tabs>
          <w:tab w:val="num" w:pos="5760"/>
        </w:tabs>
        <w:ind w:left="5760" w:hanging="360"/>
      </w:pPr>
      <w:rPr>
        <w:rFonts w:ascii="Arial" w:hAnsi="Arial" w:hint="default"/>
      </w:rPr>
    </w:lvl>
    <w:lvl w:ilvl="8" w:tplc="5EDEC0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9F18E4"/>
    <w:multiLevelType w:val="hybridMultilevel"/>
    <w:tmpl w:val="35544518"/>
    <w:lvl w:ilvl="0" w:tplc="2CF2AC7C">
      <w:start w:val="1"/>
      <w:numFmt w:val="bullet"/>
      <w:lvlText w:val="•"/>
      <w:lvlJc w:val="left"/>
      <w:pPr>
        <w:tabs>
          <w:tab w:val="num" w:pos="720"/>
        </w:tabs>
        <w:ind w:left="720" w:hanging="360"/>
      </w:pPr>
      <w:rPr>
        <w:rFonts w:ascii="Arial" w:hAnsi="Arial" w:hint="default"/>
      </w:rPr>
    </w:lvl>
    <w:lvl w:ilvl="1" w:tplc="C2CA4758" w:tentative="1">
      <w:start w:val="1"/>
      <w:numFmt w:val="bullet"/>
      <w:lvlText w:val="•"/>
      <w:lvlJc w:val="left"/>
      <w:pPr>
        <w:tabs>
          <w:tab w:val="num" w:pos="1440"/>
        </w:tabs>
        <w:ind w:left="1440" w:hanging="360"/>
      </w:pPr>
      <w:rPr>
        <w:rFonts w:ascii="Arial" w:hAnsi="Arial" w:hint="default"/>
      </w:rPr>
    </w:lvl>
    <w:lvl w:ilvl="2" w:tplc="8AC8AFF0" w:tentative="1">
      <w:start w:val="1"/>
      <w:numFmt w:val="bullet"/>
      <w:lvlText w:val="•"/>
      <w:lvlJc w:val="left"/>
      <w:pPr>
        <w:tabs>
          <w:tab w:val="num" w:pos="2160"/>
        </w:tabs>
        <w:ind w:left="2160" w:hanging="360"/>
      </w:pPr>
      <w:rPr>
        <w:rFonts w:ascii="Arial" w:hAnsi="Arial" w:hint="default"/>
      </w:rPr>
    </w:lvl>
    <w:lvl w:ilvl="3" w:tplc="3C608350" w:tentative="1">
      <w:start w:val="1"/>
      <w:numFmt w:val="bullet"/>
      <w:lvlText w:val="•"/>
      <w:lvlJc w:val="left"/>
      <w:pPr>
        <w:tabs>
          <w:tab w:val="num" w:pos="2880"/>
        </w:tabs>
        <w:ind w:left="2880" w:hanging="360"/>
      </w:pPr>
      <w:rPr>
        <w:rFonts w:ascii="Arial" w:hAnsi="Arial" w:hint="default"/>
      </w:rPr>
    </w:lvl>
    <w:lvl w:ilvl="4" w:tplc="3926F910" w:tentative="1">
      <w:start w:val="1"/>
      <w:numFmt w:val="bullet"/>
      <w:lvlText w:val="•"/>
      <w:lvlJc w:val="left"/>
      <w:pPr>
        <w:tabs>
          <w:tab w:val="num" w:pos="3600"/>
        </w:tabs>
        <w:ind w:left="3600" w:hanging="360"/>
      </w:pPr>
      <w:rPr>
        <w:rFonts w:ascii="Arial" w:hAnsi="Arial" w:hint="default"/>
      </w:rPr>
    </w:lvl>
    <w:lvl w:ilvl="5" w:tplc="74A8F2C8" w:tentative="1">
      <w:start w:val="1"/>
      <w:numFmt w:val="bullet"/>
      <w:lvlText w:val="•"/>
      <w:lvlJc w:val="left"/>
      <w:pPr>
        <w:tabs>
          <w:tab w:val="num" w:pos="4320"/>
        </w:tabs>
        <w:ind w:left="4320" w:hanging="360"/>
      </w:pPr>
      <w:rPr>
        <w:rFonts w:ascii="Arial" w:hAnsi="Arial" w:hint="default"/>
      </w:rPr>
    </w:lvl>
    <w:lvl w:ilvl="6" w:tplc="84DECA24" w:tentative="1">
      <w:start w:val="1"/>
      <w:numFmt w:val="bullet"/>
      <w:lvlText w:val="•"/>
      <w:lvlJc w:val="left"/>
      <w:pPr>
        <w:tabs>
          <w:tab w:val="num" w:pos="5040"/>
        </w:tabs>
        <w:ind w:left="5040" w:hanging="360"/>
      </w:pPr>
      <w:rPr>
        <w:rFonts w:ascii="Arial" w:hAnsi="Arial" w:hint="default"/>
      </w:rPr>
    </w:lvl>
    <w:lvl w:ilvl="7" w:tplc="6576C1FA" w:tentative="1">
      <w:start w:val="1"/>
      <w:numFmt w:val="bullet"/>
      <w:lvlText w:val="•"/>
      <w:lvlJc w:val="left"/>
      <w:pPr>
        <w:tabs>
          <w:tab w:val="num" w:pos="5760"/>
        </w:tabs>
        <w:ind w:left="5760" w:hanging="360"/>
      </w:pPr>
      <w:rPr>
        <w:rFonts w:ascii="Arial" w:hAnsi="Arial" w:hint="default"/>
      </w:rPr>
    </w:lvl>
    <w:lvl w:ilvl="8" w:tplc="49721A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E123EA"/>
    <w:multiLevelType w:val="hybridMultilevel"/>
    <w:tmpl w:val="FC62DF58"/>
    <w:lvl w:ilvl="0" w:tplc="BFFA7C70">
      <w:start w:val="1"/>
      <w:numFmt w:val="bullet"/>
      <w:lvlText w:val="•"/>
      <w:lvlJc w:val="left"/>
      <w:pPr>
        <w:tabs>
          <w:tab w:val="num" w:pos="720"/>
        </w:tabs>
        <w:ind w:left="720" w:hanging="360"/>
      </w:pPr>
      <w:rPr>
        <w:rFonts w:ascii="Arial" w:hAnsi="Arial" w:hint="default"/>
      </w:rPr>
    </w:lvl>
    <w:lvl w:ilvl="1" w:tplc="4080BDE2" w:tentative="1">
      <w:start w:val="1"/>
      <w:numFmt w:val="bullet"/>
      <w:lvlText w:val="•"/>
      <w:lvlJc w:val="left"/>
      <w:pPr>
        <w:tabs>
          <w:tab w:val="num" w:pos="1440"/>
        </w:tabs>
        <w:ind w:left="1440" w:hanging="360"/>
      </w:pPr>
      <w:rPr>
        <w:rFonts w:ascii="Arial" w:hAnsi="Arial" w:hint="default"/>
      </w:rPr>
    </w:lvl>
    <w:lvl w:ilvl="2" w:tplc="2C8A0976" w:tentative="1">
      <w:start w:val="1"/>
      <w:numFmt w:val="bullet"/>
      <w:lvlText w:val="•"/>
      <w:lvlJc w:val="left"/>
      <w:pPr>
        <w:tabs>
          <w:tab w:val="num" w:pos="2160"/>
        </w:tabs>
        <w:ind w:left="2160" w:hanging="360"/>
      </w:pPr>
      <w:rPr>
        <w:rFonts w:ascii="Arial" w:hAnsi="Arial" w:hint="default"/>
      </w:rPr>
    </w:lvl>
    <w:lvl w:ilvl="3" w:tplc="6F1A9366" w:tentative="1">
      <w:start w:val="1"/>
      <w:numFmt w:val="bullet"/>
      <w:lvlText w:val="•"/>
      <w:lvlJc w:val="left"/>
      <w:pPr>
        <w:tabs>
          <w:tab w:val="num" w:pos="2880"/>
        </w:tabs>
        <w:ind w:left="2880" w:hanging="360"/>
      </w:pPr>
      <w:rPr>
        <w:rFonts w:ascii="Arial" w:hAnsi="Arial" w:hint="default"/>
      </w:rPr>
    </w:lvl>
    <w:lvl w:ilvl="4" w:tplc="125EF0F8" w:tentative="1">
      <w:start w:val="1"/>
      <w:numFmt w:val="bullet"/>
      <w:lvlText w:val="•"/>
      <w:lvlJc w:val="left"/>
      <w:pPr>
        <w:tabs>
          <w:tab w:val="num" w:pos="3600"/>
        </w:tabs>
        <w:ind w:left="3600" w:hanging="360"/>
      </w:pPr>
      <w:rPr>
        <w:rFonts w:ascii="Arial" w:hAnsi="Arial" w:hint="default"/>
      </w:rPr>
    </w:lvl>
    <w:lvl w:ilvl="5" w:tplc="01AEB246" w:tentative="1">
      <w:start w:val="1"/>
      <w:numFmt w:val="bullet"/>
      <w:lvlText w:val="•"/>
      <w:lvlJc w:val="left"/>
      <w:pPr>
        <w:tabs>
          <w:tab w:val="num" w:pos="4320"/>
        </w:tabs>
        <w:ind w:left="4320" w:hanging="360"/>
      </w:pPr>
      <w:rPr>
        <w:rFonts w:ascii="Arial" w:hAnsi="Arial" w:hint="default"/>
      </w:rPr>
    </w:lvl>
    <w:lvl w:ilvl="6" w:tplc="B69E7D00" w:tentative="1">
      <w:start w:val="1"/>
      <w:numFmt w:val="bullet"/>
      <w:lvlText w:val="•"/>
      <w:lvlJc w:val="left"/>
      <w:pPr>
        <w:tabs>
          <w:tab w:val="num" w:pos="5040"/>
        </w:tabs>
        <w:ind w:left="5040" w:hanging="360"/>
      </w:pPr>
      <w:rPr>
        <w:rFonts w:ascii="Arial" w:hAnsi="Arial" w:hint="default"/>
      </w:rPr>
    </w:lvl>
    <w:lvl w:ilvl="7" w:tplc="10A0321A" w:tentative="1">
      <w:start w:val="1"/>
      <w:numFmt w:val="bullet"/>
      <w:lvlText w:val="•"/>
      <w:lvlJc w:val="left"/>
      <w:pPr>
        <w:tabs>
          <w:tab w:val="num" w:pos="5760"/>
        </w:tabs>
        <w:ind w:left="5760" w:hanging="360"/>
      </w:pPr>
      <w:rPr>
        <w:rFonts w:ascii="Arial" w:hAnsi="Arial" w:hint="default"/>
      </w:rPr>
    </w:lvl>
    <w:lvl w:ilvl="8" w:tplc="5CC8F7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604875"/>
    <w:multiLevelType w:val="hybridMultilevel"/>
    <w:tmpl w:val="C82CD120"/>
    <w:lvl w:ilvl="0" w:tplc="66BA5E5A">
      <w:start w:val="1"/>
      <w:numFmt w:val="bullet"/>
      <w:lvlText w:val="•"/>
      <w:lvlJc w:val="left"/>
      <w:pPr>
        <w:tabs>
          <w:tab w:val="num" w:pos="720"/>
        </w:tabs>
        <w:ind w:left="720" w:hanging="360"/>
      </w:pPr>
      <w:rPr>
        <w:rFonts w:ascii="Arial" w:hAnsi="Arial" w:hint="default"/>
      </w:rPr>
    </w:lvl>
    <w:lvl w:ilvl="1" w:tplc="25E062E8" w:tentative="1">
      <w:start w:val="1"/>
      <w:numFmt w:val="bullet"/>
      <w:lvlText w:val="•"/>
      <w:lvlJc w:val="left"/>
      <w:pPr>
        <w:tabs>
          <w:tab w:val="num" w:pos="1440"/>
        </w:tabs>
        <w:ind w:left="1440" w:hanging="360"/>
      </w:pPr>
      <w:rPr>
        <w:rFonts w:ascii="Arial" w:hAnsi="Arial" w:hint="default"/>
      </w:rPr>
    </w:lvl>
    <w:lvl w:ilvl="2" w:tplc="CD0A6E9E" w:tentative="1">
      <w:start w:val="1"/>
      <w:numFmt w:val="bullet"/>
      <w:lvlText w:val="•"/>
      <w:lvlJc w:val="left"/>
      <w:pPr>
        <w:tabs>
          <w:tab w:val="num" w:pos="2160"/>
        </w:tabs>
        <w:ind w:left="2160" w:hanging="360"/>
      </w:pPr>
      <w:rPr>
        <w:rFonts w:ascii="Arial" w:hAnsi="Arial" w:hint="default"/>
      </w:rPr>
    </w:lvl>
    <w:lvl w:ilvl="3" w:tplc="13A06160" w:tentative="1">
      <w:start w:val="1"/>
      <w:numFmt w:val="bullet"/>
      <w:lvlText w:val="•"/>
      <w:lvlJc w:val="left"/>
      <w:pPr>
        <w:tabs>
          <w:tab w:val="num" w:pos="2880"/>
        </w:tabs>
        <w:ind w:left="2880" w:hanging="360"/>
      </w:pPr>
      <w:rPr>
        <w:rFonts w:ascii="Arial" w:hAnsi="Arial" w:hint="default"/>
      </w:rPr>
    </w:lvl>
    <w:lvl w:ilvl="4" w:tplc="128E3DA8" w:tentative="1">
      <w:start w:val="1"/>
      <w:numFmt w:val="bullet"/>
      <w:lvlText w:val="•"/>
      <w:lvlJc w:val="left"/>
      <w:pPr>
        <w:tabs>
          <w:tab w:val="num" w:pos="3600"/>
        </w:tabs>
        <w:ind w:left="3600" w:hanging="360"/>
      </w:pPr>
      <w:rPr>
        <w:rFonts w:ascii="Arial" w:hAnsi="Arial" w:hint="default"/>
      </w:rPr>
    </w:lvl>
    <w:lvl w:ilvl="5" w:tplc="DB3AD896" w:tentative="1">
      <w:start w:val="1"/>
      <w:numFmt w:val="bullet"/>
      <w:lvlText w:val="•"/>
      <w:lvlJc w:val="left"/>
      <w:pPr>
        <w:tabs>
          <w:tab w:val="num" w:pos="4320"/>
        </w:tabs>
        <w:ind w:left="4320" w:hanging="360"/>
      </w:pPr>
      <w:rPr>
        <w:rFonts w:ascii="Arial" w:hAnsi="Arial" w:hint="default"/>
      </w:rPr>
    </w:lvl>
    <w:lvl w:ilvl="6" w:tplc="8288FFA8" w:tentative="1">
      <w:start w:val="1"/>
      <w:numFmt w:val="bullet"/>
      <w:lvlText w:val="•"/>
      <w:lvlJc w:val="left"/>
      <w:pPr>
        <w:tabs>
          <w:tab w:val="num" w:pos="5040"/>
        </w:tabs>
        <w:ind w:left="5040" w:hanging="360"/>
      </w:pPr>
      <w:rPr>
        <w:rFonts w:ascii="Arial" w:hAnsi="Arial" w:hint="default"/>
      </w:rPr>
    </w:lvl>
    <w:lvl w:ilvl="7" w:tplc="72D49BD6" w:tentative="1">
      <w:start w:val="1"/>
      <w:numFmt w:val="bullet"/>
      <w:lvlText w:val="•"/>
      <w:lvlJc w:val="left"/>
      <w:pPr>
        <w:tabs>
          <w:tab w:val="num" w:pos="5760"/>
        </w:tabs>
        <w:ind w:left="5760" w:hanging="360"/>
      </w:pPr>
      <w:rPr>
        <w:rFonts w:ascii="Arial" w:hAnsi="Arial" w:hint="default"/>
      </w:rPr>
    </w:lvl>
    <w:lvl w:ilvl="8" w:tplc="F58ED3E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2"/>
  </w:num>
  <w:num w:numId="3">
    <w:abstractNumId w:val="7"/>
  </w:num>
  <w:num w:numId="4">
    <w:abstractNumId w:val="13"/>
  </w:num>
  <w:num w:numId="5">
    <w:abstractNumId w:val="0"/>
  </w:num>
  <w:num w:numId="6">
    <w:abstractNumId w:val="8"/>
  </w:num>
  <w:num w:numId="7">
    <w:abstractNumId w:val="11"/>
  </w:num>
  <w:num w:numId="8">
    <w:abstractNumId w:val="9"/>
  </w:num>
  <w:num w:numId="9">
    <w:abstractNumId w:val="15"/>
  </w:num>
  <w:num w:numId="10">
    <w:abstractNumId w:val="1"/>
  </w:num>
  <w:num w:numId="11">
    <w:abstractNumId w:val="6"/>
  </w:num>
  <w:num w:numId="12">
    <w:abstractNumId w:val="3"/>
  </w:num>
  <w:num w:numId="13">
    <w:abstractNumId w:val="2"/>
  </w:num>
  <w:num w:numId="14">
    <w:abstractNumId w:val="14"/>
  </w:num>
  <w:num w:numId="15">
    <w:abstractNumId w:val="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0E"/>
    <w:rsid w:val="0004766E"/>
    <w:rsid w:val="000558D1"/>
    <w:rsid w:val="000C0C0D"/>
    <w:rsid w:val="001B4C33"/>
    <w:rsid w:val="001B714B"/>
    <w:rsid w:val="0029650E"/>
    <w:rsid w:val="002A264C"/>
    <w:rsid w:val="00300D1B"/>
    <w:rsid w:val="0039690E"/>
    <w:rsid w:val="004704F3"/>
    <w:rsid w:val="004E7636"/>
    <w:rsid w:val="00555BE2"/>
    <w:rsid w:val="005B1C09"/>
    <w:rsid w:val="00614CE1"/>
    <w:rsid w:val="006877E8"/>
    <w:rsid w:val="0069656B"/>
    <w:rsid w:val="00846336"/>
    <w:rsid w:val="00972759"/>
    <w:rsid w:val="00A1659F"/>
    <w:rsid w:val="00AA21F0"/>
    <w:rsid w:val="00AD2CFC"/>
    <w:rsid w:val="00AE01ED"/>
    <w:rsid w:val="00AE209A"/>
    <w:rsid w:val="00B14680"/>
    <w:rsid w:val="00B832D7"/>
    <w:rsid w:val="00C417FF"/>
    <w:rsid w:val="00CA115B"/>
    <w:rsid w:val="00CD126B"/>
    <w:rsid w:val="00CE552E"/>
    <w:rsid w:val="00CF1A35"/>
    <w:rsid w:val="00D867D3"/>
    <w:rsid w:val="00DA7CAC"/>
    <w:rsid w:val="00DB1716"/>
    <w:rsid w:val="00E36B95"/>
    <w:rsid w:val="00E77CF1"/>
    <w:rsid w:val="00F220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586AF-6988-4417-A273-E9A23A30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7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C09"/>
    <w:pPr>
      <w:spacing w:after="0" w:line="240" w:lineRule="auto"/>
    </w:pPr>
  </w:style>
  <w:style w:type="paragraph" w:styleId="NormalWeb">
    <w:name w:val="Normal (Web)"/>
    <w:basedOn w:val="Normal"/>
    <w:uiPriority w:val="99"/>
    <w:semiHidden/>
    <w:unhideWhenUsed/>
    <w:rsid w:val="005B1C09"/>
    <w:pPr>
      <w:spacing w:before="100" w:beforeAutospacing="1" w:after="100" w:afterAutospacing="1" w:line="240" w:lineRule="auto"/>
    </w:pPr>
    <w:rPr>
      <w:rFonts w:ascii="Times New Roman" w:eastAsiaTheme="minorEastAsia" w:hAnsi="Times New Roman" w:cs="Times New Roman"/>
      <w:sz w:val="24"/>
      <w:szCs w:val="24"/>
      <w:lang w:eastAsia="en-CA"/>
    </w:rPr>
  </w:style>
  <w:style w:type="character" w:customStyle="1" w:styleId="Heading1Char">
    <w:name w:val="Heading 1 Char"/>
    <w:basedOn w:val="DefaultParagraphFont"/>
    <w:link w:val="Heading1"/>
    <w:uiPriority w:val="9"/>
    <w:rsid w:val="00E77CF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E77C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7CF1"/>
    <w:rPr>
      <w:rFonts w:eastAsiaTheme="minorEastAsia"/>
      <w:color w:val="5A5A5A" w:themeColor="text1" w:themeTint="A5"/>
      <w:spacing w:val="15"/>
    </w:rPr>
  </w:style>
  <w:style w:type="paragraph" w:styleId="Title">
    <w:name w:val="Title"/>
    <w:basedOn w:val="Normal"/>
    <w:next w:val="Normal"/>
    <w:link w:val="TitleChar"/>
    <w:uiPriority w:val="10"/>
    <w:qFormat/>
    <w:rsid w:val="00E77C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CF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965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656B"/>
  </w:style>
  <w:style w:type="paragraph" w:styleId="Footer">
    <w:name w:val="footer"/>
    <w:basedOn w:val="Normal"/>
    <w:link w:val="FooterChar"/>
    <w:uiPriority w:val="99"/>
    <w:unhideWhenUsed/>
    <w:rsid w:val="006965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6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148">
      <w:bodyDiv w:val="1"/>
      <w:marLeft w:val="0"/>
      <w:marRight w:val="0"/>
      <w:marTop w:val="0"/>
      <w:marBottom w:val="0"/>
      <w:divBdr>
        <w:top w:val="none" w:sz="0" w:space="0" w:color="auto"/>
        <w:left w:val="none" w:sz="0" w:space="0" w:color="auto"/>
        <w:bottom w:val="none" w:sz="0" w:space="0" w:color="auto"/>
        <w:right w:val="none" w:sz="0" w:space="0" w:color="auto"/>
      </w:divBdr>
    </w:div>
    <w:div w:id="76904676">
      <w:bodyDiv w:val="1"/>
      <w:marLeft w:val="0"/>
      <w:marRight w:val="0"/>
      <w:marTop w:val="0"/>
      <w:marBottom w:val="0"/>
      <w:divBdr>
        <w:top w:val="none" w:sz="0" w:space="0" w:color="auto"/>
        <w:left w:val="none" w:sz="0" w:space="0" w:color="auto"/>
        <w:bottom w:val="none" w:sz="0" w:space="0" w:color="auto"/>
        <w:right w:val="none" w:sz="0" w:space="0" w:color="auto"/>
      </w:divBdr>
    </w:div>
    <w:div w:id="122814712">
      <w:bodyDiv w:val="1"/>
      <w:marLeft w:val="0"/>
      <w:marRight w:val="0"/>
      <w:marTop w:val="0"/>
      <w:marBottom w:val="0"/>
      <w:divBdr>
        <w:top w:val="none" w:sz="0" w:space="0" w:color="auto"/>
        <w:left w:val="none" w:sz="0" w:space="0" w:color="auto"/>
        <w:bottom w:val="none" w:sz="0" w:space="0" w:color="auto"/>
        <w:right w:val="none" w:sz="0" w:space="0" w:color="auto"/>
      </w:divBdr>
      <w:divsChild>
        <w:div w:id="92216175">
          <w:marLeft w:val="720"/>
          <w:marRight w:val="0"/>
          <w:marTop w:val="96"/>
          <w:marBottom w:val="0"/>
          <w:divBdr>
            <w:top w:val="none" w:sz="0" w:space="0" w:color="auto"/>
            <w:left w:val="none" w:sz="0" w:space="0" w:color="auto"/>
            <w:bottom w:val="none" w:sz="0" w:space="0" w:color="auto"/>
            <w:right w:val="none" w:sz="0" w:space="0" w:color="auto"/>
          </w:divBdr>
        </w:div>
      </w:divsChild>
    </w:div>
    <w:div w:id="163666225">
      <w:bodyDiv w:val="1"/>
      <w:marLeft w:val="0"/>
      <w:marRight w:val="0"/>
      <w:marTop w:val="0"/>
      <w:marBottom w:val="0"/>
      <w:divBdr>
        <w:top w:val="none" w:sz="0" w:space="0" w:color="auto"/>
        <w:left w:val="none" w:sz="0" w:space="0" w:color="auto"/>
        <w:bottom w:val="none" w:sz="0" w:space="0" w:color="auto"/>
        <w:right w:val="none" w:sz="0" w:space="0" w:color="auto"/>
      </w:divBdr>
      <w:divsChild>
        <w:div w:id="953946647">
          <w:marLeft w:val="720"/>
          <w:marRight w:val="0"/>
          <w:marTop w:val="96"/>
          <w:marBottom w:val="0"/>
          <w:divBdr>
            <w:top w:val="none" w:sz="0" w:space="0" w:color="auto"/>
            <w:left w:val="none" w:sz="0" w:space="0" w:color="auto"/>
            <w:bottom w:val="none" w:sz="0" w:space="0" w:color="auto"/>
            <w:right w:val="none" w:sz="0" w:space="0" w:color="auto"/>
          </w:divBdr>
        </w:div>
        <w:div w:id="388380422">
          <w:marLeft w:val="720"/>
          <w:marRight w:val="0"/>
          <w:marTop w:val="96"/>
          <w:marBottom w:val="0"/>
          <w:divBdr>
            <w:top w:val="none" w:sz="0" w:space="0" w:color="auto"/>
            <w:left w:val="none" w:sz="0" w:space="0" w:color="auto"/>
            <w:bottom w:val="none" w:sz="0" w:space="0" w:color="auto"/>
            <w:right w:val="none" w:sz="0" w:space="0" w:color="auto"/>
          </w:divBdr>
        </w:div>
      </w:divsChild>
    </w:div>
    <w:div w:id="235552406">
      <w:bodyDiv w:val="1"/>
      <w:marLeft w:val="0"/>
      <w:marRight w:val="0"/>
      <w:marTop w:val="0"/>
      <w:marBottom w:val="0"/>
      <w:divBdr>
        <w:top w:val="none" w:sz="0" w:space="0" w:color="auto"/>
        <w:left w:val="none" w:sz="0" w:space="0" w:color="auto"/>
        <w:bottom w:val="none" w:sz="0" w:space="0" w:color="auto"/>
        <w:right w:val="none" w:sz="0" w:space="0" w:color="auto"/>
      </w:divBdr>
    </w:div>
    <w:div w:id="557056742">
      <w:bodyDiv w:val="1"/>
      <w:marLeft w:val="0"/>
      <w:marRight w:val="0"/>
      <w:marTop w:val="0"/>
      <w:marBottom w:val="0"/>
      <w:divBdr>
        <w:top w:val="none" w:sz="0" w:space="0" w:color="auto"/>
        <w:left w:val="none" w:sz="0" w:space="0" w:color="auto"/>
        <w:bottom w:val="none" w:sz="0" w:space="0" w:color="auto"/>
        <w:right w:val="none" w:sz="0" w:space="0" w:color="auto"/>
      </w:divBdr>
    </w:div>
    <w:div w:id="775637349">
      <w:bodyDiv w:val="1"/>
      <w:marLeft w:val="0"/>
      <w:marRight w:val="0"/>
      <w:marTop w:val="0"/>
      <w:marBottom w:val="0"/>
      <w:divBdr>
        <w:top w:val="none" w:sz="0" w:space="0" w:color="auto"/>
        <w:left w:val="none" w:sz="0" w:space="0" w:color="auto"/>
        <w:bottom w:val="none" w:sz="0" w:space="0" w:color="auto"/>
        <w:right w:val="none" w:sz="0" w:space="0" w:color="auto"/>
      </w:divBdr>
    </w:div>
    <w:div w:id="779495400">
      <w:bodyDiv w:val="1"/>
      <w:marLeft w:val="0"/>
      <w:marRight w:val="0"/>
      <w:marTop w:val="0"/>
      <w:marBottom w:val="0"/>
      <w:divBdr>
        <w:top w:val="none" w:sz="0" w:space="0" w:color="auto"/>
        <w:left w:val="none" w:sz="0" w:space="0" w:color="auto"/>
        <w:bottom w:val="none" w:sz="0" w:space="0" w:color="auto"/>
        <w:right w:val="none" w:sz="0" w:space="0" w:color="auto"/>
      </w:divBdr>
    </w:div>
    <w:div w:id="793401353">
      <w:bodyDiv w:val="1"/>
      <w:marLeft w:val="0"/>
      <w:marRight w:val="0"/>
      <w:marTop w:val="0"/>
      <w:marBottom w:val="0"/>
      <w:divBdr>
        <w:top w:val="none" w:sz="0" w:space="0" w:color="auto"/>
        <w:left w:val="none" w:sz="0" w:space="0" w:color="auto"/>
        <w:bottom w:val="none" w:sz="0" w:space="0" w:color="auto"/>
        <w:right w:val="none" w:sz="0" w:space="0" w:color="auto"/>
      </w:divBdr>
      <w:divsChild>
        <w:div w:id="321741290">
          <w:marLeft w:val="720"/>
          <w:marRight w:val="0"/>
          <w:marTop w:val="0"/>
          <w:marBottom w:val="0"/>
          <w:divBdr>
            <w:top w:val="none" w:sz="0" w:space="0" w:color="auto"/>
            <w:left w:val="none" w:sz="0" w:space="0" w:color="auto"/>
            <w:bottom w:val="none" w:sz="0" w:space="0" w:color="auto"/>
            <w:right w:val="none" w:sz="0" w:space="0" w:color="auto"/>
          </w:divBdr>
        </w:div>
        <w:div w:id="952400719">
          <w:marLeft w:val="720"/>
          <w:marRight w:val="0"/>
          <w:marTop w:val="86"/>
          <w:marBottom w:val="0"/>
          <w:divBdr>
            <w:top w:val="none" w:sz="0" w:space="0" w:color="auto"/>
            <w:left w:val="none" w:sz="0" w:space="0" w:color="auto"/>
            <w:bottom w:val="none" w:sz="0" w:space="0" w:color="auto"/>
            <w:right w:val="none" w:sz="0" w:space="0" w:color="auto"/>
          </w:divBdr>
        </w:div>
      </w:divsChild>
    </w:div>
    <w:div w:id="835803359">
      <w:bodyDiv w:val="1"/>
      <w:marLeft w:val="0"/>
      <w:marRight w:val="0"/>
      <w:marTop w:val="0"/>
      <w:marBottom w:val="0"/>
      <w:divBdr>
        <w:top w:val="none" w:sz="0" w:space="0" w:color="auto"/>
        <w:left w:val="none" w:sz="0" w:space="0" w:color="auto"/>
        <w:bottom w:val="none" w:sz="0" w:space="0" w:color="auto"/>
        <w:right w:val="none" w:sz="0" w:space="0" w:color="auto"/>
      </w:divBdr>
    </w:div>
    <w:div w:id="923805891">
      <w:bodyDiv w:val="1"/>
      <w:marLeft w:val="0"/>
      <w:marRight w:val="0"/>
      <w:marTop w:val="0"/>
      <w:marBottom w:val="0"/>
      <w:divBdr>
        <w:top w:val="none" w:sz="0" w:space="0" w:color="auto"/>
        <w:left w:val="none" w:sz="0" w:space="0" w:color="auto"/>
        <w:bottom w:val="none" w:sz="0" w:space="0" w:color="auto"/>
        <w:right w:val="none" w:sz="0" w:space="0" w:color="auto"/>
      </w:divBdr>
    </w:div>
    <w:div w:id="957184134">
      <w:bodyDiv w:val="1"/>
      <w:marLeft w:val="0"/>
      <w:marRight w:val="0"/>
      <w:marTop w:val="0"/>
      <w:marBottom w:val="0"/>
      <w:divBdr>
        <w:top w:val="none" w:sz="0" w:space="0" w:color="auto"/>
        <w:left w:val="none" w:sz="0" w:space="0" w:color="auto"/>
        <w:bottom w:val="none" w:sz="0" w:space="0" w:color="auto"/>
        <w:right w:val="none" w:sz="0" w:space="0" w:color="auto"/>
      </w:divBdr>
      <w:divsChild>
        <w:div w:id="2143647130">
          <w:marLeft w:val="720"/>
          <w:marRight w:val="0"/>
          <w:marTop w:val="96"/>
          <w:marBottom w:val="0"/>
          <w:divBdr>
            <w:top w:val="none" w:sz="0" w:space="0" w:color="auto"/>
            <w:left w:val="none" w:sz="0" w:space="0" w:color="auto"/>
            <w:bottom w:val="none" w:sz="0" w:space="0" w:color="auto"/>
            <w:right w:val="none" w:sz="0" w:space="0" w:color="auto"/>
          </w:divBdr>
        </w:div>
        <w:div w:id="1218317397">
          <w:marLeft w:val="720"/>
          <w:marRight w:val="0"/>
          <w:marTop w:val="96"/>
          <w:marBottom w:val="0"/>
          <w:divBdr>
            <w:top w:val="none" w:sz="0" w:space="0" w:color="auto"/>
            <w:left w:val="none" w:sz="0" w:space="0" w:color="auto"/>
            <w:bottom w:val="none" w:sz="0" w:space="0" w:color="auto"/>
            <w:right w:val="none" w:sz="0" w:space="0" w:color="auto"/>
          </w:divBdr>
        </w:div>
        <w:div w:id="757873104">
          <w:marLeft w:val="720"/>
          <w:marRight w:val="0"/>
          <w:marTop w:val="96"/>
          <w:marBottom w:val="0"/>
          <w:divBdr>
            <w:top w:val="none" w:sz="0" w:space="0" w:color="auto"/>
            <w:left w:val="none" w:sz="0" w:space="0" w:color="auto"/>
            <w:bottom w:val="none" w:sz="0" w:space="0" w:color="auto"/>
            <w:right w:val="none" w:sz="0" w:space="0" w:color="auto"/>
          </w:divBdr>
        </w:div>
        <w:div w:id="1131826363">
          <w:marLeft w:val="720"/>
          <w:marRight w:val="0"/>
          <w:marTop w:val="96"/>
          <w:marBottom w:val="0"/>
          <w:divBdr>
            <w:top w:val="none" w:sz="0" w:space="0" w:color="auto"/>
            <w:left w:val="none" w:sz="0" w:space="0" w:color="auto"/>
            <w:bottom w:val="none" w:sz="0" w:space="0" w:color="auto"/>
            <w:right w:val="none" w:sz="0" w:space="0" w:color="auto"/>
          </w:divBdr>
        </w:div>
      </w:divsChild>
    </w:div>
    <w:div w:id="1028800875">
      <w:bodyDiv w:val="1"/>
      <w:marLeft w:val="0"/>
      <w:marRight w:val="0"/>
      <w:marTop w:val="0"/>
      <w:marBottom w:val="0"/>
      <w:divBdr>
        <w:top w:val="none" w:sz="0" w:space="0" w:color="auto"/>
        <w:left w:val="none" w:sz="0" w:space="0" w:color="auto"/>
        <w:bottom w:val="none" w:sz="0" w:space="0" w:color="auto"/>
        <w:right w:val="none" w:sz="0" w:space="0" w:color="auto"/>
      </w:divBdr>
      <w:divsChild>
        <w:div w:id="1606763733">
          <w:marLeft w:val="720"/>
          <w:marRight w:val="0"/>
          <w:marTop w:val="86"/>
          <w:marBottom w:val="0"/>
          <w:divBdr>
            <w:top w:val="none" w:sz="0" w:space="0" w:color="auto"/>
            <w:left w:val="none" w:sz="0" w:space="0" w:color="auto"/>
            <w:bottom w:val="none" w:sz="0" w:space="0" w:color="auto"/>
            <w:right w:val="none" w:sz="0" w:space="0" w:color="auto"/>
          </w:divBdr>
        </w:div>
      </w:divsChild>
    </w:div>
    <w:div w:id="1044909182">
      <w:bodyDiv w:val="1"/>
      <w:marLeft w:val="0"/>
      <w:marRight w:val="0"/>
      <w:marTop w:val="0"/>
      <w:marBottom w:val="0"/>
      <w:divBdr>
        <w:top w:val="none" w:sz="0" w:space="0" w:color="auto"/>
        <w:left w:val="none" w:sz="0" w:space="0" w:color="auto"/>
        <w:bottom w:val="none" w:sz="0" w:space="0" w:color="auto"/>
        <w:right w:val="none" w:sz="0" w:space="0" w:color="auto"/>
      </w:divBdr>
    </w:div>
    <w:div w:id="1051467583">
      <w:bodyDiv w:val="1"/>
      <w:marLeft w:val="0"/>
      <w:marRight w:val="0"/>
      <w:marTop w:val="0"/>
      <w:marBottom w:val="0"/>
      <w:divBdr>
        <w:top w:val="none" w:sz="0" w:space="0" w:color="auto"/>
        <w:left w:val="none" w:sz="0" w:space="0" w:color="auto"/>
        <w:bottom w:val="none" w:sz="0" w:space="0" w:color="auto"/>
        <w:right w:val="none" w:sz="0" w:space="0" w:color="auto"/>
      </w:divBdr>
    </w:div>
    <w:div w:id="1153377244">
      <w:bodyDiv w:val="1"/>
      <w:marLeft w:val="0"/>
      <w:marRight w:val="0"/>
      <w:marTop w:val="0"/>
      <w:marBottom w:val="0"/>
      <w:divBdr>
        <w:top w:val="none" w:sz="0" w:space="0" w:color="auto"/>
        <w:left w:val="none" w:sz="0" w:space="0" w:color="auto"/>
        <w:bottom w:val="none" w:sz="0" w:space="0" w:color="auto"/>
        <w:right w:val="none" w:sz="0" w:space="0" w:color="auto"/>
      </w:divBdr>
      <w:divsChild>
        <w:div w:id="599021316">
          <w:marLeft w:val="1166"/>
          <w:marRight w:val="0"/>
          <w:marTop w:val="86"/>
          <w:marBottom w:val="0"/>
          <w:divBdr>
            <w:top w:val="none" w:sz="0" w:space="0" w:color="auto"/>
            <w:left w:val="none" w:sz="0" w:space="0" w:color="auto"/>
            <w:bottom w:val="none" w:sz="0" w:space="0" w:color="auto"/>
            <w:right w:val="none" w:sz="0" w:space="0" w:color="auto"/>
          </w:divBdr>
        </w:div>
        <w:div w:id="171339614">
          <w:marLeft w:val="1166"/>
          <w:marRight w:val="0"/>
          <w:marTop w:val="86"/>
          <w:marBottom w:val="0"/>
          <w:divBdr>
            <w:top w:val="none" w:sz="0" w:space="0" w:color="auto"/>
            <w:left w:val="none" w:sz="0" w:space="0" w:color="auto"/>
            <w:bottom w:val="none" w:sz="0" w:space="0" w:color="auto"/>
            <w:right w:val="none" w:sz="0" w:space="0" w:color="auto"/>
          </w:divBdr>
        </w:div>
        <w:div w:id="53045388">
          <w:marLeft w:val="1166"/>
          <w:marRight w:val="0"/>
          <w:marTop w:val="86"/>
          <w:marBottom w:val="0"/>
          <w:divBdr>
            <w:top w:val="none" w:sz="0" w:space="0" w:color="auto"/>
            <w:left w:val="none" w:sz="0" w:space="0" w:color="auto"/>
            <w:bottom w:val="none" w:sz="0" w:space="0" w:color="auto"/>
            <w:right w:val="none" w:sz="0" w:space="0" w:color="auto"/>
          </w:divBdr>
        </w:div>
        <w:div w:id="1137260901">
          <w:marLeft w:val="446"/>
          <w:marRight w:val="0"/>
          <w:marTop w:val="0"/>
          <w:marBottom w:val="0"/>
          <w:divBdr>
            <w:top w:val="none" w:sz="0" w:space="0" w:color="auto"/>
            <w:left w:val="none" w:sz="0" w:space="0" w:color="auto"/>
            <w:bottom w:val="none" w:sz="0" w:space="0" w:color="auto"/>
            <w:right w:val="none" w:sz="0" w:space="0" w:color="auto"/>
          </w:divBdr>
        </w:div>
        <w:div w:id="1667703268">
          <w:marLeft w:val="446"/>
          <w:marRight w:val="0"/>
          <w:marTop w:val="86"/>
          <w:marBottom w:val="0"/>
          <w:divBdr>
            <w:top w:val="none" w:sz="0" w:space="0" w:color="auto"/>
            <w:left w:val="none" w:sz="0" w:space="0" w:color="auto"/>
            <w:bottom w:val="none" w:sz="0" w:space="0" w:color="auto"/>
            <w:right w:val="none" w:sz="0" w:space="0" w:color="auto"/>
          </w:divBdr>
        </w:div>
      </w:divsChild>
    </w:div>
    <w:div w:id="1246572088">
      <w:bodyDiv w:val="1"/>
      <w:marLeft w:val="0"/>
      <w:marRight w:val="0"/>
      <w:marTop w:val="0"/>
      <w:marBottom w:val="0"/>
      <w:divBdr>
        <w:top w:val="none" w:sz="0" w:space="0" w:color="auto"/>
        <w:left w:val="none" w:sz="0" w:space="0" w:color="auto"/>
        <w:bottom w:val="none" w:sz="0" w:space="0" w:color="auto"/>
        <w:right w:val="none" w:sz="0" w:space="0" w:color="auto"/>
      </w:divBdr>
      <w:divsChild>
        <w:div w:id="1621952935">
          <w:marLeft w:val="1555"/>
          <w:marRight w:val="0"/>
          <w:marTop w:val="77"/>
          <w:marBottom w:val="0"/>
          <w:divBdr>
            <w:top w:val="none" w:sz="0" w:space="0" w:color="auto"/>
            <w:left w:val="none" w:sz="0" w:space="0" w:color="auto"/>
            <w:bottom w:val="none" w:sz="0" w:space="0" w:color="auto"/>
            <w:right w:val="none" w:sz="0" w:space="0" w:color="auto"/>
          </w:divBdr>
        </w:div>
        <w:div w:id="1094788972">
          <w:marLeft w:val="1555"/>
          <w:marRight w:val="0"/>
          <w:marTop w:val="77"/>
          <w:marBottom w:val="0"/>
          <w:divBdr>
            <w:top w:val="none" w:sz="0" w:space="0" w:color="auto"/>
            <w:left w:val="none" w:sz="0" w:space="0" w:color="auto"/>
            <w:bottom w:val="none" w:sz="0" w:space="0" w:color="auto"/>
            <w:right w:val="none" w:sz="0" w:space="0" w:color="auto"/>
          </w:divBdr>
        </w:div>
        <w:div w:id="2074697648">
          <w:marLeft w:val="1555"/>
          <w:marRight w:val="0"/>
          <w:marTop w:val="77"/>
          <w:marBottom w:val="0"/>
          <w:divBdr>
            <w:top w:val="none" w:sz="0" w:space="0" w:color="auto"/>
            <w:left w:val="none" w:sz="0" w:space="0" w:color="auto"/>
            <w:bottom w:val="none" w:sz="0" w:space="0" w:color="auto"/>
            <w:right w:val="none" w:sz="0" w:space="0" w:color="auto"/>
          </w:divBdr>
        </w:div>
        <w:div w:id="1325278487">
          <w:marLeft w:val="1555"/>
          <w:marRight w:val="0"/>
          <w:marTop w:val="77"/>
          <w:marBottom w:val="0"/>
          <w:divBdr>
            <w:top w:val="none" w:sz="0" w:space="0" w:color="auto"/>
            <w:left w:val="none" w:sz="0" w:space="0" w:color="auto"/>
            <w:bottom w:val="none" w:sz="0" w:space="0" w:color="auto"/>
            <w:right w:val="none" w:sz="0" w:space="0" w:color="auto"/>
          </w:divBdr>
        </w:div>
        <w:div w:id="262497242">
          <w:marLeft w:val="1555"/>
          <w:marRight w:val="0"/>
          <w:marTop w:val="77"/>
          <w:marBottom w:val="0"/>
          <w:divBdr>
            <w:top w:val="none" w:sz="0" w:space="0" w:color="auto"/>
            <w:left w:val="none" w:sz="0" w:space="0" w:color="auto"/>
            <w:bottom w:val="none" w:sz="0" w:space="0" w:color="auto"/>
            <w:right w:val="none" w:sz="0" w:space="0" w:color="auto"/>
          </w:divBdr>
        </w:div>
      </w:divsChild>
    </w:div>
    <w:div w:id="1332609172">
      <w:bodyDiv w:val="1"/>
      <w:marLeft w:val="0"/>
      <w:marRight w:val="0"/>
      <w:marTop w:val="0"/>
      <w:marBottom w:val="0"/>
      <w:divBdr>
        <w:top w:val="none" w:sz="0" w:space="0" w:color="auto"/>
        <w:left w:val="none" w:sz="0" w:space="0" w:color="auto"/>
        <w:bottom w:val="none" w:sz="0" w:space="0" w:color="auto"/>
        <w:right w:val="none" w:sz="0" w:space="0" w:color="auto"/>
      </w:divBdr>
      <w:divsChild>
        <w:div w:id="855117496">
          <w:marLeft w:val="720"/>
          <w:marRight w:val="0"/>
          <w:marTop w:val="0"/>
          <w:marBottom w:val="0"/>
          <w:divBdr>
            <w:top w:val="none" w:sz="0" w:space="0" w:color="auto"/>
            <w:left w:val="none" w:sz="0" w:space="0" w:color="auto"/>
            <w:bottom w:val="none" w:sz="0" w:space="0" w:color="auto"/>
            <w:right w:val="none" w:sz="0" w:space="0" w:color="auto"/>
          </w:divBdr>
        </w:div>
        <w:div w:id="226915171">
          <w:marLeft w:val="720"/>
          <w:marRight w:val="0"/>
          <w:marTop w:val="86"/>
          <w:marBottom w:val="0"/>
          <w:divBdr>
            <w:top w:val="none" w:sz="0" w:space="0" w:color="auto"/>
            <w:left w:val="none" w:sz="0" w:space="0" w:color="auto"/>
            <w:bottom w:val="none" w:sz="0" w:space="0" w:color="auto"/>
            <w:right w:val="none" w:sz="0" w:space="0" w:color="auto"/>
          </w:divBdr>
        </w:div>
        <w:div w:id="1681154205">
          <w:marLeft w:val="1555"/>
          <w:marRight w:val="0"/>
          <w:marTop w:val="86"/>
          <w:marBottom w:val="0"/>
          <w:divBdr>
            <w:top w:val="none" w:sz="0" w:space="0" w:color="auto"/>
            <w:left w:val="none" w:sz="0" w:space="0" w:color="auto"/>
            <w:bottom w:val="none" w:sz="0" w:space="0" w:color="auto"/>
            <w:right w:val="none" w:sz="0" w:space="0" w:color="auto"/>
          </w:divBdr>
        </w:div>
        <w:div w:id="444733477">
          <w:marLeft w:val="1555"/>
          <w:marRight w:val="0"/>
          <w:marTop w:val="86"/>
          <w:marBottom w:val="0"/>
          <w:divBdr>
            <w:top w:val="none" w:sz="0" w:space="0" w:color="auto"/>
            <w:left w:val="none" w:sz="0" w:space="0" w:color="auto"/>
            <w:bottom w:val="none" w:sz="0" w:space="0" w:color="auto"/>
            <w:right w:val="none" w:sz="0" w:space="0" w:color="auto"/>
          </w:divBdr>
        </w:div>
      </w:divsChild>
    </w:div>
    <w:div w:id="1720669587">
      <w:bodyDiv w:val="1"/>
      <w:marLeft w:val="0"/>
      <w:marRight w:val="0"/>
      <w:marTop w:val="0"/>
      <w:marBottom w:val="0"/>
      <w:divBdr>
        <w:top w:val="none" w:sz="0" w:space="0" w:color="auto"/>
        <w:left w:val="none" w:sz="0" w:space="0" w:color="auto"/>
        <w:bottom w:val="none" w:sz="0" w:space="0" w:color="auto"/>
        <w:right w:val="none" w:sz="0" w:space="0" w:color="auto"/>
      </w:divBdr>
    </w:div>
    <w:div w:id="1947076873">
      <w:bodyDiv w:val="1"/>
      <w:marLeft w:val="0"/>
      <w:marRight w:val="0"/>
      <w:marTop w:val="0"/>
      <w:marBottom w:val="0"/>
      <w:divBdr>
        <w:top w:val="none" w:sz="0" w:space="0" w:color="auto"/>
        <w:left w:val="none" w:sz="0" w:space="0" w:color="auto"/>
        <w:bottom w:val="none" w:sz="0" w:space="0" w:color="auto"/>
        <w:right w:val="none" w:sz="0" w:space="0" w:color="auto"/>
      </w:divBdr>
      <w:divsChild>
        <w:div w:id="510991145">
          <w:marLeft w:val="1166"/>
          <w:marRight w:val="0"/>
          <w:marTop w:val="0"/>
          <w:marBottom w:val="0"/>
          <w:divBdr>
            <w:top w:val="none" w:sz="0" w:space="0" w:color="auto"/>
            <w:left w:val="none" w:sz="0" w:space="0" w:color="auto"/>
            <w:bottom w:val="none" w:sz="0" w:space="0" w:color="auto"/>
            <w:right w:val="none" w:sz="0" w:space="0" w:color="auto"/>
          </w:divBdr>
        </w:div>
        <w:div w:id="1307318526">
          <w:marLeft w:val="1166"/>
          <w:marRight w:val="0"/>
          <w:marTop w:val="0"/>
          <w:marBottom w:val="0"/>
          <w:divBdr>
            <w:top w:val="none" w:sz="0" w:space="0" w:color="auto"/>
            <w:left w:val="none" w:sz="0" w:space="0" w:color="auto"/>
            <w:bottom w:val="none" w:sz="0" w:space="0" w:color="auto"/>
            <w:right w:val="none" w:sz="0" w:space="0" w:color="auto"/>
          </w:divBdr>
        </w:div>
        <w:div w:id="530534767">
          <w:marLeft w:val="1886"/>
          <w:marRight w:val="0"/>
          <w:marTop w:val="0"/>
          <w:marBottom w:val="0"/>
          <w:divBdr>
            <w:top w:val="none" w:sz="0" w:space="0" w:color="auto"/>
            <w:left w:val="none" w:sz="0" w:space="0" w:color="auto"/>
            <w:bottom w:val="none" w:sz="0" w:space="0" w:color="auto"/>
            <w:right w:val="none" w:sz="0" w:space="0" w:color="auto"/>
          </w:divBdr>
        </w:div>
        <w:div w:id="896283005">
          <w:marLeft w:val="1886"/>
          <w:marRight w:val="0"/>
          <w:marTop w:val="0"/>
          <w:marBottom w:val="0"/>
          <w:divBdr>
            <w:top w:val="none" w:sz="0" w:space="0" w:color="auto"/>
            <w:left w:val="none" w:sz="0" w:space="0" w:color="auto"/>
            <w:bottom w:val="none" w:sz="0" w:space="0" w:color="auto"/>
            <w:right w:val="none" w:sz="0" w:space="0" w:color="auto"/>
          </w:divBdr>
        </w:div>
        <w:div w:id="626933164">
          <w:marLeft w:val="446"/>
          <w:marRight w:val="0"/>
          <w:marTop w:val="0"/>
          <w:marBottom w:val="0"/>
          <w:divBdr>
            <w:top w:val="none" w:sz="0" w:space="0" w:color="auto"/>
            <w:left w:val="none" w:sz="0" w:space="0" w:color="auto"/>
            <w:bottom w:val="none" w:sz="0" w:space="0" w:color="auto"/>
            <w:right w:val="none" w:sz="0" w:space="0" w:color="auto"/>
          </w:divBdr>
        </w:div>
        <w:div w:id="884564204">
          <w:marLeft w:val="446"/>
          <w:marRight w:val="0"/>
          <w:marTop w:val="0"/>
          <w:marBottom w:val="0"/>
          <w:divBdr>
            <w:top w:val="none" w:sz="0" w:space="0" w:color="auto"/>
            <w:left w:val="none" w:sz="0" w:space="0" w:color="auto"/>
            <w:bottom w:val="none" w:sz="0" w:space="0" w:color="auto"/>
            <w:right w:val="none" w:sz="0" w:space="0" w:color="auto"/>
          </w:divBdr>
        </w:div>
      </w:divsChild>
    </w:div>
    <w:div w:id="1993215891">
      <w:bodyDiv w:val="1"/>
      <w:marLeft w:val="0"/>
      <w:marRight w:val="0"/>
      <w:marTop w:val="0"/>
      <w:marBottom w:val="0"/>
      <w:divBdr>
        <w:top w:val="none" w:sz="0" w:space="0" w:color="auto"/>
        <w:left w:val="none" w:sz="0" w:space="0" w:color="auto"/>
        <w:bottom w:val="none" w:sz="0" w:space="0" w:color="auto"/>
        <w:right w:val="none" w:sz="0" w:space="0" w:color="auto"/>
      </w:divBdr>
      <w:divsChild>
        <w:div w:id="27262982">
          <w:marLeft w:val="720"/>
          <w:marRight w:val="0"/>
          <w:marTop w:val="86"/>
          <w:marBottom w:val="0"/>
          <w:divBdr>
            <w:top w:val="none" w:sz="0" w:space="0" w:color="auto"/>
            <w:left w:val="none" w:sz="0" w:space="0" w:color="auto"/>
            <w:bottom w:val="none" w:sz="0" w:space="0" w:color="auto"/>
            <w:right w:val="none" w:sz="0" w:space="0" w:color="auto"/>
          </w:divBdr>
        </w:div>
        <w:div w:id="560136780">
          <w:marLeft w:val="1555"/>
          <w:marRight w:val="0"/>
          <w:marTop w:val="86"/>
          <w:marBottom w:val="0"/>
          <w:divBdr>
            <w:top w:val="none" w:sz="0" w:space="0" w:color="auto"/>
            <w:left w:val="none" w:sz="0" w:space="0" w:color="auto"/>
            <w:bottom w:val="none" w:sz="0" w:space="0" w:color="auto"/>
            <w:right w:val="none" w:sz="0" w:space="0" w:color="auto"/>
          </w:divBdr>
        </w:div>
        <w:div w:id="1240021353">
          <w:marLeft w:val="1555"/>
          <w:marRight w:val="0"/>
          <w:marTop w:val="86"/>
          <w:marBottom w:val="0"/>
          <w:divBdr>
            <w:top w:val="none" w:sz="0" w:space="0" w:color="auto"/>
            <w:left w:val="none" w:sz="0" w:space="0" w:color="auto"/>
            <w:bottom w:val="none" w:sz="0" w:space="0" w:color="auto"/>
            <w:right w:val="none" w:sz="0" w:space="0" w:color="auto"/>
          </w:divBdr>
        </w:div>
        <w:div w:id="255330429">
          <w:marLeft w:val="1555"/>
          <w:marRight w:val="0"/>
          <w:marTop w:val="86"/>
          <w:marBottom w:val="0"/>
          <w:divBdr>
            <w:top w:val="none" w:sz="0" w:space="0" w:color="auto"/>
            <w:left w:val="none" w:sz="0" w:space="0" w:color="auto"/>
            <w:bottom w:val="none" w:sz="0" w:space="0" w:color="auto"/>
            <w:right w:val="none" w:sz="0" w:space="0" w:color="auto"/>
          </w:divBdr>
        </w:div>
        <w:div w:id="351808493">
          <w:marLeft w:val="720"/>
          <w:marRight w:val="0"/>
          <w:marTop w:val="86"/>
          <w:marBottom w:val="0"/>
          <w:divBdr>
            <w:top w:val="none" w:sz="0" w:space="0" w:color="auto"/>
            <w:left w:val="none" w:sz="0" w:space="0" w:color="auto"/>
            <w:bottom w:val="none" w:sz="0" w:space="0" w:color="auto"/>
            <w:right w:val="none" w:sz="0" w:space="0" w:color="auto"/>
          </w:divBdr>
        </w:div>
        <w:div w:id="1670979628">
          <w:marLeft w:val="1555"/>
          <w:marRight w:val="0"/>
          <w:marTop w:val="86"/>
          <w:marBottom w:val="0"/>
          <w:divBdr>
            <w:top w:val="none" w:sz="0" w:space="0" w:color="auto"/>
            <w:left w:val="none" w:sz="0" w:space="0" w:color="auto"/>
            <w:bottom w:val="none" w:sz="0" w:space="0" w:color="auto"/>
            <w:right w:val="none" w:sz="0" w:space="0" w:color="auto"/>
          </w:divBdr>
        </w:div>
        <w:div w:id="1863007311">
          <w:marLeft w:val="1555"/>
          <w:marRight w:val="0"/>
          <w:marTop w:val="86"/>
          <w:marBottom w:val="0"/>
          <w:divBdr>
            <w:top w:val="none" w:sz="0" w:space="0" w:color="auto"/>
            <w:left w:val="none" w:sz="0" w:space="0" w:color="auto"/>
            <w:bottom w:val="none" w:sz="0" w:space="0" w:color="auto"/>
            <w:right w:val="none" w:sz="0" w:space="0" w:color="auto"/>
          </w:divBdr>
        </w:div>
        <w:div w:id="1093555122">
          <w:marLeft w:val="720"/>
          <w:marRight w:val="0"/>
          <w:marTop w:val="86"/>
          <w:marBottom w:val="0"/>
          <w:divBdr>
            <w:top w:val="none" w:sz="0" w:space="0" w:color="auto"/>
            <w:left w:val="none" w:sz="0" w:space="0" w:color="auto"/>
            <w:bottom w:val="none" w:sz="0" w:space="0" w:color="auto"/>
            <w:right w:val="none" w:sz="0" w:space="0" w:color="auto"/>
          </w:divBdr>
        </w:div>
      </w:divsChild>
    </w:div>
    <w:div w:id="2002851551">
      <w:bodyDiv w:val="1"/>
      <w:marLeft w:val="0"/>
      <w:marRight w:val="0"/>
      <w:marTop w:val="0"/>
      <w:marBottom w:val="0"/>
      <w:divBdr>
        <w:top w:val="none" w:sz="0" w:space="0" w:color="auto"/>
        <w:left w:val="none" w:sz="0" w:space="0" w:color="auto"/>
        <w:bottom w:val="none" w:sz="0" w:space="0" w:color="auto"/>
        <w:right w:val="none" w:sz="0" w:space="0" w:color="auto"/>
      </w:divBdr>
      <w:divsChild>
        <w:div w:id="873424953">
          <w:marLeft w:val="720"/>
          <w:marRight w:val="0"/>
          <w:marTop w:val="86"/>
          <w:marBottom w:val="0"/>
          <w:divBdr>
            <w:top w:val="none" w:sz="0" w:space="0" w:color="auto"/>
            <w:left w:val="none" w:sz="0" w:space="0" w:color="auto"/>
            <w:bottom w:val="none" w:sz="0" w:space="0" w:color="auto"/>
            <w:right w:val="none" w:sz="0" w:space="0" w:color="auto"/>
          </w:divBdr>
        </w:div>
      </w:divsChild>
    </w:div>
    <w:div w:id="21265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Sheet1!$B$1</c:f>
              <c:strCache>
                <c:ptCount val="1"/>
                <c:pt idx="0">
                  <c:v>Location</c:v>
                </c:pt>
              </c:strCache>
            </c:strRef>
          </c:tx>
          <c:explosion val="4"/>
          <c:dPt>
            <c:idx val="0"/>
            <c:bubble3D val="0"/>
            <c:spPr>
              <a:solidFill>
                <a:schemeClr val="accent1">
                  <a:shade val="76000"/>
                </a:schemeClr>
              </a:solidFill>
              <a:ln>
                <a:noFill/>
              </a:ln>
              <a:effectLst/>
              <a:scene3d>
                <a:camera prst="orthographicFront"/>
                <a:lightRig rig="brightRoom" dir="t"/>
              </a:scene3d>
              <a:sp3d prstMaterial="flat">
                <a:bevelT w="50800" h="101600" prst="angle"/>
                <a:contourClr>
                  <a:srgbClr val="000000"/>
                </a:contourClr>
              </a:sp3d>
            </c:spPr>
          </c:dPt>
          <c:dPt>
            <c:idx val="1"/>
            <c:bubble3D val="0"/>
            <c:explosion val="0"/>
            <c:spPr>
              <a:solidFill>
                <a:schemeClr val="accent3">
                  <a:lumMod val="60000"/>
                  <a:lumOff val="40000"/>
                </a:schemeClr>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14811927016077606"/>
                  <c:y val="-9.9603220045744206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594628299305272"/>
                  <c:y val="0.123187176765160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Regions</c:v>
                </c:pt>
                <c:pt idx="1">
                  <c:v>Headquarters</c:v>
                </c:pt>
              </c:strCache>
            </c:strRef>
          </c:cat>
          <c:val>
            <c:numRef>
              <c:f>Sheet1!$B$2:$B$3</c:f>
              <c:numCache>
                <c:formatCode>0%</c:formatCode>
                <c:ptCount val="2"/>
                <c:pt idx="0">
                  <c:v>0.72</c:v>
                </c:pt>
                <c:pt idx="1">
                  <c:v>0.28000000000000003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ofPieChart>
        <c:ofPieType val="bar"/>
        <c:varyColors val="1"/>
        <c:ser>
          <c:idx val="0"/>
          <c:order val="0"/>
          <c:tx>
            <c:strRef>
              <c:f>Sheet1!$B$1</c:f>
              <c:strCache>
                <c:ptCount val="1"/>
                <c:pt idx="0">
                  <c:v>Type of position</c:v>
                </c:pt>
              </c:strCache>
            </c:strRef>
          </c:tx>
          <c:spPr>
            <a:solidFill>
              <a:schemeClr val="accent3">
                <a:lumMod val="75000"/>
              </a:schemeClr>
            </a:solidFill>
          </c:spPr>
          <c:dPt>
            <c:idx val="0"/>
            <c:bubble3D val="0"/>
            <c:spPr>
              <a:solidFill>
                <a:schemeClr val="accent3">
                  <a:lumMod val="75000"/>
                </a:schemeClr>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3">
                  <a:lumMod val="60000"/>
                  <a:lumOff val="40000"/>
                </a:schemeClr>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lumMod val="75000"/>
                </a:schemeClr>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3">
                  <a:lumMod val="60000"/>
                  <a:lumOff val="40000"/>
                  <a:alpha val="64000"/>
                </a:schemeClr>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3">
                  <a:lumMod val="75000"/>
                </a:schemeClr>
              </a:solidFill>
              <a:ln>
                <a:noFill/>
              </a:ln>
              <a:effectLst/>
              <a:scene3d>
                <a:camera prst="orthographicFront"/>
                <a:lightRig rig="brightRoom" dir="t"/>
              </a:scene3d>
              <a:sp3d prstMaterial="flat">
                <a:bevelT w="50800" h="101600" prst="angle"/>
                <a:contourClr>
                  <a:srgbClr val="000000"/>
                </a:contourClr>
              </a:sp3d>
            </c:spPr>
          </c:dPt>
          <c:dLbls>
            <c:dLbl>
              <c:idx val="1"/>
              <c:layout/>
              <c:tx>
                <c:rich>
                  <a:bodyPr/>
                  <a:lstStyle/>
                  <a:p>
                    <a:r>
                      <a:rPr lang="en-US"/>
                      <a:t>30%</a:t>
                    </a:r>
                  </a:p>
                </c:rich>
              </c:tx>
              <c:dLblPos val="inEnd"/>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a:lstStyle/>
                  <a:p>
                    <a:fld id="{2934EE86-875F-414D-A52C-69A7812734D6}" type="PERCENTAGE">
                      <a:rPr lang="en-US"/>
                      <a:pPr/>
                      <a:t>[PERCENTAGE]</a:t>
                    </a:fld>
                    <a:endParaRPr lang="en-US"/>
                  </a:p>
                  <a:p>
                    <a:r>
                      <a:rPr lang="en-US"/>
                      <a:t>RCMP</a:t>
                    </a:r>
                  </a:p>
                </c:rich>
              </c:tx>
              <c:dLblPos val="inEnd"/>
              <c:showLegendKey val="0"/>
              <c:showVal val="0"/>
              <c:showCatName val="0"/>
              <c:showSerName val="0"/>
              <c:showPercent val="1"/>
              <c:showBubbleSize val="0"/>
              <c:extLst>
                <c:ext xmlns:c15="http://schemas.microsoft.com/office/drawing/2012/chart" uri="{CE6537A1-D6FC-4f65-9D91-7224C49458BB}">
                  <c15:layout/>
                  <c15:dlblFieldTable/>
                  <c15:showDataLabelsRange val="0"/>
                </c:ext>
              </c:extLst>
            </c:dLbl>
            <c:dLbl>
              <c:idx val="3"/>
              <c:layout/>
              <c:tx>
                <c:rich>
                  <a:bodyPr/>
                  <a:lstStyle/>
                  <a:p>
                    <a:r>
                      <a:rPr lang="en-US"/>
                      <a:t>12%</a:t>
                    </a:r>
                  </a:p>
                  <a:p>
                    <a:r>
                      <a:rPr lang="en-US"/>
                      <a:t>OGD’s</a:t>
                    </a:r>
                  </a:p>
                </c:rich>
              </c:tx>
              <c:dLblPos val="inEnd"/>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22188981064088875"/>
                  <c:y val="0.12140997159185513"/>
                </c:manualLayout>
              </c:layout>
              <c:tx>
                <c:rich>
                  <a:bodyPr/>
                  <a:lstStyle/>
                  <a:p>
                    <a:r>
                      <a:rPr lang="en-US"/>
                      <a:t>70%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Entry Level</c:v>
                </c:pt>
                <c:pt idx="1">
                  <c:v>Other</c:v>
                </c:pt>
                <c:pt idx="2">
                  <c:v>RCMP</c:v>
                </c:pt>
                <c:pt idx="3">
                  <c:v>OGD's</c:v>
                </c:pt>
              </c:strCache>
            </c:strRef>
          </c:cat>
          <c:val>
            <c:numRef>
              <c:f>Sheet1!$B$2:$B$5</c:f>
              <c:numCache>
                <c:formatCode>0%</c:formatCode>
                <c:ptCount val="4"/>
                <c:pt idx="1">
                  <c:v>0.23</c:v>
                </c:pt>
                <c:pt idx="2">
                  <c:v>0.57999999999999996</c:v>
                </c:pt>
                <c:pt idx="3">
                  <c:v>0.19</c:v>
                </c:pt>
              </c:numCache>
            </c:numRef>
          </c:val>
        </c:ser>
        <c:dLbls>
          <c:dLblPos val="inEnd"/>
          <c:showLegendKey val="0"/>
          <c:showVal val="0"/>
          <c:showCatName val="0"/>
          <c:showSerName val="0"/>
          <c:showPercent val="1"/>
          <c:showBubbleSize val="0"/>
          <c:showLeaderLines val="1"/>
        </c:dLbls>
        <c:gapWidth val="100"/>
        <c:splitType val="pos"/>
        <c:splitPos val="2"/>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t"/>
      <c:legendEntry>
        <c:idx val="0"/>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0.32987</cdr:x>
      <cdr:y>0.35749</cdr:y>
    </cdr:from>
    <cdr:to>
      <cdr:x>0.53038</cdr:x>
      <cdr:y>0.86287</cdr:y>
    </cdr:to>
    <cdr:sp macro="" textlink="">
      <cdr:nvSpPr>
        <cdr:cNvPr id="2" name="TextBox 1"/>
        <cdr:cNvSpPr txBox="1"/>
      </cdr:nvSpPr>
      <cdr:spPr>
        <a:xfrm xmlns:a="http://schemas.openxmlformats.org/drawingml/2006/main">
          <a:off x="1504285" y="1159253"/>
          <a:ext cx="914400" cy="16387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1100" dirty="0"/>
        </a:p>
      </cdr:txBody>
    </cdr:sp>
  </cdr:relSizeAnchor>
  <cdr:relSizeAnchor xmlns:cdr="http://schemas.openxmlformats.org/drawingml/2006/chartDrawing">
    <cdr:from>
      <cdr:x>0.36947</cdr:x>
      <cdr:y>0.33612</cdr:y>
    </cdr:from>
    <cdr:to>
      <cdr:x>0.54915</cdr:x>
      <cdr:y>0.60559</cdr:y>
    </cdr:to>
    <cdr:sp macro="" textlink="">
      <cdr:nvSpPr>
        <cdr:cNvPr id="3" name="TextBox 2" descr="Pie Chart" title="Type of position"/>
        <cdr:cNvSpPr txBox="1"/>
      </cdr:nvSpPr>
      <cdr:spPr>
        <a:xfrm xmlns:a="http://schemas.openxmlformats.org/drawingml/2006/main">
          <a:off x="1684886" y="1089947"/>
          <a:ext cx="819390" cy="873820"/>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CA" sz="1200" b="1" dirty="0" smtClean="0">
              <a:solidFill>
                <a:schemeClr val="bg1"/>
              </a:solidFill>
            </a:rPr>
            <a:t>CR-04</a:t>
          </a:r>
        </a:p>
        <a:p xmlns:a="http://schemas.openxmlformats.org/drawingml/2006/main">
          <a:r>
            <a:rPr lang="en-CA" sz="1200" b="1" dirty="0" smtClean="0">
              <a:solidFill>
                <a:schemeClr val="bg1"/>
              </a:solidFill>
            </a:rPr>
            <a:t>CR-05</a:t>
          </a:r>
        </a:p>
        <a:p xmlns:a="http://schemas.openxmlformats.org/drawingml/2006/main">
          <a:r>
            <a:rPr lang="en-CA" sz="1200" b="1" dirty="0" smtClean="0">
              <a:solidFill>
                <a:schemeClr val="bg1"/>
              </a:solidFill>
            </a:rPr>
            <a:t>PO-01</a:t>
          </a:r>
        </a:p>
        <a:p xmlns:a="http://schemas.openxmlformats.org/drawingml/2006/main">
          <a:r>
            <a:rPr lang="en-CA" sz="1200" b="1" dirty="0" smtClean="0">
              <a:solidFill>
                <a:schemeClr val="bg1"/>
              </a:solidFill>
            </a:rPr>
            <a:t>CS-01</a:t>
          </a:r>
          <a:endParaRPr lang="en-CA" sz="1200" b="1" dirty="0">
            <a:solidFill>
              <a:schemeClr val="bg1"/>
            </a:solidFill>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1019</Words>
  <Characters>5811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Ladouceur</dc:creator>
  <cp:keywords/>
  <dc:description/>
  <cp:lastModifiedBy>Sandy Ferreira</cp:lastModifiedBy>
  <cp:revision>2</cp:revision>
  <dcterms:created xsi:type="dcterms:W3CDTF">2019-08-01T17:25:00Z</dcterms:created>
  <dcterms:modified xsi:type="dcterms:W3CDTF">2019-08-01T17:25:00Z</dcterms:modified>
</cp:coreProperties>
</file>