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7CD8" w14:textId="77777777" w:rsidR="00F91BF2" w:rsidRPr="006E2679" w:rsidRDefault="008F0DD6" w:rsidP="00F91BF2">
      <w:pPr>
        <w:pStyle w:val="Titre"/>
        <w:rPr>
          <w:rStyle w:val="Style7Char"/>
          <w:rFonts w:ascii="Segoe UI Semilight" w:eastAsiaTheme="majorEastAsia" w:hAnsi="Segoe UI Semilight" w:cs="Segoe UI Semilight"/>
          <w:color w:val="auto"/>
          <w:lang w:val="en-CA"/>
        </w:rPr>
      </w:pPr>
      <w:bookmarkStart w:id="0" w:name="_GoBack"/>
      <w:bookmarkEnd w:id="0"/>
      <w:r w:rsidRPr="006E2679">
        <w:rPr>
          <w:lang w:val="en-CA"/>
        </w:rPr>
        <w:t xml:space="preserve">President meeting with </w:t>
      </w:r>
      <w:r w:rsidR="001E202E" w:rsidRPr="006E2679">
        <w:rPr>
          <w:lang w:val="en-CA"/>
        </w:rPr>
        <w:br/>
        <w:t>Ms. Kristina</w:t>
      </w:r>
      <w:r w:rsidR="008439AB" w:rsidRPr="006E2679">
        <w:rPr>
          <w:lang w:val="en-CA"/>
        </w:rPr>
        <w:t xml:space="preserve"> </w:t>
      </w:r>
      <w:proofErr w:type="spellStart"/>
      <w:r w:rsidR="008439AB" w:rsidRPr="006E2679">
        <w:rPr>
          <w:lang w:val="en-CA"/>
        </w:rPr>
        <w:t>Namiesniowski</w:t>
      </w:r>
      <w:proofErr w:type="spellEnd"/>
      <w:r w:rsidR="008439AB" w:rsidRPr="006E2679">
        <w:rPr>
          <w:lang w:val="en-CA"/>
        </w:rPr>
        <w:t xml:space="preserve">, President </w:t>
      </w:r>
      <w:r w:rsidR="001A5C64" w:rsidRPr="006E2679">
        <w:rPr>
          <w:lang w:val="en-CA"/>
        </w:rPr>
        <w:t>Public Health Agency of Canada</w:t>
      </w:r>
      <w:r w:rsidR="001E202E" w:rsidRPr="006E2679">
        <w:rPr>
          <w:lang w:val="en-CA"/>
        </w:rPr>
        <w:br/>
      </w:r>
      <w:r w:rsidR="001E202E" w:rsidRPr="006E2679">
        <w:rPr>
          <w:rStyle w:val="Style7Char"/>
          <w:rFonts w:ascii="Segoe UI Semilight" w:eastAsiaTheme="majorEastAsia" w:hAnsi="Segoe UI Semilight" w:cs="Segoe UI Semilight"/>
          <w:color w:val="auto"/>
          <w:lang w:val="en-CA"/>
        </w:rPr>
        <w:t>September 13, 2019</w:t>
      </w:r>
    </w:p>
    <w:p w14:paraId="31F8131F" w14:textId="2EEE41FD" w:rsidR="001E202E" w:rsidRPr="006E2679" w:rsidRDefault="000264B9" w:rsidP="000264B9">
      <w:pPr>
        <w:pStyle w:val="Titre1"/>
        <w:spacing w:after="120"/>
        <w:rPr>
          <w:lang w:val="en-CA"/>
        </w:rPr>
      </w:pPr>
      <w:r w:rsidRPr="006E2679">
        <w:rPr>
          <w:lang w:val="en-CA"/>
        </w:rPr>
        <w:t>Introduction</w:t>
      </w:r>
    </w:p>
    <w:p w14:paraId="16CC2180" w14:textId="77777777" w:rsidR="001E202E" w:rsidRPr="006E2679" w:rsidRDefault="001E202E" w:rsidP="00F91BF2">
      <w:pPr>
        <w:pStyle w:val="Titre2"/>
        <w:spacing w:after="120"/>
        <w:rPr>
          <w:lang w:val="en-CA"/>
        </w:rPr>
      </w:pPr>
      <w:r w:rsidRPr="006E2679">
        <w:rPr>
          <w:lang w:val="en-CA"/>
        </w:rPr>
        <w:t>Deputy Head</w:t>
      </w:r>
    </w:p>
    <w:p w14:paraId="5872D048" w14:textId="433965C6" w:rsidR="00113A60" w:rsidRDefault="001E202E" w:rsidP="000264B9">
      <w:pPr>
        <w:pStyle w:val="Sansinterligne"/>
        <w:spacing w:after="120"/>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 xml:space="preserve">Ms. Kristina </w:t>
      </w:r>
      <w:proofErr w:type="spellStart"/>
      <w:r w:rsidRPr="006E2679">
        <w:rPr>
          <w:rFonts w:asciiTheme="minorHAnsi" w:hAnsiTheme="minorHAnsi" w:cstheme="minorHAnsi"/>
          <w:sz w:val="22"/>
          <w:szCs w:val="22"/>
          <w:lang w:val="en-CA" w:eastAsia="en-CA"/>
        </w:rPr>
        <w:t>Namiesniowski</w:t>
      </w:r>
      <w:proofErr w:type="spellEnd"/>
      <w:r w:rsidRPr="006E2679">
        <w:rPr>
          <w:rFonts w:asciiTheme="minorHAnsi" w:hAnsiTheme="minorHAnsi" w:cstheme="minorHAnsi"/>
          <w:sz w:val="22"/>
          <w:szCs w:val="22"/>
          <w:lang w:val="en-CA" w:eastAsia="en-CA"/>
        </w:rPr>
        <w:t xml:space="preserve"> was appointed as the President of the Public Health Agency of Canada (PHAC), effective May 6, 2019.</w:t>
      </w:r>
    </w:p>
    <w:p w14:paraId="1467F1B3" w14:textId="77777777" w:rsidR="0091645E" w:rsidRPr="007D1113" w:rsidRDefault="001E202E" w:rsidP="0091645E">
      <w:pPr>
        <w:pStyle w:val="Sansinterligne"/>
        <w:spacing w:after="120"/>
        <w:rPr>
          <w:rFonts w:asciiTheme="minorHAnsi" w:hAnsiTheme="minorHAnsi" w:cstheme="minorHAnsi"/>
          <w:sz w:val="22"/>
          <w:szCs w:val="22"/>
          <w:lang w:val="en-CA" w:eastAsia="en-CA"/>
        </w:rPr>
      </w:pPr>
      <w:r w:rsidRPr="006E2679">
        <w:rPr>
          <w:rFonts w:asciiTheme="minorHAnsi" w:hAnsiTheme="minorHAnsi" w:cstheme="minorHAnsi"/>
          <w:color w:val="000000"/>
          <w:sz w:val="22"/>
          <w:szCs w:val="22"/>
          <w:lang w:val="en-CA"/>
        </w:rPr>
        <w:t xml:space="preserve">As Ms. </w:t>
      </w:r>
      <w:proofErr w:type="spellStart"/>
      <w:r w:rsidRPr="006E2679">
        <w:rPr>
          <w:rFonts w:asciiTheme="minorHAnsi" w:hAnsiTheme="minorHAnsi" w:cstheme="minorHAnsi"/>
          <w:color w:val="000000"/>
          <w:sz w:val="22"/>
          <w:szCs w:val="22"/>
          <w:lang w:val="en-CA"/>
        </w:rPr>
        <w:t>Namiesniowski</w:t>
      </w:r>
      <w:proofErr w:type="spellEnd"/>
      <w:r w:rsidRPr="006E2679">
        <w:rPr>
          <w:rFonts w:asciiTheme="minorHAnsi" w:hAnsiTheme="minorHAnsi" w:cstheme="minorHAnsi"/>
          <w:color w:val="000000"/>
          <w:sz w:val="22"/>
          <w:szCs w:val="22"/>
          <w:lang w:val="en-CA"/>
        </w:rPr>
        <w:t xml:space="preserve"> </w:t>
      </w:r>
      <w:r w:rsidR="0091645E" w:rsidRPr="007D1113">
        <w:rPr>
          <w:rFonts w:asciiTheme="minorHAnsi" w:hAnsiTheme="minorHAnsi" w:cstheme="minorHAnsi"/>
          <w:sz w:val="22"/>
          <w:szCs w:val="22"/>
          <w:lang w:val="en-CA" w:eastAsia="en-CA"/>
        </w:rPr>
        <w:t>is exercising the Public Service Commission’s (PSC) authority for the first time as D</w:t>
      </w:r>
      <w:r w:rsidR="0091645E">
        <w:rPr>
          <w:rFonts w:asciiTheme="minorHAnsi" w:hAnsiTheme="minorHAnsi" w:cstheme="minorHAnsi"/>
          <w:sz w:val="22"/>
          <w:szCs w:val="22"/>
          <w:lang w:val="en-CA" w:eastAsia="en-CA"/>
        </w:rPr>
        <w:t>eputy Head (D</w:t>
      </w:r>
      <w:r w:rsidR="0091645E" w:rsidRPr="007D1113">
        <w:rPr>
          <w:rFonts w:asciiTheme="minorHAnsi" w:hAnsiTheme="minorHAnsi" w:cstheme="minorHAnsi"/>
          <w:sz w:val="22"/>
          <w:szCs w:val="22"/>
          <w:lang w:val="en-CA" w:eastAsia="en-CA"/>
        </w:rPr>
        <w:t>H</w:t>
      </w:r>
      <w:r w:rsidR="0091645E">
        <w:rPr>
          <w:rFonts w:asciiTheme="minorHAnsi" w:hAnsiTheme="minorHAnsi" w:cstheme="minorHAnsi"/>
          <w:sz w:val="22"/>
          <w:szCs w:val="22"/>
          <w:lang w:val="en-CA" w:eastAsia="en-CA"/>
        </w:rPr>
        <w:t>)</w:t>
      </w:r>
      <w:r w:rsidR="0091645E" w:rsidRPr="007D1113">
        <w:rPr>
          <w:rFonts w:asciiTheme="minorHAnsi" w:hAnsiTheme="minorHAnsi" w:cstheme="minorHAnsi"/>
          <w:sz w:val="22"/>
          <w:szCs w:val="22"/>
          <w:lang w:val="en-CA" w:eastAsia="en-CA"/>
        </w:rPr>
        <w:t xml:space="preserve">. A copy of the New Direction in Staffing (NDS) highlights for DHs is attached as </w:t>
      </w:r>
      <w:hyperlink w:anchor="AnnexA" w:history="1">
        <w:r w:rsidR="0091645E" w:rsidRPr="007D1113">
          <w:rPr>
            <w:rStyle w:val="Lienhypertexte"/>
            <w:rFonts w:asciiTheme="minorHAnsi" w:hAnsiTheme="minorHAnsi" w:cstheme="minorHAnsi"/>
            <w:sz w:val="22"/>
            <w:szCs w:val="22"/>
            <w:lang w:val="en-CA" w:eastAsia="en-CA"/>
          </w:rPr>
          <w:t>Annex A</w:t>
        </w:r>
      </w:hyperlink>
      <w:r w:rsidR="0091645E" w:rsidRPr="007D1113">
        <w:rPr>
          <w:rFonts w:asciiTheme="minorHAnsi" w:hAnsiTheme="minorHAnsi" w:cstheme="minorHAnsi"/>
          <w:sz w:val="22"/>
          <w:szCs w:val="22"/>
          <w:lang w:val="en-CA" w:eastAsia="en-CA"/>
        </w:rPr>
        <w:t>.</w:t>
      </w:r>
    </w:p>
    <w:p w14:paraId="593E1E32" w14:textId="77777777" w:rsidR="001357D7" w:rsidRPr="006E2679" w:rsidRDefault="001357D7" w:rsidP="000264B9">
      <w:pPr>
        <w:pStyle w:val="Titre3"/>
        <w:spacing w:after="120"/>
        <w:rPr>
          <w:lang w:val="en-CA"/>
        </w:rPr>
      </w:pPr>
      <w:r w:rsidRPr="006E2679">
        <w:rPr>
          <w:lang w:val="en-CA"/>
        </w:rPr>
        <w:t>Deputy Minister University Champion</w:t>
      </w:r>
    </w:p>
    <w:p w14:paraId="72693DA3" w14:textId="77777777" w:rsidR="001357D7" w:rsidRPr="006E2679" w:rsidRDefault="001357D7" w:rsidP="001357D7">
      <w:pPr>
        <w:pStyle w:val="Sansinterligne"/>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Ms. </w:t>
      </w:r>
      <w:proofErr w:type="spellStart"/>
      <w:r w:rsidRPr="006E2679">
        <w:rPr>
          <w:rFonts w:asciiTheme="minorHAnsi" w:hAnsiTheme="minorHAnsi" w:cstheme="minorHAnsi"/>
          <w:color w:val="000000"/>
          <w:sz w:val="22"/>
          <w:szCs w:val="22"/>
          <w:lang w:val="en-CA"/>
        </w:rPr>
        <w:t>Namiesniowski</w:t>
      </w:r>
      <w:proofErr w:type="spellEnd"/>
      <w:r w:rsidRPr="006E2679" w:rsidDel="001357D7">
        <w:rPr>
          <w:rFonts w:asciiTheme="minorHAnsi" w:hAnsiTheme="minorHAnsi" w:cstheme="minorHAnsi"/>
          <w:color w:val="000000"/>
          <w:sz w:val="22"/>
          <w:szCs w:val="22"/>
          <w:lang w:val="en-CA"/>
        </w:rPr>
        <w:t xml:space="preserve"> </w:t>
      </w:r>
      <w:r w:rsidRPr="006E2679">
        <w:rPr>
          <w:rFonts w:asciiTheme="minorHAnsi" w:hAnsiTheme="minorHAnsi" w:cstheme="minorHAnsi"/>
          <w:color w:val="000000"/>
          <w:sz w:val="22"/>
          <w:szCs w:val="22"/>
          <w:lang w:val="en-CA"/>
        </w:rPr>
        <w:t>is not a Deputy Minister University Champion.</w:t>
      </w:r>
    </w:p>
    <w:p w14:paraId="07B6A0F7" w14:textId="6866501B" w:rsidR="001E202E" w:rsidRPr="006E2679" w:rsidRDefault="001E202E" w:rsidP="000264B9">
      <w:pPr>
        <w:pStyle w:val="Titre1"/>
        <w:spacing w:after="120"/>
        <w:rPr>
          <w:lang w:val="en-CA"/>
        </w:rPr>
      </w:pPr>
      <w:r w:rsidRPr="006E2679">
        <w:rPr>
          <w:lang w:val="en-CA"/>
        </w:rPr>
        <w:t>Organizational Context</w:t>
      </w:r>
    </w:p>
    <w:p w14:paraId="205617FB" w14:textId="77777777" w:rsidR="001E202E" w:rsidRPr="006E2679" w:rsidRDefault="001E202E" w:rsidP="00F91BF2">
      <w:pPr>
        <w:pStyle w:val="Titre2"/>
        <w:spacing w:after="120"/>
        <w:rPr>
          <w:u w:val="single"/>
          <w:lang w:val="en-CA"/>
        </w:rPr>
      </w:pPr>
      <w:r w:rsidRPr="006E2679">
        <w:rPr>
          <w:lang w:val="en-CA"/>
        </w:rPr>
        <w:t>Mandate</w:t>
      </w:r>
    </w:p>
    <w:p w14:paraId="102540F7" w14:textId="33A10A5F"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helps protect the health and safety of all Canadians. Its activities focus on preventing chronic diseases, such as cancer and heart disease, preventing injuries, and responding to public health emergencies and infectious disease outbreaks. The PHAC is responsible for emergency preparedness and response for issuing public health notices, and for immunization and vaccines. Through research, programs and services, the PHAC’s goals are to bring about healthier Canadians, reduced health disparities, and a stronger capacity to deliver on and support public health activities. As part of the PHAC’s program activities, it uses grants and contributions to fund community, volunteer and not-for-profit agencies to support gove</w:t>
      </w:r>
      <w:r w:rsidR="00F91BF2" w:rsidRPr="006E2679">
        <w:rPr>
          <w:rFonts w:asciiTheme="minorHAnsi" w:hAnsiTheme="minorHAnsi" w:cstheme="minorHAnsi"/>
          <w:color w:val="000000"/>
          <w:sz w:val="22"/>
          <w:szCs w:val="22"/>
          <w:lang w:val="en-CA"/>
        </w:rPr>
        <w:t>rnment policies and priorities.</w:t>
      </w:r>
    </w:p>
    <w:p w14:paraId="003A06F2" w14:textId="77777777" w:rsidR="001E202E" w:rsidRPr="006E2679" w:rsidRDefault="001E202E" w:rsidP="00F91BF2">
      <w:pPr>
        <w:pStyle w:val="Titre2"/>
        <w:spacing w:after="120"/>
        <w:rPr>
          <w:u w:val="single"/>
          <w:lang w:val="en-CA"/>
        </w:rPr>
      </w:pPr>
      <w:r w:rsidRPr="006E2679">
        <w:rPr>
          <w:lang w:val="en-CA"/>
        </w:rPr>
        <w:t>Challenges</w:t>
      </w:r>
    </w:p>
    <w:p w14:paraId="3E27A387" w14:textId="77777777"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In its 2019-2020 departmental plan, the PHAC focuses on three aspects of public health:</w:t>
      </w:r>
      <w:r w:rsidRPr="006E2679">
        <w:rPr>
          <w:rFonts w:asciiTheme="minorHAnsi" w:hAnsiTheme="minorHAnsi" w:cstheme="minorHAnsi"/>
          <w:lang w:val="en-CA"/>
        </w:rPr>
        <w:t xml:space="preserve"> </w:t>
      </w:r>
      <w:r w:rsidRPr="006E2679">
        <w:rPr>
          <w:rFonts w:asciiTheme="minorHAnsi" w:hAnsiTheme="minorHAnsi" w:cstheme="minorHAnsi"/>
          <w:color w:val="000000"/>
          <w:sz w:val="22"/>
          <w:szCs w:val="22"/>
          <w:lang w:val="en-CA"/>
        </w:rPr>
        <w:t>health promotion and chronic disease prevention; infectious disease prevention and control; and</w:t>
      </w:r>
      <w:r w:rsidRPr="006E2679">
        <w:rPr>
          <w:rFonts w:asciiTheme="minorHAnsi" w:hAnsiTheme="minorHAnsi" w:cstheme="minorHAnsi"/>
          <w:lang w:val="en-CA"/>
        </w:rPr>
        <w:t xml:space="preserve"> </w:t>
      </w:r>
      <w:r w:rsidRPr="006E2679">
        <w:rPr>
          <w:rFonts w:asciiTheme="minorHAnsi" w:hAnsiTheme="minorHAnsi" w:cstheme="minorHAnsi"/>
          <w:color w:val="000000"/>
          <w:sz w:val="22"/>
          <w:szCs w:val="22"/>
          <w:lang w:val="en-CA"/>
        </w:rPr>
        <w:t xml:space="preserve">health security. </w:t>
      </w:r>
    </w:p>
    <w:p w14:paraId="0D5606A1" w14:textId="77777777"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To achieve expected results, the organization is seeking to attract and retain the best possible medical and scientific candidates.  As the PHAC is competing with other governments and the industry, hiring and promotion practices are continuously reviewed. As the more classic recruitment approaches proved to be a deterrent to valuable candidates, the organization is looking at more innovative and </w:t>
      </w:r>
      <w:r w:rsidRPr="006E2679">
        <w:rPr>
          <w:rFonts w:asciiTheme="minorHAnsi" w:hAnsiTheme="minorHAnsi" w:cstheme="minorHAnsi"/>
          <w:color w:val="000000"/>
          <w:sz w:val="22"/>
          <w:szCs w:val="22"/>
          <w:lang w:val="en-CA"/>
        </w:rPr>
        <w:lastRenderedPageBreak/>
        <w:t>simplified application procedures, and using talent management to promote individuals, as it is the practice by employers in scientific and medical industries.</w:t>
      </w:r>
    </w:p>
    <w:p w14:paraId="652203C9" w14:textId="77777777"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will continue to examine the level of resources required for priority initiatives. The organization does not foresee any major staffing initiative nor does it anticipate any group specific initiatives.</w:t>
      </w:r>
    </w:p>
    <w:p w14:paraId="2067A457" w14:textId="77777777"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is in search of the best and brightest public health specialists and pandemic prevention authorities. In the recruitment of these professionals, obtaining timely confirmation of bilingualism and recognition of foreign education credentials has been a challenge.</w:t>
      </w:r>
    </w:p>
    <w:p w14:paraId="1869B31A" w14:textId="77777777" w:rsidR="001E202E" w:rsidRPr="006E2679" w:rsidRDefault="001E202E" w:rsidP="000264B9">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must also ensure an agile approach to recruitment when facing with emergency situations.</w:t>
      </w:r>
    </w:p>
    <w:p w14:paraId="2BF3E3FB" w14:textId="77777777" w:rsidR="001E202E" w:rsidRPr="006E2679" w:rsidRDefault="001E202E" w:rsidP="00F91BF2">
      <w:pPr>
        <w:pStyle w:val="Titre2"/>
        <w:spacing w:after="120"/>
        <w:rPr>
          <w:u w:val="single"/>
          <w:lang w:val="en-CA"/>
        </w:rPr>
      </w:pPr>
      <w:r w:rsidRPr="006E2679">
        <w:rPr>
          <w:lang w:val="en-CA"/>
        </w:rPr>
        <w:t>Experimentation</w:t>
      </w:r>
    </w:p>
    <w:p w14:paraId="64D13400" w14:textId="77777777" w:rsidR="001E202E" w:rsidRPr="006E2679" w:rsidRDefault="001E202E" w:rsidP="000264B9">
      <w:pPr>
        <w:spacing w:after="120"/>
        <w:rPr>
          <w:rFonts w:asciiTheme="minorHAnsi" w:hAnsiTheme="minorHAnsi" w:cstheme="minorHAnsi"/>
          <w:sz w:val="22"/>
          <w:szCs w:val="22"/>
          <w:lang w:val="en-CA"/>
        </w:rPr>
      </w:pPr>
      <w:r w:rsidRPr="006E2679">
        <w:rPr>
          <w:rFonts w:asciiTheme="minorHAnsi" w:hAnsiTheme="minorHAnsi" w:cstheme="minorHAnsi"/>
          <w:sz w:val="22"/>
          <w:szCs w:val="22"/>
          <w:lang w:val="en-CA"/>
        </w:rPr>
        <w:t>The PHAC is working on making talent management and performance appraisal practices more compatible for use in staffing processes, as valuable information to assess merit.</w:t>
      </w:r>
    </w:p>
    <w:p w14:paraId="5DB1BEBC" w14:textId="77777777" w:rsidR="00F91BF2" w:rsidRPr="006E2679" w:rsidRDefault="001E202E" w:rsidP="000264B9">
      <w:pPr>
        <w:spacing w:after="120"/>
        <w:rPr>
          <w:rFonts w:asciiTheme="minorHAnsi" w:hAnsiTheme="minorHAnsi" w:cstheme="minorHAnsi"/>
          <w:sz w:val="22"/>
          <w:szCs w:val="22"/>
          <w:lang w:val="en-CA"/>
        </w:rPr>
      </w:pPr>
      <w:r w:rsidRPr="006E2679">
        <w:rPr>
          <w:rFonts w:asciiTheme="minorHAnsi" w:hAnsiTheme="minorHAnsi" w:cstheme="minorHAnsi"/>
          <w:sz w:val="22"/>
          <w:szCs w:val="22"/>
          <w:lang w:val="en-CA"/>
        </w:rPr>
        <w:t>For the hiring of doctors (MD group), the PHAC has adapted its advertisement approach. They now simply ask candidates to submit their resume, and the hiring manager contacts them to ask for any pertinent additional information. Putting the responsibility on the hiring manager has increased the number of applying candidates for the MD group. The approach has proven successful, leading to increased recruitment.</w:t>
      </w:r>
    </w:p>
    <w:p w14:paraId="7AFA9F28" w14:textId="06EF2517" w:rsidR="001E202E" w:rsidRPr="006E2679" w:rsidRDefault="001E202E" w:rsidP="000264B9">
      <w:pPr>
        <w:pStyle w:val="Titre1"/>
        <w:spacing w:after="120"/>
        <w:rPr>
          <w:lang w:val="en-CA"/>
        </w:rPr>
      </w:pPr>
      <w:r w:rsidRPr="006E2679">
        <w:rPr>
          <w:lang w:val="en-CA"/>
        </w:rPr>
        <w:t>Population and Staffing Activities</w:t>
      </w:r>
    </w:p>
    <w:p w14:paraId="78A849BB" w14:textId="77777777" w:rsidR="001E202E" w:rsidRPr="006E2679" w:rsidRDefault="001E202E" w:rsidP="00F91BF2">
      <w:pPr>
        <w:pStyle w:val="Titre2"/>
        <w:spacing w:after="120"/>
        <w:rPr>
          <w:u w:val="single"/>
          <w:lang w:val="en-CA"/>
        </w:rPr>
      </w:pPr>
      <w:r w:rsidRPr="006E2679">
        <w:rPr>
          <w:lang w:val="en-CA"/>
        </w:rPr>
        <w:t>Population</w:t>
      </w:r>
    </w:p>
    <w:p w14:paraId="7DF83115" w14:textId="77777777" w:rsidR="001E202E" w:rsidRPr="006E2679" w:rsidRDefault="001E202E" w:rsidP="000264B9">
      <w:pPr>
        <w:pStyle w:val="Sansinterligne"/>
        <w:widowControl w:val="0"/>
        <w:spacing w:after="120"/>
        <w:rPr>
          <w:rFonts w:asciiTheme="minorHAnsi" w:hAnsiTheme="minorHAnsi" w:cstheme="minorHAnsi"/>
          <w:sz w:val="22"/>
          <w:szCs w:val="22"/>
          <w:lang w:val="en-CA"/>
        </w:rPr>
      </w:pPr>
      <w:r w:rsidRPr="006E2679">
        <w:rPr>
          <w:rFonts w:asciiTheme="minorHAnsi" w:hAnsiTheme="minorHAnsi" w:cstheme="minorHAnsi"/>
          <w:color w:val="000000"/>
          <w:sz w:val="22"/>
          <w:szCs w:val="22"/>
          <w:lang w:val="en-CA"/>
        </w:rPr>
        <w:t xml:space="preserve">The PHAC is a large organization that has a population </w:t>
      </w:r>
      <w:r w:rsidRPr="006E2679">
        <w:rPr>
          <w:rFonts w:asciiTheme="minorHAnsi" w:hAnsiTheme="minorHAnsi" w:cstheme="minorHAnsi"/>
          <w:sz w:val="22"/>
          <w:szCs w:val="22"/>
          <w:lang w:val="en-CA"/>
        </w:rPr>
        <w:t xml:space="preserve">of 2,395 employees as of March 31, 2019. </w:t>
      </w:r>
    </w:p>
    <w:p w14:paraId="09292068" w14:textId="77777777" w:rsidR="001E202E" w:rsidRPr="006E2679" w:rsidRDefault="001E202E" w:rsidP="000264B9">
      <w:pPr>
        <w:pStyle w:val="Sansinterligne"/>
        <w:widowControl w:val="0"/>
        <w:spacing w:after="120"/>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Most of the PHAC’s employees are located in the National Capital Region. It also has a large regional presence in Manitoba, Ontario, Quebec, the Prairies and Western provinces. The relatively high employee population in Manitoba is explained with the location of the Winnipeg Common Business Centre for Infectious Disease Prevention and Control.</w:t>
      </w:r>
    </w:p>
    <w:p w14:paraId="12B91633" w14:textId="726DE430" w:rsidR="001E202E" w:rsidRPr="006E2679" w:rsidRDefault="001E202E" w:rsidP="000264B9">
      <w:pPr>
        <w:pStyle w:val="Sansinterligne"/>
        <w:widowControl w:val="0"/>
        <w:spacing w:after="120"/>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 xml:space="preserve">Please refer to </w:t>
      </w:r>
      <w:hyperlink w:anchor="AnnexB" w:history="1">
        <w:r w:rsidR="00113A60" w:rsidRPr="00113A60">
          <w:rPr>
            <w:rStyle w:val="Lienhypertexte"/>
            <w:rFonts w:asciiTheme="minorHAnsi" w:hAnsiTheme="minorHAnsi" w:cstheme="minorHAnsi"/>
            <w:sz w:val="22"/>
            <w:szCs w:val="22"/>
            <w:lang w:val="en-CA" w:eastAsia="en-CA"/>
          </w:rPr>
          <w:t>Annex B</w:t>
        </w:r>
      </w:hyperlink>
      <w:r w:rsidRPr="006E2679">
        <w:rPr>
          <w:rFonts w:asciiTheme="minorHAnsi" w:hAnsiTheme="minorHAnsi" w:cstheme="minorHAnsi"/>
          <w:sz w:val="22"/>
          <w:szCs w:val="22"/>
          <w:lang w:val="en-CA" w:eastAsia="en-CA"/>
        </w:rPr>
        <w:t xml:space="preserve"> </w:t>
      </w:r>
      <w:r w:rsidR="00F91BF2" w:rsidRPr="006E2679">
        <w:rPr>
          <w:rFonts w:asciiTheme="minorHAnsi" w:hAnsiTheme="minorHAnsi" w:cstheme="minorHAnsi"/>
          <w:sz w:val="22"/>
          <w:szCs w:val="22"/>
          <w:lang w:val="en-CA" w:eastAsia="en-CA"/>
        </w:rPr>
        <w:t>for additional details</w:t>
      </w:r>
      <w:r w:rsidR="009876E0">
        <w:rPr>
          <w:rFonts w:asciiTheme="minorHAnsi" w:hAnsiTheme="minorHAnsi" w:cstheme="minorHAnsi"/>
          <w:sz w:val="22"/>
          <w:szCs w:val="22"/>
          <w:lang w:val="en-CA" w:eastAsia="en-CA"/>
        </w:rPr>
        <w:t xml:space="preserve"> on staffing activities</w:t>
      </w:r>
      <w:r w:rsidR="00F91BF2" w:rsidRPr="006E2679">
        <w:rPr>
          <w:rFonts w:asciiTheme="minorHAnsi" w:hAnsiTheme="minorHAnsi" w:cstheme="minorHAnsi"/>
          <w:sz w:val="22"/>
          <w:szCs w:val="22"/>
          <w:lang w:val="en-CA" w:eastAsia="en-CA"/>
        </w:rPr>
        <w:t>.</w:t>
      </w:r>
    </w:p>
    <w:p w14:paraId="38509EB3" w14:textId="77777777" w:rsidR="001E202E" w:rsidRPr="006E2679" w:rsidRDefault="001E202E" w:rsidP="00F91BF2">
      <w:pPr>
        <w:pStyle w:val="Titre2"/>
        <w:spacing w:after="120"/>
        <w:rPr>
          <w:u w:val="single"/>
          <w:lang w:val="en-CA"/>
        </w:rPr>
      </w:pPr>
      <w:r w:rsidRPr="006E2679">
        <w:rPr>
          <w:lang w:val="en-CA"/>
        </w:rPr>
        <w:t>Staffing Activities</w:t>
      </w:r>
    </w:p>
    <w:p w14:paraId="7B22B408" w14:textId="77777777" w:rsidR="001E202E" w:rsidRPr="006E2679" w:rsidRDefault="001E202E" w:rsidP="000264B9">
      <w:pPr>
        <w:spacing w:after="120"/>
        <w:rPr>
          <w:rFonts w:asciiTheme="minorHAnsi" w:hAnsiTheme="minorHAnsi" w:cstheme="minorHAnsi"/>
          <w:sz w:val="22"/>
          <w:szCs w:val="22"/>
          <w:lang w:val="en-CA"/>
        </w:rPr>
      </w:pPr>
      <w:r w:rsidRPr="006E2679">
        <w:rPr>
          <w:rFonts w:asciiTheme="minorHAnsi" w:hAnsiTheme="minorHAnsi" w:cstheme="minorHAnsi"/>
          <w:sz w:val="22"/>
          <w:szCs w:val="22"/>
          <w:lang w:val="en-CA"/>
        </w:rPr>
        <w:t xml:space="preserve">In 2018-2019, the PHAC proceeded with a total of 1,383 staffing activities (excluding appointments of less than 4 months): </w:t>
      </w:r>
    </w:p>
    <w:p w14:paraId="22AFCD33" w14:textId="77777777" w:rsidR="001E202E" w:rsidRPr="006E2679" w:rsidRDefault="001E202E" w:rsidP="000264B9">
      <w:p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Types of staffing action:</w:t>
      </w:r>
    </w:p>
    <w:p w14:paraId="4D5FF412"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728 appointments to the public service; </w:t>
      </w:r>
    </w:p>
    <w:p w14:paraId="75232882"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242 promotions;</w:t>
      </w:r>
    </w:p>
    <w:p w14:paraId="60D5F87D"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230 lateral and downward movements; and </w:t>
      </w:r>
    </w:p>
    <w:p w14:paraId="0BAAB798" w14:textId="4438904F" w:rsidR="001E202E" w:rsidRPr="006E2679" w:rsidRDefault="000264B9" w:rsidP="000264B9">
      <w:pPr>
        <w:numPr>
          <w:ilvl w:val="0"/>
          <w:numId w:val="5"/>
        </w:num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183 acting appointments.</w:t>
      </w:r>
    </w:p>
    <w:p w14:paraId="7573E908" w14:textId="77777777" w:rsidR="001E202E" w:rsidRPr="006E2679" w:rsidRDefault="001E202E" w:rsidP="000264B9">
      <w:p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Tenure:</w:t>
      </w:r>
    </w:p>
    <w:p w14:paraId="7ABFD9D4"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717 Indeterminate appointments;</w:t>
      </w:r>
    </w:p>
    <w:p w14:paraId="2D149905"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160 Term appointments;</w:t>
      </w:r>
    </w:p>
    <w:p w14:paraId="0A3F2A2A" w14:textId="77777777" w:rsidR="001E202E" w:rsidRPr="006E2679" w:rsidRDefault="001E202E" w:rsidP="000264B9">
      <w:pPr>
        <w:numPr>
          <w:ilvl w:val="0"/>
          <w:numId w:val="5"/>
        </w:numPr>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253 casuals; and </w:t>
      </w:r>
    </w:p>
    <w:p w14:paraId="34413C77" w14:textId="60685A80" w:rsidR="001E202E" w:rsidRPr="006E2679" w:rsidRDefault="000264B9" w:rsidP="000264B9">
      <w:pPr>
        <w:numPr>
          <w:ilvl w:val="0"/>
          <w:numId w:val="5"/>
        </w:num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lastRenderedPageBreak/>
        <w:t>253 students.</w:t>
      </w:r>
    </w:p>
    <w:p w14:paraId="44FC83B7" w14:textId="6D535EFE" w:rsidR="001E202E" w:rsidRPr="006E2679" w:rsidRDefault="001E202E" w:rsidP="00BC288C">
      <w:pPr>
        <w:pStyle w:val="Titre1"/>
        <w:spacing w:after="120"/>
        <w:rPr>
          <w:lang w:val="en-CA"/>
        </w:rPr>
      </w:pPr>
      <w:r w:rsidRPr="006E2679">
        <w:rPr>
          <w:lang w:val="en-CA"/>
        </w:rPr>
        <w:t>Time to Staff</w:t>
      </w:r>
    </w:p>
    <w:p w14:paraId="4654ED41" w14:textId="77777777" w:rsidR="001E202E" w:rsidRPr="006E2679" w:rsidRDefault="001E202E" w:rsidP="00BC288C">
      <w:pPr>
        <w:pStyle w:val="Sansinterligne"/>
        <w:spacing w:after="120"/>
        <w:rPr>
          <w:rFonts w:asciiTheme="minorHAnsi" w:hAnsiTheme="minorHAnsi" w:cstheme="minorHAnsi"/>
          <w:sz w:val="22"/>
          <w:szCs w:val="22"/>
          <w:lang w:val="en-CA"/>
        </w:rPr>
      </w:pPr>
      <w:r w:rsidRPr="006E2679">
        <w:rPr>
          <w:rFonts w:asciiTheme="minorHAnsi" w:hAnsiTheme="minorHAnsi" w:cstheme="minorHAnsi"/>
          <w:color w:val="000000"/>
          <w:sz w:val="22"/>
          <w:szCs w:val="22"/>
          <w:lang w:val="en-CA"/>
        </w:rPr>
        <w:t xml:space="preserve">The PHAC has a median time </w:t>
      </w:r>
      <w:r w:rsidRPr="006E2679">
        <w:rPr>
          <w:rFonts w:asciiTheme="minorHAnsi" w:hAnsiTheme="minorHAnsi" w:cstheme="minorHAnsi"/>
          <w:sz w:val="22"/>
          <w:szCs w:val="22"/>
          <w:lang w:val="en-CA"/>
        </w:rPr>
        <w:t xml:space="preserve">of 213 days for internal appointments, which is higher than the median of the public service, which is 176 days. </w:t>
      </w:r>
    </w:p>
    <w:p w14:paraId="0D13506B" w14:textId="77777777" w:rsidR="001E202E" w:rsidRPr="006E2679" w:rsidRDefault="001E202E" w:rsidP="00BC288C">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data is insufficient for providing results on external appointments for the PHAC, and to compare it to the public service median of 186 days.</w:t>
      </w:r>
    </w:p>
    <w:p w14:paraId="501F3AC0" w14:textId="77777777" w:rsidR="001E202E" w:rsidRPr="006E2679" w:rsidRDefault="001E202E" w:rsidP="00BC288C">
      <w:pPr>
        <w:pStyle w:val="Titre1"/>
        <w:spacing w:after="120"/>
        <w:rPr>
          <w:lang w:val="en-CA"/>
        </w:rPr>
      </w:pPr>
      <w:r w:rsidRPr="006E2679">
        <w:rPr>
          <w:lang w:val="en-CA"/>
        </w:rPr>
        <w:t>Staffing Framework</w:t>
      </w:r>
    </w:p>
    <w:p w14:paraId="639FFA9C" w14:textId="77777777" w:rsidR="001E202E" w:rsidRPr="006E2679" w:rsidRDefault="001E202E" w:rsidP="00F91BF2">
      <w:pPr>
        <w:pStyle w:val="Titre2"/>
        <w:spacing w:after="120"/>
        <w:rPr>
          <w:lang w:val="en-CA"/>
        </w:rPr>
      </w:pPr>
      <w:r w:rsidRPr="006E2679">
        <w:rPr>
          <w:lang w:val="en-CA"/>
        </w:rPr>
        <w:t>New Direction in Staffing Implementation</w:t>
      </w:r>
    </w:p>
    <w:p w14:paraId="0B5E2F48" w14:textId="77777777" w:rsidR="001E202E"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As the PHAC is becoming more familiar in experimenting the NDS, there is less risk aversion from HR advisors and hiring managers.  The organization is currently reviewing all its staffing training modules, and has developed a train the trainer program to have their staff deliver NDS information sessions to managers and staff within the PHAC. </w:t>
      </w:r>
    </w:p>
    <w:p w14:paraId="37489341" w14:textId="77777777" w:rsidR="001E202E"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organization would like to continue implementing the NDS culture, and help more HR advisors to think “outside the box”, and foster creativity in staffing processes. To support this cultural change, the PHAC has implemented a “Safe Space” innovation corner to give all HR advisors of the organization across Canada to share their ideas. The goal is to foster innovation and fight the aversion for creativity.</w:t>
      </w:r>
    </w:p>
    <w:p w14:paraId="764603FE" w14:textId="77777777" w:rsidR="001E202E"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The PHAC staffing policies (direction for the choice of appointment process, policy on the area of selection, and requirements for the articulation of the selection decision) were updated in 2016 following NDS. </w:t>
      </w:r>
    </w:p>
    <w:p w14:paraId="7714303D" w14:textId="77777777" w:rsidR="001E202E"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As part of an overall department policy review initiative that will occur in 2019, the PHAC is planning to take this opportunity to refresh their staffing policies. They have identified a need to better clarify the DH direction on the choice of appointment process and provide additional guidance to hiring managers concerning advertised and non-advertised appointment processes.</w:t>
      </w:r>
    </w:p>
    <w:p w14:paraId="5C8B95DC" w14:textId="77777777" w:rsidR="001E202E"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In February 2019, at the request of the organization, the PSC examined the PHAC’s sub-delegation instruments. The PSC identified some compliance issues. PHAC’s HR services Directorate implemented PSC’s suggestions when updating their sub-delegation instruments, which was approved by the PHAC’s president in June 2019 further to a final review by the PSC. </w:t>
      </w:r>
    </w:p>
    <w:p w14:paraId="2565CD20" w14:textId="77777777" w:rsidR="00F91BF2" w:rsidRPr="006E2679" w:rsidRDefault="001E202E" w:rsidP="00BC288C">
      <w:pPr>
        <w:pStyle w:val="NormalWeb"/>
        <w:widowControl w:val="0"/>
        <w:spacing w:before="0" w:beforeAutospacing="0" w:after="120" w:afterAutospacing="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PSC also identified areas for improvement in terms of simplicity, efficiency and effectiveness with their current sub-delegation instrument. While the PHAC is not ready to conduct a major review their instrument for efficiency purpose at this time, they are open to the PSC’s suggestions on how an instrument could be simplified in the future.</w:t>
      </w:r>
    </w:p>
    <w:p w14:paraId="05B37784" w14:textId="4D7B04FD" w:rsidR="001E202E" w:rsidRPr="006E2679" w:rsidRDefault="001E202E" w:rsidP="00FA5485">
      <w:pPr>
        <w:pStyle w:val="Titre1"/>
        <w:spacing w:after="120"/>
        <w:rPr>
          <w:lang w:val="en-CA"/>
        </w:rPr>
      </w:pPr>
      <w:r w:rsidRPr="006E2679">
        <w:rPr>
          <w:lang w:val="en-CA"/>
        </w:rPr>
        <w:lastRenderedPageBreak/>
        <w:t xml:space="preserve">Appointment Delegation and Accountability Instrument </w:t>
      </w:r>
      <w:r w:rsidR="002E3E95" w:rsidRPr="006E2679">
        <w:rPr>
          <w:lang w:val="en-CA"/>
        </w:rPr>
        <w:t>Annex D R</w:t>
      </w:r>
      <w:r w:rsidRPr="006E2679">
        <w:rPr>
          <w:lang w:val="en-CA"/>
        </w:rPr>
        <w:t>eporting</w:t>
      </w:r>
    </w:p>
    <w:p w14:paraId="0AE98063" w14:textId="77777777" w:rsidR="001E202E" w:rsidRPr="006E2679" w:rsidRDefault="001E202E" w:rsidP="00F91BF2">
      <w:pPr>
        <w:pStyle w:val="Titre2"/>
        <w:spacing w:after="120"/>
        <w:rPr>
          <w:lang w:val="en-CA"/>
        </w:rPr>
      </w:pPr>
      <w:r w:rsidRPr="006E2679">
        <w:rPr>
          <w:lang w:val="en-CA"/>
        </w:rPr>
        <w:t>Use of the Public Service Official Languages Exclusion Approval Order and the Public Service Official Languages Appointment Regulations</w:t>
      </w:r>
    </w:p>
    <w:p w14:paraId="7D3BFD63" w14:textId="77777777" w:rsidR="001E202E" w:rsidRPr="006E2679" w:rsidRDefault="001E202E" w:rsidP="00FA5485">
      <w:pPr>
        <w:pStyle w:val="Sansinterligne"/>
        <w:spacing w:after="120"/>
        <w:rPr>
          <w:rFonts w:asciiTheme="minorHAnsi" w:hAnsiTheme="minorHAnsi" w:cstheme="minorHAnsi"/>
          <w:color w:val="222222"/>
          <w:sz w:val="22"/>
          <w:szCs w:val="22"/>
          <w:lang w:val="en-CA"/>
        </w:rPr>
      </w:pPr>
      <w:r w:rsidRPr="006E2679">
        <w:rPr>
          <w:rFonts w:asciiTheme="minorHAnsi" w:hAnsiTheme="minorHAnsi" w:cstheme="minorHAnsi"/>
          <w:color w:val="222222"/>
          <w:sz w:val="22"/>
          <w:szCs w:val="22"/>
          <w:lang w:val="en-CA"/>
        </w:rPr>
        <w:t>The PHAC reported that the organization made no use of the Public Service Official Languages Exclusion Approval Order for the period of April 1, 2018</w:t>
      </w:r>
      <w:r w:rsidRPr="006E2679">
        <w:rPr>
          <w:rFonts w:asciiTheme="minorHAnsi" w:hAnsiTheme="minorHAnsi" w:cstheme="minorHAnsi"/>
          <w:b/>
          <w:color w:val="222222"/>
          <w:sz w:val="22"/>
          <w:szCs w:val="22"/>
          <w:lang w:val="en-CA"/>
        </w:rPr>
        <w:t xml:space="preserve"> </w:t>
      </w:r>
      <w:r w:rsidRPr="006E2679">
        <w:rPr>
          <w:rFonts w:asciiTheme="minorHAnsi" w:hAnsiTheme="minorHAnsi" w:cstheme="minorHAnsi"/>
          <w:color w:val="222222"/>
          <w:sz w:val="22"/>
          <w:szCs w:val="22"/>
          <w:lang w:val="en-CA"/>
        </w:rPr>
        <w:t>and March 31, 2019.</w:t>
      </w:r>
    </w:p>
    <w:p w14:paraId="74CE5DD9" w14:textId="77777777" w:rsidR="001E202E" w:rsidRPr="006E2679" w:rsidRDefault="001E202E" w:rsidP="00F91BF2">
      <w:pPr>
        <w:pStyle w:val="Titre2"/>
        <w:spacing w:after="120"/>
        <w:rPr>
          <w:lang w:val="en-CA"/>
        </w:rPr>
      </w:pPr>
      <w:r w:rsidRPr="006E2679">
        <w:rPr>
          <w:lang w:val="en-CA"/>
        </w:rPr>
        <w:t>Approved Deputy Head Exceptions to the National Area of Selection Requirements for External Advertised Appointment Process</w:t>
      </w:r>
    </w:p>
    <w:p w14:paraId="2ED7BA10" w14:textId="77777777" w:rsidR="001E202E" w:rsidRPr="006E2679" w:rsidRDefault="001E202E" w:rsidP="00FA5485">
      <w:pPr>
        <w:pStyle w:val="Sansinterligne"/>
        <w:spacing w:after="120"/>
        <w:rPr>
          <w:rFonts w:asciiTheme="minorHAnsi" w:hAnsiTheme="minorHAnsi" w:cstheme="minorHAnsi"/>
          <w:color w:val="222222"/>
          <w:sz w:val="22"/>
          <w:szCs w:val="22"/>
          <w:lang w:val="en-CA"/>
        </w:rPr>
      </w:pPr>
      <w:r w:rsidRPr="006E2679">
        <w:rPr>
          <w:rFonts w:asciiTheme="minorHAnsi" w:hAnsiTheme="minorHAnsi" w:cstheme="minorHAnsi"/>
          <w:color w:val="000000"/>
          <w:sz w:val="22"/>
          <w:szCs w:val="22"/>
          <w:lang w:val="en-CA"/>
        </w:rPr>
        <w:t>The PHAC</w:t>
      </w:r>
      <w:r w:rsidRPr="006E2679">
        <w:rPr>
          <w:rFonts w:asciiTheme="minorHAnsi" w:hAnsiTheme="minorHAnsi" w:cstheme="minorHAnsi"/>
          <w:color w:val="222222"/>
          <w:sz w:val="22"/>
          <w:szCs w:val="22"/>
          <w:lang w:val="en-CA"/>
        </w:rPr>
        <w:t xml:space="preserve"> reported not having used the DH exception to the National Area of Selection.</w:t>
      </w:r>
    </w:p>
    <w:p w14:paraId="005E97A7" w14:textId="77777777" w:rsidR="001E202E" w:rsidRPr="006E2679" w:rsidRDefault="001E202E" w:rsidP="00F91BF2">
      <w:pPr>
        <w:pStyle w:val="Titre2"/>
        <w:spacing w:after="120"/>
        <w:rPr>
          <w:lang w:val="en-CA"/>
        </w:rPr>
      </w:pPr>
      <w:r w:rsidRPr="006E2679">
        <w:rPr>
          <w:lang w:val="en-CA"/>
        </w:rPr>
        <w:t>Results of Organizational Cyclical Assessment</w:t>
      </w:r>
    </w:p>
    <w:p w14:paraId="58D7ECFC" w14:textId="77777777" w:rsidR="001E202E" w:rsidRPr="006E2679" w:rsidRDefault="001E202E" w:rsidP="00FA5485">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first PHAC cyclical assessment is due by May 1, 2021.</w:t>
      </w:r>
    </w:p>
    <w:p w14:paraId="42AFED2D" w14:textId="77777777" w:rsidR="001E202E" w:rsidRPr="006E2679" w:rsidRDefault="001E202E" w:rsidP="00F91BF2">
      <w:pPr>
        <w:pStyle w:val="Titre2"/>
        <w:spacing w:after="120"/>
        <w:rPr>
          <w:lang w:val="en-CA"/>
        </w:rPr>
      </w:pPr>
      <w:r w:rsidRPr="006E2679">
        <w:rPr>
          <w:lang w:val="en-CA"/>
        </w:rPr>
        <w:t>Inquiries and Trends</w:t>
      </w:r>
    </w:p>
    <w:p w14:paraId="72BFADFC" w14:textId="5AE65DEA" w:rsidR="0002465C" w:rsidRPr="006E2679" w:rsidRDefault="001E202E" w:rsidP="00FA5485">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In 2018-2019, inquiries were concerning various staffing matters, with the largest portion of questions regarding assessment (16.2%), followed by questions on values (9.9%). The organization shows a high level of collaboration with the PSC as it relates to using the Staffing Support Advisor (SSA) support and advice.</w:t>
      </w:r>
    </w:p>
    <w:p w14:paraId="27607C3F" w14:textId="77777777" w:rsidR="003076ED" w:rsidRDefault="003076ED" w:rsidP="00FA5485">
      <w:pPr>
        <w:pStyle w:val="Titre1"/>
        <w:spacing w:after="120"/>
        <w:rPr>
          <w:lang w:val="en-CA"/>
        </w:rPr>
        <w:sectPr w:rsidR="003076ED" w:rsidSect="000264B9">
          <w:footerReference w:type="default" r:id="rId8"/>
          <w:pgSz w:w="12240" w:h="15840"/>
          <w:pgMar w:top="709" w:right="1304" w:bottom="1361" w:left="1304" w:header="708" w:footer="708" w:gutter="0"/>
          <w:cols w:space="708"/>
          <w:docGrid w:linePitch="360"/>
        </w:sectPr>
      </w:pPr>
    </w:p>
    <w:p w14:paraId="7FEA47D5" w14:textId="3F7FDD7B" w:rsidR="001E202E" w:rsidRPr="006E2679" w:rsidRDefault="00FA5485" w:rsidP="00FA5485">
      <w:pPr>
        <w:pStyle w:val="Titre1"/>
        <w:spacing w:after="120"/>
        <w:rPr>
          <w:lang w:val="en-CA"/>
        </w:rPr>
      </w:pPr>
      <w:r w:rsidRPr="006E2679">
        <w:rPr>
          <w:lang w:val="en-CA"/>
        </w:rPr>
        <w:lastRenderedPageBreak/>
        <w:t>Oversight</w:t>
      </w:r>
    </w:p>
    <w:p w14:paraId="00FE831F" w14:textId="1DD7DBCA" w:rsidR="001E202E" w:rsidRPr="006E2679" w:rsidRDefault="00FA5485" w:rsidP="00F91BF2">
      <w:pPr>
        <w:pStyle w:val="Titre2"/>
        <w:spacing w:after="120"/>
        <w:rPr>
          <w:u w:val="single"/>
          <w:lang w:val="en-CA"/>
        </w:rPr>
      </w:pPr>
      <w:r w:rsidRPr="006E2679">
        <w:rPr>
          <w:lang w:val="en-CA"/>
        </w:rPr>
        <w:t>Audits</w:t>
      </w:r>
    </w:p>
    <w:p w14:paraId="7073876C" w14:textId="77777777" w:rsidR="001E202E" w:rsidRPr="006E2679" w:rsidRDefault="001E202E" w:rsidP="00FA5485">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had previously been identified for an organizational audit in the PSC’s 2015-2016 audit plan. Due to the transition to the new appointment policy framework, the PSC chose to complete a Staffing Assessment of the PHAC in lieu of an organizational audit. The purpose of this was to support the organization in implementing the NDS. The PSC completed this exercise in 2017, and concluded that the organization was on track for meeting the PSC’s appointment framework requirements stemming from the NDS. Further to this audit, the PHAC is monitoring areas considered more at risk and has implemented recommendations made by the PSC.</w:t>
      </w:r>
    </w:p>
    <w:p w14:paraId="187EE786" w14:textId="77777777" w:rsidR="001E202E" w:rsidRPr="006E2679" w:rsidRDefault="001E202E" w:rsidP="00FA5485">
      <w:pPr>
        <w:pStyle w:val="Sansinterligne"/>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was included in the pilot System-Wide Staffing Audit, for which the final report was published in December 2018. The PHAC was also one of the 15 organizations selected for the Horizontal Audit on Credential Validation. The final report of this audit was published in May 2019.</w:t>
      </w:r>
    </w:p>
    <w:p w14:paraId="195B3163" w14:textId="77777777" w:rsidR="001E202E" w:rsidRPr="006E2679" w:rsidRDefault="001E202E" w:rsidP="00F91BF2">
      <w:pPr>
        <w:pStyle w:val="Titre2"/>
        <w:spacing w:after="120"/>
        <w:rPr>
          <w:u w:val="single"/>
          <w:lang w:val="en-CA"/>
        </w:rPr>
      </w:pPr>
      <w:r w:rsidRPr="006E2679">
        <w:rPr>
          <w:lang w:val="en-CA"/>
        </w:rPr>
        <w:t>Investigations</w:t>
      </w:r>
    </w:p>
    <w:p w14:paraId="561E1481" w14:textId="749CA3F4" w:rsidR="001E202E" w:rsidRPr="006E2679" w:rsidRDefault="001E202E" w:rsidP="00FA5485">
      <w:pPr>
        <w:pStyle w:val="Sansinterligne"/>
        <w:spacing w:after="120"/>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Between April 1, 2017 and February 10, 2019, the PSC received 5 requests for investigations: 4 on external appointment processes</w:t>
      </w:r>
      <w:r w:rsidR="00FA5485" w:rsidRPr="006E2679">
        <w:rPr>
          <w:rFonts w:asciiTheme="minorHAnsi" w:hAnsiTheme="minorHAnsi" w:cstheme="minorHAnsi"/>
          <w:sz w:val="22"/>
          <w:szCs w:val="22"/>
          <w:lang w:val="en-CA" w:eastAsia="en-CA"/>
        </w:rPr>
        <w:t xml:space="preserve"> and 1 on political activities.</w:t>
      </w:r>
    </w:p>
    <w:p w14:paraId="7DF0F3D2" w14:textId="77777777" w:rsidR="001E202E" w:rsidRPr="006E2679" w:rsidRDefault="001E202E" w:rsidP="00FA5485">
      <w:pPr>
        <w:pStyle w:val="Sansinterligne"/>
        <w:spacing w:after="120"/>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The 4 cases on external processes were closed, and the case on political activity is still ongoing.</w:t>
      </w:r>
    </w:p>
    <w:p w14:paraId="5EE88AF0" w14:textId="2CDD7841" w:rsidR="00433173" w:rsidRDefault="00433173" w:rsidP="00433173">
      <w:pPr>
        <w:pStyle w:val="Lgende"/>
        <w:keepNext/>
      </w:pPr>
      <w:r>
        <w:t xml:space="preserve">Table </w:t>
      </w:r>
      <w:r>
        <w:fldChar w:fldCharType="begin"/>
      </w:r>
      <w:r>
        <w:instrText xml:space="preserve"> SEQ Table \* ARABIC </w:instrText>
      </w:r>
      <w:r>
        <w:fldChar w:fldCharType="separate"/>
      </w:r>
      <w:r w:rsidR="00147E67">
        <w:rPr>
          <w:noProof/>
        </w:rPr>
        <w:t>1</w:t>
      </w:r>
      <w:r>
        <w:fldChar w:fldCharType="end"/>
      </w:r>
      <w:r>
        <w:t xml:space="preserve"> - Investigations</w:t>
      </w:r>
    </w:p>
    <w:tbl>
      <w:tblPr>
        <w:tblStyle w:val="TableGrid1"/>
        <w:tblW w:w="0" w:type="auto"/>
        <w:tblLook w:val="04A0" w:firstRow="1" w:lastRow="0" w:firstColumn="1" w:lastColumn="0" w:noHBand="0" w:noVBand="1"/>
        <w:tblDescription w:val="Investigations"/>
      </w:tblPr>
      <w:tblGrid>
        <w:gridCol w:w="3893"/>
        <w:gridCol w:w="1356"/>
        <w:gridCol w:w="2245"/>
        <w:gridCol w:w="1675"/>
        <w:gridCol w:w="1808"/>
        <w:gridCol w:w="1690"/>
        <w:gridCol w:w="1093"/>
      </w:tblGrid>
      <w:tr w:rsidR="007D1C24" w:rsidRPr="007D1C24" w14:paraId="0848DED7" w14:textId="77777777" w:rsidTr="007D1C24">
        <w:trPr>
          <w:cantSplit/>
          <w:trHeight w:val="1200"/>
          <w:tblHeader/>
        </w:trPr>
        <w:tc>
          <w:tcPr>
            <w:tcW w:w="0" w:type="auto"/>
            <w:shd w:val="clear" w:color="auto" w:fill="54575A" w:themeFill="text1"/>
            <w:hideMark/>
          </w:tcPr>
          <w:p w14:paraId="6BBEDC1E"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Public Health Agency of Canada</w:t>
            </w:r>
          </w:p>
        </w:tc>
        <w:tc>
          <w:tcPr>
            <w:tcW w:w="0" w:type="auto"/>
            <w:shd w:val="clear" w:color="auto" w:fill="54575A" w:themeFill="text1"/>
            <w:hideMark/>
          </w:tcPr>
          <w:p w14:paraId="140F6A34"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Cases Received</w:t>
            </w:r>
          </w:p>
        </w:tc>
        <w:tc>
          <w:tcPr>
            <w:tcW w:w="0" w:type="auto"/>
            <w:shd w:val="clear" w:color="auto" w:fill="54575A" w:themeFill="text1"/>
            <w:hideMark/>
          </w:tcPr>
          <w:p w14:paraId="2E6A17BF"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Cases Referred by Organization</w:t>
            </w:r>
          </w:p>
        </w:tc>
        <w:tc>
          <w:tcPr>
            <w:tcW w:w="0" w:type="auto"/>
            <w:shd w:val="clear" w:color="auto" w:fill="54575A" w:themeFill="text1"/>
            <w:hideMark/>
          </w:tcPr>
          <w:p w14:paraId="371DBF79"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Closed - Not Accepted</w:t>
            </w:r>
          </w:p>
        </w:tc>
        <w:tc>
          <w:tcPr>
            <w:tcW w:w="0" w:type="auto"/>
            <w:shd w:val="clear" w:color="auto" w:fill="54575A" w:themeFill="text1"/>
            <w:hideMark/>
          </w:tcPr>
          <w:p w14:paraId="0B474A92"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Completed Unfounded</w:t>
            </w:r>
          </w:p>
        </w:tc>
        <w:tc>
          <w:tcPr>
            <w:tcW w:w="0" w:type="auto"/>
            <w:shd w:val="clear" w:color="auto" w:fill="54575A" w:themeFill="text1"/>
            <w:hideMark/>
          </w:tcPr>
          <w:p w14:paraId="49046CB3"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Completed Founded</w:t>
            </w:r>
          </w:p>
        </w:tc>
        <w:tc>
          <w:tcPr>
            <w:tcW w:w="0" w:type="auto"/>
            <w:shd w:val="clear" w:color="auto" w:fill="54575A" w:themeFill="text1"/>
            <w:hideMark/>
          </w:tcPr>
          <w:p w14:paraId="49CAE891"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Ongoing</w:t>
            </w:r>
          </w:p>
        </w:tc>
      </w:tr>
      <w:tr w:rsidR="00E156FD" w:rsidRPr="007D1C24" w14:paraId="3710A72C" w14:textId="77777777" w:rsidTr="007D1C24">
        <w:trPr>
          <w:cantSplit/>
          <w:trHeight w:val="1200"/>
          <w:tblHeader/>
        </w:trPr>
        <w:tc>
          <w:tcPr>
            <w:tcW w:w="0" w:type="auto"/>
            <w:shd w:val="clear" w:color="auto" w:fill="54575A" w:themeFill="text1"/>
            <w:hideMark/>
          </w:tcPr>
          <w:p w14:paraId="6E99A19D" w14:textId="77777777" w:rsidR="00E156FD" w:rsidRPr="007D1C24" w:rsidRDefault="00E156FD" w:rsidP="00595D60">
            <w:pPr>
              <w:pStyle w:val="TableTitle"/>
              <w:rPr>
                <w:color w:val="FFFFFF" w:themeColor="background1"/>
                <w:sz w:val="22"/>
                <w:lang w:val="en-CA" w:eastAsia="en-CA"/>
              </w:rPr>
            </w:pPr>
            <w:r w:rsidRPr="007D1C24">
              <w:rPr>
                <w:color w:val="FFFFFF" w:themeColor="background1"/>
                <w:sz w:val="22"/>
                <w:lang w:val="en-CA" w:eastAsia="en-CA"/>
              </w:rPr>
              <w:t>s.66 External Appointments (Merit, Error, Omission, Improper Conduct)</w:t>
            </w:r>
          </w:p>
        </w:tc>
        <w:tc>
          <w:tcPr>
            <w:tcW w:w="0" w:type="auto"/>
            <w:hideMark/>
          </w:tcPr>
          <w:p w14:paraId="16D9F721"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4</w:t>
            </w:r>
          </w:p>
        </w:tc>
        <w:tc>
          <w:tcPr>
            <w:tcW w:w="0" w:type="auto"/>
            <w:hideMark/>
          </w:tcPr>
          <w:p w14:paraId="42EA6077"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348386E7"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4</w:t>
            </w:r>
          </w:p>
        </w:tc>
        <w:tc>
          <w:tcPr>
            <w:tcW w:w="0" w:type="auto"/>
            <w:hideMark/>
          </w:tcPr>
          <w:p w14:paraId="34DB254F"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563315EC"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00DCF0DB"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r>
      <w:tr w:rsidR="00E156FD" w:rsidRPr="007D1C24" w14:paraId="23B1FE1F" w14:textId="77777777" w:rsidTr="007D1C24">
        <w:trPr>
          <w:cantSplit/>
          <w:trHeight w:val="600"/>
          <w:tblHeader/>
        </w:trPr>
        <w:tc>
          <w:tcPr>
            <w:tcW w:w="0" w:type="auto"/>
            <w:shd w:val="clear" w:color="auto" w:fill="54575A" w:themeFill="text1"/>
            <w:hideMark/>
          </w:tcPr>
          <w:p w14:paraId="14EA23DF" w14:textId="77777777" w:rsidR="00E156FD" w:rsidRPr="007D1C24" w:rsidRDefault="00E156FD" w:rsidP="00595D60">
            <w:pPr>
              <w:pStyle w:val="TableTitle"/>
              <w:rPr>
                <w:color w:val="FFFFFF" w:themeColor="background1"/>
                <w:sz w:val="22"/>
                <w:lang w:val="en-CA" w:eastAsia="en-CA"/>
              </w:rPr>
            </w:pPr>
            <w:r w:rsidRPr="007D1C24">
              <w:rPr>
                <w:color w:val="FFFFFF" w:themeColor="background1"/>
                <w:sz w:val="22"/>
                <w:lang w:val="en-CA" w:eastAsia="en-CA"/>
              </w:rPr>
              <w:t>s.118 Improper Political Activities - Employees</w:t>
            </w:r>
          </w:p>
        </w:tc>
        <w:tc>
          <w:tcPr>
            <w:tcW w:w="0" w:type="auto"/>
            <w:hideMark/>
          </w:tcPr>
          <w:p w14:paraId="756EDBA1"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1</w:t>
            </w:r>
          </w:p>
        </w:tc>
        <w:tc>
          <w:tcPr>
            <w:tcW w:w="0" w:type="auto"/>
            <w:hideMark/>
          </w:tcPr>
          <w:p w14:paraId="38ECA37A"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6948600D"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1899BFAC"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5D5AE101"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0276D40F"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1</w:t>
            </w:r>
          </w:p>
        </w:tc>
      </w:tr>
      <w:tr w:rsidR="00E156FD" w:rsidRPr="007D1C24" w14:paraId="5B59CB21" w14:textId="77777777" w:rsidTr="007D1C24">
        <w:trPr>
          <w:cantSplit/>
          <w:trHeight w:val="300"/>
          <w:tblHeader/>
        </w:trPr>
        <w:tc>
          <w:tcPr>
            <w:tcW w:w="0" w:type="auto"/>
            <w:shd w:val="clear" w:color="auto" w:fill="54575A" w:themeFill="text1"/>
            <w:hideMark/>
          </w:tcPr>
          <w:p w14:paraId="7E6EA75A" w14:textId="77777777" w:rsidR="00E156FD" w:rsidRPr="007D1C24" w:rsidRDefault="00E156FD" w:rsidP="00595D60">
            <w:pPr>
              <w:pStyle w:val="TableTitle"/>
              <w:rPr>
                <w:bCs/>
                <w:color w:val="FFFFFF" w:themeColor="background1"/>
                <w:sz w:val="22"/>
                <w:lang w:val="en-CA" w:eastAsia="en-CA"/>
              </w:rPr>
            </w:pPr>
            <w:r w:rsidRPr="007D1C24">
              <w:rPr>
                <w:color w:val="FFFFFF" w:themeColor="background1"/>
                <w:sz w:val="22"/>
                <w:lang w:val="en-CA" w:eastAsia="en-CA"/>
              </w:rPr>
              <w:t>Total</w:t>
            </w:r>
          </w:p>
        </w:tc>
        <w:tc>
          <w:tcPr>
            <w:tcW w:w="0" w:type="auto"/>
            <w:hideMark/>
          </w:tcPr>
          <w:p w14:paraId="76173276"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5</w:t>
            </w:r>
          </w:p>
        </w:tc>
        <w:tc>
          <w:tcPr>
            <w:tcW w:w="0" w:type="auto"/>
            <w:hideMark/>
          </w:tcPr>
          <w:p w14:paraId="72F7C1FD"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25DA011F"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4</w:t>
            </w:r>
          </w:p>
        </w:tc>
        <w:tc>
          <w:tcPr>
            <w:tcW w:w="0" w:type="auto"/>
            <w:hideMark/>
          </w:tcPr>
          <w:p w14:paraId="3769BFA1"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6EE95442"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0</w:t>
            </w:r>
          </w:p>
        </w:tc>
        <w:tc>
          <w:tcPr>
            <w:tcW w:w="0" w:type="auto"/>
            <w:hideMark/>
          </w:tcPr>
          <w:p w14:paraId="085260D7" w14:textId="77777777" w:rsidR="00E156FD" w:rsidRPr="007D1C24" w:rsidRDefault="00E156FD" w:rsidP="00595D60">
            <w:pPr>
              <w:pStyle w:val="TableTitle"/>
              <w:jc w:val="center"/>
              <w:rPr>
                <w:rFonts w:asciiTheme="minorHAnsi" w:hAnsiTheme="minorHAnsi" w:cstheme="minorHAnsi"/>
                <w:color w:val="auto"/>
                <w:sz w:val="22"/>
                <w:lang w:val="en-CA" w:eastAsia="en-CA"/>
              </w:rPr>
            </w:pPr>
            <w:r w:rsidRPr="007D1C24">
              <w:rPr>
                <w:rFonts w:asciiTheme="minorHAnsi" w:hAnsiTheme="minorHAnsi" w:cstheme="minorHAnsi"/>
                <w:color w:val="auto"/>
                <w:sz w:val="22"/>
                <w:lang w:val="en-CA" w:eastAsia="en-CA"/>
              </w:rPr>
              <w:t>1</w:t>
            </w:r>
          </w:p>
        </w:tc>
      </w:tr>
    </w:tbl>
    <w:p w14:paraId="28DD9D61" w14:textId="3CB8D747" w:rsidR="001E202E" w:rsidRPr="006E2679" w:rsidRDefault="00E156FD" w:rsidP="00FA5485">
      <w:pPr>
        <w:pStyle w:val="Sansinterligne"/>
        <w:spacing w:after="120"/>
        <w:rPr>
          <w:rFonts w:asciiTheme="minorHAnsi" w:hAnsiTheme="minorHAnsi" w:cstheme="minorHAnsi"/>
          <w:sz w:val="22"/>
          <w:szCs w:val="22"/>
          <w:lang w:val="en-CA" w:eastAsia="en-CA"/>
        </w:rPr>
      </w:pPr>
      <w:r w:rsidRPr="006E2679">
        <w:rPr>
          <w:rFonts w:asciiTheme="minorHAnsi" w:hAnsiTheme="minorHAnsi" w:cstheme="minorHAnsi"/>
          <w:color w:val="000000"/>
          <w:sz w:val="22"/>
          <w:szCs w:val="18"/>
          <w:lang w:val="en-CA" w:eastAsia="en-CA"/>
        </w:rPr>
        <w:t>Note: The number of received cases may not add up to the number of completed/closed cases as completed/closed cases are not necessarily cases that were received in the same period. Some cases can also be discontinued or resolved via early intervention.</w:t>
      </w:r>
    </w:p>
    <w:p w14:paraId="6A65BC6E" w14:textId="77777777" w:rsidR="003076ED" w:rsidRDefault="003076ED" w:rsidP="00F91BF2">
      <w:pPr>
        <w:pStyle w:val="Titre2"/>
        <w:spacing w:after="120"/>
        <w:rPr>
          <w:lang w:val="en-CA"/>
        </w:rPr>
        <w:sectPr w:rsidR="003076ED" w:rsidSect="00E156FD">
          <w:pgSz w:w="15840" w:h="12240" w:orient="landscape" w:code="1"/>
          <w:pgMar w:top="1304" w:right="709" w:bottom="1304" w:left="1361" w:header="708" w:footer="708" w:gutter="0"/>
          <w:cols w:space="708"/>
          <w:docGrid w:linePitch="360"/>
        </w:sectPr>
      </w:pPr>
    </w:p>
    <w:p w14:paraId="15C66A26" w14:textId="3B8B4F15" w:rsidR="001E202E" w:rsidRPr="006E2679" w:rsidRDefault="001E202E" w:rsidP="00F91BF2">
      <w:pPr>
        <w:pStyle w:val="Titre2"/>
        <w:spacing w:after="120"/>
        <w:rPr>
          <w:u w:val="single"/>
          <w:lang w:val="en-CA"/>
        </w:rPr>
      </w:pPr>
      <w:r w:rsidRPr="006E2679">
        <w:rPr>
          <w:lang w:val="en-CA"/>
        </w:rPr>
        <w:lastRenderedPageBreak/>
        <w:t>Staffing and Non-Partisanship Survey Results</w:t>
      </w:r>
    </w:p>
    <w:p w14:paraId="47BE10CD" w14:textId="77777777" w:rsidR="00A75646" w:rsidRPr="006E2679" w:rsidRDefault="001E202E" w:rsidP="00FA5485">
      <w:pPr>
        <w:spacing w:after="12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The survey results for the PHAC shows that managers are less satisfied than similar size organizations and the overall public service concerning the quality of services they received from their HR advisor.</w:t>
      </w:r>
      <w:r w:rsidR="005E7644" w:rsidRPr="006E2679">
        <w:rPr>
          <w:rFonts w:asciiTheme="minorHAnsi" w:eastAsiaTheme="minorHAnsi" w:hAnsiTheme="minorHAnsi" w:cstheme="minorHAnsi"/>
          <w:color w:val="000000"/>
          <w:sz w:val="22"/>
          <w:szCs w:val="22"/>
          <w:lang w:val="en-CA"/>
        </w:rPr>
        <w:t xml:space="preserve"> </w:t>
      </w:r>
    </w:p>
    <w:p w14:paraId="5A6FFD0E" w14:textId="61976D1A" w:rsidR="001E202E" w:rsidRPr="006E2679" w:rsidRDefault="001E202E" w:rsidP="00FA5485">
      <w:pPr>
        <w:spacing w:after="12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Below are key findings from the PHAC’s 2018 Staffing and Non-Partisanship Survey (SNPS) results:</w:t>
      </w:r>
    </w:p>
    <w:p w14:paraId="1BF01160" w14:textId="77777777" w:rsidR="001E202E" w:rsidRPr="006E2679" w:rsidRDefault="001E202E" w:rsidP="001E202E">
      <w:pPr>
        <w:numPr>
          <w:ilvl w:val="0"/>
          <w:numId w:val="20"/>
        </w:numP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 xml:space="preserve">59% of </w:t>
      </w:r>
      <w:r w:rsidRPr="006E2679">
        <w:rPr>
          <w:rStyle w:val="lev"/>
          <w:rFonts w:asciiTheme="minorHAnsi" w:eastAsiaTheme="minorHAnsi" w:hAnsiTheme="minorHAnsi" w:cstheme="minorHAnsi"/>
          <w:sz w:val="22"/>
          <w:szCs w:val="22"/>
          <w:lang w:val="en-CA"/>
        </w:rPr>
        <w:t>employees</w:t>
      </w:r>
      <w:r w:rsidRPr="006E2679">
        <w:rPr>
          <w:rFonts w:asciiTheme="minorHAnsi" w:eastAsiaTheme="minorHAnsi" w:hAnsiTheme="minorHAnsi" w:cstheme="minorHAnsi"/>
          <w:color w:val="000000"/>
          <w:sz w:val="22"/>
          <w:szCs w:val="22"/>
          <w:lang w:val="en-CA"/>
        </w:rPr>
        <w:t xml:space="preserve"> indicated that people hired in their work unit can do the job, as compared to 52.3% in similar size organizations and 53.8% across all organizations in the federal public service. </w:t>
      </w:r>
    </w:p>
    <w:p w14:paraId="63D73E8E" w14:textId="77777777" w:rsidR="001E202E" w:rsidRPr="006E2679" w:rsidRDefault="001E202E" w:rsidP="001E202E">
      <w:pPr>
        <w:numPr>
          <w:ilvl w:val="0"/>
          <w:numId w:val="20"/>
        </w:numP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 xml:space="preserve">9.6% of </w:t>
      </w:r>
      <w:r w:rsidRPr="006E2679">
        <w:rPr>
          <w:rStyle w:val="lev"/>
          <w:rFonts w:asciiTheme="minorHAnsi" w:eastAsiaTheme="minorHAnsi" w:hAnsiTheme="minorHAnsi" w:cstheme="minorHAnsi"/>
          <w:sz w:val="22"/>
          <w:szCs w:val="22"/>
          <w:lang w:val="en-CA"/>
        </w:rPr>
        <w:t>managers</w:t>
      </w:r>
      <w:r w:rsidRPr="006E2679">
        <w:rPr>
          <w:rFonts w:asciiTheme="minorHAnsi" w:eastAsiaTheme="minorHAnsi" w:hAnsiTheme="minorHAnsi" w:cstheme="minorHAnsi"/>
          <w:color w:val="000000"/>
          <w:sz w:val="22"/>
          <w:szCs w:val="22"/>
          <w:lang w:val="en-CA"/>
        </w:rPr>
        <w:t xml:space="preserve"> agreed that that they felt external pressure to select a particular employee, as compared to 13.3% in similar size organizations and 12.7% across all organizations in the federal public service.</w:t>
      </w:r>
    </w:p>
    <w:p w14:paraId="5387ADA5" w14:textId="77777777" w:rsidR="001E202E" w:rsidRPr="006E2679" w:rsidRDefault="001E202E" w:rsidP="001E202E">
      <w:pPr>
        <w:numPr>
          <w:ilvl w:val="0"/>
          <w:numId w:val="20"/>
        </w:numP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 xml:space="preserve">57.3% of </w:t>
      </w:r>
      <w:r w:rsidRPr="006E2679">
        <w:rPr>
          <w:rStyle w:val="lev"/>
          <w:rFonts w:asciiTheme="minorHAnsi" w:eastAsiaTheme="minorHAnsi" w:hAnsiTheme="minorHAnsi" w:cstheme="minorHAnsi"/>
          <w:sz w:val="22"/>
          <w:szCs w:val="22"/>
          <w:lang w:val="en-CA"/>
        </w:rPr>
        <w:t>managers</w:t>
      </w:r>
      <w:r w:rsidRPr="006E2679">
        <w:rPr>
          <w:rFonts w:asciiTheme="minorHAnsi" w:eastAsiaTheme="minorHAnsi" w:hAnsiTheme="minorHAnsi" w:cstheme="minorHAnsi"/>
          <w:color w:val="000000"/>
          <w:sz w:val="22"/>
          <w:szCs w:val="22"/>
          <w:lang w:val="en-CA"/>
        </w:rPr>
        <w:t xml:space="preserve"> reported understanding of the provisions that help veterans gain employment in the federal public service, as compared to 65.6% in similar size organizations and 65.8% across all organizations in the federal public service.</w:t>
      </w:r>
    </w:p>
    <w:p w14:paraId="171D678A" w14:textId="77777777" w:rsidR="001E202E" w:rsidRPr="006E2679" w:rsidRDefault="001E202E" w:rsidP="001E202E">
      <w:pPr>
        <w:numPr>
          <w:ilvl w:val="0"/>
          <w:numId w:val="20"/>
        </w:numP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 xml:space="preserve">90.5% of </w:t>
      </w:r>
      <w:r w:rsidRPr="006E2679">
        <w:rPr>
          <w:rStyle w:val="lev"/>
          <w:rFonts w:asciiTheme="minorHAnsi" w:eastAsiaTheme="minorHAnsi" w:hAnsiTheme="minorHAnsi" w:cstheme="minorHAnsi"/>
          <w:sz w:val="22"/>
          <w:szCs w:val="22"/>
          <w:lang w:val="en-CA"/>
        </w:rPr>
        <w:t>managers</w:t>
      </w:r>
      <w:r w:rsidRPr="006E2679">
        <w:rPr>
          <w:rFonts w:asciiTheme="minorHAnsi" w:eastAsiaTheme="minorHAnsi" w:hAnsiTheme="minorHAnsi" w:cstheme="minorHAnsi"/>
          <w:color w:val="000000"/>
          <w:sz w:val="22"/>
          <w:szCs w:val="22"/>
          <w:lang w:val="en-CA"/>
        </w:rPr>
        <w:t xml:space="preserve"> felt that staffing is burdensome, as compared to 88.6% in similar size organizations and 87.9% across all organizations in the federal public service. </w:t>
      </w:r>
    </w:p>
    <w:p w14:paraId="5E19CF61" w14:textId="1268C1BE" w:rsidR="001E202E" w:rsidRPr="006E2679" w:rsidRDefault="001E202E" w:rsidP="001E202E">
      <w:pPr>
        <w:numPr>
          <w:ilvl w:val="0"/>
          <w:numId w:val="20"/>
        </w:numP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 xml:space="preserve">67.3% of </w:t>
      </w:r>
      <w:r w:rsidRPr="006E2679">
        <w:rPr>
          <w:rStyle w:val="lev"/>
          <w:rFonts w:asciiTheme="minorHAnsi" w:eastAsiaTheme="minorHAnsi" w:hAnsiTheme="minorHAnsi" w:cstheme="minorHAnsi"/>
          <w:sz w:val="22"/>
          <w:szCs w:val="22"/>
          <w:lang w:val="en-CA"/>
        </w:rPr>
        <w:t>managers</w:t>
      </w:r>
      <w:r w:rsidRPr="006E2679">
        <w:rPr>
          <w:rFonts w:asciiTheme="minorHAnsi" w:eastAsiaTheme="minorHAnsi" w:hAnsiTheme="minorHAnsi" w:cstheme="minorHAnsi"/>
          <w:color w:val="000000"/>
          <w:sz w:val="22"/>
          <w:szCs w:val="22"/>
          <w:lang w:val="en-CA"/>
        </w:rPr>
        <w:t xml:space="preserve"> feel staffing is not quick enough, as compared to 64.5% in similar size organizations and 62.4% across all organizations in the federal public service.</w:t>
      </w:r>
    </w:p>
    <w:p w14:paraId="51ACA8BE" w14:textId="77777777" w:rsidR="007D1C24" w:rsidRDefault="007D1C24" w:rsidP="00B936CD">
      <w:pPr>
        <w:pStyle w:val="Titre1"/>
        <w:spacing w:after="120"/>
        <w:rPr>
          <w:lang w:val="en-CA"/>
        </w:rPr>
        <w:sectPr w:rsidR="007D1C24" w:rsidSect="000264B9">
          <w:pgSz w:w="12240" w:h="15840"/>
          <w:pgMar w:top="709" w:right="1304" w:bottom="1361" w:left="1304" w:header="708" w:footer="708" w:gutter="0"/>
          <w:cols w:space="708"/>
          <w:docGrid w:linePitch="360"/>
        </w:sectPr>
      </w:pPr>
    </w:p>
    <w:p w14:paraId="68B6AD50" w14:textId="2CD710CF" w:rsidR="001E202E" w:rsidRPr="006E2679" w:rsidRDefault="001E202E" w:rsidP="00B936CD">
      <w:pPr>
        <w:pStyle w:val="Titre1"/>
        <w:spacing w:after="120"/>
        <w:rPr>
          <w:lang w:val="en-CA"/>
        </w:rPr>
      </w:pPr>
      <w:r w:rsidRPr="006E2679">
        <w:rPr>
          <w:lang w:val="en-CA"/>
        </w:rPr>
        <w:lastRenderedPageBreak/>
        <w:t>Diversity Profile</w:t>
      </w:r>
    </w:p>
    <w:p w14:paraId="4B763EB6" w14:textId="77777777" w:rsidR="001E202E" w:rsidRPr="006E2679" w:rsidRDefault="001E202E" w:rsidP="00B936CD">
      <w:pPr>
        <w:autoSpaceDE w:val="0"/>
        <w:autoSpaceDN w:val="0"/>
        <w:adjustRightInd w:val="0"/>
        <w:spacing w:after="120"/>
        <w:rPr>
          <w:rFonts w:asciiTheme="minorHAnsi" w:hAnsiTheme="minorHAnsi" w:cstheme="minorHAnsi"/>
          <w:sz w:val="22"/>
          <w:szCs w:val="24"/>
          <w:lang w:val="en-CA"/>
        </w:rPr>
      </w:pPr>
      <w:r w:rsidRPr="006E2679">
        <w:rPr>
          <w:rFonts w:asciiTheme="minorHAnsi" w:hAnsiTheme="minorHAnsi" w:cstheme="minorHAnsi"/>
          <w:sz w:val="22"/>
          <w:szCs w:val="24"/>
          <w:lang w:val="en-CA"/>
        </w:rPr>
        <w:t xml:space="preserve">The organization is above workforce availability for women, persons with disabilities and members of visible minorities. </w:t>
      </w:r>
      <w:r w:rsidRPr="006E2679">
        <w:rPr>
          <w:rFonts w:asciiTheme="minorHAnsi" w:hAnsiTheme="minorHAnsi" w:cstheme="minorHAnsi"/>
          <w:sz w:val="22"/>
          <w:lang w:val="en-CA"/>
        </w:rPr>
        <w:t>However, the organization would like to focus on addressing certain employment equity gaps in specialized fields, such as in the MD and SE (Scientific Researchers) groups.</w:t>
      </w:r>
    </w:p>
    <w:p w14:paraId="39A28932" w14:textId="77777777" w:rsidR="001E202E" w:rsidRPr="006E2679" w:rsidRDefault="001E202E" w:rsidP="00B936CD">
      <w:pPr>
        <w:autoSpaceDE w:val="0"/>
        <w:autoSpaceDN w:val="0"/>
        <w:adjustRightInd w:val="0"/>
        <w:spacing w:after="120"/>
        <w:rPr>
          <w:rFonts w:asciiTheme="minorHAnsi" w:hAnsiTheme="minorHAnsi" w:cstheme="minorHAnsi"/>
          <w:sz w:val="22"/>
          <w:szCs w:val="24"/>
          <w:lang w:val="en-CA"/>
        </w:rPr>
      </w:pPr>
      <w:r w:rsidRPr="006E2679">
        <w:rPr>
          <w:rFonts w:asciiTheme="minorHAnsi" w:hAnsiTheme="minorHAnsi" w:cstheme="minorHAnsi"/>
          <w:sz w:val="22"/>
          <w:szCs w:val="24"/>
          <w:lang w:val="en-CA"/>
        </w:rPr>
        <w:t>Aboriginal Peoples are under-represented at 3.1% of the Agency’s workforce, while the Public Service workforce availability is at 3.4%. The organization may wish to take action to close the gap to ensure ongoing representativeness of its workforce.</w:t>
      </w:r>
    </w:p>
    <w:p w14:paraId="3DC6D9BF" w14:textId="23466169" w:rsidR="00433173" w:rsidRDefault="00433173" w:rsidP="00433173">
      <w:pPr>
        <w:pStyle w:val="Lgende"/>
        <w:keepNext/>
      </w:pPr>
      <w:r>
        <w:t xml:space="preserve">Table </w:t>
      </w:r>
      <w:r>
        <w:fldChar w:fldCharType="begin"/>
      </w:r>
      <w:r>
        <w:instrText xml:space="preserve"> SEQ Table \* ARABIC </w:instrText>
      </w:r>
      <w:r>
        <w:fldChar w:fldCharType="separate"/>
      </w:r>
      <w:r w:rsidR="00147E67">
        <w:rPr>
          <w:noProof/>
        </w:rPr>
        <w:t>2</w:t>
      </w:r>
      <w:r>
        <w:fldChar w:fldCharType="end"/>
      </w:r>
      <w:r>
        <w:t xml:space="preserve"> - Diversity Profile</w:t>
      </w:r>
    </w:p>
    <w:tbl>
      <w:tblPr>
        <w:tblStyle w:val="TableGrid1"/>
        <w:tblW w:w="0" w:type="auto"/>
        <w:tblLook w:val="04A0" w:firstRow="1" w:lastRow="0" w:firstColumn="1" w:lastColumn="0" w:noHBand="0" w:noVBand="1"/>
        <w:tblCaption w:val="Diversity Profile Reporting Period - March 31, 2017 to April 1. 2018"/>
        <w:tblDescription w:val="Diversity Profile"/>
      </w:tblPr>
      <w:tblGrid>
        <w:gridCol w:w="3023"/>
        <w:gridCol w:w="3199"/>
        <w:gridCol w:w="3415"/>
        <w:gridCol w:w="2798"/>
        <w:gridCol w:w="1200"/>
      </w:tblGrid>
      <w:tr w:rsidR="007D1C24" w:rsidRPr="007D1C24" w14:paraId="75FEE086" w14:textId="77777777" w:rsidTr="007D1C24">
        <w:trPr>
          <w:cantSplit/>
          <w:trHeight w:val="759"/>
          <w:tblHeader/>
        </w:trPr>
        <w:tc>
          <w:tcPr>
            <w:tcW w:w="0" w:type="auto"/>
            <w:shd w:val="clear" w:color="auto" w:fill="8D9195"/>
            <w:hideMark/>
          </w:tcPr>
          <w:p w14:paraId="7BBD70A2"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Designated Group</w:t>
            </w:r>
          </w:p>
        </w:tc>
        <w:tc>
          <w:tcPr>
            <w:tcW w:w="0" w:type="auto"/>
            <w:shd w:val="clear" w:color="auto" w:fill="8D9195"/>
            <w:hideMark/>
          </w:tcPr>
          <w:p w14:paraId="2D97013F"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Public Service</w:t>
            </w:r>
          </w:p>
          <w:p w14:paraId="1517943F"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Work Force Availability (WFA)</w:t>
            </w:r>
          </w:p>
        </w:tc>
        <w:tc>
          <w:tcPr>
            <w:tcW w:w="0" w:type="auto"/>
            <w:shd w:val="clear" w:color="auto" w:fill="BF3C00"/>
            <w:hideMark/>
          </w:tcPr>
          <w:p w14:paraId="449EFDDE"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Public Health Agency of Canada</w:t>
            </w:r>
          </w:p>
        </w:tc>
        <w:tc>
          <w:tcPr>
            <w:tcW w:w="0" w:type="auto"/>
            <w:shd w:val="clear" w:color="auto" w:fill="8D9195"/>
            <w:hideMark/>
          </w:tcPr>
          <w:p w14:paraId="227E0458"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 xml:space="preserve">Representation across the </w:t>
            </w:r>
          </w:p>
          <w:p w14:paraId="57795D83"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 Public Service of Canada</w:t>
            </w:r>
          </w:p>
        </w:tc>
        <w:tc>
          <w:tcPr>
            <w:tcW w:w="0" w:type="auto"/>
            <w:shd w:val="clear" w:color="auto" w:fill="8D9195"/>
            <w:hideMark/>
          </w:tcPr>
          <w:p w14:paraId="6605579C" w14:textId="77777777" w:rsidR="007D1C24" w:rsidRPr="007D1C24" w:rsidRDefault="007D1C24" w:rsidP="007D1C24">
            <w:pPr>
              <w:pStyle w:val="TableTitle"/>
              <w:rPr>
                <w:color w:val="FFFFFF" w:themeColor="background1"/>
                <w:sz w:val="22"/>
                <w:lang w:val="en-CA"/>
              </w:rPr>
            </w:pPr>
            <w:r w:rsidRPr="007D1C24">
              <w:rPr>
                <w:color w:val="FFFFFF" w:themeColor="background1"/>
                <w:sz w:val="22"/>
                <w:lang w:val="en-CA"/>
              </w:rPr>
              <w:t xml:space="preserve">New WFA </w:t>
            </w:r>
            <w:r w:rsidRPr="007D1C24">
              <w:rPr>
                <w:color w:val="FFFFFF" w:themeColor="background1"/>
                <w:sz w:val="22"/>
                <w:lang w:val="en-CA"/>
              </w:rPr>
              <w:br/>
              <w:t xml:space="preserve">2019 </w:t>
            </w:r>
          </w:p>
        </w:tc>
      </w:tr>
      <w:tr w:rsidR="007D1C24" w:rsidRPr="006E2679" w14:paraId="43CA8043" w14:textId="77777777" w:rsidTr="007D1C24">
        <w:trPr>
          <w:cantSplit/>
          <w:tblHeader/>
        </w:trPr>
        <w:tc>
          <w:tcPr>
            <w:tcW w:w="0" w:type="auto"/>
            <w:hideMark/>
          </w:tcPr>
          <w:p w14:paraId="4DF86140" w14:textId="77777777" w:rsidR="007D1C24" w:rsidRPr="006E2679" w:rsidRDefault="007D1C24" w:rsidP="00595D60">
            <w:pPr>
              <w:spacing w:before="120"/>
              <w:rPr>
                <w:rFonts w:asciiTheme="minorHAnsi" w:hAnsiTheme="minorHAnsi" w:cstheme="minorHAnsi"/>
                <w:sz w:val="22"/>
                <w:szCs w:val="22"/>
                <w:lang w:val="en-CA"/>
              </w:rPr>
            </w:pPr>
            <w:r w:rsidRPr="006E2679">
              <w:rPr>
                <w:rFonts w:asciiTheme="minorHAnsi" w:hAnsiTheme="minorHAnsi" w:cstheme="minorHAnsi"/>
                <w:sz w:val="22"/>
                <w:szCs w:val="22"/>
                <w:lang w:val="en-CA"/>
              </w:rPr>
              <w:t>Women</w:t>
            </w:r>
          </w:p>
        </w:tc>
        <w:tc>
          <w:tcPr>
            <w:tcW w:w="0" w:type="auto"/>
            <w:hideMark/>
          </w:tcPr>
          <w:p w14:paraId="4CB7B5BB" w14:textId="77777777" w:rsidR="007D1C24" w:rsidRPr="006E2679" w:rsidRDefault="007D1C24" w:rsidP="00595D60">
            <w:pPr>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52.5%</w:t>
            </w:r>
          </w:p>
        </w:tc>
        <w:tc>
          <w:tcPr>
            <w:tcW w:w="0" w:type="auto"/>
            <w:hideMark/>
          </w:tcPr>
          <w:p w14:paraId="3EC3ACD6"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68%</w:t>
            </w:r>
          </w:p>
        </w:tc>
        <w:tc>
          <w:tcPr>
            <w:tcW w:w="0" w:type="auto"/>
            <w:hideMark/>
          </w:tcPr>
          <w:p w14:paraId="73CA68C7"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54.8%</w:t>
            </w:r>
          </w:p>
        </w:tc>
        <w:tc>
          <w:tcPr>
            <w:tcW w:w="0" w:type="auto"/>
            <w:hideMark/>
          </w:tcPr>
          <w:p w14:paraId="37228EBB"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52.6%</w:t>
            </w:r>
          </w:p>
        </w:tc>
      </w:tr>
      <w:tr w:rsidR="007D1C24" w:rsidRPr="006E2679" w14:paraId="11835E14" w14:textId="77777777" w:rsidTr="007D1C24">
        <w:trPr>
          <w:cantSplit/>
          <w:tblHeader/>
        </w:trPr>
        <w:tc>
          <w:tcPr>
            <w:tcW w:w="0" w:type="auto"/>
            <w:hideMark/>
          </w:tcPr>
          <w:p w14:paraId="4AA76C7F" w14:textId="77777777" w:rsidR="007D1C24" w:rsidRPr="006E2679" w:rsidRDefault="007D1C24" w:rsidP="00595D60">
            <w:pPr>
              <w:spacing w:before="120"/>
              <w:rPr>
                <w:rFonts w:asciiTheme="minorHAnsi" w:hAnsiTheme="minorHAnsi" w:cstheme="minorHAnsi"/>
                <w:sz w:val="22"/>
                <w:szCs w:val="22"/>
                <w:lang w:val="en-CA"/>
              </w:rPr>
            </w:pPr>
            <w:r w:rsidRPr="006E2679">
              <w:rPr>
                <w:rFonts w:asciiTheme="minorHAnsi" w:hAnsiTheme="minorHAnsi" w:cstheme="minorHAnsi"/>
                <w:sz w:val="22"/>
                <w:szCs w:val="22"/>
                <w:lang w:val="en-CA"/>
              </w:rPr>
              <w:t>Aboriginal Peoples</w:t>
            </w:r>
          </w:p>
        </w:tc>
        <w:tc>
          <w:tcPr>
            <w:tcW w:w="0" w:type="auto"/>
            <w:hideMark/>
          </w:tcPr>
          <w:p w14:paraId="13FA1C08" w14:textId="77777777" w:rsidR="007D1C24" w:rsidRPr="006E2679" w:rsidRDefault="007D1C24" w:rsidP="00595D60">
            <w:pPr>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3.4%</w:t>
            </w:r>
          </w:p>
        </w:tc>
        <w:tc>
          <w:tcPr>
            <w:tcW w:w="0" w:type="auto"/>
            <w:shd w:val="clear" w:color="auto" w:fill="FFB999"/>
            <w:hideMark/>
          </w:tcPr>
          <w:p w14:paraId="7D1214DA"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3.1%</w:t>
            </w:r>
          </w:p>
        </w:tc>
        <w:tc>
          <w:tcPr>
            <w:tcW w:w="0" w:type="auto"/>
            <w:hideMark/>
          </w:tcPr>
          <w:p w14:paraId="39B6E702"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5.1%</w:t>
            </w:r>
          </w:p>
        </w:tc>
        <w:tc>
          <w:tcPr>
            <w:tcW w:w="0" w:type="auto"/>
            <w:hideMark/>
          </w:tcPr>
          <w:p w14:paraId="38C8FC49"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4.0%</w:t>
            </w:r>
          </w:p>
        </w:tc>
      </w:tr>
      <w:tr w:rsidR="007D1C24" w:rsidRPr="006E2679" w14:paraId="4AF68724" w14:textId="77777777" w:rsidTr="007D1C24">
        <w:trPr>
          <w:cantSplit/>
          <w:trHeight w:val="598"/>
          <w:tblHeader/>
        </w:trPr>
        <w:tc>
          <w:tcPr>
            <w:tcW w:w="0" w:type="auto"/>
            <w:hideMark/>
          </w:tcPr>
          <w:p w14:paraId="77BCEBC5" w14:textId="77777777" w:rsidR="007D1C24" w:rsidRPr="006E2679" w:rsidRDefault="007D1C24" w:rsidP="00595D60">
            <w:pPr>
              <w:spacing w:before="120"/>
              <w:rPr>
                <w:rFonts w:asciiTheme="minorHAnsi" w:hAnsiTheme="minorHAnsi" w:cstheme="minorHAnsi"/>
                <w:sz w:val="22"/>
                <w:szCs w:val="22"/>
                <w:lang w:val="en-CA"/>
              </w:rPr>
            </w:pPr>
            <w:r w:rsidRPr="006E2679">
              <w:rPr>
                <w:rFonts w:asciiTheme="minorHAnsi" w:hAnsiTheme="minorHAnsi" w:cstheme="minorHAnsi"/>
                <w:sz w:val="22"/>
                <w:szCs w:val="22"/>
                <w:lang w:val="en-CA"/>
              </w:rPr>
              <w:t>Persons with Disabilities</w:t>
            </w:r>
          </w:p>
        </w:tc>
        <w:tc>
          <w:tcPr>
            <w:tcW w:w="0" w:type="auto"/>
            <w:hideMark/>
          </w:tcPr>
          <w:p w14:paraId="25ADE1D9" w14:textId="77777777" w:rsidR="007D1C24" w:rsidRPr="006E2679" w:rsidRDefault="007D1C24" w:rsidP="00595D60">
            <w:pPr>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4.4%</w:t>
            </w:r>
          </w:p>
        </w:tc>
        <w:tc>
          <w:tcPr>
            <w:tcW w:w="0" w:type="auto"/>
            <w:hideMark/>
          </w:tcPr>
          <w:p w14:paraId="1ABE1049"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5.5%</w:t>
            </w:r>
          </w:p>
        </w:tc>
        <w:tc>
          <w:tcPr>
            <w:tcW w:w="0" w:type="auto"/>
            <w:hideMark/>
          </w:tcPr>
          <w:p w14:paraId="08837AD1"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5.3%</w:t>
            </w:r>
          </w:p>
        </w:tc>
        <w:tc>
          <w:tcPr>
            <w:tcW w:w="0" w:type="auto"/>
            <w:hideMark/>
          </w:tcPr>
          <w:p w14:paraId="370B638A"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9.0%</w:t>
            </w:r>
          </w:p>
        </w:tc>
      </w:tr>
      <w:tr w:rsidR="007D1C24" w:rsidRPr="006E2679" w14:paraId="16DB2FCE" w14:textId="77777777" w:rsidTr="007D1C24">
        <w:trPr>
          <w:cantSplit/>
          <w:tblHeader/>
        </w:trPr>
        <w:tc>
          <w:tcPr>
            <w:tcW w:w="0" w:type="auto"/>
            <w:hideMark/>
          </w:tcPr>
          <w:p w14:paraId="6EAB3A08" w14:textId="77777777" w:rsidR="007D1C24" w:rsidRPr="006E2679" w:rsidRDefault="007D1C24" w:rsidP="00595D60">
            <w:pPr>
              <w:spacing w:before="120"/>
              <w:rPr>
                <w:rFonts w:asciiTheme="minorHAnsi" w:hAnsiTheme="minorHAnsi" w:cstheme="minorHAnsi"/>
                <w:sz w:val="22"/>
                <w:szCs w:val="22"/>
                <w:lang w:val="en-CA"/>
              </w:rPr>
            </w:pPr>
            <w:r w:rsidRPr="006E2679">
              <w:rPr>
                <w:rFonts w:asciiTheme="minorHAnsi" w:hAnsiTheme="minorHAnsi" w:cstheme="minorHAnsi"/>
                <w:sz w:val="22"/>
                <w:szCs w:val="22"/>
                <w:lang w:val="en-CA"/>
              </w:rPr>
              <w:t>Members of Visible Minorities</w:t>
            </w:r>
          </w:p>
        </w:tc>
        <w:tc>
          <w:tcPr>
            <w:tcW w:w="0" w:type="auto"/>
            <w:hideMark/>
          </w:tcPr>
          <w:p w14:paraId="39DE2976" w14:textId="77777777" w:rsidR="007D1C24" w:rsidRPr="006E2679" w:rsidRDefault="007D1C24" w:rsidP="00595D60">
            <w:pPr>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13.0%</w:t>
            </w:r>
          </w:p>
        </w:tc>
        <w:tc>
          <w:tcPr>
            <w:tcW w:w="0" w:type="auto"/>
            <w:hideMark/>
          </w:tcPr>
          <w:p w14:paraId="1AE964B8"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20.3%</w:t>
            </w:r>
          </w:p>
        </w:tc>
        <w:tc>
          <w:tcPr>
            <w:tcW w:w="0" w:type="auto"/>
            <w:hideMark/>
          </w:tcPr>
          <w:p w14:paraId="06C999F3"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15.7%</w:t>
            </w:r>
          </w:p>
        </w:tc>
        <w:tc>
          <w:tcPr>
            <w:tcW w:w="0" w:type="auto"/>
            <w:hideMark/>
          </w:tcPr>
          <w:p w14:paraId="7F23AE1B" w14:textId="77777777" w:rsidR="007D1C24" w:rsidRPr="006E2679" w:rsidRDefault="007D1C24" w:rsidP="00595D60">
            <w:pPr>
              <w:autoSpaceDE w:val="0"/>
              <w:autoSpaceDN w:val="0"/>
              <w:spacing w:before="120"/>
              <w:jc w:val="center"/>
              <w:rPr>
                <w:rFonts w:asciiTheme="minorHAnsi" w:hAnsiTheme="minorHAnsi" w:cstheme="minorHAnsi"/>
                <w:sz w:val="22"/>
                <w:szCs w:val="22"/>
                <w:lang w:val="en-CA"/>
              </w:rPr>
            </w:pPr>
            <w:r w:rsidRPr="006E2679">
              <w:rPr>
                <w:rFonts w:asciiTheme="minorHAnsi" w:hAnsiTheme="minorHAnsi" w:cstheme="minorHAnsi"/>
                <w:sz w:val="22"/>
                <w:szCs w:val="22"/>
                <w:lang w:val="en-CA"/>
              </w:rPr>
              <w:t>15.3%</w:t>
            </w:r>
          </w:p>
        </w:tc>
      </w:tr>
    </w:tbl>
    <w:p w14:paraId="71C5BE2F" w14:textId="77777777" w:rsidR="007D1C24" w:rsidRPr="006E2679" w:rsidRDefault="007D1C24" w:rsidP="007D1C24">
      <w:pPr>
        <w:rPr>
          <w:rFonts w:asciiTheme="minorHAnsi" w:hAnsiTheme="minorHAnsi" w:cstheme="minorHAnsi"/>
          <w:sz w:val="22"/>
          <w:szCs w:val="22"/>
          <w:lang w:val="en-CA"/>
        </w:rPr>
      </w:pPr>
      <w:r w:rsidRPr="006E2679">
        <w:rPr>
          <w:rFonts w:asciiTheme="minorHAnsi" w:hAnsiTheme="minorHAnsi" w:cstheme="minorHAnsi"/>
          <w:sz w:val="22"/>
          <w:szCs w:val="22"/>
          <w:lang w:val="en-CA"/>
        </w:rPr>
        <w:t>Source:</w:t>
      </w:r>
      <w:r w:rsidRPr="006E2679">
        <w:rPr>
          <w:rStyle w:val="Lienhypertexte"/>
          <w:rFonts w:asciiTheme="minorHAnsi" w:hAnsiTheme="minorHAnsi" w:cstheme="minorHAnsi"/>
          <w:sz w:val="22"/>
          <w:szCs w:val="22"/>
          <w:lang w:val="en-CA"/>
        </w:rPr>
        <w:t xml:space="preserve"> </w:t>
      </w:r>
      <w:hyperlink r:id="rId9" w:history="1">
        <w:r w:rsidRPr="006E2679">
          <w:rPr>
            <w:rStyle w:val="Lienhypertexte"/>
            <w:rFonts w:asciiTheme="minorHAnsi" w:hAnsiTheme="minorHAnsi" w:cstheme="minorHAnsi"/>
            <w:sz w:val="22"/>
            <w:szCs w:val="22"/>
            <w:lang w:val="en-CA"/>
          </w:rPr>
          <w:t>Employment Equity in the Public Service of Canada 2017- 2018</w:t>
        </w:r>
      </w:hyperlink>
    </w:p>
    <w:p w14:paraId="6C91490D" w14:textId="78B758D0" w:rsidR="001E202E" w:rsidRPr="006E2679" w:rsidRDefault="007D1C24" w:rsidP="007D1C24">
      <w:pPr>
        <w:spacing w:after="120"/>
        <w:rPr>
          <w:rFonts w:asciiTheme="minorHAnsi" w:hAnsiTheme="minorHAnsi" w:cstheme="minorHAnsi"/>
          <w:color w:val="000000"/>
          <w:sz w:val="22"/>
          <w:szCs w:val="22"/>
          <w:lang w:val="en-CA"/>
        </w:rPr>
      </w:pPr>
      <w:r w:rsidRPr="006E2679">
        <w:rPr>
          <w:rFonts w:asciiTheme="minorHAnsi" w:hAnsiTheme="minorHAnsi" w:cstheme="minorHAnsi"/>
          <w:sz w:val="22"/>
          <w:szCs w:val="22"/>
          <w:lang w:val="en-CA"/>
        </w:rPr>
        <w:t>Treasury Board of Canada Secretariat</w:t>
      </w:r>
    </w:p>
    <w:p w14:paraId="386782C4" w14:textId="77777777" w:rsidR="00AE2E8B" w:rsidRDefault="00AE2E8B" w:rsidP="00B936CD">
      <w:pPr>
        <w:pStyle w:val="Titre1"/>
        <w:spacing w:after="120"/>
        <w:rPr>
          <w:lang w:val="en-CA"/>
        </w:rPr>
        <w:sectPr w:rsidR="00AE2E8B" w:rsidSect="007D1C24">
          <w:pgSz w:w="15840" w:h="12240" w:orient="landscape"/>
          <w:pgMar w:top="1304" w:right="709" w:bottom="1304" w:left="1361" w:header="708" w:footer="708" w:gutter="0"/>
          <w:cols w:space="708"/>
          <w:docGrid w:linePitch="360"/>
        </w:sectPr>
      </w:pPr>
    </w:p>
    <w:p w14:paraId="1CAC6A71" w14:textId="0392F902" w:rsidR="001E202E" w:rsidRPr="006E2679" w:rsidRDefault="001E202E" w:rsidP="00B936CD">
      <w:pPr>
        <w:pStyle w:val="Titre1"/>
        <w:spacing w:after="120"/>
        <w:rPr>
          <w:lang w:val="en-CA"/>
        </w:rPr>
      </w:pPr>
      <w:r w:rsidRPr="006E2679">
        <w:rPr>
          <w:lang w:val="en-CA"/>
        </w:rPr>
        <w:lastRenderedPageBreak/>
        <w:t>Priority Entitlements and Veterans</w:t>
      </w:r>
    </w:p>
    <w:p w14:paraId="3F1C1A82" w14:textId="77777777" w:rsidR="001E202E" w:rsidRPr="006E2679" w:rsidRDefault="001E202E" w:rsidP="00B936CD">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As of April 15, 2019, the PHAC had registered 12 persons with priority entitlement.</w:t>
      </w:r>
    </w:p>
    <w:p w14:paraId="73B773F8" w14:textId="77777777" w:rsidR="001E202E" w:rsidRPr="006E2679" w:rsidRDefault="001E202E" w:rsidP="00B936CD">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From April 1, 2018 to March 31, 2019, the PHAC made 601 priority clearance requests and appointed 2 persons with priority entitlement.</w:t>
      </w:r>
    </w:p>
    <w:p w14:paraId="0CAA30B8" w14:textId="403CE919" w:rsidR="001E202E" w:rsidRPr="006E2679" w:rsidRDefault="001E202E" w:rsidP="00B936CD">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PHAC has not appointed any medically released veterans with a priority entitlement since July 1, 2015.</w:t>
      </w:r>
    </w:p>
    <w:p w14:paraId="2360E61D" w14:textId="64010B4B" w:rsidR="00433173" w:rsidRDefault="00433173" w:rsidP="00433173">
      <w:pPr>
        <w:pStyle w:val="Lgende"/>
        <w:keepNext/>
      </w:pPr>
      <w:r>
        <w:t xml:space="preserve">Table </w:t>
      </w:r>
      <w:r>
        <w:fldChar w:fldCharType="begin"/>
      </w:r>
      <w:r>
        <w:instrText xml:space="preserve"> SEQ Table \* ARABIC </w:instrText>
      </w:r>
      <w:r>
        <w:fldChar w:fldCharType="separate"/>
      </w:r>
      <w:r w:rsidR="00147E67">
        <w:rPr>
          <w:noProof/>
        </w:rPr>
        <w:t>3</w:t>
      </w:r>
      <w:r>
        <w:fldChar w:fldCharType="end"/>
      </w:r>
      <w:r>
        <w:t xml:space="preserve"> - </w:t>
      </w:r>
      <w:r w:rsidRPr="00AE1E19">
        <w:t>Priority Entitlements and Veterans</w:t>
      </w:r>
    </w:p>
    <w:tbl>
      <w:tblPr>
        <w:tblStyle w:val="TableGrid1"/>
        <w:tblW w:w="0" w:type="auto"/>
        <w:tblLook w:val="04A0" w:firstRow="1" w:lastRow="0" w:firstColumn="1" w:lastColumn="0" w:noHBand="0" w:noVBand="1"/>
        <w:tblDescription w:val="Priority Entitlements and Veterans"/>
      </w:tblPr>
      <w:tblGrid>
        <w:gridCol w:w="1956"/>
        <w:gridCol w:w="1283"/>
        <w:gridCol w:w="831"/>
        <w:gridCol w:w="1168"/>
        <w:gridCol w:w="1275"/>
        <w:gridCol w:w="1235"/>
        <w:gridCol w:w="961"/>
        <w:gridCol w:w="1629"/>
        <w:gridCol w:w="1166"/>
        <w:gridCol w:w="1187"/>
        <w:gridCol w:w="1069"/>
      </w:tblGrid>
      <w:tr w:rsidR="00AE2E8B" w:rsidRPr="00AE2E8B" w14:paraId="1D712F63" w14:textId="77777777" w:rsidTr="00774D6A">
        <w:trPr>
          <w:cantSplit/>
          <w:tblHeader/>
        </w:trPr>
        <w:tc>
          <w:tcPr>
            <w:tcW w:w="0" w:type="auto"/>
            <w:shd w:val="clear" w:color="auto" w:fill="0070C0"/>
            <w:hideMark/>
          </w:tcPr>
          <w:p w14:paraId="138A44AF"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Priority Type</w:t>
            </w:r>
          </w:p>
        </w:tc>
        <w:tc>
          <w:tcPr>
            <w:tcW w:w="0" w:type="auto"/>
            <w:shd w:val="clear" w:color="auto" w:fill="0070C0"/>
            <w:hideMark/>
          </w:tcPr>
          <w:p w14:paraId="3A799776"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Carry-Over from Previous FY</w:t>
            </w:r>
          </w:p>
        </w:tc>
        <w:tc>
          <w:tcPr>
            <w:tcW w:w="0" w:type="auto"/>
            <w:shd w:val="clear" w:color="auto" w:fill="0070C0"/>
            <w:hideMark/>
          </w:tcPr>
          <w:p w14:paraId="65B451F2"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New Cases</w:t>
            </w:r>
          </w:p>
        </w:tc>
        <w:tc>
          <w:tcPr>
            <w:tcW w:w="0" w:type="auto"/>
            <w:shd w:val="clear" w:color="auto" w:fill="0070C0"/>
            <w:hideMark/>
          </w:tcPr>
          <w:p w14:paraId="51B8A713" w14:textId="39A62045" w:rsidR="00AE2E8B" w:rsidRPr="00AE2E8B" w:rsidRDefault="00AE2E8B" w:rsidP="00AE2E8B">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Total (Carry-over + New Cases)</w:t>
            </w:r>
          </w:p>
        </w:tc>
        <w:tc>
          <w:tcPr>
            <w:tcW w:w="0" w:type="auto"/>
            <w:shd w:val="clear" w:color="auto" w:fill="0070C0"/>
            <w:hideMark/>
          </w:tcPr>
          <w:p w14:paraId="33EE6EE7"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Appointed</w:t>
            </w:r>
          </w:p>
        </w:tc>
        <w:tc>
          <w:tcPr>
            <w:tcW w:w="0" w:type="auto"/>
            <w:shd w:val="clear" w:color="auto" w:fill="0070C0"/>
            <w:hideMark/>
          </w:tcPr>
          <w:p w14:paraId="5D215614"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Resigned / Retired</w:t>
            </w:r>
          </w:p>
        </w:tc>
        <w:tc>
          <w:tcPr>
            <w:tcW w:w="0" w:type="auto"/>
            <w:shd w:val="clear" w:color="auto" w:fill="0070C0"/>
            <w:hideMark/>
          </w:tcPr>
          <w:p w14:paraId="62F02603"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Expired</w:t>
            </w:r>
          </w:p>
        </w:tc>
        <w:tc>
          <w:tcPr>
            <w:tcW w:w="0" w:type="auto"/>
            <w:shd w:val="clear" w:color="auto" w:fill="0070C0"/>
            <w:hideMark/>
          </w:tcPr>
          <w:p w14:paraId="31EF3EBF"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Organization Rescinded</w:t>
            </w:r>
          </w:p>
        </w:tc>
        <w:tc>
          <w:tcPr>
            <w:tcW w:w="0" w:type="auto"/>
            <w:shd w:val="clear" w:color="auto" w:fill="0070C0"/>
            <w:hideMark/>
          </w:tcPr>
          <w:p w14:paraId="4246F051"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 Other Removal</w:t>
            </w:r>
          </w:p>
        </w:tc>
        <w:tc>
          <w:tcPr>
            <w:tcW w:w="0" w:type="auto"/>
            <w:shd w:val="clear" w:color="auto" w:fill="0070C0"/>
            <w:hideMark/>
          </w:tcPr>
          <w:p w14:paraId="367E1F7B"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Priority Type Updates</w:t>
            </w:r>
          </w:p>
        </w:tc>
        <w:tc>
          <w:tcPr>
            <w:tcW w:w="0" w:type="auto"/>
            <w:shd w:val="clear" w:color="auto" w:fill="0070C0"/>
            <w:hideMark/>
          </w:tcPr>
          <w:p w14:paraId="1F8A732C"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Active at run date of report</w:t>
            </w:r>
          </w:p>
        </w:tc>
      </w:tr>
      <w:tr w:rsidR="00AE2E8B" w:rsidRPr="00AE2E8B" w14:paraId="7B437C7F" w14:textId="77777777" w:rsidTr="00774D6A">
        <w:trPr>
          <w:cantSplit/>
          <w:tblHeader/>
        </w:trPr>
        <w:tc>
          <w:tcPr>
            <w:tcW w:w="0" w:type="auto"/>
            <w:shd w:val="clear" w:color="auto" w:fill="0070C0"/>
            <w:hideMark/>
          </w:tcPr>
          <w:p w14:paraId="1A33989F"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 xml:space="preserve">Leave of absence Returnee - PSEA 41(1)(a) </w:t>
            </w:r>
          </w:p>
        </w:tc>
        <w:tc>
          <w:tcPr>
            <w:tcW w:w="0" w:type="auto"/>
            <w:hideMark/>
          </w:tcPr>
          <w:p w14:paraId="4872D351"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10</w:t>
            </w:r>
          </w:p>
        </w:tc>
        <w:tc>
          <w:tcPr>
            <w:tcW w:w="0" w:type="auto"/>
            <w:hideMark/>
          </w:tcPr>
          <w:p w14:paraId="7821B62B"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2</w:t>
            </w:r>
          </w:p>
        </w:tc>
        <w:tc>
          <w:tcPr>
            <w:tcW w:w="0" w:type="auto"/>
            <w:hideMark/>
          </w:tcPr>
          <w:p w14:paraId="40569777"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12</w:t>
            </w:r>
          </w:p>
        </w:tc>
        <w:tc>
          <w:tcPr>
            <w:tcW w:w="0" w:type="auto"/>
            <w:hideMark/>
          </w:tcPr>
          <w:p w14:paraId="54FD9635"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1F785143"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65D2414B"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4E1FBECD"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32E78F2C"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786C5682"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6F3FBD06"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13</w:t>
            </w:r>
          </w:p>
        </w:tc>
      </w:tr>
      <w:tr w:rsidR="00AE2E8B" w:rsidRPr="00AE2E8B" w14:paraId="74C67671" w14:textId="77777777" w:rsidTr="00774D6A">
        <w:trPr>
          <w:cantSplit/>
          <w:tblHeader/>
        </w:trPr>
        <w:tc>
          <w:tcPr>
            <w:tcW w:w="0" w:type="auto"/>
            <w:shd w:val="clear" w:color="auto" w:fill="0070C0"/>
            <w:hideMark/>
          </w:tcPr>
          <w:p w14:paraId="670C14F0"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 xml:space="preserve">Reinstatement - PSER 10 </w:t>
            </w:r>
          </w:p>
        </w:tc>
        <w:tc>
          <w:tcPr>
            <w:tcW w:w="0" w:type="auto"/>
            <w:hideMark/>
          </w:tcPr>
          <w:p w14:paraId="558C1E51"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7B73EF2D"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w:t>
            </w:r>
          </w:p>
        </w:tc>
        <w:tc>
          <w:tcPr>
            <w:tcW w:w="0" w:type="auto"/>
            <w:hideMark/>
          </w:tcPr>
          <w:p w14:paraId="29AB84D0"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w:t>
            </w:r>
          </w:p>
        </w:tc>
        <w:tc>
          <w:tcPr>
            <w:tcW w:w="0" w:type="auto"/>
            <w:hideMark/>
          </w:tcPr>
          <w:p w14:paraId="3412F5F5"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56727C0A"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010D62C7"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79932948"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1DA3A9D1"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2AB68348"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36D71828"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w:t>
            </w:r>
          </w:p>
        </w:tc>
      </w:tr>
      <w:tr w:rsidR="00AE2E8B" w:rsidRPr="00AE2E8B" w14:paraId="2761DE47" w14:textId="77777777" w:rsidTr="00774D6A">
        <w:trPr>
          <w:cantSplit/>
          <w:tblHeader/>
        </w:trPr>
        <w:tc>
          <w:tcPr>
            <w:tcW w:w="0" w:type="auto"/>
            <w:shd w:val="clear" w:color="auto" w:fill="0070C0"/>
            <w:hideMark/>
          </w:tcPr>
          <w:p w14:paraId="7CBACAED" w14:textId="77777777" w:rsidR="00AE2E8B" w:rsidRPr="00AE2E8B" w:rsidRDefault="00AE2E8B" w:rsidP="00595D60">
            <w:pPr>
              <w:pStyle w:val="TableTitle"/>
              <w:rPr>
                <w:rFonts w:cs="Segoe UI Semibold"/>
                <w:color w:val="FFFFFF" w:themeColor="background1"/>
                <w:sz w:val="22"/>
                <w:szCs w:val="22"/>
                <w:lang w:val="en-CA"/>
              </w:rPr>
            </w:pPr>
            <w:r w:rsidRPr="00AE2E8B">
              <w:rPr>
                <w:rFonts w:cs="Segoe UI Semibold"/>
                <w:color w:val="FFFFFF" w:themeColor="background1"/>
                <w:sz w:val="22"/>
                <w:szCs w:val="22"/>
                <w:lang w:val="en-CA"/>
              </w:rPr>
              <w:t xml:space="preserve">Relocation of Spouse - PSER 9 </w:t>
            </w:r>
          </w:p>
        </w:tc>
        <w:tc>
          <w:tcPr>
            <w:tcW w:w="0" w:type="auto"/>
            <w:hideMark/>
          </w:tcPr>
          <w:p w14:paraId="2507EC4C"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2</w:t>
            </w:r>
          </w:p>
        </w:tc>
        <w:tc>
          <w:tcPr>
            <w:tcW w:w="0" w:type="auto"/>
            <w:hideMark/>
          </w:tcPr>
          <w:p w14:paraId="3C00DF60"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w:t>
            </w:r>
          </w:p>
        </w:tc>
        <w:tc>
          <w:tcPr>
            <w:tcW w:w="0" w:type="auto"/>
            <w:hideMark/>
          </w:tcPr>
          <w:p w14:paraId="08862F75"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3</w:t>
            </w:r>
          </w:p>
        </w:tc>
        <w:tc>
          <w:tcPr>
            <w:tcW w:w="0" w:type="auto"/>
            <w:hideMark/>
          </w:tcPr>
          <w:p w14:paraId="1ED75D38"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471FEC49"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2EB8762D"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759A6506"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3F229EBA"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0</w:t>
            </w:r>
          </w:p>
        </w:tc>
        <w:tc>
          <w:tcPr>
            <w:tcW w:w="0" w:type="auto"/>
            <w:hideMark/>
          </w:tcPr>
          <w:p w14:paraId="2E300FAD"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1</w:t>
            </w:r>
          </w:p>
        </w:tc>
        <w:tc>
          <w:tcPr>
            <w:tcW w:w="0" w:type="auto"/>
            <w:hideMark/>
          </w:tcPr>
          <w:p w14:paraId="04D62BFB" w14:textId="77777777" w:rsidR="00AE2E8B" w:rsidRPr="00AE2E8B" w:rsidRDefault="00AE2E8B" w:rsidP="00595D60">
            <w:pPr>
              <w:pStyle w:val="TableTitle"/>
              <w:jc w:val="center"/>
              <w:rPr>
                <w:rFonts w:asciiTheme="minorHAnsi" w:hAnsiTheme="minorHAnsi" w:cstheme="minorHAnsi"/>
                <w:color w:val="auto"/>
                <w:sz w:val="22"/>
                <w:szCs w:val="22"/>
                <w:lang w:val="en-CA"/>
              </w:rPr>
            </w:pPr>
            <w:r w:rsidRPr="00AE2E8B">
              <w:rPr>
                <w:rFonts w:asciiTheme="minorHAnsi" w:hAnsiTheme="minorHAnsi" w:cstheme="minorHAnsi"/>
                <w:color w:val="auto"/>
                <w:sz w:val="22"/>
                <w:szCs w:val="22"/>
                <w:lang w:val="en-CA"/>
              </w:rPr>
              <w:t>2</w:t>
            </w:r>
          </w:p>
        </w:tc>
      </w:tr>
      <w:tr w:rsidR="00774D6A" w:rsidRPr="00774D6A" w14:paraId="5EDFEDD0" w14:textId="77777777" w:rsidTr="00774D6A">
        <w:trPr>
          <w:cantSplit/>
          <w:tblHeader/>
        </w:trPr>
        <w:tc>
          <w:tcPr>
            <w:tcW w:w="0" w:type="auto"/>
            <w:shd w:val="clear" w:color="auto" w:fill="BAF8FF" w:themeFill="accent3" w:themeFillTint="33"/>
            <w:hideMark/>
          </w:tcPr>
          <w:p w14:paraId="70991611" w14:textId="77777777" w:rsidR="00AE2E8B" w:rsidRPr="00774D6A" w:rsidRDefault="00AE2E8B" w:rsidP="00595D60">
            <w:pPr>
              <w:pStyle w:val="TableTitle"/>
              <w:rPr>
                <w:rFonts w:cs="Segoe UI Semibold"/>
                <w:color w:val="auto"/>
                <w:sz w:val="22"/>
                <w:szCs w:val="22"/>
                <w:lang w:val="en-CA"/>
              </w:rPr>
            </w:pPr>
            <w:r w:rsidRPr="00774D6A">
              <w:rPr>
                <w:rFonts w:cs="Segoe UI Semibold"/>
                <w:color w:val="auto"/>
                <w:sz w:val="22"/>
                <w:szCs w:val="22"/>
                <w:lang w:val="en-CA"/>
              </w:rPr>
              <w:t xml:space="preserve">Total </w:t>
            </w:r>
          </w:p>
        </w:tc>
        <w:tc>
          <w:tcPr>
            <w:tcW w:w="0" w:type="auto"/>
            <w:shd w:val="clear" w:color="auto" w:fill="BAF8FF" w:themeFill="accent3" w:themeFillTint="33"/>
            <w:hideMark/>
          </w:tcPr>
          <w:p w14:paraId="3BF086EF"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12</w:t>
            </w:r>
          </w:p>
        </w:tc>
        <w:tc>
          <w:tcPr>
            <w:tcW w:w="0" w:type="auto"/>
            <w:shd w:val="clear" w:color="auto" w:fill="BAF8FF" w:themeFill="accent3" w:themeFillTint="33"/>
            <w:hideMark/>
          </w:tcPr>
          <w:p w14:paraId="157542F0"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4</w:t>
            </w:r>
          </w:p>
        </w:tc>
        <w:tc>
          <w:tcPr>
            <w:tcW w:w="0" w:type="auto"/>
            <w:shd w:val="clear" w:color="auto" w:fill="BAF8FF" w:themeFill="accent3" w:themeFillTint="33"/>
            <w:hideMark/>
          </w:tcPr>
          <w:p w14:paraId="4E95A8EF"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16</w:t>
            </w:r>
          </w:p>
        </w:tc>
        <w:tc>
          <w:tcPr>
            <w:tcW w:w="0" w:type="auto"/>
            <w:shd w:val="clear" w:color="auto" w:fill="BAF8FF" w:themeFill="accent3" w:themeFillTint="33"/>
            <w:hideMark/>
          </w:tcPr>
          <w:p w14:paraId="5E7EB80E"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0</w:t>
            </w:r>
          </w:p>
        </w:tc>
        <w:tc>
          <w:tcPr>
            <w:tcW w:w="0" w:type="auto"/>
            <w:shd w:val="clear" w:color="auto" w:fill="BAF8FF" w:themeFill="accent3" w:themeFillTint="33"/>
            <w:hideMark/>
          </w:tcPr>
          <w:p w14:paraId="3E67EC1E"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0</w:t>
            </w:r>
          </w:p>
        </w:tc>
        <w:tc>
          <w:tcPr>
            <w:tcW w:w="0" w:type="auto"/>
            <w:shd w:val="clear" w:color="auto" w:fill="BAF8FF" w:themeFill="accent3" w:themeFillTint="33"/>
            <w:hideMark/>
          </w:tcPr>
          <w:p w14:paraId="33DA1E7B"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0</w:t>
            </w:r>
          </w:p>
        </w:tc>
        <w:tc>
          <w:tcPr>
            <w:tcW w:w="0" w:type="auto"/>
            <w:shd w:val="clear" w:color="auto" w:fill="BAF8FF" w:themeFill="accent3" w:themeFillTint="33"/>
            <w:hideMark/>
          </w:tcPr>
          <w:p w14:paraId="51D01785"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0</w:t>
            </w:r>
          </w:p>
        </w:tc>
        <w:tc>
          <w:tcPr>
            <w:tcW w:w="0" w:type="auto"/>
            <w:shd w:val="clear" w:color="auto" w:fill="BAF8FF" w:themeFill="accent3" w:themeFillTint="33"/>
            <w:hideMark/>
          </w:tcPr>
          <w:p w14:paraId="3723240E"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0</w:t>
            </w:r>
          </w:p>
        </w:tc>
        <w:tc>
          <w:tcPr>
            <w:tcW w:w="0" w:type="auto"/>
            <w:shd w:val="clear" w:color="auto" w:fill="BAF8FF" w:themeFill="accent3" w:themeFillTint="33"/>
            <w:hideMark/>
          </w:tcPr>
          <w:p w14:paraId="5A2B05A6"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1</w:t>
            </w:r>
          </w:p>
        </w:tc>
        <w:tc>
          <w:tcPr>
            <w:tcW w:w="0" w:type="auto"/>
            <w:shd w:val="clear" w:color="auto" w:fill="BAF8FF" w:themeFill="accent3" w:themeFillTint="33"/>
            <w:hideMark/>
          </w:tcPr>
          <w:p w14:paraId="3F84A5F8" w14:textId="77777777" w:rsidR="00AE2E8B" w:rsidRPr="00774D6A" w:rsidRDefault="00AE2E8B" w:rsidP="00595D60">
            <w:pPr>
              <w:pStyle w:val="TableTitle"/>
              <w:jc w:val="center"/>
              <w:rPr>
                <w:rFonts w:asciiTheme="minorHAnsi" w:hAnsiTheme="minorHAnsi" w:cstheme="minorHAnsi"/>
                <w:color w:val="auto"/>
                <w:sz w:val="22"/>
                <w:szCs w:val="22"/>
                <w:lang w:val="en-CA"/>
              </w:rPr>
            </w:pPr>
            <w:r w:rsidRPr="00774D6A">
              <w:rPr>
                <w:rFonts w:asciiTheme="minorHAnsi" w:hAnsiTheme="minorHAnsi" w:cstheme="minorHAnsi"/>
                <w:color w:val="auto"/>
                <w:sz w:val="22"/>
                <w:szCs w:val="22"/>
                <w:lang w:val="en-CA"/>
              </w:rPr>
              <w:t>16</w:t>
            </w:r>
          </w:p>
        </w:tc>
      </w:tr>
    </w:tbl>
    <w:p w14:paraId="4FB332C8" w14:textId="77777777" w:rsidR="00AE2E8B" w:rsidRPr="006E2679" w:rsidRDefault="00AE2E8B" w:rsidP="00AE2E8B">
      <w:pPr>
        <w:spacing w:after="120"/>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Note: This table represents a snapshot in time. Any discrepancies between the individual values and the totals results from the system data not being updated in real time.</w:t>
      </w:r>
    </w:p>
    <w:p w14:paraId="589622D1" w14:textId="453570FB" w:rsidR="001E202E" w:rsidRPr="00774D6A" w:rsidRDefault="00AE2E8B" w:rsidP="00AE2E8B">
      <w:pPr>
        <w:spacing w:after="120"/>
        <w:rPr>
          <w:rStyle w:val="lev"/>
          <w:rFonts w:asciiTheme="minorHAnsi" w:hAnsiTheme="minorHAnsi" w:cstheme="minorHAnsi"/>
          <w:b w:val="0"/>
        </w:rPr>
      </w:pPr>
      <w:r w:rsidRPr="00774D6A">
        <w:rPr>
          <w:rStyle w:val="lev"/>
          <w:rFonts w:asciiTheme="minorHAnsi" w:eastAsiaTheme="minorHAnsi" w:hAnsiTheme="minorHAnsi" w:cstheme="minorHAnsi"/>
          <w:b w:val="0"/>
          <w:sz w:val="22"/>
        </w:rPr>
        <w:t>*Appointments made of organization’s own priority population either within or to other organizations.</w:t>
      </w:r>
    </w:p>
    <w:p w14:paraId="0EFF9EEA" w14:textId="77777777" w:rsidR="007D1C24" w:rsidRPr="00774D6A" w:rsidRDefault="007D1C24" w:rsidP="00B936CD">
      <w:pPr>
        <w:pStyle w:val="Titre1"/>
        <w:spacing w:after="120"/>
        <w:rPr>
          <w:lang w:val="en-CA"/>
        </w:rPr>
        <w:sectPr w:rsidR="007D1C24" w:rsidRPr="00774D6A" w:rsidSect="007D1C24">
          <w:pgSz w:w="15840" w:h="12240" w:orient="landscape"/>
          <w:pgMar w:top="1304" w:right="709" w:bottom="1304" w:left="1361" w:header="708" w:footer="708" w:gutter="0"/>
          <w:cols w:space="708"/>
          <w:docGrid w:linePitch="360"/>
        </w:sectPr>
      </w:pPr>
    </w:p>
    <w:p w14:paraId="12C29D25" w14:textId="67D26F2A" w:rsidR="001E202E" w:rsidRPr="006E2679" w:rsidRDefault="001E202E" w:rsidP="00B936CD">
      <w:pPr>
        <w:pStyle w:val="Titre1"/>
        <w:spacing w:after="120"/>
        <w:rPr>
          <w:lang w:val="en-CA"/>
        </w:rPr>
      </w:pPr>
      <w:r w:rsidRPr="006E2679">
        <w:rPr>
          <w:lang w:val="en-CA"/>
        </w:rPr>
        <w:lastRenderedPageBreak/>
        <w:t>Non-Par</w:t>
      </w:r>
      <w:r w:rsidR="00B936CD" w:rsidRPr="006E2679">
        <w:rPr>
          <w:lang w:val="en-CA"/>
        </w:rPr>
        <w:t>tisanship in the Public Service</w:t>
      </w:r>
    </w:p>
    <w:p w14:paraId="345E55A7" w14:textId="505BF87A" w:rsidR="001E202E" w:rsidRPr="006E2679" w:rsidRDefault="001E202E" w:rsidP="00B936CD">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 xml:space="preserve">The PHAC employees are not active in regards to interactions with the PSC about political activities, compared to employees of other organizations. Only one PHAC employee requested permission, in 2018-2019, for a municipal election (not elected). Also, the on-line Self-Assessment Questionnaire was used about 20 times per year by employees of the PHAC, slightly less than the average </w:t>
      </w:r>
      <w:r w:rsidR="00B936CD" w:rsidRPr="006E2679">
        <w:rPr>
          <w:rFonts w:asciiTheme="minorHAnsi" w:hAnsiTheme="minorHAnsi" w:cstheme="minorHAnsi"/>
          <w:color w:val="000000"/>
          <w:sz w:val="22"/>
          <w:szCs w:val="22"/>
          <w:lang w:val="en-CA"/>
        </w:rPr>
        <w:t>31 times for all organizations.</w:t>
      </w:r>
    </w:p>
    <w:p w14:paraId="437BDAD7" w14:textId="1D1A8D48" w:rsidR="001E202E" w:rsidRPr="006E2679" w:rsidRDefault="001E202E" w:rsidP="00B936CD">
      <w:pPr>
        <w:spacing w:after="120"/>
        <w:rPr>
          <w:rFonts w:asciiTheme="minorHAnsi" w:hAnsiTheme="minorHAnsi" w:cstheme="minorHAnsi"/>
          <w:color w:val="000000"/>
          <w:sz w:val="22"/>
          <w:szCs w:val="22"/>
          <w:lang w:val="en-CA"/>
        </w:rPr>
      </w:pPr>
      <w:r w:rsidRPr="006E2679">
        <w:rPr>
          <w:rFonts w:asciiTheme="minorHAnsi" w:hAnsiTheme="minorHAnsi" w:cstheme="minorHAnsi"/>
          <w:color w:val="000000"/>
          <w:sz w:val="22"/>
          <w:szCs w:val="22"/>
          <w:lang w:val="en-CA"/>
        </w:rPr>
        <w:t>The results of the SNPS demonstrate that the PHAC employees have similar awareness and understanding of political activities and non-partisanship (89%) compared to the pub</w:t>
      </w:r>
      <w:r w:rsidR="00B936CD" w:rsidRPr="006E2679">
        <w:rPr>
          <w:rFonts w:asciiTheme="minorHAnsi" w:hAnsiTheme="minorHAnsi" w:cstheme="minorHAnsi"/>
          <w:color w:val="000000"/>
          <w:sz w:val="22"/>
          <w:szCs w:val="22"/>
          <w:lang w:val="en-CA"/>
        </w:rPr>
        <w:t>lic service as a whole (88.9%).</w:t>
      </w:r>
    </w:p>
    <w:p w14:paraId="01874645" w14:textId="77777777" w:rsidR="001E202E" w:rsidRPr="006E2679" w:rsidRDefault="001E202E" w:rsidP="00B936CD">
      <w:pPr>
        <w:pStyle w:val="Titre1"/>
        <w:spacing w:after="120"/>
        <w:rPr>
          <w:lang w:val="en-CA"/>
        </w:rPr>
      </w:pPr>
      <w:r w:rsidRPr="006E2679">
        <w:rPr>
          <w:lang w:val="en-CA"/>
        </w:rPr>
        <w:t>PSC Initiatives</w:t>
      </w:r>
    </w:p>
    <w:p w14:paraId="11335E6D" w14:textId="3918D2E5" w:rsidR="00B936CD" w:rsidRPr="001A2460" w:rsidRDefault="001E202E" w:rsidP="001A2460">
      <w:pPr>
        <w:rPr>
          <w:rFonts w:asciiTheme="minorHAnsi" w:hAnsiTheme="minorHAnsi" w:cstheme="minorHAnsi"/>
          <w:sz w:val="22"/>
        </w:rPr>
      </w:pPr>
      <w:r w:rsidRPr="001A2460">
        <w:rPr>
          <w:rFonts w:asciiTheme="minorHAnsi" w:hAnsiTheme="minorHAnsi" w:cstheme="minorHAnsi"/>
          <w:sz w:val="22"/>
        </w:rPr>
        <w:t xml:space="preserve">The organization participated </w:t>
      </w:r>
      <w:r w:rsidR="007F6BDF">
        <w:rPr>
          <w:rFonts w:asciiTheme="minorHAnsi" w:hAnsiTheme="minorHAnsi" w:cstheme="minorHAnsi"/>
          <w:sz w:val="22"/>
        </w:rPr>
        <w:t xml:space="preserve">in </w:t>
      </w:r>
      <w:r w:rsidRPr="001A2460">
        <w:rPr>
          <w:rFonts w:asciiTheme="minorHAnsi" w:hAnsiTheme="minorHAnsi" w:cstheme="minorHAnsi"/>
          <w:sz w:val="22"/>
        </w:rPr>
        <w:t>the Position-Specific Assessment for Oral Proficiency at the B Level.</w:t>
      </w:r>
    </w:p>
    <w:p w14:paraId="499A6114" w14:textId="7ABA3E35" w:rsidR="001E202E" w:rsidRPr="006E2679" w:rsidRDefault="001E202E" w:rsidP="00B936CD">
      <w:pPr>
        <w:pStyle w:val="Titre1"/>
        <w:spacing w:after="120"/>
        <w:rPr>
          <w:lang w:val="en-CA"/>
        </w:rPr>
      </w:pPr>
      <w:r w:rsidRPr="006E2679">
        <w:rPr>
          <w:lang w:val="en-CA"/>
        </w:rPr>
        <w:t>Staffing Support</w:t>
      </w:r>
    </w:p>
    <w:p w14:paraId="6A6EF76A" w14:textId="1572F486" w:rsidR="001E202E" w:rsidRPr="006E2679" w:rsidRDefault="001E202E" w:rsidP="00F91BF2">
      <w:pPr>
        <w:pStyle w:val="Titre2"/>
        <w:spacing w:after="120"/>
        <w:rPr>
          <w:u w:val="single"/>
          <w:lang w:val="en-CA"/>
        </w:rPr>
      </w:pPr>
      <w:r w:rsidRPr="006E2679">
        <w:rPr>
          <w:lang w:val="en-CA"/>
        </w:rPr>
        <w:t>Public Servi</w:t>
      </w:r>
      <w:r w:rsidR="005B28AA">
        <w:rPr>
          <w:lang w:val="en-CA"/>
        </w:rPr>
        <w:t>ce</w:t>
      </w:r>
      <w:r w:rsidRPr="006E2679">
        <w:rPr>
          <w:lang w:val="en-CA"/>
        </w:rPr>
        <w:t xml:space="preserve"> Commission Representatives and Organizational Contacts </w:t>
      </w:r>
    </w:p>
    <w:p w14:paraId="1959ECFE" w14:textId="581C46FC" w:rsidR="0002465C" w:rsidRPr="006E2679" w:rsidRDefault="001E202E" w:rsidP="00F91BF2">
      <w:pPr>
        <w:rPr>
          <w:rFonts w:asciiTheme="minorHAnsi" w:hAnsiTheme="minorHAnsi" w:cstheme="minorHAnsi"/>
          <w:b/>
          <w:bCs/>
          <w:sz w:val="22"/>
          <w:szCs w:val="22"/>
          <w:lang w:val="en-CA"/>
        </w:rPr>
      </w:pPr>
      <w:r w:rsidRPr="006E2679">
        <w:rPr>
          <w:rFonts w:asciiTheme="minorHAnsi" w:hAnsiTheme="minorHAnsi" w:cstheme="minorHAnsi"/>
          <w:sz w:val="22"/>
          <w:szCs w:val="22"/>
          <w:lang w:val="en-CA" w:eastAsia="en-CA"/>
        </w:rPr>
        <w:t>The SSA assigned to this organization is Yannick Fortin.  The Head of Human Resources is Daryl Gauthier, Director General, Human Resources Services Directorate and the primary organizational contact is Tammy Kardoes, Director, Staffing and Classification Policy Center.</w:t>
      </w:r>
      <w:r w:rsidR="0002465C" w:rsidRPr="006E2679">
        <w:rPr>
          <w:rFonts w:asciiTheme="minorHAnsi" w:hAnsiTheme="minorHAnsi" w:cstheme="minorHAnsi"/>
          <w:b/>
          <w:bCs/>
          <w:sz w:val="22"/>
          <w:szCs w:val="22"/>
          <w:lang w:val="en-CA"/>
        </w:rPr>
        <w:br w:type="page"/>
      </w:r>
    </w:p>
    <w:p w14:paraId="2AF0800A" w14:textId="78E8E303" w:rsidR="001E202E" w:rsidRPr="006E2679" w:rsidRDefault="001E202E" w:rsidP="00DB2212">
      <w:pPr>
        <w:rPr>
          <w:rStyle w:val="lev"/>
          <w:rFonts w:asciiTheme="minorHAnsi" w:hAnsiTheme="minorHAnsi" w:cstheme="minorHAnsi"/>
          <w:sz w:val="22"/>
          <w:lang w:val="en-CA"/>
        </w:rPr>
      </w:pPr>
      <w:r w:rsidRPr="006E2679">
        <w:rPr>
          <w:rStyle w:val="lev"/>
          <w:rFonts w:asciiTheme="minorHAnsi" w:hAnsiTheme="minorHAnsi" w:cstheme="minorHAnsi"/>
          <w:sz w:val="22"/>
          <w:lang w:val="en-CA"/>
        </w:rPr>
        <w:lastRenderedPageBreak/>
        <w:t>PREPARED BY:</w:t>
      </w:r>
    </w:p>
    <w:p w14:paraId="53E30D28" w14:textId="77777777" w:rsidR="001E202E" w:rsidRPr="006E2679" w:rsidRDefault="001E202E" w:rsidP="00E74F9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rPr>
          <w:rFonts w:asciiTheme="minorHAnsi" w:hAnsiTheme="minorHAnsi" w:cstheme="minorHAnsi"/>
          <w:sz w:val="22"/>
          <w:szCs w:val="22"/>
          <w:lang w:val="en-CA"/>
        </w:rPr>
      </w:pPr>
      <w:r w:rsidRPr="006E2679">
        <w:rPr>
          <w:rFonts w:asciiTheme="minorHAnsi" w:hAnsiTheme="minorHAnsi" w:cstheme="minorHAnsi"/>
          <w:sz w:val="22"/>
          <w:szCs w:val="22"/>
          <w:lang w:val="en-CA"/>
        </w:rPr>
        <w:t>Yannick Fortin</w:t>
      </w:r>
    </w:p>
    <w:p w14:paraId="487C93B1" w14:textId="77777777" w:rsidR="001E202E" w:rsidRPr="006E2679" w:rsidRDefault="001E202E" w:rsidP="001E202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6E2679">
        <w:rPr>
          <w:rFonts w:asciiTheme="minorHAnsi" w:hAnsiTheme="minorHAnsi" w:cstheme="minorHAnsi"/>
          <w:sz w:val="22"/>
          <w:szCs w:val="22"/>
          <w:lang w:val="en-CA"/>
        </w:rPr>
        <w:t>Staffing Support Advisor</w:t>
      </w:r>
    </w:p>
    <w:p w14:paraId="1453EDCD" w14:textId="1DC256B4" w:rsidR="001E202E" w:rsidRPr="006E2679" w:rsidRDefault="001E202E" w:rsidP="00276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0"/>
        <w:rPr>
          <w:rFonts w:asciiTheme="minorHAnsi" w:hAnsiTheme="minorHAnsi" w:cstheme="minorHAnsi"/>
          <w:sz w:val="22"/>
          <w:szCs w:val="22"/>
          <w:lang w:val="en-CA"/>
        </w:rPr>
      </w:pPr>
      <w:r w:rsidRPr="006E2679">
        <w:rPr>
          <w:rFonts w:asciiTheme="minorHAnsi" w:hAnsiTheme="minorHAnsi" w:cstheme="minorHAnsi"/>
          <w:sz w:val="22"/>
          <w:szCs w:val="22"/>
          <w:lang w:val="en-CA"/>
        </w:rPr>
        <w:t>Annexes:</w:t>
      </w:r>
    </w:p>
    <w:p w14:paraId="22C428D2" w14:textId="77777777" w:rsidR="003F427C" w:rsidRPr="00CF48F6" w:rsidRDefault="003F427C" w:rsidP="003F427C">
      <w:pPr>
        <w:numPr>
          <w:ilvl w:val="0"/>
          <w:numId w:val="3"/>
        </w:numPr>
        <w:rPr>
          <w:rStyle w:val="Lienhypertexte"/>
          <w:rFonts w:asciiTheme="minorHAnsi" w:hAnsiTheme="minorHAnsi" w:cstheme="minorHAnsi"/>
          <w:bCs/>
          <w:sz w:val="22"/>
          <w:szCs w:val="22"/>
          <w:lang w:val="en-CA"/>
        </w:rPr>
      </w:pPr>
      <w:r>
        <w:rPr>
          <w:rStyle w:val="Lienhypertexte"/>
          <w:rFonts w:asciiTheme="minorHAnsi" w:hAnsiTheme="minorHAnsi" w:cstheme="minorHAnsi"/>
          <w:sz w:val="22"/>
          <w:szCs w:val="22"/>
          <w:lang w:val="en-CA"/>
        </w:rPr>
        <w:fldChar w:fldCharType="begin"/>
      </w:r>
      <w:r>
        <w:rPr>
          <w:rStyle w:val="Lienhypertexte"/>
          <w:rFonts w:asciiTheme="minorHAnsi" w:hAnsiTheme="minorHAnsi" w:cstheme="minorHAnsi"/>
          <w:sz w:val="22"/>
          <w:szCs w:val="22"/>
          <w:lang w:val="en-CA"/>
        </w:rPr>
        <w:instrText xml:space="preserve"> HYPERLINK  \l "AnnexA" </w:instrText>
      </w:r>
      <w:r>
        <w:rPr>
          <w:rStyle w:val="Lienhypertexte"/>
          <w:rFonts w:asciiTheme="minorHAnsi" w:hAnsiTheme="minorHAnsi" w:cstheme="minorHAnsi"/>
          <w:sz w:val="22"/>
          <w:szCs w:val="22"/>
          <w:lang w:val="en-CA"/>
        </w:rPr>
        <w:fldChar w:fldCharType="separate"/>
      </w:r>
      <w:r w:rsidRPr="00CF48F6">
        <w:rPr>
          <w:rStyle w:val="Lienhypertexte"/>
          <w:rFonts w:asciiTheme="minorHAnsi" w:hAnsiTheme="minorHAnsi" w:cstheme="minorHAnsi"/>
          <w:sz w:val="22"/>
          <w:szCs w:val="22"/>
          <w:lang w:val="en-CA"/>
        </w:rPr>
        <w:t xml:space="preserve">Annex A – </w:t>
      </w:r>
      <w:r>
        <w:rPr>
          <w:rStyle w:val="Lienhypertexte"/>
          <w:rFonts w:asciiTheme="minorHAnsi" w:hAnsiTheme="minorHAnsi" w:cstheme="minorHAnsi"/>
          <w:sz w:val="22"/>
          <w:szCs w:val="22"/>
          <w:lang w:val="en-CA"/>
        </w:rPr>
        <w:t>T</w:t>
      </w:r>
      <w:r w:rsidRPr="005C03BA">
        <w:rPr>
          <w:rStyle w:val="Lienhypertexte"/>
          <w:rFonts w:asciiTheme="minorHAnsi" w:hAnsiTheme="minorHAnsi" w:cstheme="minorHAnsi"/>
          <w:sz w:val="22"/>
          <w:szCs w:val="22"/>
          <w:lang w:val="en-CA"/>
        </w:rPr>
        <w:t>he New Direction in Staffing (NDS) highlights for DHs</w:t>
      </w:r>
      <w:r w:rsidRPr="00CF48F6">
        <w:rPr>
          <w:rStyle w:val="Lienhypertexte"/>
          <w:rFonts w:asciiTheme="minorHAnsi" w:hAnsiTheme="minorHAnsi" w:cstheme="minorHAnsi"/>
          <w:sz w:val="22"/>
          <w:szCs w:val="22"/>
          <w:lang w:val="en-CA"/>
        </w:rPr>
        <w:t xml:space="preserve"> </w:t>
      </w:r>
    </w:p>
    <w:p w14:paraId="5A5ECD04" w14:textId="77777777" w:rsidR="003F427C" w:rsidRPr="00CF48F6" w:rsidRDefault="003F427C" w:rsidP="003F427C">
      <w:pPr>
        <w:numPr>
          <w:ilvl w:val="0"/>
          <w:numId w:val="3"/>
        </w:numPr>
        <w:rPr>
          <w:rFonts w:asciiTheme="minorHAnsi" w:hAnsiTheme="minorHAnsi" w:cstheme="minorHAnsi"/>
          <w:bCs/>
          <w:strike/>
          <w:sz w:val="22"/>
          <w:szCs w:val="22"/>
          <w:lang w:val="en-CA"/>
        </w:rPr>
      </w:pPr>
      <w:r>
        <w:rPr>
          <w:rStyle w:val="Lienhypertexte"/>
          <w:rFonts w:asciiTheme="minorHAnsi" w:hAnsiTheme="minorHAnsi" w:cstheme="minorHAnsi"/>
          <w:sz w:val="22"/>
          <w:szCs w:val="22"/>
          <w:lang w:val="en-CA"/>
        </w:rPr>
        <w:fldChar w:fldCharType="end"/>
      </w:r>
      <w:hyperlink w:anchor="AnnexB" w:history="1">
        <w:r w:rsidRPr="00CF48F6">
          <w:rPr>
            <w:rStyle w:val="Lienhypertexte"/>
            <w:rFonts w:asciiTheme="minorHAnsi" w:hAnsiTheme="minorHAnsi" w:cstheme="minorHAnsi"/>
            <w:sz w:val="22"/>
            <w:szCs w:val="22"/>
            <w:lang w:val="en-CA"/>
          </w:rPr>
          <w:t>Annex B - Data on Population and Staffing Activities</w:t>
        </w:r>
      </w:hyperlink>
    </w:p>
    <w:p w14:paraId="136EB8D0" w14:textId="5C68279A" w:rsidR="001E202E" w:rsidRPr="006E2679" w:rsidRDefault="001E202E" w:rsidP="00113A60">
      <w:pPr>
        <w:pStyle w:val="Titre3"/>
        <w:jc w:val="right"/>
        <w:rPr>
          <w:rFonts w:ascii="Arial" w:hAnsi="Arial" w:cs="Arial"/>
          <w:bCs/>
          <w:sz w:val="22"/>
          <w:szCs w:val="22"/>
          <w:lang w:val="en-CA"/>
        </w:rPr>
      </w:pPr>
      <w:r w:rsidRPr="006E2679">
        <w:rPr>
          <w:rFonts w:ascii="Arial" w:hAnsi="Arial" w:cs="Arial"/>
          <w:lang w:val="en-CA"/>
        </w:rPr>
        <w:br w:type="page"/>
      </w:r>
    </w:p>
    <w:p w14:paraId="03597A32" w14:textId="67B22537" w:rsidR="001E202E" w:rsidRPr="006E2679" w:rsidRDefault="00113A60" w:rsidP="000F2515">
      <w:pPr>
        <w:pStyle w:val="Titre3"/>
        <w:jc w:val="right"/>
        <w:rPr>
          <w:lang w:val="en-CA"/>
        </w:rPr>
      </w:pPr>
      <w:bookmarkStart w:id="1" w:name="AnnexA"/>
      <w:r>
        <w:rPr>
          <w:lang w:val="en-CA"/>
        </w:rPr>
        <w:lastRenderedPageBreak/>
        <w:t>Annex A</w:t>
      </w:r>
    </w:p>
    <w:bookmarkEnd w:id="1"/>
    <w:p w14:paraId="46D90906" w14:textId="77777777" w:rsidR="00B002E0" w:rsidRPr="006E2679" w:rsidRDefault="00B002E0" w:rsidP="00B002E0">
      <w:pPr>
        <w:pStyle w:val="Titre2"/>
        <w:jc w:val="center"/>
        <w:rPr>
          <w:lang w:val="en-CA"/>
        </w:rPr>
      </w:pPr>
      <w:r w:rsidRPr="006E2679">
        <w:rPr>
          <w:lang w:val="en-CA"/>
        </w:rPr>
        <w:t>A New direction in Staffing – A merit-based system that is effective, efficient and fair</w:t>
      </w:r>
    </w:p>
    <w:p w14:paraId="0F3C1728" w14:textId="77777777" w:rsidR="00B002E0" w:rsidRPr="006E2679" w:rsidRDefault="00B002E0" w:rsidP="00B002E0">
      <w:pPr>
        <w:pStyle w:val="Titre3"/>
        <w:spacing w:after="120"/>
        <w:rPr>
          <w:lang w:val="en-CA"/>
        </w:rPr>
      </w:pPr>
      <w:r w:rsidRPr="006E2679">
        <w:rPr>
          <w:lang w:val="en-CA"/>
        </w:rPr>
        <w:t>Appointment Policy</w:t>
      </w:r>
    </w:p>
    <w:p w14:paraId="0F510332" w14:textId="77777777" w:rsidR="00B002E0" w:rsidRPr="006E2679" w:rsidRDefault="00B002E0" w:rsidP="00B002E0">
      <w:pPr>
        <w:keepLines/>
        <w:tabs>
          <w:tab w:val="center" w:pos="4680"/>
          <w:tab w:val="right" w:pos="9360"/>
        </w:tabs>
        <w:rPr>
          <w:rFonts w:asciiTheme="minorHAnsi" w:eastAsiaTheme="minorHAnsi" w:hAnsiTheme="minorHAnsi" w:cstheme="minorHAnsi"/>
          <w:noProof/>
          <w:sz w:val="22"/>
          <w:szCs w:val="22"/>
          <w:lang w:val="en-CA" w:eastAsia="en-CA"/>
        </w:rPr>
      </w:pPr>
      <w:r w:rsidRPr="006E2679">
        <w:rPr>
          <w:rStyle w:val="lev"/>
          <w:rFonts w:asciiTheme="minorHAnsi" w:eastAsiaTheme="minorHAnsi" w:hAnsiTheme="minorHAnsi" w:cstheme="minorHAnsi"/>
          <w:sz w:val="22"/>
          <w:szCs w:val="22"/>
          <w:lang w:val="en-CA"/>
        </w:rPr>
        <w:t>New focus on core requirements</w:t>
      </w:r>
      <w:r w:rsidRPr="006E2679">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31F44857" w14:textId="77777777" w:rsidR="00B002E0" w:rsidRPr="006E2679" w:rsidRDefault="00B002E0" w:rsidP="00B002E0">
      <w:pPr>
        <w:keepLines/>
        <w:numPr>
          <w:ilvl w:val="0"/>
          <w:numId w:val="26"/>
        </w:numPr>
        <w:tabs>
          <w:tab w:val="center" w:pos="4680"/>
          <w:tab w:val="right" w:pos="9360"/>
        </w:tabs>
        <w:rPr>
          <w:rFonts w:asciiTheme="minorHAnsi" w:eastAsiaTheme="minorHAnsi" w:hAnsiTheme="minorHAnsi" w:cstheme="minorHAnsi"/>
          <w:sz w:val="22"/>
          <w:szCs w:val="22"/>
          <w:lang w:val="en-CA"/>
        </w:rPr>
      </w:pPr>
      <w:r w:rsidRPr="006E2679">
        <w:rPr>
          <w:rStyle w:val="lev"/>
          <w:rFonts w:asciiTheme="minorHAnsi" w:eastAsiaTheme="minorHAnsi" w:hAnsiTheme="minorHAnsi" w:cstheme="minorHAnsi"/>
          <w:sz w:val="22"/>
          <w:szCs w:val="22"/>
          <w:lang w:val="en-CA"/>
        </w:rPr>
        <w:t>One Appointment Policy</w:t>
      </w:r>
      <w:r w:rsidRPr="006E2679">
        <w:rPr>
          <w:rFonts w:asciiTheme="minorHAnsi" w:eastAsiaTheme="minorHAnsi" w:hAnsiTheme="minorHAnsi" w:cstheme="minorHAnsi"/>
          <w:sz w:val="22"/>
          <w:szCs w:val="22"/>
          <w:lang w:val="en-CA"/>
        </w:rPr>
        <w:t>, no duplication with legal requirements</w:t>
      </w:r>
    </w:p>
    <w:p w14:paraId="03880DC5" w14:textId="77777777" w:rsidR="00B002E0" w:rsidRPr="006E2679" w:rsidRDefault="00B002E0" w:rsidP="00B002E0">
      <w:pPr>
        <w:keepLines/>
        <w:numPr>
          <w:ilvl w:val="0"/>
          <w:numId w:val="26"/>
        </w:numPr>
        <w:tabs>
          <w:tab w:val="center" w:pos="4680"/>
          <w:tab w:val="right" w:pos="9360"/>
        </w:tabs>
        <w:rPr>
          <w:rFonts w:asciiTheme="minorHAnsi" w:eastAsiaTheme="minorHAnsi" w:hAnsiTheme="minorHAnsi" w:cstheme="minorHAnsi"/>
          <w:sz w:val="22"/>
          <w:szCs w:val="22"/>
          <w:lang w:val="en-CA"/>
        </w:rPr>
      </w:pPr>
      <w:r w:rsidRPr="006E2679">
        <w:rPr>
          <w:rStyle w:val="lev"/>
          <w:rFonts w:asciiTheme="minorHAnsi" w:eastAsiaTheme="minorHAnsi" w:hAnsiTheme="minorHAnsi" w:cstheme="minorHAnsi"/>
          <w:sz w:val="22"/>
          <w:szCs w:val="22"/>
          <w:lang w:val="en-CA"/>
        </w:rPr>
        <w:t>Broader focus on values-based system</w:t>
      </w:r>
      <w:r w:rsidRPr="006E2679">
        <w:rPr>
          <w:rFonts w:asciiTheme="minorHAnsi" w:eastAsiaTheme="minorHAnsi" w:hAnsiTheme="minorHAnsi" w:cstheme="minorBidi"/>
          <w:bCs/>
          <w:sz w:val="22"/>
          <w:szCs w:val="22"/>
          <w:lang w:val="en-CA"/>
        </w:rPr>
        <w:t>,</w:t>
      </w:r>
      <w:r w:rsidRPr="006E2679">
        <w:rPr>
          <w:rFonts w:asciiTheme="minorHAnsi" w:eastAsiaTheme="minorHAnsi" w:hAnsiTheme="minorHAnsi" w:cstheme="minorHAnsi"/>
          <w:sz w:val="22"/>
          <w:szCs w:val="22"/>
          <w:lang w:val="en-CA"/>
        </w:rPr>
        <w:t xml:space="preserve"> away from rules-based system</w:t>
      </w:r>
    </w:p>
    <w:p w14:paraId="15850214" w14:textId="77777777" w:rsidR="00B002E0" w:rsidRPr="006E2679" w:rsidRDefault="00B002E0" w:rsidP="00B002E0">
      <w:pPr>
        <w:keepLines/>
        <w:numPr>
          <w:ilvl w:val="0"/>
          <w:numId w:val="26"/>
        </w:numPr>
        <w:tabs>
          <w:tab w:val="center" w:pos="4680"/>
          <w:tab w:val="right" w:pos="9360"/>
        </w:tabs>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 xml:space="preserve">Appointments Policy supported by </w:t>
      </w:r>
      <w:r w:rsidRPr="006E2679">
        <w:rPr>
          <w:rStyle w:val="lev"/>
          <w:rFonts w:asciiTheme="minorHAnsi" w:eastAsiaTheme="minorHAnsi" w:hAnsiTheme="minorHAnsi" w:cstheme="minorHAnsi"/>
          <w:sz w:val="22"/>
          <w:szCs w:val="22"/>
          <w:lang w:val="en-CA"/>
        </w:rPr>
        <w:t>streamlined guidance:</w:t>
      </w:r>
    </w:p>
    <w:p w14:paraId="2AAD85FE" w14:textId="77777777" w:rsidR="00B002E0" w:rsidRPr="006E2679" w:rsidRDefault="00B002E0" w:rsidP="00B002E0">
      <w:pPr>
        <w:keepLines/>
        <w:numPr>
          <w:ilvl w:val="1"/>
          <w:numId w:val="33"/>
        </w:numPr>
        <w:tabs>
          <w:tab w:val="center" w:pos="4680"/>
          <w:tab w:val="right" w:pos="9360"/>
        </w:tabs>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A roadmap to the requirements in legislation, regulations and policy</w:t>
      </w:r>
    </w:p>
    <w:p w14:paraId="5DFA3B1C" w14:textId="77777777" w:rsidR="00B002E0" w:rsidRPr="006E2679" w:rsidRDefault="00B002E0" w:rsidP="00B002E0">
      <w:pPr>
        <w:keepLines/>
        <w:numPr>
          <w:ilvl w:val="1"/>
          <w:numId w:val="33"/>
        </w:numPr>
        <w:tabs>
          <w:tab w:val="center" w:pos="4680"/>
          <w:tab w:val="right" w:pos="9360"/>
        </w:tabs>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Options and considerations for decision-making where there is discretion</w:t>
      </w:r>
    </w:p>
    <w:p w14:paraId="63BA9935" w14:textId="77777777" w:rsidR="00B002E0" w:rsidRPr="006E2679" w:rsidRDefault="00B002E0" w:rsidP="00B002E0">
      <w:pPr>
        <w:keepLines/>
        <w:numPr>
          <w:ilvl w:val="0"/>
          <w:numId w:val="27"/>
        </w:numPr>
        <w:tabs>
          <w:tab w:val="center" w:pos="4680"/>
          <w:tab w:val="right" w:pos="9360"/>
        </w:tabs>
        <w:rPr>
          <w:rFonts w:asciiTheme="minorHAnsi" w:eastAsiaTheme="minorHAnsi" w:hAnsiTheme="minorHAnsi" w:cstheme="minorHAnsi"/>
          <w:sz w:val="22"/>
          <w:szCs w:val="22"/>
          <w:lang w:val="en-CA"/>
        </w:rPr>
      </w:pPr>
      <w:r w:rsidRPr="006E2679">
        <w:rPr>
          <w:rStyle w:val="lev"/>
          <w:rFonts w:asciiTheme="minorHAnsi" w:eastAsiaTheme="minorHAnsi" w:hAnsiTheme="minorHAnsi" w:cstheme="minorHAnsi"/>
          <w:sz w:val="22"/>
          <w:szCs w:val="22"/>
          <w:lang w:val="en-CA"/>
        </w:rPr>
        <w:t>Clear expectations</w:t>
      </w:r>
      <w:r w:rsidRPr="006E2679">
        <w:rPr>
          <w:rFonts w:asciiTheme="minorHAnsi" w:eastAsiaTheme="minorHAnsi" w:hAnsiTheme="minorHAnsi" w:cstheme="minorHAnsi"/>
          <w:sz w:val="22"/>
          <w:szCs w:val="22"/>
          <w:lang w:val="en-CA"/>
        </w:rPr>
        <w:t xml:space="preserve"> for priority entitlements</w:t>
      </w:r>
    </w:p>
    <w:p w14:paraId="08945FA6" w14:textId="77777777" w:rsidR="00B002E0" w:rsidRPr="006E2679" w:rsidRDefault="00B002E0" w:rsidP="00B002E0">
      <w:pPr>
        <w:keepLines/>
        <w:numPr>
          <w:ilvl w:val="0"/>
          <w:numId w:val="27"/>
        </w:numPr>
        <w:tabs>
          <w:tab w:val="center" w:pos="4680"/>
          <w:tab w:val="right" w:pos="9360"/>
        </w:tabs>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No restrictions to assessment methods for EX appointments</w:t>
      </w:r>
    </w:p>
    <w:p w14:paraId="3F260B2B" w14:textId="77777777" w:rsidR="00B002E0" w:rsidRPr="006E2679" w:rsidRDefault="00B002E0" w:rsidP="00B002E0">
      <w:pPr>
        <w:keepLines/>
        <w:numPr>
          <w:ilvl w:val="0"/>
          <w:numId w:val="27"/>
        </w:numPr>
        <w:tabs>
          <w:tab w:val="center" w:pos="4680"/>
          <w:tab w:val="right" w:pos="9360"/>
        </w:tabs>
        <w:spacing w:after="240"/>
        <w:ind w:left="714" w:hanging="357"/>
        <w:rPr>
          <w:rFonts w:asciiTheme="minorHAnsi" w:eastAsiaTheme="minorHAnsi" w:hAnsiTheme="minorHAnsi" w:cstheme="minorHAnsi"/>
          <w:sz w:val="22"/>
          <w:szCs w:val="22"/>
          <w:lang w:val="en-CA"/>
        </w:rPr>
      </w:pPr>
      <w:r w:rsidRPr="006E2679">
        <w:rPr>
          <w:rFonts w:asciiTheme="minorHAnsi" w:eastAsiaTheme="minorHAnsi" w:hAnsiTheme="minorHAnsi" w:cstheme="minorHAnsi"/>
          <w:sz w:val="22"/>
          <w:szCs w:val="22"/>
          <w:lang w:val="en-CA"/>
        </w:rPr>
        <w:t>Exceptions to National Area of Selection approved by deputy head</w:t>
      </w:r>
    </w:p>
    <w:p w14:paraId="31873C60" w14:textId="77777777" w:rsidR="00B002E0" w:rsidRPr="006E2679" w:rsidRDefault="00B002E0" w:rsidP="00B002E0">
      <w:pPr>
        <w:pStyle w:val="Titre3"/>
        <w:spacing w:after="120"/>
        <w:rPr>
          <w:lang w:val="en-CA"/>
        </w:rPr>
      </w:pPr>
      <w:r w:rsidRPr="006E2679">
        <w:rPr>
          <w:lang w:val="en-CA"/>
        </w:rPr>
        <w:t>Delegation</w:t>
      </w:r>
    </w:p>
    <w:p w14:paraId="2C23FADB" w14:textId="77777777" w:rsidR="00B002E0" w:rsidRPr="006E2679" w:rsidRDefault="00B002E0" w:rsidP="00B002E0">
      <w:pPr>
        <w:keepLines/>
        <w:numPr>
          <w:ilvl w:val="0"/>
          <w:numId w:val="29"/>
        </w:numPr>
        <w:spacing w:after="320" w:line="259" w:lineRule="auto"/>
        <w:contextualSpacing/>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New ability to customize organizational staffing system</w:t>
      </w:r>
      <w:r w:rsidRPr="006E2679">
        <w:rPr>
          <w:rFonts w:asciiTheme="minorHAnsi" w:eastAsiaTheme="minorHAnsi" w:hAnsiTheme="minorHAnsi" w:cstheme="minorBidi"/>
          <w:sz w:val="22"/>
          <w:szCs w:val="22"/>
          <w:lang w:val="en-CA"/>
        </w:rPr>
        <w:t xml:space="preserve"> based on unique context and evolving business needs</w:t>
      </w:r>
    </w:p>
    <w:p w14:paraId="7B5B5E13" w14:textId="77777777" w:rsidR="00B002E0" w:rsidRPr="006E2679" w:rsidRDefault="00B002E0" w:rsidP="00B002E0">
      <w:pPr>
        <w:keepLines/>
        <w:numPr>
          <w:ilvl w:val="0"/>
          <w:numId w:val="28"/>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 xml:space="preserve">Deputy head establish a direction on the </w:t>
      </w:r>
      <w:r w:rsidRPr="006E2679">
        <w:rPr>
          <w:rStyle w:val="lev"/>
          <w:rFonts w:asciiTheme="minorHAnsi" w:eastAsiaTheme="minorHAnsi" w:hAnsiTheme="minorHAnsi" w:cstheme="minorHAnsi"/>
          <w:sz w:val="22"/>
          <w:lang w:val="en-CA"/>
        </w:rPr>
        <w:t>use of advertised and non-advertised</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appointment processes</w:t>
      </w:r>
    </w:p>
    <w:p w14:paraId="7B34F9C8" w14:textId="77777777" w:rsidR="00B002E0" w:rsidRPr="006E2679" w:rsidRDefault="00B002E0" w:rsidP="00B002E0">
      <w:pPr>
        <w:keepLines/>
        <w:numPr>
          <w:ilvl w:val="0"/>
          <w:numId w:val="28"/>
        </w:numPr>
        <w:spacing w:after="320" w:line="259" w:lineRule="auto"/>
        <w:contextualSpacing/>
        <w:rPr>
          <w:rStyle w:val="lev"/>
          <w:rFonts w:asciiTheme="minorHAnsi" w:eastAsiaTheme="minorHAnsi" w:hAnsiTheme="minorHAnsi" w:cstheme="minorHAnsi"/>
          <w:sz w:val="22"/>
          <w:lang w:val="en-CA"/>
        </w:rPr>
      </w:pPr>
      <w:r w:rsidRPr="006E2679">
        <w:rPr>
          <w:rFonts w:asciiTheme="minorHAnsi" w:eastAsiaTheme="minorHAnsi" w:hAnsiTheme="minorHAnsi" w:cstheme="minorBidi"/>
          <w:sz w:val="22"/>
          <w:szCs w:val="22"/>
          <w:lang w:val="en-CA"/>
        </w:rPr>
        <w:t xml:space="preserve">Deputy heads to establish requirement(s) for sub-delegated persons to </w:t>
      </w:r>
      <w:r w:rsidRPr="006E2679">
        <w:rPr>
          <w:rStyle w:val="lev"/>
          <w:rFonts w:asciiTheme="minorHAnsi" w:eastAsiaTheme="minorHAnsi" w:hAnsiTheme="minorHAnsi" w:cstheme="minorHAnsi"/>
          <w:sz w:val="22"/>
          <w:lang w:val="en-CA"/>
        </w:rPr>
        <w:t>articulate, in writing, their selection decision</w:t>
      </w:r>
    </w:p>
    <w:p w14:paraId="3A5F69AA" w14:textId="77777777" w:rsidR="00B002E0" w:rsidRPr="006E2679" w:rsidRDefault="00B002E0" w:rsidP="00B002E0">
      <w:pPr>
        <w:keepLines/>
        <w:numPr>
          <w:ilvl w:val="0"/>
          <w:numId w:val="28"/>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Clarity on requirements related to investigations</w:t>
      </w:r>
    </w:p>
    <w:p w14:paraId="796569E8" w14:textId="77777777" w:rsidR="00B002E0" w:rsidRPr="006E2679" w:rsidRDefault="00B002E0" w:rsidP="00B002E0">
      <w:pPr>
        <w:keepLines/>
        <w:numPr>
          <w:ilvl w:val="0"/>
          <w:numId w:val="28"/>
        </w:numPr>
        <w:spacing w:after="320" w:line="259" w:lineRule="auto"/>
        <w:contextualSpacing/>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Attestation form</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to reinforce the accountabilities of sub-delegated persons</w:t>
      </w:r>
    </w:p>
    <w:p w14:paraId="429CF09A" w14:textId="77777777" w:rsidR="00B002E0" w:rsidRPr="006E2679" w:rsidRDefault="00B002E0" w:rsidP="00B002E0">
      <w:pPr>
        <w:keepLines/>
        <w:spacing w:after="360" w:line="259" w:lineRule="auto"/>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19C71F96" w14:textId="77777777" w:rsidR="00B002E0" w:rsidRPr="006E2679" w:rsidRDefault="00B002E0" w:rsidP="00B002E0">
      <w:pPr>
        <w:pStyle w:val="Titre3"/>
        <w:spacing w:after="120"/>
        <w:rPr>
          <w:lang w:val="en-CA"/>
        </w:rPr>
      </w:pPr>
      <w:r w:rsidRPr="006E2679">
        <w:rPr>
          <w:lang w:val="en-CA"/>
        </w:rPr>
        <w:t>Monitoring and Reporting</w:t>
      </w:r>
    </w:p>
    <w:p w14:paraId="07137697" w14:textId="77777777" w:rsidR="00B002E0" w:rsidRPr="006E2679" w:rsidRDefault="00B002E0" w:rsidP="00B002E0">
      <w:pPr>
        <w:keepLines/>
        <w:spacing w:after="120" w:line="259" w:lineRule="auto"/>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szCs w:val="22"/>
          <w:lang w:val="en-CA"/>
        </w:rPr>
        <w:t>Monitoring built by organizations</w:t>
      </w:r>
      <w:r w:rsidRPr="006E2679">
        <w:rPr>
          <w:rFonts w:asciiTheme="minorHAnsi" w:eastAsiaTheme="minorHAnsi" w:hAnsiTheme="minorHAnsi" w:cstheme="minorBidi"/>
          <w:sz w:val="22"/>
          <w:szCs w:val="22"/>
          <w:lang w:val="en-CA"/>
        </w:rPr>
        <w:t>, targeted to their needs</w:t>
      </w:r>
    </w:p>
    <w:p w14:paraId="10B94212" w14:textId="77777777" w:rsidR="00B002E0" w:rsidRPr="006E2679" w:rsidRDefault="00B002E0" w:rsidP="00B002E0">
      <w:pPr>
        <w:keepLines/>
        <w:numPr>
          <w:ilvl w:val="0"/>
          <w:numId w:val="30"/>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Annual Departmental Staffing Accountability Report no longer required</w:t>
      </w:r>
    </w:p>
    <w:p w14:paraId="2E285D65" w14:textId="77777777" w:rsidR="00B002E0" w:rsidRPr="006E2679" w:rsidRDefault="00B002E0" w:rsidP="00B002E0">
      <w:pPr>
        <w:keepLines/>
        <w:numPr>
          <w:ilvl w:val="0"/>
          <w:numId w:val="30"/>
        </w:numPr>
        <w:spacing w:after="320" w:line="259" w:lineRule="auto"/>
        <w:contextualSpacing/>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szCs w:val="22"/>
          <w:lang w:val="en-CA"/>
        </w:rPr>
        <w:t>Annual reporting to the PSC limited</w:t>
      </w:r>
      <w:r w:rsidRPr="006E2679">
        <w:rPr>
          <w:rFonts w:asciiTheme="minorHAnsi" w:eastAsiaTheme="minorHAnsi" w:hAnsiTheme="minorHAnsi" w:cstheme="minorBidi"/>
          <w:sz w:val="22"/>
          <w:szCs w:val="22"/>
          <w:lang w:val="en-CA"/>
        </w:rPr>
        <w:t xml:space="preserve"> to:</w:t>
      </w:r>
    </w:p>
    <w:p w14:paraId="5D93AFA6" w14:textId="77777777" w:rsidR="00B002E0" w:rsidRPr="006E2679" w:rsidRDefault="00B002E0" w:rsidP="00B002E0">
      <w:pPr>
        <w:keepLines/>
        <w:numPr>
          <w:ilvl w:val="1"/>
          <w:numId w:val="30"/>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Use of Public Service Official Language Exclusion Approval Order</w:t>
      </w:r>
    </w:p>
    <w:p w14:paraId="05C669D8" w14:textId="77777777" w:rsidR="00B002E0" w:rsidRPr="006E2679" w:rsidRDefault="00B002E0" w:rsidP="00B002E0">
      <w:pPr>
        <w:keepLines/>
        <w:numPr>
          <w:ilvl w:val="1"/>
          <w:numId w:val="30"/>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Exceptions to the National Area of Selection approved by the deputy head</w:t>
      </w:r>
    </w:p>
    <w:p w14:paraId="27D74495" w14:textId="77777777" w:rsidR="00B002E0" w:rsidRPr="006E2679" w:rsidRDefault="00B002E0" w:rsidP="00B002E0">
      <w:pPr>
        <w:keepLines/>
        <w:numPr>
          <w:ilvl w:val="1"/>
          <w:numId w:val="30"/>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Results of any internal investigations</w:t>
      </w:r>
    </w:p>
    <w:p w14:paraId="086EDC0D" w14:textId="77777777" w:rsidR="00B002E0" w:rsidRPr="006E2679" w:rsidRDefault="00B002E0" w:rsidP="00B002E0">
      <w:pPr>
        <w:keepLines/>
        <w:numPr>
          <w:ilvl w:val="1"/>
          <w:numId w:val="30"/>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Actions taken following any PSC investigations or audits.</w:t>
      </w:r>
    </w:p>
    <w:p w14:paraId="1FFCA2FC" w14:textId="77777777" w:rsidR="00B002E0" w:rsidRPr="006E2679" w:rsidRDefault="00B002E0" w:rsidP="00B002E0">
      <w:pPr>
        <w:keepLines/>
        <w:numPr>
          <w:ilvl w:val="0"/>
          <w:numId w:val="31"/>
        </w:numPr>
        <w:spacing w:after="320" w:line="259" w:lineRule="auto"/>
        <w:contextualSpacing/>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 xml:space="preserve">Deputy head responsible for </w:t>
      </w:r>
      <w:r w:rsidRPr="006E2679">
        <w:rPr>
          <w:rStyle w:val="lev"/>
          <w:rFonts w:asciiTheme="minorHAnsi" w:eastAsiaTheme="minorHAnsi" w:hAnsiTheme="minorHAnsi" w:cstheme="minorHAnsi"/>
          <w:sz w:val="22"/>
          <w:szCs w:val="22"/>
          <w:lang w:val="en-CA"/>
        </w:rPr>
        <w:t>ongoing monitoring of organizational staffing system</w:t>
      </w:r>
      <w:r w:rsidRPr="006E2679">
        <w:rPr>
          <w:rFonts w:asciiTheme="minorHAnsi" w:eastAsiaTheme="minorHAnsi" w:hAnsiTheme="minorHAnsi" w:cstheme="minorBidi"/>
          <w:sz w:val="22"/>
          <w:szCs w:val="22"/>
          <w:lang w:val="en-CA"/>
        </w:rPr>
        <w:t xml:space="preserve"> based on the organization’s unique context</w:t>
      </w:r>
    </w:p>
    <w:p w14:paraId="3A05633B" w14:textId="77777777" w:rsidR="00B002E0" w:rsidRPr="006E2679" w:rsidRDefault="00B002E0" w:rsidP="00B002E0">
      <w:pPr>
        <w:keepLines/>
        <w:numPr>
          <w:ilvl w:val="1"/>
          <w:numId w:val="31"/>
        </w:numPr>
        <w:spacing w:after="320" w:line="259" w:lineRule="auto"/>
        <w:contextualSpacing/>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szCs w:val="22"/>
          <w:lang w:val="en-CA"/>
        </w:rPr>
        <w:t>Assessment of adherence to requirements</w:t>
      </w:r>
      <w:r w:rsidRPr="006E2679">
        <w:rPr>
          <w:rFonts w:asciiTheme="minorHAnsi" w:eastAsiaTheme="minorHAnsi" w:hAnsiTheme="minorHAnsi" w:cstheme="minorBidi"/>
          <w:sz w:val="22"/>
          <w:szCs w:val="22"/>
          <w:lang w:val="en-CA"/>
        </w:rPr>
        <w:t>, based on organization’s own risks, at the minimum every five years</w:t>
      </w:r>
    </w:p>
    <w:p w14:paraId="7BBCA56C" w14:textId="77777777" w:rsidR="00B002E0" w:rsidRPr="006E2679" w:rsidRDefault="00B002E0" w:rsidP="00B002E0">
      <w:pPr>
        <w:pStyle w:val="Titre3"/>
        <w:spacing w:after="120"/>
        <w:rPr>
          <w:lang w:val="en-CA"/>
        </w:rPr>
      </w:pPr>
      <w:r w:rsidRPr="006E2679">
        <w:rPr>
          <w:lang w:val="en-CA"/>
        </w:rPr>
        <w:lastRenderedPageBreak/>
        <w:t>PSC Oversight</w:t>
      </w:r>
    </w:p>
    <w:p w14:paraId="0F231C05" w14:textId="77777777" w:rsidR="00B002E0" w:rsidRPr="006E2679" w:rsidRDefault="00B002E0" w:rsidP="00B002E0">
      <w:pPr>
        <w:keepLines/>
        <w:spacing w:after="120" w:line="259" w:lineRule="auto"/>
        <w:rPr>
          <w:rFonts w:asciiTheme="minorHAnsi" w:eastAsiaTheme="minorHAnsi" w:hAnsiTheme="minorHAnsi" w:cstheme="minorBidi"/>
          <w:sz w:val="22"/>
          <w:szCs w:val="22"/>
          <w:lang w:val="en-CA"/>
        </w:rPr>
      </w:pPr>
      <w:r w:rsidRPr="006E2679">
        <w:rPr>
          <w:rFonts w:asciiTheme="minorHAnsi" w:eastAsiaTheme="minorHAnsi" w:hAnsiTheme="minorHAnsi" w:cstheme="minorBidi"/>
          <w:sz w:val="22"/>
          <w:szCs w:val="22"/>
          <w:lang w:val="en-CA"/>
        </w:rPr>
        <w:t>System wide-focus</w:t>
      </w:r>
    </w:p>
    <w:p w14:paraId="50F6A1FD" w14:textId="77777777" w:rsidR="00B002E0" w:rsidRPr="006E2679" w:rsidRDefault="00B002E0" w:rsidP="00B002E0">
      <w:pPr>
        <w:keepLines/>
        <w:numPr>
          <w:ilvl w:val="0"/>
          <w:numId w:val="32"/>
        </w:numPr>
        <w:spacing w:line="259" w:lineRule="auto"/>
        <w:rPr>
          <w:rStyle w:val="lev"/>
          <w:rFonts w:asciiTheme="minorHAnsi" w:eastAsiaTheme="minorHAnsi" w:hAnsiTheme="minorHAnsi" w:cstheme="minorHAnsi"/>
          <w:lang w:val="en-CA"/>
        </w:rPr>
      </w:pPr>
      <w:r w:rsidRPr="006E2679">
        <w:rPr>
          <w:rStyle w:val="lev"/>
          <w:rFonts w:asciiTheme="minorHAnsi" w:eastAsiaTheme="minorHAnsi" w:hAnsiTheme="minorHAnsi" w:cstheme="minorHAnsi"/>
          <w:sz w:val="22"/>
          <w:lang w:val="en-CA"/>
        </w:rPr>
        <w:t>Government-wide compliance audit every two years</w:t>
      </w:r>
    </w:p>
    <w:p w14:paraId="20B14D44" w14:textId="77777777" w:rsidR="00B002E0" w:rsidRPr="006E2679" w:rsidRDefault="00B002E0" w:rsidP="00B002E0">
      <w:pPr>
        <w:keepLines/>
        <w:numPr>
          <w:ilvl w:val="0"/>
          <w:numId w:val="32"/>
        </w:numPr>
        <w:spacing w:line="259" w:lineRule="auto"/>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Renewed Survey of Staffing</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administered in alternating years with government-wide audit</w:t>
      </w:r>
    </w:p>
    <w:p w14:paraId="4CEDE1D3" w14:textId="77777777" w:rsidR="00B002E0" w:rsidRPr="006E2679" w:rsidRDefault="00B002E0" w:rsidP="00B002E0">
      <w:pPr>
        <w:keepLines/>
        <w:numPr>
          <w:ilvl w:val="0"/>
          <w:numId w:val="32"/>
        </w:numPr>
        <w:spacing w:line="259" w:lineRule="auto"/>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System-wide effectiveness and efficiency reviews</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to support continuous improvement</w:t>
      </w:r>
    </w:p>
    <w:p w14:paraId="5CFD375D" w14:textId="77777777" w:rsidR="00B002E0" w:rsidRPr="006E2679" w:rsidRDefault="00B002E0" w:rsidP="00B002E0">
      <w:pPr>
        <w:keepLines/>
        <w:numPr>
          <w:ilvl w:val="0"/>
          <w:numId w:val="32"/>
        </w:numPr>
        <w:spacing w:line="259" w:lineRule="auto"/>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Targeted PSC audits</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as a result of identified system-wide or organizational risks or at the deputy head request</w:t>
      </w:r>
    </w:p>
    <w:p w14:paraId="7941D135" w14:textId="77777777" w:rsidR="00B002E0" w:rsidRPr="006E2679" w:rsidRDefault="00B002E0" w:rsidP="00B002E0">
      <w:pPr>
        <w:keepLines/>
        <w:numPr>
          <w:ilvl w:val="0"/>
          <w:numId w:val="32"/>
        </w:numPr>
        <w:spacing w:after="320" w:line="259" w:lineRule="auto"/>
        <w:rPr>
          <w:rFonts w:asciiTheme="minorHAnsi" w:eastAsiaTheme="minorHAnsi" w:hAnsiTheme="minorHAnsi" w:cstheme="minorBidi"/>
          <w:sz w:val="22"/>
          <w:szCs w:val="22"/>
          <w:lang w:val="en-CA"/>
        </w:rPr>
      </w:pPr>
      <w:r w:rsidRPr="006E2679">
        <w:rPr>
          <w:rStyle w:val="lev"/>
          <w:rFonts w:asciiTheme="minorHAnsi" w:eastAsiaTheme="minorHAnsi" w:hAnsiTheme="minorHAnsi" w:cstheme="minorHAnsi"/>
          <w:sz w:val="22"/>
          <w:lang w:val="en-CA"/>
        </w:rPr>
        <w:t>Investigations conducted</w:t>
      </w:r>
      <w:r w:rsidRPr="006E2679">
        <w:rPr>
          <w:rFonts w:asciiTheme="minorHAnsi" w:eastAsiaTheme="minorHAnsi" w:hAnsiTheme="minorHAnsi" w:cstheme="minorBidi"/>
          <w:sz w:val="20"/>
          <w:szCs w:val="22"/>
          <w:lang w:val="en-CA"/>
        </w:rPr>
        <w:t xml:space="preserve"> </w:t>
      </w:r>
      <w:r w:rsidRPr="006E2679">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0E2DDFA4" w14:textId="6D03EA11" w:rsidR="001E202E" w:rsidRPr="00F40DF2" w:rsidRDefault="00B002E0" w:rsidP="00F40DF2">
      <w:pPr>
        <w:pStyle w:val="Pieddepage"/>
        <w:ind w:left="720"/>
        <w:rPr>
          <w:rStyle w:val="lev"/>
          <w:b w:val="0"/>
          <w:color w:val="0070C0"/>
          <w:lang w:val="en-CA"/>
        </w:rPr>
      </w:pPr>
      <w:r w:rsidRPr="00F40DF2">
        <w:rPr>
          <w:rStyle w:val="lev"/>
          <w:rFonts w:asciiTheme="minorHAnsi" w:eastAsiaTheme="minorHAnsi" w:hAnsiTheme="minorHAnsi" w:cstheme="minorHAnsi"/>
          <w:b w:val="0"/>
          <w:sz w:val="22"/>
          <w:lang w:val="en-CA"/>
        </w:rPr>
        <w:t>This document should be read in conjunction with the Public Service Employment Act, the Public Service Employment Regulations, the PSC Appointment Policy and the PSC Appointment Delegation and Accountability Instrument.</w:t>
      </w:r>
    </w:p>
    <w:p w14:paraId="10E951A0" w14:textId="77777777" w:rsidR="001E202E" w:rsidRPr="006E2679" w:rsidRDefault="001E202E" w:rsidP="001E202E">
      <w:pPr>
        <w:pStyle w:val="Paragraphedeliste"/>
        <w:rPr>
          <w:rStyle w:val="lev"/>
          <w:color w:val="0070C0"/>
          <w:lang w:val="en-CA"/>
        </w:rPr>
        <w:sectPr w:rsidR="001E202E" w:rsidRPr="006E2679" w:rsidSect="000264B9">
          <w:pgSz w:w="12240" w:h="15840"/>
          <w:pgMar w:top="709" w:right="1304" w:bottom="1361" w:left="1304" w:header="708" w:footer="708" w:gutter="0"/>
          <w:cols w:space="708"/>
          <w:docGrid w:linePitch="360"/>
        </w:sectPr>
      </w:pPr>
    </w:p>
    <w:p w14:paraId="44B4831B" w14:textId="2C42CCD9" w:rsidR="001B2CDD" w:rsidRPr="006E2679" w:rsidRDefault="00113A60" w:rsidP="001B2CDD">
      <w:pPr>
        <w:pStyle w:val="Titre3"/>
        <w:jc w:val="right"/>
        <w:rPr>
          <w:rFonts w:asciiTheme="minorHAnsi" w:hAnsiTheme="minorHAnsi" w:cstheme="minorHAnsi"/>
          <w:b/>
          <w:lang w:val="en-CA"/>
        </w:rPr>
      </w:pPr>
      <w:bookmarkStart w:id="2" w:name="AnnexB"/>
      <w:r>
        <w:rPr>
          <w:rFonts w:asciiTheme="minorHAnsi" w:hAnsiTheme="minorHAnsi" w:cstheme="minorHAnsi"/>
          <w:b/>
          <w:lang w:val="en-CA"/>
        </w:rPr>
        <w:lastRenderedPageBreak/>
        <w:t>Annex B</w:t>
      </w:r>
    </w:p>
    <w:bookmarkEnd w:id="2"/>
    <w:p w14:paraId="075AF990" w14:textId="77777777" w:rsidR="003F427C" w:rsidRPr="003F427C" w:rsidRDefault="003F427C" w:rsidP="003F427C">
      <w:pPr>
        <w:pStyle w:val="Titre1"/>
        <w:spacing w:before="120" w:after="120"/>
        <w:rPr>
          <w:sz w:val="40"/>
          <w:lang w:val="en-CA"/>
        </w:rPr>
      </w:pPr>
      <w:r w:rsidRPr="003F427C">
        <w:rPr>
          <w:rFonts w:eastAsia="Times New Roman"/>
          <w:sz w:val="40"/>
          <w:lang w:val="en-CA"/>
        </w:rPr>
        <w:t>Population by tenure as of March 31</w:t>
      </w:r>
    </w:p>
    <w:p w14:paraId="73E830B0" w14:textId="77777777" w:rsidR="00433173" w:rsidRDefault="009F1BE8" w:rsidP="00433173">
      <w:pPr>
        <w:keepNext/>
        <w:jc w:val="center"/>
      </w:pPr>
      <w:r w:rsidRPr="006E2679">
        <w:rPr>
          <w:rStyle w:val="lev"/>
          <w:noProof/>
          <w:lang w:val="en-CA" w:eastAsia="en-CA"/>
        </w:rPr>
        <w:drawing>
          <wp:inline distT="0" distB="0" distL="0" distR="0" wp14:anchorId="324ECB0A" wp14:editId="0CB8C39F">
            <wp:extent cx="5648400" cy="3049200"/>
            <wp:effectExtent l="0" t="0" r="9525" b="18415"/>
            <wp:docPr id="13" name="Chart 13" descr="Figure 1 - 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A2E1A0" w14:textId="01A30564" w:rsidR="001E4BD0" w:rsidRDefault="00433173" w:rsidP="00433173">
      <w:pPr>
        <w:pStyle w:val="Lgende"/>
        <w:jc w:val="center"/>
      </w:pPr>
      <w:r>
        <w:t xml:space="preserve">Figure </w:t>
      </w:r>
      <w:r>
        <w:fldChar w:fldCharType="begin"/>
      </w:r>
      <w:r>
        <w:instrText xml:space="preserve"> SEQ Figure \* ARABIC </w:instrText>
      </w:r>
      <w:r>
        <w:fldChar w:fldCharType="separate"/>
      </w:r>
      <w:r w:rsidR="00F23097">
        <w:rPr>
          <w:noProof/>
        </w:rPr>
        <w:t>1</w:t>
      </w:r>
      <w:r>
        <w:fldChar w:fldCharType="end"/>
      </w:r>
      <w:r>
        <w:t xml:space="preserve"> - </w:t>
      </w:r>
      <w:r w:rsidRPr="001A06BA">
        <w:t>Population by tenure as of March 31</w:t>
      </w:r>
    </w:p>
    <w:p w14:paraId="211C5A0D" w14:textId="308EF12F" w:rsidR="00433173" w:rsidRDefault="00433173" w:rsidP="00433173">
      <w:pPr>
        <w:pStyle w:val="Lgende"/>
        <w:keepNext/>
        <w:spacing w:before="240"/>
        <w:jc w:val="center"/>
      </w:pPr>
      <w:r>
        <w:t xml:space="preserve">Table </w:t>
      </w:r>
      <w:r>
        <w:fldChar w:fldCharType="begin"/>
      </w:r>
      <w:r>
        <w:instrText xml:space="preserve"> SEQ Table \* ARABIC </w:instrText>
      </w:r>
      <w:r>
        <w:fldChar w:fldCharType="separate"/>
      </w:r>
      <w:r w:rsidR="00147E67">
        <w:rPr>
          <w:noProof/>
        </w:rPr>
        <w:t>4</w:t>
      </w:r>
      <w:r>
        <w:fldChar w:fldCharType="end"/>
      </w:r>
      <w:r>
        <w:t xml:space="preserve"> - </w:t>
      </w:r>
      <w:r w:rsidRPr="00E9540C">
        <w:t>Public Service Employment Act population by tenure as of March 31</w:t>
      </w:r>
    </w:p>
    <w:tbl>
      <w:tblPr>
        <w:tblStyle w:val="Grilledutableau"/>
        <w:tblW w:w="5000" w:type="pct"/>
        <w:jc w:val="center"/>
        <w:tblLook w:val="04A0" w:firstRow="1" w:lastRow="0" w:firstColumn="1" w:lastColumn="0" w:noHBand="0" w:noVBand="1"/>
        <w:tblDescription w:val="Population by tenure as of March 31 from 2014 to 2019"/>
      </w:tblPr>
      <w:tblGrid>
        <w:gridCol w:w="3132"/>
        <w:gridCol w:w="4045"/>
        <w:gridCol w:w="2739"/>
        <w:gridCol w:w="2934"/>
        <w:gridCol w:w="3136"/>
        <w:gridCol w:w="2724"/>
      </w:tblGrid>
      <w:tr w:rsidR="00433173" w:rsidRPr="00433173" w14:paraId="63EA41EB" w14:textId="77777777" w:rsidTr="003F427C">
        <w:trPr>
          <w:cantSplit/>
          <w:tblHeader/>
          <w:jc w:val="center"/>
        </w:trPr>
        <w:tc>
          <w:tcPr>
            <w:tcW w:w="837" w:type="pct"/>
          </w:tcPr>
          <w:p w14:paraId="068343C2" w14:textId="77777777"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Year</w:t>
            </w:r>
          </w:p>
        </w:tc>
        <w:tc>
          <w:tcPr>
            <w:tcW w:w="1081" w:type="pct"/>
          </w:tcPr>
          <w:p w14:paraId="74CB1ADA" w14:textId="50AB2AAA"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Indeterminate population</w:t>
            </w:r>
          </w:p>
        </w:tc>
        <w:tc>
          <w:tcPr>
            <w:tcW w:w="732" w:type="pct"/>
          </w:tcPr>
          <w:p w14:paraId="2ED211EF" w14:textId="5B7E304A"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Term population</w:t>
            </w:r>
          </w:p>
        </w:tc>
        <w:tc>
          <w:tcPr>
            <w:tcW w:w="784" w:type="pct"/>
          </w:tcPr>
          <w:p w14:paraId="4C06D7AA" w14:textId="3E860BD5"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Casual population</w:t>
            </w:r>
          </w:p>
        </w:tc>
        <w:tc>
          <w:tcPr>
            <w:tcW w:w="838" w:type="pct"/>
          </w:tcPr>
          <w:p w14:paraId="3D8C666E" w14:textId="754D544E"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Student population</w:t>
            </w:r>
          </w:p>
        </w:tc>
        <w:tc>
          <w:tcPr>
            <w:tcW w:w="728" w:type="pct"/>
          </w:tcPr>
          <w:p w14:paraId="4E42635A" w14:textId="51921731" w:rsidR="00433173" w:rsidRPr="00433173" w:rsidRDefault="00433173" w:rsidP="00433173">
            <w:pPr>
              <w:pStyle w:val="TableTitle"/>
              <w:spacing w:before="0"/>
              <w:rPr>
                <w:rFonts w:eastAsiaTheme="minorHAnsi"/>
                <w:color w:val="auto"/>
                <w:sz w:val="22"/>
                <w:szCs w:val="22"/>
                <w:lang w:val="en-CA"/>
              </w:rPr>
            </w:pPr>
            <w:r w:rsidRPr="00433173">
              <w:rPr>
                <w:rFonts w:eastAsiaTheme="minorHAnsi"/>
                <w:color w:val="auto"/>
                <w:sz w:val="22"/>
                <w:szCs w:val="22"/>
                <w:lang w:val="en-CA"/>
              </w:rPr>
              <w:t>Total population</w:t>
            </w:r>
          </w:p>
        </w:tc>
      </w:tr>
      <w:tr w:rsidR="00433173" w:rsidRPr="00433173" w14:paraId="1D181D91" w14:textId="77777777" w:rsidTr="003F427C">
        <w:trPr>
          <w:cantSplit/>
          <w:tblHeader/>
          <w:jc w:val="center"/>
        </w:trPr>
        <w:tc>
          <w:tcPr>
            <w:tcW w:w="837" w:type="pct"/>
          </w:tcPr>
          <w:p w14:paraId="2CEFC67D" w14:textId="7777777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As of March 31, 2014</w:t>
            </w:r>
          </w:p>
        </w:tc>
        <w:tc>
          <w:tcPr>
            <w:tcW w:w="1081" w:type="pct"/>
          </w:tcPr>
          <w:p w14:paraId="059E7564" w14:textId="5190AF26"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1 831</w:t>
            </w:r>
          </w:p>
        </w:tc>
        <w:tc>
          <w:tcPr>
            <w:tcW w:w="732" w:type="pct"/>
          </w:tcPr>
          <w:p w14:paraId="2B0A37D9" w14:textId="130F7A33"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113</w:t>
            </w:r>
          </w:p>
        </w:tc>
        <w:tc>
          <w:tcPr>
            <w:tcW w:w="784" w:type="pct"/>
          </w:tcPr>
          <w:p w14:paraId="420D545A" w14:textId="3780B528"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103</w:t>
            </w:r>
          </w:p>
        </w:tc>
        <w:tc>
          <w:tcPr>
            <w:tcW w:w="838" w:type="pct"/>
          </w:tcPr>
          <w:p w14:paraId="1469D657" w14:textId="32A831EB"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126</w:t>
            </w:r>
          </w:p>
        </w:tc>
        <w:tc>
          <w:tcPr>
            <w:tcW w:w="728" w:type="pct"/>
          </w:tcPr>
          <w:p w14:paraId="3B5092AF" w14:textId="6C9085E5"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2 173</w:t>
            </w:r>
          </w:p>
        </w:tc>
      </w:tr>
      <w:tr w:rsidR="00433173" w:rsidRPr="00433173" w14:paraId="6166F0C8" w14:textId="77777777" w:rsidTr="003F427C">
        <w:trPr>
          <w:cantSplit/>
          <w:tblHeader/>
          <w:jc w:val="center"/>
        </w:trPr>
        <w:tc>
          <w:tcPr>
            <w:tcW w:w="837" w:type="pct"/>
          </w:tcPr>
          <w:p w14:paraId="4132FCEC" w14:textId="7777777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As of March 31, 2015</w:t>
            </w:r>
          </w:p>
        </w:tc>
        <w:tc>
          <w:tcPr>
            <w:tcW w:w="1081" w:type="pct"/>
          </w:tcPr>
          <w:p w14:paraId="5C1DBAE1" w14:textId="369C1428"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1 851</w:t>
            </w:r>
          </w:p>
        </w:tc>
        <w:tc>
          <w:tcPr>
            <w:tcW w:w="732" w:type="pct"/>
          </w:tcPr>
          <w:p w14:paraId="7B973F13" w14:textId="53CFBEE8"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139</w:t>
            </w:r>
          </w:p>
        </w:tc>
        <w:tc>
          <w:tcPr>
            <w:tcW w:w="784" w:type="pct"/>
          </w:tcPr>
          <w:p w14:paraId="745BA6F9" w14:textId="5FB2A402"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92</w:t>
            </w:r>
          </w:p>
        </w:tc>
        <w:tc>
          <w:tcPr>
            <w:tcW w:w="838" w:type="pct"/>
          </w:tcPr>
          <w:p w14:paraId="7B218E06" w14:textId="798FC854"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101</w:t>
            </w:r>
          </w:p>
        </w:tc>
        <w:tc>
          <w:tcPr>
            <w:tcW w:w="728" w:type="pct"/>
          </w:tcPr>
          <w:p w14:paraId="515267DA" w14:textId="7F6D8CE3"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2 183</w:t>
            </w:r>
          </w:p>
        </w:tc>
      </w:tr>
      <w:tr w:rsidR="00433173" w:rsidRPr="00433173" w14:paraId="7F91665F" w14:textId="77777777" w:rsidTr="003F427C">
        <w:trPr>
          <w:cantSplit/>
          <w:tblHeader/>
          <w:jc w:val="center"/>
        </w:trPr>
        <w:tc>
          <w:tcPr>
            <w:tcW w:w="837" w:type="pct"/>
          </w:tcPr>
          <w:p w14:paraId="453019A6" w14:textId="7777777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As of March 31, 2016</w:t>
            </w:r>
          </w:p>
        </w:tc>
        <w:tc>
          <w:tcPr>
            <w:tcW w:w="1081" w:type="pct"/>
          </w:tcPr>
          <w:p w14:paraId="6154CBD8" w14:textId="1CBE03B9"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1 884</w:t>
            </w:r>
          </w:p>
        </w:tc>
        <w:tc>
          <w:tcPr>
            <w:tcW w:w="732" w:type="pct"/>
          </w:tcPr>
          <w:p w14:paraId="0D1D15CF" w14:textId="63DBB5F4"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114</w:t>
            </w:r>
          </w:p>
        </w:tc>
        <w:tc>
          <w:tcPr>
            <w:tcW w:w="784" w:type="pct"/>
          </w:tcPr>
          <w:p w14:paraId="2FDA4EBD" w14:textId="634AD0D1"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113</w:t>
            </w:r>
          </w:p>
        </w:tc>
        <w:tc>
          <w:tcPr>
            <w:tcW w:w="838" w:type="pct"/>
          </w:tcPr>
          <w:p w14:paraId="650B6666" w14:textId="1C05350E"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118</w:t>
            </w:r>
          </w:p>
        </w:tc>
        <w:tc>
          <w:tcPr>
            <w:tcW w:w="728" w:type="pct"/>
          </w:tcPr>
          <w:p w14:paraId="01644AAC" w14:textId="28C2D37B"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2 229</w:t>
            </w:r>
          </w:p>
        </w:tc>
      </w:tr>
      <w:tr w:rsidR="00433173" w:rsidRPr="00433173" w14:paraId="24AB0979" w14:textId="77777777" w:rsidTr="003F427C">
        <w:trPr>
          <w:cantSplit/>
          <w:tblHeader/>
          <w:jc w:val="center"/>
        </w:trPr>
        <w:tc>
          <w:tcPr>
            <w:tcW w:w="837" w:type="pct"/>
          </w:tcPr>
          <w:p w14:paraId="08114C11" w14:textId="7777777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As of March 31, 2017</w:t>
            </w:r>
          </w:p>
        </w:tc>
        <w:tc>
          <w:tcPr>
            <w:tcW w:w="1081" w:type="pct"/>
          </w:tcPr>
          <w:p w14:paraId="1A9FE971" w14:textId="40A184BB"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1 916</w:t>
            </w:r>
          </w:p>
        </w:tc>
        <w:tc>
          <w:tcPr>
            <w:tcW w:w="732" w:type="pct"/>
          </w:tcPr>
          <w:p w14:paraId="03CB4F8C" w14:textId="7EE02C2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112</w:t>
            </w:r>
          </w:p>
        </w:tc>
        <w:tc>
          <w:tcPr>
            <w:tcW w:w="784" w:type="pct"/>
          </w:tcPr>
          <w:p w14:paraId="29B769E1" w14:textId="4839D7F0"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109</w:t>
            </w:r>
          </w:p>
        </w:tc>
        <w:tc>
          <w:tcPr>
            <w:tcW w:w="838" w:type="pct"/>
          </w:tcPr>
          <w:p w14:paraId="7C65A32B" w14:textId="0ED11B5A"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140</w:t>
            </w:r>
          </w:p>
        </w:tc>
        <w:tc>
          <w:tcPr>
            <w:tcW w:w="728" w:type="pct"/>
          </w:tcPr>
          <w:p w14:paraId="62319EEE" w14:textId="5537E8A1"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2 277</w:t>
            </w:r>
          </w:p>
        </w:tc>
      </w:tr>
      <w:tr w:rsidR="00433173" w:rsidRPr="00433173" w14:paraId="0F3C28BD" w14:textId="77777777" w:rsidTr="003F427C">
        <w:trPr>
          <w:cantSplit/>
          <w:tblHeader/>
          <w:jc w:val="center"/>
        </w:trPr>
        <w:tc>
          <w:tcPr>
            <w:tcW w:w="837" w:type="pct"/>
          </w:tcPr>
          <w:p w14:paraId="509727D8" w14:textId="77777777"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As of March 31, 2018</w:t>
            </w:r>
          </w:p>
        </w:tc>
        <w:tc>
          <w:tcPr>
            <w:tcW w:w="1081" w:type="pct"/>
          </w:tcPr>
          <w:p w14:paraId="51E06ED9" w14:textId="0F6DE070"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1 850</w:t>
            </w:r>
          </w:p>
        </w:tc>
        <w:tc>
          <w:tcPr>
            <w:tcW w:w="732" w:type="pct"/>
          </w:tcPr>
          <w:p w14:paraId="2A094B75" w14:textId="790ABE30"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127</w:t>
            </w:r>
          </w:p>
        </w:tc>
        <w:tc>
          <w:tcPr>
            <w:tcW w:w="784" w:type="pct"/>
          </w:tcPr>
          <w:p w14:paraId="41A08C10" w14:textId="6E1DEF3F"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103</w:t>
            </w:r>
          </w:p>
        </w:tc>
        <w:tc>
          <w:tcPr>
            <w:tcW w:w="838" w:type="pct"/>
          </w:tcPr>
          <w:p w14:paraId="472A235E" w14:textId="07130731"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116</w:t>
            </w:r>
          </w:p>
        </w:tc>
        <w:tc>
          <w:tcPr>
            <w:tcW w:w="728" w:type="pct"/>
          </w:tcPr>
          <w:p w14:paraId="369BBA05" w14:textId="5CE44540"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2 196</w:t>
            </w:r>
          </w:p>
        </w:tc>
      </w:tr>
      <w:tr w:rsidR="00433173" w:rsidRPr="00433173" w14:paraId="77F54255" w14:textId="77777777" w:rsidTr="003F427C">
        <w:trPr>
          <w:cantSplit/>
          <w:tblHeader/>
          <w:jc w:val="center"/>
        </w:trPr>
        <w:tc>
          <w:tcPr>
            <w:tcW w:w="837" w:type="pct"/>
          </w:tcPr>
          <w:p w14:paraId="11F382C0" w14:textId="77777777" w:rsidR="00433173" w:rsidRPr="00433173" w:rsidRDefault="00433173" w:rsidP="00433173">
            <w:pPr>
              <w:rPr>
                <w:rFonts w:asciiTheme="minorHAnsi" w:eastAsiaTheme="minorHAnsi" w:hAnsiTheme="minorHAnsi" w:cstheme="minorHAnsi"/>
                <w:color w:val="000000"/>
                <w:sz w:val="22"/>
                <w:szCs w:val="22"/>
                <w:lang w:val="en-CA"/>
              </w:rPr>
            </w:pPr>
            <w:r w:rsidRPr="00433173">
              <w:rPr>
                <w:rFonts w:asciiTheme="minorHAnsi" w:eastAsiaTheme="minorHAnsi" w:hAnsiTheme="minorHAnsi" w:cstheme="minorHAnsi"/>
                <w:color w:val="000000"/>
                <w:sz w:val="22"/>
                <w:szCs w:val="22"/>
                <w:lang w:val="en-CA"/>
              </w:rPr>
              <w:t>As of March 31, 2019</w:t>
            </w:r>
          </w:p>
        </w:tc>
        <w:tc>
          <w:tcPr>
            <w:tcW w:w="1081" w:type="pct"/>
          </w:tcPr>
          <w:p w14:paraId="45EBBA0B" w14:textId="0547EEC0"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1 941</w:t>
            </w:r>
          </w:p>
        </w:tc>
        <w:tc>
          <w:tcPr>
            <w:tcW w:w="732" w:type="pct"/>
          </w:tcPr>
          <w:p w14:paraId="7F4D1DF8" w14:textId="2C2F388A"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179</w:t>
            </w:r>
          </w:p>
        </w:tc>
        <w:tc>
          <w:tcPr>
            <w:tcW w:w="784" w:type="pct"/>
          </w:tcPr>
          <w:p w14:paraId="4C83BB76" w14:textId="0D7034A8"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132</w:t>
            </w:r>
          </w:p>
        </w:tc>
        <w:tc>
          <w:tcPr>
            <w:tcW w:w="838" w:type="pct"/>
          </w:tcPr>
          <w:p w14:paraId="74BB8E2F" w14:textId="00079ED3"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143</w:t>
            </w:r>
          </w:p>
        </w:tc>
        <w:tc>
          <w:tcPr>
            <w:tcW w:w="728" w:type="pct"/>
          </w:tcPr>
          <w:p w14:paraId="5A4A85A0" w14:textId="3C417D25" w:rsidR="00433173" w:rsidRPr="00433173" w:rsidRDefault="00433173" w:rsidP="00433173">
            <w:pPr>
              <w:rPr>
                <w:sz w:val="22"/>
                <w:szCs w:val="22"/>
              </w:rPr>
            </w:pPr>
            <w:r w:rsidRPr="00433173">
              <w:rPr>
                <w:rFonts w:asciiTheme="minorHAnsi" w:eastAsiaTheme="minorHAnsi" w:hAnsiTheme="minorHAnsi" w:cstheme="minorHAnsi"/>
                <w:color w:val="000000"/>
                <w:sz w:val="22"/>
                <w:szCs w:val="22"/>
                <w:lang w:val="en-CA"/>
              </w:rPr>
              <w:t>2 395</w:t>
            </w:r>
          </w:p>
        </w:tc>
      </w:tr>
    </w:tbl>
    <w:p w14:paraId="15D34BCF" w14:textId="4D791245" w:rsidR="003F427C" w:rsidRPr="003F427C" w:rsidRDefault="003F427C" w:rsidP="003F427C">
      <w:pPr>
        <w:pStyle w:val="Titre1"/>
        <w:spacing w:before="120" w:after="120"/>
        <w:rPr>
          <w:sz w:val="40"/>
        </w:rPr>
      </w:pPr>
      <w:r w:rsidRPr="003F427C">
        <w:rPr>
          <w:sz w:val="40"/>
        </w:rPr>
        <w:lastRenderedPageBreak/>
        <w:t>Population by language requirements as of March 31, 2019</w:t>
      </w:r>
    </w:p>
    <w:p w14:paraId="1EB813A2" w14:textId="77777777" w:rsidR="00F26834" w:rsidRDefault="009F1BE8" w:rsidP="00F26834">
      <w:pPr>
        <w:keepNext/>
        <w:jc w:val="center"/>
      </w:pPr>
      <w:r w:rsidRPr="006E2679">
        <w:rPr>
          <w:rStyle w:val="lev"/>
          <w:noProof/>
          <w:lang w:val="en-CA" w:eastAsia="en-CA"/>
        </w:rPr>
        <w:drawing>
          <wp:inline distT="0" distB="0" distL="0" distR="0" wp14:anchorId="2F36C36D" wp14:editId="438A318F">
            <wp:extent cx="1980000" cy="3020400"/>
            <wp:effectExtent l="0" t="0" r="1270" b="8890"/>
            <wp:docPr id="8" name="Chart 8" descr="Figure 2 - Population by language requirements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17A4FC" w14:textId="4A470203" w:rsidR="00F26834" w:rsidRDefault="00F26834" w:rsidP="00F26834">
      <w:pPr>
        <w:pStyle w:val="Lgende"/>
        <w:spacing w:after="240"/>
        <w:jc w:val="center"/>
        <w:rPr>
          <w:lang w:val="en-CA"/>
        </w:rPr>
      </w:pPr>
      <w:r>
        <w:t xml:space="preserve">Figure </w:t>
      </w:r>
      <w:r>
        <w:fldChar w:fldCharType="begin"/>
      </w:r>
      <w:r>
        <w:instrText xml:space="preserve"> SEQ Figure \* ARABIC </w:instrText>
      </w:r>
      <w:r>
        <w:fldChar w:fldCharType="separate"/>
      </w:r>
      <w:r w:rsidR="00F23097">
        <w:rPr>
          <w:noProof/>
        </w:rPr>
        <w:t>2</w:t>
      </w:r>
      <w:r>
        <w:fldChar w:fldCharType="end"/>
      </w:r>
      <w:r>
        <w:t xml:space="preserve"> - </w:t>
      </w:r>
      <w:r w:rsidRPr="00BE6DC2">
        <w:t>Population by language requirements as of March 31, 2019</w:t>
      </w:r>
    </w:p>
    <w:p w14:paraId="758D3A5E" w14:textId="519F5AB4" w:rsidR="00F26834" w:rsidRDefault="00F26834" w:rsidP="00F26834">
      <w:pPr>
        <w:pStyle w:val="Lgende"/>
        <w:keepNext/>
        <w:jc w:val="center"/>
      </w:pPr>
      <w:r>
        <w:t xml:space="preserve">Table </w:t>
      </w:r>
      <w:r>
        <w:fldChar w:fldCharType="begin"/>
      </w:r>
      <w:r>
        <w:instrText xml:space="preserve"> SEQ Table \* ARABIC </w:instrText>
      </w:r>
      <w:r>
        <w:fldChar w:fldCharType="separate"/>
      </w:r>
      <w:r w:rsidR="00147E67">
        <w:rPr>
          <w:noProof/>
        </w:rPr>
        <w:t>5</w:t>
      </w:r>
      <w:r>
        <w:fldChar w:fldCharType="end"/>
      </w:r>
      <w:r>
        <w:t xml:space="preserve"> - </w:t>
      </w:r>
      <w:r w:rsidRPr="00AD637B">
        <w:t>Public Service Employment Act population by language requirements of the position for fiscal year 2018 to 2019</w:t>
      </w:r>
    </w:p>
    <w:tbl>
      <w:tblPr>
        <w:tblStyle w:val="TableGrid1"/>
        <w:tblW w:w="5000" w:type="pct"/>
        <w:jc w:val="center"/>
        <w:tblLook w:val="0000" w:firstRow="0" w:lastRow="0" w:firstColumn="0" w:lastColumn="0" w:noHBand="0" w:noVBand="0"/>
        <w:tblDescription w:val="Population by language requirements as of March 31, 2019 "/>
      </w:tblPr>
      <w:tblGrid>
        <w:gridCol w:w="6213"/>
        <w:gridCol w:w="5143"/>
        <w:gridCol w:w="7354"/>
      </w:tblGrid>
      <w:tr w:rsidR="00F26834" w:rsidRPr="00F26834" w14:paraId="3E5F5111" w14:textId="77777777" w:rsidTr="003F427C">
        <w:trPr>
          <w:cantSplit/>
          <w:trHeight w:val="290"/>
          <w:tblHeader/>
          <w:jc w:val="center"/>
        </w:trPr>
        <w:tc>
          <w:tcPr>
            <w:tcW w:w="1660" w:type="pct"/>
          </w:tcPr>
          <w:p w14:paraId="29E8750C" w14:textId="77777777" w:rsidR="00F26834" w:rsidRPr="00F26834" w:rsidRDefault="00F26834" w:rsidP="00595D60">
            <w:pPr>
              <w:pStyle w:val="TableTitle"/>
              <w:rPr>
                <w:rFonts w:eastAsiaTheme="minorHAnsi"/>
                <w:color w:val="auto"/>
                <w:sz w:val="22"/>
                <w:szCs w:val="22"/>
                <w:lang w:val="en-CA"/>
              </w:rPr>
            </w:pPr>
            <w:r w:rsidRPr="00F26834">
              <w:rPr>
                <w:rFonts w:eastAsiaTheme="minorHAnsi"/>
                <w:color w:val="auto"/>
                <w:sz w:val="22"/>
                <w:szCs w:val="22"/>
                <w:lang w:val="en-CA"/>
              </w:rPr>
              <w:t>Linguistic requirements of the position</w:t>
            </w:r>
          </w:p>
        </w:tc>
        <w:tc>
          <w:tcPr>
            <w:tcW w:w="1374" w:type="pct"/>
          </w:tcPr>
          <w:p w14:paraId="55DF1AC2" w14:textId="77777777" w:rsidR="00F26834" w:rsidRPr="00F26834" w:rsidRDefault="00F26834" w:rsidP="00595D60">
            <w:pPr>
              <w:pStyle w:val="TableTitle"/>
              <w:rPr>
                <w:rFonts w:eastAsiaTheme="minorHAnsi"/>
                <w:color w:val="auto"/>
                <w:sz w:val="22"/>
                <w:szCs w:val="22"/>
                <w:lang w:val="en-CA"/>
              </w:rPr>
            </w:pPr>
            <w:r w:rsidRPr="00F26834">
              <w:rPr>
                <w:rFonts w:eastAsiaTheme="minorHAnsi"/>
                <w:color w:val="auto"/>
                <w:sz w:val="22"/>
                <w:szCs w:val="22"/>
                <w:lang w:val="en-CA"/>
              </w:rPr>
              <w:t>Population as of March 31, 2019</w:t>
            </w:r>
          </w:p>
        </w:tc>
        <w:tc>
          <w:tcPr>
            <w:tcW w:w="1965" w:type="pct"/>
          </w:tcPr>
          <w:p w14:paraId="6B1276AA" w14:textId="77777777" w:rsidR="00F26834" w:rsidRPr="00F26834" w:rsidRDefault="00F26834" w:rsidP="00595D60">
            <w:pPr>
              <w:pStyle w:val="TableTitle"/>
              <w:rPr>
                <w:rFonts w:eastAsiaTheme="minorHAnsi"/>
                <w:color w:val="auto"/>
                <w:sz w:val="22"/>
                <w:szCs w:val="22"/>
                <w:lang w:val="en-CA"/>
              </w:rPr>
            </w:pPr>
            <w:r w:rsidRPr="00F26834">
              <w:rPr>
                <w:rFonts w:eastAsiaTheme="minorHAnsi"/>
                <w:color w:val="auto"/>
                <w:sz w:val="22"/>
                <w:szCs w:val="22"/>
                <w:lang w:val="en-CA"/>
              </w:rPr>
              <w:t>Percentage of population as of March 31, 2019</w:t>
            </w:r>
          </w:p>
        </w:tc>
      </w:tr>
      <w:tr w:rsidR="00F26834" w:rsidRPr="00F26834" w14:paraId="13CE02DE" w14:textId="77777777" w:rsidTr="003F427C">
        <w:trPr>
          <w:cantSplit/>
          <w:trHeight w:val="290"/>
          <w:tblHeader/>
          <w:jc w:val="center"/>
        </w:trPr>
        <w:tc>
          <w:tcPr>
            <w:tcW w:w="1660" w:type="pct"/>
          </w:tcPr>
          <w:p w14:paraId="69B5D602" w14:textId="77777777" w:rsidR="00F26834" w:rsidRPr="00F26834" w:rsidRDefault="00F26834" w:rsidP="00595D60">
            <w:pPr>
              <w:autoSpaceDE w:val="0"/>
              <w:autoSpaceDN w:val="0"/>
              <w:adjustRightInd w:val="0"/>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 xml:space="preserve">Bilingual </w:t>
            </w:r>
          </w:p>
        </w:tc>
        <w:tc>
          <w:tcPr>
            <w:tcW w:w="1374" w:type="pct"/>
          </w:tcPr>
          <w:p w14:paraId="7FE00CF3"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854</w:t>
            </w:r>
          </w:p>
        </w:tc>
        <w:tc>
          <w:tcPr>
            <w:tcW w:w="1965" w:type="pct"/>
            <w:shd w:val="clear" w:color="auto" w:fill="auto"/>
          </w:tcPr>
          <w:p w14:paraId="515DBAA4"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42%</w:t>
            </w:r>
          </w:p>
        </w:tc>
      </w:tr>
      <w:tr w:rsidR="00F26834" w:rsidRPr="00F26834" w14:paraId="090C952E" w14:textId="77777777" w:rsidTr="003F427C">
        <w:trPr>
          <w:cantSplit/>
          <w:trHeight w:val="290"/>
          <w:tblHeader/>
          <w:jc w:val="center"/>
        </w:trPr>
        <w:tc>
          <w:tcPr>
            <w:tcW w:w="1660" w:type="pct"/>
          </w:tcPr>
          <w:p w14:paraId="6150B798" w14:textId="77777777" w:rsidR="00F26834" w:rsidRPr="00F26834" w:rsidRDefault="00F26834" w:rsidP="00595D60">
            <w:pPr>
              <w:autoSpaceDE w:val="0"/>
              <w:autoSpaceDN w:val="0"/>
              <w:adjustRightInd w:val="0"/>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Unilingual</w:t>
            </w:r>
          </w:p>
        </w:tc>
        <w:tc>
          <w:tcPr>
            <w:tcW w:w="1374" w:type="pct"/>
          </w:tcPr>
          <w:p w14:paraId="70A01DDA"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1 170</w:t>
            </w:r>
          </w:p>
        </w:tc>
        <w:tc>
          <w:tcPr>
            <w:tcW w:w="1965" w:type="pct"/>
            <w:shd w:val="clear" w:color="auto" w:fill="auto"/>
          </w:tcPr>
          <w:p w14:paraId="49A63A04"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58%</w:t>
            </w:r>
          </w:p>
        </w:tc>
      </w:tr>
      <w:tr w:rsidR="00F26834" w:rsidRPr="00F26834" w14:paraId="6140A827" w14:textId="77777777" w:rsidTr="003F427C">
        <w:trPr>
          <w:cantSplit/>
          <w:trHeight w:val="290"/>
          <w:tblHeader/>
          <w:jc w:val="center"/>
        </w:trPr>
        <w:tc>
          <w:tcPr>
            <w:tcW w:w="1660" w:type="pct"/>
          </w:tcPr>
          <w:p w14:paraId="42C3C480" w14:textId="77777777" w:rsidR="00F26834" w:rsidRPr="00F26834" w:rsidRDefault="00F26834" w:rsidP="00595D60">
            <w:pPr>
              <w:autoSpaceDE w:val="0"/>
              <w:autoSpaceDN w:val="0"/>
              <w:adjustRightInd w:val="0"/>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Unknown</w:t>
            </w:r>
          </w:p>
        </w:tc>
        <w:tc>
          <w:tcPr>
            <w:tcW w:w="1374" w:type="pct"/>
          </w:tcPr>
          <w:p w14:paraId="6B564494"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r w:rsidRPr="00F26834">
              <w:rPr>
                <w:rFonts w:asciiTheme="minorHAnsi" w:eastAsiaTheme="minorHAnsi" w:hAnsiTheme="minorHAnsi" w:cstheme="minorHAnsi"/>
                <w:color w:val="000000"/>
                <w:sz w:val="22"/>
                <w:szCs w:val="22"/>
                <w:lang w:val="en-CA"/>
              </w:rPr>
              <w:t>371</w:t>
            </w:r>
          </w:p>
        </w:tc>
        <w:tc>
          <w:tcPr>
            <w:tcW w:w="1965" w:type="pct"/>
            <w:shd w:val="clear" w:color="auto" w:fill="auto"/>
          </w:tcPr>
          <w:p w14:paraId="6791D90D" w14:textId="77777777" w:rsidR="00F26834" w:rsidRPr="00F26834" w:rsidRDefault="00F26834" w:rsidP="00595D60">
            <w:pPr>
              <w:autoSpaceDE w:val="0"/>
              <w:autoSpaceDN w:val="0"/>
              <w:adjustRightInd w:val="0"/>
              <w:jc w:val="center"/>
              <w:rPr>
                <w:rFonts w:asciiTheme="minorHAnsi" w:eastAsiaTheme="minorHAnsi" w:hAnsiTheme="minorHAnsi" w:cstheme="minorHAnsi"/>
                <w:color w:val="000000"/>
                <w:sz w:val="22"/>
                <w:szCs w:val="22"/>
                <w:lang w:val="en-CA"/>
              </w:rPr>
            </w:pPr>
          </w:p>
        </w:tc>
      </w:tr>
    </w:tbl>
    <w:p w14:paraId="3758D35F" w14:textId="77777777" w:rsidR="00F26834" w:rsidRDefault="00F26834" w:rsidP="001B2CDD">
      <w:pPr>
        <w:rPr>
          <w:lang w:val="en-CA"/>
        </w:rPr>
      </w:pPr>
    </w:p>
    <w:p w14:paraId="0EB29A2B" w14:textId="77777777" w:rsidR="003F427C" w:rsidRPr="003F427C" w:rsidRDefault="003F427C" w:rsidP="003F427C">
      <w:pPr>
        <w:pStyle w:val="Titre1"/>
        <w:spacing w:before="120" w:after="120"/>
        <w:rPr>
          <w:sz w:val="40"/>
          <w:lang w:val="en-CA"/>
        </w:rPr>
      </w:pPr>
      <w:r w:rsidRPr="003F427C">
        <w:rPr>
          <w:rFonts w:eastAsia="Times New Roman"/>
          <w:sz w:val="40"/>
        </w:rPr>
        <w:lastRenderedPageBreak/>
        <w:t>Population by occupational group as of March 31, 2019</w:t>
      </w:r>
    </w:p>
    <w:p w14:paraId="64E97F79" w14:textId="77777777" w:rsidR="00293FCA" w:rsidRDefault="00F26834" w:rsidP="00293FCA">
      <w:pPr>
        <w:keepNext/>
        <w:jc w:val="center"/>
      </w:pPr>
      <w:r w:rsidRPr="006E2679">
        <w:rPr>
          <w:rStyle w:val="lev"/>
          <w:noProof/>
          <w:lang w:val="en-CA" w:eastAsia="en-CA"/>
        </w:rPr>
        <w:drawing>
          <wp:inline distT="0" distB="0" distL="0" distR="0" wp14:anchorId="5706B7DD" wp14:editId="2A0A18BA">
            <wp:extent cx="1980000" cy="3020400"/>
            <wp:effectExtent l="0" t="0" r="1270" b="8890"/>
            <wp:docPr id="2" name="Chart 2" descr="Figure 3 - Population by occupational group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BC74C6" w14:textId="1AFAAB5D" w:rsidR="00F26834" w:rsidRDefault="00293FCA" w:rsidP="00293FCA">
      <w:pPr>
        <w:pStyle w:val="Lgende"/>
        <w:spacing w:after="240"/>
        <w:jc w:val="center"/>
      </w:pPr>
      <w:r>
        <w:t xml:space="preserve">Figure </w:t>
      </w:r>
      <w:r>
        <w:fldChar w:fldCharType="begin"/>
      </w:r>
      <w:r>
        <w:instrText xml:space="preserve"> SEQ Figure \* ARABIC </w:instrText>
      </w:r>
      <w:r>
        <w:fldChar w:fldCharType="separate"/>
      </w:r>
      <w:r w:rsidR="00F23097">
        <w:rPr>
          <w:noProof/>
        </w:rPr>
        <w:t>3</w:t>
      </w:r>
      <w:r>
        <w:fldChar w:fldCharType="end"/>
      </w:r>
      <w:r>
        <w:t xml:space="preserve"> - </w:t>
      </w:r>
      <w:r w:rsidRPr="00977E65">
        <w:t>Population by occupational group as of March 31, 2019</w:t>
      </w:r>
    </w:p>
    <w:p w14:paraId="3288F080" w14:textId="5E6B150E" w:rsidR="00293FCA" w:rsidRDefault="00293FCA" w:rsidP="00293FCA">
      <w:pPr>
        <w:pStyle w:val="Lgende"/>
        <w:keepNext/>
        <w:jc w:val="center"/>
      </w:pPr>
      <w:r>
        <w:t xml:space="preserve">Table </w:t>
      </w:r>
      <w:r>
        <w:fldChar w:fldCharType="begin"/>
      </w:r>
      <w:r>
        <w:instrText xml:space="preserve"> SEQ Table \* ARABIC </w:instrText>
      </w:r>
      <w:r>
        <w:fldChar w:fldCharType="separate"/>
      </w:r>
      <w:r w:rsidR="00147E67">
        <w:rPr>
          <w:noProof/>
        </w:rPr>
        <w:t>6</w:t>
      </w:r>
      <w:r>
        <w:fldChar w:fldCharType="end"/>
      </w:r>
      <w:r>
        <w:t xml:space="preserve"> - </w:t>
      </w:r>
      <w:r w:rsidRPr="005E3F52">
        <w:t>Top occupational groups, as a percentage of the Public Service Employment Act population for fiscal year 2018 to 2019</w:t>
      </w:r>
    </w:p>
    <w:tbl>
      <w:tblPr>
        <w:tblStyle w:val="TableGrid1"/>
        <w:tblW w:w="5000" w:type="pct"/>
        <w:jc w:val="center"/>
        <w:tblLook w:val="0000" w:firstRow="0" w:lastRow="0" w:firstColumn="0" w:lastColumn="0" w:noHBand="0" w:noVBand="0"/>
        <w:tblDescription w:val="Population by occupational group as of March 31, 2019"/>
      </w:tblPr>
      <w:tblGrid>
        <w:gridCol w:w="6101"/>
        <w:gridCol w:w="5184"/>
        <w:gridCol w:w="7425"/>
      </w:tblGrid>
      <w:tr w:rsidR="00293FCA" w:rsidRPr="006E2679" w14:paraId="1001F239" w14:textId="77777777" w:rsidTr="003F427C">
        <w:trPr>
          <w:cantSplit/>
          <w:trHeight w:val="290"/>
          <w:tblHeader/>
          <w:jc w:val="center"/>
        </w:trPr>
        <w:tc>
          <w:tcPr>
            <w:tcW w:w="1630" w:type="pct"/>
          </w:tcPr>
          <w:p w14:paraId="5D5C660C" w14:textId="77777777" w:rsidR="00293FCA" w:rsidRPr="006E2679" w:rsidRDefault="00293FCA" w:rsidP="00595D60">
            <w:pPr>
              <w:pStyle w:val="TableTitle"/>
              <w:rPr>
                <w:rFonts w:eastAsiaTheme="minorHAnsi"/>
                <w:color w:val="auto"/>
                <w:sz w:val="24"/>
                <w:lang w:val="en-CA"/>
              </w:rPr>
            </w:pPr>
            <w:r w:rsidRPr="006E2679">
              <w:rPr>
                <w:rFonts w:eastAsiaTheme="minorHAnsi"/>
                <w:color w:val="auto"/>
                <w:sz w:val="24"/>
                <w:lang w:val="en-CA"/>
              </w:rPr>
              <w:t>Occupational group</w:t>
            </w:r>
          </w:p>
        </w:tc>
        <w:tc>
          <w:tcPr>
            <w:tcW w:w="1385" w:type="pct"/>
          </w:tcPr>
          <w:p w14:paraId="3CC3BC37" w14:textId="77777777" w:rsidR="00293FCA" w:rsidRPr="006E2679" w:rsidRDefault="00293FCA" w:rsidP="00595D60">
            <w:pPr>
              <w:pStyle w:val="TableTitle"/>
              <w:rPr>
                <w:rFonts w:eastAsiaTheme="minorHAnsi"/>
                <w:color w:val="auto"/>
                <w:sz w:val="24"/>
                <w:lang w:val="en-CA"/>
              </w:rPr>
            </w:pPr>
            <w:r w:rsidRPr="006E2679">
              <w:rPr>
                <w:rFonts w:eastAsiaTheme="minorHAnsi"/>
                <w:color w:val="auto"/>
                <w:sz w:val="24"/>
                <w:lang w:val="en-CA"/>
              </w:rPr>
              <w:t>Population as of March 31, 2019</w:t>
            </w:r>
          </w:p>
        </w:tc>
        <w:tc>
          <w:tcPr>
            <w:tcW w:w="1984" w:type="pct"/>
          </w:tcPr>
          <w:p w14:paraId="3C186C5D" w14:textId="77777777" w:rsidR="00293FCA" w:rsidRPr="006E2679" w:rsidRDefault="00293FCA" w:rsidP="00595D60">
            <w:pPr>
              <w:pStyle w:val="TableTitle"/>
              <w:rPr>
                <w:rFonts w:eastAsiaTheme="minorHAnsi"/>
                <w:color w:val="auto"/>
                <w:sz w:val="24"/>
                <w:lang w:val="en-CA"/>
              </w:rPr>
            </w:pPr>
            <w:r w:rsidRPr="006E2679">
              <w:rPr>
                <w:rFonts w:eastAsiaTheme="minorHAnsi"/>
                <w:color w:val="auto"/>
                <w:sz w:val="24"/>
                <w:lang w:val="en-CA"/>
              </w:rPr>
              <w:t>Percentage of population as of March 31, 2019</w:t>
            </w:r>
          </w:p>
        </w:tc>
      </w:tr>
      <w:tr w:rsidR="00293FCA" w:rsidRPr="006E2679" w14:paraId="518461C1" w14:textId="77777777" w:rsidTr="003F427C">
        <w:trPr>
          <w:cantSplit/>
          <w:trHeight w:val="290"/>
          <w:tblHeader/>
          <w:jc w:val="center"/>
        </w:trPr>
        <w:tc>
          <w:tcPr>
            <w:tcW w:w="1630" w:type="pct"/>
          </w:tcPr>
          <w:p w14:paraId="35B61E4B" w14:textId="77777777" w:rsidR="00293FCA" w:rsidRPr="006E2679" w:rsidRDefault="00293FCA" w:rsidP="00595D60">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EC – Economics and Social Science Services</w:t>
            </w:r>
          </w:p>
        </w:tc>
        <w:tc>
          <w:tcPr>
            <w:tcW w:w="1385" w:type="pct"/>
          </w:tcPr>
          <w:p w14:paraId="26B4F5D2"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828</w:t>
            </w:r>
          </w:p>
        </w:tc>
        <w:tc>
          <w:tcPr>
            <w:tcW w:w="1984" w:type="pct"/>
          </w:tcPr>
          <w:p w14:paraId="07473336"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37%</w:t>
            </w:r>
          </w:p>
        </w:tc>
      </w:tr>
      <w:tr w:rsidR="00293FCA" w:rsidRPr="006E2679" w14:paraId="62B2D069" w14:textId="77777777" w:rsidTr="003F427C">
        <w:trPr>
          <w:cantSplit/>
          <w:trHeight w:val="290"/>
          <w:tblHeader/>
          <w:jc w:val="center"/>
        </w:trPr>
        <w:tc>
          <w:tcPr>
            <w:tcW w:w="1630" w:type="pct"/>
          </w:tcPr>
          <w:p w14:paraId="5EA6F95C" w14:textId="77777777" w:rsidR="00293FCA" w:rsidRPr="006E2679" w:rsidRDefault="00293FCA" w:rsidP="00595D60">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AS – Administrative Services</w:t>
            </w:r>
          </w:p>
        </w:tc>
        <w:tc>
          <w:tcPr>
            <w:tcW w:w="1385" w:type="pct"/>
          </w:tcPr>
          <w:p w14:paraId="46B92CDE"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359</w:t>
            </w:r>
          </w:p>
        </w:tc>
        <w:tc>
          <w:tcPr>
            <w:tcW w:w="1984" w:type="pct"/>
          </w:tcPr>
          <w:p w14:paraId="48FB1072"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16%</w:t>
            </w:r>
          </w:p>
        </w:tc>
      </w:tr>
      <w:tr w:rsidR="00293FCA" w:rsidRPr="006E2679" w14:paraId="2DB64CBB" w14:textId="77777777" w:rsidTr="003F427C">
        <w:trPr>
          <w:cantSplit/>
          <w:trHeight w:val="290"/>
          <w:tblHeader/>
          <w:jc w:val="center"/>
        </w:trPr>
        <w:tc>
          <w:tcPr>
            <w:tcW w:w="1630" w:type="pct"/>
          </w:tcPr>
          <w:p w14:paraId="00F234AC" w14:textId="77777777" w:rsidR="00293FCA" w:rsidRPr="006E2679" w:rsidRDefault="00293FCA" w:rsidP="00595D60">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PM – Programme administration</w:t>
            </w:r>
          </w:p>
        </w:tc>
        <w:tc>
          <w:tcPr>
            <w:tcW w:w="1385" w:type="pct"/>
          </w:tcPr>
          <w:p w14:paraId="66DB6CDE"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262</w:t>
            </w:r>
          </w:p>
        </w:tc>
        <w:tc>
          <w:tcPr>
            <w:tcW w:w="1984" w:type="pct"/>
          </w:tcPr>
          <w:p w14:paraId="0AEC7E4F"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12%</w:t>
            </w:r>
          </w:p>
        </w:tc>
      </w:tr>
      <w:tr w:rsidR="00293FCA" w:rsidRPr="006E2679" w14:paraId="6FA72B76" w14:textId="77777777" w:rsidTr="003F427C">
        <w:trPr>
          <w:cantSplit/>
          <w:trHeight w:val="290"/>
          <w:tblHeader/>
          <w:jc w:val="center"/>
        </w:trPr>
        <w:tc>
          <w:tcPr>
            <w:tcW w:w="1630" w:type="pct"/>
          </w:tcPr>
          <w:p w14:paraId="45AA65F8" w14:textId="77777777" w:rsidR="00293FCA" w:rsidRPr="006E2679" w:rsidRDefault="00293FCA" w:rsidP="00595D60">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EG – Engineering and Scientific Support</w:t>
            </w:r>
          </w:p>
        </w:tc>
        <w:tc>
          <w:tcPr>
            <w:tcW w:w="1385" w:type="pct"/>
          </w:tcPr>
          <w:p w14:paraId="3516B23D"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257</w:t>
            </w:r>
          </w:p>
        </w:tc>
        <w:tc>
          <w:tcPr>
            <w:tcW w:w="1984" w:type="pct"/>
          </w:tcPr>
          <w:p w14:paraId="42C08B27"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11%</w:t>
            </w:r>
          </w:p>
        </w:tc>
      </w:tr>
      <w:tr w:rsidR="00293FCA" w:rsidRPr="006E2679" w14:paraId="734FBDE5" w14:textId="77777777" w:rsidTr="003F427C">
        <w:trPr>
          <w:cantSplit/>
          <w:trHeight w:val="290"/>
          <w:tblHeader/>
          <w:jc w:val="center"/>
        </w:trPr>
        <w:tc>
          <w:tcPr>
            <w:tcW w:w="1630" w:type="pct"/>
          </w:tcPr>
          <w:p w14:paraId="7B3B34F7" w14:textId="77777777" w:rsidR="00293FCA" w:rsidRPr="006E2679" w:rsidRDefault="00293FCA" w:rsidP="00595D60">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Other</w:t>
            </w:r>
          </w:p>
        </w:tc>
        <w:tc>
          <w:tcPr>
            <w:tcW w:w="1385" w:type="pct"/>
          </w:tcPr>
          <w:p w14:paraId="296BE589"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546</w:t>
            </w:r>
          </w:p>
        </w:tc>
        <w:tc>
          <w:tcPr>
            <w:tcW w:w="1984" w:type="pct"/>
          </w:tcPr>
          <w:p w14:paraId="2B5191B6" w14:textId="77777777" w:rsidR="00293FCA" w:rsidRPr="006E2679" w:rsidRDefault="00293FCA" w:rsidP="00595D60">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24%</w:t>
            </w:r>
          </w:p>
        </w:tc>
      </w:tr>
    </w:tbl>
    <w:p w14:paraId="347991FA" w14:textId="026A83FF" w:rsidR="00100B6E" w:rsidRPr="00100B6E" w:rsidRDefault="00100B6E" w:rsidP="00100B6E">
      <w:pPr>
        <w:pStyle w:val="Titre1"/>
        <w:spacing w:before="120" w:after="120"/>
        <w:rPr>
          <w:sz w:val="40"/>
        </w:rPr>
      </w:pPr>
      <w:r w:rsidRPr="00100B6E">
        <w:rPr>
          <w:sz w:val="40"/>
        </w:rPr>
        <w:lastRenderedPageBreak/>
        <w:t>Population by region as of March 31, 2019</w:t>
      </w:r>
    </w:p>
    <w:p w14:paraId="660E43AC" w14:textId="77777777" w:rsidR="00531E9D" w:rsidRDefault="00F26834" w:rsidP="00531E9D">
      <w:pPr>
        <w:keepNext/>
        <w:jc w:val="center"/>
      </w:pPr>
      <w:r w:rsidRPr="006E2679">
        <w:rPr>
          <w:rStyle w:val="lev"/>
          <w:noProof/>
          <w:lang w:val="en-CA" w:eastAsia="en-CA"/>
        </w:rPr>
        <w:drawing>
          <wp:inline distT="0" distB="0" distL="0" distR="0" wp14:anchorId="5E919899" wp14:editId="62531732">
            <wp:extent cx="1980000" cy="3020400"/>
            <wp:effectExtent l="0" t="0" r="1270" b="8890"/>
            <wp:docPr id="12" name="Chart 12" descr="Figure 4 - Population by region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813386" w14:textId="77C0DB7B" w:rsidR="00F26834" w:rsidRDefault="00531E9D" w:rsidP="00531E9D">
      <w:pPr>
        <w:pStyle w:val="Lgende"/>
        <w:spacing w:after="240"/>
        <w:jc w:val="center"/>
      </w:pPr>
      <w:r>
        <w:t xml:space="preserve">Figure </w:t>
      </w:r>
      <w:r>
        <w:fldChar w:fldCharType="begin"/>
      </w:r>
      <w:r>
        <w:instrText xml:space="preserve"> SEQ Figure \* ARABIC </w:instrText>
      </w:r>
      <w:r>
        <w:fldChar w:fldCharType="separate"/>
      </w:r>
      <w:r w:rsidR="00F23097">
        <w:rPr>
          <w:noProof/>
        </w:rPr>
        <w:t>4</w:t>
      </w:r>
      <w:r>
        <w:fldChar w:fldCharType="end"/>
      </w:r>
      <w:r>
        <w:t xml:space="preserve"> - </w:t>
      </w:r>
      <w:r w:rsidRPr="00CE2AD0">
        <w:t>Population by region as of March 31, 2019</w:t>
      </w:r>
    </w:p>
    <w:p w14:paraId="62DCA9D6" w14:textId="4EC15986" w:rsidR="00531E9D" w:rsidRDefault="00531E9D" w:rsidP="00531E9D">
      <w:pPr>
        <w:pStyle w:val="Lgende"/>
        <w:keepNext/>
        <w:jc w:val="center"/>
      </w:pPr>
      <w:r>
        <w:t xml:space="preserve">Table </w:t>
      </w:r>
      <w:r>
        <w:fldChar w:fldCharType="begin"/>
      </w:r>
      <w:r>
        <w:instrText xml:space="preserve"> SEQ Table \* ARABIC </w:instrText>
      </w:r>
      <w:r>
        <w:fldChar w:fldCharType="separate"/>
      </w:r>
      <w:r w:rsidR="00147E67">
        <w:rPr>
          <w:noProof/>
        </w:rPr>
        <w:t>7</w:t>
      </w:r>
      <w:r>
        <w:fldChar w:fldCharType="end"/>
      </w:r>
      <w:r>
        <w:t xml:space="preserve"> - </w:t>
      </w:r>
      <w:r w:rsidRPr="008219FF">
        <w:t>Distribution by region, as a percentage of the Public Service Employment Act population for fiscal year 2018 to 2019</w:t>
      </w:r>
    </w:p>
    <w:tbl>
      <w:tblPr>
        <w:tblStyle w:val="TableGrid1"/>
        <w:tblW w:w="5000" w:type="pct"/>
        <w:jc w:val="center"/>
        <w:tblLook w:val="0000" w:firstRow="0" w:lastRow="0" w:firstColumn="0" w:lastColumn="0" w:noHBand="0" w:noVBand="0"/>
        <w:tblDescription w:val="Population by region as of March 31, 2019"/>
      </w:tblPr>
      <w:tblGrid>
        <w:gridCol w:w="5082"/>
        <w:gridCol w:w="5609"/>
        <w:gridCol w:w="8019"/>
      </w:tblGrid>
      <w:tr w:rsidR="00531E9D" w:rsidRPr="00531E9D" w14:paraId="2E4A3690" w14:textId="77777777" w:rsidTr="00100B6E">
        <w:trPr>
          <w:cantSplit/>
          <w:trHeight w:val="290"/>
          <w:tblHeader/>
          <w:jc w:val="center"/>
        </w:trPr>
        <w:tc>
          <w:tcPr>
            <w:tcW w:w="1358" w:type="pct"/>
          </w:tcPr>
          <w:p w14:paraId="5637ADDA" w14:textId="77777777" w:rsidR="00531E9D" w:rsidRPr="00531E9D" w:rsidRDefault="00531E9D" w:rsidP="00595D60">
            <w:pPr>
              <w:pStyle w:val="TableTitle"/>
              <w:rPr>
                <w:rFonts w:eastAsiaTheme="minorHAnsi"/>
                <w:color w:val="auto"/>
                <w:sz w:val="22"/>
                <w:szCs w:val="22"/>
                <w:lang w:val="en-CA"/>
              </w:rPr>
            </w:pPr>
            <w:r w:rsidRPr="00531E9D">
              <w:rPr>
                <w:rFonts w:eastAsiaTheme="minorHAnsi"/>
                <w:color w:val="auto"/>
                <w:sz w:val="22"/>
                <w:szCs w:val="22"/>
                <w:lang w:val="en-CA"/>
              </w:rPr>
              <w:t>Region</w:t>
            </w:r>
          </w:p>
        </w:tc>
        <w:tc>
          <w:tcPr>
            <w:tcW w:w="1499" w:type="pct"/>
          </w:tcPr>
          <w:p w14:paraId="31157856" w14:textId="77777777" w:rsidR="00531E9D" w:rsidRPr="00531E9D" w:rsidRDefault="00531E9D" w:rsidP="00595D60">
            <w:pPr>
              <w:pStyle w:val="TableTitle"/>
              <w:rPr>
                <w:rFonts w:eastAsiaTheme="minorHAnsi"/>
                <w:color w:val="auto"/>
                <w:sz w:val="22"/>
                <w:szCs w:val="22"/>
                <w:lang w:val="en-CA"/>
              </w:rPr>
            </w:pPr>
            <w:r w:rsidRPr="00531E9D">
              <w:rPr>
                <w:rFonts w:eastAsiaTheme="minorHAnsi"/>
                <w:color w:val="auto"/>
                <w:sz w:val="22"/>
                <w:szCs w:val="22"/>
                <w:lang w:val="en-CA"/>
              </w:rPr>
              <w:t>Population as of March 31, 2019</w:t>
            </w:r>
          </w:p>
        </w:tc>
        <w:tc>
          <w:tcPr>
            <w:tcW w:w="2143" w:type="pct"/>
          </w:tcPr>
          <w:p w14:paraId="1FB6438D" w14:textId="77777777" w:rsidR="00531E9D" w:rsidRPr="00531E9D" w:rsidRDefault="00531E9D" w:rsidP="00595D60">
            <w:pPr>
              <w:pStyle w:val="TableTitle"/>
              <w:rPr>
                <w:rFonts w:eastAsiaTheme="minorHAnsi"/>
                <w:color w:val="auto"/>
                <w:sz w:val="22"/>
                <w:szCs w:val="22"/>
                <w:lang w:val="en-CA"/>
              </w:rPr>
            </w:pPr>
            <w:r w:rsidRPr="00531E9D">
              <w:rPr>
                <w:rFonts w:eastAsiaTheme="minorHAnsi"/>
                <w:color w:val="auto"/>
                <w:sz w:val="22"/>
                <w:szCs w:val="22"/>
                <w:lang w:val="en-CA"/>
              </w:rPr>
              <w:t>Percentage of population as of March 31, 2019</w:t>
            </w:r>
          </w:p>
        </w:tc>
      </w:tr>
      <w:tr w:rsidR="00531E9D" w:rsidRPr="00531E9D" w14:paraId="1B76BD28" w14:textId="77777777" w:rsidTr="00100B6E">
        <w:trPr>
          <w:cantSplit/>
          <w:trHeight w:val="290"/>
          <w:tblHeader/>
          <w:jc w:val="center"/>
        </w:trPr>
        <w:tc>
          <w:tcPr>
            <w:tcW w:w="1358" w:type="pct"/>
          </w:tcPr>
          <w:p w14:paraId="701C10F2" w14:textId="77777777" w:rsidR="00531E9D" w:rsidRPr="00531E9D" w:rsidRDefault="00531E9D" w:rsidP="00595D60">
            <w:pPr>
              <w:autoSpaceDE w:val="0"/>
              <w:autoSpaceDN w:val="0"/>
              <w:adjustRightInd w:val="0"/>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National Capital Region (NCR)</w:t>
            </w:r>
          </w:p>
        </w:tc>
        <w:tc>
          <w:tcPr>
            <w:tcW w:w="1499" w:type="pct"/>
          </w:tcPr>
          <w:p w14:paraId="7FC2FD8F"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1 453</w:t>
            </w:r>
          </w:p>
        </w:tc>
        <w:tc>
          <w:tcPr>
            <w:tcW w:w="2143" w:type="pct"/>
          </w:tcPr>
          <w:p w14:paraId="76865BA5"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61%</w:t>
            </w:r>
          </w:p>
        </w:tc>
      </w:tr>
      <w:tr w:rsidR="00531E9D" w:rsidRPr="00531E9D" w14:paraId="65221E24" w14:textId="77777777" w:rsidTr="00100B6E">
        <w:trPr>
          <w:cantSplit/>
          <w:trHeight w:val="290"/>
          <w:tblHeader/>
          <w:jc w:val="center"/>
        </w:trPr>
        <w:tc>
          <w:tcPr>
            <w:tcW w:w="1358" w:type="pct"/>
          </w:tcPr>
          <w:p w14:paraId="354376E2" w14:textId="77777777" w:rsidR="00531E9D" w:rsidRPr="00531E9D" w:rsidRDefault="00531E9D" w:rsidP="00595D60">
            <w:pPr>
              <w:autoSpaceDE w:val="0"/>
              <w:autoSpaceDN w:val="0"/>
              <w:adjustRightInd w:val="0"/>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Non-NCR</w:t>
            </w:r>
          </w:p>
        </w:tc>
        <w:tc>
          <w:tcPr>
            <w:tcW w:w="1499" w:type="pct"/>
          </w:tcPr>
          <w:p w14:paraId="78347D49"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939</w:t>
            </w:r>
          </w:p>
        </w:tc>
        <w:tc>
          <w:tcPr>
            <w:tcW w:w="2143" w:type="pct"/>
          </w:tcPr>
          <w:p w14:paraId="10B75AC6"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39%</w:t>
            </w:r>
          </w:p>
        </w:tc>
      </w:tr>
      <w:tr w:rsidR="00531E9D" w:rsidRPr="00531E9D" w14:paraId="6DF46155" w14:textId="77777777" w:rsidTr="00100B6E">
        <w:trPr>
          <w:cantSplit/>
          <w:trHeight w:val="290"/>
          <w:tblHeader/>
          <w:jc w:val="center"/>
        </w:trPr>
        <w:tc>
          <w:tcPr>
            <w:tcW w:w="1358" w:type="pct"/>
          </w:tcPr>
          <w:p w14:paraId="68EB3E77" w14:textId="77777777" w:rsidR="00531E9D" w:rsidRPr="00531E9D" w:rsidRDefault="00531E9D" w:rsidP="00595D60">
            <w:pPr>
              <w:autoSpaceDE w:val="0"/>
              <w:autoSpaceDN w:val="0"/>
              <w:adjustRightInd w:val="0"/>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Unknown</w:t>
            </w:r>
          </w:p>
        </w:tc>
        <w:tc>
          <w:tcPr>
            <w:tcW w:w="1499" w:type="pct"/>
          </w:tcPr>
          <w:p w14:paraId="23C850F2"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r w:rsidRPr="00531E9D">
              <w:rPr>
                <w:rFonts w:asciiTheme="minorHAnsi" w:eastAsiaTheme="minorHAnsi" w:hAnsiTheme="minorHAnsi" w:cstheme="minorHAnsi"/>
                <w:color w:val="000000"/>
                <w:sz w:val="22"/>
                <w:szCs w:val="22"/>
                <w:lang w:val="en-CA"/>
              </w:rPr>
              <w:t>3</w:t>
            </w:r>
          </w:p>
        </w:tc>
        <w:tc>
          <w:tcPr>
            <w:tcW w:w="2143" w:type="pct"/>
          </w:tcPr>
          <w:p w14:paraId="56D6151A" w14:textId="77777777" w:rsidR="00531E9D" w:rsidRPr="00531E9D" w:rsidRDefault="00531E9D" w:rsidP="00595D60">
            <w:pPr>
              <w:autoSpaceDE w:val="0"/>
              <w:autoSpaceDN w:val="0"/>
              <w:adjustRightInd w:val="0"/>
              <w:jc w:val="center"/>
              <w:rPr>
                <w:rFonts w:asciiTheme="minorHAnsi" w:eastAsiaTheme="minorHAnsi" w:hAnsiTheme="minorHAnsi" w:cstheme="minorHAnsi"/>
                <w:color w:val="000000"/>
                <w:sz w:val="22"/>
                <w:szCs w:val="22"/>
                <w:lang w:val="en-CA"/>
              </w:rPr>
            </w:pPr>
          </w:p>
        </w:tc>
      </w:tr>
    </w:tbl>
    <w:p w14:paraId="51170209" w14:textId="5F3ABD3D" w:rsidR="00100B6E" w:rsidRPr="00100B6E" w:rsidRDefault="00100B6E" w:rsidP="00100B6E">
      <w:pPr>
        <w:pStyle w:val="Titre1"/>
        <w:spacing w:before="120" w:after="120"/>
        <w:rPr>
          <w:sz w:val="40"/>
        </w:rPr>
      </w:pPr>
      <w:r w:rsidRPr="00100B6E">
        <w:rPr>
          <w:rFonts w:eastAsia="Times New Roman"/>
          <w:sz w:val="40"/>
        </w:rPr>
        <w:lastRenderedPageBreak/>
        <w:t>External indeterminate hires by occupational group, 2018-19</w:t>
      </w:r>
    </w:p>
    <w:p w14:paraId="10A22F4A" w14:textId="77777777" w:rsidR="00944420" w:rsidRDefault="00F26834" w:rsidP="00944420">
      <w:pPr>
        <w:keepNext/>
        <w:jc w:val="center"/>
      </w:pPr>
      <w:r w:rsidRPr="006E2679">
        <w:rPr>
          <w:rStyle w:val="lev"/>
          <w:noProof/>
          <w:lang w:val="en-CA" w:eastAsia="en-CA"/>
        </w:rPr>
        <w:drawing>
          <wp:inline distT="0" distB="0" distL="0" distR="0" wp14:anchorId="6DB2162D" wp14:editId="2A9C4054">
            <wp:extent cx="1980000" cy="3020400"/>
            <wp:effectExtent l="0" t="0" r="1270" b="8890"/>
            <wp:docPr id="7" name="Chart 7" descr="Figure 5 - External indeterminate hires by occupational group,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5D2F4" w14:textId="610DF325" w:rsidR="00F26834" w:rsidRDefault="00944420" w:rsidP="00944420">
      <w:pPr>
        <w:pStyle w:val="Lgende"/>
        <w:spacing w:after="240"/>
        <w:jc w:val="center"/>
      </w:pPr>
      <w:r>
        <w:t xml:space="preserve">Figure </w:t>
      </w:r>
      <w:r>
        <w:fldChar w:fldCharType="begin"/>
      </w:r>
      <w:r>
        <w:instrText xml:space="preserve"> SEQ Figure \* ARABIC </w:instrText>
      </w:r>
      <w:r>
        <w:fldChar w:fldCharType="separate"/>
      </w:r>
      <w:r w:rsidR="00F23097">
        <w:rPr>
          <w:noProof/>
        </w:rPr>
        <w:t>5</w:t>
      </w:r>
      <w:r>
        <w:fldChar w:fldCharType="end"/>
      </w:r>
      <w:r>
        <w:t xml:space="preserve"> - External indeterminate hires by occupational group, 2018-19</w:t>
      </w:r>
    </w:p>
    <w:p w14:paraId="3FDBEB9F" w14:textId="576B08C1" w:rsidR="00944420" w:rsidRDefault="00944420" w:rsidP="00944420">
      <w:pPr>
        <w:pStyle w:val="Lgende"/>
        <w:keepNext/>
        <w:jc w:val="center"/>
      </w:pPr>
      <w:r>
        <w:t xml:space="preserve">Table </w:t>
      </w:r>
      <w:r>
        <w:fldChar w:fldCharType="begin"/>
      </w:r>
      <w:r>
        <w:instrText xml:space="preserve"> SEQ Table \* ARABIC </w:instrText>
      </w:r>
      <w:r>
        <w:fldChar w:fldCharType="separate"/>
      </w:r>
      <w:r w:rsidR="00147E67">
        <w:rPr>
          <w:noProof/>
        </w:rPr>
        <w:t>8</w:t>
      </w:r>
      <w:r>
        <w:fldChar w:fldCharType="end"/>
      </w:r>
      <w:r>
        <w:t xml:space="preserve"> - </w:t>
      </w:r>
      <w:r w:rsidRPr="00FA602E">
        <w:t>External indeterminate hires by top occupational groups, for fiscal year 2018 to 2019</w:t>
      </w:r>
    </w:p>
    <w:tbl>
      <w:tblPr>
        <w:tblStyle w:val="TableGrid1"/>
        <w:tblW w:w="5000" w:type="pct"/>
        <w:jc w:val="center"/>
        <w:tblLook w:val="0000" w:firstRow="0" w:lastRow="0" w:firstColumn="0" w:lastColumn="0" w:noHBand="0" w:noVBand="0"/>
        <w:tblDescription w:val="External indeterminate hires by occupational group 2018-19"/>
      </w:tblPr>
      <w:tblGrid>
        <w:gridCol w:w="5928"/>
        <w:gridCol w:w="5987"/>
        <w:gridCol w:w="6795"/>
      </w:tblGrid>
      <w:tr w:rsidR="00944420" w:rsidRPr="00944420" w14:paraId="2F7BBD66" w14:textId="77777777" w:rsidTr="00100B6E">
        <w:trPr>
          <w:cantSplit/>
          <w:trHeight w:val="290"/>
          <w:tblHeader/>
          <w:jc w:val="center"/>
        </w:trPr>
        <w:tc>
          <w:tcPr>
            <w:tcW w:w="1584" w:type="pct"/>
          </w:tcPr>
          <w:p w14:paraId="14BAEFA1" w14:textId="77777777" w:rsidR="00944420" w:rsidRPr="00944420" w:rsidRDefault="00944420" w:rsidP="00595D60">
            <w:pPr>
              <w:pStyle w:val="TableTitle"/>
              <w:rPr>
                <w:rFonts w:eastAsiaTheme="minorHAnsi"/>
                <w:color w:val="auto"/>
                <w:sz w:val="22"/>
                <w:szCs w:val="22"/>
                <w:lang w:val="en-CA"/>
              </w:rPr>
            </w:pPr>
            <w:r w:rsidRPr="00944420">
              <w:rPr>
                <w:rFonts w:eastAsiaTheme="minorHAnsi"/>
                <w:color w:val="auto"/>
                <w:sz w:val="22"/>
                <w:szCs w:val="22"/>
                <w:lang w:val="en-CA"/>
              </w:rPr>
              <w:t>Occupational group</w:t>
            </w:r>
          </w:p>
        </w:tc>
        <w:tc>
          <w:tcPr>
            <w:tcW w:w="1600" w:type="pct"/>
          </w:tcPr>
          <w:p w14:paraId="6287BFEA" w14:textId="77777777" w:rsidR="00944420" w:rsidRPr="00944420" w:rsidRDefault="00944420" w:rsidP="00595D60">
            <w:pPr>
              <w:pStyle w:val="TableTitle"/>
              <w:rPr>
                <w:rFonts w:eastAsiaTheme="minorHAnsi"/>
                <w:color w:val="auto"/>
                <w:sz w:val="22"/>
                <w:szCs w:val="22"/>
                <w:lang w:val="en-CA"/>
              </w:rPr>
            </w:pPr>
            <w:r w:rsidRPr="00944420">
              <w:rPr>
                <w:rFonts w:eastAsiaTheme="minorHAnsi"/>
                <w:color w:val="auto"/>
                <w:sz w:val="22"/>
                <w:szCs w:val="22"/>
                <w:lang w:val="en-CA"/>
              </w:rPr>
              <w:t xml:space="preserve">Number of indeterminate hiring activities </w:t>
            </w:r>
          </w:p>
        </w:tc>
        <w:tc>
          <w:tcPr>
            <w:tcW w:w="1816" w:type="pct"/>
          </w:tcPr>
          <w:p w14:paraId="0CDA5857" w14:textId="77777777" w:rsidR="00944420" w:rsidRPr="00944420" w:rsidRDefault="00944420" w:rsidP="00595D60">
            <w:pPr>
              <w:pStyle w:val="TableTitle"/>
              <w:rPr>
                <w:rFonts w:eastAsiaTheme="minorHAnsi"/>
                <w:color w:val="auto"/>
                <w:sz w:val="22"/>
                <w:szCs w:val="22"/>
                <w:lang w:val="en-CA"/>
              </w:rPr>
            </w:pPr>
            <w:r w:rsidRPr="00944420">
              <w:rPr>
                <w:rFonts w:eastAsiaTheme="minorHAnsi"/>
                <w:color w:val="auto"/>
                <w:sz w:val="22"/>
                <w:szCs w:val="22"/>
                <w:lang w:val="en-CA"/>
              </w:rPr>
              <w:t>Percentage of all indeterminate hiring activities</w:t>
            </w:r>
          </w:p>
        </w:tc>
      </w:tr>
      <w:tr w:rsidR="00944420" w:rsidRPr="00944420" w14:paraId="2F0BF9CD" w14:textId="77777777" w:rsidTr="00100B6E">
        <w:trPr>
          <w:cantSplit/>
          <w:trHeight w:val="290"/>
          <w:tblHeader/>
          <w:jc w:val="center"/>
        </w:trPr>
        <w:tc>
          <w:tcPr>
            <w:tcW w:w="1584" w:type="pct"/>
          </w:tcPr>
          <w:p w14:paraId="391DC9F2" w14:textId="77777777" w:rsidR="00944420" w:rsidRPr="00944420" w:rsidRDefault="00944420" w:rsidP="00595D60">
            <w:pPr>
              <w:autoSpaceDE w:val="0"/>
              <w:autoSpaceDN w:val="0"/>
              <w:adjustRightInd w:val="0"/>
              <w:rPr>
                <w:rFonts w:asciiTheme="minorHAnsi" w:eastAsiaTheme="minorHAnsi" w:hAnsiTheme="minorHAnsi" w:cstheme="minorHAnsi"/>
                <w:color w:val="000000"/>
                <w:sz w:val="22"/>
                <w:szCs w:val="22"/>
                <w:highlight w:val="yellow"/>
                <w:lang w:val="en-CA"/>
              </w:rPr>
            </w:pPr>
            <w:r w:rsidRPr="00944420">
              <w:rPr>
                <w:rFonts w:asciiTheme="minorHAnsi" w:eastAsiaTheme="minorHAnsi" w:hAnsiTheme="minorHAnsi" w:cstheme="minorHAnsi"/>
                <w:color w:val="000000"/>
                <w:sz w:val="22"/>
                <w:szCs w:val="22"/>
                <w:lang w:val="en-CA"/>
              </w:rPr>
              <w:t>EC – Economics and Social Science Services</w:t>
            </w:r>
          </w:p>
        </w:tc>
        <w:tc>
          <w:tcPr>
            <w:tcW w:w="1600" w:type="pct"/>
          </w:tcPr>
          <w:p w14:paraId="46D9253A"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46</w:t>
            </w:r>
          </w:p>
        </w:tc>
        <w:tc>
          <w:tcPr>
            <w:tcW w:w="1816" w:type="pct"/>
          </w:tcPr>
          <w:p w14:paraId="1375F385"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52%</w:t>
            </w:r>
          </w:p>
        </w:tc>
      </w:tr>
      <w:tr w:rsidR="00944420" w:rsidRPr="00944420" w14:paraId="3B360244" w14:textId="77777777" w:rsidTr="00100B6E">
        <w:trPr>
          <w:cantSplit/>
          <w:trHeight w:val="290"/>
          <w:tblHeader/>
          <w:jc w:val="center"/>
        </w:trPr>
        <w:tc>
          <w:tcPr>
            <w:tcW w:w="1584" w:type="pct"/>
          </w:tcPr>
          <w:p w14:paraId="797B080F" w14:textId="77777777" w:rsidR="00944420" w:rsidRPr="00944420" w:rsidRDefault="00944420" w:rsidP="00595D60">
            <w:pPr>
              <w:autoSpaceDE w:val="0"/>
              <w:autoSpaceDN w:val="0"/>
              <w:adjustRightInd w:val="0"/>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AS – Administrative Services</w:t>
            </w:r>
          </w:p>
        </w:tc>
        <w:tc>
          <w:tcPr>
            <w:tcW w:w="1600" w:type="pct"/>
          </w:tcPr>
          <w:p w14:paraId="7FF11870"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18</w:t>
            </w:r>
          </w:p>
        </w:tc>
        <w:tc>
          <w:tcPr>
            <w:tcW w:w="1816" w:type="pct"/>
          </w:tcPr>
          <w:p w14:paraId="5F437D97"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21%</w:t>
            </w:r>
          </w:p>
        </w:tc>
      </w:tr>
      <w:tr w:rsidR="00944420" w:rsidRPr="00944420" w14:paraId="35870F92" w14:textId="77777777" w:rsidTr="00100B6E">
        <w:trPr>
          <w:cantSplit/>
          <w:trHeight w:val="70"/>
          <w:tblHeader/>
          <w:jc w:val="center"/>
        </w:trPr>
        <w:tc>
          <w:tcPr>
            <w:tcW w:w="1584" w:type="pct"/>
          </w:tcPr>
          <w:p w14:paraId="2201C093" w14:textId="77777777" w:rsidR="00944420" w:rsidRPr="00944420" w:rsidRDefault="00944420" w:rsidP="00595D60">
            <w:pPr>
              <w:autoSpaceDE w:val="0"/>
              <w:autoSpaceDN w:val="0"/>
              <w:adjustRightInd w:val="0"/>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Other</w:t>
            </w:r>
          </w:p>
        </w:tc>
        <w:tc>
          <w:tcPr>
            <w:tcW w:w="1600" w:type="pct"/>
          </w:tcPr>
          <w:p w14:paraId="38458106"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23</w:t>
            </w:r>
          </w:p>
        </w:tc>
        <w:tc>
          <w:tcPr>
            <w:tcW w:w="1816" w:type="pct"/>
          </w:tcPr>
          <w:p w14:paraId="5D7390CE"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26%</w:t>
            </w:r>
          </w:p>
        </w:tc>
      </w:tr>
      <w:tr w:rsidR="00944420" w:rsidRPr="00944420" w14:paraId="2DFD64E3" w14:textId="77777777" w:rsidTr="00100B6E">
        <w:trPr>
          <w:cantSplit/>
          <w:trHeight w:val="290"/>
          <w:tblHeader/>
          <w:jc w:val="center"/>
        </w:trPr>
        <w:tc>
          <w:tcPr>
            <w:tcW w:w="1584" w:type="pct"/>
          </w:tcPr>
          <w:p w14:paraId="196D1AA0" w14:textId="77777777" w:rsidR="00944420" w:rsidRPr="00944420" w:rsidRDefault="00944420" w:rsidP="00595D60">
            <w:pPr>
              <w:autoSpaceDE w:val="0"/>
              <w:autoSpaceDN w:val="0"/>
              <w:adjustRightInd w:val="0"/>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Total</w:t>
            </w:r>
          </w:p>
        </w:tc>
        <w:tc>
          <w:tcPr>
            <w:tcW w:w="1600" w:type="pct"/>
          </w:tcPr>
          <w:p w14:paraId="09A323A7"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88</w:t>
            </w:r>
          </w:p>
        </w:tc>
        <w:tc>
          <w:tcPr>
            <w:tcW w:w="1816" w:type="pct"/>
          </w:tcPr>
          <w:p w14:paraId="529B61A2" w14:textId="77777777" w:rsidR="00944420" w:rsidRPr="00944420" w:rsidRDefault="00944420" w:rsidP="00595D60">
            <w:pPr>
              <w:autoSpaceDE w:val="0"/>
              <w:autoSpaceDN w:val="0"/>
              <w:adjustRightInd w:val="0"/>
              <w:jc w:val="center"/>
              <w:rPr>
                <w:rFonts w:asciiTheme="minorHAnsi" w:eastAsiaTheme="minorHAnsi" w:hAnsiTheme="minorHAnsi" w:cstheme="minorHAnsi"/>
                <w:color w:val="000000"/>
                <w:sz w:val="22"/>
                <w:szCs w:val="22"/>
                <w:lang w:val="en-CA"/>
              </w:rPr>
            </w:pPr>
            <w:r w:rsidRPr="00944420">
              <w:rPr>
                <w:rFonts w:asciiTheme="minorHAnsi" w:eastAsiaTheme="minorHAnsi" w:hAnsiTheme="minorHAnsi" w:cstheme="minorHAnsi"/>
                <w:color w:val="000000"/>
                <w:sz w:val="22"/>
                <w:szCs w:val="22"/>
                <w:lang w:val="en-CA"/>
              </w:rPr>
              <w:t>100%</w:t>
            </w:r>
          </w:p>
        </w:tc>
      </w:tr>
    </w:tbl>
    <w:p w14:paraId="19146739" w14:textId="77777777" w:rsidR="00100B6E" w:rsidRPr="00100B6E" w:rsidRDefault="00100B6E" w:rsidP="00100B6E">
      <w:pPr>
        <w:pStyle w:val="Titre1"/>
        <w:spacing w:before="120" w:after="120"/>
        <w:rPr>
          <w:sz w:val="40"/>
          <w:lang w:val="en-CA"/>
        </w:rPr>
      </w:pPr>
      <w:r w:rsidRPr="00100B6E">
        <w:rPr>
          <w:rFonts w:eastAsia="Times New Roman"/>
          <w:sz w:val="40"/>
          <w:lang w:val="en-CA"/>
        </w:rPr>
        <w:lastRenderedPageBreak/>
        <w:t>Staffing by region</w:t>
      </w:r>
    </w:p>
    <w:p w14:paraId="725B52E9" w14:textId="77777777" w:rsidR="007A68D2" w:rsidRDefault="009F1BE8" w:rsidP="007A68D2">
      <w:pPr>
        <w:keepNext/>
        <w:jc w:val="center"/>
      </w:pPr>
      <w:r w:rsidRPr="006E2679">
        <w:rPr>
          <w:rStyle w:val="lev"/>
          <w:noProof/>
          <w:lang w:val="en-CA" w:eastAsia="en-CA"/>
        </w:rPr>
        <w:drawing>
          <wp:inline distT="0" distB="0" distL="0" distR="0" wp14:anchorId="7C3A2847" wp14:editId="4A426097">
            <wp:extent cx="5648400" cy="3049200"/>
            <wp:effectExtent l="0" t="0" r="9525" b="18415"/>
            <wp:docPr id="6" name="Chart 6" descr="Figure 6 - 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3C425A" w14:textId="746498C9" w:rsidR="00775265" w:rsidRDefault="007A68D2" w:rsidP="007A68D2">
      <w:pPr>
        <w:pStyle w:val="Lgende"/>
        <w:spacing w:after="240"/>
        <w:jc w:val="center"/>
      </w:pPr>
      <w:r>
        <w:t xml:space="preserve">Figure </w:t>
      </w:r>
      <w:r>
        <w:fldChar w:fldCharType="begin"/>
      </w:r>
      <w:r>
        <w:instrText xml:space="preserve"> SEQ Figure \* ARABIC </w:instrText>
      </w:r>
      <w:r>
        <w:fldChar w:fldCharType="separate"/>
      </w:r>
      <w:r w:rsidR="00F23097">
        <w:rPr>
          <w:noProof/>
        </w:rPr>
        <w:t>6</w:t>
      </w:r>
      <w:r>
        <w:fldChar w:fldCharType="end"/>
      </w:r>
      <w:r>
        <w:t xml:space="preserve"> - </w:t>
      </w:r>
      <w:r w:rsidRPr="008B57F5">
        <w:t>Staffing by region</w:t>
      </w:r>
    </w:p>
    <w:p w14:paraId="5C30286C" w14:textId="2CC89B7B" w:rsidR="007A68D2" w:rsidRDefault="007A68D2" w:rsidP="007A68D2">
      <w:pPr>
        <w:pStyle w:val="Lgende"/>
        <w:keepNext/>
        <w:jc w:val="center"/>
      </w:pPr>
      <w:r>
        <w:t xml:space="preserve">Table </w:t>
      </w:r>
      <w:r>
        <w:fldChar w:fldCharType="begin"/>
      </w:r>
      <w:r>
        <w:instrText xml:space="preserve"> SEQ Table \* ARABIC </w:instrText>
      </w:r>
      <w:r>
        <w:fldChar w:fldCharType="separate"/>
      </w:r>
      <w:r w:rsidR="00147E67">
        <w:rPr>
          <w:noProof/>
        </w:rPr>
        <w:t>9</w:t>
      </w:r>
      <w:r>
        <w:fldChar w:fldCharType="end"/>
      </w:r>
      <w:r>
        <w:t xml:space="preserve"> - </w:t>
      </w:r>
      <w:r w:rsidRPr="00E3007F">
        <w:t>Percentage of staffing activities in the National Capital Region compared with all other regions by fiscal year</w:t>
      </w:r>
    </w:p>
    <w:tbl>
      <w:tblPr>
        <w:tblStyle w:val="TableGrid1"/>
        <w:tblW w:w="5000" w:type="pct"/>
        <w:jc w:val="center"/>
        <w:tblLook w:val="0000" w:firstRow="0" w:lastRow="0" w:firstColumn="0" w:lastColumn="0" w:noHBand="0" w:noVBand="0"/>
        <w:tblDescription w:val="Staffing by region from 2014 to 2019"/>
      </w:tblPr>
      <w:tblGrid>
        <w:gridCol w:w="2847"/>
        <w:gridCol w:w="8869"/>
        <w:gridCol w:w="6994"/>
      </w:tblGrid>
      <w:tr w:rsidR="007A68D2" w:rsidRPr="007A68D2" w14:paraId="6C9CA4F2" w14:textId="77777777" w:rsidTr="007A68D2">
        <w:trPr>
          <w:cantSplit/>
          <w:trHeight w:val="290"/>
          <w:tblHeader/>
          <w:jc w:val="center"/>
        </w:trPr>
        <w:tc>
          <w:tcPr>
            <w:tcW w:w="761" w:type="pct"/>
          </w:tcPr>
          <w:p w14:paraId="63265EFC" w14:textId="77777777" w:rsidR="007A68D2" w:rsidRPr="007A68D2" w:rsidRDefault="007A68D2" w:rsidP="00595D60">
            <w:pPr>
              <w:pStyle w:val="TableTitle"/>
              <w:rPr>
                <w:rFonts w:eastAsiaTheme="minorHAnsi"/>
                <w:color w:val="auto"/>
                <w:sz w:val="22"/>
                <w:szCs w:val="22"/>
                <w:lang w:val="en-CA"/>
              </w:rPr>
            </w:pPr>
            <w:r w:rsidRPr="007A68D2">
              <w:rPr>
                <w:rFonts w:eastAsiaTheme="minorHAnsi"/>
                <w:color w:val="auto"/>
                <w:sz w:val="22"/>
                <w:szCs w:val="22"/>
                <w:lang w:val="en-CA"/>
              </w:rPr>
              <w:t>Fiscal year</w:t>
            </w:r>
          </w:p>
        </w:tc>
        <w:tc>
          <w:tcPr>
            <w:tcW w:w="2370" w:type="pct"/>
          </w:tcPr>
          <w:p w14:paraId="5216DFEF" w14:textId="77777777" w:rsidR="007A68D2" w:rsidRPr="007A68D2" w:rsidRDefault="007A68D2" w:rsidP="00595D60">
            <w:pPr>
              <w:pStyle w:val="TableTitle"/>
              <w:rPr>
                <w:rFonts w:eastAsiaTheme="minorHAnsi"/>
                <w:color w:val="auto"/>
                <w:sz w:val="22"/>
                <w:szCs w:val="22"/>
                <w:lang w:val="en-CA"/>
              </w:rPr>
            </w:pPr>
            <w:r w:rsidRPr="007A68D2">
              <w:rPr>
                <w:rFonts w:eastAsiaTheme="minorHAnsi"/>
                <w:color w:val="auto"/>
                <w:sz w:val="22"/>
                <w:szCs w:val="22"/>
                <w:lang w:val="en-CA"/>
              </w:rPr>
              <w:t>Percentage of staffing activities in the National Capital Region (NCR)</w:t>
            </w:r>
          </w:p>
        </w:tc>
        <w:tc>
          <w:tcPr>
            <w:tcW w:w="1869" w:type="pct"/>
          </w:tcPr>
          <w:p w14:paraId="5299AD5D" w14:textId="77777777" w:rsidR="007A68D2" w:rsidRPr="007A68D2" w:rsidRDefault="007A68D2" w:rsidP="00595D60">
            <w:pPr>
              <w:pStyle w:val="TableTitle"/>
              <w:rPr>
                <w:rFonts w:eastAsiaTheme="minorHAnsi"/>
                <w:color w:val="auto"/>
                <w:sz w:val="22"/>
                <w:szCs w:val="22"/>
                <w:lang w:val="en-CA"/>
              </w:rPr>
            </w:pPr>
            <w:r w:rsidRPr="007A68D2">
              <w:rPr>
                <w:rFonts w:eastAsiaTheme="minorHAnsi"/>
                <w:color w:val="auto"/>
                <w:sz w:val="22"/>
                <w:szCs w:val="22"/>
                <w:lang w:val="en-CA"/>
              </w:rPr>
              <w:t>Percentage of staffing activities in all other regions (Non-NCR)</w:t>
            </w:r>
          </w:p>
        </w:tc>
      </w:tr>
      <w:tr w:rsidR="007A68D2" w:rsidRPr="007A68D2" w14:paraId="3163F1A7" w14:textId="77777777" w:rsidTr="007A68D2">
        <w:trPr>
          <w:cantSplit/>
          <w:trHeight w:val="290"/>
          <w:tblHeader/>
          <w:jc w:val="center"/>
        </w:trPr>
        <w:tc>
          <w:tcPr>
            <w:tcW w:w="761" w:type="pct"/>
          </w:tcPr>
          <w:p w14:paraId="5070C1C9" w14:textId="77777777" w:rsidR="007A68D2" w:rsidRPr="007A68D2" w:rsidRDefault="007A68D2" w:rsidP="00595D60">
            <w:pPr>
              <w:autoSpaceDE w:val="0"/>
              <w:autoSpaceDN w:val="0"/>
              <w:adjustRightInd w:val="0"/>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2014 to 2015</w:t>
            </w:r>
          </w:p>
        </w:tc>
        <w:tc>
          <w:tcPr>
            <w:tcW w:w="2370" w:type="pct"/>
          </w:tcPr>
          <w:p w14:paraId="10C72F30"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63%</w:t>
            </w:r>
          </w:p>
        </w:tc>
        <w:tc>
          <w:tcPr>
            <w:tcW w:w="1869" w:type="pct"/>
          </w:tcPr>
          <w:p w14:paraId="4469FEE2"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37%</w:t>
            </w:r>
          </w:p>
        </w:tc>
      </w:tr>
      <w:tr w:rsidR="007A68D2" w:rsidRPr="007A68D2" w14:paraId="3DB89EF0" w14:textId="77777777" w:rsidTr="007A68D2">
        <w:trPr>
          <w:cantSplit/>
          <w:trHeight w:val="290"/>
          <w:tblHeader/>
          <w:jc w:val="center"/>
        </w:trPr>
        <w:tc>
          <w:tcPr>
            <w:tcW w:w="761" w:type="pct"/>
          </w:tcPr>
          <w:p w14:paraId="623A6D6E" w14:textId="77777777" w:rsidR="007A68D2" w:rsidRPr="007A68D2" w:rsidRDefault="007A68D2" w:rsidP="00595D60">
            <w:pPr>
              <w:autoSpaceDE w:val="0"/>
              <w:autoSpaceDN w:val="0"/>
              <w:adjustRightInd w:val="0"/>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2015 to 2016</w:t>
            </w:r>
          </w:p>
        </w:tc>
        <w:tc>
          <w:tcPr>
            <w:tcW w:w="2370" w:type="pct"/>
          </w:tcPr>
          <w:p w14:paraId="76850606"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67%</w:t>
            </w:r>
          </w:p>
        </w:tc>
        <w:tc>
          <w:tcPr>
            <w:tcW w:w="1869" w:type="pct"/>
          </w:tcPr>
          <w:p w14:paraId="6845180D"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33%</w:t>
            </w:r>
          </w:p>
        </w:tc>
      </w:tr>
      <w:tr w:rsidR="007A68D2" w:rsidRPr="007A68D2" w14:paraId="38797A05" w14:textId="77777777" w:rsidTr="007A68D2">
        <w:trPr>
          <w:cantSplit/>
          <w:trHeight w:val="290"/>
          <w:tblHeader/>
          <w:jc w:val="center"/>
        </w:trPr>
        <w:tc>
          <w:tcPr>
            <w:tcW w:w="761" w:type="pct"/>
          </w:tcPr>
          <w:p w14:paraId="6EB62C76" w14:textId="77777777" w:rsidR="007A68D2" w:rsidRPr="007A68D2" w:rsidRDefault="007A68D2" w:rsidP="00595D60">
            <w:pPr>
              <w:autoSpaceDE w:val="0"/>
              <w:autoSpaceDN w:val="0"/>
              <w:adjustRightInd w:val="0"/>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2016 to 2017</w:t>
            </w:r>
          </w:p>
        </w:tc>
        <w:tc>
          <w:tcPr>
            <w:tcW w:w="2370" w:type="pct"/>
          </w:tcPr>
          <w:p w14:paraId="5DD48B73"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68%</w:t>
            </w:r>
          </w:p>
        </w:tc>
        <w:tc>
          <w:tcPr>
            <w:tcW w:w="1869" w:type="pct"/>
          </w:tcPr>
          <w:p w14:paraId="3DF699DD"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32%</w:t>
            </w:r>
          </w:p>
        </w:tc>
      </w:tr>
      <w:tr w:rsidR="007A68D2" w:rsidRPr="007A68D2" w14:paraId="3D21DECE" w14:textId="77777777" w:rsidTr="007A68D2">
        <w:trPr>
          <w:cantSplit/>
          <w:trHeight w:val="290"/>
          <w:tblHeader/>
          <w:jc w:val="center"/>
        </w:trPr>
        <w:tc>
          <w:tcPr>
            <w:tcW w:w="761" w:type="pct"/>
          </w:tcPr>
          <w:p w14:paraId="274AD747" w14:textId="77777777" w:rsidR="007A68D2" w:rsidRPr="007A68D2" w:rsidRDefault="007A68D2" w:rsidP="00595D60">
            <w:pPr>
              <w:autoSpaceDE w:val="0"/>
              <w:autoSpaceDN w:val="0"/>
              <w:adjustRightInd w:val="0"/>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2017 to 2018</w:t>
            </w:r>
          </w:p>
        </w:tc>
        <w:tc>
          <w:tcPr>
            <w:tcW w:w="2370" w:type="pct"/>
          </w:tcPr>
          <w:p w14:paraId="7D3180E0"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68%</w:t>
            </w:r>
          </w:p>
        </w:tc>
        <w:tc>
          <w:tcPr>
            <w:tcW w:w="1869" w:type="pct"/>
          </w:tcPr>
          <w:p w14:paraId="6F2A1984"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32%</w:t>
            </w:r>
          </w:p>
        </w:tc>
      </w:tr>
      <w:tr w:rsidR="007A68D2" w:rsidRPr="007A68D2" w14:paraId="3713C6AD" w14:textId="77777777" w:rsidTr="007A68D2">
        <w:trPr>
          <w:cantSplit/>
          <w:trHeight w:val="290"/>
          <w:tblHeader/>
          <w:jc w:val="center"/>
        </w:trPr>
        <w:tc>
          <w:tcPr>
            <w:tcW w:w="761" w:type="pct"/>
          </w:tcPr>
          <w:p w14:paraId="576D566F" w14:textId="77777777" w:rsidR="007A68D2" w:rsidRPr="007A68D2" w:rsidRDefault="007A68D2" w:rsidP="00595D60">
            <w:pPr>
              <w:autoSpaceDE w:val="0"/>
              <w:autoSpaceDN w:val="0"/>
              <w:adjustRightInd w:val="0"/>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2018 to 2019</w:t>
            </w:r>
          </w:p>
        </w:tc>
        <w:tc>
          <w:tcPr>
            <w:tcW w:w="2370" w:type="pct"/>
          </w:tcPr>
          <w:p w14:paraId="1899B2C0"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70%</w:t>
            </w:r>
          </w:p>
        </w:tc>
        <w:tc>
          <w:tcPr>
            <w:tcW w:w="1869" w:type="pct"/>
          </w:tcPr>
          <w:p w14:paraId="5B6B1BBB" w14:textId="77777777" w:rsidR="007A68D2" w:rsidRPr="007A68D2" w:rsidRDefault="007A68D2" w:rsidP="00595D60">
            <w:pPr>
              <w:autoSpaceDE w:val="0"/>
              <w:autoSpaceDN w:val="0"/>
              <w:adjustRightInd w:val="0"/>
              <w:jc w:val="center"/>
              <w:rPr>
                <w:rFonts w:asciiTheme="minorHAnsi" w:eastAsiaTheme="minorHAnsi" w:hAnsiTheme="minorHAnsi" w:cstheme="minorHAnsi"/>
                <w:color w:val="000000"/>
                <w:sz w:val="22"/>
                <w:szCs w:val="22"/>
                <w:lang w:val="en-CA"/>
              </w:rPr>
            </w:pPr>
            <w:r w:rsidRPr="007A68D2">
              <w:rPr>
                <w:rFonts w:asciiTheme="minorHAnsi" w:eastAsiaTheme="minorHAnsi" w:hAnsiTheme="minorHAnsi" w:cstheme="minorHAnsi"/>
                <w:color w:val="000000"/>
                <w:sz w:val="22"/>
                <w:szCs w:val="22"/>
                <w:lang w:val="en-CA"/>
              </w:rPr>
              <w:t>30%</w:t>
            </w:r>
          </w:p>
        </w:tc>
      </w:tr>
    </w:tbl>
    <w:p w14:paraId="36EF5928" w14:textId="77777777" w:rsidR="00100B6E" w:rsidRPr="00100B6E" w:rsidRDefault="00100B6E" w:rsidP="00100B6E">
      <w:pPr>
        <w:pStyle w:val="Titre1"/>
        <w:spacing w:before="120" w:after="120"/>
        <w:rPr>
          <w:sz w:val="40"/>
          <w:lang w:val="en-CA"/>
        </w:rPr>
      </w:pPr>
      <w:r w:rsidRPr="00100B6E">
        <w:rPr>
          <w:rFonts w:eastAsia="Times New Roman"/>
          <w:sz w:val="40"/>
          <w:lang w:val="en-CA"/>
        </w:rPr>
        <w:lastRenderedPageBreak/>
        <w:t>Staffing by process type</w:t>
      </w:r>
    </w:p>
    <w:p w14:paraId="34BF654C" w14:textId="77777777" w:rsidR="00715065" w:rsidRDefault="007A68D2" w:rsidP="00715065">
      <w:pPr>
        <w:keepNext/>
        <w:tabs>
          <w:tab w:val="center" w:pos="4680"/>
          <w:tab w:val="right" w:pos="9360"/>
        </w:tabs>
        <w:jc w:val="center"/>
      </w:pPr>
      <w:r w:rsidRPr="006E2679">
        <w:rPr>
          <w:rStyle w:val="lev"/>
          <w:noProof/>
          <w:lang w:val="en-CA" w:eastAsia="en-CA"/>
        </w:rPr>
        <w:drawing>
          <wp:inline distT="0" distB="0" distL="0" distR="0" wp14:anchorId="5B5289C4" wp14:editId="2D4ECBDE">
            <wp:extent cx="5648400" cy="3049200"/>
            <wp:effectExtent l="0" t="0" r="9525" b="18415"/>
            <wp:docPr id="1" name="Chart 1" descr="Figure 7 - 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93FABC" w14:textId="468B4305" w:rsidR="00775265" w:rsidRDefault="00715065" w:rsidP="00715065">
      <w:pPr>
        <w:pStyle w:val="Lgende"/>
        <w:spacing w:after="240"/>
        <w:jc w:val="center"/>
      </w:pPr>
      <w:r>
        <w:t xml:space="preserve">Figure </w:t>
      </w:r>
      <w:r>
        <w:fldChar w:fldCharType="begin"/>
      </w:r>
      <w:r>
        <w:instrText xml:space="preserve"> SEQ Figure \* ARABIC </w:instrText>
      </w:r>
      <w:r>
        <w:fldChar w:fldCharType="separate"/>
      </w:r>
      <w:r w:rsidR="00F23097">
        <w:rPr>
          <w:noProof/>
        </w:rPr>
        <w:t>7</w:t>
      </w:r>
      <w:r>
        <w:fldChar w:fldCharType="end"/>
      </w:r>
      <w:r>
        <w:t xml:space="preserve"> - </w:t>
      </w:r>
      <w:r w:rsidRPr="00243C7D">
        <w:t>Staffing by process type</w:t>
      </w:r>
    </w:p>
    <w:p w14:paraId="613E161A" w14:textId="209B1439" w:rsidR="00715065" w:rsidRDefault="00715065" w:rsidP="00715065">
      <w:pPr>
        <w:pStyle w:val="Lgende"/>
        <w:keepNext/>
        <w:jc w:val="center"/>
      </w:pPr>
      <w:r>
        <w:t xml:space="preserve">Table </w:t>
      </w:r>
      <w:r>
        <w:fldChar w:fldCharType="begin"/>
      </w:r>
      <w:r>
        <w:instrText xml:space="preserve"> SEQ Table \* ARABIC </w:instrText>
      </w:r>
      <w:r>
        <w:fldChar w:fldCharType="separate"/>
      </w:r>
      <w:r w:rsidR="00147E67">
        <w:rPr>
          <w:noProof/>
        </w:rPr>
        <w:t>10</w:t>
      </w:r>
      <w:r>
        <w:fldChar w:fldCharType="end"/>
      </w:r>
      <w:r>
        <w:t xml:space="preserve"> - </w:t>
      </w:r>
      <w:r w:rsidRPr="000A51CB">
        <w:t>Number and percentage of staffing activities by type of process and fiscal year</w:t>
      </w:r>
    </w:p>
    <w:tbl>
      <w:tblPr>
        <w:tblStyle w:val="TableGrid1"/>
        <w:tblW w:w="5000" w:type="pct"/>
        <w:jc w:val="center"/>
        <w:tblLook w:val="0000" w:firstRow="0" w:lastRow="0" w:firstColumn="0" w:lastColumn="0" w:noHBand="0" w:noVBand="0"/>
        <w:tblDescription w:val="Staffing by process type from 2014 to 2019"/>
      </w:tblPr>
      <w:tblGrid>
        <w:gridCol w:w="2173"/>
        <w:gridCol w:w="7694"/>
        <w:gridCol w:w="3600"/>
        <w:gridCol w:w="5243"/>
      </w:tblGrid>
      <w:tr w:rsidR="00715065" w:rsidRPr="00715065" w14:paraId="23CD01F1" w14:textId="77777777" w:rsidTr="00100B6E">
        <w:trPr>
          <w:cantSplit/>
          <w:trHeight w:val="290"/>
          <w:tblHeader/>
          <w:jc w:val="center"/>
        </w:trPr>
        <w:tc>
          <w:tcPr>
            <w:tcW w:w="581" w:type="pct"/>
          </w:tcPr>
          <w:p w14:paraId="516A16B7" w14:textId="77777777" w:rsidR="00715065" w:rsidRPr="00715065" w:rsidRDefault="00715065" w:rsidP="00595D60">
            <w:pPr>
              <w:pStyle w:val="TableTitle"/>
              <w:rPr>
                <w:rFonts w:eastAsiaTheme="minorHAnsi"/>
                <w:color w:val="auto"/>
                <w:sz w:val="22"/>
                <w:szCs w:val="24"/>
                <w:lang w:val="en-CA"/>
              </w:rPr>
            </w:pPr>
            <w:r w:rsidRPr="00715065">
              <w:rPr>
                <w:rFonts w:eastAsiaTheme="minorHAnsi"/>
                <w:color w:val="auto"/>
                <w:sz w:val="22"/>
                <w:szCs w:val="24"/>
                <w:lang w:val="en-CA"/>
              </w:rPr>
              <w:t>Fiscal year</w:t>
            </w:r>
          </w:p>
        </w:tc>
        <w:tc>
          <w:tcPr>
            <w:tcW w:w="2056" w:type="pct"/>
          </w:tcPr>
          <w:p w14:paraId="6DF65660" w14:textId="77777777" w:rsidR="00715065" w:rsidRPr="00715065" w:rsidRDefault="00715065" w:rsidP="00595D60">
            <w:pPr>
              <w:pStyle w:val="TableTitle"/>
              <w:rPr>
                <w:rFonts w:eastAsiaTheme="minorHAnsi"/>
                <w:color w:val="auto"/>
                <w:sz w:val="22"/>
                <w:szCs w:val="24"/>
                <w:lang w:val="en-CA"/>
              </w:rPr>
            </w:pPr>
            <w:r w:rsidRPr="00715065">
              <w:rPr>
                <w:rFonts w:eastAsiaTheme="minorHAnsi"/>
                <w:color w:val="auto"/>
                <w:sz w:val="22"/>
                <w:szCs w:val="24"/>
                <w:lang w:val="en-CA"/>
              </w:rPr>
              <w:t>Non-advertised processes (excludes unknowns)</w:t>
            </w:r>
          </w:p>
        </w:tc>
        <w:tc>
          <w:tcPr>
            <w:tcW w:w="962" w:type="pct"/>
          </w:tcPr>
          <w:p w14:paraId="1E5C904C" w14:textId="77777777" w:rsidR="00715065" w:rsidRPr="00715065" w:rsidRDefault="00715065" w:rsidP="00595D60">
            <w:pPr>
              <w:pStyle w:val="TableTitle"/>
              <w:rPr>
                <w:rFonts w:eastAsiaTheme="minorHAnsi"/>
                <w:color w:val="auto"/>
                <w:sz w:val="22"/>
                <w:szCs w:val="24"/>
                <w:lang w:val="en-CA"/>
              </w:rPr>
            </w:pPr>
            <w:r w:rsidRPr="00715065">
              <w:rPr>
                <w:rFonts w:eastAsiaTheme="minorHAnsi"/>
                <w:color w:val="auto"/>
                <w:sz w:val="22"/>
                <w:szCs w:val="24"/>
                <w:lang w:val="en-CA"/>
              </w:rPr>
              <w:t>Advertised processes</w:t>
            </w:r>
          </w:p>
        </w:tc>
        <w:tc>
          <w:tcPr>
            <w:tcW w:w="1401" w:type="pct"/>
          </w:tcPr>
          <w:p w14:paraId="60186AFB" w14:textId="77777777" w:rsidR="00715065" w:rsidRPr="00715065" w:rsidRDefault="00715065" w:rsidP="00595D60">
            <w:pPr>
              <w:pStyle w:val="TableTitle"/>
              <w:rPr>
                <w:rFonts w:eastAsiaTheme="minorHAnsi"/>
                <w:color w:val="auto"/>
                <w:sz w:val="22"/>
                <w:szCs w:val="24"/>
                <w:lang w:val="en-CA"/>
              </w:rPr>
            </w:pPr>
            <w:r w:rsidRPr="00715065">
              <w:rPr>
                <w:rFonts w:eastAsiaTheme="minorHAnsi"/>
                <w:color w:val="auto"/>
                <w:sz w:val="22"/>
                <w:szCs w:val="24"/>
                <w:lang w:val="en-CA"/>
              </w:rPr>
              <w:t>% of Non- advertised processes</w:t>
            </w:r>
          </w:p>
        </w:tc>
      </w:tr>
      <w:tr w:rsidR="00715065" w:rsidRPr="00715065" w14:paraId="789EE14B" w14:textId="77777777" w:rsidTr="00100B6E">
        <w:trPr>
          <w:cantSplit/>
          <w:trHeight w:val="290"/>
          <w:tblHeader/>
          <w:jc w:val="center"/>
        </w:trPr>
        <w:tc>
          <w:tcPr>
            <w:tcW w:w="581" w:type="pct"/>
          </w:tcPr>
          <w:p w14:paraId="0AD03D77" w14:textId="77777777" w:rsidR="00715065" w:rsidRPr="00715065" w:rsidRDefault="00715065" w:rsidP="00595D60">
            <w:pPr>
              <w:autoSpaceDE w:val="0"/>
              <w:autoSpaceDN w:val="0"/>
              <w:adjustRightInd w:val="0"/>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 xml:space="preserve">2014 to 2015 </w:t>
            </w:r>
          </w:p>
        </w:tc>
        <w:tc>
          <w:tcPr>
            <w:tcW w:w="2056" w:type="pct"/>
          </w:tcPr>
          <w:p w14:paraId="71D2B992"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98</w:t>
            </w:r>
          </w:p>
        </w:tc>
        <w:tc>
          <w:tcPr>
            <w:tcW w:w="962" w:type="pct"/>
          </w:tcPr>
          <w:p w14:paraId="3C2610D9"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197</w:t>
            </w:r>
          </w:p>
        </w:tc>
        <w:tc>
          <w:tcPr>
            <w:tcW w:w="1401" w:type="pct"/>
          </w:tcPr>
          <w:p w14:paraId="1B612396"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33%</w:t>
            </w:r>
          </w:p>
        </w:tc>
      </w:tr>
      <w:tr w:rsidR="00715065" w:rsidRPr="00715065" w14:paraId="7C5AE88D" w14:textId="77777777" w:rsidTr="00100B6E">
        <w:trPr>
          <w:cantSplit/>
          <w:trHeight w:val="290"/>
          <w:tblHeader/>
          <w:jc w:val="center"/>
        </w:trPr>
        <w:tc>
          <w:tcPr>
            <w:tcW w:w="581" w:type="pct"/>
          </w:tcPr>
          <w:p w14:paraId="0235F61B" w14:textId="77777777" w:rsidR="00715065" w:rsidRPr="00715065" w:rsidRDefault="00715065" w:rsidP="00595D60">
            <w:pPr>
              <w:autoSpaceDE w:val="0"/>
              <w:autoSpaceDN w:val="0"/>
              <w:adjustRightInd w:val="0"/>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 xml:space="preserve">2015 to 2016 </w:t>
            </w:r>
          </w:p>
        </w:tc>
        <w:tc>
          <w:tcPr>
            <w:tcW w:w="2056" w:type="pct"/>
          </w:tcPr>
          <w:p w14:paraId="6B2F2706"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66</w:t>
            </w:r>
          </w:p>
        </w:tc>
        <w:tc>
          <w:tcPr>
            <w:tcW w:w="962" w:type="pct"/>
          </w:tcPr>
          <w:p w14:paraId="0AF8FA63"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164</w:t>
            </w:r>
          </w:p>
        </w:tc>
        <w:tc>
          <w:tcPr>
            <w:tcW w:w="1401" w:type="pct"/>
          </w:tcPr>
          <w:p w14:paraId="0CAA4D0F"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29%</w:t>
            </w:r>
          </w:p>
        </w:tc>
      </w:tr>
      <w:tr w:rsidR="00715065" w:rsidRPr="00715065" w14:paraId="1432F8D5" w14:textId="77777777" w:rsidTr="00100B6E">
        <w:trPr>
          <w:cantSplit/>
          <w:trHeight w:val="290"/>
          <w:tblHeader/>
          <w:jc w:val="center"/>
        </w:trPr>
        <w:tc>
          <w:tcPr>
            <w:tcW w:w="581" w:type="pct"/>
          </w:tcPr>
          <w:p w14:paraId="46985A97" w14:textId="77777777" w:rsidR="00715065" w:rsidRPr="00715065" w:rsidRDefault="00715065" w:rsidP="00595D60">
            <w:pPr>
              <w:autoSpaceDE w:val="0"/>
              <w:autoSpaceDN w:val="0"/>
              <w:adjustRightInd w:val="0"/>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2016 to 2017</w:t>
            </w:r>
          </w:p>
        </w:tc>
        <w:tc>
          <w:tcPr>
            <w:tcW w:w="2056" w:type="pct"/>
          </w:tcPr>
          <w:p w14:paraId="5DD825F3"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82</w:t>
            </w:r>
          </w:p>
        </w:tc>
        <w:tc>
          <w:tcPr>
            <w:tcW w:w="962" w:type="pct"/>
          </w:tcPr>
          <w:p w14:paraId="4834C5FA"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169</w:t>
            </w:r>
          </w:p>
        </w:tc>
        <w:tc>
          <w:tcPr>
            <w:tcW w:w="1401" w:type="pct"/>
          </w:tcPr>
          <w:p w14:paraId="2B9BD479"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33%</w:t>
            </w:r>
          </w:p>
        </w:tc>
      </w:tr>
      <w:tr w:rsidR="00715065" w:rsidRPr="00715065" w14:paraId="6360BEDC" w14:textId="77777777" w:rsidTr="00100B6E">
        <w:trPr>
          <w:cantSplit/>
          <w:trHeight w:val="290"/>
          <w:tblHeader/>
          <w:jc w:val="center"/>
        </w:trPr>
        <w:tc>
          <w:tcPr>
            <w:tcW w:w="581" w:type="pct"/>
          </w:tcPr>
          <w:p w14:paraId="0280B2D0" w14:textId="77777777" w:rsidR="00715065" w:rsidRPr="00715065" w:rsidRDefault="00715065" w:rsidP="00595D60">
            <w:pPr>
              <w:autoSpaceDE w:val="0"/>
              <w:autoSpaceDN w:val="0"/>
              <w:adjustRightInd w:val="0"/>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2017 to 2018</w:t>
            </w:r>
          </w:p>
        </w:tc>
        <w:tc>
          <w:tcPr>
            <w:tcW w:w="2056" w:type="pct"/>
          </w:tcPr>
          <w:p w14:paraId="1E588837"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164</w:t>
            </w:r>
          </w:p>
        </w:tc>
        <w:tc>
          <w:tcPr>
            <w:tcW w:w="962" w:type="pct"/>
          </w:tcPr>
          <w:p w14:paraId="456E77BB"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218</w:t>
            </w:r>
          </w:p>
        </w:tc>
        <w:tc>
          <w:tcPr>
            <w:tcW w:w="1401" w:type="pct"/>
          </w:tcPr>
          <w:p w14:paraId="39F411EF"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43%</w:t>
            </w:r>
          </w:p>
        </w:tc>
      </w:tr>
      <w:tr w:rsidR="00715065" w:rsidRPr="00715065" w14:paraId="1FB7FED2" w14:textId="77777777" w:rsidTr="00100B6E">
        <w:trPr>
          <w:cantSplit/>
          <w:trHeight w:val="290"/>
          <w:tblHeader/>
          <w:jc w:val="center"/>
        </w:trPr>
        <w:tc>
          <w:tcPr>
            <w:tcW w:w="581" w:type="pct"/>
          </w:tcPr>
          <w:p w14:paraId="1186F13D" w14:textId="77777777" w:rsidR="00715065" w:rsidRPr="00715065" w:rsidRDefault="00715065" w:rsidP="00595D60">
            <w:pPr>
              <w:autoSpaceDE w:val="0"/>
              <w:autoSpaceDN w:val="0"/>
              <w:adjustRightInd w:val="0"/>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2018 to 2019</w:t>
            </w:r>
          </w:p>
        </w:tc>
        <w:tc>
          <w:tcPr>
            <w:tcW w:w="2056" w:type="pct"/>
          </w:tcPr>
          <w:p w14:paraId="00E1798C"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195</w:t>
            </w:r>
          </w:p>
        </w:tc>
        <w:tc>
          <w:tcPr>
            <w:tcW w:w="962" w:type="pct"/>
          </w:tcPr>
          <w:p w14:paraId="65008ECE"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312</w:t>
            </w:r>
          </w:p>
        </w:tc>
        <w:tc>
          <w:tcPr>
            <w:tcW w:w="1401" w:type="pct"/>
          </w:tcPr>
          <w:p w14:paraId="61734F59" w14:textId="77777777" w:rsidR="00715065" w:rsidRPr="00715065" w:rsidRDefault="00715065" w:rsidP="00595D60">
            <w:pPr>
              <w:autoSpaceDE w:val="0"/>
              <w:autoSpaceDN w:val="0"/>
              <w:adjustRightInd w:val="0"/>
              <w:jc w:val="center"/>
              <w:rPr>
                <w:rFonts w:asciiTheme="minorHAnsi" w:eastAsiaTheme="minorHAnsi" w:hAnsiTheme="minorHAnsi" w:cstheme="minorHAnsi"/>
                <w:color w:val="000000"/>
                <w:sz w:val="22"/>
                <w:szCs w:val="24"/>
                <w:lang w:val="en-CA"/>
              </w:rPr>
            </w:pPr>
            <w:r w:rsidRPr="00715065">
              <w:rPr>
                <w:rFonts w:asciiTheme="minorHAnsi" w:eastAsiaTheme="minorHAnsi" w:hAnsiTheme="minorHAnsi" w:cstheme="minorHAnsi"/>
                <w:color w:val="000000"/>
                <w:sz w:val="22"/>
                <w:szCs w:val="24"/>
                <w:lang w:val="en-CA"/>
              </w:rPr>
              <w:t>38%</w:t>
            </w:r>
          </w:p>
        </w:tc>
      </w:tr>
    </w:tbl>
    <w:p w14:paraId="16FB7F4A" w14:textId="77777777" w:rsidR="003D79A8" w:rsidRPr="003D79A8" w:rsidRDefault="003D79A8" w:rsidP="003D79A8">
      <w:pPr>
        <w:pStyle w:val="Titre1"/>
        <w:spacing w:before="120" w:after="120"/>
        <w:rPr>
          <w:sz w:val="40"/>
          <w:lang w:val="en-CA"/>
        </w:rPr>
      </w:pPr>
      <w:r w:rsidRPr="003D79A8">
        <w:rPr>
          <w:rFonts w:eastAsia="Times New Roman"/>
          <w:sz w:val="40"/>
          <w:lang w:val="en-CA"/>
        </w:rPr>
        <w:lastRenderedPageBreak/>
        <w:t>Staffing by appointment type</w:t>
      </w:r>
    </w:p>
    <w:p w14:paraId="588F140F" w14:textId="77777777" w:rsidR="001B5A8D" w:rsidRDefault="000B5F12" w:rsidP="001B5A8D">
      <w:pPr>
        <w:keepNext/>
        <w:jc w:val="center"/>
      </w:pPr>
      <w:r w:rsidRPr="006E2679">
        <w:rPr>
          <w:rStyle w:val="lev"/>
          <w:noProof/>
          <w:lang w:val="en-CA" w:eastAsia="en-CA"/>
        </w:rPr>
        <w:drawing>
          <wp:inline distT="0" distB="0" distL="0" distR="0" wp14:anchorId="7BEBF573" wp14:editId="05506A43">
            <wp:extent cx="5648400" cy="3049200"/>
            <wp:effectExtent l="0" t="0" r="9525" b="18415"/>
            <wp:docPr id="9" name="Chart 9" descr="Figure 8 - Staffing by appointment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CA5E66" w14:textId="21843887" w:rsidR="000B5F12" w:rsidRDefault="001B5A8D" w:rsidP="001B5A8D">
      <w:pPr>
        <w:pStyle w:val="Lgende"/>
        <w:spacing w:after="240"/>
        <w:jc w:val="center"/>
      </w:pPr>
      <w:r>
        <w:t xml:space="preserve">Figure </w:t>
      </w:r>
      <w:r>
        <w:fldChar w:fldCharType="begin"/>
      </w:r>
      <w:r>
        <w:instrText xml:space="preserve"> SEQ Figure \* ARABIC </w:instrText>
      </w:r>
      <w:r>
        <w:fldChar w:fldCharType="separate"/>
      </w:r>
      <w:r w:rsidR="00F23097">
        <w:rPr>
          <w:noProof/>
        </w:rPr>
        <w:t>8</w:t>
      </w:r>
      <w:r>
        <w:fldChar w:fldCharType="end"/>
      </w:r>
      <w:r>
        <w:t xml:space="preserve"> - </w:t>
      </w:r>
      <w:r w:rsidRPr="00F24541">
        <w:t>Staffing by appointment type</w:t>
      </w:r>
    </w:p>
    <w:p w14:paraId="58112820" w14:textId="71A4E905" w:rsidR="001B5A8D" w:rsidRDefault="001B5A8D" w:rsidP="001B5A8D">
      <w:pPr>
        <w:pStyle w:val="Lgende"/>
        <w:keepNext/>
        <w:jc w:val="center"/>
      </w:pPr>
      <w:r>
        <w:t xml:space="preserve">Table </w:t>
      </w:r>
      <w:r>
        <w:fldChar w:fldCharType="begin"/>
      </w:r>
      <w:r>
        <w:instrText xml:space="preserve"> SEQ Table \* ARABIC </w:instrText>
      </w:r>
      <w:r>
        <w:fldChar w:fldCharType="separate"/>
      </w:r>
      <w:r w:rsidR="00147E67">
        <w:rPr>
          <w:noProof/>
        </w:rPr>
        <w:t>11</w:t>
      </w:r>
      <w:r>
        <w:fldChar w:fldCharType="end"/>
      </w:r>
      <w:r>
        <w:t xml:space="preserve"> - </w:t>
      </w:r>
      <w:r w:rsidRPr="008B15CB">
        <w:t>Staffing activities by appointment type and fiscal year</w:t>
      </w:r>
    </w:p>
    <w:tbl>
      <w:tblPr>
        <w:tblStyle w:val="TableGrid1"/>
        <w:tblW w:w="5000" w:type="pct"/>
        <w:jc w:val="center"/>
        <w:tblLook w:val="0000" w:firstRow="0" w:lastRow="0" w:firstColumn="0" w:lastColumn="0" w:noHBand="0" w:noVBand="0"/>
        <w:tblDescription w:val="Staffing by appointment type from 2014 to 2019"/>
      </w:tblPr>
      <w:tblGrid>
        <w:gridCol w:w="2892"/>
        <w:gridCol w:w="2541"/>
        <w:gridCol w:w="3203"/>
        <w:gridCol w:w="4397"/>
        <w:gridCol w:w="3944"/>
        <w:gridCol w:w="1733"/>
      </w:tblGrid>
      <w:tr w:rsidR="001B5A8D" w:rsidRPr="001B5A8D" w14:paraId="2997EB20" w14:textId="77777777" w:rsidTr="001B5A8D">
        <w:trPr>
          <w:cantSplit/>
          <w:tblHeader/>
          <w:jc w:val="center"/>
        </w:trPr>
        <w:tc>
          <w:tcPr>
            <w:tcW w:w="773" w:type="pct"/>
          </w:tcPr>
          <w:p w14:paraId="5B1D3AB2"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Fiscal year</w:t>
            </w:r>
          </w:p>
        </w:tc>
        <w:tc>
          <w:tcPr>
            <w:tcW w:w="679" w:type="pct"/>
          </w:tcPr>
          <w:p w14:paraId="0B61B32E"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Promotions</w:t>
            </w:r>
          </w:p>
        </w:tc>
        <w:tc>
          <w:tcPr>
            <w:tcW w:w="856" w:type="pct"/>
          </w:tcPr>
          <w:p w14:paraId="3E23B07F"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Lateral and downward movements</w:t>
            </w:r>
          </w:p>
        </w:tc>
        <w:tc>
          <w:tcPr>
            <w:tcW w:w="1175" w:type="pct"/>
          </w:tcPr>
          <w:p w14:paraId="7A36C83B"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Appointments to the public service (includes casuals and students)</w:t>
            </w:r>
          </w:p>
        </w:tc>
        <w:tc>
          <w:tcPr>
            <w:tcW w:w="1054" w:type="pct"/>
          </w:tcPr>
          <w:p w14:paraId="22AC864E"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Acting appointments (excludes appointments of less than 4 months)</w:t>
            </w:r>
          </w:p>
        </w:tc>
        <w:tc>
          <w:tcPr>
            <w:tcW w:w="463" w:type="pct"/>
          </w:tcPr>
          <w:p w14:paraId="4FA93660" w14:textId="77777777" w:rsidR="001B5A8D" w:rsidRPr="001B5A8D" w:rsidRDefault="001B5A8D" w:rsidP="00595D60">
            <w:pPr>
              <w:pStyle w:val="TableTitle"/>
              <w:rPr>
                <w:rFonts w:eastAsiaTheme="minorHAnsi"/>
                <w:color w:val="auto"/>
                <w:sz w:val="22"/>
                <w:szCs w:val="22"/>
                <w:lang w:val="en-CA"/>
              </w:rPr>
            </w:pPr>
            <w:r w:rsidRPr="001B5A8D">
              <w:rPr>
                <w:rFonts w:eastAsiaTheme="minorHAnsi"/>
                <w:color w:val="auto"/>
                <w:sz w:val="22"/>
                <w:szCs w:val="22"/>
                <w:lang w:val="en-CA"/>
              </w:rPr>
              <w:t>Total</w:t>
            </w:r>
          </w:p>
        </w:tc>
      </w:tr>
      <w:tr w:rsidR="001B5A8D" w:rsidRPr="001B5A8D" w14:paraId="5D595982" w14:textId="77777777" w:rsidTr="001B5A8D">
        <w:trPr>
          <w:cantSplit/>
          <w:tblHeader/>
          <w:jc w:val="center"/>
        </w:trPr>
        <w:tc>
          <w:tcPr>
            <w:tcW w:w="773" w:type="pct"/>
          </w:tcPr>
          <w:p w14:paraId="4423F3D4" w14:textId="77777777" w:rsidR="001B5A8D" w:rsidRPr="001B5A8D" w:rsidRDefault="001B5A8D" w:rsidP="00595D60">
            <w:pPr>
              <w:autoSpaceDE w:val="0"/>
              <w:autoSpaceDN w:val="0"/>
              <w:adjustRightInd w:val="0"/>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 xml:space="preserve">2014 to 2015 </w:t>
            </w:r>
          </w:p>
        </w:tc>
        <w:tc>
          <w:tcPr>
            <w:tcW w:w="679" w:type="pct"/>
          </w:tcPr>
          <w:p w14:paraId="324DF79D"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106</w:t>
            </w:r>
          </w:p>
        </w:tc>
        <w:tc>
          <w:tcPr>
            <w:tcW w:w="856" w:type="pct"/>
          </w:tcPr>
          <w:p w14:paraId="74211594"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134</w:t>
            </w:r>
          </w:p>
        </w:tc>
        <w:tc>
          <w:tcPr>
            <w:tcW w:w="1175" w:type="pct"/>
          </w:tcPr>
          <w:p w14:paraId="3445BCE9"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547</w:t>
            </w:r>
          </w:p>
        </w:tc>
        <w:tc>
          <w:tcPr>
            <w:tcW w:w="1054" w:type="pct"/>
          </w:tcPr>
          <w:p w14:paraId="726D1115"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229</w:t>
            </w:r>
          </w:p>
        </w:tc>
        <w:tc>
          <w:tcPr>
            <w:tcW w:w="463" w:type="pct"/>
          </w:tcPr>
          <w:p w14:paraId="5D3535AF"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1 016</w:t>
            </w:r>
          </w:p>
        </w:tc>
      </w:tr>
      <w:tr w:rsidR="001B5A8D" w:rsidRPr="001B5A8D" w14:paraId="327ABEE0" w14:textId="77777777" w:rsidTr="001B5A8D">
        <w:trPr>
          <w:cantSplit/>
          <w:tblHeader/>
          <w:jc w:val="center"/>
        </w:trPr>
        <w:tc>
          <w:tcPr>
            <w:tcW w:w="773" w:type="pct"/>
          </w:tcPr>
          <w:p w14:paraId="47CBAF63" w14:textId="77777777" w:rsidR="001B5A8D" w:rsidRPr="001B5A8D" w:rsidRDefault="001B5A8D" w:rsidP="00595D60">
            <w:pPr>
              <w:autoSpaceDE w:val="0"/>
              <w:autoSpaceDN w:val="0"/>
              <w:adjustRightInd w:val="0"/>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2015 to 2016</w:t>
            </w:r>
          </w:p>
        </w:tc>
        <w:tc>
          <w:tcPr>
            <w:tcW w:w="679" w:type="pct"/>
          </w:tcPr>
          <w:p w14:paraId="6C1436AA"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136</w:t>
            </w:r>
          </w:p>
        </w:tc>
        <w:tc>
          <w:tcPr>
            <w:tcW w:w="856" w:type="pct"/>
          </w:tcPr>
          <w:p w14:paraId="5E81FF75"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183</w:t>
            </w:r>
          </w:p>
        </w:tc>
        <w:tc>
          <w:tcPr>
            <w:tcW w:w="1175" w:type="pct"/>
          </w:tcPr>
          <w:p w14:paraId="3C321454"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571</w:t>
            </w:r>
          </w:p>
        </w:tc>
        <w:tc>
          <w:tcPr>
            <w:tcW w:w="1054" w:type="pct"/>
          </w:tcPr>
          <w:p w14:paraId="6842B8C6"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147</w:t>
            </w:r>
          </w:p>
        </w:tc>
        <w:tc>
          <w:tcPr>
            <w:tcW w:w="463" w:type="pct"/>
          </w:tcPr>
          <w:p w14:paraId="62B77119"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1 037</w:t>
            </w:r>
          </w:p>
        </w:tc>
      </w:tr>
      <w:tr w:rsidR="001B5A8D" w:rsidRPr="001B5A8D" w14:paraId="3C978D29" w14:textId="77777777" w:rsidTr="001B5A8D">
        <w:trPr>
          <w:cantSplit/>
          <w:tblHeader/>
          <w:jc w:val="center"/>
        </w:trPr>
        <w:tc>
          <w:tcPr>
            <w:tcW w:w="773" w:type="pct"/>
          </w:tcPr>
          <w:p w14:paraId="29F95558" w14:textId="77777777" w:rsidR="001B5A8D" w:rsidRPr="001B5A8D" w:rsidRDefault="001B5A8D" w:rsidP="00595D60">
            <w:pPr>
              <w:autoSpaceDE w:val="0"/>
              <w:autoSpaceDN w:val="0"/>
              <w:adjustRightInd w:val="0"/>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 xml:space="preserve">2016 to 2017 </w:t>
            </w:r>
          </w:p>
        </w:tc>
        <w:tc>
          <w:tcPr>
            <w:tcW w:w="679" w:type="pct"/>
          </w:tcPr>
          <w:p w14:paraId="5D4BCCC3"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164</w:t>
            </w:r>
          </w:p>
        </w:tc>
        <w:tc>
          <w:tcPr>
            <w:tcW w:w="856" w:type="pct"/>
          </w:tcPr>
          <w:p w14:paraId="3FFB2CBB"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192</w:t>
            </w:r>
          </w:p>
        </w:tc>
        <w:tc>
          <w:tcPr>
            <w:tcW w:w="1175" w:type="pct"/>
          </w:tcPr>
          <w:p w14:paraId="21EFDE3F"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672</w:t>
            </w:r>
          </w:p>
        </w:tc>
        <w:tc>
          <w:tcPr>
            <w:tcW w:w="1054" w:type="pct"/>
          </w:tcPr>
          <w:p w14:paraId="0A2DE856"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143</w:t>
            </w:r>
          </w:p>
        </w:tc>
        <w:tc>
          <w:tcPr>
            <w:tcW w:w="463" w:type="pct"/>
          </w:tcPr>
          <w:p w14:paraId="1E36EFBB"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1 171</w:t>
            </w:r>
          </w:p>
        </w:tc>
      </w:tr>
      <w:tr w:rsidR="001B5A8D" w:rsidRPr="001B5A8D" w14:paraId="0ACFDA41" w14:textId="77777777" w:rsidTr="001B5A8D">
        <w:trPr>
          <w:cantSplit/>
          <w:tblHeader/>
          <w:jc w:val="center"/>
        </w:trPr>
        <w:tc>
          <w:tcPr>
            <w:tcW w:w="773" w:type="pct"/>
          </w:tcPr>
          <w:p w14:paraId="1D0F2887" w14:textId="77777777" w:rsidR="001B5A8D" w:rsidRPr="001B5A8D" w:rsidRDefault="001B5A8D" w:rsidP="00595D60">
            <w:pPr>
              <w:autoSpaceDE w:val="0"/>
              <w:autoSpaceDN w:val="0"/>
              <w:adjustRightInd w:val="0"/>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2017 to 2018</w:t>
            </w:r>
          </w:p>
        </w:tc>
        <w:tc>
          <w:tcPr>
            <w:tcW w:w="679" w:type="pct"/>
          </w:tcPr>
          <w:p w14:paraId="69927338"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193</w:t>
            </w:r>
          </w:p>
        </w:tc>
        <w:tc>
          <w:tcPr>
            <w:tcW w:w="856" w:type="pct"/>
          </w:tcPr>
          <w:p w14:paraId="325B23AE"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198</w:t>
            </w:r>
          </w:p>
        </w:tc>
        <w:tc>
          <w:tcPr>
            <w:tcW w:w="1175" w:type="pct"/>
          </w:tcPr>
          <w:p w14:paraId="6D74991C"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582</w:t>
            </w:r>
          </w:p>
        </w:tc>
        <w:tc>
          <w:tcPr>
            <w:tcW w:w="1054" w:type="pct"/>
          </w:tcPr>
          <w:p w14:paraId="2D22AB47"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122</w:t>
            </w:r>
          </w:p>
        </w:tc>
        <w:tc>
          <w:tcPr>
            <w:tcW w:w="463" w:type="pct"/>
          </w:tcPr>
          <w:p w14:paraId="2611900C"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1 095</w:t>
            </w:r>
          </w:p>
        </w:tc>
      </w:tr>
      <w:tr w:rsidR="001B5A8D" w:rsidRPr="001B5A8D" w14:paraId="50A22845" w14:textId="77777777" w:rsidTr="001B5A8D">
        <w:trPr>
          <w:cantSplit/>
          <w:tblHeader/>
          <w:jc w:val="center"/>
        </w:trPr>
        <w:tc>
          <w:tcPr>
            <w:tcW w:w="773" w:type="pct"/>
          </w:tcPr>
          <w:p w14:paraId="62F4A470" w14:textId="77777777" w:rsidR="001B5A8D" w:rsidRPr="001B5A8D" w:rsidRDefault="001B5A8D" w:rsidP="00595D60">
            <w:pPr>
              <w:autoSpaceDE w:val="0"/>
              <w:autoSpaceDN w:val="0"/>
              <w:adjustRightInd w:val="0"/>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2018 to 2019</w:t>
            </w:r>
          </w:p>
        </w:tc>
        <w:tc>
          <w:tcPr>
            <w:tcW w:w="679" w:type="pct"/>
          </w:tcPr>
          <w:p w14:paraId="5E5538B3"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242</w:t>
            </w:r>
          </w:p>
        </w:tc>
        <w:tc>
          <w:tcPr>
            <w:tcW w:w="856" w:type="pct"/>
          </w:tcPr>
          <w:p w14:paraId="066D06F8"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230</w:t>
            </w:r>
          </w:p>
        </w:tc>
        <w:tc>
          <w:tcPr>
            <w:tcW w:w="1175" w:type="pct"/>
          </w:tcPr>
          <w:p w14:paraId="1FB106B4"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728</w:t>
            </w:r>
          </w:p>
        </w:tc>
        <w:tc>
          <w:tcPr>
            <w:tcW w:w="1054" w:type="pct"/>
          </w:tcPr>
          <w:p w14:paraId="655ADA1D"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183</w:t>
            </w:r>
          </w:p>
        </w:tc>
        <w:tc>
          <w:tcPr>
            <w:tcW w:w="463" w:type="pct"/>
          </w:tcPr>
          <w:p w14:paraId="696E899D" w14:textId="77777777" w:rsidR="001B5A8D" w:rsidRPr="001B5A8D" w:rsidRDefault="001B5A8D" w:rsidP="00595D60">
            <w:pPr>
              <w:autoSpaceDE w:val="0"/>
              <w:autoSpaceDN w:val="0"/>
              <w:adjustRightInd w:val="0"/>
              <w:jc w:val="center"/>
              <w:rPr>
                <w:rFonts w:asciiTheme="minorHAnsi" w:eastAsiaTheme="minorHAnsi" w:hAnsiTheme="minorHAnsi" w:cstheme="minorHAnsi"/>
                <w:color w:val="000000"/>
                <w:sz w:val="22"/>
                <w:szCs w:val="22"/>
                <w:lang w:val="en-CA"/>
              </w:rPr>
            </w:pPr>
            <w:r w:rsidRPr="001B5A8D">
              <w:rPr>
                <w:rFonts w:asciiTheme="minorHAnsi" w:eastAsiaTheme="minorHAnsi" w:hAnsiTheme="minorHAnsi" w:cstheme="minorHAnsi"/>
                <w:color w:val="000000"/>
                <w:sz w:val="22"/>
                <w:szCs w:val="22"/>
                <w:lang w:val="en-CA"/>
              </w:rPr>
              <w:t>1 383</w:t>
            </w:r>
          </w:p>
        </w:tc>
      </w:tr>
    </w:tbl>
    <w:p w14:paraId="58A2F018" w14:textId="77777777" w:rsidR="003D79A8" w:rsidRPr="003D79A8" w:rsidRDefault="003D79A8" w:rsidP="003D79A8">
      <w:pPr>
        <w:pStyle w:val="Titre1"/>
        <w:spacing w:before="120" w:after="120"/>
        <w:rPr>
          <w:sz w:val="40"/>
          <w:lang w:val="en-CA"/>
        </w:rPr>
      </w:pPr>
      <w:r w:rsidRPr="003D79A8">
        <w:rPr>
          <w:rFonts w:eastAsia="Times New Roman"/>
          <w:sz w:val="40"/>
          <w:lang w:val="en-CA"/>
        </w:rPr>
        <w:lastRenderedPageBreak/>
        <w:t>Staffing by tenure</w:t>
      </w:r>
    </w:p>
    <w:p w14:paraId="5E91E085" w14:textId="77777777" w:rsidR="00595D60" w:rsidRDefault="001B5A8D" w:rsidP="00595D60">
      <w:pPr>
        <w:keepNext/>
        <w:jc w:val="center"/>
      </w:pPr>
      <w:r w:rsidRPr="006E2679">
        <w:rPr>
          <w:rStyle w:val="lev"/>
          <w:noProof/>
          <w:lang w:val="en-CA" w:eastAsia="en-CA"/>
        </w:rPr>
        <w:drawing>
          <wp:inline distT="0" distB="0" distL="0" distR="0" wp14:anchorId="492595EC" wp14:editId="716C5768">
            <wp:extent cx="5648400" cy="3049200"/>
            <wp:effectExtent l="0" t="0" r="9525" b="18415"/>
            <wp:docPr id="3" name="Chart 3" descr="Figure 9 - Staffing activities by appointment type and fiscal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E7DDB6" w14:textId="6E7ECF01" w:rsidR="001B5A8D" w:rsidRDefault="00595D60" w:rsidP="00595D60">
      <w:pPr>
        <w:pStyle w:val="Lgende"/>
        <w:spacing w:after="240"/>
        <w:jc w:val="center"/>
      </w:pPr>
      <w:r>
        <w:t xml:space="preserve">Figure </w:t>
      </w:r>
      <w:r>
        <w:fldChar w:fldCharType="begin"/>
      </w:r>
      <w:r>
        <w:instrText xml:space="preserve"> SEQ Figure \* ARABIC </w:instrText>
      </w:r>
      <w:r>
        <w:fldChar w:fldCharType="separate"/>
      </w:r>
      <w:r w:rsidR="00F23097">
        <w:rPr>
          <w:noProof/>
        </w:rPr>
        <w:t>9</w:t>
      </w:r>
      <w:r>
        <w:fldChar w:fldCharType="end"/>
      </w:r>
      <w:r>
        <w:t xml:space="preserve"> - </w:t>
      </w:r>
      <w:r w:rsidRPr="00E97336">
        <w:t>Staffing activities by appointment type and fiscal year</w:t>
      </w:r>
    </w:p>
    <w:p w14:paraId="72822A33" w14:textId="18E017D5" w:rsidR="00595D60" w:rsidRDefault="00595D60" w:rsidP="00595D60">
      <w:pPr>
        <w:pStyle w:val="Lgende"/>
        <w:keepNext/>
        <w:jc w:val="center"/>
      </w:pPr>
      <w:r>
        <w:t xml:space="preserve">Table </w:t>
      </w:r>
      <w:r>
        <w:fldChar w:fldCharType="begin"/>
      </w:r>
      <w:r>
        <w:instrText xml:space="preserve"> SEQ Table \* ARABIC </w:instrText>
      </w:r>
      <w:r>
        <w:fldChar w:fldCharType="separate"/>
      </w:r>
      <w:r w:rsidR="00147E67">
        <w:rPr>
          <w:noProof/>
        </w:rPr>
        <w:t>12</w:t>
      </w:r>
      <w:r>
        <w:fldChar w:fldCharType="end"/>
      </w:r>
      <w:r>
        <w:t xml:space="preserve"> - </w:t>
      </w:r>
      <w:r w:rsidRPr="00FE2698">
        <w:t>Staffing activities by tenure and fiscal year</w:t>
      </w:r>
    </w:p>
    <w:tbl>
      <w:tblPr>
        <w:tblStyle w:val="TableGrid1"/>
        <w:tblW w:w="5000" w:type="pct"/>
        <w:jc w:val="center"/>
        <w:tblLook w:val="0000" w:firstRow="0" w:lastRow="0" w:firstColumn="0" w:lastColumn="0" w:noHBand="0" w:noVBand="0"/>
        <w:tblDescription w:val="Staffing by tenure from 2014 to 2019"/>
      </w:tblPr>
      <w:tblGrid>
        <w:gridCol w:w="3117"/>
        <w:gridCol w:w="3117"/>
        <w:gridCol w:w="3121"/>
        <w:gridCol w:w="3117"/>
        <w:gridCol w:w="3117"/>
        <w:gridCol w:w="3121"/>
      </w:tblGrid>
      <w:tr w:rsidR="00595D60" w:rsidRPr="00595D60" w14:paraId="6EAFFF2D" w14:textId="77777777" w:rsidTr="003D79A8">
        <w:trPr>
          <w:tblHeader/>
          <w:jc w:val="center"/>
        </w:trPr>
        <w:tc>
          <w:tcPr>
            <w:tcW w:w="833" w:type="pct"/>
          </w:tcPr>
          <w:p w14:paraId="523AD294"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Fiscal year</w:t>
            </w:r>
          </w:p>
        </w:tc>
        <w:tc>
          <w:tcPr>
            <w:tcW w:w="833" w:type="pct"/>
          </w:tcPr>
          <w:p w14:paraId="35AD5E88"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Indeterminate staffing activities</w:t>
            </w:r>
          </w:p>
        </w:tc>
        <w:tc>
          <w:tcPr>
            <w:tcW w:w="834" w:type="pct"/>
          </w:tcPr>
          <w:p w14:paraId="571052A2"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Term staffing activities</w:t>
            </w:r>
          </w:p>
        </w:tc>
        <w:tc>
          <w:tcPr>
            <w:tcW w:w="833" w:type="pct"/>
          </w:tcPr>
          <w:p w14:paraId="283EF8C7"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Casual staffing activities</w:t>
            </w:r>
          </w:p>
        </w:tc>
        <w:tc>
          <w:tcPr>
            <w:tcW w:w="833" w:type="pct"/>
          </w:tcPr>
          <w:p w14:paraId="12DAC1AA"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Student staffing activities</w:t>
            </w:r>
          </w:p>
        </w:tc>
        <w:tc>
          <w:tcPr>
            <w:tcW w:w="834" w:type="pct"/>
          </w:tcPr>
          <w:p w14:paraId="6D44424A" w14:textId="77777777" w:rsidR="00595D60" w:rsidRPr="00595D60" w:rsidRDefault="00595D60" w:rsidP="00595D60">
            <w:pPr>
              <w:pStyle w:val="TableTitle"/>
              <w:rPr>
                <w:rFonts w:eastAsiaTheme="minorHAnsi"/>
                <w:color w:val="auto"/>
                <w:sz w:val="22"/>
                <w:szCs w:val="22"/>
                <w:lang w:val="en-CA"/>
              </w:rPr>
            </w:pPr>
            <w:r w:rsidRPr="00595D60">
              <w:rPr>
                <w:rFonts w:eastAsiaTheme="minorHAnsi"/>
                <w:color w:val="auto"/>
                <w:sz w:val="22"/>
                <w:szCs w:val="22"/>
                <w:lang w:val="en-CA"/>
              </w:rPr>
              <w:t>Total staffing activities</w:t>
            </w:r>
          </w:p>
        </w:tc>
      </w:tr>
      <w:tr w:rsidR="00595D60" w:rsidRPr="00595D60" w14:paraId="13585812" w14:textId="77777777" w:rsidTr="003D79A8">
        <w:trPr>
          <w:tblHeader/>
          <w:jc w:val="center"/>
        </w:trPr>
        <w:tc>
          <w:tcPr>
            <w:tcW w:w="833" w:type="pct"/>
          </w:tcPr>
          <w:p w14:paraId="70DD4992" w14:textId="77777777" w:rsidR="00595D60" w:rsidRPr="00595D60" w:rsidRDefault="00595D60" w:rsidP="00595D60">
            <w:pPr>
              <w:autoSpaceDE w:val="0"/>
              <w:autoSpaceDN w:val="0"/>
              <w:adjustRightInd w:val="0"/>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2014 to 2015</w:t>
            </w:r>
          </w:p>
        </w:tc>
        <w:tc>
          <w:tcPr>
            <w:tcW w:w="833" w:type="pct"/>
          </w:tcPr>
          <w:p w14:paraId="745C595A"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474</w:t>
            </w:r>
          </w:p>
        </w:tc>
        <w:tc>
          <w:tcPr>
            <w:tcW w:w="834" w:type="pct"/>
          </w:tcPr>
          <w:p w14:paraId="15DCC084"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111</w:t>
            </w:r>
          </w:p>
        </w:tc>
        <w:tc>
          <w:tcPr>
            <w:tcW w:w="833" w:type="pct"/>
          </w:tcPr>
          <w:p w14:paraId="50D2544E"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196</w:t>
            </w:r>
          </w:p>
        </w:tc>
        <w:tc>
          <w:tcPr>
            <w:tcW w:w="833" w:type="pct"/>
          </w:tcPr>
          <w:p w14:paraId="2FF911B3"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235</w:t>
            </w:r>
          </w:p>
        </w:tc>
        <w:tc>
          <w:tcPr>
            <w:tcW w:w="834" w:type="pct"/>
          </w:tcPr>
          <w:p w14:paraId="0128BFF2"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1 016</w:t>
            </w:r>
          </w:p>
        </w:tc>
      </w:tr>
      <w:tr w:rsidR="00595D60" w:rsidRPr="00595D60" w14:paraId="392F3573" w14:textId="77777777" w:rsidTr="003D79A8">
        <w:trPr>
          <w:tblHeader/>
          <w:jc w:val="center"/>
        </w:trPr>
        <w:tc>
          <w:tcPr>
            <w:tcW w:w="833" w:type="pct"/>
          </w:tcPr>
          <w:p w14:paraId="3F376403" w14:textId="77777777" w:rsidR="00595D60" w:rsidRPr="00595D60" w:rsidRDefault="00595D60" w:rsidP="00595D60">
            <w:pPr>
              <w:autoSpaceDE w:val="0"/>
              <w:autoSpaceDN w:val="0"/>
              <w:adjustRightInd w:val="0"/>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2015 to 2016</w:t>
            </w:r>
          </w:p>
        </w:tc>
        <w:tc>
          <w:tcPr>
            <w:tcW w:w="833" w:type="pct"/>
          </w:tcPr>
          <w:p w14:paraId="4B049248"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460</w:t>
            </w:r>
          </w:p>
        </w:tc>
        <w:tc>
          <w:tcPr>
            <w:tcW w:w="834" w:type="pct"/>
          </w:tcPr>
          <w:p w14:paraId="096CA562"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83</w:t>
            </w:r>
          </w:p>
        </w:tc>
        <w:tc>
          <w:tcPr>
            <w:tcW w:w="833" w:type="pct"/>
          </w:tcPr>
          <w:p w14:paraId="2811502F"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228</w:t>
            </w:r>
          </w:p>
        </w:tc>
        <w:tc>
          <w:tcPr>
            <w:tcW w:w="833" w:type="pct"/>
          </w:tcPr>
          <w:p w14:paraId="3B3DDBAA"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266</w:t>
            </w:r>
          </w:p>
        </w:tc>
        <w:tc>
          <w:tcPr>
            <w:tcW w:w="834" w:type="pct"/>
          </w:tcPr>
          <w:p w14:paraId="4F20D243"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1 037</w:t>
            </w:r>
          </w:p>
        </w:tc>
      </w:tr>
      <w:tr w:rsidR="00595D60" w:rsidRPr="00595D60" w14:paraId="00028EAC" w14:textId="77777777" w:rsidTr="003D79A8">
        <w:trPr>
          <w:tblHeader/>
          <w:jc w:val="center"/>
        </w:trPr>
        <w:tc>
          <w:tcPr>
            <w:tcW w:w="833" w:type="pct"/>
          </w:tcPr>
          <w:p w14:paraId="63223FD6" w14:textId="77777777" w:rsidR="00595D60" w:rsidRPr="00595D60" w:rsidRDefault="00595D60" w:rsidP="00595D60">
            <w:pPr>
              <w:autoSpaceDE w:val="0"/>
              <w:autoSpaceDN w:val="0"/>
              <w:adjustRightInd w:val="0"/>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2016 to 2017</w:t>
            </w:r>
          </w:p>
        </w:tc>
        <w:tc>
          <w:tcPr>
            <w:tcW w:w="833" w:type="pct"/>
          </w:tcPr>
          <w:p w14:paraId="33F7E463"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511</w:t>
            </w:r>
          </w:p>
        </w:tc>
        <w:tc>
          <w:tcPr>
            <w:tcW w:w="834" w:type="pct"/>
          </w:tcPr>
          <w:p w14:paraId="4801762B"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111</w:t>
            </w:r>
          </w:p>
        </w:tc>
        <w:tc>
          <w:tcPr>
            <w:tcW w:w="833" w:type="pct"/>
          </w:tcPr>
          <w:p w14:paraId="7B1F1F0B"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224</w:t>
            </w:r>
          </w:p>
        </w:tc>
        <w:tc>
          <w:tcPr>
            <w:tcW w:w="833" w:type="pct"/>
          </w:tcPr>
          <w:p w14:paraId="73F6D783"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325</w:t>
            </w:r>
          </w:p>
        </w:tc>
        <w:tc>
          <w:tcPr>
            <w:tcW w:w="834" w:type="pct"/>
          </w:tcPr>
          <w:p w14:paraId="5FB6B9CB"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1 171</w:t>
            </w:r>
          </w:p>
        </w:tc>
      </w:tr>
      <w:tr w:rsidR="00595D60" w:rsidRPr="00595D60" w14:paraId="0C0E2CCE" w14:textId="77777777" w:rsidTr="003D79A8">
        <w:trPr>
          <w:tblHeader/>
          <w:jc w:val="center"/>
        </w:trPr>
        <w:tc>
          <w:tcPr>
            <w:tcW w:w="833" w:type="pct"/>
          </w:tcPr>
          <w:p w14:paraId="7D27FB80" w14:textId="77777777" w:rsidR="00595D60" w:rsidRPr="00595D60" w:rsidRDefault="00595D60" w:rsidP="00595D60">
            <w:pPr>
              <w:autoSpaceDE w:val="0"/>
              <w:autoSpaceDN w:val="0"/>
              <w:adjustRightInd w:val="0"/>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2017 to 2018</w:t>
            </w:r>
          </w:p>
        </w:tc>
        <w:tc>
          <w:tcPr>
            <w:tcW w:w="833" w:type="pct"/>
          </w:tcPr>
          <w:p w14:paraId="01E8655A"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550</w:t>
            </w:r>
          </w:p>
        </w:tc>
        <w:tc>
          <w:tcPr>
            <w:tcW w:w="834" w:type="pct"/>
          </w:tcPr>
          <w:p w14:paraId="4B84D4BC"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114</w:t>
            </w:r>
          </w:p>
        </w:tc>
        <w:tc>
          <w:tcPr>
            <w:tcW w:w="833" w:type="pct"/>
          </w:tcPr>
          <w:p w14:paraId="41E1FC20"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204</w:t>
            </w:r>
          </w:p>
        </w:tc>
        <w:tc>
          <w:tcPr>
            <w:tcW w:w="833" w:type="pct"/>
          </w:tcPr>
          <w:p w14:paraId="15924194"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227</w:t>
            </w:r>
          </w:p>
        </w:tc>
        <w:tc>
          <w:tcPr>
            <w:tcW w:w="834" w:type="pct"/>
          </w:tcPr>
          <w:p w14:paraId="26EA7819"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1 095</w:t>
            </w:r>
          </w:p>
        </w:tc>
      </w:tr>
      <w:tr w:rsidR="00595D60" w:rsidRPr="00595D60" w14:paraId="59D7BDDD" w14:textId="77777777" w:rsidTr="003D79A8">
        <w:trPr>
          <w:tblHeader/>
          <w:jc w:val="center"/>
        </w:trPr>
        <w:tc>
          <w:tcPr>
            <w:tcW w:w="833" w:type="pct"/>
          </w:tcPr>
          <w:p w14:paraId="16D98686" w14:textId="77777777" w:rsidR="00595D60" w:rsidRPr="00595D60" w:rsidRDefault="00595D60" w:rsidP="00595D60">
            <w:pPr>
              <w:autoSpaceDE w:val="0"/>
              <w:autoSpaceDN w:val="0"/>
              <w:adjustRightInd w:val="0"/>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2018 to 2019</w:t>
            </w:r>
          </w:p>
        </w:tc>
        <w:tc>
          <w:tcPr>
            <w:tcW w:w="833" w:type="pct"/>
          </w:tcPr>
          <w:p w14:paraId="320A722F"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717</w:t>
            </w:r>
          </w:p>
        </w:tc>
        <w:tc>
          <w:tcPr>
            <w:tcW w:w="834" w:type="pct"/>
          </w:tcPr>
          <w:p w14:paraId="55CB550E"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160</w:t>
            </w:r>
          </w:p>
        </w:tc>
        <w:tc>
          <w:tcPr>
            <w:tcW w:w="833" w:type="pct"/>
          </w:tcPr>
          <w:p w14:paraId="748AEE12"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253</w:t>
            </w:r>
          </w:p>
        </w:tc>
        <w:tc>
          <w:tcPr>
            <w:tcW w:w="833" w:type="pct"/>
          </w:tcPr>
          <w:p w14:paraId="10DC2FA3"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253</w:t>
            </w:r>
          </w:p>
        </w:tc>
        <w:tc>
          <w:tcPr>
            <w:tcW w:w="834" w:type="pct"/>
          </w:tcPr>
          <w:p w14:paraId="6A1C46DF" w14:textId="77777777" w:rsidR="00595D60" w:rsidRPr="00595D60" w:rsidRDefault="00595D60" w:rsidP="00595D60">
            <w:pPr>
              <w:autoSpaceDE w:val="0"/>
              <w:autoSpaceDN w:val="0"/>
              <w:adjustRightInd w:val="0"/>
              <w:jc w:val="center"/>
              <w:rPr>
                <w:rFonts w:asciiTheme="minorHAnsi" w:eastAsiaTheme="minorHAnsi" w:hAnsiTheme="minorHAnsi" w:cstheme="minorHAnsi"/>
                <w:color w:val="000000"/>
                <w:sz w:val="22"/>
                <w:szCs w:val="22"/>
                <w:lang w:val="en-CA"/>
              </w:rPr>
            </w:pPr>
            <w:r w:rsidRPr="00595D60">
              <w:rPr>
                <w:rFonts w:asciiTheme="minorHAnsi" w:eastAsiaTheme="minorHAnsi" w:hAnsiTheme="minorHAnsi" w:cstheme="minorHAnsi"/>
                <w:color w:val="000000"/>
                <w:sz w:val="22"/>
                <w:szCs w:val="22"/>
                <w:lang w:val="en-CA"/>
              </w:rPr>
              <w:t>1 383</w:t>
            </w:r>
          </w:p>
        </w:tc>
      </w:tr>
    </w:tbl>
    <w:p w14:paraId="449BB3DB" w14:textId="77777777" w:rsidR="00595D60" w:rsidRPr="000C05DF" w:rsidRDefault="00595D60" w:rsidP="00595D60">
      <w:pPr>
        <w:spacing w:before="120"/>
        <w:rPr>
          <w:rStyle w:val="lev"/>
          <w:rFonts w:asciiTheme="minorHAnsi" w:eastAsiaTheme="minorHAnsi" w:hAnsiTheme="minorHAnsi" w:cstheme="minorHAnsi"/>
          <w:sz w:val="22"/>
          <w:szCs w:val="22"/>
          <w:lang w:val="en-CA"/>
        </w:rPr>
      </w:pPr>
      <w:r w:rsidRPr="000C05DF">
        <w:rPr>
          <w:rStyle w:val="lev"/>
          <w:rFonts w:asciiTheme="minorHAnsi" w:eastAsiaTheme="minorHAnsi" w:hAnsiTheme="minorHAnsi" w:cstheme="minorHAnsi"/>
          <w:sz w:val="22"/>
          <w:szCs w:val="22"/>
          <w:lang w:val="en-CA"/>
        </w:rPr>
        <w:t>Key findings - Staffing and non-partisanship survey (2018)</w:t>
      </w:r>
    </w:p>
    <w:p w14:paraId="244FB9F8" w14:textId="77777777" w:rsidR="00595D60" w:rsidRPr="000C05DF" w:rsidRDefault="00595D60" w:rsidP="00595D60">
      <w:pPr>
        <w:numPr>
          <w:ilvl w:val="0"/>
          <w:numId w:val="22"/>
        </w:numPr>
        <w:spacing w:after="100" w:afterAutospacing="1"/>
        <w:rPr>
          <w:rFonts w:asciiTheme="minorHAnsi" w:hAnsiTheme="minorHAnsi" w:cstheme="minorHAnsi"/>
          <w:sz w:val="22"/>
          <w:szCs w:val="22"/>
          <w:lang w:val="en-CA" w:eastAsia="en-CA"/>
        </w:rPr>
      </w:pPr>
      <w:r w:rsidRPr="000C05DF">
        <w:rPr>
          <w:rFonts w:asciiTheme="minorHAnsi" w:hAnsiTheme="minorHAnsi" w:cstheme="minorHAnsi"/>
          <w:sz w:val="22"/>
          <w:szCs w:val="22"/>
          <w:lang w:val="en-CA" w:eastAsia="en-CA"/>
        </w:rPr>
        <w:t xml:space="preserve">59.0% of </w:t>
      </w:r>
      <w:r w:rsidRPr="000C05DF">
        <w:rPr>
          <w:rStyle w:val="lev"/>
          <w:rFonts w:asciiTheme="minorHAnsi" w:hAnsiTheme="minorHAnsi" w:cstheme="minorHAnsi"/>
          <w:sz w:val="22"/>
          <w:szCs w:val="22"/>
          <w:lang w:val="en-CA"/>
        </w:rPr>
        <w:t>employees</w:t>
      </w:r>
      <w:r w:rsidRPr="000C05DF">
        <w:rPr>
          <w:rFonts w:asciiTheme="minorHAnsi" w:hAnsiTheme="minorHAnsi" w:cstheme="minorHAnsi"/>
          <w:sz w:val="22"/>
          <w:szCs w:val="22"/>
          <w:lang w:val="en-CA" w:eastAsia="en-CA"/>
        </w:rPr>
        <w:t xml:space="preserve"> agreed that people hired can do the job, compared to 52.3% in organizations of similar size, and 53.8% in the federal public service</w:t>
      </w:r>
    </w:p>
    <w:p w14:paraId="5B3FFEA0" w14:textId="77777777" w:rsidR="000C05DF" w:rsidRPr="000C05DF" w:rsidRDefault="00595D60" w:rsidP="00595D60">
      <w:pPr>
        <w:numPr>
          <w:ilvl w:val="0"/>
          <w:numId w:val="22"/>
        </w:numPr>
        <w:spacing w:after="100" w:afterAutospacing="1"/>
        <w:rPr>
          <w:sz w:val="22"/>
          <w:szCs w:val="22"/>
        </w:rPr>
      </w:pPr>
      <w:r w:rsidRPr="000C05DF">
        <w:rPr>
          <w:rFonts w:asciiTheme="minorHAnsi" w:hAnsiTheme="minorHAnsi" w:cstheme="minorHAnsi"/>
          <w:sz w:val="22"/>
          <w:szCs w:val="22"/>
          <w:lang w:val="en-CA" w:eastAsia="en-CA"/>
        </w:rPr>
        <w:t xml:space="preserve">56.7% of </w:t>
      </w:r>
      <w:r w:rsidRPr="000C05DF">
        <w:rPr>
          <w:rStyle w:val="lev"/>
          <w:rFonts w:asciiTheme="minorHAnsi" w:hAnsiTheme="minorHAnsi" w:cstheme="minorHAnsi"/>
          <w:sz w:val="22"/>
          <w:szCs w:val="22"/>
          <w:lang w:val="en-CA"/>
        </w:rPr>
        <w:t>managers</w:t>
      </w:r>
      <w:r w:rsidRPr="000C05DF">
        <w:rPr>
          <w:rFonts w:asciiTheme="minorHAnsi" w:hAnsiTheme="minorHAnsi" w:cstheme="minorHAnsi"/>
          <w:sz w:val="22"/>
          <w:szCs w:val="22"/>
          <w:lang w:val="en-CA" w:eastAsia="en-CA"/>
        </w:rPr>
        <w:t xml:space="preserve"> agreed that the New Direction in Staffing has improved the way they hire and appoint persons to and within their organization, compared to 54.4% in organizations of similar size, and 56.1% in the federal public service</w:t>
      </w:r>
    </w:p>
    <w:p w14:paraId="0789581D" w14:textId="41181D69" w:rsidR="00595D60" w:rsidRPr="000C05DF" w:rsidRDefault="00595D60" w:rsidP="00595D60">
      <w:pPr>
        <w:numPr>
          <w:ilvl w:val="0"/>
          <w:numId w:val="22"/>
        </w:numPr>
        <w:spacing w:after="100" w:afterAutospacing="1"/>
        <w:rPr>
          <w:sz w:val="22"/>
          <w:szCs w:val="22"/>
        </w:rPr>
      </w:pPr>
      <w:r w:rsidRPr="000C05DF">
        <w:rPr>
          <w:rFonts w:asciiTheme="minorHAnsi" w:hAnsiTheme="minorHAnsi" w:cstheme="minorHAnsi"/>
          <w:sz w:val="22"/>
          <w:szCs w:val="22"/>
          <w:lang w:val="en-CA" w:eastAsia="en-CA"/>
        </w:rPr>
        <w:t xml:space="preserve">90.5% of </w:t>
      </w:r>
      <w:r w:rsidRPr="000C05DF">
        <w:rPr>
          <w:rStyle w:val="lev"/>
          <w:rFonts w:asciiTheme="minorHAnsi" w:hAnsiTheme="minorHAnsi" w:cstheme="minorHAnsi"/>
          <w:sz w:val="22"/>
          <w:szCs w:val="22"/>
          <w:lang w:val="en-CA"/>
        </w:rPr>
        <w:t>managers</w:t>
      </w:r>
      <w:r w:rsidRPr="000C05DF">
        <w:rPr>
          <w:rFonts w:asciiTheme="minorHAnsi" w:hAnsiTheme="minorHAnsi" w:cstheme="minorHAnsi"/>
          <w:sz w:val="22"/>
          <w:szCs w:val="22"/>
          <w:lang w:val="en-CA" w:eastAsia="en-CA"/>
        </w:rPr>
        <w:t xml:space="preserve"> agreed that within their organization, the administrative to staff a position is </w:t>
      </w:r>
      <w:r w:rsidRPr="000C05DF">
        <w:rPr>
          <w:rStyle w:val="lev"/>
          <w:rFonts w:asciiTheme="minorHAnsi" w:hAnsiTheme="minorHAnsi" w:cstheme="minorHAnsi"/>
          <w:sz w:val="22"/>
          <w:szCs w:val="22"/>
          <w:lang w:val="en-CA"/>
        </w:rPr>
        <w:t>burdensome</w:t>
      </w:r>
      <w:r w:rsidRPr="000C05DF">
        <w:rPr>
          <w:rFonts w:asciiTheme="minorHAnsi" w:hAnsiTheme="minorHAnsi" w:cstheme="minorHAnsi"/>
          <w:sz w:val="22"/>
          <w:szCs w:val="22"/>
          <w:lang w:val="en-CA" w:eastAsia="en-CA"/>
        </w:rPr>
        <w:t>, compared to 88.6% in organizations of similar size, and 87.9% in the federal public service</w:t>
      </w:r>
    </w:p>
    <w:p w14:paraId="77444C94" w14:textId="77777777" w:rsidR="003D79A8" w:rsidRPr="003D79A8" w:rsidRDefault="003D79A8" w:rsidP="003D79A8">
      <w:pPr>
        <w:pStyle w:val="Titre1"/>
        <w:spacing w:before="120" w:after="120"/>
        <w:rPr>
          <w:sz w:val="40"/>
          <w:lang w:val="en-CA"/>
        </w:rPr>
      </w:pPr>
      <w:r w:rsidRPr="003D79A8">
        <w:rPr>
          <w:rFonts w:eastAsia="Times New Roman"/>
          <w:sz w:val="40"/>
          <w:lang w:val="en-CA"/>
        </w:rPr>
        <w:lastRenderedPageBreak/>
        <w:t>Student program hires</w:t>
      </w:r>
    </w:p>
    <w:p w14:paraId="1664140E" w14:textId="77777777" w:rsidR="00AF099B" w:rsidRDefault="000B5F12" w:rsidP="00AF099B">
      <w:pPr>
        <w:keepNext/>
        <w:jc w:val="center"/>
      </w:pPr>
      <w:r w:rsidRPr="006E2679">
        <w:rPr>
          <w:rStyle w:val="lev"/>
          <w:noProof/>
          <w:lang w:val="en-CA" w:eastAsia="en-CA"/>
        </w:rPr>
        <w:drawing>
          <wp:inline distT="0" distB="0" distL="0" distR="0" wp14:anchorId="262B0655" wp14:editId="25B90866">
            <wp:extent cx="5648400" cy="3049200"/>
            <wp:effectExtent l="0" t="0" r="9525" b="18415"/>
            <wp:docPr id="17" name="Chart 17" descr="Figure 10 - 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943184" w14:textId="5C0A5C5E" w:rsidR="00564048" w:rsidRDefault="00AF099B" w:rsidP="00AF099B">
      <w:pPr>
        <w:pStyle w:val="Lgende"/>
        <w:spacing w:after="240"/>
        <w:jc w:val="center"/>
      </w:pPr>
      <w:r>
        <w:t xml:space="preserve">Figure </w:t>
      </w:r>
      <w:r>
        <w:fldChar w:fldCharType="begin"/>
      </w:r>
      <w:r>
        <w:instrText xml:space="preserve"> SEQ Figure \* ARABIC </w:instrText>
      </w:r>
      <w:r>
        <w:fldChar w:fldCharType="separate"/>
      </w:r>
      <w:r w:rsidR="00F23097">
        <w:rPr>
          <w:noProof/>
        </w:rPr>
        <w:t>10</w:t>
      </w:r>
      <w:r>
        <w:fldChar w:fldCharType="end"/>
      </w:r>
      <w:r>
        <w:t xml:space="preserve"> - </w:t>
      </w:r>
      <w:r w:rsidRPr="00782AF9">
        <w:t>Student program hires</w:t>
      </w:r>
    </w:p>
    <w:p w14:paraId="43247A59" w14:textId="3332DC5E" w:rsidR="00AF099B" w:rsidRDefault="00AF099B" w:rsidP="00AF099B">
      <w:pPr>
        <w:pStyle w:val="Lgende"/>
        <w:keepNext/>
        <w:jc w:val="center"/>
      </w:pPr>
      <w:r>
        <w:t xml:space="preserve">Table </w:t>
      </w:r>
      <w:r>
        <w:fldChar w:fldCharType="begin"/>
      </w:r>
      <w:r>
        <w:instrText xml:space="preserve"> SEQ Table \* ARABIC </w:instrText>
      </w:r>
      <w:r>
        <w:fldChar w:fldCharType="separate"/>
      </w:r>
      <w:r w:rsidR="00147E67">
        <w:rPr>
          <w:noProof/>
        </w:rPr>
        <w:t>13</w:t>
      </w:r>
      <w:r>
        <w:fldChar w:fldCharType="end"/>
      </w:r>
      <w:r>
        <w:t xml:space="preserve"> - </w:t>
      </w:r>
      <w:r w:rsidRPr="00C748CE">
        <w:t>Student staffing activities by recruitment program and fiscal year</w:t>
      </w:r>
    </w:p>
    <w:tbl>
      <w:tblPr>
        <w:tblStyle w:val="TableGrid1"/>
        <w:tblW w:w="5000" w:type="pct"/>
        <w:jc w:val="center"/>
        <w:tblLook w:val="0000" w:firstRow="0" w:lastRow="0" w:firstColumn="0" w:lastColumn="0" w:noHBand="0" w:noVBand="0"/>
        <w:tblDescription w:val="Student program hires from 2014 to 2019"/>
      </w:tblPr>
      <w:tblGrid>
        <w:gridCol w:w="1874"/>
        <w:gridCol w:w="5980"/>
        <w:gridCol w:w="6025"/>
        <w:gridCol w:w="3862"/>
        <w:gridCol w:w="969"/>
      </w:tblGrid>
      <w:tr w:rsidR="00AF099B" w:rsidRPr="00AF099B" w14:paraId="1F9088D2" w14:textId="77777777" w:rsidTr="003D79A8">
        <w:trPr>
          <w:cantSplit/>
          <w:tblHeader/>
          <w:jc w:val="center"/>
        </w:trPr>
        <w:tc>
          <w:tcPr>
            <w:tcW w:w="501" w:type="pct"/>
          </w:tcPr>
          <w:p w14:paraId="6F4D2DF2" w14:textId="77777777" w:rsidR="00AF099B" w:rsidRPr="00AF099B" w:rsidRDefault="00AF099B" w:rsidP="003D79A8">
            <w:pPr>
              <w:pStyle w:val="TableTitle"/>
              <w:rPr>
                <w:rFonts w:eastAsiaTheme="minorHAnsi"/>
                <w:color w:val="auto"/>
                <w:sz w:val="22"/>
                <w:szCs w:val="22"/>
                <w:lang w:val="en-CA"/>
              </w:rPr>
            </w:pPr>
            <w:r w:rsidRPr="00AF099B">
              <w:rPr>
                <w:rFonts w:eastAsiaTheme="minorHAnsi"/>
                <w:color w:val="auto"/>
                <w:sz w:val="22"/>
                <w:szCs w:val="22"/>
                <w:lang w:val="en-CA"/>
              </w:rPr>
              <w:t>Fiscal year</w:t>
            </w:r>
          </w:p>
        </w:tc>
        <w:tc>
          <w:tcPr>
            <w:tcW w:w="1598" w:type="pct"/>
          </w:tcPr>
          <w:p w14:paraId="7EE89851" w14:textId="77777777" w:rsidR="00AF099B" w:rsidRPr="00AF099B" w:rsidRDefault="00AF099B" w:rsidP="003D79A8">
            <w:pPr>
              <w:pStyle w:val="TableTitle"/>
              <w:rPr>
                <w:rFonts w:eastAsiaTheme="minorHAnsi"/>
                <w:color w:val="auto"/>
                <w:sz w:val="22"/>
                <w:szCs w:val="22"/>
                <w:lang w:val="en-CA"/>
              </w:rPr>
            </w:pPr>
            <w:r w:rsidRPr="00AF099B">
              <w:rPr>
                <w:rFonts w:eastAsiaTheme="minorHAnsi"/>
                <w:color w:val="auto"/>
                <w:sz w:val="22"/>
                <w:szCs w:val="22"/>
                <w:lang w:val="en-CA"/>
              </w:rPr>
              <w:t>Federal Student Work Experience Program</w:t>
            </w:r>
          </w:p>
        </w:tc>
        <w:tc>
          <w:tcPr>
            <w:tcW w:w="1610" w:type="pct"/>
          </w:tcPr>
          <w:p w14:paraId="3C2861EC" w14:textId="77777777" w:rsidR="00AF099B" w:rsidRPr="00AF099B" w:rsidRDefault="00AF099B" w:rsidP="003D79A8">
            <w:pPr>
              <w:pStyle w:val="TableTitle"/>
              <w:rPr>
                <w:rFonts w:eastAsiaTheme="minorHAnsi"/>
                <w:color w:val="auto"/>
                <w:sz w:val="22"/>
                <w:szCs w:val="22"/>
                <w:lang w:val="en-CA"/>
              </w:rPr>
            </w:pPr>
            <w:r w:rsidRPr="00AF099B">
              <w:rPr>
                <w:rFonts w:eastAsiaTheme="minorHAnsi"/>
                <w:color w:val="auto"/>
                <w:sz w:val="22"/>
                <w:szCs w:val="22"/>
                <w:lang w:val="en-CA"/>
              </w:rPr>
              <w:t>Post-Secondary Co-op/Internship Program</w:t>
            </w:r>
          </w:p>
        </w:tc>
        <w:tc>
          <w:tcPr>
            <w:tcW w:w="1032" w:type="pct"/>
          </w:tcPr>
          <w:p w14:paraId="7441765E" w14:textId="77777777" w:rsidR="00AF099B" w:rsidRPr="00AF099B" w:rsidRDefault="00AF099B" w:rsidP="003D79A8">
            <w:pPr>
              <w:pStyle w:val="TableTitle"/>
              <w:rPr>
                <w:rFonts w:eastAsiaTheme="minorHAnsi"/>
                <w:color w:val="auto"/>
                <w:sz w:val="22"/>
                <w:szCs w:val="22"/>
                <w:lang w:val="en-CA"/>
              </w:rPr>
            </w:pPr>
            <w:r w:rsidRPr="00AF099B">
              <w:rPr>
                <w:rFonts w:eastAsiaTheme="minorHAnsi"/>
                <w:color w:val="auto"/>
                <w:sz w:val="22"/>
                <w:szCs w:val="22"/>
                <w:lang w:val="en-CA"/>
              </w:rPr>
              <w:t>Research Affiliate Program</w:t>
            </w:r>
          </w:p>
        </w:tc>
        <w:tc>
          <w:tcPr>
            <w:tcW w:w="259" w:type="pct"/>
          </w:tcPr>
          <w:p w14:paraId="0E66F9F9" w14:textId="77777777" w:rsidR="00AF099B" w:rsidRPr="00AF099B" w:rsidRDefault="00AF099B" w:rsidP="003D79A8">
            <w:pPr>
              <w:pStyle w:val="TableTitle"/>
              <w:rPr>
                <w:rFonts w:eastAsiaTheme="minorHAnsi"/>
                <w:color w:val="auto"/>
                <w:sz w:val="22"/>
                <w:szCs w:val="22"/>
                <w:lang w:val="en-CA"/>
              </w:rPr>
            </w:pPr>
            <w:r w:rsidRPr="00AF099B">
              <w:rPr>
                <w:rFonts w:eastAsiaTheme="minorHAnsi"/>
                <w:color w:val="auto"/>
                <w:sz w:val="22"/>
                <w:szCs w:val="22"/>
                <w:lang w:val="en-CA"/>
              </w:rPr>
              <w:t>Total</w:t>
            </w:r>
          </w:p>
        </w:tc>
      </w:tr>
      <w:tr w:rsidR="00AF099B" w:rsidRPr="00AF099B" w14:paraId="588E0833" w14:textId="77777777" w:rsidTr="003D79A8">
        <w:trPr>
          <w:cantSplit/>
          <w:tblHeader/>
          <w:jc w:val="center"/>
        </w:trPr>
        <w:tc>
          <w:tcPr>
            <w:tcW w:w="501" w:type="pct"/>
          </w:tcPr>
          <w:p w14:paraId="06DD9F15" w14:textId="77777777" w:rsidR="00AF099B" w:rsidRPr="00AF099B" w:rsidRDefault="00AF099B" w:rsidP="003D79A8">
            <w:pPr>
              <w:autoSpaceDE w:val="0"/>
              <w:autoSpaceDN w:val="0"/>
              <w:adjustRightInd w:val="0"/>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2014 to 2015</w:t>
            </w:r>
          </w:p>
        </w:tc>
        <w:tc>
          <w:tcPr>
            <w:tcW w:w="1598" w:type="pct"/>
          </w:tcPr>
          <w:p w14:paraId="7F2CA458"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105</w:t>
            </w:r>
          </w:p>
        </w:tc>
        <w:tc>
          <w:tcPr>
            <w:tcW w:w="1610" w:type="pct"/>
          </w:tcPr>
          <w:p w14:paraId="6EA9BB41"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123</w:t>
            </w:r>
          </w:p>
        </w:tc>
        <w:tc>
          <w:tcPr>
            <w:tcW w:w="1032" w:type="pct"/>
          </w:tcPr>
          <w:p w14:paraId="00818D0D"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7</w:t>
            </w:r>
          </w:p>
        </w:tc>
        <w:tc>
          <w:tcPr>
            <w:tcW w:w="259" w:type="pct"/>
          </w:tcPr>
          <w:p w14:paraId="050CD683"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235</w:t>
            </w:r>
          </w:p>
        </w:tc>
      </w:tr>
      <w:tr w:rsidR="00AF099B" w:rsidRPr="00AF099B" w14:paraId="0521DBC6" w14:textId="77777777" w:rsidTr="003D79A8">
        <w:trPr>
          <w:cantSplit/>
          <w:tblHeader/>
          <w:jc w:val="center"/>
        </w:trPr>
        <w:tc>
          <w:tcPr>
            <w:tcW w:w="501" w:type="pct"/>
          </w:tcPr>
          <w:p w14:paraId="5BDD8318" w14:textId="77777777" w:rsidR="00AF099B" w:rsidRPr="00AF099B" w:rsidRDefault="00AF099B" w:rsidP="003D79A8">
            <w:pPr>
              <w:autoSpaceDE w:val="0"/>
              <w:autoSpaceDN w:val="0"/>
              <w:adjustRightInd w:val="0"/>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2015 to 2016</w:t>
            </w:r>
          </w:p>
        </w:tc>
        <w:tc>
          <w:tcPr>
            <w:tcW w:w="1598" w:type="pct"/>
          </w:tcPr>
          <w:p w14:paraId="5BFB2641"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119</w:t>
            </w:r>
          </w:p>
        </w:tc>
        <w:tc>
          <w:tcPr>
            <w:tcW w:w="1610" w:type="pct"/>
          </w:tcPr>
          <w:p w14:paraId="4CF77317"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142</w:t>
            </w:r>
          </w:p>
        </w:tc>
        <w:tc>
          <w:tcPr>
            <w:tcW w:w="1032" w:type="pct"/>
          </w:tcPr>
          <w:p w14:paraId="4C070D46"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5</w:t>
            </w:r>
          </w:p>
        </w:tc>
        <w:tc>
          <w:tcPr>
            <w:tcW w:w="259" w:type="pct"/>
          </w:tcPr>
          <w:p w14:paraId="4595210D"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266</w:t>
            </w:r>
          </w:p>
        </w:tc>
      </w:tr>
      <w:tr w:rsidR="00AF099B" w:rsidRPr="00AF099B" w14:paraId="6C671CD7" w14:textId="77777777" w:rsidTr="003D79A8">
        <w:trPr>
          <w:cantSplit/>
          <w:tblHeader/>
          <w:jc w:val="center"/>
        </w:trPr>
        <w:tc>
          <w:tcPr>
            <w:tcW w:w="501" w:type="pct"/>
          </w:tcPr>
          <w:p w14:paraId="7EF8EB8E" w14:textId="77777777" w:rsidR="00AF099B" w:rsidRPr="00AF099B" w:rsidRDefault="00AF099B" w:rsidP="003D79A8">
            <w:pPr>
              <w:autoSpaceDE w:val="0"/>
              <w:autoSpaceDN w:val="0"/>
              <w:adjustRightInd w:val="0"/>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2016 to 2017</w:t>
            </w:r>
          </w:p>
        </w:tc>
        <w:tc>
          <w:tcPr>
            <w:tcW w:w="1598" w:type="pct"/>
          </w:tcPr>
          <w:p w14:paraId="2E71A25E"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166</w:t>
            </w:r>
          </w:p>
        </w:tc>
        <w:tc>
          <w:tcPr>
            <w:tcW w:w="1610" w:type="pct"/>
          </w:tcPr>
          <w:p w14:paraId="586ECCAF"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158</w:t>
            </w:r>
          </w:p>
        </w:tc>
        <w:tc>
          <w:tcPr>
            <w:tcW w:w="1032" w:type="pct"/>
          </w:tcPr>
          <w:p w14:paraId="2DAF3BED"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w:t>
            </w:r>
          </w:p>
        </w:tc>
        <w:tc>
          <w:tcPr>
            <w:tcW w:w="259" w:type="pct"/>
          </w:tcPr>
          <w:p w14:paraId="369AD195"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325</w:t>
            </w:r>
          </w:p>
        </w:tc>
      </w:tr>
      <w:tr w:rsidR="00AF099B" w:rsidRPr="00AF099B" w14:paraId="364DC5B2" w14:textId="77777777" w:rsidTr="003D79A8">
        <w:trPr>
          <w:cantSplit/>
          <w:tblHeader/>
          <w:jc w:val="center"/>
        </w:trPr>
        <w:tc>
          <w:tcPr>
            <w:tcW w:w="501" w:type="pct"/>
          </w:tcPr>
          <w:p w14:paraId="4ACA4A88" w14:textId="77777777" w:rsidR="00AF099B" w:rsidRPr="00AF099B" w:rsidRDefault="00AF099B" w:rsidP="003D79A8">
            <w:pPr>
              <w:autoSpaceDE w:val="0"/>
              <w:autoSpaceDN w:val="0"/>
              <w:adjustRightInd w:val="0"/>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2017 to 2018</w:t>
            </w:r>
          </w:p>
        </w:tc>
        <w:tc>
          <w:tcPr>
            <w:tcW w:w="1598" w:type="pct"/>
          </w:tcPr>
          <w:p w14:paraId="4D9A28EF"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122</w:t>
            </w:r>
          </w:p>
        </w:tc>
        <w:tc>
          <w:tcPr>
            <w:tcW w:w="1610" w:type="pct"/>
          </w:tcPr>
          <w:p w14:paraId="2E213763"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102</w:t>
            </w:r>
          </w:p>
        </w:tc>
        <w:tc>
          <w:tcPr>
            <w:tcW w:w="1032" w:type="pct"/>
          </w:tcPr>
          <w:p w14:paraId="4B568D48"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3</w:t>
            </w:r>
          </w:p>
        </w:tc>
        <w:tc>
          <w:tcPr>
            <w:tcW w:w="259" w:type="pct"/>
          </w:tcPr>
          <w:p w14:paraId="5276E576"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227</w:t>
            </w:r>
          </w:p>
        </w:tc>
      </w:tr>
      <w:tr w:rsidR="00AF099B" w:rsidRPr="00AF099B" w14:paraId="444E53A2" w14:textId="77777777" w:rsidTr="003D79A8">
        <w:trPr>
          <w:cantSplit/>
          <w:tblHeader/>
          <w:jc w:val="center"/>
        </w:trPr>
        <w:tc>
          <w:tcPr>
            <w:tcW w:w="501" w:type="pct"/>
          </w:tcPr>
          <w:p w14:paraId="60A611BB" w14:textId="77777777" w:rsidR="00AF099B" w:rsidRPr="00AF099B" w:rsidRDefault="00AF099B" w:rsidP="003D79A8">
            <w:pPr>
              <w:autoSpaceDE w:val="0"/>
              <w:autoSpaceDN w:val="0"/>
              <w:adjustRightInd w:val="0"/>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2018 to 2019</w:t>
            </w:r>
          </w:p>
        </w:tc>
        <w:tc>
          <w:tcPr>
            <w:tcW w:w="1598" w:type="pct"/>
          </w:tcPr>
          <w:p w14:paraId="5E032B7E"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144</w:t>
            </w:r>
          </w:p>
        </w:tc>
        <w:tc>
          <w:tcPr>
            <w:tcW w:w="1610" w:type="pct"/>
          </w:tcPr>
          <w:p w14:paraId="3AA86494"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106</w:t>
            </w:r>
          </w:p>
        </w:tc>
        <w:tc>
          <w:tcPr>
            <w:tcW w:w="1032" w:type="pct"/>
          </w:tcPr>
          <w:p w14:paraId="69275981"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3</w:t>
            </w:r>
          </w:p>
        </w:tc>
        <w:tc>
          <w:tcPr>
            <w:tcW w:w="259" w:type="pct"/>
          </w:tcPr>
          <w:p w14:paraId="25A19E9A" w14:textId="77777777" w:rsidR="00AF099B" w:rsidRPr="00AF099B" w:rsidRDefault="00AF099B" w:rsidP="003D79A8">
            <w:pPr>
              <w:autoSpaceDE w:val="0"/>
              <w:autoSpaceDN w:val="0"/>
              <w:adjustRightInd w:val="0"/>
              <w:jc w:val="center"/>
              <w:rPr>
                <w:rFonts w:asciiTheme="minorHAnsi" w:eastAsiaTheme="minorHAnsi" w:hAnsiTheme="minorHAnsi" w:cstheme="minorHAnsi"/>
                <w:color w:val="000000"/>
                <w:sz w:val="22"/>
                <w:szCs w:val="22"/>
                <w:lang w:val="en-CA"/>
              </w:rPr>
            </w:pPr>
            <w:r w:rsidRPr="00AF099B">
              <w:rPr>
                <w:rFonts w:asciiTheme="minorHAnsi" w:eastAsiaTheme="minorHAnsi" w:hAnsiTheme="minorHAnsi" w:cstheme="minorHAnsi"/>
                <w:color w:val="000000"/>
                <w:sz w:val="22"/>
                <w:szCs w:val="22"/>
                <w:lang w:val="en-CA"/>
              </w:rPr>
              <w:t>253</w:t>
            </w:r>
          </w:p>
        </w:tc>
      </w:tr>
    </w:tbl>
    <w:p w14:paraId="007395B2" w14:textId="77777777" w:rsidR="003D79A8" w:rsidRPr="003D79A8" w:rsidRDefault="003D79A8" w:rsidP="003D79A8">
      <w:pPr>
        <w:pStyle w:val="Titre1"/>
        <w:spacing w:before="120" w:after="120"/>
        <w:rPr>
          <w:sz w:val="40"/>
          <w:lang w:val="en-CA"/>
        </w:rPr>
      </w:pPr>
      <w:r w:rsidRPr="003D79A8">
        <w:rPr>
          <w:rFonts w:eastAsia="Times New Roman"/>
          <w:sz w:val="40"/>
          <w:lang w:val="en-CA"/>
        </w:rPr>
        <w:lastRenderedPageBreak/>
        <w:t>External indeterminate and term hiring activities: Post-Secondary Recruitment Program and former student hires</w:t>
      </w:r>
    </w:p>
    <w:p w14:paraId="10767E38" w14:textId="77777777" w:rsidR="006E4FC8" w:rsidRDefault="00AF099B" w:rsidP="006E4FC8">
      <w:pPr>
        <w:keepNext/>
        <w:jc w:val="center"/>
      </w:pPr>
      <w:r w:rsidRPr="006E2679">
        <w:rPr>
          <w:rStyle w:val="lev"/>
          <w:noProof/>
          <w:lang w:val="en-CA" w:eastAsia="en-CA"/>
        </w:rPr>
        <w:drawing>
          <wp:inline distT="0" distB="0" distL="0" distR="0" wp14:anchorId="7A2C8136" wp14:editId="512FF58C">
            <wp:extent cx="5648400" cy="3049200"/>
            <wp:effectExtent l="0" t="0" r="9525" b="18415"/>
            <wp:docPr id="10" name="Chart 10" descr="Figure 11 - External indeterminate and term hiring activities: Post-Secondary Recruitment Program and former student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5A3E75" w14:textId="497CA4CC" w:rsidR="00AF099B" w:rsidRDefault="006E4FC8" w:rsidP="006E4FC8">
      <w:pPr>
        <w:pStyle w:val="Lgende"/>
        <w:spacing w:after="240"/>
        <w:jc w:val="center"/>
      </w:pPr>
      <w:r>
        <w:t xml:space="preserve">Figure </w:t>
      </w:r>
      <w:r>
        <w:fldChar w:fldCharType="begin"/>
      </w:r>
      <w:r>
        <w:instrText xml:space="preserve"> SEQ Figure \* ARABIC </w:instrText>
      </w:r>
      <w:r>
        <w:fldChar w:fldCharType="separate"/>
      </w:r>
      <w:r w:rsidR="00F23097">
        <w:rPr>
          <w:noProof/>
        </w:rPr>
        <w:t>11</w:t>
      </w:r>
      <w:r>
        <w:fldChar w:fldCharType="end"/>
      </w:r>
      <w:r>
        <w:t xml:space="preserve"> - </w:t>
      </w:r>
      <w:r w:rsidRPr="00E41641">
        <w:t>External indeterminate and term hiring activities: Post-Secondary Recruitment Program and former student hires</w:t>
      </w:r>
    </w:p>
    <w:p w14:paraId="6F5BB90B" w14:textId="0178C785" w:rsidR="006E4FC8" w:rsidRDefault="006E4FC8" w:rsidP="006E4FC8">
      <w:pPr>
        <w:pStyle w:val="Lgende"/>
        <w:keepNext/>
        <w:jc w:val="center"/>
      </w:pPr>
      <w:r>
        <w:t xml:space="preserve">Table </w:t>
      </w:r>
      <w:r>
        <w:fldChar w:fldCharType="begin"/>
      </w:r>
      <w:r>
        <w:instrText xml:space="preserve"> SEQ Table \* ARABIC </w:instrText>
      </w:r>
      <w:r>
        <w:fldChar w:fldCharType="separate"/>
      </w:r>
      <w:r w:rsidR="00147E67">
        <w:rPr>
          <w:noProof/>
        </w:rPr>
        <w:t>14</w:t>
      </w:r>
      <w:r>
        <w:fldChar w:fldCharType="end"/>
      </w:r>
      <w:r>
        <w:t xml:space="preserve"> - </w:t>
      </w:r>
      <w:r w:rsidRPr="003E5117">
        <w:t>External indeterminate and term hiring activities: Post-Secondary Recruitment Program and former student hires by fiscal year</w:t>
      </w:r>
    </w:p>
    <w:tbl>
      <w:tblPr>
        <w:tblStyle w:val="TableGrid1"/>
        <w:tblW w:w="5000" w:type="pct"/>
        <w:jc w:val="center"/>
        <w:tblLook w:val="0000" w:firstRow="0" w:lastRow="0" w:firstColumn="0" w:lastColumn="0" w:noHBand="0" w:noVBand="0"/>
        <w:tblDescription w:val="External indeterminate and term hiring activities&#10;"/>
      </w:tblPr>
      <w:tblGrid>
        <w:gridCol w:w="3012"/>
        <w:gridCol w:w="9752"/>
        <w:gridCol w:w="5946"/>
      </w:tblGrid>
      <w:tr w:rsidR="006E4FC8" w:rsidRPr="006E4FC8" w14:paraId="222C2B2C" w14:textId="77777777" w:rsidTr="003D79A8">
        <w:trPr>
          <w:cantSplit/>
          <w:tblHeader/>
          <w:jc w:val="center"/>
        </w:trPr>
        <w:tc>
          <w:tcPr>
            <w:tcW w:w="805" w:type="pct"/>
          </w:tcPr>
          <w:p w14:paraId="275C9D6D" w14:textId="77777777" w:rsidR="006E4FC8" w:rsidRPr="006E4FC8" w:rsidRDefault="006E4FC8" w:rsidP="003D79A8">
            <w:pPr>
              <w:pStyle w:val="TableTitle"/>
              <w:rPr>
                <w:rFonts w:eastAsiaTheme="minorHAnsi"/>
                <w:color w:val="auto"/>
                <w:sz w:val="22"/>
                <w:szCs w:val="22"/>
                <w:lang w:val="en-CA"/>
              </w:rPr>
            </w:pPr>
            <w:r w:rsidRPr="006E4FC8">
              <w:rPr>
                <w:rFonts w:eastAsiaTheme="minorHAnsi"/>
                <w:color w:val="auto"/>
                <w:sz w:val="22"/>
                <w:szCs w:val="22"/>
                <w:lang w:val="en-CA"/>
              </w:rPr>
              <w:t>Fiscal year</w:t>
            </w:r>
          </w:p>
        </w:tc>
        <w:tc>
          <w:tcPr>
            <w:tcW w:w="2606" w:type="pct"/>
          </w:tcPr>
          <w:p w14:paraId="271018AB" w14:textId="77777777" w:rsidR="006E4FC8" w:rsidRPr="006E4FC8" w:rsidRDefault="006E4FC8" w:rsidP="003D79A8">
            <w:pPr>
              <w:pStyle w:val="TableTitle"/>
              <w:rPr>
                <w:rFonts w:eastAsiaTheme="minorHAnsi"/>
                <w:color w:val="auto"/>
                <w:sz w:val="22"/>
                <w:szCs w:val="22"/>
                <w:lang w:val="en-CA"/>
              </w:rPr>
            </w:pPr>
            <w:r w:rsidRPr="006E4FC8">
              <w:rPr>
                <w:rFonts w:eastAsiaTheme="minorHAnsi"/>
                <w:color w:val="auto"/>
                <w:sz w:val="22"/>
                <w:szCs w:val="22"/>
                <w:lang w:val="en-CA"/>
              </w:rPr>
              <w:t>Post-Secondary Recruitment Program hires</w:t>
            </w:r>
          </w:p>
        </w:tc>
        <w:tc>
          <w:tcPr>
            <w:tcW w:w="1589" w:type="pct"/>
          </w:tcPr>
          <w:p w14:paraId="2F8F2932" w14:textId="77777777" w:rsidR="006E4FC8" w:rsidRPr="006E4FC8" w:rsidRDefault="006E4FC8" w:rsidP="003D79A8">
            <w:pPr>
              <w:pStyle w:val="TableTitle"/>
              <w:rPr>
                <w:rFonts w:eastAsiaTheme="minorHAnsi"/>
                <w:color w:val="auto"/>
                <w:sz w:val="22"/>
                <w:szCs w:val="22"/>
                <w:lang w:val="en-CA"/>
              </w:rPr>
            </w:pPr>
            <w:r w:rsidRPr="006E4FC8">
              <w:rPr>
                <w:rFonts w:eastAsiaTheme="minorHAnsi"/>
                <w:color w:val="auto"/>
                <w:sz w:val="22"/>
                <w:szCs w:val="22"/>
                <w:lang w:val="en-CA"/>
              </w:rPr>
              <w:t>Hiring of former students</w:t>
            </w:r>
          </w:p>
        </w:tc>
      </w:tr>
      <w:tr w:rsidR="006E4FC8" w:rsidRPr="006E4FC8" w14:paraId="621549B1" w14:textId="77777777" w:rsidTr="003D79A8">
        <w:trPr>
          <w:cantSplit/>
          <w:tblHeader/>
          <w:jc w:val="center"/>
        </w:trPr>
        <w:tc>
          <w:tcPr>
            <w:tcW w:w="805" w:type="pct"/>
          </w:tcPr>
          <w:p w14:paraId="1380FFD1" w14:textId="77777777" w:rsidR="006E4FC8" w:rsidRPr="006E4FC8" w:rsidRDefault="006E4FC8" w:rsidP="003D79A8">
            <w:pPr>
              <w:autoSpaceDE w:val="0"/>
              <w:autoSpaceDN w:val="0"/>
              <w:adjustRightInd w:val="0"/>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2014 to 2015</w:t>
            </w:r>
          </w:p>
        </w:tc>
        <w:tc>
          <w:tcPr>
            <w:tcW w:w="2606" w:type="pct"/>
          </w:tcPr>
          <w:p w14:paraId="56E2BDAE"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4</w:t>
            </w:r>
          </w:p>
        </w:tc>
        <w:tc>
          <w:tcPr>
            <w:tcW w:w="1589" w:type="pct"/>
          </w:tcPr>
          <w:p w14:paraId="5393A45C"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51</w:t>
            </w:r>
          </w:p>
        </w:tc>
      </w:tr>
      <w:tr w:rsidR="006E4FC8" w:rsidRPr="006E4FC8" w14:paraId="6D51562B" w14:textId="77777777" w:rsidTr="003D79A8">
        <w:trPr>
          <w:cantSplit/>
          <w:tblHeader/>
          <w:jc w:val="center"/>
        </w:trPr>
        <w:tc>
          <w:tcPr>
            <w:tcW w:w="805" w:type="pct"/>
          </w:tcPr>
          <w:p w14:paraId="65B8F732" w14:textId="77777777" w:rsidR="006E4FC8" w:rsidRPr="006E4FC8" w:rsidRDefault="006E4FC8" w:rsidP="003D79A8">
            <w:pPr>
              <w:autoSpaceDE w:val="0"/>
              <w:autoSpaceDN w:val="0"/>
              <w:adjustRightInd w:val="0"/>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2015 to 2016</w:t>
            </w:r>
          </w:p>
        </w:tc>
        <w:tc>
          <w:tcPr>
            <w:tcW w:w="2606" w:type="pct"/>
          </w:tcPr>
          <w:p w14:paraId="03F02896"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w:t>
            </w:r>
          </w:p>
        </w:tc>
        <w:tc>
          <w:tcPr>
            <w:tcW w:w="1589" w:type="pct"/>
          </w:tcPr>
          <w:p w14:paraId="2F51B9CA"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25</w:t>
            </w:r>
          </w:p>
        </w:tc>
      </w:tr>
      <w:tr w:rsidR="006E4FC8" w:rsidRPr="006E4FC8" w14:paraId="4092DFD4" w14:textId="77777777" w:rsidTr="003D79A8">
        <w:trPr>
          <w:cantSplit/>
          <w:tblHeader/>
          <w:jc w:val="center"/>
        </w:trPr>
        <w:tc>
          <w:tcPr>
            <w:tcW w:w="805" w:type="pct"/>
          </w:tcPr>
          <w:p w14:paraId="64639D04" w14:textId="77777777" w:rsidR="006E4FC8" w:rsidRPr="006E4FC8" w:rsidRDefault="006E4FC8" w:rsidP="003D79A8">
            <w:pPr>
              <w:autoSpaceDE w:val="0"/>
              <w:autoSpaceDN w:val="0"/>
              <w:adjustRightInd w:val="0"/>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2016 to 2017</w:t>
            </w:r>
          </w:p>
        </w:tc>
        <w:tc>
          <w:tcPr>
            <w:tcW w:w="2606" w:type="pct"/>
          </w:tcPr>
          <w:p w14:paraId="5C8B83C9"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6</w:t>
            </w:r>
          </w:p>
        </w:tc>
        <w:tc>
          <w:tcPr>
            <w:tcW w:w="1589" w:type="pct"/>
          </w:tcPr>
          <w:p w14:paraId="6F4B8DFC"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55</w:t>
            </w:r>
          </w:p>
        </w:tc>
      </w:tr>
      <w:tr w:rsidR="006E4FC8" w:rsidRPr="006E4FC8" w14:paraId="78CD7B37" w14:textId="77777777" w:rsidTr="003D79A8">
        <w:trPr>
          <w:cantSplit/>
          <w:tblHeader/>
          <w:jc w:val="center"/>
        </w:trPr>
        <w:tc>
          <w:tcPr>
            <w:tcW w:w="805" w:type="pct"/>
          </w:tcPr>
          <w:p w14:paraId="5DA1956A" w14:textId="77777777" w:rsidR="006E4FC8" w:rsidRPr="006E4FC8" w:rsidRDefault="006E4FC8" w:rsidP="003D79A8">
            <w:pPr>
              <w:autoSpaceDE w:val="0"/>
              <w:autoSpaceDN w:val="0"/>
              <w:adjustRightInd w:val="0"/>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2017 to 2018</w:t>
            </w:r>
          </w:p>
        </w:tc>
        <w:tc>
          <w:tcPr>
            <w:tcW w:w="2606" w:type="pct"/>
          </w:tcPr>
          <w:p w14:paraId="1AEDF5B3"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w:t>
            </w:r>
          </w:p>
        </w:tc>
        <w:tc>
          <w:tcPr>
            <w:tcW w:w="1589" w:type="pct"/>
          </w:tcPr>
          <w:p w14:paraId="35F7A6F9"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70</w:t>
            </w:r>
          </w:p>
        </w:tc>
      </w:tr>
      <w:tr w:rsidR="006E4FC8" w:rsidRPr="006E4FC8" w14:paraId="2BC431E6" w14:textId="77777777" w:rsidTr="003D79A8">
        <w:trPr>
          <w:cantSplit/>
          <w:tblHeader/>
          <w:jc w:val="center"/>
        </w:trPr>
        <w:tc>
          <w:tcPr>
            <w:tcW w:w="805" w:type="pct"/>
          </w:tcPr>
          <w:p w14:paraId="7DFCE83C" w14:textId="77777777" w:rsidR="006E4FC8" w:rsidRPr="006E4FC8" w:rsidRDefault="006E4FC8" w:rsidP="003D79A8">
            <w:pPr>
              <w:autoSpaceDE w:val="0"/>
              <w:autoSpaceDN w:val="0"/>
              <w:adjustRightInd w:val="0"/>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2018 to 2019</w:t>
            </w:r>
          </w:p>
        </w:tc>
        <w:tc>
          <w:tcPr>
            <w:tcW w:w="2606" w:type="pct"/>
          </w:tcPr>
          <w:p w14:paraId="6A663E5B"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11</w:t>
            </w:r>
          </w:p>
        </w:tc>
        <w:tc>
          <w:tcPr>
            <w:tcW w:w="1589" w:type="pct"/>
          </w:tcPr>
          <w:p w14:paraId="6F730CEF" w14:textId="77777777" w:rsidR="006E4FC8" w:rsidRPr="006E4FC8" w:rsidRDefault="006E4FC8" w:rsidP="003D79A8">
            <w:pPr>
              <w:autoSpaceDE w:val="0"/>
              <w:autoSpaceDN w:val="0"/>
              <w:adjustRightInd w:val="0"/>
              <w:jc w:val="center"/>
              <w:rPr>
                <w:rFonts w:asciiTheme="minorHAnsi" w:eastAsiaTheme="minorHAnsi" w:hAnsiTheme="minorHAnsi" w:cstheme="minorHAnsi"/>
                <w:color w:val="000000"/>
                <w:sz w:val="22"/>
                <w:szCs w:val="22"/>
                <w:lang w:val="en-CA"/>
              </w:rPr>
            </w:pPr>
            <w:r w:rsidRPr="006E4FC8">
              <w:rPr>
                <w:rFonts w:asciiTheme="minorHAnsi" w:eastAsiaTheme="minorHAnsi" w:hAnsiTheme="minorHAnsi" w:cstheme="minorHAnsi"/>
                <w:color w:val="000000"/>
                <w:sz w:val="22"/>
                <w:szCs w:val="22"/>
                <w:lang w:val="en-CA"/>
              </w:rPr>
              <w:t>79</w:t>
            </w:r>
          </w:p>
        </w:tc>
      </w:tr>
    </w:tbl>
    <w:p w14:paraId="2BFC4CC5" w14:textId="0F119ACD" w:rsidR="003D79A8" w:rsidRPr="003D79A8" w:rsidRDefault="003D79A8" w:rsidP="003D79A8">
      <w:pPr>
        <w:pStyle w:val="Titre1"/>
        <w:spacing w:before="120" w:after="120"/>
        <w:rPr>
          <w:sz w:val="40"/>
        </w:rPr>
      </w:pPr>
      <w:r w:rsidRPr="003D79A8">
        <w:rPr>
          <w:sz w:val="40"/>
        </w:rPr>
        <w:lastRenderedPageBreak/>
        <w:t>Internal Time to Staff</w:t>
      </w:r>
    </w:p>
    <w:p w14:paraId="2727A901" w14:textId="4D4EDA84" w:rsidR="007F24AE" w:rsidRDefault="00564048" w:rsidP="007F24AE">
      <w:pPr>
        <w:keepNext/>
      </w:pPr>
      <w:r w:rsidRPr="006E2679">
        <w:rPr>
          <w:rStyle w:val="lev"/>
          <w:noProof/>
          <w:lang w:val="en-CA" w:eastAsia="en-CA"/>
        </w:rPr>
        <w:drawing>
          <wp:inline distT="0" distB="0" distL="0" distR="0" wp14:anchorId="766E8CA6" wp14:editId="6C8EEFEA">
            <wp:extent cx="5648400" cy="3049200"/>
            <wp:effectExtent l="0" t="0" r="9525" b="18415"/>
            <wp:docPr id="22" name="Chart 22" descr="Figure 12 - Internal time to staff Public service median = 17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F24AE" w:rsidRPr="006E2679">
        <w:rPr>
          <w:rStyle w:val="lev"/>
          <w:noProof/>
          <w:lang w:val="en-CA" w:eastAsia="en-CA"/>
        </w:rPr>
        <w:drawing>
          <wp:inline distT="0" distB="0" distL="0" distR="0" wp14:anchorId="6521CC86" wp14:editId="771C146C">
            <wp:extent cx="5648400" cy="3049200"/>
            <wp:effectExtent l="0" t="0" r="9525" b="18415"/>
            <wp:docPr id="23" name="Chart 23" descr="Figure 13 - Internal time to staff Public Health Agency of Canada = 213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3C7338" w14:textId="45B089A5" w:rsidR="00564048" w:rsidRDefault="007F24AE" w:rsidP="007F24AE">
      <w:pPr>
        <w:pStyle w:val="Lgende"/>
        <w:tabs>
          <w:tab w:val="left" w:pos="8931"/>
        </w:tabs>
        <w:spacing w:after="240"/>
        <w:rPr>
          <w:lang w:val="en-CA"/>
        </w:rPr>
      </w:pPr>
      <w:r>
        <w:t xml:space="preserve">Figure </w:t>
      </w:r>
      <w:r>
        <w:fldChar w:fldCharType="begin"/>
      </w:r>
      <w:r>
        <w:instrText xml:space="preserve"> SEQ Figure \* ARABIC </w:instrText>
      </w:r>
      <w:r>
        <w:fldChar w:fldCharType="separate"/>
      </w:r>
      <w:r w:rsidR="00F23097">
        <w:rPr>
          <w:noProof/>
        </w:rPr>
        <w:t>12</w:t>
      </w:r>
      <w:r>
        <w:fldChar w:fldCharType="end"/>
      </w:r>
      <w:r>
        <w:t xml:space="preserve"> - Internal time to staff Public service median = 176 days 2018-19</w:t>
      </w:r>
      <w:r>
        <w:tab/>
        <w:t xml:space="preserve">Figure </w:t>
      </w:r>
      <w:r>
        <w:fldChar w:fldCharType="begin"/>
      </w:r>
      <w:r>
        <w:instrText xml:space="preserve"> SEQ Figure \* ARABIC </w:instrText>
      </w:r>
      <w:r>
        <w:fldChar w:fldCharType="separate"/>
      </w:r>
      <w:r w:rsidR="00F23097">
        <w:rPr>
          <w:noProof/>
        </w:rPr>
        <w:t>13</w:t>
      </w:r>
      <w:r>
        <w:fldChar w:fldCharType="end"/>
      </w:r>
      <w:r>
        <w:t xml:space="preserve"> - Internal time to staff Public Health Agency of Canada = 213 days 2018-19</w:t>
      </w:r>
    </w:p>
    <w:p w14:paraId="7FE1AAA1" w14:textId="3E1CBA02" w:rsidR="007F24AE" w:rsidRPr="007F24AE" w:rsidRDefault="005B28AA" w:rsidP="003D79A8">
      <w:pPr>
        <w:numPr>
          <w:ilvl w:val="1"/>
          <w:numId w:val="0"/>
        </w:numPr>
        <w:spacing w:before="120" w:after="120"/>
        <w:rPr>
          <w:rFonts w:asciiTheme="minorHAnsi" w:hAnsiTheme="minorHAnsi" w:cstheme="minorHAnsi"/>
          <w:sz w:val="22"/>
          <w:lang w:val="en-CA"/>
        </w:rPr>
      </w:pPr>
      <w:hyperlink w:anchor="Internal_time_to_staff" w:history="1">
        <w:r w:rsidR="003D79A8" w:rsidRPr="00432882">
          <w:rPr>
            <w:rStyle w:val="Lienhypertexte"/>
            <w:rFonts w:asciiTheme="minorHAnsi" w:eastAsiaTheme="minorHAnsi" w:hAnsiTheme="minorHAnsi" w:cstheme="minorHAnsi"/>
            <w:szCs w:val="24"/>
            <w:lang w:val="en-CA"/>
          </w:rPr>
          <w:t>Internal time to staff data table available here</w:t>
        </w:r>
      </w:hyperlink>
      <w:r w:rsidR="007F24AE" w:rsidRPr="007F24AE">
        <w:rPr>
          <w:rFonts w:asciiTheme="minorHAnsi" w:hAnsiTheme="minorHAnsi" w:cstheme="minorHAnsi"/>
          <w:sz w:val="22"/>
          <w:lang w:val="en-CA"/>
        </w:rPr>
        <w:t>.</w:t>
      </w:r>
    </w:p>
    <w:p w14:paraId="724B554D" w14:textId="77777777" w:rsidR="007F24AE" w:rsidRDefault="007F24AE" w:rsidP="00564048">
      <w:pPr>
        <w:rPr>
          <w:rFonts w:asciiTheme="minorHAnsi" w:hAnsiTheme="minorHAnsi" w:cstheme="minorHAnsi"/>
          <w:sz w:val="22"/>
          <w:szCs w:val="22"/>
          <w:lang w:val="en-CA" w:eastAsia="en-CA"/>
        </w:rPr>
        <w:sectPr w:rsidR="007F24AE" w:rsidSect="007F24AE">
          <w:headerReference w:type="default" r:id="rId23"/>
          <w:footerReference w:type="even" r:id="rId24"/>
          <w:headerReference w:type="first" r:id="rId25"/>
          <w:footerReference w:type="first" r:id="rId26"/>
          <w:pgSz w:w="20160" w:h="12240" w:orient="landscape" w:code="5"/>
          <w:pgMar w:top="1025" w:right="720" w:bottom="720" w:left="720" w:header="708" w:footer="708" w:gutter="0"/>
          <w:cols w:space="708"/>
          <w:titlePg/>
          <w:docGrid w:linePitch="360"/>
        </w:sectPr>
      </w:pPr>
    </w:p>
    <w:p w14:paraId="2D5BCABE" w14:textId="77402153" w:rsidR="007F24AE" w:rsidRPr="007F24AE" w:rsidRDefault="007F24AE" w:rsidP="00564048">
      <w:pPr>
        <w:rPr>
          <w:rFonts w:asciiTheme="minorHAnsi" w:hAnsiTheme="minorHAnsi" w:cstheme="minorHAnsi"/>
          <w:sz w:val="22"/>
          <w:szCs w:val="22"/>
          <w:lang w:val="en-CA" w:eastAsia="en-CA"/>
        </w:rPr>
      </w:pPr>
      <w:r w:rsidRPr="007F24AE">
        <w:rPr>
          <w:rFonts w:asciiTheme="minorHAnsi" w:hAnsiTheme="minorHAnsi" w:cstheme="minorHAnsi"/>
          <w:sz w:val="22"/>
          <w:szCs w:val="22"/>
          <w:lang w:val="en-CA" w:eastAsia="en-CA"/>
        </w:rPr>
        <w:t>Internal time to staff is calculated as the number of calendar days between the opening date of the advertisement and the date of the first notification.</w:t>
      </w:r>
    </w:p>
    <w:p w14:paraId="287FECD8" w14:textId="48AD2039" w:rsidR="007F24AE" w:rsidRPr="007F24AE" w:rsidRDefault="007F24AE" w:rsidP="007F24AE">
      <w:pPr>
        <w:tabs>
          <w:tab w:val="left" w:pos="4788"/>
        </w:tabs>
        <w:rPr>
          <w:rStyle w:val="lev"/>
          <w:rFonts w:asciiTheme="minorHAnsi" w:eastAsiaTheme="minorHAnsi" w:hAnsiTheme="minorHAnsi" w:cstheme="minorHAnsi"/>
          <w:sz w:val="22"/>
          <w:szCs w:val="22"/>
          <w:lang w:val="en-CA"/>
        </w:rPr>
      </w:pPr>
      <w:r>
        <w:rPr>
          <w:rStyle w:val="lev"/>
          <w:rFonts w:asciiTheme="minorHAnsi" w:eastAsiaTheme="minorHAnsi" w:hAnsiTheme="minorHAnsi" w:cstheme="minorHAnsi"/>
          <w:sz w:val="22"/>
          <w:szCs w:val="22"/>
          <w:lang w:val="en-CA"/>
        </w:rPr>
        <w:br w:type="column"/>
      </w:r>
      <w:r w:rsidRPr="007F24AE">
        <w:rPr>
          <w:rStyle w:val="lev"/>
          <w:rFonts w:asciiTheme="minorHAnsi" w:eastAsiaTheme="minorHAnsi" w:hAnsiTheme="minorHAnsi" w:cstheme="minorHAnsi"/>
          <w:sz w:val="22"/>
          <w:szCs w:val="22"/>
          <w:lang w:val="en-CA"/>
        </w:rPr>
        <w:t>Internal time to sta</w:t>
      </w:r>
      <w:r>
        <w:rPr>
          <w:rStyle w:val="lev"/>
          <w:rFonts w:asciiTheme="minorHAnsi" w:eastAsiaTheme="minorHAnsi" w:hAnsiTheme="minorHAnsi" w:cstheme="minorHAnsi"/>
          <w:sz w:val="22"/>
          <w:szCs w:val="22"/>
          <w:lang w:val="en-CA"/>
        </w:rPr>
        <w:t>ff for fiscal year 2018 to 2019</w:t>
      </w:r>
    </w:p>
    <w:p w14:paraId="4EADE2C6" w14:textId="3EEBCDBA" w:rsidR="007F24AE" w:rsidRPr="007F24AE" w:rsidRDefault="007F24AE" w:rsidP="007F24AE">
      <w:pPr>
        <w:tabs>
          <w:tab w:val="left" w:pos="4788"/>
        </w:tabs>
        <w:rPr>
          <w:rStyle w:val="lev"/>
          <w:rFonts w:asciiTheme="minorHAnsi" w:eastAsiaTheme="minorHAnsi" w:hAnsiTheme="minorHAnsi" w:cstheme="minorHAnsi"/>
          <w:sz w:val="22"/>
          <w:szCs w:val="22"/>
          <w:lang w:val="en-CA"/>
        </w:rPr>
      </w:pPr>
      <w:r w:rsidRPr="007F24AE">
        <w:rPr>
          <w:rFonts w:asciiTheme="minorHAnsi" w:eastAsiaTheme="minorHAnsi" w:hAnsiTheme="minorHAnsi" w:cstheme="minorHAnsi"/>
          <w:sz w:val="22"/>
          <w:szCs w:val="22"/>
          <w:lang w:val="en-CA"/>
        </w:rPr>
        <w:t>The median internal time to staff for the public service (organizations subject to the Public Service Employment Act) for fiscal year 2018 to 2019 is 176 days. Public Health Agency of Canada’s median internal time to staff for fiscal year 2018 to 2019 is 213 days</w:t>
      </w:r>
      <w:r>
        <w:rPr>
          <w:rFonts w:asciiTheme="minorHAnsi" w:eastAsiaTheme="minorHAnsi" w:hAnsiTheme="minorHAnsi" w:cstheme="minorHAnsi"/>
          <w:sz w:val="22"/>
          <w:szCs w:val="22"/>
          <w:lang w:val="en-CA"/>
        </w:rPr>
        <w:t>.</w:t>
      </w:r>
    </w:p>
    <w:p w14:paraId="5A69913C" w14:textId="77777777" w:rsidR="007F24AE" w:rsidRDefault="007F24AE" w:rsidP="00564048">
      <w:pPr>
        <w:rPr>
          <w:lang w:val="en-CA"/>
        </w:rPr>
        <w:sectPr w:rsidR="007F24AE" w:rsidSect="007F24AE">
          <w:type w:val="continuous"/>
          <w:pgSz w:w="20160" w:h="12240" w:orient="landscape" w:code="5"/>
          <w:pgMar w:top="1025" w:right="720" w:bottom="720" w:left="720" w:header="708" w:footer="708" w:gutter="0"/>
          <w:cols w:num="2" w:space="708"/>
          <w:titlePg/>
          <w:docGrid w:linePitch="360"/>
        </w:sectPr>
      </w:pPr>
    </w:p>
    <w:p w14:paraId="0FF054BC" w14:textId="4F145765" w:rsidR="007F24AE" w:rsidRDefault="007F24AE" w:rsidP="00564048">
      <w:pPr>
        <w:rPr>
          <w:lang w:val="en-CA"/>
        </w:rPr>
      </w:pPr>
    </w:p>
    <w:p w14:paraId="1FA6F07E" w14:textId="77777777" w:rsidR="007F24AE" w:rsidRDefault="007F24AE" w:rsidP="00564048">
      <w:pPr>
        <w:rPr>
          <w:lang w:val="en-CA"/>
        </w:rPr>
        <w:sectPr w:rsidR="007F24AE" w:rsidSect="007F24AE">
          <w:type w:val="continuous"/>
          <w:pgSz w:w="20160" w:h="12240" w:orient="landscape" w:code="5"/>
          <w:pgMar w:top="1025" w:right="720" w:bottom="720" w:left="720" w:header="708" w:footer="708" w:gutter="0"/>
          <w:cols w:space="708"/>
          <w:titlePg/>
          <w:docGrid w:linePitch="360"/>
        </w:sectPr>
      </w:pPr>
    </w:p>
    <w:p w14:paraId="6F18BF4E" w14:textId="02BC01BF" w:rsidR="003D79A8" w:rsidRPr="003D79A8" w:rsidRDefault="003D79A8" w:rsidP="003D79A8">
      <w:pPr>
        <w:pStyle w:val="Titre1"/>
        <w:spacing w:before="120" w:after="120"/>
        <w:rPr>
          <w:sz w:val="40"/>
        </w:rPr>
      </w:pPr>
      <w:r w:rsidRPr="003D79A8">
        <w:rPr>
          <w:sz w:val="40"/>
        </w:rPr>
        <w:lastRenderedPageBreak/>
        <w:t>Internal Time to Staff</w:t>
      </w:r>
    </w:p>
    <w:p w14:paraId="326B6180" w14:textId="34CFBECB" w:rsidR="00EC2CE2" w:rsidRDefault="00EC2CE2" w:rsidP="00EC2CE2">
      <w:pPr>
        <w:pStyle w:val="Lgende"/>
        <w:keepNext/>
      </w:pPr>
      <w:r>
        <w:t xml:space="preserve">Table </w:t>
      </w:r>
      <w:r>
        <w:fldChar w:fldCharType="begin"/>
      </w:r>
      <w:r>
        <w:instrText xml:space="preserve"> SEQ Table \* ARABIC </w:instrText>
      </w:r>
      <w:r>
        <w:fldChar w:fldCharType="separate"/>
      </w:r>
      <w:r w:rsidR="00147E67">
        <w:rPr>
          <w:noProof/>
        </w:rPr>
        <w:t>15</w:t>
      </w:r>
      <w:r>
        <w:fldChar w:fldCharType="end"/>
      </w:r>
      <w:r>
        <w:t xml:space="preserve"> - Internal time to staff</w:t>
      </w:r>
    </w:p>
    <w:tbl>
      <w:tblPr>
        <w:tblStyle w:val="TableGrid1"/>
        <w:tblW w:w="0" w:type="auto"/>
        <w:jc w:val="center"/>
        <w:tblLayout w:type="fixed"/>
        <w:tblLook w:val="0000" w:firstRow="0" w:lastRow="0" w:firstColumn="0" w:lastColumn="0" w:noHBand="0" w:noVBand="0"/>
        <w:tblDescription w:val="Internal time to staff"/>
      </w:tblPr>
      <w:tblGrid>
        <w:gridCol w:w="7676"/>
        <w:gridCol w:w="7677"/>
        <w:gridCol w:w="7677"/>
      </w:tblGrid>
      <w:tr w:rsidR="00EC2CE2" w:rsidRPr="006E2679" w14:paraId="62FDDB10" w14:textId="77777777" w:rsidTr="00EC2CE2">
        <w:trPr>
          <w:cantSplit/>
          <w:trHeight w:val="290"/>
          <w:tblHeader/>
          <w:jc w:val="center"/>
        </w:trPr>
        <w:tc>
          <w:tcPr>
            <w:tcW w:w="7676" w:type="dxa"/>
          </w:tcPr>
          <w:p w14:paraId="6AD71742" w14:textId="77777777" w:rsidR="00EC2CE2" w:rsidRPr="00EC2CE2" w:rsidRDefault="00EC2CE2" w:rsidP="003D79A8">
            <w:pPr>
              <w:pStyle w:val="TableTitle"/>
              <w:rPr>
                <w:rFonts w:eastAsiaTheme="minorHAnsi"/>
                <w:color w:val="auto"/>
                <w:sz w:val="22"/>
                <w:szCs w:val="22"/>
                <w:lang w:val="en-CA"/>
              </w:rPr>
            </w:pPr>
            <w:bookmarkStart w:id="3" w:name="Internal_time_to_staff"/>
            <w:r w:rsidRPr="00EC2CE2">
              <w:rPr>
                <w:rFonts w:eastAsiaTheme="minorHAnsi"/>
                <w:color w:val="auto"/>
                <w:sz w:val="22"/>
                <w:szCs w:val="22"/>
                <w:lang w:val="en-CA"/>
              </w:rPr>
              <w:t>Number of calendar days</w:t>
            </w:r>
            <w:bookmarkEnd w:id="3"/>
          </w:p>
        </w:tc>
        <w:tc>
          <w:tcPr>
            <w:tcW w:w="7677" w:type="dxa"/>
          </w:tcPr>
          <w:p w14:paraId="58A41D76" w14:textId="77777777" w:rsidR="00EC2CE2" w:rsidRPr="00EC2CE2" w:rsidRDefault="00EC2CE2" w:rsidP="003D79A8">
            <w:pPr>
              <w:pStyle w:val="TableTitle"/>
              <w:rPr>
                <w:rFonts w:eastAsiaTheme="minorHAnsi"/>
                <w:color w:val="auto"/>
                <w:sz w:val="22"/>
                <w:szCs w:val="22"/>
                <w:lang w:val="en-CA"/>
              </w:rPr>
            </w:pPr>
            <w:r w:rsidRPr="00EC2CE2">
              <w:rPr>
                <w:rFonts w:eastAsiaTheme="minorHAnsi"/>
                <w:color w:val="auto"/>
                <w:sz w:val="22"/>
                <w:szCs w:val="22"/>
                <w:lang w:val="en-CA"/>
              </w:rPr>
              <w:t>The number of internal appointments for which the TTS-IA was within the specified number of calendar days  for organizations subject to the Public Service Employment Act</w:t>
            </w:r>
          </w:p>
        </w:tc>
        <w:tc>
          <w:tcPr>
            <w:tcW w:w="7677" w:type="dxa"/>
          </w:tcPr>
          <w:p w14:paraId="2B0B13A8" w14:textId="77777777" w:rsidR="00EC2CE2" w:rsidRPr="00EC2CE2" w:rsidRDefault="00EC2CE2" w:rsidP="003D79A8">
            <w:pPr>
              <w:pStyle w:val="TableTitle"/>
              <w:rPr>
                <w:rFonts w:eastAsiaTheme="minorHAnsi"/>
                <w:color w:val="auto"/>
                <w:sz w:val="22"/>
                <w:szCs w:val="22"/>
                <w:lang w:val="en-CA"/>
              </w:rPr>
            </w:pPr>
            <w:r w:rsidRPr="00EC2CE2">
              <w:rPr>
                <w:rFonts w:eastAsiaTheme="minorHAnsi"/>
                <w:color w:val="auto"/>
                <w:sz w:val="22"/>
                <w:szCs w:val="22"/>
                <w:lang w:val="en-CA"/>
              </w:rPr>
              <w:t>The number of internal appointments for which the TTS-IA was within the specified number of calendar days for the specified organization</w:t>
            </w:r>
          </w:p>
        </w:tc>
      </w:tr>
      <w:tr w:rsidR="00EC2CE2" w:rsidRPr="006E2679" w14:paraId="30051124" w14:textId="77777777" w:rsidTr="00EC2CE2">
        <w:trPr>
          <w:cantSplit/>
          <w:trHeight w:val="290"/>
          <w:tblHeader/>
          <w:jc w:val="center"/>
        </w:trPr>
        <w:tc>
          <w:tcPr>
            <w:tcW w:w="7676" w:type="dxa"/>
          </w:tcPr>
          <w:p w14:paraId="3FC9D625"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 calendar days</w:t>
            </w:r>
          </w:p>
        </w:tc>
        <w:tc>
          <w:tcPr>
            <w:tcW w:w="7677" w:type="dxa"/>
          </w:tcPr>
          <w:p w14:paraId="3D292168"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c>
          <w:tcPr>
            <w:tcW w:w="7677" w:type="dxa"/>
          </w:tcPr>
          <w:p w14:paraId="6DF3760F"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40E3366A" w14:textId="77777777" w:rsidTr="00EC2CE2">
        <w:trPr>
          <w:cantSplit/>
          <w:trHeight w:val="290"/>
          <w:tblHeader/>
          <w:jc w:val="center"/>
        </w:trPr>
        <w:tc>
          <w:tcPr>
            <w:tcW w:w="7676" w:type="dxa"/>
          </w:tcPr>
          <w:p w14:paraId="4D6F56F0"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 to 29 calendar days</w:t>
            </w:r>
          </w:p>
        </w:tc>
        <w:tc>
          <w:tcPr>
            <w:tcW w:w="7677" w:type="dxa"/>
          </w:tcPr>
          <w:p w14:paraId="43670C41"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15</w:t>
            </w:r>
          </w:p>
        </w:tc>
        <w:tc>
          <w:tcPr>
            <w:tcW w:w="7677" w:type="dxa"/>
          </w:tcPr>
          <w:p w14:paraId="634DF5FF"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15BC6A38" w14:textId="77777777" w:rsidTr="00EC2CE2">
        <w:trPr>
          <w:cantSplit/>
          <w:trHeight w:val="290"/>
          <w:tblHeader/>
          <w:jc w:val="center"/>
        </w:trPr>
        <w:tc>
          <w:tcPr>
            <w:tcW w:w="7676" w:type="dxa"/>
          </w:tcPr>
          <w:p w14:paraId="67AB673B"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30 to 59 calendar days</w:t>
            </w:r>
          </w:p>
        </w:tc>
        <w:tc>
          <w:tcPr>
            <w:tcW w:w="7677" w:type="dxa"/>
          </w:tcPr>
          <w:p w14:paraId="35A443C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130</w:t>
            </w:r>
          </w:p>
        </w:tc>
        <w:tc>
          <w:tcPr>
            <w:tcW w:w="7677" w:type="dxa"/>
          </w:tcPr>
          <w:p w14:paraId="79C856F2"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17EDFC39" w14:textId="77777777" w:rsidTr="00EC2CE2">
        <w:trPr>
          <w:cantSplit/>
          <w:trHeight w:val="290"/>
          <w:tblHeader/>
          <w:jc w:val="center"/>
        </w:trPr>
        <w:tc>
          <w:tcPr>
            <w:tcW w:w="7676" w:type="dxa"/>
          </w:tcPr>
          <w:p w14:paraId="784393D2"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60 to 89 calendar days</w:t>
            </w:r>
          </w:p>
        </w:tc>
        <w:tc>
          <w:tcPr>
            <w:tcW w:w="7677" w:type="dxa"/>
          </w:tcPr>
          <w:p w14:paraId="538AE94E"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277</w:t>
            </w:r>
          </w:p>
        </w:tc>
        <w:tc>
          <w:tcPr>
            <w:tcW w:w="7677" w:type="dxa"/>
          </w:tcPr>
          <w:p w14:paraId="132545A8"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3ADA1599" w14:textId="77777777" w:rsidTr="00EC2CE2">
        <w:trPr>
          <w:cantSplit/>
          <w:trHeight w:val="290"/>
          <w:tblHeader/>
          <w:jc w:val="center"/>
        </w:trPr>
        <w:tc>
          <w:tcPr>
            <w:tcW w:w="7676" w:type="dxa"/>
          </w:tcPr>
          <w:p w14:paraId="1FF1E768"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90 to 119 calendar days</w:t>
            </w:r>
          </w:p>
        </w:tc>
        <w:tc>
          <w:tcPr>
            <w:tcW w:w="7677" w:type="dxa"/>
          </w:tcPr>
          <w:p w14:paraId="1E474C50"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391</w:t>
            </w:r>
          </w:p>
        </w:tc>
        <w:tc>
          <w:tcPr>
            <w:tcW w:w="7677" w:type="dxa"/>
          </w:tcPr>
          <w:p w14:paraId="3047502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7</w:t>
            </w:r>
          </w:p>
        </w:tc>
      </w:tr>
      <w:tr w:rsidR="00EC2CE2" w:rsidRPr="006E2679" w14:paraId="0E8BB446" w14:textId="77777777" w:rsidTr="00EC2CE2">
        <w:trPr>
          <w:cantSplit/>
          <w:trHeight w:val="290"/>
          <w:tblHeader/>
          <w:jc w:val="center"/>
        </w:trPr>
        <w:tc>
          <w:tcPr>
            <w:tcW w:w="7676" w:type="dxa"/>
          </w:tcPr>
          <w:p w14:paraId="5B7B61FA"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120 to 149 calendar days</w:t>
            </w:r>
          </w:p>
        </w:tc>
        <w:tc>
          <w:tcPr>
            <w:tcW w:w="7677" w:type="dxa"/>
          </w:tcPr>
          <w:p w14:paraId="276A9408"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367</w:t>
            </w:r>
          </w:p>
        </w:tc>
        <w:tc>
          <w:tcPr>
            <w:tcW w:w="7677" w:type="dxa"/>
          </w:tcPr>
          <w:p w14:paraId="3EBDB31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w:t>
            </w:r>
          </w:p>
        </w:tc>
      </w:tr>
      <w:tr w:rsidR="00EC2CE2" w:rsidRPr="006E2679" w14:paraId="3B04FAE1" w14:textId="77777777" w:rsidTr="00EC2CE2">
        <w:trPr>
          <w:cantSplit/>
          <w:trHeight w:val="290"/>
          <w:tblHeader/>
          <w:jc w:val="center"/>
        </w:trPr>
        <w:tc>
          <w:tcPr>
            <w:tcW w:w="7676" w:type="dxa"/>
          </w:tcPr>
          <w:p w14:paraId="208FA923"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150 to 179 calendar days</w:t>
            </w:r>
          </w:p>
        </w:tc>
        <w:tc>
          <w:tcPr>
            <w:tcW w:w="7677" w:type="dxa"/>
          </w:tcPr>
          <w:p w14:paraId="42587709"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322</w:t>
            </w:r>
          </w:p>
        </w:tc>
        <w:tc>
          <w:tcPr>
            <w:tcW w:w="7677" w:type="dxa"/>
          </w:tcPr>
          <w:p w14:paraId="56DB6D82"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w:t>
            </w:r>
          </w:p>
        </w:tc>
      </w:tr>
      <w:tr w:rsidR="00EC2CE2" w:rsidRPr="006E2679" w14:paraId="1B335DC1" w14:textId="77777777" w:rsidTr="00EC2CE2">
        <w:trPr>
          <w:cantSplit/>
          <w:trHeight w:val="290"/>
          <w:tblHeader/>
          <w:jc w:val="center"/>
        </w:trPr>
        <w:tc>
          <w:tcPr>
            <w:tcW w:w="7676" w:type="dxa"/>
          </w:tcPr>
          <w:p w14:paraId="49195DBC"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180 to 209 calendar days</w:t>
            </w:r>
          </w:p>
        </w:tc>
        <w:tc>
          <w:tcPr>
            <w:tcW w:w="7677" w:type="dxa"/>
          </w:tcPr>
          <w:p w14:paraId="6D2DC086"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278</w:t>
            </w:r>
          </w:p>
        </w:tc>
        <w:tc>
          <w:tcPr>
            <w:tcW w:w="7677" w:type="dxa"/>
          </w:tcPr>
          <w:p w14:paraId="0F3FBC9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8</w:t>
            </w:r>
          </w:p>
        </w:tc>
      </w:tr>
      <w:tr w:rsidR="00EC2CE2" w:rsidRPr="006E2679" w14:paraId="549A2BEA" w14:textId="77777777" w:rsidTr="00EC2CE2">
        <w:trPr>
          <w:cantSplit/>
          <w:trHeight w:val="290"/>
          <w:tblHeader/>
          <w:jc w:val="center"/>
        </w:trPr>
        <w:tc>
          <w:tcPr>
            <w:tcW w:w="7676" w:type="dxa"/>
          </w:tcPr>
          <w:p w14:paraId="1CA0679E"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210 to 239 calendar days</w:t>
            </w:r>
          </w:p>
        </w:tc>
        <w:tc>
          <w:tcPr>
            <w:tcW w:w="7677" w:type="dxa"/>
          </w:tcPr>
          <w:p w14:paraId="50B3DC35"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241</w:t>
            </w:r>
          </w:p>
        </w:tc>
        <w:tc>
          <w:tcPr>
            <w:tcW w:w="7677" w:type="dxa"/>
          </w:tcPr>
          <w:p w14:paraId="1F13C5D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w:t>
            </w:r>
          </w:p>
        </w:tc>
      </w:tr>
      <w:tr w:rsidR="00EC2CE2" w:rsidRPr="006E2679" w14:paraId="5E1392CA" w14:textId="77777777" w:rsidTr="00EC2CE2">
        <w:trPr>
          <w:cantSplit/>
          <w:trHeight w:val="290"/>
          <w:tblHeader/>
          <w:jc w:val="center"/>
        </w:trPr>
        <w:tc>
          <w:tcPr>
            <w:tcW w:w="7676" w:type="dxa"/>
          </w:tcPr>
          <w:p w14:paraId="3993832E"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240 to 269 calendar days</w:t>
            </w:r>
          </w:p>
        </w:tc>
        <w:tc>
          <w:tcPr>
            <w:tcW w:w="7677" w:type="dxa"/>
          </w:tcPr>
          <w:p w14:paraId="6B1C470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165</w:t>
            </w:r>
          </w:p>
        </w:tc>
        <w:tc>
          <w:tcPr>
            <w:tcW w:w="7677" w:type="dxa"/>
          </w:tcPr>
          <w:p w14:paraId="36DD2CF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w:t>
            </w:r>
          </w:p>
        </w:tc>
      </w:tr>
      <w:tr w:rsidR="00EC2CE2" w:rsidRPr="006E2679" w14:paraId="2FA1550D" w14:textId="77777777" w:rsidTr="00EC2CE2">
        <w:trPr>
          <w:cantSplit/>
          <w:trHeight w:val="290"/>
          <w:tblHeader/>
          <w:jc w:val="center"/>
        </w:trPr>
        <w:tc>
          <w:tcPr>
            <w:tcW w:w="7676" w:type="dxa"/>
          </w:tcPr>
          <w:p w14:paraId="2FF34805"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270 to 299 calendar days</w:t>
            </w:r>
          </w:p>
        </w:tc>
        <w:tc>
          <w:tcPr>
            <w:tcW w:w="7677" w:type="dxa"/>
          </w:tcPr>
          <w:p w14:paraId="231EAC3A"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134</w:t>
            </w:r>
          </w:p>
        </w:tc>
        <w:tc>
          <w:tcPr>
            <w:tcW w:w="7677" w:type="dxa"/>
          </w:tcPr>
          <w:p w14:paraId="6AC200B0"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w:t>
            </w:r>
          </w:p>
        </w:tc>
      </w:tr>
      <w:tr w:rsidR="00EC2CE2" w:rsidRPr="006E2679" w14:paraId="1245C57B" w14:textId="77777777" w:rsidTr="00EC2CE2">
        <w:trPr>
          <w:cantSplit/>
          <w:trHeight w:val="290"/>
          <w:tblHeader/>
          <w:jc w:val="center"/>
        </w:trPr>
        <w:tc>
          <w:tcPr>
            <w:tcW w:w="7676" w:type="dxa"/>
          </w:tcPr>
          <w:p w14:paraId="5B48A9E4"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300 to 329 calendar days</w:t>
            </w:r>
          </w:p>
        </w:tc>
        <w:tc>
          <w:tcPr>
            <w:tcW w:w="7677" w:type="dxa"/>
          </w:tcPr>
          <w:p w14:paraId="0DAA655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107</w:t>
            </w:r>
          </w:p>
        </w:tc>
        <w:tc>
          <w:tcPr>
            <w:tcW w:w="7677" w:type="dxa"/>
          </w:tcPr>
          <w:p w14:paraId="5CFDDE4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3E75C0FD" w14:textId="77777777" w:rsidTr="00EC2CE2">
        <w:trPr>
          <w:cantSplit/>
          <w:trHeight w:val="290"/>
          <w:tblHeader/>
          <w:jc w:val="center"/>
        </w:trPr>
        <w:tc>
          <w:tcPr>
            <w:tcW w:w="7676" w:type="dxa"/>
          </w:tcPr>
          <w:p w14:paraId="19B5B82F"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330 to 359 calendar days</w:t>
            </w:r>
          </w:p>
        </w:tc>
        <w:tc>
          <w:tcPr>
            <w:tcW w:w="7677" w:type="dxa"/>
          </w:tcPr>
          <w:p w14:paraId="6B6794E6"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77</w:t>
            </w:r>
          </w:p>
        </w:tc>
        <w:tc>
          <w:tcPr>
            <w:tcW w:w="7677" w:type="dxa"/>
          </w:tcPr>
          <w:p w14:paraId="7FC833B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560818D2" w14:textId="77777777" w:rsidTr="00EC2CE2">
        <w:trPr>
          <w:cantSplit/>
          <w:trHeight w:val="290"/>
          <w:tblHeader/>
          <w:jc w:val="center"/>
        </w:trPr>
        <w:tc>
          <w:tcPr>
            <w:tcW w:w="7676" w:type="dxa"/>
          </w:tcPr>
          <w:p w14:paraId="46796FF8"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360 to 389 calendar days</w:t>
            </w:r>
          </w:p>
        </w:tc>
        <w:tc>
          <w:tcPr>
            <w:tcW w:w="7677" w:type="dxa"/>
          </w:tcPr>
          <w:p w14:paraId="3BC95090"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61</w:t>
            </w:r>
          </w:p>
        </w:tc>
        <w:tc>
          <w:tcPr>
            <w:tcW w:w="7677" w:type="dxa"/>
          </w:tcPr>
          <w:p w14:paraId="35248B7D"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5965E888" w14:textId="77777777" w:rsidTr="00EC2CE2">
        <w:trPr>
          <w:cantSplit/>
          <w:trHeight w:val="290"/>
          <w:tblHeader/>
          <w:jc w:val="center"/>
        </w:trPr>
        <w:tc>
          <w:tcPr>
            <w:tcW w:w="7676" w:type="dxa"/>
          </w:tcPr>
          <w:p w14:paraId="0FAD0509"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390 to 419 calendar days</w:t>
            </w:r>
          </w:p>
        </w:tc>
        <w:tc>
          <w:tcPr>
            <w:tcW w:w="7677" w:type="dxa"/>
          </w:tcPr>
          <w:p w14:paraId="7BA6EE7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53</w:t>
            </w:r>
          </w:p>
        </w:tc>
        <w:tc>
          <w:tcPr>
            <w:tcW w:w="7677" w:type="dxa"/>
          </w:tcPr>
          <w:p w14:paraId="4E16BD38"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w:t>
            </w:r>
          </w:p>
        </w:tc>
      </w:tr>
      <w:tr w:rsidR="00EC2CE2" w:rsidRPr="006E2679" w14:paraId="793919B5" w14:textId="77777777" w:rsidTr="00EC2CE2">
        <w:trPr>
          <w:cantSplit/>
          <w:trHeight w:val="290"/>
          <w:tblHeader/>
          <w:jc w:val="center"/>
        </w:trPr>
        <w:tc>
          <w:tcPr>
            <w:tcW w:w="7676" w:type="dxa"/>
          </w:tcPr>
          <w:p w14:paraId="3596856B"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420 to 449 calendar days</w:t>
            </w:r>
          </w:p>
        </w:tc>
        <w:tc>
          <w:tcPr>
            <w:tcW w:w="7677" w:type="dxa"/>
          </w:tcPr>
          <w:p w14:paraId="6A8935CE"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51</w:t>
            </w:r>
          </w:p>
        </w:tc>
        <w:tc>
          <w:tcPr>
            <w:tcW w:w="7677" w:type="dxa"/>
          </w:tcPr>
          <w:p w14:paraId="2CE21B2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690FF957" w14:textId="77777777" w:rsidTr="00EC2CE2">
        <w:trPr>
          <w:cantSplit/>
          <w:trHeight w:val="290"/>
          <w:tblHeader/>
          <w:jc w:val="center"/>
        </w:trPr>
        <w:tc>
          <w:tcPr>
            <w:tcW w:w="7676" w:type="dxa"/>
          </w:tcPr>
          <w:p w14:paraId="1E9C33D6"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450 to 479 calendar days</w:t>
            </w:r>
          </w:p>
        </w:tc>
        <w:tc>
          <w:tcPr>
            <w:tcW w:w="7677" w:type="dxa"/>
          </w:tcPr>
          <w:p w14:paraId="697D4E9D"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42</w:t>
            </w:r>
          </w:p>
        </w:tc>
        <w:tc>
          <w:tcPr>
            <w:tcW w:w="7677" w:type="dxa"/>
          </w:tcPr>
          <w:p w14:paraId="073DCDE2"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62ACFEA8" w14:textId="77777777" w:rsidTr="00EC2CE2">
        <w:trPr>
          <w:cantSplit/>
          <w:trHeight w:val="290"/>
          <w:tblHeader/>
          <w:jc w:val="center"/>
        </w:trPr>
        <w:tc>
          <w:tcPr>
            <w:tcW w:w="7676" w:type="dxa"/>
          </w:tcPr>
          <w:p w14:paraId="24DD7F2F"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480 to 509 calendar days</w:t>
            </w:r>
          </w:p>
        </w:tc>
        <w:tc>
          <w:tcPr>
            <w:tcW w:w="7677" w:type="dxa"/>
          </w:tcPr>
          <w:p w14:paraId="6064FC39"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40</w:t>
            </w:r>
          </w:p>
        </w:tc>
        <w:tc>
          <w:tcPr>
            <w:tcW w:w="7677" w:type="dxa"/>
          </w:tcPr>
          <w:p w14:paraId="1D2D01D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400BD601" w14:textId="77777777" w:rsidTr="00EC2CE2">
        <w:trPr>
          <w:cantSplit/>
          <w:trHeight w:val="290"/>
          <w:tblHeader/>
          <w:jc w:val="center"/>
        </w:trPr>
        <w:tc>
          <w:tcPr>
            <w:tcW w:w="7676" w:type="dxa"/>
          </w:tcPr>
          <w:p w14:paraId="21B2538B"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510 to 539 calendar days</w:t>
            </w:r>
          </w:p>
        </w:tc>
        <w:tc>
          <w:tcPr>
            <w:tcW w:w="7677" w:type="dxa"/>
          </w:tcPr>
          <w:p w14:paraId="513BAD2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32</w:t>
            </w:r>
          </w:p>
        </w:tc>
        <w:tc>
          <w:tcPr>
            <w:tcW w:w="7677" w:type="dxa"/>
          </w:tcPr>
          <w:p w14:paraId="796F5B3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6588BB0E" w14:textId="77777777" w:rsidTr="00EC2CE2">
        <w:trPr>
          <w:cantSplit/>
          <w:trHeight w:val="290"/>
          <w:tblHeader/>
          <w:jc w:val="center"/>
        </w:trPr>
        <w:tc>
          <w:tcPr>
            <w:tcW w:w="7676" w:type="dxa"/>
          </w:tcPr>
          <w:p w14:paraId="211DA9AD"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540 to 569 calendar days</w:t>
            </w:r>
          </w:p>
        </w:tc>
        <w:tc>
          <w:tcPr>
            <w:tcW w:w="7677" w:type="dxa"/>
          </w:tcPr>
          <w:p w14:paraId="0A030600"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24</w:t>
            </w:r>
          </w:p>
        </w:tc>
        <w:tc>
          <w:tcPr>
            <w:tcW w:w="7677" w:type="dxa"/>
          </w:tcPr>
          <w:p w14:paraId="3109F1A9"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564BBEBD" w14:textId="77777777" w:rsidTr="00EC2CE2">
        <w:trPr>
          <w:cantSplit/>
          <w:trHeight w:val="290"/>
          <w:tblHeader/>
          <w:jc w:val="center"/>
        </w:trPr>
        <w:tc>
          <w:tcPr>
            <w:tcW w:w="7676" w:type="dxa"/>
          </w:tcPr>
          <w:p w14:paraId="497D000C"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570 to 599 calendar days</w:t>
            </w:r>
          </w:p>
        </w:tc>
        <w:tc>
          <w:tcPr>
            <w:tcW w:w="7677" w:type="dxa"/>
          </w:tcPr>
          <w:p w14:paraId="5B779EC7"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21</w:t>
            </w:r>
          </w:p>
        </w:tc>
        <w:tc>
          <w:tcPr>
            <w:tcW w:w="7677" w:type="dxa"/>
          </w:tcPr>
          <w:p w14:paraId="17133101"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350463F0" w14:textId="77777777" w:rsidTr="00EC2CE2">
        <w:trPr>
          <w:cantSplit/>
          <w:trHeight w:val="290"/>
          <w:tblHeader/>
          <w:jc w:val="center"/>
        </w:trPr>
        <w:tc>
          <w:tcPr>
            <w:tcW w:w="7676" w:type="dxa"/>
          </w:tcPr>
          <w:p w14:paraId="32E14E86"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600 to 629 calendar days</w:t>
            </w:r>
          </w:p>
        </w:tc>
        <w:tc>
          <w:tcPr>
            <w:tcW w:w="7677" w:type="dxa"/>
          </w:tcPr>
          <w:p w14:paraId="088E39CF"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11</w:t>
            </w:r>
          </w:p>
        </w:tc>
        <w:tc>
          <w:tcPr>
            <w:tcW w:w="7677" w:type="dxa"/>
          </w:tcPr>
          <w:p w14:paraId="534C667B"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6DE57338" w14:textId="77777777" w:rsidTr="00EC2CE2">
        <w:trPr>
          <w:cantSplit/>
          <w:trHeight w:val="290"/>
          <w:tblHeader/>
          <w:jc w:val="center"/>
        </w:trPr>
        <w:tc>
          <w:tcPr>
            <w:tcW w:w="7676" w:type="dxa"/>
          </w:tcPr>
          <w:p w14:paraId="047AAD35"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630 to 659 calendar days</w:t>
            </w:r>
          </w:p>
        </w:tc>
        <w:tc>
          <w:tcPr>
            <w:tcW w:w="7677" w:type="dxa"/>
          </w:tcPr>
          <w:p w14:paraId="7153748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19</w:t>
            </w:r>
          </w:p>
        </w:tc>
        <w:tc>
          <w:tcPr>
            <w:tcW w:w="7677" w:type="dxa"/>
          </w:tcPr>
          <w:p w14:paraId="29A9B084"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297E97A9" w14:textId="77777777" w:rsidTr="00EC2CE2">
        <w:trPr>
          <w:cantSplit/>
          <w:trHeight w:val="290"/>
          <w:tblHeader/>
          <w:jc w:val="center"/>
        </w:trPr>
        <w:tc>
          <w:tcPr>
            <w:tcW w:w="7676" w:type="dxa"/>
          </w:tcPr>
          <w:p w14:paraId="16821F30"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660 to 689 calendar days</w:t>
            </w:r>
          </w:p>
        </w:tc>
        <w:tc>
          <w:tcPr>
            <w:tcW w:w="7677" w:type="dxa"/>
          </w:tcPr>
          <w:p w14:paraId="18F32106"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w:t>
            </w:r>
          </w:p>
        </w:tc>
        <w:tc>
          <w:tcPr>
            <w:tcW w:w="7677" w:type="dxa"/>
          </w:tcPr>
          <w:p w14:paraId="42469994"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251FDFC2" w14:textId="77777777" w:rsidTr="00EC2CE2">
        <w:trPr>
          <w:cantSplit/>
          <w:trHeight w:val="290"/>
          <w:tblHeader/>
          <w:jc w:val="center"/>
        </w:trPr>
        <w:tc>
          <w:tcPr>
            <w:tcW w:w="7676" w:type="dxa"/>
          </w:tcPr>
          <w:p w14:paraId="788D0083"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690 to 719 calendar days</w:t>
            </w:r>
          </w:p>
        </w:tc>
        <w:tc>
          <w:tcPr>
            <w:tcW w:w="7677" w:type="dxa"/>
          </w:tcPr>
          <w:p w14:paraId="5459A4CA"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13</w:t>
            </w:r>
          </w:p>
        </w:tc>
        <w:tc>
          <w:tcPr>
            <w:tcW w:w="7677" w:type="dxa"/>
          </w:tcPr>
          <w:p w14:paraId="0E13B55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12240E28" w14:textId="77777777" w:rsidTr="00EC2CE2">
        <w:trPr>
          <w:cantSplit/>
          <w:trHeight w:val="302"/>
          <w:tblHeader/>
          <w:jc w:val="center"/>
        </w:trPr>
        <w:tc>
          <w:tcPr>
            <w:tcW w:w="7676" w:type="dxa"/>
          </w:tcPr>
          <w:p w14:paraId="52D7EE91"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720 to 749 calendar days</w:t>
            </w:r>
          </w:p>
        </w:tc>
        <w:tc>
          <w:tcPr>
            <w:tcW w:w="7677" w:type="dxa"/>
          </w:tcPr>
          <w:p w14:paraId="40E80964"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6</w:t>
            </w:r>
          </w:p>
        </w:tc>
        <w:tc>
          <w:tcPr>
            <w:tcW w:w="7677" w:type="dxa"/>
          </w:tcPr>
          <w:p w14:paraId="20BD1D91"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7B640CD1" w14:textId="77777777" w:rsidTr="00EC2CE2">
        <w:trPr>
          <w:cantSplit/>
          <w:trHeight w:val="290"/>
          <w:tblHeader/>
          <w:jc w:val="center"/>
        </w:trPr>
        <w:tc>
          <w:tcPr>
            <w:tcW w:w="7676" w:type="dxa"/>
          </w:tcPr>
          <w:p w14:paraId="0C3FDD24"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750 to 779 calendar days</w:t>
            </w:r>
          </w:p>
        </w:tc>
        <w:tc>
          <w:tcPr>
            <w:tcW w:w="7677" w:type="dxa"/>
          </w:tcPr>
          <w:p w14:paraId="091361EF"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w:t>
            </w:r>
          </w:p>
        </w:tc>
        <w:tc>
          <w:tcPr>
            <w:tcW w:w="7677" w:type="dxa"/>
          </w:tcPr>
          <w:p w14:paraId="47A0B59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7A6F19C6" w14:textId="77777777" w:rsidTr="00EC2CE2">
        <w:trPr>
          <w:cantSplit/>
          <w:trHeight w:val="290"/>
          <w:tblHeader/>
          <w:jc w:val="center"/>
        </w:trPr>
        <w:tc>
          <w:tcPr>
            <w:tcW w:w="7676" w:type="dxa"/>
          </w:tcPr>
          <w:p w14:paraId="484CA463"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780 to 809 calendar days</w:t>
            </w:r>
          </w:p>
        </w:tc>
        <w:tc>
          <w:tcPr>
            <w:tcW w:w="7677" w:type="dxa"/>
          </w:tcPr>
          <w:p w14:paraId="3F4B4A8C"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8</w:t>
            </w:r>
          </w:p>
        </w:tc>
        <w:tc>
          <w:tcPr>
            <w:tcW w:w="7677" w:type="dxa"/>
          </w:tcPr>
          <w:p w14:paraId="4677BBDE"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0522690D" w14:textId="77777777" w:rsidTr="00EC2CE2">
        <w:trPr>
          <w:cantSplit/>
          <w:trHeight w:val="290"/>
          <w:tblHeader/>
          <w:jc w:val="center"/>
        </w:trPr>
        <w:tc>
          <w:tcPr>
            <w:tcW w:w="7676" w:type="dxa"/>
          </w:tcPr>
          <w:p w14:paraId="133CB0E0"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810 to 839 calendar days</w:t>
            </w:r>
          </w:p>
        </w:tc>
        <w:tc>
          <w:tcPr>
            <w:tcW w:w="7677" w:type="dxa"/>
          </w:tcPr>
          <w:p w14:paraId="1A5A433D"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w:t>
            </w:r>
          </w:p>
        </w:tc>
        <w:tc>
          <w:tcPr>
            <w:tcW w:w="7677" w:type="dxa"/>
          </w:tcPr>
          <w:p w14:paraId="13D2480A"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06656F32" w14:textId="77777777" w:rsidTr="00EC2CE2">
        <w:trPr>
          <w:cantSplit/>
          <w:trHeight w:val="290"/>
          <w:tblHeader/>
          <w:jc w:val="center"/>
        </w:trPr>
        <w:tc>
          <w:tcPr>
            <w:tcW w:w="7676" w:type="dxa"/>
          </w:tcPr>
          <w:p w14:paraId="1424BACB"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840 to 869 calendar days</w:t>
            </w:r>
          </w:p>
        </w:tc>
        <w:tc>
          <w:tcPr>
            <w:tcW w:w="7677" w:type="dxa"/>
          </w:tcPr>
          <w:p w14:paraId="601EB185"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10</w:t>
            </w:r>
          </w:p>
        </w:tc>
        <w:tc>
          <w:tcPr>
            <w:tcW w:w="7677" w:type="dxa"/>
          </w:tcPr>
          <w:p w14:paraId="148D28DD"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69C3874C" w14:textId="77777777" w:rsidTr="00EC2CE2">
        <w:trPr>
          <w:cantSplit/>
          <w:trHeight w:val="290"/>
          <w:tblHeader/>
          <w:jc w:val="center"/>
        </w:trPr>
        <w:tc>
          <w:tcPr>
            <w:tcW w:w="7676" w:type="dxa"/>
          </w:tcPr>
          <w:p w14:paraId="7C677A85"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870 to 899 calendar days</w:t>
            </w:r>
          </w:p>
        </w:tc>
        <w:tc>
          <w:tcPr>
            <w:tcW w:w="7677" w:type="dxa"/>
          </w:tcPr>
          <w:p w14:paraId="28D44AB6"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4</w:t>
            </w:r>
          </w:p>
        </w:tc>
        <w:tc>
          <w:tcPr>
            <w:tcW w:w="7677" w:type="dxa"/>
          </w:tcPr>
          <w:p w14:paraId="7342EE79"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50175D8D" w14:textId="77777777" w:rsidTr="00EC2CE2">
        <w:trPr>
          <w:cantSplit/>
          <w:trHeight w:val="290"/>
          <w:tblHeader/>
          <w:jc w:val="center"/>
        </w:trPr>
        <w:tc>
          <w:tcPr>
            <w:tcW w:w="7676" w:type="dxa"/>
          </w:tcPr>
          <w:p w14:paraId="0D2A6BD1"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900 to 929 calendar days</w:t>
            </w:r>
          </w:p>
        </w:tc>
        <w:tc>
          <w:tcPr>
            <w:tcW w:w="7677" w:type="dxa"/>
          </w:tcPr>
          <w:p w14:paraId="2F76F869"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w:t>
            </w:r>
          </w:p>
        </w:tc>
        <w:tc>
          <w:tcPr>
            <w:tcW w:w="7677" w:type="dxa"/>
          </w:tcPr>
          <w:p w14:paraId="02249290"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r w:rsidR="00EC2CE2" w:rsidRPr="006E2679" w14:paraId="429B6BFA" w14:textId="77777777" w:rsidTr="00EC2CE2">
        <w:trPr>
          <w:cantSplit/>
          <w:trHeight w:val="290"/>
          <w:tblHeader/>
          <w:jc w:val="center"/>
        </w:trPr>
        <w:tc>
          <w:tcPr>
            <w:tcW w:w="7676" w:type="dxa"/>
          </w:tcPr>
          <w:p w14:paraId="2B6CCFC1"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930 to 959 calendar days</w:t>
            </w:r>
          </w:p>
        </w:tc>
        <w:tc>
          <w:tcPr>
            <w:tcW w:w="7677" w:type="dxa"/>
          </w:tcPr>
          <w:p w14:paraId="086AEE51"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5</w:t>
            </w:r>
          </w:p>
        </w:tc>
        <w:tc>
          <w:tcPr>
            <w:tcW w:w="7677" w:type="dxa"/>
          </w:tcPr>
          <w:p w14:paraId="09454CAE"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69CD0223" w14:textId="77777777" w:rsidTr="00EC2CE2">
        <w:trPr>
          <w:cantSplit/>
          <w:trHeight w:val="290"/>
          <w:tblHeader/>
          <w:jc w:val="center"/>
        </w:trPr>
        <w:tc>
          <w:tcPr>
            <w:tcW w:w="7676" w:type="dxa"/>
          </w:tcPr>
          <w:p w14:paraId="5F8A3B92"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960 to 989 calendar days</w:t>
            </w:r>
          </w:p>
        </w:tc>
        <w:tc>
          <w:tcPr>
            <w:tcW w:w="7677" w:type="dxa"/>
          </w:tcPr>
          <w:p w14:paraId="551C4381"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3</w:t>
            </w:r>
          </w:p>
        </w:tc>
        <w:tc>
          <w:tcPr>
            <w:tcW w:w="7677" w:type="dxa"/>
          </w:tcPr>
          <w:p w14:paraId="3856822E"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0</w:t>
            </w:r>
          </w:p>
        </w:tc>
      </w:tr>
      <w:tr w:rsidR="00EC2CE2" w:rsidRPr="006E2679" w14:paraId="593A83E9" w14:textId="77777777" w:rsidTr="00EC2CE2">
        <w:trPr>
          <w:cantSplit/>
          <w:trHeight w:val="290"/>
          <w:tblHeader/>
          <w:jc w:val="center"/>
        </w:trPr>
        <w:tc>
          <w:tcPr>
            <w:tcW w:w="7676" w:type="dxa"/>
          </w:tcPr>
          <w:p w14:paraId="78D7FA56" w14:textId="77777777" w:rsidR="00EC2CE2" w:rsidRPr="00EC2CE2" w:rsidRDefault="00EC2CE2" w:rsidP="003D79A8">
            <w:pPr>
              <w:autoSpaceDE w:val="0"/>
              <w:autoSpaceDN w:val="0"/>
              <w:adjustRightInd w:val="0"/>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More than 990 calendar days</w:t>
            </w:r>
          </w:p>
        </w:tc>
        <w:tc>
          <w:tcPr>
            <w:tcW w:w="7677" w:type="dxa"/>
          </w:tcPr>
          <w:p w14:paraId="10ABBE97"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23</w:t>
            </w:r>
          </w:p>
        </w:tc>
        <w:tc>
          <w:tcPr>
            <w:tcW w:w="7677" w:type="dxa"/>
          </w:tcPr>
          <w:p w14:paraId="27BB5863" w14:textId="77777777" w:rsidR="00EC2CE2" w:rsidRPr="00EC2CE2" w:rsidRDefault="00EC2CE2" w:rsidP="003D79A8">
            <w:pPr>
              <w:autoSpaceDE w:val="0"/>
              <w:autoSpaceDN w:val="0"/>
              <w:adjustRightInd w:val="0"/>
              <w:jc w:val="center"/>
              <w:rPr>
                <w:rFonts w:asciiTheme="minorHAnsi" w:eastAsiaTheme="minorHAnsi" w:hAnsiTheme="minorHAnsi" w:cstheme="minorHAnsi"/>
                <w:color w:val="000000"/>
                <w:sz w:val="22"/>
                <w:szCs w:val="22"/>
                <w:lang w:val="en-CA"/>
              </w:rPr>
            </w:pPr>
            <w:r w:rsidRPr="00EC2CE2">
              <w:rPr>
                <w:rFonts w:asciiTheme="minorHAnsi" w:eastAsiaTheme="minorHAnsi" w:hAnsiTheme="minorHAnsi" w:cstheme="minorHAnsi"/>
                <w:color w:val="000000"/>
                <w:sz w:val="22"/>
                <w:szCs w:val="22"/>
                <w:lang w:val="en-CA"/>
              </w:rPr>
              <w:t>1</w:t>
            </w:r>
          </w:p>
        </w:tc>
      </w:tr>
    </w:tbl>
    <w:p w14:paraId="7DF1B5B8" w14:textId="77777777" w:rsidR="00EC2CE2" w:rsidRDefault="00EC2CE2" w:rsidP="00564048">
      <w:pPr>
        <w:rPr>
          <w:lang w:val="en-CA"/>
        </w:rPr>
        <w:sectPr w:rsidR="00EC2CE2" w:rsidSect="00EC2CE2">
          <w:pgSz w:w="24480" w:h="15840" w:orient="landscape" w:code="3"/>
          <w:pgMar w:top="1025" w:right="720" w:bottom="720" w:left="720" w:header="708" w:footer="708" w:gutter="0"/>
          <w:cols w:space="708"/>
          <w:titlePg/>
          <w:docGrid w:linePitch="360"/>
        </w:sectPr>
      </w:pPr>
    </w:p>
    <w:p w14:paraId="019BC0BA" w14:textId="75F738EB" w:rsidR="003D79A8" w:rsidRPr="003C7CAC" w:rsidRDefault="003C7CAC" w:rsidP="003C7CAC">
      <w:pPr>
        <w:pStyle w:val="Titre1"/>
        <w:spacing w:before="120" w:after="120"/>
        <w:rPr>
          <w:sz w:val="40"/>
        </w:rPr>
      </w:pPr>
      <w:r w:rsidRPr="003C7CAC">
        <w:rPr>
          <w:rFonts w:eastAsia="Times New Roman"/>
          <w:sz w:val="40"/>
          <w:lang w:val="en-CA"/>
        </w:rPr>
        <w:lastRenderedPageBreak/>
        <w:t>External time to staff</w:t>
      </w:r>
      <w:r w:rsidRPr="003C7CAC">
        <w:rPr>
          <w:sz w:val="40"/>
          <w:lang w:val="en-CA"/>
        </w:rPr>
        <w:t xml:space="preserve"> </w:t>
      </w:r>
      <w:r w:rsidRPr="003C7CAC">
        <w:rPr>
          <w:rFonts w:eastAsia="Times New Roman"/>
          <w:sz w:val="40"/>
          <w:lang w:val="en-CA"/>
        </w:rPr>
        <w:t>Public service median</w:t>
      </w:r>
    </w:p>
    <w:p w14:paraId="41B780F3" w14:textId="77777777" w:rsidR="00F23097" w:rsidRDefault="007F24AE" w:rsidP="00F23097">
      <w:pPr>
        <w:keepNext/>
        <w:jc w:val="center"/>
      </w:pPr>
      <w:r w:rsidRPr="006E2679">
        <w:rPr>
          <w:rStyle w:val="lev"/>
          <w:noProof/>
          <w:lang w:val="en-CA" w:eastAsia="en-CA"/>
        </w:rPr>
        <w:drawing>
          <wp:inline distT="0" distB="0" distL="0" distR="0" wp14:anchorId="541BD042" wp14:editId="74ACAB00">
            <wp:extent cx="5648400" cy="3049200"/>
            <wp:effectExtent l="0" t="0" r="9525" b="18415"/>
            <wp:docPr id="21" name="Chart 21" descr="Figure 14 - External time to staff Public service median = 18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0F15AA" w14:textId="4833F3AD" w:rsidR="007F24AE" w:rsidRDefault="00F23097" w:rsidP="00F23097">
      <w:pPr>
        <w:pStyle w:val="Lgende"/>
        <w:spacing w:after="240"/>
        <w:jc w:val="center"/>
      </w:pPr>
      <w:r>
        <w:t xml:space="preserve">Figure </w:t>
      </w:r>
      <w:r>
        <w:fldChar w:fldCharType="begin"/>
      </w:r>
      <w:r>
        <w:instrText xml:space="preserve"> SEQ Figure \* ARABIC </w:instrText>
      </w:r>
      <w:r>
        <w:fldChar w:fldCharType="separate"/>
      </w:r>
      <w:r>
        <w:rPr>
          <w:noProof/>
        </w:rPr>
        <w:t>14</w:t>
      </w:r>
      <w:r>
        <w:fldChar w:fldCharType="end"/>
      </w:r>
      <w:r>
        <w:t xml:space="preserve"> - External time to staff Public service median = 186 days 2018-19</w:t>
      </w:r>
    </w:p>
    <w:p w14:paraId="0C18012D" w14:textId="0024F701" w:rsidR="00F23097" w:rsidRPr="00147E67" w:rsidRDefault="005B28AA" w:rsidP="003C7CAC">
      <w:pPr>
        <w:numPr>
          <w:ilvl w:val="1"/>
          <w:numId w:val="0"/>
        </w:numPr>
        <w:spacing w:before="480" w:after="120"/>
        <w:rPr>
          <w:rFonts w:asciiTheme="minorHAnsi" w:hAnsiTheme="minorHAnsi" w:cstheme="minorHAnsi"/>
          <w:sz w:val="22"/>
          <w:szCs w:val="22"/>
          <w:lang w:val="en-CA" w:eastAsia="en-CA"/>
        </w:rPr>
      </w:pPr>
      <w:hyperlink w:anchor="External_time_to_staff" w:history="1">
        <w:r w:rsidR="003C7CAC" w:rsidRPr="004428E4">
          <w:rPr>
            <w:rStyle w:val="Lienhypertexte"/>
            <w:rFonts w:asciiTheme="minorHAnsi" w:eastAsiaTheme="minorHAnsi" w:hAnsiTheme="minorHAnsi" w:cstheme="minorHAnsi"/>
            <w:szCs w:val="24"/>
            <w:lang w:val="en-CA"/>
          </w:rPr>
          <w:t>External time to staff data table available here</w:t>
        </w:r>
      </w:hyperlink>
      <w:proofErr w:type="gramStart"/>
      <w:r w:rsidR="003C7CAC" w:rsidRPr="00374A6E">
        <w:rPr>
          <w:rFonts w:asciiTheme="minorHAnsi" w:eastAsiaTheme="minorHAnsi" w:hAnsiTheme="minorHAnsi" w:cstheme="minorHAnsi"/>
          <w:szCs w:val="24"/>
          <w:lang w:val="en-CA"/>
        </w:rPr>
        <w:t>.</w:t>
      </w:r>
      <w:r w:rsidR="00147E67" w:rsidRPr="00147E67">
        <w:rPr>
          <w:rFonts w:asciiTheme="minorHAnsi" w:hAnsiTheme="minorHAnsi" w:cstheme="minorHAnsi"/>
          <w:sz w:val="22"/>
          <w:szCs w:val="22"/>
          <w:lang w:val="en-CA" w:eastAsia="en-CA"/>
        </w:rPr>
        <w:t>.</w:t>
      </w:r>
      <w:proofErr w:type="gramEnd"/>
    </w:p>
    <w:p w14:paraId="57892452" w14:textId="77777777" w:rsidR="00147E67" w:rsidRDefault="00147E67" w:rsidP="00147E67">
      <w:pPr>
        <w:rPr>
          <w:rStyle w:val="lev"/>
          <w:rFonts w:asciiTheme="minorHAnsi" w:hAnsiTheme="minorHAnsi" w:cstheme="minorHAnsi"/>
          <w:sz w:val="22"/>
          <w:szCs w:val="22"/>
        </w:rPr>
        <w:sectPr w:rsidR="00147E67" w:rsidSect="00C40A4D">
          <w:pgSz w:w="15840" w:h="12240" w:orient="landscape"/>
          <w:pgMar w:top="1025" w:right="720" w:bottom="720" w:left="720" w:header="708" w:footer="708" w:gutter="0"/>
          <w:cols w:space="708"/>
          <w:titlePg/>
          <w:docGrid w:linePitch="360"/>
        </w:sectPr>
      </w:pPr>
    </w:p>
    <w:p w14:paraId="7851E183" w14:textId="15898392" w:rsidR="00147E67" w:rsidRPr="00147E67" w:rsidRDefault="00147E67" w:rsidP="00147E67">
      <w:pPr>
        <w:rPr>
          <w:rStyle w:val="lev"/>
          <w:rFonts w:asciiTheme="minorHAnsi" w:hAnsiTheme="minorHAnsi" w:cstheme="minorHAnsi"/>
          <w:sz w:val="22"/>
          <w:szCs w:val="22"/>
        </w:rPr>
      </w:pPr>
      <w:r w:rsidRPr="00147E67">
        <w:rPr>
          <w:rStyle w:val="lev"/>
          <w:rFonts w:asciiTheme="minorHAnsi" w:hAnsiTheme="minorHAnsi" w:cstheme="minorHAnsi"/>
          <w:sz w:val="22"/>
          <w:szCs w:val="22"/>
        </w:rPr>
        <w:t>External Time to Staff</w:t>
      </w:r>
    </w:p>
    <w:p w14:paraId="16607E40" w14:textId="7968B40E" w:rsidR="00147E67" w:rsidRPr="00147E67" w:rsidRDefault="00147E67" w:rsidP="00147E67">
      <w:pPr>
        <w:spacing w:after="120"/>
        <w:rPr>
          <w:rFonts w:asciiTheme="minorHAnsi" w:hAnsiTheme="minorHAnsi" w:cstheme="minorHAnsi"/>
          <w:sz w:val="22"/>
          <w:szCs w:val="22"/>
          <w:lang w:val="en-CA" w:eastAsia="en-CA"/>
        </w:rPr>
      </w:pPr>
      <w:r w:rsidRPr="00147E67">
        <w:rPr>
          <w:rFonts w:asciiTheme="minorHAnsi" w:hAnsiTheme="minorHAnsi" w:cstheme="minorHAnsi"/>
          <w:sz w:val="22"/>
          <w:szCs w:val="22"/>
          <w:lang w:val="en-CA" w:eastAsia="en-CA"/>
        </w:rPr>
        <w:t>External time to staff is calculated as the number of calendar days between the opening date of the advertisement and the date of the first estimated external hire</w:t>
      </w:r>
      <w:r>
        <w:rPr>
          <w:rFonts w:asciiTheme="minorHAnsi" w:hAnsiTheme="minorHAnsi" w:cstheme="minorHAnsi"/>
          <w:sz w:val="22"/>
          <w:szCs w:val="22"/>
          <w:lang w:val="en-CA" w:eastAsia="en-CA"/>
        </w:rPr>
        <w:t>.</w:t>
      </w:r>
    </w:p>
    <w:p w14:paraId="47CB7CCC" w14:textId="77777777" w:rsidR="00147E67" w:rsidRPr="00147E67" w:rsidRDefault="00147E67" w:rsidP="00147E67">
      <w:pPr>
        <w:pStyle w:val="Paragraphedeliste"/>
        <w:spacing w:after="0"/>
        <w:rPr>
          <w:rFonts w:asciiTheme="minorHAnsi" w:hAnsiTheme="minorHAnsi" w:cstheme="minorHAnsi"/>
          <w:sz w:val="22"/>
          <w:szCs w:val="22"/>
        </w:rPr>
      </w:pPr>
      <w:r w:rsidRPr="00147E67">
        <w:rPr>
          <w:rFonts w:asciiTheme="minorHAnsi" w:hAnsiTheme="minorHAnsi" w:cstheme="minorHAnsi"/>
          <w:sz w:val="22"/>
          <w:szCs w:val="22"/>
        </w:rPr>
        <w:t>The data is insufficient for providing results on external process times for Public Health Agency of Canada.</w:t>
      </w:r>
    </w:p>
    <w:p w14:paraId="706057C0" w14:textId="77777777" w:rsidR="00147E67" w:rsidRPr="00147E67" w:rsidRDefault="00147E67" w:rsidP="00147E67">
      <w:pPr>
        <w:tabs>
          <w:tab w:val="left" w:pos="4788"/>
        </w:tabs>
        <w:rPr>
          <w:rStyle w:val="lev"/>
          <w:rFonts w:asciiTheme="minorHAnsi" w:eastAsiaTheme="minorHAnsi" w:hAnsiTheme="minorHAnsi" w:cstheme="minorHAnsi"/>
          <w:sz w:val="22"/>
          <w:szCs w:val="22"/>
          <w:lang w:val="en-CA"/>
        </w:rPr>
      </w:pPr>
      <w:r w:rsidRPr="00147E67">
        <w:rPr>
          <w:rStyle w:val="lev"/>
          <w:rFonts w:asciiTheme="minorHAnsi" w:eastAsiaTheme="minorHAnsi" w:hAnsiTheme="minorHAnsi" w:cstheme="minorHAnsi"/>
          <w:sz w:val="22"/>
          <w:szCs w:val="22"/>
          <w:lang w:val="en-CA"/>
        </w:rPr>
        <w:t>External time to staff for fiscal year 2018 to 2019</w:t>
      </w:r>
    </w:p>
    <w:p w14:paraId="3B13550A" w14:textId="78454C35" w:rsidR="00147E67" w:rsidRPr="00147E67" w:rsidRDefault="00147E67" w:rsidP="00147E67">
      <w:pPr>
        <w:tabs>
          <w:tab w:val="left" w:pos="4788"/>
        </w:tabs>
        <w:rPr>
          <w:rFonts w:asciiTheme="minorHAnsi" w:eastAsiaTheme="minorHAnsi" w:hAnsiTheme="minorHAnsi" w:cstheme="minorHAnsi"/>
          <w:sz w:val="22"/>
          <w:szCs w:val="22"/>
          <w:lang w:val="en-CA"/>
        </w:rPr>
      </w:pPr>
      <w:r w:rsidRPr="00147E67">
        <w:rPr>
          <w:rFonts w:asciiTheme="minorHAnsi" w:eastAsiaTheme="minorHAnsi" w:hAnsiTheme="minorHAnsi" w:cstheme="minorHAnsi"/>
          <w:sz w:val="22"/>
          <w:szCs w:val="22"/>
          <w:lang w:val="en-CA"/>
        </w:rPr>
        <w:t>The median external time to staff for the public service (organizations subject to the Public Service Employment Act) for fiscal year 2018 to 2019 is 186 days. The data is insufficient for providing results on external process times for the Public Health Agency of Canada</w:t>
      </w:r>
      <w:r>
        <w:rPr>
          <w:rFonts w:asciiTheme="minorHAnsi" w:eastAsiaTheme="minorHAnsi" w:hAnsiTheme="minorHAnsi" w:cstheme="minorHAnsi"/>
          <w:sz w:val="22"/>
          <w:szCs w:val="22"/>
          <w:lang w:val="en-CA"/>
        </w:rPr>
        <w:t>.</w:t>
      </w:r>
    </w:p>
    <w:p w14:paraId="06BC7604" w14:textId="77777777" w:rsidR="00147E67" w:rsidRDefault="00147E67" w:rsidP="00F23097">
      <w:pPr>
        <w:rPr>
          <w:lang w:val="en-CA"/>
        </w:rPr>
        <w:sectPr w:rsidR="00147E67" w:rsidSect="00147E67">
          <w:type w:val="continuous"/>
          <w:pgSz w:w="15840" w:h="12240" w:orient="landscape"/>
          <w:pgMar w:top="1025" w:right="720" w:bottom="720" w:left="720" w:header="708" w:footer="708" w:gutter="0"/>
          <w:cols w:num="2" w:space="708"/>
          <w:titlePg/>
          <w:docGrid w:linePitch="360"/>
        </w:sectPr>
      </w:pPr>
    </w:p>
    <w:p w14:paraId="730DD002" w14:textId="77777777" w:rsidR="00147E67" w:rsidRDefault="00147E67" w:rsidP="00F23097">
      <w:pPr>
        <w:sectPr w:rsidR="00147E67" w:rsidSect="00147E67">
          <w:type w:val="continuous"/>
          <w:pgSz w:w="15840" w:h="12240" w:orient="landscape"/>
          <w:pgMar w:top="1025" w:right="720" w:bottom="720" w:left="720" w:header="708" w:footer="708" w:gutter="0"/>
          <w:cols w:space="708"/>
          <w:titlePg/>
          <w:docGrid w:linePitch="360"/>
        </w:sectPr>
      </w:pPr>
    </w:p>
    <w:p w14:paraId="25249FEE" w14:textId="2EA0DCE6" w:rsidR="003C7CAC" w:rsidRPr="00927170" w:rsidRDefault="003C7CAC" w:rsidP="00927170">
      <w:pPr>
        <w:pStyle w:val="Titre1"/>
        <w:spacing w:before="120" w:after="120"/>
        <w:rPr>
          <w:sz w:val="40"/>
        </w:rPr>
      </w:pPr>
      <w:r w:rsidRPr="00927170">
        <w:rPr>
          <w:sz w:val="40"/>
        </w:rPr>
        <w:lastRenderedPageBreak/>
        <w:t>External time to staff</w:t>
      </w:r>
    </w:p>
    <w:p w14:paraId="17D84192" w14:textId="7048DAFC" w:rsidR="00147E67" w:rsidRDefault="00147E67" w:rsidP="00147E67">
      <w:pPr>
        <w:pStyle w:val="Lgende"/>
        <w:keepNext/>
      </w:pPr>
      <w:r>
        <w:t xml:space="preserve">Table </w:t>
      </w:r>
      <w:r>
        <w:fldChar w:fldCharType="begin"/>
      </w:r>
      <w:r>
        <w:instrText xml:space="preserve"> SEQ Table \* ARABIC </w:instrText>
      </w:r>
      <w:r>
        <w:fldChar w:fldCharType="separate"/>
      </w:r>
      <w:r>
        <w:rPr>
          <w:noProof/>
        </w:rPr>
        <w:t>16</w:t>
      </w:r>
      <w:r>
        <w:fldChar w:fldCharType="end"/>
      </w:r>
      <w:r>
        <w:t xml:space="preserve"> - External time to staff</w:t>
      </w:r>
    </w:p>
    <w:tbl>
      <w:tblPr>
        <w:tblStyle w:val="TableGrid1"/>
        <w:tblW w:w="0" w:type="auto"/>
        <w:tblLook w:val="0000" w:firstRow="0" w:lastRow="0" w:firstColumn="0" w:lastColumn="0" w:noHBand="0" w:noVBand="0"/>
        <w:tblDescription w:val="External time to staff"/>
      </w:tblPr>
      <w:tblGrid>
        <w:gridCol w:w="2907"/>
        <w:gridCol w:w="19493"/>
      </w:tblGrid>
      <w:tr w:rsidR="00147E67" w:rsidRPr="006E2679" w14:paraId="21A6D703" w14:textId="77777777" w:rsidTr="00147E67">
        <w:trPr>
          <w:cantSplit/>
          <w:trHeight w:val="290"/>
          <w:tblHeader/>
        </w:trPr>
        <w:tc>
          <w:tcPr>
            <w:tcW w:w="0" w:type="auto"/>
          </w:tcPr>
          <w:p w14:paraId="02B0BB09" w14:textId="77777777" w:rsidR="00147E67" w:rsidRPr="006E2679" w:rsidRDefault="00147E67" w:rsidP="003D79A8">
            <w:pPr>
              <w:pStyle w:val="TableTitle"/>
              <w:rPr>
                <w:rFonts w:eastAsiaTheme="minorHAnsi"/>
                <w:color w:val="auto"/>
                <w:sz w:val="24"/>
                <w:lang w:val="en-CA"/>
              </w:rPr>
            </w:pPr>
            <w:bookmarkStart w:id="4" w:name="External_time_to_staff"/>
            <w:r w:rsidRPr="006E2679">
              <w:rPr>
                <w:rFonts w:eastAsiaTheme="minorHAnsi"/>
                <w:color w:val="auto"/>
                <w:sz w:val="24"/>
                <w:lang w:val="en-CA"/>
              </w:rPr>
              <w:t>Number of calendar days</w:t>
            </w:r>
            <w:bookmarkEnd w:id="4"/>
          </w:p>
        </w:tc>
        <w:tc>
          <w:tcPr>
            <w:tcW w:w="0" w:type="auto"/>
          </w:tcPr>
          <w:p w14:paraId="510400FD" w14:textId="77777777" w:rsidR="00147E67" w:rsidRPr="006E2679" w:rsidRDefault="00147E67" w:rsidP="003D79A8">
            <w:pPr>
              <w:pStyle w:val="TableTitle"/>
              <w:rPr>
                <w:rFonts w:eastAsiaTheme="minorHAnsi"/>
                <w:color w:val="auto"/>
                <w:sz w:val="24"/>
                <w:lang w:val="en-CA"/>
              </w:rPr>
            </w:pPr>
            <w:r w:rsidRPr="006E2679">
              <w:rPr>
                <w:rFonts w:eastAsiaTheme="minorHAnsi"/>
                <w:color w:val="auto"/>
                <w:sz w:val="24"/>
                <w:lang w:val="en-CA"/>
              </w:rPr>
              <w:t>The number of external appointment processes for which the TTS-EA was within the specified number of calendar days for organizations subject to the Public Service Employment Act</w:t>
            </w:r>
          </w:p>
        </w:tc>
      </w:tr>
      <w:tr w:rsidR="00147E67" w:rsidRPr="006E2679" w14:paraId="2CAA8EE5" w14:textId="77777777" w:rsidTr="00147E67">
        <w:trPr>
          <w:cantSplit/>
          <w:trHeight w:val="290"/>
          <w:tblHeader/>
        </w:trPr>
        <w:tc>
          <w:tcPr>
            <w:tcW w:w="0" w:type="auto"/>
          </w:tcPr>
          <w:p w14:paraId="18934431"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 calendar days</w:t>
            </w:r>
          </w:p>
        </w:tc>
        <w:tc>
          <w:tcPr>
            <w:tcW w:w="0" w:type="auto"/>
          </w:tcPr>
          <w:p w14:paraId="64ABC4D2"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w:t>
            </w:r>
          </w:p>
        </w:tc>
      </w:tr>
      <w:tr w:rsidR="00147E67" w:rsidRPr="006E2679" w14:paraId="095F49F9" w14:textId="77777777" w:rsidTr="00147E67">
        <w:trPr>
          <w:cantSplit/>
          <w:trHeight w:val="290"/>
          <w:tblHeader/>
        </w:trPr>
        <w:tc>
          <w:tcPr>
            <w:tcW w:w="0" w:type="auto"/>
          </w:tcPr>
          <w:p w14:paraId="2638C288"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 to 29 calendar days</w:t>
            </w:r>
          </w:p>
        </w:tc>
        <w:tc>
          <w:tcPr>
            <w:tcW w:w="0" w:type="auto"/>
          </w:tcPr>
          <w:p w14:paraId="6A8B9EFD"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49</w:t>
            </w:r>
          </w:p>
        </w:tc>
      </w:tr>
      <w:tr w:rsidR="00147E67" w:rsidRPr="006E2679" w14:paraId="5115C38A" w14:textId="77777777" w:rsidTr="00147E67">
        <w:trPr>
          <w:cantSplit/>
          <w:trHeight w:val="290"/>
          <w:tblHeader/>
        </w:trPr>
        <w:tc>
          <w:tcPr>
            <w:tcW w:w="0" w:type="auto"/>
          </w:tcPr>
          <w:p w14:paraId="27A584D0"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30 to 59 calendar days</w:t>
            </w:r>
          </w:p>
        </w:tc>
        <w:tc>
          <w:tcPr>
            <w:tcW w:w="0" w:type="auto"/>
          </w:tcPr>
          <w:p w14:paraId="13E4F19D"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82</w:t>
            </w:r>
          </w:p>
        </w:tc>
      </w:tr>
      <w:tr w:rsidR="00147E67" w:rsidRPr="006E2679" w14:paraId="55A4DE69" w14:textId="77777777" w:rsidTr="00147E67">
        <w:trPr>
          <w:cantSplit/>
          <w:trHeight w:val="290"/>
          <w:tblHeader/>
        </w:trPr>
        <w:tc>
          <w:tcPr>
            <w:tcW w:w="0" w:type="auto"/>
          </w:tcPr>
          <w:p w14:paraId="4AFB651E"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60 to 89 calendar days</w:t>
            </w:r>
          </w:p>
        </w:tc>
        <w:tc>
          <w:tcPr>
            <w:tcW w:w="0" w:type="auto"/>
          </w:tcPr>
          <w:p w14:paraId="2962FD87"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124</w:t>
            </w:r>
          </w:p>
        </w:tc>
      </w:tr>
      <w:tr w:rsidR="00147E67" w:rsidRPr="006E2679" w14:paraId="58D12BDA" w14:textId="77777777" w:rsidTr="00147E67">
        <w:trPr>
          <w:cantSplit/>
          <w:trHeight w:val="290"/>
          <w:tblHeader/>
        </w:trPr>
        <w:tc>
          <w:tcPr>
            <w:tcW w:w="0" w:type="auto"/>
          </w:tcPr>
          <w:p w14:paraId="30F54F17"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90 to 119 calendar days</w:t>
            </w:r>
          </w:p>
        </w:tc>
        <w:tc>
          <w:tcPr>
            <w:tcW w:w="0" w:type="auto"/>
          </w:tcPr>
          <w:p w14:paraId="4DE8033D"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160</w:t>
            </w:r>
          </w:p>
        </w:tc>
      </w:tr>
      <w:tr w:rsidR="00147E67" w:rsidRPr="006E2679" w14:paraId="27963298" w14:textId="77777777" w:rsidTr="00147E67">
        <w:trPr>
          <w:cantSplit/>
          <w:trHeight w:val="290"/>
          <w:tblHeader/>
        </w:trPr>
        <w:tc>
          <w:tcPr>
            <w:tcW w:w="0" w:type="auto"/>
          </w:tcPr>
          <w:p w14:paraId="6B8C2B3A"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120 to 149 calendar days</w:t>
            </w:r>
          </w:p>
        </w:tc>
        <w:tc>
          <w:tcPr>
            <w:tcW w:w="0" w:type="auto"/>
          </w:tcPr>
          <w:p w14:paraId="7B633286"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181</w:t>
            </w:r>
          </w:p>
        </w:tc>
      </w:tr>
      <w:tr w:rsidR="00147E67" w:rsidRPr="006E2679" w14:paraId="3AE60EA7" w14:textId="77777777" w:rsidTr="00147E67">
        <w:trPr>
          <w:cantSplit/>
          <w:trHeight w:val="290"/>
          <w:tblHeader/>
        </w:trPr>
        <w:tc>
          <w:tcPr>
            <w:tcW w:w="0" w:type="auto"/>
          </w:tcPr>
          <w:p w14:paraId="481FCB0F"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150 to 179 calendar days</w:t>
            </w:r>
          </w:p>
        </w:tc>
        <w:tc>
          <w:tcPr>
            <w:tcW w:w="0" w:type="auto"/>
          </w:tcPr>
          <w:p w14:paraId="06BDD020"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179</w:t>
            </w:r>
          </w:p>
        </w:tc>
      </w:tr>
      <w:tr w:rsidR="00147E67" w:rsidRPr="006E2679" w14:paraId="4F1BF5E4" w14:textId="77777777" w:rsidTr="00147E67">
        <w:trPr>
          <w:cantSplit/>
          <w:trHeight w:val="290"/>
          <w:tblHeader/>
        </w:trPr>
        <w:tc>
          <w:tcPr>
            <w:tcW w:w="0" w:type="auto"/>
          </w:tcPr>
          <w:p w14:paraId="26CCEAE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180 to 209 calendar days</w:t>
            </w:r>
          </w:p>
        </w:tc>
        <w:tc>
          <w:tcPr>
            <w:tcW w:w="0" w:type="auto"/>
          </w:tcPr>
          <w:p w14:paraId="1E5C1EF2"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160</w:t>
            </w:r>
          </w:p>
        </w:tc>
      </w:tr>
      <w:tr w:rsidR="00147E67" w:rsidRPr="006E2679" w14:paraId="069520DD" w14:textId="77777777" w:rsidTr="00147E67">
        <w:trPr>
          <w:cantSplit/>
          <w:trHeight w:val="290"/>
          <w:tblHeader/>
        </w:trPr>
        <w:tc>
          <w:tcPr>
            <w:tcW w:w="0" w:type="auto"/>
          </w:tcPr>
          <w:p w14:paraId="7EB50CB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210 to 239 calendar days</w:t>
            </w:r>
          </w:p>
        </w:tc>
        <w:tc>
          <w:tcPr>
            <w:tcW w:w="0" w:type="auto"/>
          </w:tcPr>
          <w:p w14:paraId="02B576A4"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139</w:t>
            </w:r>
          </w:p>
        </w:tc>
      </w:tr>
      <w:tr w:rsidR="00147E67" w:rsidRPr="006E2679" w14:paraId="795475D7" w14:textId="77777777" w:rsidTr="00147E67">
        <w:trPr>
          <w:cantSplit/>
          <w:trHeight w:val="290"/>
          <w:tblHeader/>
        </w:trPr>
        <w:tc>
          <w:tcPr>
            <w:tcW w:w="0" w:type="auto"/>
          </w:tcPr>
          <w:p w14:paraId="221A6301"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240 to 269 calendar days</w:t>
            </w:r>
          </w:p>
        </w:tc>
        <w:tc>
          <w:tcPr>
            <w:tcW w:w="0" w:type="auto"/>
          </w:tcPr>
          <w:p w14:paraId="6954E7FB"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84</w:t>
            </w:r>
          </w:p>
        </w:tc>
      </w:tr>
      <w:tr w:rsidR="00147E67" w:rsidRPr="006E2679" w14:paraId="258F7E68" w14:textId="77777777" w:rsidTr="00147E67">
        <w:trPr>
          <w:cantSplit/>
          <w:trHeight w:val="290"/>
          <w:tblHeader/>
        </w:trPr>
        <w:tc>
          <w:tcPr>
            <w:tcW w:w="0" w:type="auto"/>
          </w:tcPr>
          <w:p w14:paraId="38399F9C"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270 to 299 calendar days</w:t>
            </w:r>
          </w:p>
        </w:tc>
        <w:tc>
          <w:tcPr>
            <w:tcW w:w="0" w:type="auto"/>
          </w:tcPr>
          <w:p w14:paraId="15ACE9BC"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73</w:t>
            </w:r>
          </w:p>
        </w:tc>
      </w:tr>
      <w:tr w:rsidR="00147E67" w:rsidRPr="006E2679" w14:paraId="5090E23B" w14:textId="77777777" w:rsidTr="00147E67">
        <w:trPr>
          <w:cantSplit/>
          <w:trHeight w:val="290"/>
          <w:tblHeader/>
        </w:trPr>
        <w:tc>
          <w:tcPr>
            <w:tcW w:w="0" w:type="auto"/>
          </w:tcPr>
          <w:p w14:paraId="0CF11C99"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300 to 329 calendar days</w:t>
            </w:r>
          </w:p>
        </w:tc>
        <w:tc>
          <w:tcPr>
            <w:tcW w:w="0" w:type="auto"/>
          </w:tcPr>
          <w:p w14:paraId="18E2D1A2"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61</w:t>
            </w:r>
          </w:p>
        </w:tc>
      </w:tr>
      <w:tr w:rsidR="00147E67" w:rsidRPr="006E2679" w14:paraId="57B21274" w14:textId="77777777" w:rsidTr="00147E67">
        <w:trPr>
          <w:cantSplit/>
          <w:trHeight w:val="290"/>
          <w:tblHeader/>
        </w:trPr>
        <w:tc>
          <w:tcPr>
            <w:tcW w:w="0" w:type="auto"/>
          </w:tcPr>
          <w:p w14:paraId="6143DBFB"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330 to 359 calendar days</w:t>
            </w:r>
          </w:p>
        </w:tc>
        <w:tc>
          <w:tcPr>
            <w:tcW w:w="0" w:type="auto"/>
          </w:tcPr>
          <w:p w14:paraId="035B1144"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41</w:t>
            </w:r>
          </w:p>
        </w:tc>
      </w:tr>
      <w:tr w:rsidR="00147E67" w:rsidRPr="006E2679" w14:paraId="330ED4F2" w14:textId="77777777" w:rsidTr="00147E67">
        <w:trPr>
          <w:cantSplit/>
          <w:trHeight w:val="290"/>
          <w:tblHeader/>
        </w:trPr>
        <w:tc>
          <w:tcPr>
            <w:tcW w:w="0" w:type="auto"/>
          </w:tcPr>
          <w:p w14:paraId="657AC12F"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360 to 389 calendar days</w:t>
            </w:r>
          </w:p>
        </w:tc>
        <w:tc>
          <w:tcPr>
            <w:tcW w:w="0" w:type="auto"/>
          </w:tcPr>
          <w:p w14:paraId="31520822"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43</w:t>
            </w:r>
          </w:p>
        </w:tc>
      </w:tr>
      <w:tr w:rsidR="00147E67" w:rsidRPr="006E2679" w14:paraId="2B72D85D" w14:textId="77777777" w:rsidTr="00147E67">
        <w:trPr>
          <w:cantSplit/>
          <w:trHeight w:val="290"/>
          <w:tblHeader/>
        </w:trPr>
        <w:tc>
          <w:tcPr>
            <w:tcW w:w="0" w:type="auto"/>
          </w:tcPr>
          <w:p w14:paraId="5B0C2486"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390 to 419 calendar days</w:t>
            </w:r>
          </w:p>
        </w:tc>
        <w:tc>
          <w:tcPr>
            <w:tcW w:w="0" w:type="auto"/>
          </w:tcPr>
          <w:p w14:paraId="7BE215FF"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49</w:t>
            </w:r>
          </w:p>
        </w:tc>
      </w:tr>
      <w:tr w:rsidR="00147E67" w:rsidRPr="006E2679" w14:paraId="55E37026" w14:textId="77777777" w:rsidTr="00147E67">
        <w:trPr>
          <w:cantSplit/>
          <w:trHeight w:val="290"/>
          <w:tblHeader/>
        </w:trPr>
        <w:tc>
          <w:tcPr>
            <w:tcW w:w="0" w:type="auto"/>
          </w:tcPr>
          <w:p w14:paraId="6FE3440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420 to 449 calendar days</w:t>
            </w:r>
          </w:p>
        </w:tc>
        <w:tc>
          <w:tcPr>
            <w:tcW w:w="0" w:type="auto"/>
          </w:tcPr>
          <w:p w14:paraId="7CB564A8"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35</w:t>
            </w:r>
          </w:p>
        </w:tc>
      </w:tr>
      <w:tr w:rsidR="00147E67" w:rsidRPr="006E2679" w14:paraId="13589D6F" w14:textId="77777777" w:rsidTr="00147E67">
        <w:trPr>
          <w:cantSplit/>
          <w:trHeight w:val="290"/>
          <w:tblHeader/>
        </w:trPr>
        <w:tc>
          <w:tcPr>
            <w:tcW w:w="0" w:type="auto"/>
          </w:tcPr>
          <w:p w14:paraId="11524A08"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450 to 479 calendar days</w:t>
            </w:r>
          </w:p>
        </w:tc>
        <w:tc>
          <w:tcPr>
            <w:tcW w:w="0" w:type="auto"/>
          </w:tcPr>
          <w:p w14:paraId="1CEEE1C9"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22</w:t>
            </w:r>
          </w:p>
        </w:tc>
      </w:tr>
      <w:tr w:rsidR="00147E67" w:rsidRPr="006E2679" w14:paraId="062286CD" w14:textId="77777777" w:rsidTr="00147E67">
        <w:trPr>
          <w:cantSplit/>
          <w:trHeight w:val="290"/>
          <w:tblHeader/>
        </w:trPr>
        <w:tc>
          <w:tcPr>
            <w:tcW w:w="0" w:type="auto"/>
          </w:tcPr>
          <w:p w14:paraId="499C74C1"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480 to 509 calendar days</w:t>
            </w:r>
          </w:p>
        </w:tc>
        <w:tc>
          <w:tcPr>
            <w:tcW w:w="0" w:type="auto"/>
          </w:tcPr>
          <w:p w14:paraId="1237EA41"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27</w:t>
            </w:r>
          </w:p>
        </w:tc>
      </w:tr>
      <w:tr w:rsidR="00147E67" w:rsidRPr="006E2679" w14:paraId="321ED861" w14:textId="77777777" w:rsidTr="00147E67">
        <w:trPr>
          <w:cantSplit/>
          <w:trHeight w:val="290"/>
          <w:tblHeader/>
        </w:trPr>
        <w:tc>
          <w:tcPr>
            <w:tcW w:w="0" w:type="auto"/>
          </w:tcPr>
          <w:p w14:paraId="759A0903"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510 to 539 calendar days</w:t>
            </w:r>
          </w:p>
        </w:tc>
        <w:tc>
          <w:tcPr>
            <w:tcW w:w="0" w:type="auto"/>
          </w:tcPr>
          <w:p w14:paraId="3158AE2E"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17</w:t>
            </w:r>
          </w:p>
        </w:tc>
      </w:tr>
      <w:tr w:rsidR="00147E67" w:rsidRPr="006E2679" w14:paraId="53F75E1D" w14:textId="77777777" w:rsidTr="00147E67">
        <w:trPr>
          <w:cantSplit/>
          <w:trHeight w:val="290"/>
          <w:tblHeader/>
        </w:trPr>
        <w:tc>
          <w:tcPr>
            <w:tcW w:w="0" w:type="auto"/>
          </w:tcPr>
          <w:p w14:paraId="645FC78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540 to 569 calendar days</w:t>
            </w:r>
          </w:p>
        </w:tc>
        <w:tc>
          <w:tcPr>
            <w:tcW w:w="0" w:type="auto"/>
          </w:tcPr>
          <w:p w14:paraId="497621B1"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15</w:t>
            </w:r>
          </w:p>
        </w:tc>
      </w:tr>
      <w:tr w:rsidR="00147E67" w:rsidRPr="006E2679" w14:paraId="5A523FF0" w14:textId="77777777" w:rsidTr="00147E67">
        <w:trPr>
          <w:cantSplit/>
          <w:trHeight w:val="290"/>
          <w:tblHeader/>
        </w:trPr>
        <w:tc>
          <w:tcPr>
            <w:tcW w:w="0" w:type="auto"/>
          </w:tcPr>
          <w:p w14:paraId="53E25E11"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570 to 599 calendar days</w:t>
            </w:r>
          </w:p>
        </w:tc>
        <w:tc>
          <w:tcPr>
            <w:tcW w:w="0" w:type="auto"/>
          </w:tcPr>
          <w:p w14:paraId="2E3FA2B8"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14</w:t>
            </w:r>
          </w:p>
        </w:tc>
      </w:tr>
      <w:tr w:rsidR="00147E67" w:rsidRPr="006E2679" w14:paraId="2E6A22C5" w14:textId="77777777" w:rsidTr="00147E67">
        <w:trPr>
          <w:cantSplit/>
          <w:trHeight w:val="290"/>
          <w:tblHeader/>
        </w:trPr>
        <w:tc>
          <w:tcPr>
            <w:tcW w:w="0" w:type="auto"/>
          </w:tcPr>
          <w:p w14:paraId="206BC4E3"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600 to 629 calendar days</w:t>
            </w:r>
          </w:p>
        </w:tc>
        <w:tc>
          <w:tcPr>
            <w:tcW w:w="0" w:type="auto"/>
          </w:tcPr>
          <w:p w14:paraId="616D051D"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12</w:t>
            </w:r>
          </w:p>
        </w:tc>
      </w:tr>
      <w:tr w:rsidR="00147E67" w:rsidRPr="006E2679" w14:paraId="3EE9916F" w14:textId="77777777" w:rsidTr="00147E67">
        <w:trPr>
          <w:cantSplit/>
          <w:trHeight w:val="290"/>
          <w:tblHeader/>
        </w:trPr>
        <w:tc>
          <w:tcPr>
            <w:tcW w:w="0" w:type="auto"/>
          </w:tcPr>
          <w:p w14:paraId="38C4B55C"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630 to 659 calendar days</w:t>
            </w:r>
          </w:p>
        </w:tc>
        <w:tc>
          <w:tcPr>
            <w:tcW w:w="0" w:type="auto"/>
          </w:tcPr>
          <w:p w14:paraId="6D6E636F"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w:t>
            </w:r>
          </w:p>
        </w:tc>
      </w:tr>
      <w:tr w:rsidR="00147E67" w:rsidRPr="006E2679" w14:paraId="7908473A" w14:textId="77777777" w:rsidTr="00147E67">
        <w:trPr>
          <w:cantSplit/>
          <w:trHeight w:val="290"/>
          <w:tblHeader/>
        </w:trPr>
        <w:tc>
          <w:tcPr>
            <w:tcW w:w="0" w:type="auto"/>
          </w:tcPr>
          <w:p w14:paraId="217D2FC2"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660 to 689 calendar days</w:t>
            </w:r>
          </w:p>
        </w:tc>
        <w:tc>
          <w:tcPr>
            <w:tcW w:w="0" w:type="auto"/>
          </w:tcPr>
          <w:p w14:paraId="5A9DF68C"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5</w:t>
            </w:r>
          </w:p>
        </w:tc>
      </w:tr>
      <w:tr w:rsidR="00147E67" w:rsidRPr="006E2679" w14:paraId="5028E8A7" w14:textId="77777777" w:rsidTr="00147E67">
        <w:trPr>
          <w:cantSplit/>
          <w:trHeight w:val="290"/>
          <w:tblHeader/>
        </w:trPr>
        <w:tc>
          <w:tcPr>
            <w:tcW w:w="0" w:type="auto"/>
          </w:tcPr>
          <w:p w14:paraId="4DA16B43"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690 to 719 calendar days</w:t>
            </w:r>
          </w:p>
        </w:tc>
        <w:tc>
          <w:tcPr>
            <w:tcW w:w="0" w:type="auto"/>
          </w:tcPr>
          <w:p w14:paraId="449CD875"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w:t>
            </w:r>
          </w:p>
        </w:tc>
      </w:tr>
      <w:tr w:rsidR="00147E67" w:rsidRPr="006E2679" w14:paraId="5E06160C" w14:textId="77777777" w:rsidTr="00147E67">
        <w:trPr>
          <w:cantSplit/>
          <w:trHeight w:val="302"/>
          <w:tblHeader/>
        </w:trPr>
        <w:tc>
          <w:tcPr>
            <w:tcW w:w="0" w:type="auto"/>
          </w:tcPr>
          <w:p w14:paraId="4C723AF0"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720 to 749 calendar days</w:t>
            </w:r>
          </w:p>
        </w:tc>
        <w:tc>
          <w:tcPr>
            <w:tcW w:w="0" w:type="auto"/>
          </w:tcPr>
          <w:p w14:paraId="554BF515"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11</w:t>
            </w:r>
          </w:p>
        </w:tc>
      </w:tr>
      <w:tr w:rsidR="00147E67" w:rsidRPr="006E2679" w14:paraId="156B3858" w14:textId="77777777" w:rsidTr="00147E67">
        <w:trPr>
          <w:cantSplit/>
          <w:trHeight w:val="290"/>
          <w:tblHeader/>
        </w:trPr>
        <w:tc>
          <w:tcPr>
            <w:tcW w:w="0" w:type="auto"/>
          </w:tcPr>
          <w:p w14:paraId="2A88A80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750 to 779 calendar days</w:t>
            </w:r>
          </w:p>
        </w:tc>
        <w:tc>
          <w:tcPr>
            <w:tcW w:w="0" w:type="auto"/>
          </w:tcPr>
          <w:p w14:paraId="57A2A39A"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w:t>
            </w:r>
          </w:p>
        </w:tc>
      </w:tr>
      <w:tr w:rsidR="00147E67" w:rsidRPr="006E2679" w14:paraId="107AC074" w14:textId="77777777" w:rsidTr="00147E67">
        <w:trPr>
          <w:cantSplit/>
          <w:trHeight w:val="290"/>
          <w:tblHeader/>
        </w:trPr>
        <w:tc>
          <w:tcPr>
            <w:tcW w:w="0" w:type="auto"/>
          </w:tcPr>
          <w:p w14:paraId="4D5D42F0"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780 to 809 calendar days</w:t>
            </w:r>
          </w:p>
        </w:tc>
        <w:tc>
          <w:tcPr>
            <w:tcW w:w="0" w:type="auto"/>
          </w:tcPr>
          <w:p w14:paraId="0DDDC928"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7</w:t>
            </w:r>
          </w:p>
        </w:tc>
      </w:tr>
      <w:tr w:rsidR="00147E67" w:rsidRPr="006E2679" w14:paraId="15C1D831" w14:textId="77777777" w:rsidTr="00147E67">
        <w:trPr>
          <w:cantSplit/>
          <w:trHeight w:val="290"/>
          <w:tblHeader/>
        </w:trPr>
        <w:tc>
          <w:tcPr>
            <w:tcW w:w="0" w:type="auto"/>
          </w:tcPr>
          <w:p w14:paraId="5035C91A"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810 to 839 calendar days</w:t>
            </w:r>
          </w:p>
        </w:tc>
        <w:tc>
          <w:tcPr>
            <w:tcW w:w="0" w:type="auto"/>
          </w:tcPr>
          <w:p w14:paraId="3A70D5AB"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w:t>
            </w:r>
          </w:p>
        </w:tc>
      </w:tr>
      <w:tr w:rsidR="00147E67" w:rsidRPr="006E2679" w14:paraId="3CC11AE7" w14:textId="77777777" w:rsidTr="00147E67">
        <w:trPr>
          <w:cantSplit/>
          <w:trHeight w:val="290"/>
          <w:tblHeader/>
        </w:trPr>
        <w:tc>
          <w:tcPr>
            <w:tcW w:w="0" w:type="auto"/>
          </w:tcPr>
          <w:p w14:paraId="488F85D3"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840 to 869 calendar days</w:t>
            </w:r>
          </w:p>
        </w:tc>
        <w:tc>
          <w:tcPr>
            <w:tcW w:w="0" w:type="auto"/>
          </w:tcPr>
          <w:p w14:paraId="450DC811"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2</w:t>
            </w:r>
          </w:p>
        </w:tc>
      </w:tr>
      <w:tr w:rsidR="00147E67" w:rsidRPr="006E2679" w14:paraId="4D77848E" w14:textId="77777777" w:rsidTr="00147E67">
        <w:trPr>
          <w:cantSplit/>
          <w:trHeight w:val="290"/>
          <w:tblHeader/>
        </w:trPr>
        <w:tc>
          <w:tcPr>
            <w:tcW w:w="0" w:type="auto"/>
          </w:tcPr>
          <w:p w14:paraId="5731EAE1"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870 to 899 calendar days</w:t>
            </w:r>
          </w:p>
        </w:tc>
        <w:tc>
          <w:tcPr>
            <w:tcW w:w="0" w:type="auto"/>
          </w:tcPr>
          <w:p w14:paraId="310CA736"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w:t>
            </w:r>
          </w:p>
        </w:tc>
      </w:tr>
      <w:tr w:rsidR="00147E67" w:rsidRPr="006E2679" w14:paraId="2015C15B" w14:textId="77777777" w:rsidTr="00147E67">
        <w:trPr>
          <w:cantSplit/>
          <w:trHeight w:val="290"/>
          <w:tblHeader/>
        </w:trPr>
        <w:tc>
          <w:tcPr>
            <w:tcW w:w="0" w:type="auto"/>
          </w:tcPr>
          <w:p w14:paraId="7D250F6D"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900 to 929 calendar days</w:t>
            </w:r>
          </w:p>
        </w:tc>
        <w:tc>
          <w:tcPr>
            <w:tcW w:w="0" w:type="auto"/>
          </w:tcPr>
          <w:p w14:paraId="11CDD29E"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3</w:t>
            </w:r>
          </w:p>
        </w:tc>
      </w:tr>
      <w:tr w:rsidR="00147E67" w:rsidRPr="006E2679" w14:paraId="18268EE2" w14:textId="77777777" w:rsidTr="00147E67">
        <w:trPr>
          <w:cantSplit/>
          <w:trHeight w:val="290"/>
          <w:tblHeader/>
        </w:trPr>
        <w:tc>
          <w:tcPr>
            <w:tcW w:w="0" w:type="auto"/>
          </w:tcPr>
          <w:p w14:paraId="7DA77E3F"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930 to 959 calendar days</w:t>
            </w:r>
          </w:p>
        </w:tc>
        <w:tc>
          <w:tcPr>
            <w:tcW w:w="0" w:type="auto"/>
          </w:tcPr>
          <w:p w14:paraId="1DA32DF3"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1</w:t>
            </w:r>
          </w:p>
        </w:tc>
      </w:tr>
      <w:tr w:rsidR="00147E67" w:rsidRPr="006E2679" w14:paraId="6EC436A8" w14:textId="77777777" w:rsidTr="00147E67">
        <w:trPr>
          <w:cantSplit/>
          <w:trHeight w:val="290"/>
          <w:tblHeader/>
        </w:trPr>
        <w:tc>
          <w:tcPr>
            <w:tcW w:w="0" w:type="auto"/>
          </w:tcPr>
          <w:p w14:paraId="1A443225"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960 to 989 calendar days</w:t>
            </w:r>
          </w:p>
        </w:tc>
        <w:tc>
          <w:tcPr>
            <w:tcW w:w="0" w:type="auto"/>
          </w:tcPr>
          <w:p w14:paraId="45447834"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w:t>
            </w:r>
          </w:p>
        </w:tc>
      </w:tr>
      <w:tr w:rsidR="00147E67" w:rsidRPr="006E2679" w14:paraId="167302C7" w14:textId="77777777" w:rsidTr="00147E67">
        <w:trPr>
          <w:cantSplit/>
          <w:trHeight w:val="290"/>
          <w:tblHeader/>
        </w:trPr>
        <w:tc>
          <w:tcPr>
            <w:tcW w:w="0" w:type="auto"/>
          </w:tcPr>
          <w:p w14:paraId="7871CE14" w14:textId="77777777" w:rsidR="00147E67" w:rsidRPr="006E2679" w:rsidRDefault="00147E67" w:rsidP="003D79A8">
            <w:pPr>
              <w:autoSpaceDE w:val="0"/>
              <w:autoSpaceDN w:val="0"/>
              <w:adjustRightInd w:val="0"/>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More than 990 calendar days</w:t>
            </w:r>
          </w:p>
        </w:tc>
        <w:tc>
          <w:tcPr>
            <w:tcW w:w="0" w:type="auto"/>
          </w:tcPr>
          <w:p w14:paraId="40FBC9A1" w14:textId="77777777" w:rsidR="00147E67" w:rsidRPr="006E2679" w:rsidRDefault="00147E67" w:rsidP="003D79A8">
            <w:pPr>
              <w:autoSpaceDE w:val="0"/>
              <w:autoSpaceDN w:val="0"/>
              <w:adjustRightInd w:val="0"/>
              <w:jc w:val="center"/>
              <w:rPr>
                <w:rFonts w:asciiTheme="minorHAnsi" w:eastAsiaTheme="minorHAnsi" w:hAnsiTheme="minorHAnsi" w:cstheme="minorHAnsi"/>
                <w:color w:val="000000"/>
                <w:sz w:val="22"/>
                <w:szCs w:val="22"/>
                <w:lang w:val="en-CA"/>
              </w:rPr>
            </w:pPr>
            <w:r w:rsidRPr="006E2679">
              <w:rPr>
                <w:rFonts w:asciiTheme="minorHAnsi" w:eastAsiaTheme="minorHAnsi" w:hAnsiTheme="minorHAnsi" w:cstheme="minorHAnsi"/>
                <w:color w:val="000000"/>
                <w:sz w:val="22"/>
                <w:szCs w:val="22"/>
                <w:lang w:val="en-CA"/>
              </w:rPr>
              <w:t>0</w:t>
            </w:r>
          </w:p>
        </w:tc>
      </w:tr>
    </w:tbl>
    <w:p w14:paraId="5E022E0A" w14:textId="77777777" w:rsidR="00147E67" w:rsidRDefault="00147E67" w:rsidP="00AE6060">
      <w:pPr>
        <w:pStyle w:val="Titre3"/>
        <w:rPr>
          <w:lang w:val="en-CA"/>
        </w:rPr>
        <w:sectPr w:rsidR="00147E67" w:rsidSect="00147E67">
          <w:footnotePr>
            <w:numFmt w:val="lowerLetter"/>
          </w:footnotePr>
          <w:endnotePr>
            <w:numFmt w:val="lowerLetter"/>
          </w:endnotePr>
          <w:pgSz w:w="24480" w:h="15840" w:orient="landscape" w:code="3"/>
          <w:pgMar w:top="1304" w:right="709" w:bottom="1304" w:left="1361" w:header="284" w:footer="284" w:gutter="0"/>
          <w:cols w:space="720"/>
          <w:docGrid w:linePitch="326"/>
        </w:sectPr>
      </w:pPr>
    </w:p>
    <w:p w14:paraId="15ADD359" w14:textId="070821B7" w:rsidR="001E202E" w:rsidRPr="00440C7B" w:rsidRDefault="001E202E" w:rsidP="00440C7B">
      <w:pPr>
        <w:pStyle w:val="Titre1"/>
        <w:rPr>
          <w:sz w:val="40"/>
          <w:lang w:val="en-CA"/>
        </w:rPr>
      </w:pPr>
      <w:r w:rsidRPr="00440C7B">
        <w:rPr>
          <w:sz w:val="40"/>
          <w:lang w:val="en-CA"/>
        </w:rPr>
        <w:lastRenderedPageBreak/>
        <w:t>Technical notes:</w:t>
      </w:r>
    </w:p>
    <w:p w14:paraId="1A3E2F98" w14:textId="77777777" w:rsidR="001E202E" w:rsidRPr="006E2679" w:rsidRDefault="001E202E" w:rsidP="00AE6060">
      <w:pPr>
        <w:numPr>
          <w:ilvl w:val="0"/>
          <w:numId w:val="6"/>
        </w:numPr>
        <w:spacing w:before="100" w:beforeAutospacing="1" w:after="100" w:afterAutospacing="1"/>
        <w:contextualSpacing/>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The Time to Staff - Internal Appointments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536CCC24" w14:textId="77777777" w:rsidR="001E202E" w:rsidRPr="006E2679" w:rsidRDefault="001E202E" w:rsidP="00AE6060">
      <w:pPr>
        <w:numPr>
          <w:ilvl w:val="0"/>
          <w:numId w:val="6"/>
        </w:numPr>
        <w:spacing w:before="100" w:beforeAutospacing="1" w:after="100" w:afterAutospacing="1"/>
        <w:contextualSpacing/>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The Time to Staff - External Appointments is the median number of calendar days between the opening date of an external advertisement and the date of the first estimated appointment of an individual from outside an organization subject to the Public Service Employment Act for term and indeterminate positions. Because data between systems is linked using a probabilistic match, errors in data linkage are a potential source of measurement error.</w:t>
      </w:r>
    </w:p>
    <w:p w14:paraId="2DADB3CD" w14:textId="77777777" w:rsidR="001E202E" w:rsidRPr="006E2679" w:rsidRDefault="001E202E" w:rsidP="00AE6060">
      <w:pPr>
        <w:numPr>
          <w:ilvl w:val="0"/>
          <w:numId w:val="6"/>
        </w:numPr>
        <w:spacing w:before="100" w:beforeAutospacing="1" w:after="100" w:afterAutospacing="1"/>
        <w:contextualSpacing/>
        <w:rPr>
          <w:rFonts w:asciiTheme="minorHAnsi" w:hAnsiTheme="minorHAnsi" w:cstheme="minorHAnsi"/>
          <w:sz w:val="22"/>
          <w:szCs w:val="22"/>
          <w:lang w:val="en-CA" w:eastAsia="en-CA"/>
        </w:rPr>
      </w:pPr>
      <w:r w:rsidRPr="006E2679">
        <w:rPr>
          <w:rFonts w:asciiTheme="minorHAnsi" w:hAnsiTheme="minorHAnsi" w:cstheme="minorHAnsi"/>
          <w:sz w:val="22"/>
          <w:szCs w:val="22"/>
          <w:lang w:val="en-CA" w:eastAsia="en-CA"/>
        </w:rPr>
        <w:t xml:space="preserve">Only estimated term and indeterminate appointments/notifications are included (deployments, casual and acting appointments are excluded). </w:t>
      </w:r>
    </w:p>
    <w:sectPr w:rsidR="001E202E" w:rsidRPr="006E2679" w:rsidSect="001A7998">
      <w:headerReference w:type="default" r:id="rId28"/>
      <w:footerReference w:type="default" r:id="rId29"/>
      <w:footerReference w:type="first" r:id="rId30"/>
      <w:pgSz w:w="12240" w:h="15840"/>
      <w:pgMar w:top="1304" w:right="1361" w:bottom="1304" w:left="709"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5E745" w14:textId="77777777" w:rsidR="003D79A8" w:rsidRDefault="003D79A8" w:rsidP="0051557E">
      <w:r>
        <w:separator/>
      </w:r>
    </w:p>
  </w:endnote>
  <w:endnote w:type="continuationSeparator" w:id="0">
    <w:p w14:paraId="0A1E0AD5" w14:textId="77777777" w:rsidR="003D79A8" w:rsidRDefault="003D79A8"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65A0" w14:textId="77777777" w:rsidR="003D79A8" w:rsidRDefault="003D79A8" w:rsidP="00721848">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5B28AA" w:rsidRPr="005B28AA">
      <w:rPr>
        <w:rFonts w:ascii="Calibri" w:eastAsia="Calibri" w:hAnsi="Calibri" w:cs="Arial"/>
        <w:b/>
        <w:bCs/>
        <w:noProof/>
        <w:sz w:val="16"/>
        <w:szCs w:val="22"/>
        <w:lang w:val="en-CA"/>
      </w:rPr>
      <w:t>1</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7003A">
      <w:rPr>
        <w:rFonts w:ascii="Calibri" w:eastAsia="Calibri" w:hAnsi="Calibri" w:cs="Arial"/>
        <w:sz w:val="16"/>
        <w:szCs w:val="22"/>
        <w:lang w:val="en-CA"/>
      </w:rPr>
      <w:t>10008550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35549" w14:textId="77777777" w:rsidR="003D79A8" w:rsidRDefault="003D79A8" w:rsidP="00C40A4D">
    <w:pPr>
      <w:pStyle w:val="Pieddepage"/>
      <w:jc w:val="center"/>
    </w:pPr>
    <w:r>
      <w:t xml:space="preserve"> Produced by Data Services and Analysis Directorate (PSC) – Updated on August 20,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1340" w14:textId="77777777" w:rsidR="003D79A8" w:rsidRDefault="003D79A8" w:rsidP="00721848">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5B28AA" w:rsidRPr="005B28AA">
      <w:rPr>
        <w:rFonts w:ascii="Calibri" w:eastAsia="Calibri" w:hAnsi="Calibri" w:cs="Arial"/>
        <w:b/>
        <w:bCs/>
        <w:noProof/>
        <w:sz w:val="16"/>
        <w:szCs w:val="22"/>
        <w:lang w:val="en-CA"/>
      </w:rPr>
      <w:t>13</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7003A">
      <w:rPr>
        <w:rFonts w:ascii="Calibri" w:eastAsia="Calibri" w:hAnsi="Calibri" w:cs="Arial"/>
        <w:sz w:val="16"/>
        <w:szCs w:val="22"/>
        <w:lang w:val="en-CA"/>
      </w:rPr>
      <w:t>10008550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179664"/>
      <w:docPartObj>
        <w:docPartGallery w:val="Page Numbers (Bottom of Page)"/>
        <w:docPartUnique/>
      </w:docPartObj>
    </w:sdtPr>
    <w:sdtEndPr>
      <w:rPr>
        <w:noProof/>
      </w:rPr>
    </w:sdtEndPr>
    <w:sdtContent>
      <w:p w14:paraId="3F5658B4" w14:textId="1ED29A0D" w:rsidR="003D79A8" w:rsidRDefault="003D79A8" w:rsidP="00721848">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1A7998">
          <w:rPr>
            <w:rFonts w:ascii="Calibri" w:eastAsia="Calibri" w:hAnsi="Calibri" w:cs="Arial"/>
            <w:b/>
            <w:bCs/>
            <w:noProof/>
            <w:sz w:val="16"/>
            <w:szCs w:val="22"/>
            <w:lang w:val="en-CA"/>
          </w:rPr>
          <w:t>31</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7003A">
          <w:rPr>
            <w:rFonts w:ascii="Calibri" w:eastAsia="Calibri" w:hAnsi="Calibri" w:cs="Arial"/>
            <w:sz w:val="16"/>
            <w:szCs w:val="22"/>
            <w:lang w:val="en-CA"/>
          </w:rPr>
          <w:t>10008550</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AFB42" w14:textId="77777777" w:rsidR="003D79A8" w:rsidRDefault="003D79A8" w:rsidP="00721848">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5B28AA" w:rsidRPr="005B28AA">
      <w:rPr>
        <w:rFonts w:ascii="Calibri" w:eastAsia="Calibri" w:hAnsi="Calibri" w:cs="Arial"/>
        <w:b/>
        <w:bCs/>
        <w:noProof/>
        <w:sz w:val="16"/>
        <w:szCs w:val="22"/>
        <w:lang w:val="en-CA"/>
      </w:rPr>
      <w:t>28</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7003A">
      <w:rPr>
        <w:rFonts w:ascii="Calibri" w:eastAsia="Calibri" w:hAnsi="Calibri" w:cs="Arial"/>
        <w:sz w:val="16"/>
        <w:szCs w:val="22"/>
        <w:lang w:val="en-CA"/>
      </w:rPr>
      <w:t>10008550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E67D0" w14:textId="77777777" w:rsidR="003D79A8" w:rsidRDefault="003D79A8" w:rsidP="0051557E">
      <w:r>
        <w:separator/>
      </w:r>
    </w:p>
  </w:footnote>
  <w:footnote w:type="continuationSeparator" w:id="0">
    <w:p w14:paraId="0CAF1BA0" w14:textId="77777777" w:rsidR="003D79A8" w:rsidRDefault="003D79A8"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5025C" w14:textId="4E8C0C9B" w:rsidR="003D79A8" w:rsidRPr="00F26834" w:rsidRDefault="003D79A8" w:rsidP="00F2683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00E1" w14:textId="75A8E94D" w:rsidR="003D79A8" w:rsidRPr="00F26834" w:rsidRDefault="003D79A8" w:rsidP="00F2683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B4C6" w14:textId="77777777" w:rsidR="003D79A8" w:rsidRDefault="003D79A8" w:rsidP="0051557E">
    <w:pPr>
      <w:pStyle w:val="En-tte"/>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F6E65"/>
    <w:multiLevelType w:val="hybridMultilevel"/>
    <w:tmpl w:val="56AEBF50"/>
    <w:lvl w:ilvl="0" w:tplc="CF92CBCA">
      <w:start w:val="1"/>
      <w:numFmt w:val="bullet"/>
      <w:lvlText w:val=""/>
      <w:lvlJc w:val="left"/>
      <w:pPr>
        <w:ind w:left="360" w:hanging="360"/>
      </w:pPr>
      <w:rPr>
        <w:rFonts w:ascii="Symbol" w:hAnsi="Symbol"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9104A4"/>
    <w:multiLevelType w:val="hybridMultilevel"/>
    <w:tmpl w:val="00C49782"/>
    <w:lvl w:ilvl="0" w:tplc="F2B4A5D0">
      <w:start w:val="1"/>
      <w:numFmt w:val="bullet"/>
      <w:lvlText w:val=""/>
      <w:lvlJc w:val="left"/>
      <w:pPr>
        <w:ind w:left="720" w:hanging="360"/>
      </w:pPr>
      <w:rPr>
        <w:rFonts w:ascii="Symbol" w:hAnsi="Symbol" w:hint="default"/>
        <w:b/>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F12E48"/>
    <w:multiLevelType w:val="hybridMultilevel"/>
    <w:tmpl w:val="69D8F1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6232685"/>
    <w:multiLevelType w:val="hybridMultilevel"/>
    <w:tmpl w:val="F230B7E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A90A0D"/>
    <w:multiLevelType w:val="hybridMultilevel"/>
    <w:tmpl w:val="4E4C1586"/>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3A31DC"/>
    <w:multiLevelType w:val="hybridMultilevel"/>
    <w:tmpl w:val="0D6C2602"/>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214987"/>
    <w:multiLevelType w:val="hybridMultilevel"/>
    <w:tmpl w:val="16CE1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A481C"/>
    <w:multiLevelType w:val="multilevel"/>
    <w:tmpl w:val="2328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667F5F"/>
    <w:multiLevelType w:val="hybridMultilevel"/>
    <w:tmpl w:val="4316F0E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D25E2C"/>
    <w:multiLevelType w:val="hybridMultilevel"/>
    <w:tmpl w:val="F67EC2D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A96095"/>
    <w:multiLevelType w:val="hybridMultilevel"/>
    <w:tmpl w:val="F9281FF4"/>
    <w:lvl w:ilvl="0" w:tplc="5B7286B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9" w15:restartNumberingAfterBreak="0">
    <w:nsid w:val="6D0C3C2F"/>
    <w:multiLevelType w:val="hybridMultilevel"/>
    <w:tmpl w:val="4224CA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003D15"/>
    <w:multiLevelType w:val="hybridMultilevel"/>
    <w:tmpl w:val="3C18D050"/>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19"/>
  </w:num>
  <w:num w:numId="8">
    <w:abstractNumId w:val="12"/>
  </w:num>
  <w:num w:numId="9">
    <w:abstractNumId w:val="9"/>
  </w:num>
  <w:num w:numId="10">
    <w:abstractNumId w:val="5"/>
  </w:num>
  <w:num w:numId="11">
    <w:abstractNumId w:val="29"/>
  </w:num>
  <w:num w:numId="12">
    <w:abstractNumId w:val="1"/>
  </w:num>
  <w:num w:numId="13">
    <w:abstractNumId w:val="31"/>
  </w:num>
  <w:num w:numId="14">
    <w:abstractNumId w:val="6"/>
  </w:num>
  <w:num w:numId="15">
    <w:abstractNumId w:val="2"/>
  </w:num>
  <w:num w:numId="16">
    <w:abstractNumId w:val="22"/>
  </w:num>
  <w:num w:numId="17">
    <w:abstractNumId w:val="24"/>
  </w:num>
  <w:num w:numId="18">
    <w:abstractNumId w:val="27"/>
  </w:num>
  <w:num w:numId="19">
    <w:abstractNumId w:val="4"/>
  </w:num>
  <w:num w:numId="20">
    <w:abstractNumId w:val="3"/>
  </w:num>
  <w:num w:numId="21">
    <w:abstractNumId w:val="14"/>
  </w:num>
  <w:num w:numId="22">
    <w:abstractNumId w:val="25"/>
  </w:num>
  <w:num w:numId="23">
    <w:abstractNumId w:val="16"/>
  </w:num>
  <w:num w:numId="24">
    <w:abstractNumId w:val="13"/>
  </w:num>
  <w:num w:numId="25">
    <w:abstractNumId w:val="30"/>
  </w:num>
  <w:num w:numId="26">
    <w:abstractNumId w:val="0"/>
  </w:num>
  <w:num w:numId="27">
    <w:abstractNumId w:val="26"/>
  </w:num>
  <w:num w:numId="28">
    <w:abstractNumId w:val="23"/>
  </w:num>
  <w:num w:numId="29">
    <w:abstractNumId w:val="32"/>
  </w:num>
  <w:num w:numId="30">
    <w:abstractNumId w:val="21"/>
  </w:num>
  <w:num w:numId="31">
    <w:abstractNumId w:val="20"/>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2E"/>
    <w:rsid w:val="0002465C"/>
    <w:rsid w:val="000264B9"/>
    <w:rsid w:val="000329DE"/>
    <w:rsid w:val="00046393"/>
    <w:rsid w:val="000B5F12"/>
    <w:rsid w:val="000C05DF"/>
    <w:rsid w:val="000F2515"/>
    <w:rsid w:val="000F3007"/>
    <w:rsid w:val="00100B6E"/>
    <w:rsid w:val="00113A60"/>
    <w:rsid w:val="001357D7"/>
    <w:rsid w:val="00147E67"/>
    <w:rsid w:val="001531B4"/>
    <w:rsid w:val="00167AD8"/>
    <w:rsid w:val="00183121"/>
    <w:rsid w:val="001A2460"/>
    <w:rsid w:val="001A5C64"/>
    <w:rsid w:val="001A7998"/>
    <w:rsid w:val="001B2CDD"/>
    <w:rsid w:val="001B5A8D"/>
    <w:rsid w:val="001E202E"/>
    <w:rsid w:val="001E4BD0"/>
    <w:rsid w:val="00210749"/>
    <w:rsid w:val="00214C99"/>
    <w:rsid w:val="00226E46"/>
    <w:rsid w:val="00244CD0"/>
    <w:rsid w:val="00276855"/>
    <w:rsid w:val="00285839"/>
    <w:rsid w:val="00293FCA"/>
    <w:rsid w:val="002B58E9"/>
    <w:rsid w:val="002E191D"/>
    <w:rsid w:val="002E3E95"/>
    <w:rsid w:val="003020A9"/>
    <w:rsid w:val="003076ED"/>
    <w:rsid w:val="0035603B"/>
    <w:rsid w:val="00376C19"/>
    <w:rsid w:val="003C1EC5"/>
    <w:rsid w:val="003C2467"/>
    <w:rsid w:val="003C7CAC"/>
    <w:rsid w:val="003D79A8"/>
    <w:rsid w:val="003F3872"/>
    <w:rsid w:val="003F427C"/>
    <w:rsid w:val="00433173"/>
    <w:rsid w:val="0043514C"/>
    <w:rsid w:val="00440C7B"/>
    <w:rsid w:val="0051557E"/>
    <w:rsid w:val="00531E9D"/>
    <w:rsid w:val="00543E46"/>
    <w:rsid w:val="00564048"/>
    <w:rsid w:val="00585C67"/>
    <w:rsid w:val="00595D60"/>
    <w:rsid w:val="005B28AA"/>
    <w:rsid w:val="005E7644"/>
    <w:rsid w:val="0065765A"/>
    <w:rsid w:val="006B71CB"/>
    <w:rsid w:val="006E2679"/>
    <w:rsid w:val="006E4FC8"/>
    <w:rsid w:val="00715065"/>
    <w:rsid w:val="00721848"/>
    <w:rsid w:val="00735E38"/>
    <w:rsid w:val="00774D6A"/>
    <w:rsid w:val="00775265"/>
    <w:rsid w:val="00783262"/>
    <w:rsid w:val="0078587F"/>
    <w:rsid w:val="007A68D2"/>
    <w:rsid w:val="007D1C24"/>
    <w:rsid w:val="007E17D1"/>
    <w:rsid w:val="007F24AE"/>
    <w:rsid w:val="007F6BDF"/>
    <w:rsid w:val="00800085"/>
    <w:rsid w:val="00834B1C"/>
    <w:rsid w:val="00836F2D"/>
    <w:rsid w:val="008439AB"/>
    <w:rsid w:val="00851F69"/>
    <w:rsid w:val="008B2E72"/>
    <w:rsid w:val="008F0DD6"/>
    <w:rsid w:val="0091645E"/>
    <w:rsid w:val="00927170"/>
    <w:rsid w:val="00935939"/>
    <w:rsid w:val="00944420"/>
    <w:rsid w:val="00975D42"/>
    <w:rsid w:val="00985F4A"/>
    <w:rsid w:val="009876E0"/>
    <w:rsid w:val="00997D3F"/>
    <w:rsid w:val="009A3BCD"/>
    <w:rsid w:val="009A53B5"/>
    <w:rsid w:val="009E74E8"/>
    <w:rsid w:val="009F1BE8"/>
    <w:rsid w:val="009F331C"/>
    <w:rsid w:val="009F5F80"/>
    <w:rsid w:val="00A15E7A"/>
    <w:rsid w:val="00A24167"/>
    <w:rsid w:val="00A34FDB"/>
    <w:rsid w:val="00A3677B"/>
    <w:rsid w:val="00A464D9"/>
    <w:rsid w:val="00A75646"/>
    <w:rsid w:val="00A77330"/>
    <w:rsid w:val="00AC1CF5"/>
    <w:rsid w:val="00AC2DE3"/>
    <w:rsid w:val="00AE2E8B"/>
    <w:rsid w:val="00AE6060"/>
    <w:rsid w:val="00AF099B"/>
    <w:rsid w:val="00B002E0"/>
    <w:rsid w:val="00B936CD"/>
    <w:rsid w:val="00BC288C"/>
    <w:rsid w:val="00BD2211"/>
    <w:rsid w:val="00BE00A0"/>
    <w:rsid w:val="00C01340"/>
    <w:rsid w:val="00C17D8B"/>
    <w:rsid w:val="00C27625"/>
    <w:rsid w:val="00C34CC3"/>
    <w:rsid w:val="00C40A4D"/>
    <w:rsid w:val="00C53E38"/>
    <w:rsid w:val="00C562F1"/>
    <w:rsid w:val="00C8777A"/>
    <w:rsid w:val="00CA175C"/>
    <w:rsid w:val="00CB2FD0"/>
    <w:rsid w:val="00CB630B"/>
    <w:rsid w:val="00D045A5"/>
    <w:rsid w:val="00D74F1F"/>
    <w:rsid w:val="00DB2212"/>
    <w:rsid w:val="00DF1FFD"/>
    <w:rsid w:val="00E156FD"/>
    <w:rsid w:val="00E74F9B"/>
    <w:rsid w:val="00EC2CE2"/>
    <w:rsid w:val="00EC3DC0"/>
    <w:rsid w:val="00ED7F0A"/>
    <w:rsid w:val="00F02961"/>
    <w:rsid w:val="00F23097"/>
    <w:rsid w:val="00F26834"/>
    <w:rsid w:val="00F40DF2"/>
    <w:rsid w:val="00F53C32"/>
    <w:rsid w:val="00F66557"/>
    <w:rsid w:val="00F667AA"/>
    <w:rsid w:val="00F87D75"/>
    <w:rsid w:val="00F91BF2"/>
    <w:rsid w:val="00FA5485"/>
    <w:rsid w:val="00FA6DE0"/>
    <w:rsid w:val="00FC4488"/>
    <w:rsid w:val="00FD55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1B455"/>
  <w15:chartTrackingRefBased/>
  <w15:docId w15:val="{74044FA2-4B6A-4075-A440-C759DBC8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02E"/>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210749"/>
    <w:rPr>
      <w:rFonts w:ascii="Segoe UI Semibold" w:hAnsi="Segoe UI Semibold"/>
      <w:b w:val="0"/>
      <w:color w:val="54575A" w:themeColor="text1"/>
    </w:rPr>
  </w:style>
  <w:style w:type="paragraph" w:styleId="Titre">
    <w:name w:val="Title"/>
    <w:basedOn w:val="Normal"/>
    <w:next w:val="Normal"/>
    <w:link w:val="TitreCar"/>
    <w:autoRedefine/>
    <w:uiPriority w:val="10"/>
    <w:qFormat/>
    <w:rsid w:val="00F91BF2"/>
    <w:pPr>
      <w:contextualSpacing/>
      <w:jc w:val="center"/>
    </w:pPr>
    <w:rPr>
      <w:rFonts w:ascii="Segoe UI Semilight" w:eastAsiaTheme="majorEastAsia" w:hAnsi="Segoe UI Semilight" w:cs="Segoe UI Semilight"/>
      <w:spacing w:val="-10"/>
      <w:kern w:val="28"/>
      <w:sz w:val="52"/>
      <w:szCs w:val="32"/>
    </w:rPr>
  </w:style>
  <w:style w:type="character" w:customStyle="1" w:styleId="TitreCar">
    <w:name w:val="Titre Car"/>
    <w:basedOn w:val="Policepardfaut"/>
    <w:link w:val="Titre"/>
    <w:uiPriority w:val="10"/>
    <w:rsid w:val="00F91BF2"/>
    <w:rPr>
      <w:rFonts w:ascii="Segoe UI Semilight" w:eastAsiaTheme="majorEastAsia" w:hAnsi="Segoe UI Semilight" w:cs="Segoe UI Semilight"/>
      <w:spacing w:val="-10"/>
      <w:kern w:val="28"/>
      <w:sz w:val="52"/>
      <w:szCs w:val="32"/>
      <w:lang w:val="en-US"/>
    </w:rPr>
  </w:style>
  <w:style w:type="paragraph" w:styleId="NormalWeb">
    <w:name w:val="Normal (Web)"/>
    <w:basedOn w:val="Normal"/>
    <w:uiPriority w:val="99"/>
    <w:unhideWhenUsed/>
    <w:rsid w:val="001E202E"/>
    <w:pPr>
      <w:spacing w:before="100" w:beforeAutospacing="1" w:after="100" w:afterAutospacing="1"/>
    </w:pPr>
    <w:rPr>
      <w:rFonts w:ascii="Verdana" w:hAnsi="Verdana"/>
      <w:szCs w:val="24"/>
    </w:rPr>
  </w:style>
  <w:style w:type="paragraph" w:customStyle="1" w:styleId="Level1">
    <w:name w:val="Level 1"/>
    <w:basedOn w:val="Normal"/>
    <w:uiPriority w:val="99"/>
    <w:rsid w:val="001E202E"/>
    <w:pPr>
      <w:widowControl w:val="0"/>
    </w:pPr>
  </w:style>
  <w:style w:type="character" w:styleId="Lienhypertexte">
    <w:name w:val="Hyperlink"/>
    <w:uiPriority w:val="99"/>
    <w:unhideWhenUsed/>
    <w:rsid w:val="001E202E"/>
    <w:rPr>
      <w:color w:val="0563C1"/>
      <w:u w:val="single"/>
    </w:rPr>
  </w:style>
  <w:style w:type="character" w:styleId="Marquedecommentaire">
    <w:name w:val="annotation reference"/>
    <w:uiPriority w:val="99"/>
    <w:semiHidden/>
    <w:unhideWhenUsed/>
    <w:rsid w:val="001E202E"/>
    <w:rPr>
      <w:sz w:val="16"/>
      <w:szCs w:val="16"/>
    </w:rPr>
  </w:style>
  <w:style w:type="paragraph" w:styleId="Commentaire">
    <w:name w:val="annotation text"/>
    <w:basedOn w:val="Normal"/>
    <w:link w:val="CommentaireCar"/>
    <w:uiPriority w:val="99"/>
    <w:semiHidden/>
    <w:unhideWhenUsed/>
    <w:rsid w:val="001E202E"/>
    <w:rPr>
      <w:sz w:val="20"/>
    </w:rPr>
  </w:style>
  <w:style w:type="character" w:customStyle="1" w:styleId="CommentaireCar">
    <w:name w:val="Commentaire Car"/>
    <w:basedOn w:val="Policepardfaut"/>
    <w:link w:val="Commentaire"/>
    <w:uiPriority w:val="99"/>
    <w:semiHidden/>
    <w:rsid w:val="001E202E"/>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1E202E"/>
    <w:rPr>
      <w:b/>
      <w:bCs/>
    </w:rPr>
  </w:style>
  <w:style w:type="character" w:customStyle="1" w:styleId="ObjetducommentaireCar">
    <w:name w:val="Objet du commentaire Car"/>
    <w:basedOn w:val="CommentaireCar"/>
    <w:link w:val="Objetducommentaire"/>
    <w:uiPriority w:val="99"/>
    <w:semiHidden/>
    <w:rsid w:val="001E202E"/>
    <w:rPr>
      <w:rFonts w:ascii="Times New Roman" w:eastAsia="Times New Roman" w:hAnsi="Times New Roman" w:cs="Times New Roman"/>
      <w:b/>
      <w:bCs/>
      <w:sz w:val="20"/>
      <w:szCs w:val="20"/>
      <w:lang w:val="en-US"/>
    </w:rPr>
  </w:style>
  <w:style w:type="paragraph" w:styleId="Sansinterligne">
    <w:name w:val="No Spacing"/>
    <w:uiPriority w:val="1"/>
    <w:qFormat/>
    <w:rsid w:val="001E202E"/>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uiPriority w:val="99"/>
    <w:semiHidden/>
    <w:unhideWhenUsed/>
    <w:rsid w:val="001E202E"/>
    <w:rPr>
      <w:color w:val="954F72"/>
      <w:u w:val="single"/>
    </w:rPr>
  </w:style>
  <w:style w:type="paragraph" w:styleId="Notedefin">
    <w:name w:val="endnote text"/>
    <w:basedOn w:val="Normal"/>
    <w:link w:val="NotedefinCar"/>
    <w:unhideWhenUsed/>
    <w:rsid w:val="001E202E"/>
    <w:rPr>
      <w:rFonts w:ascii="Arial" w:hAnsi="Arial"/>
      <w:sz w:val="20"/>
      <w:lang w:val="en-CA" w:eastAsia="en-CA"/>
    </w:rPr>
  </w:style>
  <w:style w:type="character" w:customStyle="1" w:styleId="NotedefinCar">
    <w:name w:val="Note de fin Car"/>
    <w:basedOn w:val="Policepardfaut"/>
    <w:link w:val="Notedefin"/>
    <w:rsid w:val="001E202E"/>
    <w:rPr>
      <w:rFonts w:ascii="Arial" w:eastAsia="Times New Roman" w:hAnsi="Arial" w:cs="Times New Roman"/>
      <w:sz w:val="20"/>
      <w:szCs w:val="20"/>
      <w:lang w:eastAsia="en-CA"/>
    </w:rPr>
  </w:style>
  <w:style w:type="character" w:styleId="Appeldenotedefin">
    <w:name w:val="endnote reference"/>
    <w:uiPriority w:val="99"/>
    <w:semiHidden/>
    <w:unhideWhenUsed/>
    <w:rsid w:val="001E202E"/>
    <w:rPr>
      <w:vertAlign w:val="superscript"/>
    </w:rPr>
  </w:style>
  <w:style w:type="paragraph" w:customStyle="1" w:styleId="Style1">
    <w:name w:val="Style1"/>
    <w:basedOn w:val="Normal"/>
    <w:link w:val="Style1Char"/>
    <w:qFormat/>
    <w:rsid w:val="001E202E"/>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1E202E"/>
    <w:pPr>
      <w:shd w:val="clear" w:color="auto" w:fill="F2F2F2"/>
    </w:pPr>
    <w:rPr>
      <w:rFonts w:ascii="Arial" w:hAnsi="Arial" w:cs="Arial"/>
      <w:b/>
      <w:color w:val="009999"/>
      <w:spacing w:val="-10"/>
      <w:sz w:val="22"/>
      <w:szCs w:val="22"/>
      <w:lang w:val="en-CA"/>
    </w:rPr>
  </w:style>
  <w:style w:type="character" w:customStyle="1" w:styleId="Style1Char">
    <w:name w:val="Style1 Char"/>
    <w:basedOn w:val="Policepardfaut"/>
    <w:link w:val="Style1"/>
    <w:rsid w:val="001E202E"/>
    <w:rPr>
      <w:rFonts w:ascii="Arial" w:eastAsia="Times New Roman" w:hAnsi="Arial" w:cs="Arial"/>
      <w:b/>
      <w:caps/>
      <w:color w:val="92D050"/>
    </w:rPr>
  </w:style>
  <w:style w:type="character" w:customStyle="1" w:styleId="Style2Char">
    <w:name w:val="Style2 Char"/>
    <w:basedOn w:val="Policepardfaut"/>
    <w:link w:val="Style2"/>
    <w:rsid w:val="001E202E"/>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1E202E"/>
    <w:pPr>
      <w:jc w:val="center"/>
    </w:pPr>
    <w:rPr>
      <w:rFonts w:ascii="Arial" w:hAnsi="Arial" w:cs="Arial"/>
      <w:b/>
      <w:sz w:val="22"/>
      <w:szCs w:val="22"/>
      <w:u w:val="single"/>
    </w:rPr>
  </w:style>
  <w:style w:type="paragraph" w:customStyle="1" w:styleId="Style4">
    <w:name w:val="Style4"/>
    <w:basedOn w:val="Normal"/>
    <w:link w:val="Style4Char"/>
    <w:qFormat/>
    <w:rsid w:val="001E202E"/>
    <w:rPr>
      <w:rFonts w:ascii="Arial" w:hAnsi="Arial" w:cs="Arial"/>
      <w:sz w:val="22"/>
      <w:szCs w:val="22"/>
      <w:u w:val="single"/>
      <w:lang w:val="en-CA" w:eastAsia="en-CA"/>
    </w:rPr>
  </w:style>
  <w:style w:type="character" w:customStyle="1" w:styleId="Style3Char">
    <w:name w:val="Style3 Char"/>
    <w:basedOn w:val="Policepardfaut"/>
    <w:link w:val="Style3"/>
    <w:rsid w:val="001E202E"/>
    <w:rPr>
      <w:rFonts w:ascii="Arial" w:eastAsia="Times New Roman" w:hAnsi="Arial" w:cs="Arial"/>
      <w:b/>
      <w:u w:val="single"/>
      <w:lang w:val="en-US"/>
    </w:rPr>
  </w:style>
  <w:style w:type="paragraph" w:customStyle="1" w:styleId="Style5">
    <w:name w:val="Style5"/>
    <w:basedOn w:val="Normal"/>
    <w:link w:val="Style5Char"/>
    <w:qFormat/>
    <w:rsid w:val="001E202E"/>
    <w:pPr>
      <w:jc w:val="center"/>
    </w:pPr>
    <w:rPr>
      <w:rFonts w:ascii="Arial" w:hAnsi="Arial" w:cs="Arial"/>
      <w:b/>
      <w:bCs/>
      <w:sz w:val="22"/>
      <w:szCs w:val="22"/>
      <w:lang w:val="en"/>
    </w:rPr>
  </w:style>
  <w:style w:type="character" w:customStyle="1" w:styleId="Style4Char">
    <w:name w:val="Style4 Char"/>
    <w:basedOn w:val="Policepardfaut"/>
    <w:link w:val="Style4"/>
    <w:rsid w:val="001E202E"/>
    <w:rPr>
      <w:rFonts w:ascii="Arial" w:eastAsia="Times New Roman" w:hAnsi="Arial" w:cs="Arial"/>
      <w:u w:val="single"/>
      <w:lang w:eastAsia="en-CA"/>
    </w:rPr>
  </w:style>
  <w:style w:type="paragraph" w:customStyle="1" w:styleId="Style6">
    <w:name w:val="Style6"/>
    <w:basedOn w:val="Normal"/>
    <w:link w:val="Style6Char"/>
    <w:qFormat/>
    <w:rsid w:val="001E202E"/>
    <w:pPr>
      <w:jc w:val="center"/>
    </w:pPr>
    <w:rPr>
      <w:rFonts w:ascii="Arial" w:hAnsi="Arial" w:cs="Arial"/>
      <w:b/>
      <w:color w:val="54575A" w:themeColor="text1"/>
      <w:szCs w:val="24"/>
    </w:rPr>
  </w:style>
  <w:style w:type="character" w:customStyle="1" w:styleId="Style5Char">
    <w:name w:val="Style5 Char"/>
    <w:basedOn w:val="Policepardfaut"/>
    <w:link w:val="Style5"/>
    <w:rsid w:val="001E202E"/>
    <w:rPr>
      <w:rFonts w:ascii="Arial" w:eastAsia="Times New Roman" w:hAnsi="Arial" w:cs="Arial"/>
      <w:b/>
      <w:bCs/>
      <w:lang w:val="en"/>
    </w:rPr>
  </w:style>
  <w:style w:type="paragraph" w:customStyle="1" w:styleId="Style7">
    <w:name w:val="Style7"/>
    <w:basedOn w:val="Normal"/>
    <w:link w:val="Style7Char"/>
    <w:qFormat/>
    <w:rsid w:val="001E202E"/>
    <w:pPr>
      <w:jc w:val="center"/>
    </w:pPr>
    <w:rPr>
      <w:rFonts w:ascii="Arial" w:hAnsi="Arial" w:cs="Arial"/>
      <w:color w:val="54575A" w:themeColor="text1"/>
      <w:sz w:val="22"/>
      <w:szCs w:val="32"/>
    </w:rPr>
  </w:style>
  <w:style w:type="character" w:customStyle="1" w:styleId="Style6Char">
    <w:name w:val="Style6 Char"/>
    <w:basedOn w:val="Policepardfaut"/>
    <w:link w:val="Style6"/>
    <w:rsid w:val="001E202E"/>
    <w:rPr>
      <w:rFonts w:ascii="Arial" w:eastAsia="Times New Roman" w:hAnsi="Arial" w:cs="Arial"/>
      <w:b/>
      <w:color w:val="54575A" w:themeColor="text1"/>
      <w:sz w:val="24"/>
      <w:szCs w:val="24"/>
      <w:lang w:val="en-US"/>
    </w:rPr>
  </w:style>
  <w:style w:type="paragraph" w:customStyle="1" w:styleId="Style8">
    <w:name w:val="Style8"/>
    <w:basedOn w:val="Normal"/>
    <w:link w:val="Style8Char"/>
    <w:qFormat/>
    <w:rsid w:val="001E202E"/>
    <w:rPr>
      <w:rFonts w:ascii="Arial" w:hAnsi="Arial" w:cs="Arial"/>
      <w:color w:val="767171"/>
      <w:sz w:val="16"/>
      <w:szCs w:val="22"/>
      <w:lang w:val="en-CA"/>
    </w:rPr>
  </w:style>
  <w:style w:type="character" w:customStyle="1" w:styleId="Style7Char">
    <w:name w:val="Style7 Char"/>
    <w:basedOn w:val="Policepardfaut"/>
    <w:link w:val="Style7"/>
    <w:rsid w:val="001E202E"/>
    <w:rPr>
      <w:rFonts w:ascii="Arial" w:eastAsia="Times New Roman" w:hAnsi="Arial" w:cs="Arial"/>
      <w:color w:val="54575A" w:themeColor="text1"/>
      <w:szCs w:val="32"/>
      <w:lang w:val="en-US"/>
    </w:rPr>
  </w:style>
  <w:style w:type="paragraph" w:customStyle="1" w:styleId="Style9">
    <w:name w:val="Style9"/>
    <w:basedOn w:val="Normal"/>
    <w:link w:val="Style9Char"/>
    <w:qFormat/>
    <w:rsid w:val="001E202E"/>
    <w:rPr>
      <w:rFonts w:ascii="Arial" w:hAnsi="Arial" w:cs="Arial"/>
      <w:b/>
      <w:color w:val="009999"/>
      <w:spacing w:val="-10"/>
      <w:sz w:val="22"/>
      <w:szCs w:val="22"/>
      <w:lang w:val="en-CA"/>
    </w:rPr>
  </w:style>
  <w:style w:type="character" w:customStyle="1" w:styleId="Style8Char">
    <w:name w:val="Style8 Char"/>
    <w:basedOn w:val="Policepardfaut"/>
    <w:link w:val="Style8"/>
    <w:rsid w:val="001E202E"/>
    <w:rPr>
      <w:rFonts w:ascii="Arial" w:eastAsia="Times New Roman" w:hAnsi="Arial" w:cs="Arial"/>
      <w:color w:val="767171"/>
      <w:sz w:val="16"/>
    </w:rPr>
  </w:style>
  <w:style w:type="character" w:customStyle="1" w:styleId="Style9Char">
    <w:name w:val="Style9 Char"/>
    <w:basedOn w:val="Policepardfaut"/>
    <w:link w:val="Style9"/>
    <w:rsid w:val="001E202E"/>
    <w:rPr>
      <w:rFonts w:ascii="Arial" w:eastAsia="Times New Roman" w:hAnsi="Arial" w:cs="Arial"/>
      <w:b/>
      <w:color w:val="009999"/>
      <w:spacing w:val="-10"/>
    </w:rPr>
  </w:style>
  <w:style w:type="character" w:styleId="Emphaseple">
    <w:name w:val="Subtle Emphasis"/>
    <w:basedOn w:val="Policepardfaut"/>
    <w:uiPriority w:val="19"/>
    <w:qFormat/>
    <w:rsid w:val="001E202E"/>
    <w:rPr>
      <w:i/>
      <w:iCs/>
      <w:color w:val="A8ABAE" w:themeColor="text1" w:themeTint="7F"/>
    </w:rPr>
  </w:style>
  <w:style w:type="table" w:customStyle="1" w:styleId="TableGrid1">
    <w:name w:val="Table Grid1"/>
    <w:basedOn w:val="TableauNormal"/>
    <w:next w:val="Grilledutableau"/>
    <w:uiPriority w:val="39"/>
    <w:rsid w:val="001E202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1E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1E202E"/>
    <w:pPr>
      <w:spacing w:after="0" w:line="240" w:lineRule="auto"/>
    </w:pPr>
    <w:rPr>
      <w:rFonts w:ascii="Calibri" w:eastAsia="Calibri" w:hAnsi="Calibri" w:cs="Times New Roman"/>
      <w:sz w:val="20"/>
      <w:szCs w:val="20"/>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500" w:themeFill="accent5"/>
      </w:tcPr>
    </w:tblStylePr>
    <w:tblStylePr w:type="band1Vert">
      <w:tblPr/>
      <w:tcPr>
        <w:shd w:val="clear" w:color="auto" w:fill="F4FF88" w:themeFill="accent5" w:themeFillTint="66"/>
      </w:tcPr>
    </w:tblStylePr>
    <w:tblStylePr w:type="band1Horz">
      <w:tblPr/>
      <w:tcPr>
        <w:shd w:val="clear" w:color="auto" w:fill="F4FF88" w:themeFill="accent5" w:themeFillTint="66"/>
      </w:tcPr>
    </w:tblStylePr>
  </w:style>
  <w:style w:type="character" w:styleId="lev">
    <w:name w:val="Strong"/>
    <w:basedOn w:val="Policepardfaut"/>
    <w:uiPriority w:val="22"/>
    <w:qFormat/>
    <w:rsid w:val="005E7644"/>
    <w:rPr>
      <w:b/>
      <w:bCs/>
    </w:rPr>
  </w:style>
  <w:style w:type="table" w:styleId="TableauGrille5Fonc">
    <w:name w:val="Grid Table 5 Dark"/>
    <w:basedOn w:val="TableauNormal"/>
    <w:uiPriority w:val="50"/>
    <w:rsid w:val="00C40A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table" w:styleId="TableauGrille4">
    <w:name w:val="Grid Table 4"/>
    <w:basedOn w:val="TableauNormal"/>
    <w:uiPriority w:val="49"/>
    <w:rsid w:val="0065765A"/>
    <w:pPr>
      <w:spacing w:after="0" w:line="240" w:lineRule="auto"/>
    </w:pPr>
    <w:tblPr>
      <w:tblStyleRowBandSize w:val="1"/>
      <w:tblStyleColBandSize w:val="1"/>
      <w:tblBorders>
        <w:top w:val="single" w:sz="4" w:space="0" w:color="969A9D" w:themeColor="text1" w:themeTint="99"/>
        <w:left w:val="single" w:sz="4" w:space="0" w:color="969A9D" w:themeColor="text1" w:themeTint="99"/>
        <w:bottom w:val="single" w:sz="4" w:space="0" w:color="969A9D" w:themeColor="text1" w:themeTint="99"/>
        <w:right w:val="single" w:sz="4" w:space="0" w:color="969A9D" w:themeColor="text1" w:themeTint="99"/>
        <w:insideH w:val="single" w:sz="4" w:space="0" w:color="969A9D" w:themeColor="text1" w:themeTint="99"/>
        <w:insideV w:val="single" w:sz="4" w:space="0" w:color="969A9D" w:themeColor="text1" w:themeTint="99"/>
      </w:tblBorders>
    </w:tblPr>
    <w:tblStylePr w:type="firstRow">
      <w:rPr>
        <w:b/>
        <w:bCs/>
        <w:color w:val="FFFFFF" w:themeColor="background1"/>
      </w:rPr>
      <w:tblPr/>
      <w:tcPr>
        <w:tcBorders>
          <w:top w:val="single" w:sz="4" w:space="0" w:color="54575A" w:themeColor="text1"/>
          <w:left w:val="single" w:sz="4" w:space="0" w:color="54575A" w:themeColor="text1"/>
          <w:bottom w:val="single" w:sz="4" w:space="0" w:color="54575A" w:themeColor="text1"/>
          <w:right w:val="single" w:sz="4" w:space="0" w:color="54575A" w:themeColor="text1"/>
          <w:insideH w:val="nil"/>
          <w:insideV w:val="nil"/>
        </w:tcBorders>
        <w:shd w:val="clear" w:color="auto" w:fill="54575A" w:themeFill="text1"/>
      </w:tcPr>
    </w:tblStylePr>
    <w:tblStylePr w:type="lastRow">
      <w:rPr>
        <w:b/>
        <w:bCs/>
      </w:rPr>
      <w:tblPr/>
      <w:tcPr>
        <w:tcBorders>
          <w:top w:val="double" w:sz="4" w:space="0" w:color="54575A" w:themeColor="text1"/>
        </w:tcBorders>
      </w:tcPr>
    </w:tblStylePr>
    <w:tblStylePr w:type="firstCol">
      <w:rPr>
        <w:b/>
        <w:bCs/>
      </w:rPr>
    </w:tblStylePr>
    <w:tblStylePr w:type="lastCol">
      <w:rPr>
        <w:b/>
        <w:bCs/>
      </w:rPr>
    </w:tblStylePr>
    <w:tblStylePr w:type="band1Vert">
      <w:tblPr/>
      <w:tcPr>
        <w:shd w:val="clear" w:color="auto" w:fill="DCDDDE" w:themeFill="text1" w:themeFillTint="33"/>
      </w:tcPr>
    </w:tblStylePr>
    <w:tblStylePr w:type="band1Horz">
      <w:tblPr/>
      <w:tcPr>
        <w:shd w:val="clear" w:color="auto" w:fill="DCDDDE" w:themeFill="text1" w:themeFillTint="33"/>
      </w:tcPr>
    </w:tblStylePr>
  </w:style>
  <w:style w:type="paragraph" w:styleId="Lgende">
    <w:name w:val="caption"/>
    <w:basedOn w:val="Normal"/>
    <w:next w:val="Normal"/>
    <w:uiPriority w:val="35"/>
    <w:unhideWhenUsed/>
    <w:qFormat/>
    <w:rsid w:val="00433173"/>
    <w:rPr>
      <w:rFonts w:asciiTheme="minorHAnsi" w:hAnsiTheme="minorHAns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061">
      <w:bodyDiv w:val="1"/>
      <w:marLeft w:val="0"/>
      <w:marRight w:val="0"/>
      <w:marTop w:val="0"/>
      <w:marBottom w:val="0"/>
      <w:divBdr>
        <w:top w:val="none" w:sz="0" w:space="0" w:color="auto"/>
        <w:left w:val="none" w:sz="0" w:space="0" w:color="auto"/>
        <w:bottom w:val="none" w:sz="0" w:space="0" w:color="auto"/>
        <w:right w:val="none" w:sz="0" w:space="0" w:color="auto"/>
      </w:divBdr>
    </w:div>
    <w:div w:id="290940545">
      <w:bodyDiv w:val="1"/>
      <w:marLeft w:val="0"/>
      <w:marRight w:val="0"/>
      <w:marTop w:val="0"/>
      <w:marBottom w:val="0"/>
      <w:divBdr>
        <w:top w:val="none" w:sz="0" w:space="0" w:color="auto"/>
        <w:left w:val="none" w:sz="0" w:space="0" w:color="auto"/>
        <w:bottom w:val="none" w:sz="0" w:space="0" w:color="auto"/>
        <w:right w:val="none" w:sz="0" w:space="0" w:color="auto"/>
      </w:divBdr>
    </w:div>
    <w:div w:id="294524522">
      <w:bodyDiv w:val="1"/>
      <w:marLeft w:val="0"/>
      <w:marRight w:val="0"/>
      <w:marTop w:val="0"/>
      <w:marBottom w:val="0"/>
      <w:divBdr>
        <w:top w:val="none" w:sz="0" w:space="0" w:color="auto"/>
        <w:left w:val="none" w:sz="0" w:space="0" w:color="auto"/>
        <w:bottom w:val="none" w:sz="0" w:space="0" w:color="auto"/>
        <w:right w:val="none" w:sz="0" w:space="0" w:color="auto"/>
      </w:divBdr>
    </w:div>
    <w:div w:id="1205675033">
      <w:bodyDiv w:val="1"/>
      <w:marLeft w:val="0"/>
      <w:marRight w:val="0"/>
      <w:marTop w:val="0"/>
      <w:marBottom w:val="0"/>
      <w:divBdr>
        <w:top w:val="none" w:sz="0" w:space="0" w:color="auto"/>
        <w:left w:val="none" w:sz="0" w:space="0" w:color="auto"/>
        <w:bottom w:val="none" w:sz="0" w:space="0" w:color="auto"/>
        <w:right w:val="none" w:sz="0" w:space="0" w:color="auto"/>
      </w:divBdr>
    </w:div>
    <w:div w:id="1301963938">
      <w:bodyDiv w:val="1"/>
      <w:marLeft w:val="0"/>
      <w:marRight w:val="0"/>
      <w:marTop w:val="0"/>
      <w:marBottom w:val="0"/>
      <w:divBdr>
        <w:top w:val="none" w:sz="0" w:space="0" w:color="auto"/>
        <w:left w:val="none" w:sz="0" w:space="0" w:color="auto"/>
        <w:bottom w:val="none" w:sz="0" w:space="0" w:color="auto"/>
        <w:right w:val="none" w:sz="0" w:space="0" w:color="auto"/>
      </w:divBdr>
    </w:div>
    <w:div w:id="1345011835">
      <w:bodyDiv w:val="1"/>
      <w:marLeft w:val="0"/>
      <w:marRight w:val="0"/>
      <w:marTop w:val="0"/>
      <w:marBottom w:val="0"/>
      <w:divBdr>
        <w:top w:val="none" w:sz="0" w:space="0" w:color="auto"/>
        <w:left w:val="none" w:sz="0" w:space="0" w:color="auto"/>
        <w:bottom w:val="none" w:sz="0" w:space="0" w:color="auto"/>
        <w:right w:val="none" w:sz="0" w:space="0" w:color="auto"/>
      </w:divBdr>
    </w:div>
    <w:div w:id="1631594433">
      <w:bodyDiv w:val="1"/>
      <w:marLeft w:val="0"/>
      <w:marRight w:val="0"/>
      <w:marTop w:val="0"/>
      <w:marBottom w:val="0"/>
      <w:divBdr>
        <w:top w:val="none" w:sz="0" w:space="0" w:color="auto"/>
        <w:left w:val="none" w:sz="0" w:space="0" w:color="auto"/>
        <w:bottom w:val="none" w:sz="0" w:space="0" w:color="auto"/>
        <w:right w:val="none" w:sz="0" w:space="0" w:color="auto"/>
      </w:divBdr>
    </w:div>
    <w:div w:id="1715537613">
      <w:bodyDiv w:val="1"/>
      <w:marLeft w:val="0"/>
      <w:marRight w:val="0"/>
      <w:marTop w:val="0"/>
      <w:marBottom w:val="0"/>
      <w:divBdr>
        <w:top w:val="none" w:sz="0" w:space="0" w:color="auto"/>
        <w:left w:val="none" w:sz="0" w:space="0" w:color="auto"/>
        <w:bottom w:val="none" w:sz="0" w:space="0" w:color="auto"/>
        <w:right w:val="none" w:sz="0" w:space="0" w:color="auto"/>
      </w:divBdr>
    </w:div>
    <w:div w:id="1726686077">
      <w:bodyDiv w:val="1"/>
      <w:marLeft w:val="0"/>
      <w:marRight w:val="0"/>
      <w:marTop w:val="0"/>
      <w:marBottom w:val="0"/>
      <w:divBdr>
        <w:top w:val="none" w:sz="0" w:space="0" w:color="auto"/>
        <w:left w:val="none" w:sz="0" w:space="0" w:color="auto"/>
        <w:bottom w:val="none" w:sz="0" w:space="0" w:color="auto"/>
        <w:right w:val="none" w:sz="0" w:space="0" w:color="auto"/>
      </w:divBdr>
    </w:div>
    <w:div w:id="19830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4.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by tenure as of March 31</a:t>
            </a:r>
            <a:endParaRPr lang="en-CA" sz="1200">
              <a:solidFill>
                <a:sysClr val="windowText" lastClr="000000"/>
              </a:solidFill>
              <a:effectLst/>
            </a:endParaRPr>
          </a:p>
        </c:rich>
      </c:tx>
      <c:layout/>
      <c:overlay val="1"/>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c:v>
                </c:pt>
                <c:pt idx="1">
                  <c:v> 2015 
(N=2 183) </c:v>
                </c:pt>
                <c:pt idx="2">
                  <c:v> 2016 
(N=2 229)</c:v>
                </c:pt>
                <c:pt idx="3">
                  <c:v> 2017 
(N=2 277) </c:v>
                </c:pt>
                <c:pt idx="4">
                  <c:v> 2018 
(N=2 196) </c:v>
                </c:pt>
                <c:pt idx="5">
                  <c:v> 2019
(N=2 395) </c:v>
                </c:pt>
              </c:strCache>
            </c:strRef>
          </c:cat>
          <c:val>
            <c:numRef>
              <c:f>Sheet1!$B$2:$B$7</c:f>
              <c:numCache>
                <c:formatCode>#\ ###</c:formatCode>
                <c:ptCount val="6"/>
                <c:pt idx="0">
                  <c:v>1831</c:v>
                </c:pt>
                <c:pt idx="1">
                  <c:v>1851</c:v>
                </c:pt>
                <c:pt idx="2">
                  <c:v>1884</c:v>
                </c:pt>
                <c:pt idx="3">
                  <c:v>1916</c:v>
                </c:pt>
                <c:pt idx="4">
                  <c:v>1850</c:v>
                </c:pt>
                <c:pt idx="5">
                  <c:v>1941</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07792207792207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807147258163892E-3"/>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0807147258163892E-3"/>
                  <c:y val="2.5974025974025976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1.558441558441553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c:v>
                </c:pt>
                <c:pt idx="1">
                  <c:v> 2015 
(N=2 183) </c:v>
                </c:pt>
                <c:pt idx="2">
                  <c:v> 2016 
(N=2 229)</c:v>
                </c:pt>
                <c:pt idx="3">
                  <c:v> 2017 
(N=2 277) </c:v>
                </c:pt>
                <c:pt idx="4">
                  <c:v> 2018 
(N=2 196) </c:v>
                </c:pt>
                <c:pt idx="5">
                  <c:v> 2019
(N=2 395) </c:v>
                </c:pt>
              </c:strCache>
            </c:strRef>
          </c:cat>
          <c:val>
            <c:numRef>
              <c:f>Sheet1!$C$2:$C$7</c:f>
              <c:numCache>
                <c:formatCode>#\ ###</c:formatCode>
                <c:ptCount val="6"/>
                <c:pt idx="0">
                  <c:v>113</c:v>
                </c:pt>
                <c:pt idx="1">
                  <c:v>139</c:v>
                </c:pt>
                <c:pt idx="2">
                  <c:v>114</c:v>
                </c:pt>
                <c:pt idx="3">
                  <c:v>112</c:v>
                </c:pt>
                <c:pt idx="4">
                  <c:v>127</c:v>
                </c:pt>
                <c:pt idx="5">
                  <c:v>179</c:v>
                </c:pt>
              </c:numCache>
            </c:numRef>
          </c:val>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c:v>
                </c:pt>
                <c:pt idx="1">
                  <c:v> 2015 
(N=2 183) </c:v>
                </c:pt>
                <c:pt idx="2">
                  <c:v> 2016 
(N=2 229)</c:v>
                </c:pt>
                <c:pt idx="3">
                  <c:v> 2017 
(N=2 277) </c:v>
                </c:pt>
                <c:pt idx="4">
                  <c:v> 2018 
(N=2 196) </c:v>
                </c:pt>
                <c:pt idx="5">
                  <c:v> 2019
(N=2 395) </c:v>
                </c:pt>
              </c:strCache>
            </c:strRef>
          </c:cat>
          <c:val>
            <c:numRef>
              <c:f>Sheet1!$D$2:$D$7</c:f>
              <c:numCache>
                <c:formatCode>#\ ###</c:formatCode>
                <c:ptCount val="6"/>
                <c:pt idx="0">
                  <c:v>103</c:v>
                </c:pt>
                <c:pt idx="1">
                  <c:v>92</c:v>
                </c:pt>
                <c:pt idx="2">
                  <c:v>113</c:v>
                </c:pt>
                <c:pt idx="3">
                  <c:v>109</c:v>
                </c:pt>
                <c:pt idx="4">
                  <c:v>103</c:v>
                </c:pt>
                <c:pt idx="5">
                  <c:v>132</c:v>
                </c:pt>
              </c:numCache>
            </c:numRef>
          </c:val>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c:v>
                </c:pt>
                <c:pt idx="1">
                  <c:v> 2015 
(N=2 183) </c:v>
                </c:pt>
                <c:pt idx="2">
                  <c:v> 2016 
(N=2 229)</c:v>
                </c:pt>
                <c:pt idx="3">
                  <c:v> 2017 
(N=2 277) </c:v>
                </c:pt>
                <c:pt idx="4">
                  <c:v> 2018 
(N=2 196) </c:v>
                </c:pt>
                <c:pt idx="5">
                  <c:v> 2019
(N=2 395) </c:v>
                </c:pt>
              </c:strCache>
            </c:strRef>
          </c:cat>
          <c:val>
            <c:numRef>
              <c:f>Sheet1!$E$2:$E$7</c:f>
              <c:numCache>
                <c:formatCode>#\ ###</c:formatCode>
                <c:ptCount val="6"/>
                <c:pt idx="0">
                  <c:v>126</c:v>
                </c:pt>
                <c:pt idx="1">
                  <c:v>101</c:v>
                </c:pt>
                <c:pt idx="2">
                  <c:v>118</c:v>
                </c:pt>
                <c:pt idx="3">
                  <c:v>140</c:v>
                </c:pt>
                <c:pt idx="4">
                  <c:v>116</c:v>
                </c:pt>
                <c:pt idx="5">
                  <c:v>143</c:v>
                </c:pt>
              </c:numCache>
            </c:numRef>
          </c:val>
        </c:ser>
        <c:dLbls>
          <c:dLblPos val="ctr"/>
          <c:showLegendKey val="0"/>
          <c:showVal val="1"/>
          <c:showCatName val="0"/>
          <c:showSerName val="0"/>
          <c:showPercent val="0"/>
          <c:showBubbleSize val="0"/>
        </c:dLbls>
        <c:gapWidth val="150"/>
        <c:overlap val="100"/>
        <c:axId val="372093048"/>
        <c:axId val="372093832"/>
      </c:barChart>
      <c:catAx>
        <c:axId val="37209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93832"/>
        <c:crosses val="autoZero"/>
        <c:auto val="1"/>
        <c:lblAlgn val="ctr"/>
        <c:lblOffset val="100"/>
        <c:noMultiLvlLbl val="0"/>
      </c:catAx>
      <c:valAx>
        <c:axId val="37209383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93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Student program hires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(N=235)</c:v>
                </c:pt>
                <c:pt idx="1">
                  <c:v>2015-16
 (N=266)</c:v>
                </c:pt>
                <c:pt idx="2">
                  <c:v>2016-17
 (N=325)</c:v>
                </c:pt>
                <c:pt idx="3">
                  <c:v>2017-18
 (N=227)</c:v>
                </c:pt>
                <c:pt idx="4">
                  <c:v>2018-19
 (N=253)</c:v>
                </c:pt>
              </c:strCache>
            </c:strRef>
          </c:cat>
          <c:val>
            <c:numRef>
              <c:f>Sheet1!$B$2:$B$6</c:f>
              <c:numCache>
                <c:formatCode>General</c:formatCode>
                <c:ptCount val="5"/>
                <c:pt idx="0">
                  <c:v>105</c:v>
                </c:pt>
                <c:pt idx="1">
                  <c:v>119</c:v>
                </c:pt>
                <c:pt idx="2">
                  <c:v>166</c:v>
                </c:pt>
                <c:pt idx="3">
                  <c:v>122</c:v>
                </c:pt>
                <c:pt idx="4">
                  <c:v>144</c:v>
                </c:pt>
              </c:numCache>
            </c:numRef>
          </c:val>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(N=235)</c:v>
                </c:pt>
                <c:pt idx="1">
                  <c:v>2015-16
 (N=266)</c:v>
                </c:pt>
                <c:pt idx="2">
                  <c:v>2016-17
 (N=325)</c:v>
                </c:pt>
                <c:pt idx="3">
                  <c:v>2017-18
 (N=227)</c:v>
                </c:pt>
                <c:pt idx="4">
                  <c:v>2018-19
 (N=253)</c:v>
                </c:pt>
              </c:strCache>
            </c:strRef>
          </c:cat>
          <c:val>
            <c:numRef>
              <c:f>Sheet1!$C$2:$C$6</c:f>
              <c:numCache>
                <c:formatCode>General</c:formatCode>
                <c:ptCount val="5"/>
                <c:pt idx="0">
                  <c:v>123</c:v>
                </c:pt>
                <c:pt idx="1">
                  <c:v>142</c:v>
                </c:pt>
                <c:pt idx="2">
                  <c:v>158</c:v>
                </c:pt>
                <c:pt idx="3">
                  <c:v>102</c:v>
                </c:pt>
                <c:pt idx="4">
                  <c:v>106</c:v>
                </c:pt>
              </c:numCache>
            </c:numRef>
          </c:val>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4.1067761806981521E-3"/>
                  <c:y val="-3.8372985418265539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7.5290026889317413E-17"/>
                  <c:y val="-3.0698388334612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302379125095934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1067761806981521E-3"/>
                  <c:y val="-2.302379125095935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067761806980012E-3"/>
                  <c:y val="-2.6861089792785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(N=235)</c:v>
                </c:pt>
                <c:pt idx="1">
                  <c:v>2015-16
 (N=266)</c:v>
                </c:pt>
                <c:pt idx="2">
                  <c:v>2016-17
 (N=325)</c:v>
                </c:pt>
                <c:pt idx="3">
                  <c:v>2017-18
 (N=227)</c:v>
                </c:pt>
                <c:pt idx="4">
                  <c:v>2018-19
 (N=253)</c:v>
                </c:pt>
              </c:strCache>
            </c:strRef>
          </c:cat>
          <c:val>
            <c:numRef>
              <c:f>Sheet1!$D$2:$D$6</c:f>
              <c:numCache>
                <c:formatCode>General</c:formatCode>
                <c:ptCount val="5"/>
                <c:pt idx="0">
                  <c:v>7</c:v>
                </c:pt>
                <c:pt idx="1">
                  <c:v>5</c:v>
                </c:pt>
                <c:pt idx="2">
                  <c:v>1</c:v>
                </c:pt>
                <c:pt idx="3">
                  <c:v>3</c:v>
                </c:pt>
                <c:pt idx="4">
                  <c:v>3</c:v>
                </c:pt>
              </c:numCache>
            </c:numRef>
          </c:val>
        </c:ser>
        <c:dLbls>
          <c:dLblPos val="ctr"/>
          <c:showLegendKey val="0"/>
          <c:showVal val="1"/>
          <c:showCatName val="0"/>
          <c:showSerName val="0"/>
          <c:showPercent val="0"/>
          <c:showBubbleSize val="0"/>
        </c:dLbls>
        <c:gapWidth val="150"/>
        <c:overlap val="100"/>
        <c:axId val="374634224"/>
        <c:axId val="374637752"/>
      </c:barChart>
      <c:catAx>
        <c:axId val="37463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7752"/>
        <c:crosses val="autoZero"/>
        <c:auto val="1"/>
        <c:lblAlgn val="ctr"/>
        <c:lblOffset val="100"/>
        <c:noMultiLvlLbl val="0"/>
      </c:catAx>
      <c:valAx>
        <c:axId val="374637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4224"/>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External indeterminate and term hiring activities: Post-Secondary Recruitment Program and former student hires</a:t>
            </a:r>
            <a:endParaRPr lang="en-CA"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837298541826553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4</c:v>
                </c:pt>
                <c:pt idx="1">
                  <c:v>2</c:v>
                </c:pt>
                <c:pt idx="2">
                  <c:v>6</c:v>
                </c:pt>
                <c:pt idx="3">
                  <c:v>2</c:v>
                </c:pt>
                <c:pt idx="4">
                  <c:v>11</c:v>
                </c:pt>
              </c:numCache>
            </c:numRef>
          </c:val>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5118956254796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7.674597083653037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51</c:v>
                </c:pt>
                <c:pt idx="1">
                  <c:v>25</c:v>
                </c:pt>
                <c:pt idx="2">
                  <c:v>55</c:v>
                </c:pt>
                <c:pt idx="3">
                  <c:v>70</c:v>
                </c:pt>
                <c:pt idx="4">
                  <c:v>79</c:v>
                </c:pt>
              </c:numCache>
            </c:numRef>
          </c:val>
        </c:ser>
        <c:dLbls>
          <c:showLegendKey val="0"/>
          <c:showVal val="1"/>
          <c:showCatName val="0"/>
          <c:showSerName val="0"/>
          <c:showPercent val="0"/>
          <c:showBubbleSize val="0"/>
        </c:dLbls>
        <c:gapWidth val="150"/>
        <c:shape val="box"/>
        <c:axId val="374638536"/>
        <c:axId val="374638928"/>
        <c:axId val="0"/>
      </c:bar3DChart>
      <c:catAx>
        <c:axId val="374638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8928"/>
        <c:crosses val="autoZero"/>
        <c:auto val="1"/>
        <c:lblAlgn val="ctr"/>
        <c:lblOffset val="100"/>
        <c:noMultiLvlLbl val="0"/>
      </c:catAx>
      <c:valAx>
        <c:axId val="3746389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8536"/>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Internal time to staff</a:t>
            </a:r>
          </a:p>
          <a:p>
            <a:pPr>
              <a:defRPr sz="1100"/>
            </a:pPr>
            <a:r>
              <a:rPr lang="en-CA" sz="1200" b="1" i="0" baseline="0">
                <a:solidFill>
                  <a:sysClr val="windowText" lastClr="000000"/>
                </a:solidFill>
                <a:effectLst/>
              </a:rPr>
              <a:t>Public service median = 176 days</a:t>
            </a:r>
            <a:endParaRPr lang="en-CA" sz="1200" b="1">
              <a:solidFill>
                <a:sysClr val="windowText" lastClr="000000"/>
              </a:solidFill>
              <a:effectLst/>
            </a:endParaRPr>
          </a:p>
          <a:p>
            <a:pPr>
              <a:defRPr sz="1100"/>
            </a:pPr>
            <a:r>
              <a:rPr lang="en-CA" sz="1200" b="1" i="0" baseline="0">
                <a:effectLst/>
              </a:rPr>
              <a:t> </a:t>
            </a:r>
            <a:r>
              <a:rPr lang="en-CA" sz="1200" baseline="0">
                <a:solidFill>
                  <a:sysClr val="windowText" lastClr="000000"/>
                </a:solidFill>
              </a:rPr>
              <a:t>2018-19</a:t>
            </a:r>
            <a:endParaRPr lang="en-CA" sz="1200">
              <a:solidFill>
                <a:sysClr val="windowText" lastClr="000000"/>
              </a:solidFill>
            </a:endParaRPr>
          </a:p>
        </c:rich>
      </c:tx>
      <c:layout>
        <c:manualLayout>
          <c:xMode val="edge"/>
          <c:yMode val="edge"/>
          <c:x val="0.30646465987704319"/>
          <c:y val="3.618340667216639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375760120"/>
        <c:axId val="375760512"/>
      </c:barChart>
      <c:catAx>
        <c:axId val="3757601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0512"/>
        <c:crosses val="autoZero"/>
        <c:auto val="1"/>
        <c:lblAlgn val="ctr"/>
        <c:lblOffset val="100"/>
        <c:noMultiLvlLbl val="0"/>
      </c:catAx>
      <c:valAx>
        <c:axId val="37576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0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latin typeface="+mn-lt"/>
              </a:rPr>
              <a:t>Internal time to staff</a:t>
            </a:r>
          </a:p>
          <a:p>
            <a:pPr>
              <a:defRPr sz="1100"/>
            </a:pPr>
            <a:r>
              <a:rPr lang="en-CA" sz="1200" b="1" i="0" baseline="0">
                <a:solidFill>
                  <a:sysClr val="windowText" lastClr="000000"/>
                </a:solidFill>
                <a:effectLst/>
                <a:latin typeface="+mn-lt"/>
              </a:rPr>
              <a:t>Public Health Agency of Canada = 213 days</a:t>
            </a:r>
            <a:endParaRPr lang="en-CA" sz="1200" b="1">
              <a:solidFill>
                <a:sysClr val="windowText" lastClr="000000"/>
              </a:solidFill>
              <a:effectLst/>
              <a:latin typeface="+mn-lt"/>
            </a:endParaRPr>
          </a:p>
          <a:p>
            <a:pPr>
              <a:defRPr sz="1100"/>
            </a:pPr>
            <a:r>
              <a:rPr lang="en-CA" sz="1200" b="1" i="0" baseline="0">
                <a:solidFill>
                  <a:sysClr val="windowText" lastClr="000000"/>
                </a:solidFill>
                <a:effectLst/>
                <a:latin typeface="+mn-lt"/>
              </a:rPr>
              <a:t> </a:t>
            </a:r>
            <a:r>
              <a:rPr lang="en-CA" sz="1200" baseline="0">
                <a:solidFill>
                  <a:sysClr val="windowText" lastClr="000000"/>
                </a:solidFill>
                <a:latin typeface="+mn-lt"/>
              </a:rPr>
              <a:t>2018-19</a:t>
            </a:r>
            <a:endParaRPr lang="en-CA" sz="1200">
              <a:solidFill>
                <a:sysClr val="windowText" lastClr="000000"/>
              </a:solidFill>
              <a:latin typeface="+mn-lt"/>
            </a:endParaRPr>
          </a:p>
        </c:rich>
      </c:tx>
      <c:layout>
        <c:manualLayout>
          <c:xMode val="edge"/>
          <c:yMode val="edge"/>
          <c:x val="0.26317460317460317"/>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1</c:v>
                </c:pt>
                <c:pt idx="3">
                  <c:v>0</c:v>
                </c:pt>
                <c:pt idx="4">
                  <c:v>7</c:v>
                </c:pt>
                <c:pt idx="5">
                  <c:v>3</c:v>
                </c:pt>
                <c:pt idx="6">
                  <c:v>4</c:v>
                </c:pt>
                <c:pt idx="7">
                  <c:v>8</c:v>
                </c:pt>
                <c:pt idx="8">
                  <c:v>5</c:v>
                </c:pt>
                <c:pt idx="9">
                  <c:v>6</c:v>
                </c:pt>
                <c:pt idx="10">
                  <c:v>2</c:v>
                </c:pt>
                <c:pt idx="11">
                  <c:v>1</c:v>
                </c:pt>
                <c:pt idx="12">
                  <c:v>1</c:v>
                </c:pt>
                <c:pt idx="13">
                  <c:v>1</c:v>
                </c:pt>
                <c:pt idx="14">
                  <c:v>2</c:v>
                </c:pt>
                <c:pt idx="15">
                  <c:v>0</c:v>
                </c:pt>
                <c:pt idx="16">
                  <c:v>0</c:v>
                </c:pt>
                <c:pt idx="17">
                  <c:v>1</c:v>
                </c:pt>
                <c:pt idx="18">
                  <c:v>1</c:v>
                </c:pt>
                <c:pt idx="19">
                  <c:v>1</c:v>
                </c:pt>
                <c:pt idx="20">
                  <c:v>0</c:v>
                </c:pt>
                <c:pt idx="21">
                  <c:v>0</c:v>
                </c:pt>
                <c:pt idx="22">
                  <c:v>0</c:v>
                </c:pt>
                <c:pt idx="23">
                  <c:v>1</c:v>
                </c:pt>
                <c:pt idx="24">
                  <c:v>0</c:v>
                </c:pt>
                <c:pt idx="25">
                  <c:v>0</c:v>
                </c:pt>
                <c:pt idx="26">
                  <c:v>1</c:v>
                </c:pt>
                <c:pt idx="27">
                  <c:v>0</c:v>
                </c:pt>
                <c:pt idx="28">
                  <c:v>1</c:v>
                </c:pt>
                <c:pt idx="29">
                  <c:v>0</c:v>
                </c:pt>
                <c:pt idx="30">
                  <c:v>0</c:v>
                </c:pt>
                <c:pt idx="31">
                  <c:v>1</c:v>
                </c:pt>
                <c:pt idx="32">
                  <c:v>0</c:v>
                </c:pt>
                <c:pt idx="33">
                  <c:v>0</c:v>
                </c:pt>
                <c:pt idx="34">
                  <c:v>1</c:v>
                </c:pt>
              </c:numCache>
            </c:numRef>
          </c:val>
        </c:ser>
        <c:dLbls>
          <c:showLegendKey val="0"/>
          <c:showVal val="0"/>
          <c:showCatName val="0"/>
          <c:showSerName val="0"/>
          <c:showPercent val="0"/>
          <c:showBubbleSize val="0"/>
        </c:dLbls>
        <c:gapWidth val="150"/>
        <c:overlap val="100"/>
        <c:axId val="375765608"/>
        <c:axId val="375763256"/>
      </c:barChart>
      <c:catAx>
        <c:axId val="3757656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3256"/>
        <c:crosses val="autoZero"/>
        <c:auto val="1"/>
        <c:lblAlgn val="ctr"/>
        <c:lblOffset val="100"/>
        <c:noMultiLvlLbl val="0"/>
      </c:catAx>
      <c:valAx>
        <c:axId val="375763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5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External time to staff</a:t>
            </a:r>
          </a:p>
          <a:p>
            <a:pPr>
              <a:defRPr sz="1100"/>
            </a:pPr>
            <a:r>
              <a:rPr lang="en-CA" sz="1200" b="1" i="0" baseline="0">
                <a:solidFill>
                  <a:sysClr val="windowText" lastClr="000000"/>
                </a:solidFill>
                <a:effectLst/>
              </a:rPr>
              <a:t>Public service median = 186 days</a:t>
            </a:r>
            <a:endParaRPr lang="en-CA" sz="1200">
              <a:solidFill>
                <a:sysClr val="windowText" lastClr="000000"/>
              </a:solidFill>
              <a:effectLst/>
            </a:endParaRPr>
          </a:p>
          <a:p>
            <a:pPr>
              <a:defRPr sz="1100"/>
            </a:pPr>
            <a:r>
              <a:rPr lang="en-CA" sz="1200" b="1" i="0" baseline="0">
                <a:effectLst/>
              </a:rPr>
              <a:t> </a:t>
            </a:r>
            <a:r>
              <a:rPr lang="en-CA" sz="1200" baseline="0">
                <a:solidFill>
                  <a:sysClr val="windowText" lastClr="000000"/>
                </a:solidFill>
              </a:rPr>
              <a:t>2018-19</a:t>
            </a:r>
            <a:endParaRPr lang="en-CA" sz="1200">
              <a:solidFill>
                <a:sysClr val="windowText" lastClr="000000"/>
              </a:solidFill>
            </a:endParaRPr>
          </a:p>
        </c:rich>
      </c:tx>
      <c:layout>
        <c:manualLayout>
          <c:xMode val="edge"/>
          <c:yMode val="edge"/>
          <c:x val="0.31629306033204535"/>
          <c:y val="2.8471758672323801E-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375760904"/>
        <c:axId val="375761296"/>
      </c:barChart>
      <c:catAx>
        <c:axId val="37576090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1296"/>
        <c:crosses val="autoZero"/>
        <c:auto val="1"/>
        <c:lblAlgn val="ctr"/>
        <c:lblOffset val="100"/>
        <c:noMultiLvlLbl val="0"/>
      </c:catAx>
      <c:valAx>
        <c:axId val="37576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576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 (N=2 395)</a:t>
            </a:r>
            <a:endParaRPr lang="en-CA" sz="1200">
              <a:solidFill>
                <a:sysClr val="windowText" lastClr="000000"/>
              </a:solidFill>
            </a:endParaRP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8930045716116472E-2"/>
          <c:y val="0.33967160638495508"/>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20344287949921752"/>
                  <c:y val="-0.17060217745014178"/>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Lst>
            </c:dLbl>
            <c:dLbl>
              <c:idx val="1"/>
              <c:layout>
                <c:manualLayout>
                  <c:x val="-0.16431924882629115"/>
                  <c:y val="0.24363535773999212"/>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854</c:v>
                </c:pt>
                <c:pt idx="1">
                  <c:v>1170</c:v>
                </c:pt>
              </c:numCache>
            </c:numRef>
          </c:val>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accent3"/>
              </a:solidFill>
              <a:ln w="3175">
                <a:solidFill>
                  <a:schemeClr val="lt1"/>
                </a:solidFill>
              </a:ln>
              <a:effectLst/>
            </c:spPr>
          </c:dPt>
          <c:dPt>
            <c:idx val="3"/>
            <c:bubble3D val="0"/>
            <c:spPr>
              <a:solidFill>
                <a:schemeClr val="accent5"/>
              </a:solidFill>
              <a:ln w="3175">
                <a:solidFill>
                  <a:schemeClr val="lt1"/>
                </a:solidFill>
              </a:ln>
              <a:effectLst/>
            </c:spPr>
          </c:dPt>
          <c:dPt>
            <c:idx val="4"/>
            <c:bubble3D val="0"/>
            <c:spPr>
              <a:solidFill>
                <a:schemeClr val="accent6"/>
              </a:solidFill>
              <a:ln w="3175">
                <a:solidFill>
                  <a:schemeClr val="lt1"/>
                </a:solidFill>
              </a:ln>
              <a:effectLst/>
            </c:spPr>
          </c:dPt>
          <c:dLbls>
            <c:dLbl>
              <c:idx val="0"/>
              <c:layout>
                <c:manualLayout>
                  <c:x val="0.16355420195117121"/>
                  <c:y val="-0.1570946822308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3496013470014362"/>
                  <c:y val="8.869307678952577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7.0754407467934363E-2"/>
                  <c:y val="0.185257309762349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0.1493711783116633"/>
                  <c:y val="0.1650352849862639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45347397611"/>
                      <c:h val="0.14915693904020752"/>
                    </c:manualLayout>
                  </c15:layout>
                </c:ext>
              </c:extLst>
            </c:dLbl>
            <c:dLbl>
              <c:idx val="4"/>
              <c:layout>
                <c:manualLayout>
                  <c:x val="-7.8616352201257858E-2"/>
                  <c:y val="-1.369690656372233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07547169811323"/>
                      <c:h val="0.1491569390402075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EC</c:v>
                </c:pt>
                <c:pt idx="1">
                  <c:v>AS</c:v>
                </c:pt>
                <c:pt idx="2">
                  <c:v>PM</c:v>
                </c:pt>
                <c:pt idx="3">
                  <c:v>EG</c:v>
                </c:pt>
                <c:pt idx="4">
                  <c:v>Other</c:v>
                </c:pt>
              </c:strCache>
            </c:strRef>
          </c:cat>
          <c:val>
            <c:numRef>
              <c:f>Sheet1!$B$2:$B$6</c:f>
              <c:numCache>
                <c:formatCode>General</c:formatCode>
                <c:ptCount val="5"/>
                <c:pt idx="0">
                  <c:v>828</c:v>
                </c:pt>
                <c:pt idx="1">
                  <c:v>359</c:v>
                </c:pt>
                <c:pt idx="2">
                  <c:v>262</c:v>
                </c:pt>
                <c:pt idx="3">
                  <c:v>257</c:v>
                </c:pt>
                <c:pt idx="4">
                  <c:v>546</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region as</a:t>
            </a:r>
            <a:r>
              <a:rPr lang="en-CA" sz="1200" baseline="0">
                <a:solidFill>
                  <a:sysClr val="windowText" lastClr="000000"/>
                </a:solidFill>
              </a:rPr>
              <a:t> of March 31, 2019 (N=2 395)</a:t>
            </a:r>
            <a:endParaRPr lang="en-CA" sz="1200">
              <a:solidFill>
                <a:sysClr val="windowText" lastClr="000000"/>
              </a:solidFill>
            </a:endParaRP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15720419340646002"/>
                  <c:y val="-0.20741508944775741"/>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19350143370806966"/>
                  <c:y val="0.2577634692215197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1453</c:v>
                </c:pt>
                <c:pt idx="1">
                  <c:v>939</c:v>
                </c:pt>
              </c:numCache>
            </c:numRef>
          </c:val>
        </c:ser>
        <c:dLbls>
          <c:showLegendKey val="0"/>
          <c:showVal val="0"/>
          <c:showCatName val="0"/>
          <c:showSerName val="0"/>
          <c:showPercent val="0"/>
          <c:showBubbleSize val="0"/>
          <c:showLeaderLines val="1"/>
        </c:dLbls>
        <c:firstSliceAng val="9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defRPr sz="1000" b="1">
                <a:solidFill>
                  <a:sysClr val="windowText" lastClr="000000"/>
                </a:solidFill>
              </a:defRPr>
            </a:pPr>
            <a:r>
              <a:rPr lang="en-US" sz="1200" baseline="0">
                <a:solidFill>
                  <a:sysClr val="windowText" lastClr="000000"/>
                </a:solidFill>
              </a:rPr>
              <a:t>occupational</a:t>
            </a:r>
            <a:r>
              <a:rPr lang="en-US" sz="1200">
                <a:solidFill>
                  <a:sysClr val="windowText" lastClr="000000"/>
                </a:solidFill>
              </a:rPr>
              <a:t> group,</a:t>
            </a:r>
          </a:p>
          <a:p>
            <a:pPr>
              <a:defRPr sz="1000" b="1">
                <a:solidFill>
                  <a:sysClr val="windowText" lastClr="000000"/>
                </a:solidFill>
              </a:defRPr>
            </a:pPr>
            <a:r>
              <a:rPr lang="en-US" sz="1200">
                <a:solidFill>
                  <a:sysClr val="windowText" lastClr="000000"/>
                </a:solidFill>
              </a:rPr>
              <a:t> 2018-19 (N=88)</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2030021263378003E-2"/>
          <c:y val="0.41742084594345813"/>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2"/>
              </a:solidFill>
              <a:ln w="6350">
                <a:solidFill>
                  <a:schemeClr val="lt1"/>
                </a:solidFill>
              </a:ln>
              <a:effectLst/>
            </c:spPr>
          </c:dPt>
          <c:dPt>
            <c:idx val="1"/>
            <c:bubble3D val="0"/>
            <c:spPr>
              <a:solidFill>
                <a:schemeClr val="accent1"/>
              </a:solidFill>
              <a:ln w="6350">
                <a:solidFill>
                  <a:schemeClr val="lt1"/>
                </a:solidFill>
              </a:ln>
              <a:effectLst/>
            </c:spPr>
          </c:dPt>
          <c:dPt>
            <c:idx val="2"/>
            <c:bubble3D val="0"/>
            <c:spPr>
              <a:solidFill>
                <a:schemeClr val="accent6"/>
              </a:solidFill>
              <a:ln w="63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Sheet1!$A$2:$A$4</c:f>
              <c:strCache>
                <c:ptCount val="3"/>
                <c:pt idx="0">
                  <c:v>EC</c:v>
                </c:pt>
                <c:pt idx="1">
                  <c:v>AS</c:v>
                </c:pt>
                <c:pt idx="2">
                  <c:v>Other</c:v>
                </c:pt>
              </c:strCache>
            </c:strRef>
          </c:cat>
          <c:val>
            <c:numRef>
              <c:f>Sheet1!$B$2:$B$4</c:f>
              <c:numCache>
                <c:formatCode>General</c:formatCode>
                <c:ptCount val="3"/>
                <c:pt idx="0">
                  <c:v>46</c:v>
                </c:pt>
                <c:pt idx="1">
                  <c:v>18</c:v>
                </c:pt>
                <c:pt idx="2">
                  <c:v>23</c:v>
                </c:pt>
              </c:numCache>
            </c:numRef>
          </c:val>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region</a:t>
            </a:r>
            <a:endParaRPr lang="en-CA" sz="1200">
              <a:solidFill>
                <a:sysClr val="windowText" lastClr="000000"/>
              </a:solidFill>
            </a:endParaRPr>
          </a:p>
        </c:rich>
      </c:tx>
      <c:layout>
        <c:manualLayout>
          <c:xMode val="edge"/>
          <c:yMode val="edge"/>
          <c:x val="0.38853589338432187"/>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0.63</c:v>
                </c:pt>
                <c:pt idx="1">
                  <c:v>0.67</c:v>
                </c:pt>
                <c:pt idx="2">
                  <c:v>0.68</c:v>
                </c:pt>
                <c:pt idx="3">
                  <c:v>0.68</c:v>
                </c:pt>
                <c:pt idx="4">
                  <c:v>0.7</c:v>
                </c:pt>
              </c:numCache>
            </c:numRef>
          </c:val>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0.37</c:v>
                </c:pt>
                <c:pt idx="1">
                  <c:v>0.33</c:v>
                </c:pt>
                <c:pt idx="2">
                  <c:v>0.32</c:v>
                </c:pt>
                <c:pt idx="3">
                  <c:v>0.33</c:v>
                </c:pt>
                <c:pt idx="4">
                  <c:v>0.3</c:v>
                </c:pt>
              </c:numCache>
            </c:numRef>
          </c:val>
        </c:ser>
        <c:dLbls>
          <c:showLegendKey val="0"/>
          <c:showVal val="0"/>
          <c:showCatName val="0"/>
          <c:showSerName val="0"/>
          <c:showPercent val="0"/>
          <c:showBubbleSize val="0"/>
        </c:dLbls>
        <c:gapWidth val="150"/>
        <c:axId val="374636184"/>
        <c:axId val="374632264"/>
      </c:barChart>
      <c:catAx>
        <c:axId val="374636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2264"/>
        <c:crosses val="autoZero"/>
        <c:auto val="1"/>
        <c:lblAlgn val="ctr"/>
        <c:lblOffset val="100"/>
        <c:noMultiLvlLbl val="0"/>
      </c:catAx>
      <c:valAx>
        <c:axId val="37463226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6184"/>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process type</a:t>
            </a:r>
            <a:endParaRPr lang="en-CA" sz="1200">
              <a:solidFill>
                <a:sysClr val="windowText" lastClr="000000"/>
              </a:solidFill>
            </a:endParaRP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51804461942257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877405949257609E-3"/>
                  <c:y val="1.791342025923509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98</c:v>
                </c:pt>
                <c:pt idx="1">
                  <c:v>66</c:v>
                </c:pt>
                <c:pt idx="2">
                  <c:v>82</c:v>
                </c:pt>
                <c:pt idx="3">
                  <c:v>164</c:v>
                </c:pt>
                <c:pt idx="4">
                  <c:v>195</c:v>
                </c:pt>
              </c:numCache>
            </c:numRef>
          </c:val>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2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398622047244094E-2"/>
                  <c:y val="2.09900297358754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197</c:v>
                </c:pt>
                <c:pt idx="1">
                  <c:v>164</c:v>
                </c:pt>
                <c:pt idx="2">
                  <c:v>169</c:v>
                </c:pt>
                <c:pt idx="3">
                  <c:v>218</c:v>
                </c:pt>
                <c:pt idx="4">
                  <c:v>312</c:v>
                </c:pt>
              </c:numCache>
            </c:numRef>
          </c:val>
        </c:ser>
        <c:dLbls>
          <c:showLegendKey val="0"/>
          <c:showVal val="0"/>
          <c:showCatName val="0"/>
          <c:showSerName val="0"/>
          <c:showPercent val="0"/>
          <c:showBubbleSize val="0"/>
        </c:dLbls>
        <c:gapWidth val="150"/>
        <c:axId val="374632656"/>
        <c:axId val="374633048"/>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5.5920685695538042E-2"/>
                  <c:y val="-3.6669934155175096E-2"/>
                </c:manualLayout>
              </c:layout>
              <c:showLegendKey val="0"/>
              <c:showVal val="1"/>
              <c:showCatName val="0"/>
              <c:showSerName val="0"/>
              <c:showPercent val="0"/>
              <c:showBubbleSize val="0"/>
              <c:extLst>
                <c:ext xmlns:c15="http://schemas.microsoft.com/office/drawing/2012/chart" uri="{CE6537A1-D6FC-4f65-9D91-7224C49458BB}">
                  <c15:layout>
                    <c:manualLayout>
                      <c:w val="9.9149442257217835E-2"/>
                      <c:h val="4.8924300304046153E-2"/>
                    </c:manualLayout>
                  </c15:layout>
                </c:ext>
              </c:extLst>
            </c:dLbl>
            <c:dLbl>
              <c:idx val="1"/>
              <c:layout>
                <c:manualLayout>
                  <c:x val="-4.4835411198600177E-2"/>
                  <c:y val="-3.09385325434985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8052274715660605E-2"/>
                  <c:y val="-3.23331850441906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1648348643919506E-2"/>
                  <c:y val="-1.71947458815330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4550524934383198E-2"/>
                  <c:y val="-3.69669682491368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0.33</c:v>
                </c:pt>
                <c:pt idx="1">
                  <c:v>0.28999999999999998</c:v>
                </c:pt>
                <c:pt idx="2">
                  <c:v>0.33</c:v>
                </c:pt>
                <c:pt idx="3">
                  <c:v>0.43</c:v>
                </c:pt>
                <c:pt idx="4">
                  <c:v>0.38</c:v>
                </c:pt>
              </c:numCache>
            </c:numRef>
          </c:val>
          <c:smooth val="0"/>
        </c:ser>
        <c:dLbls>
          <c:showLegendKey val="0"/>
          <c:showVal val="0"/>
          <c:showCatName val="0"/>
          <c:showSerName val="0"/>
          <c:showPercent val="0"/>
          <c:showBubbleSize val="0"/>
        </c:dLbls>
        <c:marker val="1"/>
        <c:smooth val="0"/>
        <c:axId val="374633440"/>
        <c:axId val="374633832"/>
      </c:lineChart>
      <c:catAx>
        <c:axId val="374632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3048"/>
        <c:crosses val="autoZero"/>
        <c:auto val="1"/>
        <c:lblAlgn val="ctr"/>
        <c:lblOffset val="100"/>
        <c:noMultiLvlLbl val="0"/>
      </c:catAx>
      <c:valAx>
        <c:axId val="37463304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2656"/>
        <c:crosses val="autoZero"/>
        <c:crossBetween val="between"/>
      </c:valAx>
      <c:valAx>
        <c:axId val="37463383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3440"/>
        <c:crosses val="max"/>
        <c:crossBetween val="between"/>
      </c:valAx>
      <c:catAx>
        <c:axId val="374633440"/>
        <c:scaling>
          <c:orientation val="minMax"/>
        </c:scaling>
        <c:delete val="1"/>
        <c:axPos val="b"/>
        <c:numFmt formatCode="General" sourceLinked="1"/>
        <c:majorTickMark val="out"/>
        <c:minorTickMark val="none"/>
        <c:tickLblPos val="nextTo"/>
        <c:crossAx val="374633832"/>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appointment type</a:t>
            </a:r>
            <a:endParaRPr lang="en-CA"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343E-3"/>
                  <c:y val="2.178526145770232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111111111111162E-2"/>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6572E-3"/>
                  <c:y val="1.568019382192610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(N=1 016)</c:v>
                </c:pt>
                <c:pt idx="1">
                  <c:v>2015-16
(N=1 037)</c:v>
                </c:pt>
                <c:pt idx="2">
                  <c:v>2016-17 
(N=1 171)</c:v>
                </c:pt>
                <c:pt idx="3">
                  <c:v>2017-18
(N=1 095)</c:v>
                </c:pt>
                <c:pt idx="4">
                  <c:v>2018-19
(N=1 383)</c:v>
                </c:pt>
              </c:strCache>
            </c:strRef>
          </c:cat>
          <c:val>
            <c:numRef>
              <c:f>Sheet1!$B$3:$B$7</c:f>
              <c:numCache>
                <c:formatCode>#\ ###</c:formatCode>
                <c:ptCount val="5"/>
                <c:pt idx="0">
                  <c:v>106</c:v>
                </c:pt>
                <c:pt idx="1">
                  <c:v>136</c:v>
                </c:pt>
                <c:pt idx="2">
                  <c:v>164</c:v>
                </c:pt>
                <c:pt idx="3">
                  <c:v>193</c:v>
                </c:pt>
                <c:pt idx="4">
                  <c:v>242</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809E-3"/>
                  <c:y val="1.15776297193620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1.9417726630325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17601453664445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5.4754694124772862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(N=1 016)</c:v>
                </c:pt>
                <c:pt idx="1">
                  <c:v>2015-16
(N=1 037)</c:v>
                </c:pt>
                <c:pt idx="2">
                  <c:v>2016-17 
(N=1 171)</c:v>
                </c:pt>
                <c:pt idx="3">
                  <c:v>2017-18
(N=1 095)</c:v>
                </c:pt>
                <c:pt idx="4">
                  <c:v>2018-19
(N=1 383)</c:v>
                </c:pt>
              </c:strCache>
            </c:strRef>
          </c:cat>
          <c:val>
            <c:numRef>
              <c:f>Sheet1!$C$3:$C$7</c:f>
              <c:numCache>
                <c:formatCode>#\ ###</c:formatCode>
                <c:ptCount val="5"/>
                <c:pt idx="0">
                  <c:v>134</c:v>
                </c:pt>
                <c:pt idx="1">
                  <c:v>183</c:v>
                </c:pt>
                <c:pt idx="2">
                  <c:v>192</c:v>
                </c:pt>
                <c:pt idx="3">
                  <c:v>198</c:v>
                </c:pt>
                <c:pt idx="4">
                  <c:v>230</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(N=1 016)</c:v>
                </c:pt>
                <c:pt idx="1">
                  <c:v>2015-16
(N=1 037)</c:v>
                </c:pt>
                <c:pt idx="2">
                  <c:v>2016-17 
(N=1 171)</c:v>
                </c:pt>
                <c:pt idx="3">
                  <c:v>2017-18
(N=1 095)</c:v>
                </c:pt>
                <c:pt idx="4">
                  <c:v>2018-19
(N=1 383)</c:v>
                </c:pt>
              </c:strCache>
            </c:strRef>
          </c:cat>
          <c:val>
            <c:numRef>
              <c:f>Sheet1!$D$3:$D$7</c:f>
              <c:numCache>
                <c:formatCode>#\ ###</c:formatCode>
                <c:ptCount val="5"/>
                <c:pt idx="0">
                  <c:v>547</c:v>
                </c:pt>
                <c:pt idx="1">
                  <c:v>571</c:v>
                </c:pt>
                <c:pt idx="2">
                  <c:v>672</c:v>
                </c:pt>
                <c:pt idx="3">
                  <c:v>582</c:v>
                </c:pt>
                <c:pt idx="4">
                  <c:v>728</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06953361599030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285214348206474E-4"/>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6474E-4"/>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(N=1 016)</c:v>
                </c:pt>
                <c:pt idx="1">
                  <c:v>2015-16
(N=1 037)</c:v>
                </c:pt>
                <c:pt idx="2">
                  <c:v>2016-17 
(N=1 171)</c:v>
                </c:pt>
                <c:pt idx="3">
                  <c:v>2017-18
(N=1 095)</c:v>
                </c:pt>
                <c:pt idx="4">
                  <c:v>2018-19
(N=1 383)</c:v>
                </c:pt>
              </c:strCache>
            </c:strRef>
          </c:cat>
          <c:val>
            <c:numRef>
              <c:f>Sheet1!$E$3:$E$7</c:f>
              <c:numCache>
                <c:formatCode>#\ ###</c:formatCode>
                <c:ptCount val="5"/>
                <c:pt idx="0">
                  <c:v>229</c:v>
                </c:pt>
                <c:pt idx="1">
                  <c:v>147</c:v>
                </c:pt>
                <c:pt idx="2">
                  <c:v>143</c:v>
                </c:pt>
                <c:pt idx="3">
                  <c:v>122</c:v>
                </c:pt>
                <c:pt idx="4">
                  <c:v>183</c:v>
                </c:pt>
              </c:numCache>
            </c:numRef>
          </c:val>
        </c:ser>
        <c:dLbls>
          <c:showLegendKey val="0"/>
          <c:showVal val="0"/>
          <c:showCatName val="0"/>
          <c:showSerName val="0"/>
          <c:showPercent val="0"/>
          <c:showBubbleSize val="0"/>
        </c:dLbls>
        <c:gapWidth val="150"/>
        <c:shape val="box"/>
        <c:axId val="374636576"/>
        <c:axId val="374634616"/>
        <c:axId val="0"/>
      </c:bar3DChart>
      <c:catAx>
        <c:axId val="374636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4616"/>
        <c:crosses val="autoZero"/>
        <c:auto val="0"/>
        <c:lblAlgn val="ctr"/>
        <c:lblOffset val="100"/>
        <c:noMultiLvlLbl val="0"/>
      </c:catAx>
      <c:valAx>
        <c:axId val="37463461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6576"/>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Staffing by</a:t>
            </a:r>
            <a:r>
              <a:rPr lang="en-CA" sz="1200" baseline="0">
                <a:solidFill>
                  <a:sysClr val="windowText" lastClr="000000"/>
                </a:solidFill>
              </a:rPr>
              <a:t> tenure</a:t>
            </a:r>
            <a:endParaRPr lang="en-CA"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(N=1 016)</c:v>
                </c:pt>
                <c:pt idx="1">
                  <c:v>2015-16
 (N=1 037)</c:v>
                </c:pt>
                <c:pt idx="2">
                  <c:v>2016-17
 (N=1 171)</c:v>
                </c:pt>
                <c:pt idx="3">
                  <c:v>2017-18
 (N=1 095)</c:v>
                </c:pt>
                <c:pt idx="4">
                  <c:v>2018-19
 (N=1 383)</c:v>
                </c:pt>
              </c:strCache>
            </c:strRef>
          </c:cat>
          <c:val>
            <c:numRef>
              <c:f>Sheet1!$B$2:$B$6</c:f>
              <c:numCache>
                <c:formatCode>#\ ###</c:formatCode>
                <c:ptCount val="5"/>
                <c:pt idx="0">
                  <c:v>474</c:v>
                </c:pt>
                <c:pt idx="1">
                  <c:v>460</c:v>
                </c:pt>
                <c:pt idx="2">
                  <c:v>511</c:v>
                </c:pt>
                <c:pt idx="3">
                  <c:v>550</c:v>
                </c:pt>
                <c:pt idx="4">
                  <c:v>717</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417726630324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(N=1 016)</c:v>
                </c:pt>
                <c:pt idx="1">
                  <c:v>2015-16
 (N=1 037)</c:v>
                </c:pt>
                <c:pt idx="2">
                  <c:v>2016-17
 (N=1 171)</c:v>
                </c:pt>
                <c:pt idx="3">
                  <c:v>2017-18
 (N=1 095)</c:v>
                </c:pt>
                <c:pt idx="4">
                  <c:v>2018-19
 (N=1 383)</c:v>
                </c:pt>
              </c:strCache>
            </c:strRef>
          </c:cat>
          <c:val>
            <c:numRef>
              <c:f>Sheet1!$C$2:$C$6</c:f>
              <c:numCache>
                <c:formatCode>#\ ###</c:formatCode>
                <c:ptCount val="5"/>
                <c:pt idx="0">
                  <c:v>111</c:v>
                </c:pt>
                <c:pt idx="1">
                  <c:v>83</c:v>
                </c:pt>
                <c:pt idx="2">
                  <c:v>111</c:v>
                </c:pt>
                <c:pt idx="3">
                  <c:v>114</c:v>
                </c:pt>
                <c:pt idx="4">
                  <c:v>160</c:v>
                </c:pt>
              </c:numCache>
            </c:numRef>
          </c:val>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0330304865737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(N=1 016)</c:v>
                </c:pt>
                <c:pt idx="1">
                  <c:v>2015-16
 (N=1 037)</c:v>
                </c:pt>
                <c:pt idx="2">
                  <c:v>2016-17
 (N=1 171)</c:v>
                </c:pt>
                <c:pt idx="3">
                  <c:v>2017-18
 (N=1 095)</c:v>
                </c:pt>
                <c:pt idx="4">
                  <c:v>2018-19
 (N=1 383)</c:v>
                </c:pt>
              </c:strCache>
            </c:strRef>
          </c:cat>
          <c:val>
            <c:numRef>
              <c:f>Sheet1!$D$2:$D$6</c:f>
              <c:numCache>
                <c:formatCode>#\ ###</c:formatCode>
                <c:ptCount val="5"/>
                <c:pt idx="0">
                  <c:v>196</c:v>
                </c:pt>
                <c:pt idx="1">
                  <c:v>228</c:v>
                </c:pt>
                <c:pt idx="2">
                  <c:v>224</c:v>
                </c:pt>
                <c:pt idx="3">
                  <c:v>204</c:v>
                </c:pt>
                <c:pt idx="4">
                  <c:v>253</c:v>
                </c:pt>
              </c:numCache>
            </c:numRef>
          </c:val>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4534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(N=1 016)</c:v>
                </c:pt>
                <c:pt idx="1">
                  <c:v>2015-16
 (N=1 037)</c:v>
                </c:pt>
                <c:pt idx="2">
                  <c:v>2016-17
 (N=1 171)</c:v>
                </c:pt>
                <c:pt idx="3">
                  <c:v>2017-18
 (N=1 095)</c:v>
                </c:pt>
                <c:pt idx="4">
                  <c:v>2018-19
 (N=1 383)</c:v>
                </c:pt>
              </c:strCache>
            </c:strRef>
          </c:cat>
          <c:val>
            <c:numRef>
              <c:f>Sheet1!$E$2:$E$6</c:f>
              <c:numCache>
                <c:formatCode>#\ ###</c:formatCode>
                <c:ptCount val="5"/>
                <c:pt idx="0">
                  <c:v>235</c:v>
                </c:pt>
                <c:pt idx="1">
                  <c:v>266</c:v>
                </c:pt>
                <c:pt idx="2">
                  <c:v>325</c:v>
                </c:pt>
                <c:pt idx="3">
                  <c:v>227</c:v>
                </c:pt>
                <c:pt idx="4">
                  <c:v>253</c:v>
                </c:pt>
              </c:numCache>
            </c:numRef>
          </c:val>
        </c:ser>
        <c:dLbls>
          <c:showLegendKey val="0"/>
          <c:showVal val="1"/>
          <c:showCatName val="0"/>
          <c:showSerName val="0"/>
          <c:showPercent val="0"/>
          <c:showBubbleSize val="0"/>
        </c:dLbls>
        <c:gapWidth val="150"/>
        <c:shape val="box"/>
        <c:axId val="374631872"/>
        <c:axId val="374636968"/>
        <c:axId val="0"/>
      </c:bar3DChart>
      <c:catAx>
        <c:axId val="374631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6968"/>
        <c:crosses val="autoZero"/>
        <c:auto val="1"/>
        <c:lblAlgn val="ctr"/>
        <c:lblOffset val="100"/>
        <c:noMultiLvlLbl val="0"/>
      </c:catAx>
      <c:valAx>
        <c:axId val="37463696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631872"/>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371</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3</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-Includes only appointments where the staffing process type is known </a:t>
          </a:r>
          <a:r>
            <a:rPr lang="en-CA" sz="850" baseline="0">
              <a:solidFill>
                <a:sysClr val="windowText" lastClr="000000"/>
              </a:solidFill>
            </a:rPr>
            <a:t>(58% to 82</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0.31172</cdr:x>
      <cdr:y>0.20988</cdr:y>
    </cdr:from>
    <cdr:to>
      <cdr:x>0.31311</cdr:x>
      <cdr:y>0.7599</cdr:y>
    </cdr:to>
    <cdr:cxnSp macro="">
      <cdr:nvCxnSpPr>
        <cdr:cNvPr id="5" name="Straight Connector 4" descr="Median line fof the specified organization's internal time to staff graphic"/>
        <cdr:cNvCxnSpPr/>
      </cdr:nvCxnSpPr>
      <cdr:spPr>
        <a:xfrm xmlns:a="http://schemas.openxmlformats.org/drawingml/2006/main" flipV="1">
          <a:off x="1371759" y="581730"/>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4DFD-18BF-4D3A-85FD-36237680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1354</TotalTime>
  <Pages>28</Pages>
  <Words>4355</Words>
  <Characters>24826</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102</cp:revision>
  <dcterms:created xsi:type="dcterms:W3CDTF">2020-01-31T15:18:00Z</dcterms:created>
  <dcterms:modified xsi:type="dcterms:W3CDTF">2021-01-26T20:02:00Z</dcterms:modified>
</cp:coreProperties>
</file>