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F6B9" w14:textId="61254071" w:rsidR="00B739DC" w:rsidRPr="00D5487B" w:rsidRDefault="00557C45" w:rsidP="00387F3B">
      <w:pPr>
        <w:pStyle w:val="Titre"/>
        <w:spacing w:before="0" w:line="240" w:lineRule="auto"/>
        <w:rPr>
          <w:bCs/>
        </w:rPr>
      </w:pPr>
      <w:bookmarkStart w:id="0" w:name="_GoBack"/>
      <w:bookmarkEnd w:id="0"/>
      <w:r>
        <w:t>R</w:t>
      </w:r>
      <w:r w:rsidR="00A35947">
        <w:t xml:space="preserve">éunion </w:t>
      </w:r>
      <w:r w:rsidR="00387F3B" w:rsidRPr="00D5487B">
        <w:t>du président avec</w:t>
      </w:r>
      <w:r w:rsidR="00387F3B" w:rsidRPr="00D5487B">
        <w:br/>
      </w:r>
      <w:r w:rsidR="00B739DC" w:rsidRPr="00D5487B">
        <w:t xml:space="preserve">Mme Kristina </w:t>
      </w:r>
      <w:proofErr w:type="spellStart"/>
      <w:r w:rsidR="00B739DC" w:rsidRPr="00D5487B">
        <w:t>Namiesniowski</w:t>
      </w:r>
      <w:proofErr w:type="spellEnd"/>
      <w:r w:rsidR="00B739DC" w:rsidRPr="00D5487B">
        <w:t>, Présidente</w:t>
      </w:r>
      <w:r w:rsidR="00104FD4" w:rsidRPr="00D5487B">
        <w:t xml:space="preserve"> de l’Agence de santé publique du Canada</w:t>
      </w:r>
      <w:r w:rsidR="00B739DC" w:rsidRPr="00D5487B">
        <w:br/>
        <w:t>13 septembre, 2019</w:t>
      </w:r>
    </w:p>
    <w:p w14:paraId="6BCBE727" w14:textId="67FAB944" w:rsidR="00B739DC" w:rsidRPr="00D5487B" w:rsidRDefault="00B739DC" w:rsidP="00624CD3">
      <w:pPr>
        <w:pStyle w:val="Titre1"/>
        <w:spacing w:after="120"/>
        <w:rPr>
          <w:lang w:val="fr-CA"/>
        </w:rPr>
      </w:pPr>
      <w:r w:rsidRPr="00D5487B">
        <w:rPr>
          <w:lang w:val="fr-CA"/>
        </w:rPr>
        <w:t>Introduction</w:t>
      </w:r>
    </w:p>
    <w:p w14:paraId="419011E1" w14:textId="77777777" w:rsidR="00B739DC" w:rsidRPr="00D5487B" w:rsidRDefault="00B739DC" w:rsidP="004B6AD3">
      <w:pPr>
        <w:pStyle w:val="Titre2"/>
        <w:spacing w:after="120"/>
        <w:rPr>
          <w:lang w:val="fr-CA"/>
        </w:rPr>
      </w:pPr>
      <w:r w:rsidRPr="00D5487B">
        <w:rPr>
          <w:lang w:val="fr-CA"/>
        </w:rPr>
        <w:t>Administratrice générale</w:t>
      </w:r>
    </w:p>
    <w:p w14:paraId="68EDB491" w14:textId="77777777" w:rsidR="00B739DC" w:rsidRPr="00D5487B" w:rsidRDefault="00B739DC" w:rsidP="00624CD3">
      <w:pPr>
        <w:pStyle w:val="Sansinterligne"/>
        <w:spacing w:after="120"/>
        <w:rPr>
          <w:rFonts w:ascii="Segoe UI Semilight" w:hAnsi="Segoe UI Semilight" w:cs="Segoe UI Semilight"/>
          <w:sz w:val="22"/>
          <w:szCs w:val="22"/>
          <w:lang w:val="fr-CA"/>
        </w:rPr>
      </w:pPr>
      <w:r w:rsidRPr="00D5487B">
        <w:rPr>
          <w:rFonts w:ascii="Segoe UI Semilight" w:hAnsi="Segoe UI Semilight" w:cs="Segoe UI Semilight"/>
          <w:sz w:val="22"/>
          <w:lang w:val="fr-CA"/>
        </w:rPr>
        <w:t xml:space="preserve">Mme Kristina </w:t>
      </w:r>
      <w:proofErr w:type="spellStart"/>
      <w:r w:rsidRPr="00D5487B">
        <w:rPr>
          <w:rFonts w:ascii="Segoe UI Semilight" w:hAnsi="Segoe UI Semilight" w:cs="Segoe UI Semilight"/>
          <w:sz w:val="22"/>
          <w:lang w:val="fr-CA"/>
        </w:rPr>
        <w:t>Namiesniowski</w:t>
      </w:r>
      <w:proofErr w:type="spellEnd"/>
      <w:r w:rsidRPr="00D5487B">
        <w:rPr>
          <w:rFonts w:ascii="Segoe UI Semilight" w:hAnsi="Segoe UI Semilight" w:cs="Segoe UI Semilight"/>
          <w:sz w:val="22"/>
          <w:lang w:val="fr-CA"/>
        </w:rPr>
        <w:t xml:space="preserve"> a été nommée présidente de l’Agence de la santé publique du Canada (ASPC) le 6 mai 2019.</w:t>
      </w:r>
    </w:p>
    <w:p w14:paraId="64BA3422" w14:textId="56145BD6" w:rsidR="00063516" w:rsidRPr="00951590" w:rsidRDefault="00B739DC" w:rsidP="00063516">
      <w:pPr>
        <w:pStyle w:val="Sansinterligne"/>
        <w:spacing w:after="120"/>
        <w:rPr>
          <w:rFonts w:asciiTheme="minorHAnsi" w:hAnsiTheme="minorHAnsi" w:cstheme="minorHAnsi"/>
          <w:sz w:val="22"/>
          <w:szCs w:val="22"/>
          <w:lang w:val="fr-CA"/>
        </w:rPr>
      </w:pPr>
      <w:r w:rsidRPr="00D5487B">
        <w:rPr>
          <w:rFonts w:ascii="Segoe UI Semilight" w:hAnsi="Segoe UI Semilight" w:cs="Segoe UI Semilight"/>
          <w:sz w:val="22"/>
          <w:lang w:val="fr-CA"/>
        </w:rPr>
        <w:t>Puisque Mme </w:t>
      </w:r>
      <w:proofErr w:type="spellStart"/>
      <w:r w:rsidRPr="00D5487B">
        <w:rPr>
          <w:rFonts w:ascii="Segoe UI Semilight" w:hAnsi="Segoe UI Semilight" w:cs="Segoe UI Semilight"/>
          <w:sz w:val="22"/>
          <w:lang w:val="fr-CA"/>
        </w:rPr>
        <w:t>Namiesniowski</w:t>
      </w:r>
      <w:proofErr w:type="spellEnd"/>
      <w:r w:rsidR="00063516">
        <w:rPr>
          <w:rFonts w:asciiTheme="minorHAnsi" w:hAnsiTheme="minorHAnsi" w:cstheme="minorHAnsi"/>
          <w:sz w:val="22"/>
          <w:szCs w:val="22"/>
          <w:lang w:val="fr-CA"/>
        </w:rPr>
        <w:t xml:space="preserve"> </w:t>
      </w:r>
      <w:r w:rsidR="00063516" w:rsidRPr="00951590">
        <w:rPr>
          <w:rFonts w:asciiTheme="minorHAnsi" w:hAnsiTheme="minorHAnsi" w:cstheme="minorHAnsi"/>
          <w:sz w:val="22"/>
          <w:szCs w:val="22"/>
          <w:lang w:val="fr-CA"/>
        </w:rPr>
        <w:t>exerce l’autorité de la Commission de la fonction publique (CFP) pour la première fois en tant qu’A</w:t>
      </w:r>
      <w:r w:rsidR="00063516">
        <w:rPr>
          <w:rFonts w:asciiTheme="minorHAnsi" w:hAnsiTheme="minorHAnsi" w:cstheme="minorHAnsi"/>
          <w:sz w:val="22"/>
          <w:szCs w:val="22"/>
          <w:lang w:val="fr-CA"/>
        </w:rPr>
        <w:t xml:space="preserve">dministratrice </w:t>
      </w:r>
      <w:r w:rsidR="00063516" w:rsidRPr="00951590">
        <w:rPr>
          <w:rFonts w:asciiTheme="minorHAnsi" w:hAnsiTheme="minorHAnsi" w:cstheme="minorHAnsi"/>
          <w:sz w:val="22"/>
          <w:szCs w:val="22"/>
          <w:lang w:val="fr-CA"/>
        </w:rPr>
        <w:t>G</w:t>
      </w:r>
      <w:r w:rsidR="00063516">
        <w:rPr>
          <w:rFonts w:asciiTheme="minorHAnsi" w:hAnsiTheme="minorHAnsi" w:cstheme="minorHAnsi"/>
          <w:sz w:val="22"/>
          <w:szCs w:val="22"/>
          <w:lang w:val="fr-CA"/>
        </w:rPr>
        <w:t>énérale</w:t>
      </w:r>
      <w:r w:rsidR="00063516" w:rsidRPr="00951590">
        <w:rPr>
          <w:rFonts w:asciiTheme="minorHAnsi" w:hAnsiTheme="minorHAnsi" w:cstheme="minorHAnsi"/>
          <w:sz w:val="22"/>
          <w:szCs w:val="22"/>
          <w:lang w:val="fr-CA"/>
        </w:rPr>
        <w:t xml:space="preserve">.  Une copie du document Faits Saillants de la Nouvelle orientation en dotation (NOD) pour les AG est jointe à </w:t>
      </w:r>
      <w:hyperlink w:anchor="AnnexA" w:history="1">
        <w:r w:rsidR="00063516" w:rsidRPr="00951590">
          <w:rPr>
            <w:rStyle w:val="Lienhypertexte"/>
            <w:rFonts w:asciiTheme="minorHAnsi" w:hAnsiTheme="minorHAnsi" w:cstheme="minorHAnsi"/>
            <w:sz w:val="22"/>
            <w:szCs w:val="22"/>
            <w:lang w:val="fr-CA"/>
          </w:rPr>
          <w:t>l’annexe A</w:t>
        </w:r>
      </w:hyperlink>
      <w:r w:rsidR="00063516" w:rsidRPr="00951590">
        <w:rPr>
          <w:rFonts w:asciiTheme="minorHAnsi" w:hAnsiTheme="minorHAnsi" w:cstheme="minorHAnsi"/>
          <w:sz w:val="22"/>
          <w:szCs w:val="22"/>
          <w:u w:val="single"/>
          <w:lang w:val="fr-CA"/>
        </w:rPr>
        <w:t>.</w:t>
      </w:r>
    </w:p>
    <w:p w14:paraId="56BD387F" w14:textId="77777777" w:rsidR="0031519E" w:rsidRPr="00D5487B" w:rsidRDefault="0031519E" w:rsidP="00624CD3">
      <w:pPr>
        <w:pStyle w:val="Titre3"/>
        <w:spacing w:after="120"/>
        <w:rPr>
          <w:lang w:val="fr-CA"/>
        </w:rPr>
      </w:pPr>
      <w:r w:rsidRPr="00D5487B">
        <w:rPr>
          <w:lang w:val="fr-CA"/>
        </w:rPr>
        <w:t xml:space="preserve">Sous-ministres champions des relations universitaires </w:t>
      </w:r>
    </w:p>
    <w:p w14:paraId="26214A01" w14:textId="77777777" w:rsidR="00624CD3" w:rsidRPr="00D5487B" w:rsidRDefault="00054758" w:rsidP="00624CD3">
      <w:pPr>
        <w:pStyle w:val="Sansinterligne"/>
        <w:rPr>
          <w:rFonts w:ascii="Segoe UI Semilight" w:hAnsi="Segoe UI Semilight" w:cs="Segoe UI Semilight"/>
          <w:sz w:val="22"/>
          <w:lang w:val="fr-CA"/>
        </w:rPr>
      </w:pPr>
      <w:r w:rsidRPr="00D5487B">
        <w:rPr>
          <w:rFonts w:ascii="Segoe UI Semilight" w:hAnsi="Segoe UI Semilight" w:cs="Segoe UI Semilight"/>
          <w:sz w:val="22"/>
          <w:lang w:val="fr-CA"/>
        </w:rPr>
        <w:t xml:space="preserve">Mme </w:t>
      </w:r>
      <w:proofErr w:type="spellStart"/>
      <w:r w:rsidRPr="00D5487B">
        <w:rPr>
          <w:rFonts w:ascii="Segoe UI Semilight" w:hAnsi="Segoe UI Semilight" w:cs="Segoe UI Semilight"/>
          <w:sz w:val="22"/>
          <w:lang w:val="fr-CA"/>
        </w:rPr>
        <w:t>Namiesniowski</w:t>
      </w:r>
      <w:proofErr w:type="spellEnd"/>
      <w:r w:rsidRPr="00D5487B">
        <w:rPr>
          <w:rFonts w:ascii="Segoe UI Semilight" w:hAnsi="Segoe UI Semilight" w:cs="Segoe UI Semilight"/>
          <w:sz w:val="22"/>
          <w:lang w:val="fr-CA"/>
        </w:rPr>
        <w:t xml:space="preserve"> n’est pas un sous-ministre champion/ne des relations universitaires.</w:t>
      </w:r>
    </w:p>
    <w:p w14:paraId="341F8747" w14:textId="6620BFA9" w:rsidR="00B739DC" w:rsidRPr="00D5487B" w:rsidRDefault="00B739DC" w:rsidP="00624CD3">
      <w:pPr>
        <w:pStyle w:val="Titre1"/>
        <w:spacing w:after="120"/>
        <w:rPr>
          <w:lang w:val="fr-CA"/>
        </w:rPr>
      </w:pPr>
      <w:r w:rsidRPr="00D5487B">
        <w:rPr>
          <w:lang w:val="fr-CA"/>
        </w:rPr>
        <w:t>Contexte organisationnel</w:t>
      </w:r>
    </w:p>
    <w:p w14:paraId="5A48D04D" w14:textId="77777777" w:rsidR="00B739DC" w:rsidRPr="00D5487B" w:rsidRDefault="00B739DC" w:rsidP="004B6AD3">
      <w:pPr>
        <w:pStyle w:val="Titre2"/>
        <w:spacing w:after="120"/>
        <w:rPr>
          <w:u w:val="single"/>
          <w:lang w:val="fr-CA"/>
        </w:rPr>
      </w:pPr>
      <w:r w:rsidRPr="00D5487B">
        <w:rPr>
          <w:lang w:val="fr-CA"/>
        </w:rPr>
        <w:t>Mandat</w:t>
      </w:r>
    </w:p>
    <w:p w14:paraId="66FF3E06" w14:textId="77777777" w:rsidR="00B739DC" w:rsidRPr="00D5487B" w:rsidRDefault="00B739DC" w:rsidP="00B739DC">
      <w:pPr>
        <w:pStyle w:val="Sansinterligne"/>
        <w:rPr>
          <w:rFonts w:asciiTheme="minorHAnsi" w:hAnsiTheme="minorHAnsi" w:cstheme="minorHAnsi"/>
          <w:color w:val="000000"/>
          <w:sz w:val="22"/>
          <w:lang w:val="fr-CA"/>
        </w:rPr>
      </w:pPr>
      <w:r w:rsidRPr="00D5487B">
        <w:rPr>
          <w:rFonts w:asciiTheme="minorHAnsi" w:hAnsiTheme="minorHAnsi" w:cstheme="minorHAnsi"/>
          <w:color w:val="000000"/>
          <w:sz w:val="22"/>
          <w:lang w:val="fr-CA"/>
        </w:rPr>
        <w:t xml:space="preserve">L’ASPC protège la santé et la sécurité de tous les Canadiens. Ses activités se concentrent sur la prévention des maladies chroniques telles le cancer et les maladies cardiovasculaires, la prévention des blessures et les interventions d’urgence en santé publique et en cas d’éclosions de maladies infectieuses. L’ASPC est responsable de la préparation et de l’intervention en cas d’urgence, de la publication des avis de santé publique, de l’immunisation et des vaccins. Par l’intermédiaire de ses services, de ses programmes et de ses activités de recherche, elle vise à améliorer l’état de santé des Canadiens, à réduire les inégalités sur le plan de la santé et à renforcer la capacité de réaliser et de soutenir des activités de santé publique. Dans le cadre de ses activités de programme, l’ASPC utilise des subventions et des contributions pour financer des organismes communautaires et bénévoles à but non lucratif en vue de soutenir les politiques et les priorités du gouvernement. </w:t>
      </w:r>
    </w:p>
    <w:p w14:paraId="68FB65F0" w14:textId="50829008" w:rsidR="00B739DC" w:rsidRPr="00D5487B" w:rsidRDefault="00A94564" w:rsidP="00991C23">
      <w:pPr>
        <w:pStyle w:val="Titre2"/>
        <w:spacing w:after="120"/>
        <w:rPr>
          <w:u w:val="single"/>
          <w:lang w:val="fr-CA"/>
        </w:rPr>
      </w:pPr>
      <w:r w:rsidRPr="00D5487B">
        <w:rPr>
          <w:lang w:val="fr-CA"/>
        </w:rPr>
        <w:t>Défis</w:t>
      </w:r>
    </w:p>
    <w:p w14:paraId="1DB76D39" w14:textId="77777777" w:rsidR="00B739DC" w:rsidRPr="00D5487B" w:rsidRDefault="00B739DC" w:rsidP="00991C23">
      <w:pPr>
        <w:pStyle w:val="Sansinterligne"/>
        <w:spacing w:after="120"/>
        <w:rPr>
          <w:rFonts w:asciiTheme="minorHAnsi" w:hAnsiTheme="minorHAnsi" w:cstheme="minorHAnsi"/>
          <w:color w:val="000000"/>
          <w:sz w:val="22"/>
          <w:szCs w:val="22"/>
          <w:lang w:val="fr-CA"/>
        </w:rPr>
      </w:pPr>
      <w:r w:rsidRPr="00D5487B">
        <w:rPr>
          <w:rFonts w:asciiTheme="minorHAnsi" w:hAnsiTheme="minorHAnsi" w:cstheme="minorHAnsi"/>
          <w:color w:val="000000"/>
          <w:sz w:val="22"/>
          <w:lang w:val="fr-CA"/>
        </w:rPr>
        <w:t>Dans son Plan ministériel 2019-2020, l’ASPC met l’accent sur trois éléments de santé publique :</w:t>
      </w:r>
      <w:r w:rsidRPr="00D5487B">
        <w:rPr>
          <w:rFonts w:asciiTheme="minorHAnsi" w:hAnsiTheme="minorHAnsi" w:cstheme="minorHAnsi"/>
          <w:lang w:val="fr-CA"/>
        </w:rPr>
        <w:t xml:space="preserve"> </w:t>
      </w:r>
      <w:r w:rsidRPr="00D5487B">
        <w:rPr>
          <w:rFonts w:asciiTheme="minorHAnsi" w:hAnsiTheme="minorHAnsi" w:cstheme="minorHAnsi"/>
          <w:color w:val="000000"/>
          <w:sz w:val="22"/>
          <w:lang w:val="fr-CA"/>
        </w:rPr>
        <w:t xml:space="preserve">la promotion de la santé et la prévention des maladies chroniques; la prévention et le contrôle des maladies infectieuses; et la sécurité en matière de santé. </w:t>
      </w:r>
    </w:p>
    <w:p w14:paraId="316ADEF9" w14:textId="77777777" w:rsidR="00B739DC" w:rsidRPr="00D5487B" w:rsidRDefault="00B739DC" w:rsidP="00991C23">
      <w:pPr>
        <w:pStyle w:val="Sansinterligne"/>
        <w:spacing w:after="120"/>
        <w:rPr>
          <w:rFonts w:asciiTheme="minorHAnsi" w:hAnsiTheme="minorHAnsi" w:cstheme="minorHAnsi"/>
          <w:color w:val="000000"/>
          <w:sz w:val="22"/>
          <w:szCs w:val="22"/>
          <w:lang w:val="fr-CA"/>
        </w:rPr>
      </w:pPr>
      <w:r w:rsidRPr="00D5487B">
        <w:rPr>
          <w:rFonts w:asciiTheme="minorHAnsi" w:hAnsiTheme="minorHAnsi" w:cstheme="minorHAnsi"/>
          <w:color w:val="000000"/>
          <w:sz w:val="22"/>
          <w:lang w:val="fr-CA"/>
        </w:rPr>
        <w:t xml:space="preserve">Pour atteindre les résultats escomptés, l’organisme cherche à attirer et à maintenir en poste les meilleurs candidats du domaine médical et scientifique. Comme l’ASPC doit faire face à la concurrence d’autres gouvernements et du secteur privé, elle révise constamment ses pratiques </w:t>
      </w:r>
      <w:r w:rsidRPr="00D5487B">
        <w:rPr>
          <w:rFonts w:asciiTheme="minorHAnsi" w:hAnsiTheme="minorHAnsi" w:cstheme="minorHAnsi"/>
          <w:color w:val="000000"/>
          <w:sz w:val="22"/>
          <w:lang w:val="fr-CA"/>
        </w:rPr>
        <w:lastRenderedPageBreak/>
        <w:t>d’embauche et de promotion. Les méthodes de recrutement classiques s’étant avérées peu efficaces auprès des candidats les plus prometteurs, l’organisme envisage d’adopter des processus de demande innovants et simplifiés, comme il est d’usage parmi les employeurs des domaines scientifique et médical.</w:t>
      </w:r>
    </w:p>
    <w:p w14:paraId="4261B088" w14:textId="77777777" w:rsidR="00B739DC" w:rsidRPr="00D5487B" w:rsidRDefault="00B739DC" w:rsidP="00991C23">
      <w:pPr>
        <w:pStyle w:val="Sansinterligne"/>
        <w:spacing w:after="120"/>
        <w:rPr>
          <w:rFonts w:asciiTheme="minorHAnsi" w:hAnsiTheme="minorHAnsi" w:cstheme="minorHAnsi"/>
          <w:color w:val="000000"/>
          <w:sz w:val="22"/>
          <w:szCs w:val="22"/>
          <w:lang w:val="fr-CA"/>
        </w:rPr>
      </w:pPr>
      <w:r w:rsidRPr="00D5487B">
        <w:rPr>
          <w:rFonts w:asciiTheme="minorHAnsi" w:hAnsiTheme="minorHAnsi" w:cstheme="minorHAnsi"/>
          <w:color w:val="000000"/>
          <w:sz w:val="22"/>
          <w:lang w:val="fr-CA"/>
        </w:rPr>
        <w:t>L’ASPC continuera d’examiner le niveau de ressources qu’exigent les initiatives prioritaires. Elle ne prévoit pas mener d’initiative de dotation d’envergure ou d’initiatives visant des groupes particuliers.</w:t>
      </w:r>
    </w:p>
    <w:p w14:paraId="7C89C974" w14:textId="4D02689E" w:rsidR="00E674BE" w:rsidRPr="00D5487B" w:rsidRDefault="00B739DC" w:rsidP="00991C23">
      <w:pPr>
        <w:pStyle w:val="Sansinterligne"/>
        <w:spacing w:after="120"/>
        <w:rPr>
          <w:rFonts w:asciiTheme="minorHAnsi" w:hAnsiTheme="minorHAnsi" w:cstheme="minorHAnsi"/>
          <w:color w:val="000000"/>
          <w:sz w:val="22"/>
          <w:lang w:val="fr-CA"/>
        </w:rPr>
      </w:pPr>
      <w:r w:rsidRPr="00D5487B">
        <w:rPr>
          <w:rFonts w:asciiTheme="minorHAnsi" w:hAnsiTheme="minorHAnsi" w:cstheme="minorHAnsi"/>
          <w:color w:val="000000"/>
          <w:sz w:val="22"/>
          <w:lang w:val="fr-CA"/>
        </w:rPr>
        <w:t>Elle est à la recherche des spécialistes les plus compétents et les plus brillants en santé publique et en prévention des pandémies. Dans les efforts de recrutement de tels professionnels, il s’est avéré difficile d’obtenir la confirmation du bilinguisme des candidats et la reconnaissance de leurs diplômes, lorsque ces diplômes ont été décernés à l’étranger.</w:t>
      </w:r>
    </w:p>
    <w:p w14:paraId="53E02EC8" w14:textId="77777777" w:rsidR="00B739DC" w:rsidRPr="00D5487B" w:rsidRDefault="00B739DC" w:rsidP="00991C23">
      <w:pPr>
        <w:pStyle w:val="Sansinterligne"/>
        <w:spacing w:after="120"/>
        <w:rPr>
          <w:rFonts w:asciiTheme="minorHAnsi" w:hAnsiTheme="minorHAnsi" w:cstheme="minorHAnsi"/>
          <w:color w:val="000000"/>
          <w:sz w:val="22"/>
          <w:lang w:val="fr-CA"/>
        </w:rPr>
      </w:pPr>
      <w:r w:rsidRPr="00D5487B">
        <w:rPr>
          <w:rFonts w:asciiTheme="minorHAnsi" w:hAnsiTheme="minorHAnsi" w:cstheme="minorHAnsi"/>
          <w:color w:val="000000"/>
          <w:sz w:val="22"/>
          <w:lang w:val="fr-CA"/>
        </w:rPr>
        <w:t>L’ASPC doit également pouvoir compter sur une méthode de recrutement agile lorsqu’elle fait face à des situations d’urgence</w:t>
      </w:r>
    </w:p>
    <w:p w14:paraId="5A6F8978" w14:textId="77777777" w:rsidR="00B739DC" w:rsidRPr="00D5487B" w:rsidRDefault="00B739DC" w:rsidP="004B6AD3">
      <w:pPr>
        <w:pStyle w:val="Titre2"/>
        <w:spacing w:after="120"/>
        <w:rPr>
          <w:u w:val="single"/>
          <w:lang w:val="fr-CA"/>
        </w:rPr>
      </w:pPr>
      <w:r w:rsidRPr="00D5487B">
        <w:rPr>
          <w:lang w:val="fr-CA"/>
        </w:rPr>
        <w:t>Expérimentation</w:t>
      </w:r>
    </w:p>
    <w:p w14:paraId="1A80DC2B" w14:textId="77777777" w:rsidR="00B739DC" w:rsidRPr="00D5487B" w:rsidRDefault="00B739DC" w:rsidP="00991C23">
      <w:pPr>
        <w:pStyle w:val="Style7"/>
        <w:spacing w:after="120"/>
        <w:jc w:val="left"/>
        <w:rPr>
          <w:rFonts w:asciiTheme="minorHAnsi" w:eastAsiaTheme="majorEastAsia" w:hAnsiTheme="minorHAnsi" w:cstheme="minorHAnsi"/>
          <w:color w:val="auto"/>
          <w:lang w:val="fr-CA" w:eastAsia="fr-FR" w:bidi="fr-FR"/>
        </w:rPr>
      </w:pPr>
      <w:r w:rsidRPr="00D5487B">
        <w:rPr>
          <w:rFonts w:asciiTheme="minorHAnsi" w:eastAsiaTheme="majorEastAsia" w:hAnsiTheme="minorHAnsi" w:cstheme="minorHAnsi"/>
          <w:color w:val="auto"/>
          <w:lang w:val="fr-CA" w:eastAsia="fr-FR" w:bidi="fr-FR"/>
        </w:rPr>
        <w:t>Elle s’emploie à améliorer la compatibilité des pratiques de gestion des talents et d’évaluation du rendement afin de les utiliser dans le cadre des processus de dotation, puisqu’elles fournissent des renseignements utiles à l’évaluation du mérite.</w:t>
      </w:r>
    </w:p>
    <w:p w14:paraId="62D8C72D" w14:textId="77777777" w:rsidR="00B739DC" w:rsidRPr="00D5487B" w:rsidRDefault="00B739DC" w:rsidP="00991C23">
      <w:pPr>
        <w:pStyle w:val="Style7"/>
        <w:spacing w:after="120"/>
        <w:jc w:val="left"/>
        <w:rPr>
          <w:rFonts w:asciiTheme="minorHAnsi" w:eastAsia="Arial" w:hAnsiTheme="minorHAnsi" w:cstheme="minorHAnsi"/>
          <w:color w:val="auto"/>
          <w:szCs w:val="22"/>
          <w:lang w:val="fr-CA" w:bidi="fr-FR"/>
        </w:rPr>
      </w:pPr>
      <w:r w:rsidRPr="00D5487B">
        <w:rPr>
          <w:rFonts w:asciiTheme="minorHAnsi" w:eastAsiaTheme="majorEastAsia" w:hAnsiTheme="minorHAnsi" w:cstheme="minorHAnsi"/>
          <w:color w:val="auto"/>
          <w:lang w:val="fr-CA" w:eastAsia="fr-FR" w:bidi="fr-FR"/>
        </w:rPr>
        <w:t>L’ASPC a adapté la manière dont elle annonce les postes du groupe MD (Médecine). Désormais, elle demande simplement aux candidats de lui faire parvenir leur curriculum vitæ. Par la suite, le gestionnaire d’embauche communique avec eux pour leur demander de fournir des renseignements supplémentaires, s’il y a lieu. Le fait de transférer le fardeau administratif des candidats aux gestionnaires d’embauche a eu pour effet de faire grimper le nombre de candidatures reçues pour des postes du groupe MD. Cette méthode s’est avérée efficace et a permis d’accroître le recrutement dans ce groupe d’emploi.</w:t>
      </w:r>
    </w:p>
    <w:p w14:paraId="315DFC5D" w14:textId="77777777" w:rsidR="00B739DC" w:rsidRPr="00D5487B" w:rsidRDefault="00B739DC" w:rsidP="00991C23">
      <w:pPr>
        <w:pStyle w:val="Titre1"/>
        <w:spacing w:after="120"/>
        <w:rPr>
          <w:lang w:val="fr-CA"/>
        </w:rPr>
      </w:pPr>
      <w:r w:rsidRPr="00D5487B">
        <w:rPr>
          <w:lang w:val="fr-CA"/>
        </w:rPr>
        <w:t>Effectif et activités de dotation</w:t>
      </w:r>
    </w:p>
    <w:p w14:paraId="168158D4" w14:textId="77777777" w:rsidR="00B739DC" w:rsidRPr="00D5487B" w:rsidRDefault="00B739DC" w:rsidP="004B6AD3">
      <w:pPr>
        <w:pStyle w:val="Titre2"/>
        <w:spacing w:after="120"/>
        <w:rPr>
          <w:u w:val="single"/>
          <w:lang w:val="fr-CA"/>
        </w:rPr>
      </w:pPr>
      <w:r w:rsidRPr="00D5487B">
        <w:rPr>
          <w:lang w:val="fr-CA"/>
        </w:rPr>
        <w:t>Effectif</w:t>
      </w:r>
    </w:p>
    <w:p w14:paraId="6580A4BD" w14:textId="77777777" w:rsidR="00B739DC" w:rsidRPr="00D5487B" w:rsidRDefault="00B739DC" w:rsidP="00991C23">
      <w:pPr>
        <w:widowControl w:val="0"/>
        <w:spacing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L’ASPC est un organisme d’envergure qui comptait 2 395 employés le 31 mars 2019. </w:t>
      </w:r>
    </w:p>
    <w:p w14:paraId="1D0DBC09" w14:textId="77777777" w:rsidR="00B739DC" w:rsidRPr="00D5487B" w:rsidRDefault="00B739DC" w:rsidP="00991C23">
      <w:pPr>
        <w:widowControl w:val="0"/>
        <w:spacing w:after="120"/>
        <w:rPr>
          <w:rFonts w:asciiTheme="minorHAnsi" w:hAnsiTheme="minorHAnsi" w:cstheme="minorHAnsi"/>
          <w:sz w:val="22"/>
          <w:szCs w:val="22"/>
          <w:lang w:val="fr-CA" w:eastAsia="fr-FR" w:bidi="fr-FR"/>
        </w:rPr>
      </w:pPr>
      <w:r w:rsidRPr="00D5487B">
        <w:rPr>
          <w:rFonts w:asciiTheme="minorHAnsi" w:hAnsiTheme="minorHAnsi" w:cstheme="minorHAnsi"/>
          <w:sz w:val="22"/>
          <w:lang w:val="fr-CA" w:eastAsia="fr-FR" w:bidi="fr-FR"/>
        </w:rPr>
        <w:t>La plupart d’entre eux travaillent dans la région de la capitale nationale, mais ils sont également nombreux au Manitoba, en Ontario, au Québec, dans les Prairies et dans les provinces de l’Ouest. Le nombre relativement élevé d’employés de l’ASPC au Manitoba s’explique par la présence du centre de prévention et contrôle des maladies infectieuses de Winnipeg.</w:t>
      </w:r>
    </w:p>
    <w:p w14:paraId="6A7BE301" w14:textId="77777777" w:rsidR="00B739DC" w:rsidRPr="00D5487B" w:rsidRDefault="00B739DC" w:rsidP="004B6AD3">
      <w:pPr>
        <w:pStyle w:val="Titre2"/>
        <w:spacing w:after="120"/>
        <w:rPr>
          <w:u w:val="single"/>
          <w:lang w:val="fr-CA"/>
        </w:rPr>
      </w:pPr>
      <w:r w:rsidRPr="00D5487B">
        <w:rPr>
          <w:lang w:val="fr-CA"/>
        </w:rPr>
        <w:t>Activités de dotation</w:t>
      </w:r>
    </w:p>
    <w:p w14:paraId="4E41D9B0" w14:textId="3558E19A" w:rsidR="00B739DC" w:rsidRPr="00D5487B" w:rsidRDefault="004B6AD3" w:rsidP="00FD51B3">
      <w:pPr>
        <w:spacing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En </w:t>
      </w:r>
      <w:r w:rsidR="00B739DC" w:rsidRPr="00D5487B">
        <w:rPr>
          <w:rFonts w:asciiTheme="minorHAnsi" w:hAnsiTheme="minorHAnsi" w:cstheme="minorHAnsi"/>
          <w:color w:val="000000"/>
          <w:sz w:val="22"/>
          <w:lang w:val="fr-CA" w:eastAsia="fr-FR" w:bidi="fr-FR"/>
        </w:rPr>
        <w:t>2018-2019, l’ASPC a réalisé 1 383 mesures de dotation (</w:t>
      </w:r>
      <w:r w:rsidR="00121B33" w:rsidRPr="00D5487B">
        <w:rPr>
          <w:rFonts w:asciiTheme="minorHAnsi" w:hAnsiTheme="minorHAnsi" w:cstheme="minorHAnsi"/>
          <w:color w:val="000000"/>
          <w:sz w:val="22"/>
          <w:lang w:val="fr-CA" w:eastAsia="fr-FR" w:bidi="fr-FR"/>
        </w:rPr>
        <w:t>excluant les</w:t>
      </w:r>
      <w:r w:rsidR="00B739DC" w:rsidRPr="00D5487B">
        <w:rPr>
          <w:rFonts w:asciiTheme="minorHAnsi" w:hAnsiTheme="minorHAnsi" w:cstheme="minorHAnsi"/>
          <w:color w:val="000000"/>
          <w:sz w:val="22"/>
          <w:lang w:val="fr-CA" w:eastAsia="fr-FR" w:bidi="fr-FR"/>
        </w:rPr>
        <w:t xml:space="preserve"> nominations pour une durée de moins de quatre mois) : </w:t>
      </w:r>
    </w:p>
    <w:p w14:paraId="41C88E74" w14:textId="77777777" w:rsidR="00B739DC" w:rsidRPr="00D5487B" w:rsidRDefault="00B739DC" w:rsidP="00FD51B3">
      <w:p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Types de mesures de dotation :</w:t>
      </w:r>
    </w:p>
    <w:p w14:paraId="460DE264" w14:textId="54EB9BDD" w:rsidR="00B739DC" w:rsidRPr="00D5487B" w:rsidRDefault="00B739DC" w:rsidP="00FD51B3">
      <w:pPr>
        <w:numPr>
          <w:ilvl w:val="0"/>
          <w:numId w:val="5"/>
        </w:num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728 nominations </w:t>
      </w:r>
      <w:r w:rsidR="00121B33" w:rsidRPr="00D5487B">
        <w:rPr>
          <w:rFonts w:asciiTheme="minorHAnsi" w:hAnsiTheme="minorHAnsi" w:cstheme="minorHAnsi"/>
          <w:color w:val="000000"/>
          <w:sz w:val="22"/>
          <w:lang w:val="fr-CA" w:eastAsia="fr-FR" w:bidi="fr-FR"/>
        </w:rPr>
        <w:t>à</w:t>
      </w:r>
      <w:r w:rsidRPr="00D5487B">
        <w:rPr>
          <w:rFonts w:asciiTheme="minorHAnsi" w:hAnsiTheme="minorHAnsi" w:cstheme="minorHAnsi"/>
          <w:color w:val="000000"/>
          <w:sz w:val="22"/>
          <w:lang w:val="fr-CA" w:eastAsia="fr-FR" w:bidi="fr-FR"/>
        </w:rPr>
        <w:t xml:space="preserve"> la fonction publique; </w:t>
      </w:r>
    </w:p>
    <w:p w14:paraId="1DB2DF89" w14:textId="53C3C9F9" w:rsidR="00B739DC" w:rsidRPr="00D5487B" w:rsidRDefault="00B739DC" w:rsidP="00FD51B3">
      <w:pPr>
        <w:numPr>
          <w:ilvl w:val="0"/>
          <w:numId w:val="5"/>
        </w:num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242 promotions;</w:t>
      </w:r>
    </w:p>
    <w:p w14:paraId="72365000" w14:textId="77777777" w:rsidR="00B739DC" w:rsidRPr="00D5487B" w:rsidRDefault="00B739DC" w:rsidP="00FD51B3">
      <w:pPr>
        <w:numPr>
          <w:ilvl w:val="0"/>
          <w:numId w:val="5"/>
        </w:num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230 mouvements latéraux et à des postes inférieurs; </w:t>
      </w:r>
    </w:p>
    <w:p w14:paraId="28A809E9" w14:textId="77777777" w:rsidR="00B739DC" w:rsidRPr="00D5487B" w:rsidRDefault="00B739DC" w:rsidP="00FD51B3">
      <w:pPr>
        <w:numPr>
          <w:ilvl w:val="0"/>
          <w:numId w:val="5"/>
        </w:numPr>
        <w:spacing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183 nominations intérimaires. </w:t>
      </w:r>
    </w:p>
    <w:p w14:paraId="4173CAC2" w14:textId="77777777" w:rsidR="00B739DC" w:rsidRPr="00D5487B" w:rsidRDefault="00B739DC" w:rsidP="00FD51B3">
      <w:p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lastRenderedPageBreak/>
        <w:t>Durée d’emploi :</w:t>
      </w:r>
    </w:p>
    <w:p w14:paraId="1236457A" w14:textId="77777777" w:rsidR="00B739DC" w:rsidRPr="00D5487B" w:rsidRDefault="00B739DC" w:rsidP="00FD51B3">
      <w:pPr>
        <w:numPr>
          <w:ilvl w:val="0"/>
          <w:numId w:val="5"/>
        </w:num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717 nominations pour une période indéterminée;</w:t>
      </w:r>
    </w:p>
    <w:p w14:paraId="47141A5C" w14:textId="77777777" w:rsidR="00B739DC" w:rsidRPr="00D5487B" w:rsidRDefault="00B739DC" w:rsidP="00FD51B3">
      <w:pPr>
        <w:numPr>
          <w:ilvl w:val="0"/>
          <w:numId w:val="5"/>
        </w:num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160 nominations pour une période déterminée;</w:t>
      </w:r>
    </w:p>
    <w:p w14:paraId="6944085F" w14:textId="77777777" w:rsidR="00B739DC" w:rsidRPr="00D5487B" w:rsidRDefault="00B739DC" w:rsidP="00FD51B3">
      <w:pPr>
        <w:numPr>
          <w:ilvl w:val="0"/>
          <w:numId w:val="5"/>
        </w:num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253 employés occasionnels; </w:t>
      </w:r>
    </w:p>
    <w:p w14:paraId="72021341" w14:textId="77777777" w:rsidR="00B739DC" w:rsidRPr="00D5487B" w:rsidRDefault="00B739DC" w:rsidP="00FD51B3">
      <w:pPr>
        <w:numPr>
          <w:ilvl w:val="0"/>
          <w:numId w:val="5"/>
        </w:numPr>
        <w:spacing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253 étudiants. </w:t>
      </w:r>
    </w:p>
    <w:p w14:paraId="08111B1D" w14:textId="27DC0111" w:rsidR="00B739DC" w:rsidRPr="00D5487B" w:rsidRDefault="00B739DC" w:rsidP="00FD51B3">
      <w:pPr>
        <w:spacing w:after="120"/>
        <w:rPr>
          <w:rFonts w:asciiTheme="minorHAnsi" w:hAnsiTheme="minorHAnsi" w:cstheme="minorHAnsi"/>
          <w:sz w:val="22"/>
          <w:szCs w:val="22"/>
          <w:lang w:val="fr-CA" w:eastAsia="fr-FR" w:bidi="fr-FR"/>
        </w:rPr>
      </w:pPr>
      <w:r w:rsidRPr="00D5487B">
        <w:rPr>
          <w:rFonts w:asciiTheme="minorHAnsi" w:hAnsiTheme="minorHAnsi" w:cstheme="minorHAnsi"/>
          <w:sz w:val="22"/>
          <w:lang w:val="fr-CA" w:eastAsia="fr-FR" w:bidi="fr-FR"/>
        </w:rPr>
        <w:t xml:space="preserve">Veuillez consulter </w:t>
      </w:r>
      <w:hyperlink w:anchor="AnnexB" w:history="1">
        <w:r w:rsidRPr="00C92217">
          <w:rPr>
            <w:rStyle w:val="Lienhypertexte"/>
            <w:rFonts w:asciiTheme="minorHAnsi" w:hAnsiTheme="minorHAnsi" w:cstheme="minorHAnsi"/>
            <w:sz w:val="22"/>
            <w:lang w:val="fr-CA" w:eastAsia="fr-FR" w:bidi="fr-FR"/>
          </w:rPr>
          <w:t>l’annex</w:t>
        </w:r>
        <w:r w:rsidR="00C92217" w:rsidRPr="00C92217">
          <w:rPr>
            <w:rStyle w:val="Lienhypertexte"/>
            <w:rFonts w:asciiTheme="minorHAnsi" w:hAnsiTheme="minorHAnsi" w:cstheme="minorHAnsi"/>
            <w:sz w:val="22"/>
            <w:lang w:val="fr-CA" w:eastAsia="fr-FR" w:bidi="fr-FR"/>
          </w:rPr>
          <w:t>e B</w:t>
        </w:r>
      </w:hyperlink>
      <w:r w:rsidRPr="00D5487B">
        <w:rPr>
          <w:rFonts w:asciiTheme="minorHAnsi" w:hAnsiTheme="minorHAnsi" w:cstheme="minorHAnsi"/>
          <w:lang w:val="fr-CA" w:eastAsia="fr-FR" w:bidi="fr-FR"/>
        </w:rPr>
        <w:t xml:space="preserve"> </w:t>
      </w:r>
      <w:r w:rsidRPr="00D5487B">
        <w:rPr>
          <w:rFonts w:asciiTheme="minorHAnsi" w:hAnsiTheme="minorHAnsi" w:cstheme="minorHAnsi"/>
          <w:sz w:val="22"/>
          <w:lang w:val="fr-CA" w:eastAsia="fr-FR" w:bidi="fr-FR"/>
        </w:rPr>
        <w:t xml:space="preserve">pour obtenir de plus </w:t>
      </w:r>
      <w:r w:rsidR="00E3175F">
        <w:rPr>
          <w:rFonts w:asciiTheme="minorHAnsi" w:hAnsiTheme="minorHAnsi" w:cstheme="minorHAnsi"/>
          <w:sz w:val="22"/>
          <w:lang w:val="fr-CA" w:eastAsia="fr-FR" w:bidi="fr-FR"/>
        </w:rPr>
        <w:t>de détails sur les activités de dotation</w:t>
      </w:r>
      <w:r w:rsidRPr="00D5487B">
        <w:rPr>
          <w:rFonts w:asciiTheme="minorHAnsi" w:hAnsiTheme="minorHAnsi" w:cstheme="minorHAnsi"/>
          <w:sz w:val="22"/>
          <w:lang w:val="fr-CA" w:eastAsia="fr-FR" w:bidi="fr-FR"/>
        </w:rPr>
        <w:t>.</w:t>
      </w:r>
    </w:p>
    <w:p w14:paraId="1349CBCE" w14:textId="77777777" w:rsidR="00B739DC" w:rsidRPr="00D5487B" w:rsidRDefault="00B739DC" w:rsidP="00FD51B3">
      <w:pPr>
        <w:pStyle w:val="Titre1"/>
        <w:spacing w:after="120"/>
        <w:rPr>
          <w:lang w:val="fr-CA"/>
        </w:rPr>
      </w:pPr>
      <w:r w:rsidRPr="00D5487B">
        <w:rPr>
          <w:lang w:val="fr-CA"/>
        </w:rPr>
        <w:t>Durée du processus de dotation</w:t>
      </w:r>
    </w:p>
    <w:p w14:paraId="05E9C16E" w14:textId="77777777" w:rsidR="00B739DC" w:rsidRPr="00D5487B" w:rsidRDefault="00B739DC" w:rsidP="00B739DC">
      <w:p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La durée médiane des nominations internes à l’ASPC est de 213 jours; elle est supérieure à celle de l’ensemble de la fonction publique, qui est de 176 jours. </w:t>
      </w:r>
    </w:p>
    <w:p w14:paraId="73AE417F" w14:textId="77777777" w:rsidR="00B739DC" w:rsidRPr="00D5487B" w:rsidRDefault="00B739DC" w:rsidP="00B739DC">
      <w:pPr>
        <w:rPr>
          <w:rFonts w:asciiTheme="minorHAnsi" w:hAnsiTheme="minorHAnsi" w:cstheme="minorHAnsi"/>
          <w:color w:val="000000"/>
          <w:sz w:val="22"/>
          <w:szCs w:val="22"/>
          <w:lang w:val="fr-CA" w:eastAsia="fr-FR" w:bidi="fr-FR"/>
        </w:rPr>
      </w:pPr>
    </w:p>
    <w:p w14:paraId="7F13893D" w14:textId="77777777" w:rsidR="00B739DC" w:rsidRPr="00D5487B" w:rsidRDefault="00B739DC" w:rsidP="00B739DC">
      <w:p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Les données disponibles ne permettent pas d’établir les résultats de l’ASPC quant aux nominations de candidats de l’extérieur ni de les comparer la durée médiane dans l’ensemble de la fonction publique, qui est de 186 jours.</w:t>
      </w:r>
    </w:p>
    <w:p w14:paraId="7DEF3A3D" w14:textId="77777777" w:rsidR="00B739DC" w:rsidRPr="00D5487B" w:rsidRDefault="00B739DC" w:rsidP="004B6AD3">
      <w:pPr>
        <w:pStyle w:val="Titre1"/>
        <w:spacing w:after="240"/>
        <w:rPr>
          <w:lang w:val="fr-CA"/>
        </w:rPr>
      </w:pPr>
      <w:r w:rsidRPr="00D5487B">
        <w:rPr>
          <w:lang w:val="fr-CA"/>
        </w:rPr>
        <w:t>Cadre de dotation</w:t>
      </w:r>
    </w:p>
    <w:p w14:paraId="00833B32" w14:textId="77777777" w:rsidR="00B739DC" w:rsidRPr="00D5487B" w:rsidRDefault="00B739DC" w:rsidP="004B6AD3">
      <w:pPr>
        <w:pStyle w:val="Titre2"/>
        <w:spacing w:after="120"/>
        <w:rPr>
          <w:rFonts w:ascii="Arial" w:hAnsi="Arial" w:cs="Arial"/>
          <w:color w:val="000000"/>
          <w:sz w:val="22"/>
          <w:szCs w:val="22"/>
          <w:lang w:val="fr-CA"/>
        </w:rPr>
      </w:pPr>
      <w:r w:rsidRPr="00D5487B">
        <w:rPr>
          <w:lang w:val="fr-CA"/>
        </w:rPr>
        <w:t>Mise en œuvre de la Nouvelle orientation en dotation</w:t>
      </w:r>
    </w:p>
    <w:p w14:paraId="3C264A1C" w14:textId="77777777" w:rsidR="00B739DC" w:rsidRPr="00D5487B" w:rsidRDefault="00B739DC" w:rsidP="004B6AD3">
      <w:pPr>
        <w:widowControl w:val="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szCs w:val="24"/>
          <w:lang w:val="fr-CA" w:eastAsia="fr-FR" w:bidi="fr-FR"/>
        </w:rPr>
        <w:t xml:space="preserve">Au fur et à mesure que l’ASPC se familiarise avec la nouvelle orientation en dotation (NOD), l’aversion pour le risque qu’éprouvaient la communauté des ressources humaines et les gestionnaires d’embauche s’atténue. L’organisme révise actuellement tous ses modules de formation en dotation et a élaboré un programme de formation du formateur qui permettra à son personnel d’offrir des séances d’information sur la NOD aux gestionnaires et au personnel de l’ASPC. </w:t>
      </w:r>
    </w:p>
    <w:p w14:paraId="23F5EA44" w14:textId="77777777" w:rsidR="00B739DC" w:rsidRPr="00D5487B" w:rsidRDefault="00B739DC" w:rsidP="00011B85">
      <w:pPr>
        <w:widowControl w:val="0"/>
        <w:spacing w:before="100" w:beforeAutospacing="1" w:after="100" w:afterAutospacing="1"/>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szCs w:val="24"/>
          <w:lang w:val="fr-CA" w:eastAsia="fr-FR" w:bidi="fr-FR"/>
        </w:rPr>
        <w:t>L’organisme souhaite continuer d’instaurer la culture de la NOD et aider davantage de conseillers en ressources humaines à faire preuve d’imagination et de créativité dans le cadre des processus de dotation. Pour favoriser l’adoption de ce changement de culture, l’ASPC a créé un « lieu sûr » voué à l’innovation où tous les conseillers en ressources humaines de l’organisation ont la possibilité de mettre leurs idées en commun, où qu’ils se trouvent au Canada. Cette initiative vise à stimuler l’innovation et à éliminer la réticence face à la créativité.</w:t>
      </w:r>
    </w:p>
    <w:p w14:paraId="2C29013B" w14:textId="77777777" w:rsidR="00B739DC" w:rsidRPr="00D5487B" w:rsidRDefault="00B739DC" w:rsidP="00B739DC">
      <w:pPr>
        <w:widowControl w:val="0"/>
        <w:spacing w:before="100" w:beforeAutospacing="1" w:after="100" w:afterAutospacing="1"/>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szCs w:val="24"/>
          <w:lang w:val="fr-CA" w:eastAsia="fr-FR" w:bidi="fr-FR"/>
        </w:rPr>
        <w:t xml:space="preserve">Les politiques de dotation de l’ASPC (orientation du choix du processus de nomination, zone de sélection et exigences relatives à l’explication de la décision de sélection) ont été mises à jour en 2016, dans la foulée de la nouvelle orientation en dotation. </w:t>
      </w:r>
    </w:p>
    <w:p w14:paraId="3C20F5B2" w14:textId="77777777" w:rsidR="00B739DC" w:rsidRPr="00D5487B" w:rsidRDefault="00B739DC" w:rsidP="00B739DC">
      <w:pPr>
        <w:widowControl w:val="0"/>
        <w:spacing w:before="100" w:beforeAutospacing="1" w:after="100" w:afterAutospacing="1"/>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szCs w:val="24"/>
          <w:lang w:val="fr-CA" w:eastAsia="fr-FR" w:bidi="fr-FR"/>
        </w:rPr>
        <w:t>L’ASPC prévoit actualiser ses politiques en matière de dotation dans le cadre d’une initiative d’examen global des politiques du ministère qui aura lieu en 2019. L’Agence estime nécessaire de préciser l’orientation de l’AG quant au choix du processus de nomination et de fournir des lignes directrices supplémentaires aux gestionnaires d’embauche au sujet des processus de nomination, annoncés et non annoncés.</w:t>
      </w:r>
    </w:p>
    <w:p w14:paraId="577E8F85" w14:textId="6DC760BF" w:rsidR="00B739DC" w:rsidRPr="00D5487B" w:rsidRDefault="00B739DC" w:rsidP="00B739DC">
      <w:pPr>
        <w:widowControl w:val="0"/>
        <w:spacing w:before="100" w:beforeAutospacing="1" w:after="100" w:afterAutospacing="1"/>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szCs w:val="24"/>
          <w:lang w:val="fr-CA" w:eastAsia="fr-FR" w:bidi="fr-FR"/>
        </w:rPr>
        <w:t xml:space="preserve">En février 2019, à la demande de l’organisme, la CFP a examiné les instruments de subdélégation de l’ASPC. Elle y a relevé quelques problèmes de conformité. La Direction des services en ressources </w:t>
      </w:r>
      <w:r w:rsidRPr="00D5487B">
        <w:rPr>
          <w:rFonts w:asciiTheme="minorHAnsi" w:hAnsiTheme="minorHAnsi" w:cstheme="minorHAnsi"/>
          <w:color w:val="000000"/>
          <w:sz w:val="22"/>
          <w:szCs w:val="24"/>
          <w:lang w:val="fr-CA" w:eastAsia="fr-FR" w:bidi="fr-FR"/>
        </w:rPr>
        <w:lastRenderedPageBreak/>
        <w:t xml:space="preserve">humaines de l’ASPC a mis en œuvre les suggestions de la CFP lorsque l’Agence a mis à jour ses instruments de subdélégation. Cette initiative a été approuvée par la présidente de l’ASPC en juin 2019, après une dernière </w:t>
      </w:r>
      <w:r w:rsidR="00F2210B" w:rsidRPr="00D5487B">
        <w:rPr>
          <w:rFonts w:asciiTheme="minorHAnsi" w:hAnsiTheme="minorHAnsi" w:cstheme="minorHAnsi"/>
          <w:color w:val="000000"/>
          <w:sz w:val="22"/>
          <w:szCs w:val="24"/>
          <w:lang w:val="fr-CA" w:eastAsia="fr-FR" w:bidi="fr-FR"/>
        </w:rPr>
        <w:t xml:space="preserve">révision </w:t>
      </w:r>
      <w:r w:rsidRPr="00D5487B">
        <w:rPr>
          <w:rFonts w:asciiTheme="minorHAnsi" w:hAnsiTheme="minorHAnsi" w:cstheme="minorHAnsi"/>
          <w:color w:val="000000"/>
          <w:sz w:val="22"/>
          <w:szCs w:val="24"/>
          <w:lang w:val="fr-CA" w:eastAsia="fr-FR" w:bidi="fr-FR"/>
        </w:rPr>
        <w:t xml:space="preserve">par la CFP. </w:t>
      </w:r>
    </w:p>
    <w:p w14:paraId="2D54C3B3" w14:textId="77777777" w:rsidR="00B739DC" w:rsidRPr="00D5487B" w:rsidRDefault="00B739DC" w:rsidP="00B739DC">
      <w:pPr>
        <w:widowControl w:val="0"/>
        <w:spacing w:before="100" w:beforeAutospacing="1" w:after="100" w:afterAutospacing="1"/>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szCs w:val="24"/>
          <w:lang w:val="fr-CA" w:eastAsia="fr-FR" w:bidi="fr-FR"/>
        </w:rPr>
        <w:t xml:space="preserve">La CFP a également noté qu’il y aurait lieu de simplifier les instruments de subdélégation de l’ASPC et d’améliorer leur efficience et leur efficacité. L’ASPC n’est pas prête à soumettre ses instruments à un examen approfondi à l’heure actuelle, mais elle accueille favorablement les moyens suggérés par la CFP pour les simplifier éventuellement. </w:t>
      </w:r>
    </w:p>
    <w:p w14:paraId="27D45544" w14:textId="250B387E" w:rsidR="00A94564" w:rsidRPr="00D5487B" w:rsidRDefault="00A94564" w:rsidP="003329E9">
      <w:pPr>
        <w:pStyle w:val="Titre1"/>
        <w:rPr>
          <w:lang w:val="fr-CA"/>
        </w:rPr>
      </w:pPr>
      <w:r w:rsidRPr="00D5487B">
        <w:rPr>
          <w:lang w:val="fr-CA"/>
        </w:rPr>
        <w:t>Rapport prévus par l’annexe D de l’instrument de délégation et de responsabili</w:t>
      </w:r>
      <w:r w:rsidR="003329E9" w:rsidRPr="00D5487B">
        <w:rPr>
          <w:lang w:val="fr-CA"/>
        </w:rPr>
        <w:t>sation en matière de nomination</w:t>
      </w:r>
    </w:p>
    <w:p w14:paraId="71B08C57" w14:textId="77777777" w:rsidR="00A94564" w:rsidRPr="00D5487B" w:rsidRDefault="00A94564" w:rsidP="003329E9">
      <w:pPr>
        <w:pStyle w:val="Titre2"/>
        <w:rPr>
          <w:lang w:val="fr-CA"/>
        </w:rPr>
      </w:pPr>
      <w:r w:rsidRPr="00D5487B">
        <w:rPr>
          <w:lang w:val="fr-CA"/>
        </w:rPr>
        <w:t xml:space="preserve">Recours au Décret d’exemption concernant les langues officielles dans la fonction publique et au Règlement sur les langues officielles – nominations dans la fonction publique </w:t>
      </w:r>
    </w:p>
    <w:p w14:paraId="28F87B5E" w14:textId="77777777" w:rsidR="00B739DC" w:rsidRPr="00D5487B" w:rsidRDefault="00B739DC" w:rsidP="003329E9">
      <w:pPr>
        <w:spacing w:before="120" w:after="120"/>
        <w:rPr>
          <w:rFonts w:ascii="Arial" w:hAnsi="Arial"/>
          <w:color w:val="222222"/>
          <w:sz w:val="22"/>
          <w:lang w:val="fr-CA" w:eastAsia="fr-FR" w:bidi="fr-FR"/>
        </w:rPr>
      </w:pPr>
      <w:r w:rsidRPr="00D5487B">
        <w:rPr>
          <w:rFonts w:asciiTheme="minorHAnsi" w:hAnsiTheme="minorHAnsi" w:cstheme="minorHAnsi"/>
          <w:color w:val="222222"/>
          <w:sz w:val="22"/>
          <w:lang w:val="fr-CA" w:eastAsia="fr-FR" w:bidi="fr-FR"/>
        </w:rPr>
        <w:t xml:space="preserve">L’ASPC a déclaré qu’elle n’a pas eu recours au </w:t>
      </w:r>
      <w:r w:rsidRPr="00D5487B">
        <w:rPr>
          <w:rFonts w:asciiTheme="minorHAnsi" w:hAnsiTheme="minorHAnsi" w:cstheme="minorHAnsi"/>
          <w:i/>
          <w:color w:val="222222"/>
          <w:sz w:val="22"/>
          <w:lang w:val="fr-CA" w:eastAsia="fr-FR" w:bidi="fr-FR"/>
        </w:rPr>
        <w:t>Décret d’exemption concernant les langues officielles dans la fonction publique</w:t>
      </w:r>
      <w:r w:rsidRPr="00D5487B">
        <w:rPr>
          <w:rFonts w:asciiTheme="minorHAnsi" w:hAnsiTheme="minorHAnsi" w:cstheme="minorHAnsi"/>
          <w:color w:val="222222"/>
          <w:sz w:val="22"/>
          <w:lang w:val="fr-CA" w:eastAsia="fr-FR" w:bidi="fr-FR"/>
        </w:rPr>
        <w:t xml:space="preserve"> pendant la période allant du 1</w:t>
      </w:r>
      <w:r w:rsidRPr="00D5487B">
        <w:rPr>
          <w:rFonts w:asciiTheme="minorHAnsi" w:hAnsiTheme="minorHAnsi" w:cstheme="minorHAnsi"/>
          <w:color w:val="222222"/>
          <w:sz w:val="22"/>
          <w:vertAlign w:val="superscript"/>
          <w:lang w:val="fr-CA" w:eastAsia="fr-FR" w:bidi="fr-FR"/>
        </w:rPr>
        <w:t>er</w:t>
      </w:r>
      <w:r w:rsidRPr="00D5487B">
        <w:rPr>
          <w:rFonts w:asciiTheme="minorHAnsi" w:hAnsiTheme="minorHAnsi" w:cstheme="minorHAnsi"/>
          <w:color w:val="222222"/>
          <w:sz w:val="22"/>
          <w:lang w:val="fr-CA" w:eastAsia="fr-FR" w:bidi="fr-FR"/>
        </w:rPr>
        <w:t> avril 2018</w:t>
      </w:r>
      <w:r w:rsidRPr="00D5487B">
        <w:rPr>
          <w:rFonts w:asciiTheme="minorHAnsi" w:hAnsiTheme="minorHAnsi" w:cstheme="minorHAnsi"/>
          <w:b/>
          <w:color w:val="222222"/>
          <w:sz w:val="22"/>
          <w:lang w:val="fr-CA" w:eastAsia="fr-FR" w:bidi="fr-FR"/>
        </w:rPr>
        <w:t xml:space="preserve"> </w:t>
      </w:r>
      <w:r w:rsidRPr="00D5487B">
        <w:rPr>
          <w:rFonts w:asciiTheme="minorHAnsi" w:hAnsiTheme="minorHAnsi" w:cstheme="minorHAnsi"/>
          <w:color w:val="222222"/>
          <w:sz w:val="22"/>
          <w:lang w:val="fr-CA" w:eastAsia="fr-FR" w:bidi="fr-FR"/>
        </w:rPr>
        <w:t>au 31 mars 2019</w:t>
      </w:r>
      <w:r w:rsidRPr="00D5487B">
        <w:rPr>
          <w:rFonts w:ascii="Arial" w:hAnsi="Arial"/>
          <w:color w:val="222222"/>
          <w:sz w:val="22"/>
          <w:lang w:val="fr-CA" w:eastAsia="fr-FR" w:bidi="fr-FR"/>
        </w:rPr>
        <w:t>.</w:t>
      </w:r>
    </w:p>
    <w:p w14:paraId="501E88C3" w14:textId="77777777" w:rsidR="00A94564" w:rsidRPr="00D5487B" w:rsidRDefault="00A94564" w:rsidP="003329E9">
      <w:pPr>
        <w:pStyle w:val="Titre2"/>
        <w:rPr>
          <w:lang w:val="fr-CA"/>
        </w:rPr>
      </w:pPr>
      <w:r w:rsidRPr="00D5487B">
        <w:rPr>
          <w:lang w:val="fr-CA"/>
        </w:rPr>
        <w:t>Exceptions approuvées par l’Administrateur général aux exigences de la zone nationale de sélection pour un processus de nomination externe annoncé</w:t>
      </w:r>
    </w:p>
    <w:p w14:paraId="2B44CA0D" w14:textId="77777777" w:rsidR="00B739DC" w:rsidRPr="00D5487B" w:rsidRDefault="00B739DC" w:rsidP="003329E9">
      <w:pPr>
        <w:spacing w:before="120" w:after="120"/>
        <w:rPr>
          <w:rFonts w:ascii="Arial" w:hAnsi="Arial"/>
          <w:color w:val="222222"/>
          <w:sz w:val="22"/>
          <w:lang w:val="fr-CA" w:eastAsia="fr-FR" w:bidi="fr-FR"/>
        </w:rPr>
      </w:pPr>
      <w:r w:rsidRPr="00D5487B">
        <w:rPr>
          <w:rFonts w:asciiTheme="minorHAnsi" w:hAnsiTheme="minorHAnsi" w:cstheme="minorHAnsi"/>
          <w:color w:val="222222"/>
          <w:sz w:val="22"/>
          <w:lang w:val="fr-CA" w:eastAsia="fr-FR" w:bidi="fr-FR"/>
        </w:rPr>
        <w:t>L’organisation n’a pas utilisé d’exception à l’exigence d’une zone nationale de sélection approuvée par l’AG</w:t>
      </w:r>
      <w:r w:rsidRPr="00D5487B">
        <w:rPr>
          <w:rFonts w:ascii="Arial" w:hAnsi="Arial"/>
          <w:color w:val="222222"/>
          <w:sz w:val="22"/>
          <w:lang w:val="fr-CA" w:eastAsia="fr-FR" w:bidi="fr-FR"/>
        </w:rPr>
        <w:t>.</w:t>
      </w:r>
    </w:p>
    <w:p w14:paraId="1696EFBE" w14:textId="77777777" w:rsidR="00A94564" w:rsidRPr="00D5487B" w:rsidRDefault="00A94564" w:rsidP="003329E9">
      <w:pPr>
        <w:pStyle w:val="Titre2"/>
        <w:rPr>
          <w:lang w:val="fr-CA"/>
        </w:rPr>
      </w:pPr>
      <w:r w:rsidRPr="00D5487B">
        <w:rPr>
          <w:lang w:val="fr-CA"/>
        </w:rPr>
        <w:t>Résultats de l’évaluation cyclique de l’organisation</w:t>
      </w:r>
    </w:p>
    <w:p w14:paraId="46BF8C9C" w14:textId="77777777" w:rsidR="00B739DC" w:rsidRPr="00D5487B" w:rsidRDefault="00B739DC" w:rsidP="003329E9">
      <w:pPr>
        <w:spacing w:before="120" w:after="120"/>
        <w:rPr>
          <w:rFonts w:asciiTheme="minorHAnsi" w:hAnsiTheme="minorHAnsi" w:cstheme="minorHAnsi"/>
          <w:color w:val="000000"/>
          <w:sz w:val="22"/>
          <w:lang w:val="fr-CA" w:eastAsia="fr-FR" w:bidi="fr-FR"/>
        </w:rPr>
      </w:pPr>
      <w:r w:rsidRPr="00D5487B">
        <w:rPr>
          <w:rFonts w:asciiTheme="minorHAnsi" w:hAnsiTheme="minorHAnsi" w:cstheme="minorHAnsi"/>
          <w:color w:val="000000"/>
          <w:sz w:val="22"/>
          <w:lang w:val="fr-CA" w:eastAsia="fr-FR" w:bidi="fr-FR"/>
        </w:rPr>
        <w:t>Les résultats du premier cycle d’évaluation de l’ASPC sont attendus le 1</w:t>
      </w:r>
      <w:r w:rsidRPr="00D5487B">
        <w:rPr>
          <w:rFonts w:asciiTheme="minorHAnsi" w:hAnsiTheme="minorHAnsi" w:cstheme="minorHAnsi"/>
          <w:color w:val="000000"/>
          <w:sz w:val="22"/>
          <w:vertAlign w:val="superscript"/>
          <w:lang w:val="fr-CA" w:eastAsia="fr-FR" w:bidi="fr-FR"/>
        </w:rPr>
        <w:t>er</w:t>
      </w:r>
      <w:r w:rsidRPr="00D5487B">
        <w:rPr>
          <w:rFonts w:asciiTheme="minorHAnsi" w:hAnsiTheme="minorHAnsi" w:cstheme="minorHAnsi"/>
          <w:color w:val="000000"/>
          <w:sz w:val="22"/>
          <w:lang w:val="fr-CA" w:eastAsia="fr-FR" w:bidi="fr-FR"/>
        </w:rPr>
        <w:t> mai 2021.</w:t>
      </w:r>
    </w:p>
    <w:p w14:paraId="3D8218FC" w14:textId="77777777" w:rsidR="00B739DC" w:rsidRPr="00D5487B" w:rsidRDefault="00B739DC" w:rsidP="00081375">
      <w:pPr>
        <w:pStyle w:val="Titre2"/>
        <w:spacing w:after="120"/>
        <w:rPr>
          <w:rFonts w:ascii="Arial" w:hAnsi="Arial" w:cs="Arial"/>
          <w:color w:val="000000"/>
          <w:sz w:val="22"/>
          <w:szCs w:val="22"/>
          <w:lang w:val="fr-CA"/>
        </w:rPr>
      </w:pPr>
      <w:r w:rsidRPr="00D5487B">
        <w:rPr>
          <w:lang w:val="fr-CA"/>
        </w:rPr>
        <w:t>Demandes de renseignements et tendances</w:t>
      </w:r>
    </w:p>
    <w:p w14:paraId="7AEFBBB6" w14:textId="77777777" w:rsidR="00081375" w:rsidRPr="00D5487B" w:rsidRDefault="00B739DC" w:rsidP="003329E9">
      <w:pPr>
        <w:spacing w:after="120"/>
        <w:rPr>
          <w:rFonts w:asciiTheme="minorHAnsi" w:hAnsiTheme="minorHAnsi" w:cstheme="minorHAnsi"/>
          <w:color w:val="000000"/>
          <w:sz w:val="22"/>
          <w:lang w:val="fr-CA" w:eastAsia="fr-FR" w:bidi="fr-FR"/>
        </w:rPr>
      </w:pPr>
      <w:r w:rsidRPr="00D5487B">
        <w:rPr>
          <w:rFonts w:asciiTheme="minorHAnsi" w:hAnsiTheme="minorHAnsi" w:cstheme="minorHAnsi"/>
          <w:color w:val="000000"/>
          <w:sz w:val="22"/>
          <w:lang w:val="fr-CA" w:eastAsia="fr-FR" w:bidi="fr-FR"/>
        </w:rPr>
        <w:t>En 2018-2019, les demandes de renseignements ont porté sur diverses questions de dotation; la plus grande partie des questions concernaient l’évaluation (16,2 %), suivies par les valeurs (9,9 %). L’organisme collabore étroitement avec la CFP en ayant recours au soutien et aux conseils du conseiller au soutien en dotation</w:t>
      </w:r>
      <w:r w:rsidR="00F2210B" w:rsidRPr="00D5487B">
        <w:rPr>
          <w:rFonts w:asciiTheme="minorHAnsi" w:hAnsiTheme="minorHAnsi" w:cstheme="minorHAnsi"/>
          <w:color w:val="000000"/>
          <w:sz w:val="22"/>
          <w:lang w:val="fr-CA" w:eastAsia="fr-FR" w:bidi="fr-FR"/>
        </w:rPr>
        <w:t xml:space="preserve"> (CSD)</w:t>
      </w:r>
      <w:r w:rsidRPr="00D5487B">
        <w:rPr>
          <w:rFonts w:asciiTheme="minorHAnsi" w:hAnsiTheme="minorHAnsi" w:cstheme="minorHAnsi"/>
          <w:color w:val="000000"/>
          <w:sz w:val="22"/>
          <w:lang w:val="fr-CA" w:eastAsia="fr-FR" w:bidi="fr-FR"/>
        </w:rPr>
        <w:t>.</w:t>
      </w:r>
    </w:p>
    <w:p w14:paraId="375903FB" w14:textId="77777777" w:rsidR="00E2286C" w:rsidRPr="00D5487B" w:rsidRDefault="00E2286C" w:rsidP="00081375">
      <w:pPr>
        <w:pStyle w:val="Titre1"/>
        <w:spacing w:after="240"/>
        <w:rPr>
          <w:lang w:val="fr-CA"/>
        </w:rPr>
        <w:sectPr w:rsidR="00E2286C" w:rsidRPr="00D5487B" w:rsidSect="00011B85">
          <w:footerReference w:type="default" r:id="rId8"/>
          <w:footnotePr>
            <w:numFmt w:val="lowerLetter"/>
          </w:footnotePr>
          <w:endnotePr>
            <w:numFmt w:val="lowerLetter"/>
          </w:endnotePr>
          <w:pgSz w:w="12240" w:h="15840" w:code="1"/>
          <w:pgMar w:top="709" w:right="1304" w:bottom="1361" w:left="1304" w:header="227" w:footer="283" w:gutter="0"/>
          <w:pgNumType w:start="1"/>
          <w:cols w:space="720"/>
          <w:docGrid w:linePitch="326"/>
        </w:sectPr>
      </w:pPr>
    </w:p>
    <w:p w14:paraId="4A1D5ADA" w14:textId="744FE033" w:rsidR="00B739DC" w:rsidRPr="00D5487B" w:rsidRDefault="003329E9" w:rsidP="00081375">
      <w:pPr>
        <w:pStyle w:val="Titre1"/>
        <w:spacing w:after="240"/>
        <w:rPr>
          <w:lang w:val="fr-CA"/>
        </w:rPr>
      </w:pPr>
      <w:r w:rsidRPr="00D5487B">
        <w:rPr>
          <w:lang w:val="fr-CA"/>
        </w:rPr>
        <w:lastRenderedPageBreak/>
        <w:t>Surveillance</w:t>
      </w:r>
    </w:p>
    <w:p w14:paraId="3C8BA032" w14:textId="7E4C0744" w:rsidR="00B739DC" w:rsidRPr="00D5487B" w:rsidRDefault="003329E9" w:rsidP="00081375">
      <w:pPr>
        <w:pStyle w:val="Titre2"/>
        <w:spacing w:after="120"/>
        <w:rPr>
          <w:u w:val="single"/>
          <w:lang w:val="fr-CA"/>
        </w:rPr>
      </w:pPr>
      <w:r w:rsidRPr="00D5487B">
        <w:rPr>
          <w:lang w:val="fr-CA"/>
        </w:rPr>
        <w:t>Vérifications</w:t>
      </w:r>
    </w:p>
    <w:p w14:paraId="7413BD9D" w14:textId="77777777" w:rsidR="00B739DC" w:rsidRPr="00D5487B" w:rsidRDefault="00B739DC" w:rsidP="00B739DC">
      <w:pPr>
        <w:rPr>
          <w:rFonts w:asciiTheme="minorHAnsi" w:hAnsiTheme="minorHAnsi" w:cstheme="minorHAnsi"/>
          <w:sz w:val="22"/>
          <w:szCs w:val="22"/>
          <w:lang w:val="fr-CA" w:eastAsia="fr-FR" w:bidi="fr-FR"/>
        </w:rPr>
      </w:pPr>
      <w:r w:rsidRPr="00D5487B">
        <w:rPr>
          <w:rFonts w:asciiTheme="minorHAnsi" w:hAnsiTheme="minorHAnsi" w:cstheme="minorHAnsi"/>
          <w:sz w:val="22"/>
          <w:lang w:val="fr-CA" w:eastAsia="fr-FR" w:bidi="fr-FR"/>
        </w:rPr>
        <w:t>Dans son plan de vérification 2015-2016, la CFP indiquait que l’ASPC serait soumise à une vérification organisationnelle. En raison de l’adoption du nouveau cadre de nomination, la CFP a décidé de réaliser une évaluation en matière de dotation de l’ASPC plutôt qu’une vérification organisationnelle. Cette décision visait à appuyer l’organisme dans la mise en œuvre de la nouvelle orientation en dotation. A la fin de l’évaluation, en 2017, la CFP a conclu que l’organisme était en voie de répondre aux exigences du cadre de nomination de la CFP au titre de la nouvelle orientation en dotation. Depuis cette évaluation, l’ASPC surveille les domaines jugés à risque et met en œuvre les recommandations de la CFP.</w:t>
      </w:r>
    </w:p>
    <w:p w14:paraId="18377655" w14:textId="77777777" w:rsidR="00B739DC" w:rsidRPr="00D5487B" w:rsidRDefault="00B739DC" w:rsidP="003329E9">
      <w:pPr>
        <w:spacing w:before="120" w:after="120"/>
        <w:rPr>
          <w:rFonts w:asciiTheme="minorHAnsi" w:hAnsiTheme="minorHAnsi" w:cstheme="minorHAnsi"/>
          <w:sz w:val="22"/>
          <w:lang w:val="fr-CA" w:eastAsia="fr-FR" w:bidi="fr-FR"/>
        </w:rPr>
      </w:pPr>
      <w:r w:rsidRPr="00D5487B">
        <w:rPr>
          <w:rFonts w:asciiTheme="minorHAnsi" w:hAnsiTheme="minorHAnsi" w:cstheme="minorHAnsi"/>
          <w:sz w:val="22"/>
          <w:lang w:val="fr-CA" w:eastAsia="fr-FR" w:bidi="fr-FR"/>
        </w:rPr>
        <w:t>L’ASPC a participé au projet pilote de Vérification de la dotation à l’échelle du système qui a fait l’objet d’un rapport final publié en décembre 2018. L’ASPC figurait également parmi les 15 organismes choisis aux fins de la vérification horizontale de la validation des titres de compétences. Le rapport final de cette vérification a été publié en mai 2019.</w:t>
      </w:r>
    </w:p>
    <w:p w14:paraId="22C358C6" w14:textId="754D4F79" w:rsidR="00B739DC" w:rsidRPr="00D5487B" w:rsidRDefault="00B739DC" w:rsidP="00081375">
      <w:pPr>
        <w:pStyle w:val="Titre2"/>
        <w:spacing w:after="120"/>
        <w:rPr>
          <w:u w:val="single"/>
          <w:lang w:val="fr-CA"/>
        </w:rPr>
      </w:pPr>
      <w:r w:rsidRPr="00D5487B">
        <w:rPr>
          <w:lang w:val="fr-CA"/>
        </w:rPr>
        <w:t>Enquêtes</w:t>
      </w:r>
    </w:p>
    <w:p w14:paraId="6F26C01F" w14:textId="77777777" w:rsidR="00B739DC" w:rsidRPr="00D5487B" w:rsidRDefault="00B739DC" w:rsidP="003329E9">
      <w:pPr>
        <w:spacing w:before="120" w:after="120"/>
        <w:rPr>
          <w:rFonts w:asciiTheme="minorHAnsi" w:hAnsiTheme="minorHAnsi" w:cstheme="minorHAnsi"/>
          <w:sz w:val="22"/>
          <w:szCs w:val="22"/>
          <w:lang w:val="fr-CA" w:eastAsia="fr-FR" w:bidi="fr-FR"/>
        </w:rPr>
      </w:pPr>
      <w:r w:rsidRPr="00D5487B">
        <w:rPr>
          <w:rFonts w:asciiTheme="minorHAnsi" w:hAnsiTheme="minorHAnsi" w:cstheme="minorHAnsi"/>
          <w:sz w:val="22"/>
          <w:lang w:val="fr-CA" w:eastAsia="fr-FR" w:bidi="fr-FR"/>
        </w:rPr>
        <w:t>Entre le 1</w:t>
      </w:r>
      <w:r w:rsidRPr="00D5487B">
        <w:rPr>
          <w:rFonts w:asciiTheme="minorHAnsi" w:hAnsiTheme="minorHAnsi" w:cstheme="minorHAnsi"/>
          <w:sz w:val="22"/>
          <w:vertAlign w:val="superscript"/>
          <w:lang w:val="fr-CA" w:eastAsia="fr-FR" w:bidi="fr-FR"/>
        </w:rPr>
        <w:t>er</w:t>
      </w:r>
      <w:r w:rsidRPr="00D5487B">
        <w:rPr>
          <w:rFonts w:asciiTheme="minorHAnsi" w:hAnsiTheme="minorHAnsi" w:cstheme="minorHAnsi"/>
          <w:sz w:val="22"/>
          <w:lang w:val="fr-CA" w:eastAsia="fr-FR" w:bidi="fr-FR"/>
        </w:rPr>
        <w:t xml:space="preserve"> avril 2017 et le 10 février 2019, la CFP a reçu cinq demandes d’enquête : quatre portaient sur des processus externes de nomination et une sur des activités politiques. </w:t>
      </w:r>
    </w:p>
    <w:p w14:paraId="3082D45B" w14:textId="77777777" w:rsidR="00B739DC" w:rsidRPr="00D5487B" w:rsidRDefault="00B739DC" w:rsidP="003329E9">
      <w:pPr>
        <w:spacing w:before="120" w:after="120"/>
        <w:rPr>
          <w:rFonts w:asciiTheme="minorHAnsi" w:hAnsiTheme="minorHAnsi" w:cstheme="minorHAnsi"/>
          <w:sz w:val="22"/>
          <w:lang w:val="fr-CA" w:eastAsia="fr-FR" w:bidi="fr-FR"/>
        </w:rPr>
      </w:pPr>
      <w:r w:rsidRPr="00D5487B">
        <w:rPr>
          <w:rFonts w:asciiTheme="minorHAnsi" w:hAnsiTheme="minorHAnsi" w:cstheme="minorHAnsi"/>
          <w:sz w:val="22"/>
          <w:lang w:val="fr-CA" w:eastAsia="fr-FR" w:bidi="fr-FR"/>
        </w:rPr>
        <w:t>Les quatre dossiers sur les processus externes ont été classés, et le dossier sur des activités politiques est toujours à l’étude.</w:t>
      </w:r>
    </w:p>
    <w:p w14:paraId="08A7C727" w14:textId="3B482392" w:rsidR="00E2286C" w:rsidRPr="00D5487B" w:rsidRDefault="00E2286C" w:rsidP="00E2286C">
      <w:pPr>
        <w:pStyle w:val="Lgende"/>
        <w:keepNext/>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w:t>
      </w:r>
      <w:r w:rsidRPr="00D5487B">
        <w:rPr>
          <w:lang w:val="fr-CA"/>
        </w:rPr>
        <w:fldChar w:fldCharType="end"/>
      </w:r>
      <w:r w:rsidRPr="00D5487B">
        <w:rPr>
          <w:lang w:val="fr-CA"/>
        </w:rPr>
        <w:t xml:space="preserve"> - Enquêtes</w:t>
      </w:r>
    </w:p>
    <w:tbl>
      <w:tblPr>
        <w:tblStyle w:val="TableGrid11"/>
        <w:tblW w:w="0" w:type="auto"/>
        <w:tblLook w:val="00A0" w:firstRow="1" w:lastRow="0" w:firstColumn="1" w:lastColumn="0" w:noHBand="0" w:noVBand="0"/>
        <w:tblDescription w:val="Enquêtes"/>
      </w:tblPr>
      <w:tblGrid>
        <w:gridCol w:w="4801"/>
        <w:gridCol w:w="980"/>
        <w:gridCol w:w="2489"/>
        <w:gridCol w:w="1480"/>
        <w:gridCol w:w="1993"/>
        <w:gridCol w:w="1713"/>
        <w:gridCol w:w="934"/>
      </w:tblGrid>
      <w:tr w:rsidR="00E2286C" w:rsidRPr="00D5487B" w14:paraId="41889684" w14:textId="77777777" w:rsidTr="00E2286C">
        <w:trPr>
          <w:cantSplit/>
          <w:trHeight w:val="1219"/>
          <w:tblHeader/>
        </w:trPr>
        <w:tc>
          <w:tcPr>
            <w:tcW w:w="0" w:type="auto"/>
            <w:shd w:val="clear" w:color="auto" w:fill="54575A" w:themeFill="text1"/>
            <w:hideMark/>
          </w:tcPr>
          <w:p w14:paraId="62B1561E"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Agence de la santé publique du Canada</w:t>
            </w:r>
          </w:p>
        </w:tc>
        <w:tc>
          <w:tcPr>
            <w:tcW w:w="0" w:type="auto"/>
            <w:shd w:val="clear" w:color="auto" w:fill="54575A" w:themeFill="text1"/>
            <w:hideMark/>
          </w:tcPr>
          <w:p w14:paraId="4841B89B"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Cas reçus</w:t>
            </w:r>
          </w:p>
        </w:tc>
        <w:tc>
          <w:tcPr>
            <w:tcW w:w="0" w:type="auto"/>
            <w:shd w:val="clear" w:color="auto" w:fill="54575A" w:themeFill="text1"/>
            <w:hideMark/>
          </w:tcPr>
          <w:p w14:paraId="1C53E7E1"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Cas référés par l’organisation</w:t>
            </w:r>
          </w:p>
        </w:tc>
        <w:tc>
          <w:tcPr>
            <w:tcW w:w="0" w:type="auto"/>
            <w:shd w:val="clear" w:color="auto" w:fill="54575A" w:themeFill="text1"/>
            <w:hideMark/>
          </w:tcPr>
          <w:p w14:paraId="59F366D9"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Classés – refusés</w:t>
            </w:r>
          </w:p>
        </w:tc>
        <w:tc>
          <w:tcPr>
            <w:tcW w:w="0" w:type="auto"/>
            <w:shd w:val="clear" w:color="auto" w:fill="54575A" w:themeFill="text1"/>
            <w:hideMark/>
          </w:tcPr>
          <w:p w14:paraId="69BD70F1"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Complétés non-fondés</w:t>
            </w:r>
          </w:p>
        </w:tc>
        <w:tc>
          <w:tcPr>
            <w:tcW w:w="0" w:type="auto"/>
            <w:shd w:val="clear" w:color="auto" w:fill="54575A" w:themeFill="text1"/>
            <w:hideMark/>
          </w:tcPr>
          <w:p w14:paraId="23A2ACC9"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Complétés fondés</w:t>
            </w:r>
          </w:p>
        </w:tc>
        <w:tc>
          <w:tcPr>
            <w:tcW w:w="0" w:type="auto"/>
            <w:shd w:val="clear" w:color="auto" w:fill="54575A" w:themeFill="text1"/>
            <w:hideMark/>
          </w:tcPr>
          <w:p w14:paraId="32CB6FB1" w14:textId="77777777" w:rsidR="003329E9" w:rsidRPr="00D5487B" w:rsidRDefault="003329E9" w:rsidP="00E2286C">
            <w:pPr>
              <w:pStyle w:val="TableTitle"/>
              <w:rPr>
                <w:color w:val="FFFFFF" w:themeColor="background1"/>
                <w:lang w:val="fr-CA" w:eastAsia="en-CA"/>
              </w:rPr>
            </w:pPr>
            <w:r w:rsidRPr="00D5487B">
              <w:rPr>
                <w:color w:val="FFFFFF" w:themeColor="background1"/>
                <w:lang w:val="fr-CA" w:eastAsia="en-CA"/>
              </w:rPr>
              <w:t>En cours</w:t>
            </w:r>
          </w:p>
        </w:tc>
      </w:tr>
      <w:tr w:rsidR="00E2286C" w:rsidRPr="00D5487B" w14:paraId="450EE74B" w14:textId="77777777" w:rsidTr="00E2286C">
        <w:trPr>
          <w:cantSplit/>
          <w:trHeight w:val="1219"/>
          <w:tblHeader/>
        </w:trPr>
        <w:tc>
          <w:tcPr>
            <w:tcW w:w="0" w:type="auto"/>
            <w:shd w:val="clear" w:color="auto" w:fill="54575A" w:themeFill="text1"/>
            <w:hideMark/>
          </w:tcPr>
          <w:p w14:paraId="30032F27" w14:textId="77777777" w:rsidR="003329E9" w:rsidRPr="00D5487B" w:rsidRDefault="003329E9" w:rsidP="00E2286C">
            <w:pPr>
              <w:rPr>
                <w:rFonts w:asciiTheme="minorHAnsi" w:hAnsiTheme="minorHAnsi" w:cstheme="minorHAnsi"/>
                <w:color w:val="FFFFFF" w:themeColor="background1"/>
                <w:sz w:val="22"/>
                <w:szCs w:val="22"/>
                <w:lang w:val="fr-CA" w:eastAsia="en-CA"/>
              </w:rPr>
            </w:pPr>
            <w:r w:rsidRPr="00D5487B">
              <w:rPr>
                <w:rFonts w:asciiTheme="minorHAnsi" w:hAnsiTheme="minorHAnsi" w:cstheme="minorHAnsi"/>
                <w:color w:val="FFFFFF" w:themeColor="background1"/>
                <w:sz w:val="22"/>
                <w:szCs w:val="22"/>
                <w:lang w:val="fr-CA" w:eastAsia="en-CA"/>
              </w:rPr>
              <w:t>s.66 Nominations externes (mérite, erreur, omission, conduite irrégulière)</w:t>
            </w:r>
          </w:p>
        </w:tc>
        <w:tc>
          <w:tcPr>
            <w:tcW w:w="0" w:type="auto"/>
            <w:hideMark/>
          </w:tcPr>
          <w:p w14:paraId="0534C5E9"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4</w:t>
            </w:r>
          </w:p>
        </w:tc>
        <w:tc>
          <w:tcPr>
            <w:tcW w:w="0" w:type="auto"/>
            <w:hideMark/>
          </w:tcPr>
          <w:p w14:paraId="54992DD8"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1380AC23"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4</w:t>
            </w:r>
          </w:p>
        </w:tc>
        <w:tc>
          <w:tcPr>
            <w:tcW w:w="0" w:type="auto"/>
            <w:hideMark/>
          </w:tcPr>
          <w:p w14:paraId="4A586712"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3C770BC2"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3E0AF2BC"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r>
      <w:tr w:rsidR="00E2286C" w:rsidRPr="00D5487B" w14:paraId="756674AD" w14:textId="77777777" w:rsidTr="00E2286C">
        <w:trPr>
          <w:cantSplit/>
          <w:trHeight w:val="609"/>
          <w:tblHeader/>
        </w:trPr>
        <w:tc>
          <w:tcPr>
            <w:tcW w:w="0" w:type="auto"/>
            <w:shd w:val="clear" w:color="auto" w:fill="54575A" w:themeFill="text1"/>
            <w:hideMark/>
          </w:tcPr>
          <w:p w14:paraId="67CC0FA5" w14:textId="77777777" w:rsidR="003329E9" w:rsidRPr="00D5487B" w:rsidRDefault="003329E9" w:rsidP="00E2286C">
            <w:pPr>
              <w:rPr>
                <w:rFonts w:asciiTheme="minorHAnsi" w:hAnsiTheme="minorHAnsi" w:cstheme="minorHAnsi"/>
                <w:color w:val="FFFFFF" w:themeColor="background1"/>
                <w:sz w:val="22"/>
                <w:szCs w:val="22"/>
                <w:lang w:val="fr-CA" w:eastAsia="en-CA"/>
              </w:rPr>
            </w:pPr>
            <w:r w:rsidRPr="00D5487B">
              <w:rPr>
                <w:rFonts w:asciiTheme="minorHAnsi" w:hAnsiTheme="minorHAnsi" w:cstheme="minorHAnsi"/>
                <w:color w:val="FFFFFF" w:themeColor="background1"/>
                <w:sz w:val="22"/>
                <w:szCs w:val="22"/>
                <w:lang w:val="fr-CA" w:eastAsia="en-CA"/>
              </w:rPr>
              <w:t>s.118 Activités politiques inappropriées - fonctionnaires</w:t>
            </w:r>
          </w:p>
        </w:tc>
        <w:tc>
          <w:tcPr>
            <w:tcW w:w="0" w:type="auto"/>
            <w:hideMark/>
          </w:tcPr>
          <w:p w14:paraId="1A812042"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1</w:t>
            </w:r>
          </w:p>
        </w:tc>
        <w:tc>
          <w:tcPr>
            <w:tcW w:w="0" w:type="auto"/>
            <w:hideMark/>
          </w:tcPr>
          <w:p w14:paraId="66BF4C5B"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53E12ABB"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00312274"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7803596F"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0</w:t>
            </w:r>
          </w:p>
        </w:tc>
        <w:tc>
          <w:tcPr>
            <w:tcW w:w="0" w:type="auto"/>
            <w:hideMark/>
          </w:tcPr>
          <w:p w14:paraId="338AF85A" w14:textId="77777777" w:rsidR="003329E9" w:rsidRPr="00D5487B" w:rsidRDefault="003329E9" w:rsidP="00E2286C">
            <w:pPr>
              <w:jc w:val="center"/>
              <w:rPr>
                <w:rFonts w:asciiTheme="minorHAnsi" w:hAnsiTheme="minorHAnsi" w:cstheme="minorHAnsi"/>
                <w:sz w:val="22"/>
                <w:szCs w:val="22"/>
                <w:lang w:val="fr-CA" w:eastAsia="en-CA"/>
              </w:rPr>
            </w:pPr>
            <w:r w:rsidRPr="00D5487B">
              <w:rPr>
                <w:rFonts w:asciiTheme="minorHAnsi" w:hAnsiTheme="minorHAnsi" w:cstheme="minorHAnsi"/>
                <w:sz w:val="22"/>
                <w:szCs w:val="22"/>
                <w:lang w:val="fr-CA" w:eastAsia="en-CA"/>
              </w:rPr>
              <w:t>1</w:t>
            </w:r>
          </w:p>
        </w:tc>
      </w:tr>
      <w:tr w:rsidR="00E2286C" w:rsidRPr="00D5487B" w14:paraId="4B82BEEA" w14:textId="77777777" w:rsidTr="00E2286C">
        <w:trPr>
          <w:cantSplit/>
          <w:trHeight w:val="304"/>
          <w:tblHeader/>
        </w:trPr>
        <w:tc>
          <w:tcPr>
            <w:tcW w:w="0" w:type="auto"/>
            <w:shd w:val="clear" w:color="auto" w:fill="54575A" w:themeFill="text1"/>
            <w:hideMark/>
          </w:tcPr>
          <w:p w14:paraId="769704D5" w14:textId="77777777" w:rsidR="003329E9" w:rsidRPr="00D5487B" w:rsidRDefault="003329E9" w:rsidP="00E2286C">
            <w:pPr>
              <w:jc w:val="center"/>
              <w:rPr>
                <w:rFonts w:asciiTheme="minorHAnsi" w:hAnsiTheme="minorHAnsi" w:cstheme="minorHAnsi"/>
                <w:b/>
                <w:bCs/>
                <w:color w:val="FFFFFF" w:themeColor="background1"/>
                <w:sz w:val="22"/>
                <w:szCs w:val="22"/>
                <w:lang w:val="fr-CA" w:eastAsia="en-CA"/>
              </w:rPr>
            </w:pPr>
            <w:r w:rsidRPr="00D5487B">
              <w:rPr>
                <w:rFonts w:asciiTheme="minorHAnsi" w:hAnsiTheme="minorHAnsi" w:cstheme="minorHAnsi"/>
                <w:b/>
                <w:bCs/>
                <w:color w:val="FFFFFF" w:themeColor="background1"/>
                <w:sz w:val="22"/>
                <w:szCs w:val="22"/>
                <w:lang w:val="fr-CA" w:eastAsia="en-CA"/>
              </w:rPr>
              <w:t>Total</w:t>
            </w:r>
          </w:p>
        </w:tc>
        <w:tc>
          <w:tcPr>
            <w:tcW w:w="0" w:type="auto"/>
            <w:hideMark/>
          </w:tcPr>
          <w:p w14:paraId="1AA1667A" w14:textId="77777777" w:rsidR="003329E9" w:rsidRPr="00D5487B" w:rsidRDefault="003329E9" w:rsidP="00E2286C">
            <w:pPr>
              <w:jc w:val="center"/>
              <w:rPr>
                <w:rFonts w:asciiTheme="minorHAnsi" w:hAnsiTheme="minorHAnsi" w:cstheme="minorHAnsi"/>
                <w:bCs/>
                <w:sz w:val="22"/>
                <w:szCs w:val="22"/>
                <w:lang w:val="fr-CA" w:eastAsia="en-CA"/>
              </w:rPr>
            </w:pPr>
            <w:r w:rsidRPr="00D5487B">
              <w:rPr>
                <w:rFonts w:asciiTheme="minorHAnsi" w:hAnsiTheme="minorHAnsi" w:cstheme="minorHAnsi"/>
                <w:bCs/>
                <w:sz w:val="22"/>
                <w:szCs w:val="22"/>
                <w:lang w:val="fr-CA" w:eastAsia="en-CA"/>
              </w:rPr>
              <w:t>5</w:t>
            </w:r>
          </w:p>
        </w:tc>
        <w:tc>
          <w:tcPr>
            <w:tcW w:w="0" w:type="auto"/>
            <w:hideMark/>
          </w:tcPr>
          <w:p w14:paraId="3CE51CFA" w14:textId="77777777" w:rsidR="003329E9" w:rsidRPr="00D5487B" w:rsidRDefault="003329E9" w:rsidP="00E2286C">
            <w:pPr>
              <w:jc w:val="center"/>
              <w:rPr>
                <w:rFonts w:asciiTheme="minorHAnsi" w:hAnsiTheme="minorHAnsi" w:cstheme="minorHAnsi"/>
                <w:bCs/>
                <w:sz w:val="22"/>
                <w:szCs w:val="22"/>
                <w:lang w:val="fr-CA" w:eastAsia="en-CA"/>
              </w:rPr>
            </w:pPr>
            <w:r w:rsidRPr="00D5487B">
              <w:rPr>
                <w:rFonts w:asciiTheme="minorHAnsi" w:hAnsiTheme="minorHAnsi" w:cstheme="minorHAnsi"/>
                <w:bCs/>
                <w:sz w:val="22"/>
                <w:szCs w:val="22"/>
                <w:lang w:val="fr-CA" w:eastAsia="en-CA"/>
              </w:rPr>
              <w:t>0</w:t>
            </w:r>
          </w:p>
        </w:tc>
        <w:tc>
          <w:tcPr>
            <w:tcW w:w="0" w:type="auto"/>
            <w:hideMark/>
          </w:tcPr>
          <w:p w14:paraId="3C9587AD" w14:textId="77777777" w:rsidR="003329E9" w:rsidRPr="00D5487B" w:rsidRDefault="003329E9" w:rsidP="00E2286C">
            <w:pPr>
              <w:jc w:val="center"/>
              <w:rPr>
                <w:rFonts w:asciiTheme="minorHAnsi" w:hAnsiTheme="minorHAnsi" w:cstheme="minorHAnsi"/>
                <w:bCs/>
                <w:sz w:val="22"/>
                <w:szCs w:val="22"/>
                <w:lang w:val="fr-CA" w:eastAsia="en-CA"/>
              </w:rPr>
            </w:pPr>
            <w:r w:rsidRPr="00D5487B">
              <w:rPr>
                <w:rFonts w:asciiTheme="minorHAnsi" w:hAnsiTheme="minorHAnsi" w:cstheme="minorHAnsi"/>
                <w:bCs/>
                <w:sz w:val="22"/>
                <w:szCs w:val="22"/>
                <w:lang w:val="fr-CA" w:eastAsia="en-CA"/>
              </w:rPr>
              <w:t>4</w:t>
            </w:r>
          </w:p>
        </w:tc>
        <w:tc>
          <w:tcPr>
            <w:tcW w:w="0" w:type="auto"/>
            <w:hideMark/>
          </w:tcPr>
          <w:p w14:paraId="4F82BE0E" w14:textId="77777777" w:rsidR="003329E9" w:rsidRPr="00D5487B" w:rsidRDefault="003329E9" w:rsidP="00E2286C">
            <w:pPr>
              <w:jc w:val="center"/>
              <w:rPr>
                <w:rFonts w:asciiTheme="minorHAnsi" w:hAnsiTheme="minorHAnsi" w:cstheme="minorHAnsi"/>
                <w:bCs/>
                <w:sz w:val="22"/>
                <w:szCs w:val="22"/>
                <w:lang w:val="fr-CA" w:eastAsia="en-CA"/>
              </w:rPr>
            </w:pPr>
            <w:r w:rsidRPr="00D5487B">
              <w:rPr>
                <w:rFonts w:asciiTheme="minorHAnsi" w:hAnsiTheme="minorHAnsi" w:cstheme="minorHAnsi"/>
                <w:bCs/>
                <w:sz w:val="22"/>
                <w:szCs w:val="22"/>
                <w:lang w:val="fr-CA" w:eastAsia="en-CA"/>
              </w:rPr>
              <w:t>0</w:t>
            </w:r>
          </w:p>
        </w:tc>
        <w:tc>
          <w:tcPr>
            <w:tcW w:w="0" w:type="auto"/>
            <w:hideMark/>
          </w:tcPr>
          <w:p w14:paraId="65C2007E" w14:textId="77777777" w:rsidR="003329E9" w:rsidRPr="00D5487B" w:rsidRDefault="003329E9" w:rsidP="00E2286C">
            <w:pPr>
              <w:jc w:val="center"/>
              <w:rPr>
                <w:rFonts w:asciiTheme="minorHAnsi" w:hAnsiTheme="minorHAnsi" w:cstheme="minorHAnsi"/>
                <w:bCs/>
                <w:sz w:val="22"/>
                <w:szCs w:val="22"/>
                <w:lang w:val="fr-CA" w:eastAsia="en-CA"/>
              </w:rPr>
            </w:pPr>
            <w:r w:rsidRPr="00D5487B">
              <w:rPr>
                <w:rFonts w:asciiTheme="minorHAnsi" w:hAnsiTheme="minorHAnsi" w:cstheme="minorHAnsi"/>
                <w:bCs/>
                <w:sz w:val="22"/>
                <w:szCs w:val="22"/>
                <w:lang w:val="fr-CA" w:eastAsia="en-CA"/>
              </w:rPr>
              <w:t>0</w:t>
            </w:r>
          </w:p>
        </w:tc>
        <w:tc>
          <w:tcPr>
            <w:tcW w:w="0" w:type="auto"/>
            <w:hideMark/>
          </w:tcPr>
          <w:p w14:paraId="5E99C0B5" w14:textId="77777777" w:rsidR="003329E9" w:rsidRPr="00D5487B" w:rsidRDefault="003329E9" w:rsidP="00E2286C">
            <w:pPr>
              <w:jc w:val="center"/>
              <w:rPr>
                <w:rFonts w:asciiTheme="minorHAnsi" w:hAnsiTheme="minorHAnsi" w:cstheme="minorHAnsi"/>
                <w:bCs/>
                <w:sz w:val="22"/>
                <w:szCs w:val="22"/>
                <w:lang w:val="fr-CA" w:eastAsia="en-CA"/>
              </w:rPr>
            </w:pPr>
            <w:r w:rsidRPr="00D5487B">
              <w:rPr>
                <w:rFonts w:asciiTheme="minorHAnsi" w:hAnsiTheme="minorHAnsi" w:cstheme="minorHAnsi"/>
                <w:bCs/>
                <w:sz w:val="22"/>
                <w:szCs w:val="22"/>
                <w:lang w:val="fr-CA" w:eastAsia="en-CA"/>
              </w:rPr>
              <w:t>1</w:t>
            </w:r>
          </w:p>
        </w:tc>
      </w:tr>
    </w:tbl>
    <w:p w14:paraId="3C615E7E" w14:textId="73116879" w:rsidR="00B739DC" w:rsidRPr="00D5487B" w:rsidRDefault="00E2286C" w:rsidP="00E2286C">
      <w:pPr>
        <w:rPr>
          <w:rFonts w:asciiTheme="minorHAnsi" w:hAnsiTheme="minorHAnsi" w:cstheme="minorHAnsi"/>
          <w:lang w:val="fr-CA" w:eastAsia="fr-FR" w:bidi="fr-FR"/>
        </w:rPr>
      </w:pPr>
      <w:r w:rsidRPr="00D5487B">
        <w:rPr>
          <w:rFonts w:asciiTheme="minorHAnsi" w:hAnsiTheme="minorHAnsi" w:cstheme="minorHAnsi"/>
          <w:sz w:val="22"/>
          <w:lang w:val="fr-CA" w:eastAsia="fr-FR" w:bidi="fr-FR"/>
        </w:rPr>
        <w:t>Remarque : Le nombre de dossiers reçus peut ne pas concorder avec le nombre de dossiers fermés/terminés car les dossiers fermés/terminés ne sont pas nécessairement ceux qui ont été reçus dans la même période. Certains dossiers peuvent également être abandonnés ou résolus par une intervention précoce.</w:t>
      </w:r>
    </w:p>
    <w:p w14:paraId="3A07BB21" w14:textId="77777777" w:rsidR="003329E9" w:rsidRPr="00D5487B" w:rsidRDefault="003329E9" w:rsidP="00081375">
      <w:pPr>
        <w:pStyle w:val="Titre2"/>
        <w:spacing w:after="120"/>
        <w:rPr>
          <w:lang w:val="fr-CA"/>
        </w:rPr>
        <w:sectPr w:rsidR="003329E9" w:rsidRPr="00D5487B" w:rsidSect="00011B85">
          <w:footnotePr>
            <w:numFmt w:val="lowerLetter"/>
          </w:footnotePr>
          <w:endnotePr>
            <w:numFmt w:val="lowerLetter"/>
          </w:endnotePr>
          <w:pgSz w:w="15840" w:h="12240" w:orient="landscape" w:code="1"/>
          <w:pgMar w:top="720" w:right="720" w:bottom="720" w:left="720" w:header="284" w:footer="283" w:gutter="0"/>
          <w:cols w:space="720"/>
          <w:docGrid w:linePitch="326"/>
        </w:sectPr>
      </w:pPr>
    </w:p>
    <w:p w14:paraId="18B070ED" w14:textId="33AAC9AD" w:rsidR="00B739DC" w:rsidRPr="00D5487B" w:rsidRDefault="00B739DC" w:rsidP="00081375">
      <w:pPr>
        <w:pStyle w:val="Titre2"/>
        <w:spacing w:after="120"/>
        <w:rPr>
          <w:b w:val="0"/>
          <w:caps/>
          <w:color w:val="000000"/>
          <w:lang w:val="fr-CA"/>
        </w:rPr>
      </w:pPr>
      <w:r w:rsidRPr="00D5487B">
        <w:rPr>
          <w:lang w:val="fr-CA"/>
        </w:rPr>
        <w:lastRenderedPageBreak/>
        <w:t>Résultats du Sondage sur la dotation et l’impartialité politique</w:t>
      </w:r>
    </w:p>
    <w:p w14:paraId="591FC30A" w14:textId="77777777" w:rsidR="00B739DC" w:rsidRPr="00D5487B" w:rsidRDefault="00B739DC" w:rsidP="003329E9">
      <w:pPr>
        <w:pStyle w:val="Style7"/>
        <w:spacing w:before="120" w:after="120"/>
        <w:jc w:val="left"/>
        <w:rPr>
          <w:rFonts w:asciiTheme="minorHAnsi" w:hAnsiTheme="minorHAnsi" w:cstheme="minorHAnsi"/>
          <w:color w:val="auto"/>
          <w:lang w:val="fr-CA" w:eastAsia="fr-FR" w:bidi="fr-FR"/>
        </w:rPr>
      </w:pPr>
      <w:r w:rsidRPr="00D5487B">
        <w:rPr>
          <w:rFonts w:asciiTheme="minorHAnsi" w:hAnsiTheme="minorHAnsi" w:cstheme="minorHAnsi"/>
          <w:color w:val="auto"/>
          <w:lang w:val="fr-CA" w:eastAsia="fr-FR" w:bidi="fr-FR"/>
        </w:rPr>
        <w:t>Les résultats du sondage mené à l’ASPC indiquent que les gestionnaires y sont moins satisfaits de la qualité des services qu’ils reçoivent de leur conseiller en ressources humaines que les gestionnaires d’autres organisations d’une taille semblable et ceux de la fonction publique dans son ensemble.</w:t>
      </w:r>
    </w:p>
    <w:p w14:paraId="7B301B17" w14:textId="77777777" w:rsidR="00B739DC" w:rsidRPr="00D5487B" w:rsidRDefault="00B739DC" w:rsidP="003329E9">
      <w:pPr>
        <w:pStyle w:val="Style7"/>
        <w:spacing w:before="120" w:after="120"/>
        <w:jc w:val="left"/>
        <w:rPr>
          <w:rFonts w:asciiTheme="minorHAnsi" w:hAnsiTheme="minorHAnsi" w:cstheme="minorHAnsi"/>
          <w:color w:val="auto"/>
          <w:lang w:val="fr-CA" w:eastAsia="fr-FR" w:bidi="fr-FR"/>
        </w:rPr>
      </w:pPr>
      <w:r w:rsidRPr="00D5487B">
        <w:rPr>
          <w:rFonts w:asciiTheme="minorHAnsi" w:hAnsiTheme="minorHAnsi" w:cstheme="minorHAnsi"/>
          <w:color w:val="auto"/>
          <w:lang w:val="fr-CA" w:eastAsia="fr-FR" w:bidi="fr-FR"/>
        </w:rPr>
        <w:t>Vous trouverez ci-après les principaux résultats du Sondage sur la dotation et l’impartialité politique réalisé auprès du personnel de l’ASPC en 2018 :</w:t>
      </w:r>
    </w:p>
    <w:p w14:paraId="4226636C" w14:textId="77777777" w:rsidR="00B739DC" w:rsidRPr="00D5487B" w:rsidRDefault="00B739DC" w:rsidP="003329E9">
      <w:pPr>
        <w:pStyle w:val="Style7"/>
        <w:numPr>
          <w:ilvl w:val="0"/>
          <w:numId w:val="35"/>
        </w:numPr>
        <w:jc w:val="left"/>
        <w:rPr>
          <w:rFonts w:asciiTheme="minorHAnsi" w:hAnsiTheme="minorHAnsi" w:cstheme="minorHAnsi"/>
          <w:color w:val="auto"/>
          <w:szCs w:val="22"/>
          <w:lang w:val="fr-CA" w:eastAsia="fr-FR" w:bidi="fr-FR"/>
        </w:rPr>
      </w:pPr>
      <w:r w:rsidRPr="00D5487B">
        <w:rPr>
          <w:rFonts w:asciiTheme="minorHAnsi" w:hAnsiTheme="minorHAnsi" w:cstheme="minorHAnsi"/>
          <w:color w:val="auto"/>
          <w:szCs w:val="22"/>
          <w:lang w:val="fr-CA" w:eastAsia="fr-FR" w:bidi="fr-FR"/>
        </w:rPr>
        <w:t xml:space="preserve">59 % des </w:t>
      </w:r>
      <w:r w:rsidRPr="00D5487B">
        <w:rPr>
          <w:rStyle w:val="lev"/>
          <w:rFonts w:asciiTheme="minorHAnsi" w:hAnsiTheme="minorHAnsi" w:cstheme="minorHAnsi"/>
          <w:sz w:val="22"/>
          <w:szCs w:val="22"/>
          <w:lang w:val="fr-CA"/>
        </w:rPr>
        <w:t>employés</w:t>
      </w:r>
      <w:r w:rsidRPr="00D5487B">
        <w:rPr>
          <w:rFonts w:asciiTheme="minorHAnsi" w:hAnsiTheme="minorHAnsi" w:cstheme="minorHAnsi"/>
          <w:color w:val="auto"/>
          <w:szCs w:val="22"/>
          <w:lang w:val="fr-CA" w:eastAsia="fr-FR" w:bidi="fr-FR"/>
        </w:rPr>
        <w:t xml:space="preserve"> ont indiqué que les personnes embauchées dans leur unité de travail pouvaient faire leur travail, contre 52,3 % dans des organisations d’une taille semblable et 53,8 % dans l’ensemble des organisations de la fonction publique fédérale. </w:t>
      </w:r>
    </w:p>
    <w:p w14:paraId="55C0F6C8" w14:textId="77777777" w:rsidR="00B739DC" w:rsidRPr="00D5487B" w:rsidRDefault="00B739DC" w:rsidP="003329E9">
      <w:pPr>
        <w:pStyle w:val="Style7"/>
        <w:numPr>
          <w:ilvl w:val="0"/>
          <w:numId w:val="35"/>
        </w:numPr>
        <w:jc w:val="left"/>
        <w:rPr>
          <w:rFonts w:asciiTheme="minorHAnsi" w:hAnsiTheme="minorHAnsi" w:cstheme="minorHAnsi"/>
          <w:color w:val="auto"/>
          <w:szCs w:val="22"/>
          <w:lang w:val="fr-CA" w:eastAsia="fr-FR" w:bidi="fr-FR"/>
        </w:rPr>
      </w:pPr>
      <w:r w:rsidRPr="00D5487B">
        <w:rPr>
          <w:rFonts w:asciiTheme="minorHAnsi" w:hAnsiTheme="minorHAnsi" w:cstheme="minorHAnsi"/>
          <w:color w:val="auto"/>
          <w:szCs w:val="22"/>
          <w:lang w:val="fr-CA" w:eastAsia="fr-FR" w:bidi="fr-FR"/>
        </w:rPr>
        <w:t xml:space="preserve">9,6 % des </w:t>
      </w:r>
      <w:r w:rsidRPr="00D5487B">
        <w:rPr>
          <w:rStyle w:val="lev"/>
          <w:rFonts w:asciiTheme="minorHAnsi" w:hAnsiTheme="minorHAnsi" w:cstheme="minorHAnsi"/>
          <w:sz w:val="22"/>
          <w:szCs w:val="22"/>
          <w:lang w:val="fr-CA"/>
        </w:rPr>
        <w:t>gestionnaires</w:t>
      </w:r>
      <w:r w:rsidRPr="00D5487B">
        <w:rPr>
          <w:rFonts w:asciiTheme="minorHAnsi" w:hAnsiTheme="minorHAnsi" w:cstheme="minorHAnsi"/>
          <w:color w:val="auto"/>
          <w:szCs w:val="22"/>
          <w:lang w:val="fr-CA" w:eastAsia="fr-FR" w:bidi="fr-FR"/>
        </w:rPr>
        <w:t xml:space="preserve"> convenaient qu’ils ressentaient une pression externe à sélectionner un employé en particulier alors que la proportion était de 13,3 % dans des organisations d’une taille semblable et de 12,7 % dans l’ensemble des organisations de la fonction publique fédérale.</w:t>
      </w:r>
    </w:p>
    <w:p w14:paraId="66C83A9C" w14:textId="77777777" w:rsidR="00B739DC" w:rsidRPr="00D5487B" w:rsidRDefault="00B739DC" w:rsidP="003329E9">
      <w:pPr>
        <w:pStyle w:val="Style7"/>
        <w:numPr>
          <w:ilvl w:val="0"/>
          <w:numId w:val="35"/>
        </w:numPr>
        <w:jc w:val="left"/>
        <w:rPr>
          <w:rFonts w:asciiTheme="minorHAnsi" w:hAnsiTheme="minorHAnsi" w:cstheme="minorHAnsi"/>
          <w:color w:val="auto"/>
          <w:szCs w:val="22"/>
          <w:lang w:val="fr-CA" w:eastAsia="fr-FR" w:bidi="fr-FR"/>
        </w:rPr>
      </w:pPr>
      <w:r w:rsidRPr="00D5487B">
        <w:rPr>
          <w:rFonts w:asciiTheme="minorHAnsi" w:hAnsiTheme="minorHAnsi" w:cstheme="minorHAnsi"/>
          <w:color w:val="auto"/>
          <w:szCs w:val="22"/>
          <w:lang w:val="fr-CA" w:eastAsia="fr-FR" w:bidi="fr-FR"/>
        </w:rPr>
        <w:t xml:space="preserve">57,3 % des </w:t>
      </w:r>
      <w:r w:rsidRPr="00D5487B">
        <w:rPr>
          <w:rStyle w:val="lev"/>
          <w:rFonts w:asciiTheme="minorHAnsi" w:hAnsiTheme="minorHAnsi" w:cstheme="minorHAnsi"/>
          <w:sz w:val="22"/>
          <w:szCs w:val="22"/>
          <w:lang w:val="fr-CA"/>
        </w:rPr>
        <w:t>gestionnaire</w:t>
      </w:r>
      <w:r w:rsidRPr="00D5487B">
        <w:rPr>
          <w:rFonts w:asciiTheme="minorHAnsi" w:hAnsiTheme="minorHAnsi" w:cstheme="minorHAnsi"/>
          <w:b/>
          <w:color w:val="auto"/>
          <w:szCs w:val="22"/>
          <w:lang w:val="fr-CA" w:eastAsia="fr-FR" w:bidi="fr-FR"/>
        </w:rPr>
        <w:t>s</w:t>
      </w:r>
      <w:r w:rsidRPr="00D5487B">
        <w:rPr>
          <w:rFonts w:asciiTheme="minorHAnsi" w:hAnsiTheme="minorHAnsi" w:cstheme="minorHAnsi"/>
          <w:color w:val="auto"/>
          <w:szCs w:val="22"/>
          <w:lang w:val="fr-CA" w:eastAsia="fr-FR" w:bidi="fr-FR"/>
        </w:rPr>
        <w:t xml:space="preserve"> ont déclaré qu’ils comprenaient les dispositions qui aident les anciens combattants à trouver un emploi dans la fonction publique fédérale, alors que la proportion était de 65,6 % dans des organisations d’une taille semblable et de 65,8 % dans l’ensemble des organisations de la fonction publique fédérale.</w:t>
      </w:r>
    </w:p>
    <w:p w14:paraId="2A7D585A" w14:textId="65D7D684" w:rsidR="00B739DC" w:rsidRPr="00D5487B" w:rsidRDefault="00B739DC" w:rsidP="003329E9">
      <w:pPr>
        <w:pStyle w:val="Style7"/>
        <w:numPr>
          <w:ilvl w:val="0"/>
          <w:numId w:val="35"/>
        </w:numPr>
        <w:jc w:val="left"/>
        <w:rPr>
          <w:rFonts w:asciiTheme="minorHAnsi" w:hAnsiTheme="minorHAnsi" w:cstheme="minorHAnsi"/>
          <w:color w:val="auto"/>
          <w:szCs w:val="22"/>
          <w:lang w:val="fr-CA" w:eastAsia="fr-FR" w:bidi="fr-FR"/>
        </w:rPr>
      </w:pPr>
      <w:r w:rsidRPr="00D5487B">
        <w:rPr>
          <w:rFonts w:asciiTheme="minorHAnsi" w:hAnsiTheme="minorHAnsi" w:cstheme="minorHAnsi"/>
          <w:color w:val="auto"/>
          <w:szCs w:val="22"/>
          <w:lang w:val="fr-CA" w:eastAsia="fr-FR" w:bidi="fr-FR"/>
        </w:rPr>
        <w:t xml:space="preserve">90,5 % des </w:t>
      </w:r>
      <w:r w:rsidRPr="00D5487B">
        <w:rPr>
          <w:rStyle w:val="lev"/>
          <w:rFonts w:asciiTheme="minorHAnsi" w:hAnsiTheme="minorHAnsi" w:cstheme="minorHAnsi"/>
          <w:sz w:val="22"/>
          <w:szCs w:val="22"/>
          <w:lang w:val="fr-CA"/>
        </w:rPr>
        <w:t>gestionnaires</w:t>
      </w:r>
      <w:r w:rsidRPr="00D5487B">
        <w:rPr>
          <w:rFonts w:asciiTheme="minorHAnsi" w:hAnsiTheme="minorHAnsi" w:cstheme="minorHAnsi"/>
          <w:color w:val="auto"/>
          <w:szCs w:val="22"/>
          <w:lang w:val="fr-CA" w:eastAsia="fr-FR" w:bidi="fr-FR"/>
        </w:rPr>
        <w:t xml:space="preserve"> estimaient que la dotation est un processus lourd, alors que la proportion était de 88,6 % dans des organisations d’une taille semblable et de 87,9 % dans l’ensemble des organisations de la fonction publique fédérale.</w:t>
      </w:r>
    </w:p>
    <w:p w14:paraId="25B33AD5" w14:textId="7A58D435" w:rsidR="00D269E7" w:rsidRPr="00D5487B" w:rsidRDefault="00B739DC" w:rsidP="003329E9">
      <w:pPr>
        <w:pStyle w:val="Style7"/>
        <w:numPr>
          <w:ilvl w:val="0"/>
          <w:numId w:val="35"/>
        </w:numPr>
        <w:spacing w:after="120"/>
        <w:jc w:val="left"/>
        <w:rPr>
          <w:szCs w:val="22"/>
          <w:lang w:val="fr-CA" w:eastAsia="fr-FR" w:bidi="fr-FR"/>
        </w:rPr>
      </w:pPr>
      <w:r w:rsidRPr="00D5487B">
        <w:rPr>
          <w:rFonts w:asciiTheme="minorHAnsi" w:hAnsiTheme="minorHAnsi" w:cstheme="minorHAnsi"/>
          <w:color w:val="auto"/>
          <w:szCs w:val="22"/>
          <w:lang w:val="fr-CA" w:eastAsia="fr-FR" w:bidi="fr-FR"/>
        </w:rPr>
        <w:t xml:space="preserve">67,3 % des </w:t>
      </w:r>
      <w:r w:rsidRPr="00D5487B">
        <w:rPr>
          <w:rStyle w:val="lev"/>
          <w:rFonts w:asciiTheme="minorHAnsi" w:hAnsiTheme="minorHAnsi" w:cstheme="minorHAnsi"/>
          <w:sz w:val="22"/>
          <w:szCs w:val="22"/>
          <w:lang w:val="fr-CA"/>
        </w:rPr>
        <w:t>gestionnaires</w:t>
      </w:r>
      <w:r w:rsidRPr="00D5487B">
        <w:rPr>
          <w:rFonts w:asciiTheme="minorHAnsi" w:hAnsiTheme="minorHAnsi" w:cstheme="minorHAnsi"/>
          <w:color w:val="auto"/>
          <w:szCs w:val="22"/>
          <w:lang w:val="fr-CA" w:eastAsia="fr-FR" w:bidi="fr-FR"/>
        </w:rPr>
        <w:t xml:space="preserve"> estimaient que la dotation n’est pas assez rapide, alors que la proportion était de 64,5 % dans des organisations d’une taille semblable et de 62,4 % dans l’ensemble des organisations de la fonction publique fédérale.</w:t>
      </w:r>
    </w:p>
    <w:p w14:paraId="28FC80DD" w14:textId="77777777" w:rsidR="00FB4772" w:rsidRPr="00D5487B" w:rsidRDefault="00FB4772" w:rsidP="00081375">
      <w:pPr>
        <w:pStyle w:val="Titre1"/>
        <w:spacing w:after="240"/>
        <w:rPr>
          <w:sz w:val="22"/>
          <w:szCs w:val="22"/>
          <w:lang w:val="fr-CA"/>
        </w:rPr>
        <w:sectPr w:rsidR="00FB4772" w:rsidRPr="00D5487B" w:rsidSect="00011B85">
          <w:footnotePr>
            <w:numFmt w:val="lowerLetter"/>
          </w:footnotePr>
          <w:endnotePr>
            <w:numFmt w:val="lowerLetter"/>
          </w:endnotePr>
          <w:pgSz w:w="12240" w:h="15840" w:code="1"/>
          <w:pgMar w:top="709" w:right="1304" w:bottom="1361" w:left="1304" w:header="284" w:footer="283" w:gutter="0"/>
          <w:cols w:space="720"/>
          <w:docGrid w:linePitch="326"/>
        </w:sectPr>
      </w:pPr>
    </w:p>
    <w:p w14:paraId="67E4B174" w14:textId="1DB0F6E5" w:rsidR="00B739DC" w:rsidRPr="00D5487B" w:rsidRDefault="00B739DC" w:rsidP="00081375">
      <w:pPr>
        <w:pStyle w:val="Titre1"/>
        <w:spacing w:after="240"/>
        <w:rPr>
          <w:lang w:val="fr-CA"/>
        </w:rPr>
      </w:pPr>
      <w:r w:rsidRPr="00D5487B">
        <w:rPr>
          <w:lang w:val="fr-CA"/>
        </w:rPr>
        <w:lastRenderedPageBreak/>
        <w:t>Profil de Diversité</w:t>
      </w:r>
    </w:p>
    <w:p w14:paraId="6B8D66F2" w14:textId="20C42F67" w:rsidR="00B739DC" w:rsidRPr="00D5487B" w:rsidRDefault="00B739DC" w:rsidP="00FB4772">
      <w:pPr>
        <w:autoSpaceDE w:val="0"/>
        <w:autoSpaceDN w:val="0"/>
        <w:adjustRightInd w:val="0"/>
        <w:spacing w:before="120" w:after="120"/>
        <w:rPr>
          <w:rFonts w:asciiTheme="minorHAnsi" w:eastAsia="Calibri" w:hAnsiTheme="minorHAnsi" w:cstheme="minorHAnsi"/>
          <w:sz w:val="22"/>
          <w:szCs w:val="22"/>
          <w:lang w:val="fr-CA" w:eastAsia="fr-FR" w:bidi="fr-FR"/>
        </w:rPr>
      </w:pPr>
      <w:r w:rsidRPr="00D5487B">
        <w:rPr>
          <w:rFonts w:asciiTheme="minorHAnsi" w:eastAsia="Calibri" w:hAnsiTheme="minorHAnsi" w:cstheme="minorHAnsi"/>
          <w:sz w:val="22"/>
          <w:szCs w:val="22"/>
          <w:lang w:val="fr-CA" w:eastAsia="fr-FR" w:bidi="fr-FR"/>
        </w:rPr>
        <w:t>Au sein de l’organisme, la disponibilité des femmes, des personnes handicapées et des membres de minorités visibles est supérieure à leur disponibilité au sein de la population active. Toutefois, l’organisme souhaite se concentrer sur des écarts en matière d’équité en emploi observés dans des domaines précis, notamment dans les groupes MD et SE (Recherche scientifique).</w:t>
      </w:r>
    </w:p>
    <w:p w14:paraId="3B178972" w14:textId="77777777" w:rsidR="00B739DC" w:rsidRPr="00D5487B" w:rsidRDefault="00B739DC" w:rsidP="00FB4772">
      <w:pPr>
        <w:autoSpaceDE w:val="0"/>
        <w:autoSpaceDN w:val="0"/>
        <w:adjustRightInd w:val="0"/>
        <w:spacing w:before="120" w:after="120"/>
        <w:rPr>
          <w:rFonts w:asciiTheme="minorHAnsi" w:eastAsia="Calibri" w:hAnsiTheme="minorHAnsi" w:cstheme="minorHAnsi"/>
          <w:sz w:val="22"/>
          <w:szCs w:val="24"/>
          <w:lang w:val="fr-CA" w:eastAsia="fr-FR" w:bidi="fr-FR"/>
        </w:rPr>
      </w:pPr>
      <w:r w:rsidRPr="00D5487B">
        <w:rPr>
          <w:rFonts w:asciiTheme="minorHAnsi" w:eastAsia="Calibri" w:hAnsiTheme="minorHAnsi" w:cstheme="minorHAnsi"/>
          <w:sz w:val="22"/>
          <w:szCs w:val="22"/>
          <w:lang w:val="fr-CA" w:eastAsia="fr-FR" w:bidi="fr-FR"/>
        </w:rPr>
        <w:t>Les Autochtones sont sous-représentés à l’ASPC, où ils comptent pour 3,1 % de l’effectif alors qu’ils représentent 3,4 % de l’ensemble de la fonction publique. L’organisme peut envisager de prendre des mesures pour combler cet écart et s’assurer de la représentativité continue de son effectif.</w:t>
      </w:r>
    </w:p>
    <w:p w14:paraId="5A3BCE5D" w14:textId="2C9813D6" w:rsidR="00FB4772" w:rsidRPr="00D5487B" w:rsidRDefault="00FB4772" w:rsidP="00FB4772">
      <w:pPr>
        <w:pStyle w:val="Lgende"/>
        <w:keepNext/>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2</w:t>
      </w:r>
      <w:r w:rsidRPr="00D5487B">
        <w:rPr>
          <w:lang w:val="fr-CA"/>
        </w:rPr>
        <w:fldChar w:fldCharType="end"/>
      </w:r>
      <w:r w:rsidRPr="00D5487B">
        <w:rPr>
          <w:lang w:val="fr-CA"/>
        </w:rPr>
        <w:t xml:space="preserve"> - Profil de Diversité</w:t>
      </w:r>
    </w:p>
    <w:tbl>
      <w:tblPr>
        <w:tblStyle w:val="TableGrid11"/>
        <w:tblW w:w="5000" w:type="pct"/>
        <w:tblLook w:val="00A0" w:firstRow="1" w:lastRow="0" w:firstColumn="1" w:lastColumn="0" w:noHBand="0" w:noVBand="0"/>
        <w:tblDescription w:val="Profil de Diversité"/>
      </w:tblPr>
      <w:tblGrid>
        <w:gridCol w:w="1932"/>
        <w:gridCol w:w="2448"/>
        <w:gridCol w:w="2067"/>
        <w:gridCol w:w="3175"/>
      </w:tblGrid>
      <w:tr w:rsidR="00FB4772" w:rsidRPr="00A35947" w14:paraId="41B77342" w14:textId="77777777" w:rsidTr="00B927BA">
        <w:trPr>
          <w:cantSplit/>
          <w:trHeight w:val="759"/>
          <w:tblHeader/>
        </w:trPr>
        <w:tc>
          <w:tcPr>
            <w:tcW w:w="1004" w:type="pct"/>
            <w:shd w:val="clear" w:color="auto" w:fill="8D9195"/>
            <w:hideMark/>
          </w:tcPr>
          <w:p w14:paraId="46CBFF0E" w14:textId="77777777" w:rsidR="00FB4772" w:rsidRPr="00D5487B" w:rsidRDefault="00FB4772" w:rsidP="00FB4772">
            <w:pPr>
              <w:pStyle w:val="TableTitle"/>
              <w:rPr>
                <w:color w:val="FFFFFF" w:themeColor="background1"/>
                <w:lang w:val="fr-CA"/>
              </w:rPr>
            </w:pPr>
            <w:r w:rsidRPr="00D5487B">
              <w:rPr>
                <w:color w:val="FFFFFF" w:themeColor="background1"/>
                <w:lang w:val="fr-CA"/>
              </w:rPr>
              <w:t>Groupes désignés</w:t>
            </w:r>
          </w:p>
        </w:tc>
        <w:tc>
          <w:tcPr>
            <w:tcW w:w="1272" w:type="pct"/>
            <w:shd w:val="clear" w:color="auto" w:fill="8D9195"/>
            <w:hideMark/>
          </w:tcPr>
          <w:p w14:paraId="1B0496AD" w14:textId="77777777" w:rsidR="00FB4772" w:rsidRPr="00D5487B" w:rsidRDefault="00FB4772" w:rsidP="00FB4772">
            <w:pPr>
              <w:pStyle w:val="TableTitle"/>
              <w:rPr>
                <w:color w:val="FFFFFF" w:themeColor="background1"/>
                <w:lang w:val="fr-CA"/>
              </w:rPr>
            </w:pPr>
            <w:r w:rsidRPr="00D5487B">
              <w:rPr>
                <w:color w:val="FFFFFF" w:themeColor="background1"/>
                <w:lang w:val="fr-CA"/>
              </w:rPr>
              <w:t>Disponibilité au sein de la population active</w:t>
            </w:r>
          </w:p>
        </w:tc>
        <w:tc>
          <w:tcPr>
            <w:tcW w:w="1074" w:type="pct"/>
            <w:shd w:val="clear" w:color="auto" w:fill="BF3C00"/>
            <w:hideMark/>
          </w:tcPr>
          <w:p w14:paraId="1A15357B" w14:textId="77777777" w:rsidR="00FB4772" w:rsidRPr="00D5487B" w:rsidRDefault="00FB4772" w:rsidP="00FB4772">
            <w:pPr>
              <w:pStyle w:val="TableTitle"/>
              <w:rPr>
                <w:color w:val="FFFFFF" w:themeColor="background1"/>
                <w:lang w:val="fr-CA"/>
              </w:rPr>
            </w:pPr>
            <w:r w:rsidRPr="00D5487B">
              <w:rPr>
                <w:color w:val="FFFFFF" w:themeColor="background1"/>
                <w:lang w:val="fr-CA"/>
              </w:rPr>
              <w:t>Agence de la Santé Publique du Canada</w:t>
            </w:r>
          </w:p>
        </w:tc>
        <w:tc>
          <w:tcPr>
            <w:tcW w:w="1650" w:type="pct"/>
            <w:shd w:val="clear" w:color="auto" w:fill="8D9195"/>
            <w:hideMark/>
          </w:tcPr>
          <w:p w14:paraId="3AB15FDD" w14:textId="77777777" w:rsidR="00FB4772" w:rsidRPr="00D5487B" w:rsidRDefault="00FB4772" w:rsidP="00FB4772">
            <w:pPr>
              <w:pStyle w:val="TableTitle"/>
              <w:rPr>
                <w:color w:val="FFFFFF" w:themeColor="background1"/>
                <w:lang w:val="fr-CA"/>
              </w:rPr>
            </w:pPr>
            <w:r w:rsidRPr="00D5487B">
              <w:rPr>
                <w:color w:val="FFFFFF" w:themeColor="background1"/>
                <w:lang w:val="fr-CA"/>
              </w:rPr>
              <w:t>Représentation à l'échelle de la fonction publique  du Canada</w:t>
            </w:r>
          </w:p>
        </w:tc>
      </w:tr>
      <w:tr w:rsidR="00FB4772" w:rsidRPr="00D5487B" w14:paraId="10730075" w14:textId="77777777" w:rsidTr="00B927BA">
        <w:trPr>
          <w:cantSplit/>
          <w:tblHeader/>
        </w:trPr>
        <w:tc>
          <w:tcPr>
            <w:tcW w:w="1004" w:type="pct"/>
            <w:hideMark/>
          </w:tcPr>
          <w:p w14:paraId="35CD79E1" w14:textId="77777777" w:rsidR="00FB4772" w:rsidRPr="00D5487B" w:rsidRDefault="00FB4772" w:rsidP="00D835F3">
            <w:pPr>
              <w:autoSpaceDE w:val="0"/>
              <w:autoSpaceDN w:val="0"/>
              <w:adjustRightInd w:val="0"/>
              <w:rPr>
                <w:rFonts w:asciiTheme="minorHAnsi" w:hAnsiTheme="minorHAnsi" w:cstheme="minorHAnsi"/>
                <w:sz w:val="22"/>
                <w:szCs w:val="22"/>
                <w:lang w:val="fr-CA"/>
              </w:rPr>
            </w:pPr>
            <w:r w:rsidRPr="00D5487B">
              <w:rPr>
                <w:rFonts w:asciiTheme="minorHAnsi" w:hAnsiTheme="minorHAnsi" w:cstheme="minorHAnsi"/>
                <w:sz w:val="22"/>
                <w:szCs w:val="22"/>
                <w:lang w:val="fr-CA"/>
              </w:rPr>
              <w:t>Femmes</w:t>
            </w:r>
          </w:p>
        </w:tc>
        <w:tc>
          <w:tcPr>
            <w:tcW w:w="1272" w:type="pct"/>
            <w:hideMark/>
          </w:tcPr>
          <w:p w14:paraId="26C96A7B" w14:textId="77777777" w:rsidR="00FB4772" w:rsidRPr="00D5487B" w:rsidRDefault="00FB4772" w:rsidP="00D835F3">
            <w:pPr>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52.5%</w:t>
            </w:r>
          </w:p>
        </w:tc>
        <w:tc>
          <w:tcPr>
            <w:tcW w:w="1074" w:type="pct"/>
          </w:tcPr>
          <w:p w14:paraId="1806BDF0"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68%</w:t>
            </w:r>
          </w:p>
        </w:tc>
        <w:tc>
          <w:tcPr>
            <w:tcW w:w="1650" w:type="pct"/>
            <w:hideMark/>
          </w:tcPr>
          <w:p w14:paraId="55B15E14"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54.8%</w:t>
            </w:r>
          </w:p>
        </w:tc>
      </w:tr>
      <w:tr w:rsidR="00FB4772" w:rsidRPr="00D5487B" w14:paraId="61B4A951" w14:textId="77777777" w:rsidTr="00B927BA">
        <w:trPr>
          <w:cantSplit/>
          <w:tblHeader/>
        </w:trPr>
        <w:tc>
          <w:tcPr>
            <w:tcW w:w="1004" w:type="pct"/>
            <w:hideMark/>
          </w:tcPr>
          <w:p w14:paraId="26E53E28" w14:textId="77777777" w:rsidR="00FB4772" w:rsidRPr="00D5487B" w:rsidRDefault="00FB4772" w:rsidP="00D835F3">
            <w:pPr>
              <w:autoSpaceDE w:val="0"/>
              <w:autoSpaceDN w:val="0"/>
              <w:adjustRightInd w:val="0"/>
              <w:rPr>
                <w:rFonts w:asciiTheme="minorHAnsi" w:hAnsiTheme="minorHAnsi" w:cstheme="minorHAnsi"/>
                <w:sz w:val="22"/>
                <w:szCs w:val="22"/>
                <w:lang w:val="fr-CA"/>
              </w:rPr>
            </w:pPr>
            <w:r w:rsidRPr="00D5487B">
              <w:rPr>
                <w:rFonts w:asciiTheme="minorHAnsi" w:hAnsiTheme="minorHAnsi" w:cstheme="minorHAnsi"/>
                <w:sz w:val="22"/>
                <w:szCs w:val="22"/>
                <w:lang w:val="fr-CA"/>
              </w:rPr>
              <w:t>Autochtones</w:t>
            </w:r>
          </w:p>
        </w:tc>
        <w:tc>
          <w:tcPr>
            <w:tcW w:w="1272" w:type="pct"/>
            <w:hideMark/>
          </w:tcPr>
          <w:p w14:paraId="438E3A1B" w14:textId="77777777" w:rsidR="00FB4772" w:rsidRPr="00D5487B" w:rsidRDefault="00FB4772" w:rsidP="00D835F3">
            <w:pPr>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3.4%</w:t>
            </w:r>
          </w:p>
        </w:tc>
        <w:tc>
          <w:tcPr>
            <w:tcW w:w="1074" w:type="pct"/>
            <w:shd w:val="clear" w:color="auto" w:fill="FFB999"/>
          </w:tcPr>
          <w:p w14:paraId="4257F2C7"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3.1%</w:t>
            </w:r>
          </w:p>
        </w:tc>
        <w:tc>
          <w:tcPr>
            <w:tcW w:w="1650" w:type="pct"/>
            <w:hideMark/>
          </w:tcPr>
          <w:p w14:paraId="43099562"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5.1%</w:t>
            </w:r>
          </w:p>
        </w:tc>
      </w:tr>
      <w:tr w:rsidR="00FB4772" w:rsidRPr="00D5487B" w14:paraId="2725A3F4" w14:textId="77777777" w:rsidTr="00B927BA">
        <w:trPr>
          <w:cantSplit/>
          <w:trHeight w:val="598"/>
          <w:tblHeader/>
        </w:trPr>
        <w:tc>
          <w:tcPr>
            <w:tcW w:w="1004" w:type="pct"/>
            <w:hideMark/>
          </w:tcPr>
          <w:p w14:paraId="6AD064A9" w14:textId="77777777" w:rsidR="00FB4772" w:rsidRPr="00D5487B" w:rsidRDefault="00FB4772" w:rsidP="00D835F3">
            <w:pPr>
              <w:autoSpaceDE w:val="0"/>
              <w:autoSpaceDN w:val="0"/>
              <w:adjustRightInd w:val="0"/>
              <w:rPr>
                <w:rFonts w:asciiTheme="minorHAnsi" w:hAnsiTheme="minorHAnsi" w:cstheme="minorHAnsi"/>
                <w:sz w:val="22"/>
                <w:szCs w:val="22"/>
                <w:lang w:val="fr-CA"/>
              </w:rPr>
            </w:pPr>
            <w:r w:rsidRPr="00D5487B">
              <w:rPr>
                <w:rFonts w:asciiTheme="minorHAnsi" w:hAnsiTheme="minorHAnsi" w:cstheme="minorHAnsi"/>
                <w:sz w:val="22"/>
                <w:szCs w:val="22"/>
                <w:lang w:val="fr-CA"/>
              </w:rPr>
              <w:t>Personnes handicapées</w:t>
            </w:r>
          </w:p>
        </w:tc>
        <w:tc>
          <w:tcPr>
            <w:tcW w:w="1272" w:type="pct"/>
            <w:hideMark/>
          </w:tcPr>
          <w:p w14:paraId="57B2983C" w14:textId="77777777" w:rsidR="00FB4772" w:rsidRPr="00D5487B" w:rsidRDefault="00FB4772" w:rsidP="00D835F3">
            <w:pPr>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4.4%</w:t>
            </w:r>
          </w:p>
        </w:tc>
        <w:tc>
          <w:tcPr>
            <w:tcW w:w="1074" w:type="pct"/>
          </w:tcPr>
          <w:p w14:paraId="798724EA"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5.5%</w:t>
            </w:r>
          </w:p>
        </w:tc>
        <w:tc>
          <w:tcPr>
            <w:tcW w:w="1650" w:type="pct"/>
            <w:hideMark/>
          </w:tcPr>
          <w:p w14:paraId="50A00D28"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5.3%</w:t>
            </w:r>
          </w:p>
        </w:tc>
      </w:tr>
      <w:tr w:rsidR="00FB4772" w:rsidRPr="00D5487B" w14:paraId="42881EC0" w14:textId="77777777" w:rsidTr="00B927BA">
        <w:trPr>
          <w:cantSplit/>
          <w:tblHeader/>
        </w:trPr>
        <w:tc>
          <w:tcPr>
            <w:tcW w:w="1004" w:type="pct"/>
            <w:hideMark/>
          </w:tcPr>
          <w:p w14:paraId="6A0F9B1C" w14:textId="77777777" w:rsidR="00FB4772" w:rsidRPr="00D5487B" w:rsidRDefault="00FB4772" w:rsidP="00D835F3">
            <w:pPr>
              <w:autoSpaceDE w:val="0"/>
              <w:autoSpaceDN w:val="0"/>
              <w:adjustRightInd w:val="0"/>
              <w:rPr>
                <w:rFonts w:asciiTheme="minorHAnsi" w:hAnsiTheme="minorHAnsi" w:cstheme="minorHAnsi"/>
                <w:sz w:val="22"/>
                <w:szCs w:val="22"/>
                <w:lang w:val="fr-CA"/>
              </w:rPr>
            </w:pPr>
            <w:r w:rsidRPr="00D5487B">
              <w:rPr>
                <w:rFonts w:asciiTheme="minorHAnsi" w:hAnsiTheme="minorHAnsi" w:cstheme="minorHAnsi"/>
                <w:sz w:val="22"/>
                <w:szCs w:val="22"/>
                <w:lang w:val="fr-CA"/>
              </w:rPr>
              <w:t>Membres de minorités visibles</w:t>
            </w:r>
          </w:p>
        </w:tc>
        <w:tc>
          <w:tcPr>
            <w:tcW w:w="1272" w:type="pct"/>
            <w:hideMark/>
          </w:tcPr>
          <w:p w14:paraId="73BE6858" w14:textId="77777777" w:rsidR="00FB4772" w:rsidRPr="00D5487B" w:rsidRDefault="00FB4772" w:rsidP="00D835F3">
            <w:pPr>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13.0%</w:t>
            </w:r>
          </w:p>
        </w:tc>
        <w:tc>
          <w:tcPr>
            <w:tcW w:w="1074" w:type="pct"/>
          </w:tcPr>
          <w:p w14:paraId="6AB5FCBD"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20.3%</w:t>
            </w:r>
          </w:p>
        </w:tc>
        <w:tc>
          <w:tcPr>
            <w:tcW w:w="1650" w:type="pct"/>
            <w:hideMark/>
          </w:tcPr>
          <w:p w14:paraId="62ADD9C4" w14:textId="77777777" w:rsidR="00FB4772" w:rsidRPr="00D5487B" w:rsidRDefault="00FB4772" w:rsidP="00D835F3">
            <w:pPr>
              <w:autoSpaceDE w:val="0"/>
              <w:autoSpaceDN w:val="0"/>
              <w:adjustRightInd w:val="0"/>
              <w:jc w:val="center"/>
              <w:rPr>
                <w:rFonts w:asciiTheme="minorHAnsi" w:hAnsiTheme="minorHAnsi" w:cstheme="minorHAnsi"/>
                <w:sz w:val="22"/>
                <w:szCs w:val="22"/>
                <w:lang w:val="fr-CA"/>
              </w:rPr>
            </w:pPr>
            <w:r w:rsidRPr="00D5487B">
              <w:rPr>
                <w:rFonts w:asciiTheme="minorHAnsi" w:hAnsiTheme="minorHAnsi" w:cstheme="minorHAnsi"/>
                <w:sz w:val="22"/>
                <w:szCs w:val="22"/>
                <w:lang w:val="fr-CA"/>
              </w:rPr>
              <w:t>15.7%</w:t>
            </w:r>
          </w:p>
        </w:tc>
      </w:tr>
    </w:tbl>
    <w:p w14:paraId="7B1090D3" w14:textId="77777777" w:rsidR="00FB4772" w:rsidRPr="00D5487B" w:rsidRDefault="00FB4772" w:rsidP="00FB4772">
      <w:pPr>
        <w:autoSpaceDE w:val="0"/>
        <w:autoSpaceDN w:val="0"/>
        <w:adjustRightInd w:val="0"/>
        <w:rPr>
          <w:rFonts w:asciiTheme="minorHAnsi" w:hAnsiTheme="minorHAnsi" w:cstheme="minorHAnsi"/>
          <w:sz w:val="22"/>
          <w:lang w:val="fr-CA"/>
        </w:rPr>
      </w:pPr>
      <w:r w:rsidRPr="00D5487B">
        <w:rPr>
          <w:rFonts w:asciiTheme="minorHAnsi" w:hAnsiTheme="minorHAnsi" w:cstheme="minorHAnsi"/>
          <w:sz w:val="22"/>
          <w:lang w:val="fr-CA"/>
        </w:rPr>
        <w:t>Source</w:t>
      </w:r>
      <w:r w:rsidRPr="00D5487B">
        <w:rPr>
          <w:rFonts w:asciiTheme="minorHAnsi" w:hAnsiTheme="minorHAnsi" w:cstheme="minorHAnsi"/>
          <w:color w:val="0563C1"/>
          <w:sz w:val="22"/>
          <w:u w:val="single"/>
          <w:lang w:val="fr-CA"/>
        </w:rPr>
        <w:t xml:space="preserve"> : </w:t>
      </w:r>
      <w:hyperlink r:id="rId9" w:history="1">
        <w:r w:rsidRPr="00D5487B">
          <w:rPr>
            <w:rFonts w:asciiTheme="minorHAnsi" w:hAnsiTheme="minorHAnsi" w:cstheme="minorHAnsi"/>
            <w:color w:val="0563C1"/>
            <w:sz w:val="22"/>
            <w:u w:val="single"/>
            <w:lang w:val="fr-CA"/>
          </w:rPr>
          <w:t>L'équité en emploi dans la fonction publique du Canada 2017 - 2018</w:t>
        </w:r>
      </w:hyperlink>
    </w:p>
    <w:p w14:paraId="4590F021" w14:textId="77777777" w:rsidR="00FB4772" w:rsidRPr="00D5487B" w:rsidRDefault="00FB4772" w:rsidP="00FB4772">
      <w:pPr>
        <w:rPr>
          <w:rFonts w:asciiTheme="minorHAnsi" w:hAnsiTheme="minorHAnsi" w:cstheme="minorHAnsi"/>
          <w:sz w:val="20"/>
          <w:szCs w:val="22"/>
          <w:lang w:val="fr-CA"/>
        </w:rPr>
      </w:pPr>
      <w:r w:rsidRPr="00D5487B">
        <w:rPr>
          <w:rFonts w:asciiTheme="minorHAnsi" w:hAnsiTheme="minorHAnsi" w:cstheme="minorHAnsi"/>
          <w:sz w:val="22"/>
          <w:lang w:val="fr-CA"/>
        </w:rPr>
        <w:t>Secrétariat du Conseil du Trésor du Canada</w:t>
      </w:r>
    </w:p>
    <w:p w14:paraId="6643F612" w14:textId="77777777" w:rsidR="00FB4772" w:rsidRPr="00D5487B" w:rsidRDefault="00FB4772" w:rsidP="00081375">
      <w:pPr>
        <w:pStyle w:val="Titre1"/>
        <w:spacing w:after="240"/>
        <w:rPr>
          <w:lang w:val="fr-CA"/>
        </w:rPr>
        <w:sectPr w:rsidR="00FB4772" w:rsidRPr="00D5487B" w:rsidSect="00011B85">
          <w:footnotePr>
            <w:numFmt w:val="lowerLetter"/>
          </w:footnotePr>
          <w:endnotePr>
            <w:numFmt w:val="lowerLetter"/>
          </w:endnotePr>
          <w:pgSz w:w="12240" w:h="15840" w:code="1"/>
          <w:pgMar w:top="709" w:right="1304" w:bottom="1361" w:left="1304" w:header="284" w:footer="283" w:gutter="0"/>
          <w:cols w:space="720"/>
          <w:docGrid w:linePitch="326"/>
        </w:sectPr>
      </w:pPr>
    </w:p>
    <w:p w14:paraId="4B43ABC1" w14:textId="79E877AC" w:rsidR="00B739DC" w:rsidRPr="00D5487B" w:rsidRDefault="00183CCD" w:rsidP="00081375">
      <w:pPr>
        <w:pStyle w:val="Titre1"/>
        <w:spacing w:after="240"/>
        <w:rPr>
          <w:rFonts w:ascii="Arial" w:hAnsi="Arial" w:cs="Arial"/>
          <w:color w:val="000000"/>
          <w:sz w:val="22"/>
          <w:szCs w:val="22"/>
          <w:lang w:val="fr-CA"/>
        </w:rPr>
      </w:pPr>
      <w:r w:rsidRPr="00D5487B">
        <w:rPr>
          <w:lang w:val="fr-CA"/>
        </w:rPr>
        <w:lastRenderedPageBreak/>
        <w:t xml:space="preserve">Droits de priorité et </w:t>
      </w:r>
      <w:r w:rsidR="005E25A4" w:rsidRPr="00D5487B">
        <w:rPr>
          <w:lang w:val="fr-CA"/>
        </w:rPr>
        <w:t>vétérans</w:t>
      </w:r>
    </w:p>
    <w:p w14:paraId="51521B69" w14:textId="77777777" w:rsidR="00B739DC" w:rsidRPr="00D5487B" w:rsidRDefault="00B739DC" w:rsidP="00FB4772">
      <w:pPr>
        <w:spacing w:before="120"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Au 15 avril 2019, l’ASPC avait inscrit 12 personnes ayant un droit de priorité de nomination.</w:t>
      </w:r>
    </w:p>
    <w:p w14:paraId="52D33E48" w14:textId="77777777" w:rsidR="00B739DC" w:rsidRPr="00D5487B" w:rsidRDefault="00B739DC" w:rsidP="00FB4772">
      <w:pPr>
        <w:spacing w:before="120"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Entre le 1</w:t>
      </w:r>
      <w:r w:rsidRPr="00D5487B">
        <w:rPr>
          <w:rFonts w:asciiTheme="minorHAnsi" w:hAnsiTheme="minorHAnsi" w:cstheme="minorHAnsi"/>
          <w:color w:val="000000"/>
          <w:sz w:val="22"/>
          <w:vertAlign w:val="superscript"/>
          <w:lang w:val="fr-CA" w:eastAsia="fr-FR" w:bidi="fr-FR"/>
        </w:rPr>
        <w:t>er</w:t>
      </w:r>
      <w:r w:rsidRPr="00D5487B">
        <w:rPr>
          <w:rFonts w:asciiTheme="minorHAnsi" w:hAnsiTheme="minorHAnsi" w:cstheme="minorHAnsi"/>
          <w:color w:val="000000"/>
          <w:sz w:val="22"/>
          <w:lang w:val="fr-CA" w:eastAsia="fr-FR" w:bidi="fr-FR"/>
        </w:rPr>
        <w:t> avril 2018 et le 31 mars 2019, l’ASPC a présenté 601 demandes d’autorisation en matière de priorité et nommé deux personnes ayant un droit de priorité de nomination.</w:t>
      </w:r>
    </w:p>
    <w:p w14:paraId="357A17D7" w14:textId="77777777" w:rsidR="00B739DC" w:rsidRPr="00D5487B" w:rsidRDefault="00B739DC" w:rsidP="00FB4772">
      <w:pPr>
        <w:spacing w:before="120" w:after="120"/>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L’ASPC n’a nommé aucun ancien combattant libéré pour des raisons médicales ayant un droit de priorité de nomination depuis le 1</w:t>
      </w:r>
      <w:r w:rsidRPr="00D5487B">
        <w:rPr>
          <w:rFonts w:asciiTheme="minorHAnsi" w:hAnsiTheme="minorHAnsi" w:cstheme="minorHAnsi"/>
          <w:color w:val="000000"/>
          <w:sz w:val="22"/>
          <w:vertAlign w:val="superscript"/>
          <w:lang w:val="fr-CA" w:eastAsia="fr-FR" w:bidi="fr-FR"/>
        </w:rPr>
        <w:t>er</w:t>
      </w:r>
      <w:r w:rsidRPr="00D5487B">
        <w:rPr>
          <w:rFonts w:asciiTheme="minorHAnsi" w:hAnsiTheme="minorHAnsi" w:cstheme="minorHAnsi"/>
          <w:color w:val="000000"/>
          <w:sz w:val="22"/>
          <w:lang w:val="fr-CA" w:eastAsia="fr-FR" w:bidi="fr-FR"/>
        </w:rPr>
        <w:t> juillet 2015.</w:t>
      </w:r>
    </w:p>
    <w:p w14:paraId="0437CADD" w14:textId="2019CA77" w:rsidR="00FB4772" w:rsidRPr="00D5487B" w:rsidRDefault="00FB4772" w:rsidP="00FB4772">
      <w:pPr>
        <w:pStyle w:val="Lgende"/>
        <w:keepNext/>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3</w:t>
      </w:r>
      <w:r w:rsidRPr="00D5487B">
        <w:rPr>
          <w:lang w:val="fr-CA"/>
        </w:rPr>
        <w:fldChar w:fldCharType="end"/>
      </w:r>
      <w:r w:rsidRPr="00D5487B">
        <w:rPr>
          <w:lang w:val="fr-CA"/>
        </w:rPr>
        <w:t xml:space="preserve"> - Droits de priorité et vétérans</w:t>
      </w:r>
    </w:p>
    <w:tbl>
      <w:tblPr>
        <w:tblStyle w:val="TableGrid11"/>
        <w:tblW w:w="0" w:type="auto"/>
        <w:tblLook w:val="00A0" w:firstRow="1" w:lastRow="0" w:firstColumn="1" w:lastColumn="0" w:noHBand="0" w:noVBand="0"/>
        <w:tblDescription w:val="Droits de priorité et vétérans"/>
      </w:tblPr>
      <w:tblGrid>
        <w:gridCol w:w="1933"/>
        <w:gridCol w:w="1324"/>
        <w:gridCol w:w="1415"/>
        <w:gridCol w:w="1560"/>
        <w:gridCol w:w="1134"/>
        <w:gridCol w:w="1417"/>
        <w:gridCol w:w="992"/>
        <w:gridCol w:w="1844"/>
        <w:gridCol w:w="1700"/>
        <w:gridCol w:w="1985"/>
        <w:gridCol w:w="2776"/>
      </w:tblGrid>
      <w:tr w:rsidR="00B927BA" w:rsidRPr="00A35947" w14:paraId="0A223847" w14:textId="77777777" w:rsidTr="00B927BA">
        <w:trPr>
          <w:cantSplit/>
          <w:trHeight w:val="1461"/>
          <w:tblHeader/>
        </w:trPr>
        <w:tc>
          <w:tcPr>
            <w:tcW w:w="0" w:type="auto"/>
            <w:shd w:val="clear" w:color="auto" w:fill="0070C0"/>
            <w:hideMark/>
          </w:tcPr>
          <w:p w14:paraId="51B21618"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Type de priorité</w:t>
            </w:r>
          </w:p>
        </w:tc>
        <w:tc>
          <w:tcPr>
            <w:tcW w:w="1324" w:type="dxa"/>
            <w:shd w:val="clear" w:color="auto" w:fill="0070C0"/>
            <w:hideMark/>
          </w:tcPr>
          <w:p w14:paraId="38066E9C"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Report de l’exercice antérieur</w:t>
            </w:r>
          </w:p>
        </w:tc>
        <w:tc>
          <w:tcPr>
            <w:tcW w:w="1415" w:type="dxa"/>
            <w:shd w:val="clear" w:color="auto" w:fill="0070C0"/>
            <w:hideMark/>
          </w:tcPr>
          <w:p w14:paraId="69CE32FB"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Nouveaux cas</w:t>
            </w:r>
          </w:p>
        </w:tc>
        <w:tc>
          <w:tcPr>
            <w:tcW w:w="1560" w:type="dxa"/>
            <w:shd w:val="clear" w:color="auto" w:fill="0070C0"/>
            <w:hideMark/>
          </w:tcPr>
          <w:p w14:paraId="3518ABBC"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 xml:space="preserve">Total </w:t>
            </w:r>
          </w:p>
          <w:p w14:paraId="2686BEFF" w14:textId="0E810A64"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(reports + nouveaux)</w:t>
            </w:r>
          </w:p>
        </w:tc>
        <w:tc>
          <w:tcPr>
            <w:tcW w:w="1134" w:type="dxa"/>
            <w:shd w:val="clear" w:color="auto" w:fill="0070C0"/>
            <w:hideMark/>
          </w:tcPr>
          <w:p w14:paraId="1A5A0120"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Nommé</w:t>
            </w:r>
          </w:p>
        </w:tc>
        <w:tc>
          <w:tcPr>
            <w:tcW w:w="1417" w:type="dxa"/>
            <w:shd w:val="clear" w:color="auto" w:fill="0070C0"/>
            <w:hideMark/>
          </w:tcPr>
          <w:p w14:paraId="09E9DCDB"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Démission / Retraite</w:t>
            </w:r>
          </w:p>
        </w:tc>
        <w:tc>
          <w:tcPr>
            <w:tcW w:w="992" w:type="dxa"/>
            <w:shd w:val="clear" w:color="auto" w:fill="0070C0"/>
            <w:hideMark/>
          </w:tcPr>
          <w:p w14:paraId="6BCA61D2"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Expiré</w:t>
            </w:r>
          </w:p>
        </w:tc>
        <w:tc>
          <w:tcPr>
            <w:tcW w:w="1844" w:type="dxa"/>
            <w:shd w:val="clear" w:color="auto" w:fill="0070C0"/>
            <w:hideMark/>
          </w:tcPr>
          <w:p w14:paraId="4E17B232"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Annulé par l’organisation</w:t>
            </w:r>
          </w:p>
        </w:tc>
        <w:tc>
          <w:tcPr>
            <w:tcW w:w="1700" w:type="dxa"/>
            <w:shd w:val="clear" w:color="auto" w:fill="0070C0"/>
            <w:hideMark/>
          </w:tcPr>
          <w:p w14:paraId="7E1BFA35"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 Autres -suppressions</w:t>
            </w:r>
          </w:p>
        </w:tc>
        <w:tc>
          <w:tcPr>
            <w:tcW w:w="1985" w:type="dxa"/>
            <w:shd w:val="clear" w:color="auto" w:fill="0070C0"/>
            <w:hideMark/>
          </w:tcPr>
          <w:p w14:paraId="125ABF7D"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Mise à jour des types de priorité</w:t>
            </w:r>
          </w:p>
        </w:tc>
        <w:tc>
          <w:tcPr>
            <w:tcW w:w="2776" w:type="dxa"/>
            <w:shd w:val="clear" w:color="auto" w:fill="0070C0"/>
            <w:hideMark/>
          </w:tcPr>
          <w:p w14:paraId="3E70D82E" w14:textId="77777777" w:rsidR="00FB4772" w:rsidRPr="00D5487B" w:rsidRDefault="00FB4772" w:rsidP="00FB4772">
            <w:pPr>
              <w:pStyle w:val="TableTitle"/>
              <w:rPr>
                <w:color w:val="FFFFFF" w:themeColor="background1"/>
                <w:lang w:val="fr-CA" w:eastAsia="en-CA"/>
              </w:rPr>
            </w:pPr>
            <w:r w:rsidRPr="00D5487B">
              <w:rPr>
                <w:color w:val="FFFFFF" w:themeColor="background1"/>
                <w:lang w:val="fr-CA" w:eastAsia="en-CA"/>
              </w:rPr>
              <w:t>Dossiers actifs à la date de production du rapport</w:t>
            </w:r>
          </w:p>
        </w:tc>
      </w:tr>
      <w:tr w:rsidR="00FB4772" w:rsidRPr="00D5487B" w14:paraId="64D0BF9C" w14:textId="77777777" w:rsidTr="00B927BA">
        <w:trPr>
          <w:cantSplit/>
          <w:tblHeader/>
        </w:trPr>
        <w:tc>
          <w:tcPr>
            <w:tcW w:w="0" w:type="auto"/>
            <w:shd w:val="clear" w:color="auto" w:fill="0070C0"/>
            <w:hideMark/>
          </w:tcPr>
          <w:p w14:paraId="5DD5ADEB" w14:textId="77777777" w:rsidR="00FB4772" w:rsidRPr="00D5487B" w:rsidRDefault="00FB4772" w:rsidP="00C6505B">
            <w:pPr>
              <w:rPr>
                <w:rFonts w:asciiTheme="minorHAnsi" w:hAnsiTheme="minorHAnsi" w:cstheme="minorHAnsi"/>
                <w:color w:val="FFFFFF" w:themeColor="background1"/>
                <w:sz w:val="20"/>
                <w:lang w:val="fr-CA" w:eastAsia="en-CA"/>
              </w:rPr>
            </w:pPr>
            <w:r w:rsidRPr="00D5487B">
              <w:rPr>
                <w:rFonts w:asciiTheme="minorHAnsi" w:hAnsiTheme="minorHAnsi" w:cstheme="minorHAnsi"/>
                <w:color w:val="FFFFFF" w:themeColor="background1"/>
                <w:sz w:val="20"/>
                <w:lang w:val="fr-CA" w:eastAsia="en-CA"/>
              </w:rPr>
              <w:t>Retour d’un congé - LEFP 41(1</w:t>
            </w:r>
            <w:proofErr w:type="gramStart"/>
            <w:r w:rsidRPr="00D5487B">
              <w:rPr>
                <w:rFonts w:asciiTheme="minorHAnsi" w:hAnsiTheme="minorHAnsi" w:cstheme="minorHAnsi"/>
                <w:color w:val="FFFFFF" w:themeColor="background1"/>
                <w:sz w:val="20"/>
                <w:lang w:val="fr-CA" w:eastAsia="en-CA"/>
              </w:rPr>
              <w:t>)(</w:t>
            </w:r>
            <w:proofErr w:type="gramEnd"/>
            <w:r w:rsidRPr="00D5487B">
              <w:rPr>
                <w:rFonts w:asciiTheme="minorHAnsi" w:hAnsiTheme="minorHAnsi" w:cstheme="minorHAnsi"/>
                <w:color w:val="FFFFFF" w:themeColor="background1"/>
                <w:sz w:val="20"/>
                <w:lang w:val="fr-CA" w:eastAsia="en-CA"/>
              </w:rPr>
              <w:t xml:space="preserve">a) </w:t>
            </w:r>
          </w:p>
        </w:tc>
        <w:tc>
          <w:tcPr>
            <w:tcW w:w="1324" w:type="dxa"/>
            <w:hideMark/>
          </w:tcPr>
          <w:p w14:paraId="697DFE10"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10 </w:t>
            </w:r>
          </w:p>
        </w:tc>
        <w:tc>
          <w:tcPr>
            <w:tcW w:w="1415" w:type="dxa"/>
            <w:hideMark/>
          </w:tcPr>
          <w:p w14:paraId="2188A905"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2 </w:t>
            </w:r>
          </w:p>
        </w:tc>
        <w:tc>
          <w:tcPr>
            <w:tcW w:w="1560" w:type="dxa"/>
            <w:hideMark/>
          </w:tcPr>
          <w:p w14:paraId="12C8EC4D"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12 </w:t>
            </w:r>
          </w:p>
        </w:tc>
        <w:tc>
          <w:tcPr>
            <w:tcW w:w="1134" w:type="dxa"/>
            <w:hideMark/>
          </w:tcPr>
          <w:p w14:paraId="411E0463"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417" w:type="dxa"/>
            <w:hideMark/>
          </w:tcPr>
          <w:p w14:paraId="379B2F92"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992" w:type="dxa"/>
            <w:hideMark/>
          </w:tcPr>
          <w:p w14:paraId="577CB334"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844" w:type="dxa"/>
            <w:hideMark/>
          </w:tcPr>
          <w:p w14:paraId="65F3B073"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700" w:type="dxa"/>
            <w:hideMark/>
          </w:tcPr>
          <w:p w14:paraId="50C50E75"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985" w:type="dxa"/>
            <w:hideMark/>
          </w:tcPr>
          <w:p w14:paraId="32C880D0"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2776" w:type="dxa"/>
            <w:hideMark/>
          </w:tcPr>
          <w:p w14:paraId="51026B07"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13 </w:t>
            </w:r>
          </w:p>
        </w:tc>
      </w:tr>
      <w:tr w:rsidR="00FB4772" w:rsidRPr="00D5487B" w14:paraId="66717C63" w14:textId="77777777" w:rsidTr="00B927BA">
        <w:trPr>
          <w:cantSplit/>
          <w:tblHeader/>
        </w:trPr>
        <w:tc>
          <w:tcPr>
            <w:tcW w:w="0" w:type="auto"/>
            <w:shd w:val="clear" w:color="auto" w:fill="0070C0"/>
            <w:hideMark/>
          </w:tcPr>
          <w:p w14:paraId="3753BC3B" w14:textId="77777777" w:rsidR="00FB4772" w:rsidRPr="00D5487B" w:rsidRDefault="00FB4772" w:rsidP="00C6505B">
            <w:pPr>
              <w:rPr>
                <w:rFonts w:asciiTheme="minorHAnsi" w:hAnsiTheme="minorHAnsi" w:cstheme="minorHAnsi"/>
                <w:color w:val="FFFFFF" w:themeColor="background1"/>
                <w:sz w:val="20"/>
                <w:lang w:val="fr-CA" w:eastAsia="en-CA"/>
              </w:rPr>
            </w:pPr>
            <w:r w:rsidRPr="00D5487B">
              <w:rPr>
                <w:rFonts w:asciiTheme="minorHAnsi" w:hAnsiTheme="minorHAnsi" w:cstheme="minorHAnsi"/>
                <w:color w:val="FFFFFF" w:themeColor="background1"/>
                <w:sz w:val="20"/>
                <w:lang w:val="fr-CA" w:eastAsia="en-CA"/>
              </w:rPr>
              <w:t xml:space="preserve">Réintégration - REFP 10 </w:t>
            </w:r>
          </w:p>
        </w:tc>
        <w:tc>
          <w:tcPr>
            <w:tcW w:w="1324" w:type="dxa"/>
            <w:hideMark/>
          </w:tcPr>
          <w:p w14:paraId="2269073D"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415" w:type="dxa"/>
            <w:hideMark/>
          </w:tcPr>
          <w:p w14:paraId="324786E7"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 </w:t>
            </w:r>
          </w:p>
        </w:tc>
        <w:tc>
          <w:tcPr>
            <w:tcW w:w="1560" w:type="dxa"/>
            <w:hideMark/>
          </w:tcPr>
          <w:p w14:paraId="7D0F1A4A"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 </w:t>
            </w:r>
          </w:p>
        </w:tc>
        <w:tc>
          <w:tcPr>
            <w:tcW w:w="1134" w:type="dxa"/>
            <w:hideMark/>
          </w:tcPr>
          <w:p w14:paraId="477088EF"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417" w:type="dxa"/>
            <w:hideMark/>
          </w:tcPr>
          <w:p w14:paraId="434222FF"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992" w:type="dxa"/>
            <w:hideMark/>
          </w:tcPr>
          <w:p w14:paraId="5B45793C"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844" w:type="dxa"/>
            <w:hideMark/>
          </w:tcPr>
          <w:p w14:paraId="1348E285"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700" w:type="dxa"/>
            <w:hideMark/>
          </w:tcPr>
          <w:p w14:paraId="6E26B51F"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985" w:type="dxa"/>
            <w:hideMark/>
          </w:tcPr>
          <w:p w14:paraId="5DFF57ED"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2776" w:type="dxa"/>
            <w:hideMark/>
          </w:tcPr>
          <w:p w14:paraId="27DD0E11"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 </w:t>
            </w:r>
          </w:p>
        </w:tc>
      </w:tr>
      <w:tr w:rsidR="00FB4772" w:rsidRPr="00D5487B" w14:paraId="2E89373A" w14:textId="77777777" w:rsidTr="00B927BA">
        <w:trPr>
          <w:cantSplit/>
          <w:tblHeader/>
        </w:trPr>
        <w:tc>
          <w:tcPr>
            <w:tcW w:w="0" w:type="auto"/>
            <w:shd w:val="clear" w:color="auto" w:fill="0070C0"/>
            <w:hideMark/>
          </w:tcPr>
          <w:p w14:paraId="2ABDD67B" w14:textId="77777777" w:rsidR="00FB4772" w:rsidRPr="00D5487B" w:rsidRDefault="00FB4772" w:rsidP="00C6505B">
            <w:pPr>
              <w:rPr>
                <w:rFonts w:asciiTheme="minorHAnsi" w:hAnsiTheme="minorHAnsi" w:cstheme="minorHAnsi"/>
                <w:color w:val="FFFFFF" w:themeColor="background1"/>
                <w:sz w:val="20"/>
                <w:lang w:val="fr-CA" w:eastAsia="en-CA"/>
              </w:rPr>
            </w:pPr>
            <w:r w:rsidRPr="00D5487B">
              <w:rPr>
                <w:rFonts w:asciiTheme="minorHAnsi" w:hAnsiTheme="minorHAnsi" w:cstheme="minorHAnsi"/>
                <w:color w:val="FFFFFF" w:themeColor="background1"/>
                <w:sz w:val="20"/>
                <w:lang w:val="fr-CA" w:eastAsia="en-CA"/>
              </w:rPr>
              <w:t xml:space="preserve">Réinstallation du conjoint - REFP 9 </w:t>
            </w:r>
          </w:p>
        </w:tc>
        <w:tc>
          <w:tcPr>
            <w:tcW w:w="1324" w:type="dxa"/>
            <w:hideMark/>
          </w:tcPr>
          <w:p w14:paraId="4FD9F178"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2 </w:t>
            </w:r>
          </w:p>
        </w:tc>
        <w:tc>
          <w:tcPr>
            <w:tcW w:w="1415" w:type="dxa"/>
            <w:hideMark/>
          </w:tcPr>
          <w:p w14:paraId="771158B0"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 </w:t>
            </w:r>
          </w:p>
        </w:tc>
        <w:tc>
          <w:tcPr>
            <w:tcW w:w="1560" w:type="dxa"/>
            <w:hideMark/>
          </w:tcPr>
          <w:p w14:paraId="6F845ECE"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3 </w:t>
            </w:r>
          </w:p>
        </w:tc>
        <w:tc>
          <w:tcPr>
            <w:tcW w:w="1134" w:type="dxa"/>
            <w:hideMark/>
          </w:tcPr>
          <w:p w14:paraId="4436033D"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417" w:type="dxa"/>
            <w:hideMark/>
          </w:tcPr>
          <w:p w14:paraId="6727257B"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992" w:type="dxa"/>
            <w:hideMark/>
          </w:tcPr>
          <w:p w14:paraId="63D5D638"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844" w:type="dxa"/>
            <w:hideMark/>
          </w:tcPr>
          <w:p w14:paraId="1D8809D2"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700" w:type="dxa"/>
            <w:hideMark/>
          </w:tcPr>
          <w:p w14:paraId="06ED9136"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0 </w:t>
            </w:r>
          </w:p>
        </w:tc>
        <w:tc>
          <w:tcPr>
            <w:tcW w:w="1985" w:type="dxa"/>
            <w:hideMark/>
          </w:tcPr>
          <w:p w14:paraId="62E888E0"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1 </w:t>
            </w:r>
          </w:p>
        </w:tc>
        <w:tc>
          <w:tcPr>
            <w:tcW w:w="2776" w:type="dxa"/>
            <w:hideMark/>
          </w:tcPr>
          <w:p w14:paraId="0DD7E56D" w14:textId="77777777" w:rsidR="00FB4772" w:rsidRPr="00D5487B" w:rsidRDefault="00FB4772" w:rsidP="00D835F3">
            <w:pPr>
              <w:jc w:val="center"/>
              <w:rPr>
                <w:rFonts w:asciiTheme="minorHAnsi" w:hAnsiTheme="minorHAnsi" w:cstheme="minorHAnsi"/>
                <w:color w:val="54575A" w:themeColor="text1"/>
                <w:sz w:val="20"/>
                <w:lang w:val="fr-CA" w:eastAsia="en-CA"/>
              </w:rPr>
            </w:pPr>
            <w:r w:rsidRPr="00D5487B">
              <w:rPr>
                <w:rFonts w:asciiTheme="minorHAnsi" w:hAnsiTheme="minorHAnsi" w:cstheme="minorHAnsi"/>
                <w:color w:val="54575A" w:themeColor="text1"/>
                <w:sz w:val="20"/>
                <w:lang w:val="fr-CA" w:eastAsia="en-CA"/>
              </w:rPr>
              <w:t xml:space="preserve">2 </w:t>
            </w:r>
          </w:p>
        </w:tc>
      </w:tr>
      <w:tr w:rsidR="00B927BA" w:rsidRPr="00B927BA" w14:paraId="5FD5BB95" w14:textId="77777777" w:rsidTr="00B927BA">
        <w:trPr>
          <w:cantSplit/>
          <w:tblHeader/>
        </w:trPr>
        <w:tc>
          <w:tcPr>
            <w:tcW w:w="0" w:type="auto"/>
            <w:shd w:val="clear" w:color="auto" w:fill="BAF8FF" w:themeFill="accent3" w:themeFillTint="33"/>
            <w:hideMark/>
          </w:tcPr>
          <w:p w14:paraId="6118817D"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Total </w:t>
            </w:r>
          </w:p>
        </w:tc>
        <w:tc>
          <w:tcPr>
            <w:tcW w:w="1324" w:type="dxa"/>
            <w:shd w:val="clear" w:color="auto" w:fill="BAF8FF" w:themeFill="accent3" w:themeFillTint="33"/>
            <w:hideMark/>
          </w:tcPr>
          <w:p w14:paraId="042C74F3"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12 </w:t>
            </w:r>
          </w:p>
        </w:tc>
        <w:tc>
          <w:tcPr>
            <w:tcW w:w="1415" w:type="dxa"/>
            <w:shd w:val="clear" w:color="auto" w:fill="BAF8FF" w:themeFill="accent3" w:themeFillTint="33"/>
            <w:hideMark/>
          </w:tcPr>
          <w:p w14:paraId="388F4E44"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4 </w:t>
            </w:r>
          </w:p>
        </w:tc>
        <w:tc>
          <w:tcPr>
            <w:tcW w:w="1560" w:type="dxa"/>
            <w:shd w:val="clear" w:color="auto" w:fill="BAF8FF" w:themeFill="accent3" w:themeFillTint="33"/>
            <w:hideMark/>
          </w:tcPr>
          <w:p w14:paraId="6CBA652F"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16 </w:t>
            </w:r>
          </w:p>
        </w:tc>
        <w:tc>
          <w:tcPr>
            <w:tcW w:w="1134" w:type="dxa"/>
            <w:shd w:val="clear" w:color="auto" w:fill="BAF8FF" w:themeFill="accent3" w:themeFillTint="33"/>
            <w:hideMark/>
          </w:tcPr>
          <w:p w14:paraId="45C8BE26"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0 </w:t>
            </w:r>
          </w:p>
        </w:tc>
        <w:tc>
          <w:tcPr>
            <w:tcW w:w="1417" w:type="dxa"/>
            <w:shd w:val="clear" w:color="auto" w:fill="BAF8FF" w:themeFill="accent3" w:themeFillTint="33"/>
            <w:hideMark/>
          </w:tcPr>
          <w:p w14:paraId="41339E3B"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0 </w:t>
            </w:r>
          </w:p>
        </w:tc>
        <w:tc>
          <w:tcPr>
            <w:tcW w:w="992" w:type="dxa"/>
            <w:shd w:val="clear" w:color="auto" w:fill="BAF8FF" w:themeFill="accent3" w:themeFillTint="33"/>
            <w:hideMark/>
          </w:tcPr>
          <w:p w14:paraId="744A22E2"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0 </w:t>
            </w:r>
          </w:p>
        </w:tc>
        <w:tc>
          <w:tcPr>
            <w:tcW w:w="1844" w:type="dxa"/>
            <w:shd w:val="clear" w:color="auto" w:fill="BAF8FF" w:themeFill="accent3" w:themeFillTint="33"/>
            <w:hideMark/>
          </w:tcPr>
          <w:p w14:paraId="5B29360E"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0 </w:t>
            </w:r>
          </w:p>
        </w:tc>
        <w:tc>
          <w:tcPr>
            <w:tcW w:w="1700" w:type="dxa"/>
            <w:shd w:val="clear" w:color="auto" w:fill="BAF8FF" w:themeFill="accent3" w:themeFillTint="33"/>
            <w:hideMark/>
          </w:tcPr>
          <w:p w14:paraId="570B9DF6"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0 </w:t>
            </w:r>
          </w:p>
        </w:tc>
        <w:tc>
          <w:tcPr>
            <w:tcW w:w="1985" w:type="dxa"/>
            <w:shd w:val="clear" w:color="auto" w:fill="BAF8FF" w:themeFill="accent3" w:themeFillTint="33"/>
            <w:hideMark/>
          </w:tcPr>
          <w:p w14:paraId="73B7CF44"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1 </w:t>
            </w:r>
          </w:p>
        </w:tc>
        <w:tc>
          <w:tcPr>
            <w:tcW w:w="2776" w:type="dxa"/>
            <w:shd w:val="clear" w:color="auto" w:fill="BAF8FF" w:themeFill="accent3" w:themeFillTint="33"/>
            <w:hideMark/>
          </w:tcPr>
          <w:p w14:paraId="6D9748EE" w14:textId="77777777" w:rsidR="00FB4772" w:rsidRPr="00B927BA" w:rsidRDefault="00FB4772" w:rsidP="00D835F3">
            <w:pPr>
              <w:jc w:val="center"/>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xml:space="preserve">16 </w:t>
            </w:r>
          </w:p>
        </w:tc>
      </w:tr>
    </w:tbl>
    <w:p w14:paraId="435FEFE6" w14:textId="77777777" w:rsidR="00FB4772" w:rsidRPr="00D5487B" w:rsidRDefault="00FB4772" w:rsidP="00FB4772">
      <w:pPr>
        <w:rPr>
          <w:rFonts w:asciiTheme="minorHAnsi" w:hAnsiTheme="minorHAnsi" w:cstheme="minorHAnsi"/>
          <w:sz w:val="22"/>
          <w:szCs w:val="22"/>
          <w:lang w:val="fr-CA" w:eastAsia="fr-FR" w:bidi="fr-FR"/>
        </w:rPr>
      </w:pPr>
      <w:r w:rsidRPr="00D5487B">
        <w:rPr>
          <w:rFonts w:asciiTheme="minorHAnsi" w:hAnsiTheme="minorHAnsi" w:cstheme="minorHAnsi"/>
          <w:sz w:val="22"/>
          <w:szCs w:val="22"/>
          <w:lang w:val="fr-CA" w:eastAsia="fr-FR" w:bidi="fr-FR"/>
        </w:rPr>
        <w:t>Remarque : Il s’agit d’un instantané. Toute divergence entre les valeurs individuelles et les totaux a pour origine le fait que les données du système ne sont pas mises à jour en temps réel.</w:t>
      </w:r>
    </w:p>
    <w:p w14:paraId="5283145C" w14:textId="77777777" w:rsidR="00FB4772" w:rsidRPr="00B927BA" w:rsidRDefault="00FB4772" w:rsidP="00FB4772">
      <w:pPr>
        <w:spacing w:before="120"/>
        <w:rPr>
          <w:rStyle w:val="lev"/>
          <w:rFonts w:asciiTheme="minorHAnsi" w:hAnsiTheme="minorHAnsi" w:cstheme="minorHAnsi"/>
          <w:b w:val="0"/>
          <w:sz w:val="22"/>
          <w:lang w:val="fr-CA"/>
        </w:rPr>
      </w:pPr>
      <w:r w:rsidRPr="00B927BA">
        <w:rPr>
          <w:rStyle w:val="lev"/>
          <w:rFonts w:asciiTheme="minorHAnsi" w:hAnsiTheme="minorHAnsi" w:cstheme="minorHAnsi"/>
          <w:b w:val="0"/>
          <w:sz w:val="22"/>
          <w:lang w:val="fr-CA"/>
        </w:rPr>
        <w:t>* Nominations faites au sein de la population de bénéficiaires de priorité de l’organisation, à l’interne ou vers d’autres organisations</w:t>
      </w:r>
    </w:p>
    <w:p w14:paraId="37F9AA24" w14:textId="77777777" w:rsidR="00FB4772" w:rsidRPr="00B927BA" w:rsidRDefault="00FB4772" w:rsidP="00081375">
      <w:pPr>
        <w:pStyle w:val="Titre1"/>
        <w:spacing w:after="240"/>
        <w:rPr>
          <w:lang w:val="fr-CA"/>
        </w:rPr>
        <w:sectPr w:rsidR="00FB4772" w:rsidRPr="00B927BA" w:rsidSect="00011B85">
          <w:footnotePr>
            <w:numFmt w:val="lowerLetter"/>
          </w:footnotePr>
          <w:endnotePr>
            <w:numFmt w:val="lowerLetter"/>
          </w:endnotePr>
          <w:pgSz w:w="20160" w:h="12240" w:orient="landscape" w:code="5"/>
          <w:pgMar w:top="1304" w:right="709" w:bottom="1304" w:left="1361" w:header="284" w:footer="283" w:gutter="0"/>
          <w:cols w:space="720"/>
          <w:docGrid w:linePitch="326"/>
        </w:sectPr>
      </w:pPr>
    </w:p>
    <w:p w14:paraId="6860D822" w14:textId="4AF1C404" w:rsidR="00B739DC" w:rsidRPr="00D5487B" w:rsidRDefault="00183CCD" w:rsidP="00081375">
      <w:pPr>
        <w:pStyle w:val="Titre1"/>
        <w:spacing w:after="240"/>
        <w:rPr>
          <w:rFonts w:ascii="Arial" w:hAnsi="Arial" w:cs="Arial"/>
          <w:color w:val="000000"/>
          <w:sz w:val="22"/>
          <w:szCs w:val="22"/>
          <w:lang w:val="fr-CA"/>
        </w:rPr>
      </w:pPr>
      <w:r w:rsidRPr="00D5487B">
        <w:rPr>
          <w:lang w:val="fr-CA"/>
        </w:rPr>
        <w:lastRenderedPageBreak/>
        <w:t>Impartialité politique dans la fonction publique</w:t>
      </w:r>
    </w:p>
    <w:p w14:paraId="38C9CBA9" w14:textId="77777777" w:rsidR="00B739DC" w:rsidRPr="00D5487B" w:rsidRDefault="00B739DC" w:rsidP="00FB1CA0">
      <w:pPr>
        <w:spacing w:before="120" w:after="120"/>
        <w:rPr>
          <w:rFonts w:asciiTheme="minorHAnsi" w:hAnsiTheme="minorHAnsi" w:cstheme="minorHAnsi"/>
          <w:color w:val="000000"/>
          <w:sz w:val="22"/>
          <w:lang w:val="fr-CA" w:eastAsia="fr-FR" w:bidi="fr-FR"/>
        </w:rPr>
      </w:pPr>
      <w:r w:rsidRPr="00D5487B">
        <w:rPr>
          <w:rFonts w:asciiTheme="minorHAnsi" w:hAnsiTheme="minorHAnsi" w:cstheme="minorHAnsi"/>
          <w:color w:val="000000"/>
          <w:sz w:val="22"/>
          <w:lang w:val="fr-CA" w:eastAsia="fr-FR" w:bidi="fr-FR"/>
        </w:rPr>
        <w:t xml:space="preserve">Comparativement aux employés d’autres organismes, ceux de l’ASPC communiquent peu avec la CFP au sujet de leurs activités politiques. Un seul employé de l’ASPC a demandé l’autorisation de participer à une élection municipale en 2018-2019 (il n’a pas été élu). En outre, le questionnaire d’auto-évaluation en ligne n’a été utilisé qu’une vingtaine de fois par année par des employés de l’ASPC, soit un peu moins que la moyenne de 31 fois dans l’ensemble des organismes. </w:t>
      </w:r>
    </w:p>
    <w:p w14:paraId="266DA871" w14:textId="43A04BC4" w:rsidR="00D269E7" w:rsidRPr="00D5487B" w:rsidRDefault="00B739DC" w:rsidP="00FB1CA0">
      <w:pPr>
        <w:spacing w:before="120" w:after="120"/>
        <w:rPr>
          <w:rFonts w:asciiTheme="minorHAnsi" w:hAnsiTheme="minorHAnsi" w:cstheme="minorHAnsi"/>
          <w:color w:val="000000"/>
          <w:sz w:val="22"/>
          <w:lang w:val="fr-CA" w:eastAsia="fr-FR" w:bidi="fr-FR"/>
        </w:rPr>
      </w:pPr>
      <w:r w:rsidRPr="00D5487B">
        <w:rPr>
          <w:rFonts w:asciiTheme="minorHAnsi" w:hAnsiTheme="minorHAnsi" w:cstheme="minorHAnsi"/>
          <w:color w:val="000000"/>
          <w:sz w:val="22"/>
          <w:lang w:val="fr-CA" w:eastAsia="fr-FR" w:bidi="fr-FR"/>
        </w:rPr>
        <w:t xml:space="preserve">Selon les résultats du Sondage sur la dotation et l’impartialité politique, les employés de l’ASPC connaissent et comprennent ce que sont les activités politiques et l’impartialité politique (89 %) dans la même mesure, environ, que l’ensemble des membres de la fonction publique (88,9 %). </w:t>
      </w:r>
    </w:p>
    <w:p w14:paraId="57E3AC79" w14:textId="77777777" w:rsidR="00B739DC" w:rsidRPr="00D5487B" w:rsidRDefault="00183CCD" w:rsidP="00FB1CA0">
      <w:pPr>
        <w:pStyle w:val="Titre1"/>
        <w:spacing w:after="120"/>
        <w:rPr>
          <w:lang w:val="fr-CA"/>
        </w:rPr>
      </w:pPr>
      <w:r w:rsidRPr="00D5487B">
        <w:rPr>
          <w:lang w:val="fr-CA"/>
        </w:rPr>
        <w:t>I</w:t>
      </w:r>
      <w:r w:rsidR="00B739DC" w:rsidRPr="00D5487B">
        <w:rPr>
          <w:lang w:val="fr-CA"/>
        </w:rPr>
        <w:t>nitiatives de la CFP</w:t>
      </w:r>
    </w:p>
    <w:p w14:paraId="7D5ADD06" w14:textId="14D77C12" w:rsidR="00B739DC" w:rsidRPr="00D5487B" w:rsidRDefault="00F2210B" w:rsidP="00B739DC">
      <w:pPr>
        <w:rPr>
          <w:rFonts w:asciiTheme="minorHAnsi" w:hAnsiTheme="minorHAnsi" w:cstheme="minorHAnsi"/>
          <w:color w:val="000000"/>
          <w:sz w:val="22"/>
          <w:szCs w:val="22"/>
          <w:lang w:val="fr-CA" w:eastAsia="fr-FR" w:bidi="fr-FR"/>
        </w:rPr>
      </w:pPr>
      <w:r w:rsidRPr="00D5487B">
        <w:rPr>
          <w:rFonts w:asciiTheme="minorHAnsi" w:hAnsiTheme="minorHAnsi" w:cstheme="minorHAnsi"/>
          <w:color w:val="000000"/>
          <w:sz w:val="22"/>
          <w:lang w:val="fr-CA" w:eastAsia="fr-FR" w:bidi="fr-FR"/>
        </w:rPr>
        <w:t xml:space="preserve">L’organisation </w:t>
      </w:r>
      <w:r w:rsidR="00B739DC" w:rsidRPr="00D5487B">
        <w:rPr>
          <w:rFonts w:asciiTheme="minorHAnsi" w:hAnsiTheme="minorHAnsi" w:cstheme="minorHAnsi"/>
          <w:color w:val="000000"/>
          <w:sz w:val="22"/>
          <w:lang w:val="fr-CA" w:eastAsia="fr-FR" w:bidi="fr-FR"/>
        </w:rPr>
        <w:t>a participé à l’</w:t>
      </w:r>
      <w:r w:rsidR="00B739DC" w:rsidRPr="00D5487B">
        <w:rPr>
          <w:rFonts w:asciiTheme="minorHAnsi" w:hAnsiTheme="minorHAnsi" w:cstheme="minorHAnsi"/>
          <w:sz w:val="22"/>
          <w:lang w:val="fr-CA" w:eastAsia="fr-FR" w:bidi="fr-FR"/>
        </w:rPr>
        <w:t>évaluation propre au poste pour la compétence orale au niveau B.</w:t>
      </w:r>
    </w:p>
    <w:p w14:paraId="21DE2D83" w14:textId="29BF7B9B" w:rsidR="00B739DC" w:rsidRPr="00D5487B" w:rsidRDefault="00183CCD" w:rsidP="00FB1CA0">
      <w:pPr>
        <w:pStyle w:val="Titre1"/>
        <w:spacing w:after="120"/>
        <w:rPr>
          <w:lang w:val="fr-CA"/>
        </w:rPr>
      </w:pPr>
      <w:r w:rsidRPr="00D5487B">
        <w:rPr>
          <w:lang w:val="fr-CA"/>
        </w:rPr>
        <w:t>So</w:t>
      </w:r>
      <w:r w:rsidR="00B739DC" w:rsidRPr="00D5487B">
        <w:rPr>
          <w:lang w:val="fr-CA"/>
        </w:rPr>
        <w:t xml:space="preserve">utien </w:t>
      </w:r>
      <w:r w:rsidR="00F2210B" w:rsidRPr="00D5487B">
        <w:rPr>
          <w:lang w:val="fr-CA"/>
        </w:rPr>
        <w:t>en</w:t>
      </w:r>
      <w:r w:rsidR="00B739DC" w:rsidRPr="00D5487B">
        <w:rPr>
          <w:lang w:val="fr-CA"/>
        </w:rPr>
        <w:t xml:space="preserve"> dotation</w:t>
      </w:r>
    </w:p>
    <w:p w14:paraId="6384B7A8" w14:textId="3C82F805" w:rsidR="00B739DC" w:rsidRPr="00D5487B" w:rsidRDefault="00F2210B" w:rsidP="00081375">
      <w:pPr>
        <w:pStyle w:val="Titre2"/>
        <w:spacing w:after="120"/>
        <w:rPr>
          <w:u w:val="single"/>
          <w:lang w:val="fr-CA"/>
        </w:rPr>
      </w:pPr>
      <w:r w:rsidRPr="00D5487B">
        <w:rPr>
          <w:lang w:val="fr-CA"/>
        </w:rPr>
        <w:t>Représentants de la Commission de la fonction publique et personnes-ressources au sein de l’organisation</w:t>
      </w:r>
      <w:r w:rsidR="00B739DC" w:rsidRPr="00D5487B">
        <w:rPr>
          <w:lang w:val="fr-CA"/>
        </w:rPr>
        <w:t xml:space="preserve"> </w:t>
      </w:r>
    </w:p>
    <w:p w14:paraId="4467B73A" w14:textId="512CE6BB" w:rsidR="00B739DC" w:rsidRPr="00D5487B" w:rsidRDefault="00B739DC" w:rsidP="00B739DC">
      <w:pPr>
        <w:rPr>
          <w:rFonts w:asciiTheme="majorHAnsi" w:hAnsiTheme="majorHAnsi" w:cstheme="majorHAnsi"/>
          <w:sz w:val="22"/>
          <w:szCs w:val="22"/>
          <w:lang w:val="fr-CA" w:eastAsia="en-CA"/>
        </w:rPr>
      </w:pPr>
      <w:r w:rsidRPr="00D5487B">
        <w:rPr>
          <w:rFonts w:asciiTheme="majorHAnsi" w:eastAsia="Arial" w:hAnsiTheme="majorHAnsi" w:cstheme="majorHAnsi"/>
          <w:sz w:val="22"/>
          <w:szCs w:val="22"/>
          <w:lang w:val="fr-CA" w:bidi="fr-FR"/>
        </w:rPr>
        <w:t xml:space="preserve">La </w:t>
      </w:r>
      <w:r w:rsidR="00F2210B" w:rsidRPr="00D5487B">
        <w:rPr>
          <w:rFonts w:asciiTheme="majorHAnsi" w:eastAsia="Arial" w:hAnsiTheme="majorHAnsi" w:cstheme="majorHAnsi"/>
          <w:sz w:val="22"/>
          <w:szCs w:val="22"/>
          <w:lang w:val="fr-CA" w:bidi="fr-FR"/>
        </w:rPr>
        <w:t>CSD</w:t>
      </w:r>
      <w:r w:rsidRPr="00D5487B">
        <w:rPr>
          <w:rFonts w:asciiTheme="majorHAnsi" w:eastAsia="Arial" w:hAnsiTheme="majorHAnsi" w:cstheme="majorHAnsi"/>
          <w:sz w:val="22"/>
          <w:szCs w:val="22"/>
          <w:lang w:val="fr-CA" w:bidi="fr-FR"/>
        </w:rPr>
        <w:t xml:space="preserve"> </w:t>
      </w:r>
      <w:r w:rsidR="00F2210B" w:rsidRPr="00D5487B">
        <w:rPr>
          <w:rFonts w:asciiTheme="majorHAnsi" w:eastAsia="Arial" w:hAnsiTheme="majorHAnsi" w:cstheme="majorHAnsi"/>
          <w:sz w:val="22"/>
          <w:szCs w:val="22"/>
          <w:lang w:val="fr-CA" w:bidi="fr-FR"/>
        </w:rPr>
        <w:t xml:space="preserve">assignée </w:t>
      </w:r>
      <w:r w:rsidRPr="00D5487B">
        <w:rPr>
          <w:rFonts w:asciiTheme="majorHAnsi" w:eastAsia="Arial" w:hAnsiTheme="majorHAnsi" w:cstheme="majorHAnsi"/>
          <w:sz w:val="22"/>
          <w:szCs w:val="22"/>
          <w:lang w:val="fr-CA" w:bidi="fr-FR"/>
        </w:rPr>
        <w:t>à cet</w:t>
      </w:r>
      <w:r w:rsidR="00F2210B" w:rsidRPr="00D5487B">
        <w:rPr>
          <w:rFonts w:asciiTheme="majorHAnsi" w:eastAsia="Arial" w:hAnsiTheme="majorHAnsi" w:cstheme="majorHAnsi"/>
          <w:sz w:val="22"/>
          <w:szCs w:val="22"/>
          <w:lang w:val="fr-CA" w:bidi="fr-FR"/>
        </w:rPr>
        <w:t>te</w:t>
      </w:r>
      <w:r w:rsidRPr="00D5487B">
        <w:rPr>
          <w:rFonts w:asciiTheme="majorHAnsi" w:eastAsia="Arial" w:hAnsiTheme="majorHAnsi" w:cstheme="majorHAnsi"/>
          <w:sz w:val="22"/>
          <w:szCs w:val="22"/>
          <w:lang w:val="fr-CA" w:bidi="fr-FR"/>
        </w:rPr>
        <w:t xml:space="preserve"> </w:t>
      </w:r>
      <w:r w:rsidR="00F2210B" w:rsidRPr="00D5487B">
        <w:rPr>
          <w:rFonts w:asciiTheme="majorHAnsi" w:eastAsia="Arial" w:hAnsiTheme="majorHAnsi" w:cstheme="majorHAnsi"/>
          <w:sz w:val="22"/>
          <w:szCs w:val="22"/>
          <w:lang w:val="fr-CA" w:bidi="fr-FR"/>
        </w:rPr>
        <w:t xml:space="preserve">organisation </w:t>
      </w:r>
      <w:r w:rsidRPr="00D5487B">
        <w:rPr>
          <w:rFonts w:asciiTheme="majorHAnsi" w:eastAsia="Arial" w:hAnsiTheme="majorHAnsi" w:cstheme="majorHAnsi"/>
          <w:sz w:val="22"/>
          <w:szCs w:val="22"/>
          <w:lang w:val="fr-CA" w:bidi="fr-FR"/>
        </w:rPr>
        <w:t>est Yannick Fortin. Le chef des ressources humaines est Daryl Gauthier, directeur général, Direction des services de ressources humaines, et la principale personne-ressource au sein de l’organisme est Tammy Kardoes, directrice, Centre de politique en dotation et Classification.</w:t>
      </w:r>
    </w:p>
    <w:p w14:paraId="59ED03F6" w14:textId="77777777" w:rsidR="00B739DC" w:rsidRPr="00D5487B" w:rsidRDefault="00B739DC" w:rsidP="00B739DC">
      <w:pPr>
        <w:rPr>
          <w:rFonts w:asciiTheme="majorHAnsi" w:eastAsia="Arial" w:hAnsiTheme="majorHAnsi" w:cstheme="majorHAnsi"/>
          <w:b/>
          <w:sz w:val="22"/>
          <w:szCs w:val="22"/>
          <w:lang w:val="fr-CA" w:bidi="fr-FR"/>
        </w:rPr>
      </w:pPr>
      <w:r w:rsidRPr="00D5487B">
        <w:rPr>
          <w:rFonts w:asciiTheme="majorHAnsi" w:eastAsia="Arial" w:hAnsiTheme="majorHAnsi" w:cstheme="majorHAnsi"/>
          <w:b/>
          <w:sz w:val="22"/>
          <w:szCs w:val="22"/>
          <w:lang w:val="fr-CA" w:bidi="fr-FR"/>
        </w:rPr>
        <w:br w:type="page"/>
      </w:r>
    </w:p>
    <w:p w14:paraId="74BDD0AD" w14:textId="77777777" w:rsidR="00B739DC" w:rsidRPr="00D5487B" w:rsidRDefault="00B739DC" w:rsidP="00B739DC">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lev"/>
          <w:rFonts w:asciiTheme="minorHAnsi" w:hAnsiTheme="minorHAnsi" w:cstheme="minorHAnsi"/>
          <w:sz w:val="22"/>
          <w:lang w:val="fr-CA"/>
        </w:rPr>
      </w:pPr>
      <w:r w:rsidRPr="00D5487B">
        <w:rPr>
          <w:rStyle w:val="lev"/>
          <w:rFonts w:asciiTheme="minorHAnsi" w:eastAsia="Arial" w:hAnsiTheme="minorHAnsi" w:cstheme="minorHAnsi"/>
          <w:sz w:val="22"/>
          <w:lang w:val="fr-CA"/>
        </w:rPr>
        <w:lastRenderedPageBreak/>
        <w:t>PRÉPARÉ PAR :</w:t>
      </w:r>
    </w:p>
    <w:p w14:paraId="39B73BF4" w14:textId="77777777" w:rsidR="00B739DC" w:rsidRPr="00D5487B" w:rsidRDefault="00B739DC" w:rsidP="00FB1CA0">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heme="minorHAnsi" w:hAnsiTheme="minorHAnsi" w:cstheme="minorHAnsi"/>
          <w:sz w:val="22"/>
          <w:szCs w:val="22"/>
          <w:lang w:val="fr-CA"/>
        </w:rPr>
      </w:pPr>
      <w:r w:rsidRPr="00D5487B">
        <w:rPr>
          <w:rFonts w:asciiTheme="minorHAnsi" w:eastAsia="Arial" w:hAnsiTheme="minorHAnsi" w:cstheme="minorHAnsi"/>
          <w:sz w:val="22"/>
          <w:szCs w:val="22"/>
          <w:lang w:val="fr-CA" w:bidi="fr-FR"/>
        </w:rPr>
        <w:t>Yannick Fortin</w:t>
      </w:r>
    </w:p>
    <w:p w14:paraId="4583E132" w14:textId="77777777" w:rsidR="00B739DC" w:rsidRPr="00D5487B" w:rsidRDefault="00B739DC" w:rsidP="00B739DC">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fr-CA"/>
        </w:rPr>
      </w:pPr>
      <w:r w:rsidRPr="00D5487B">
        <w:rPr>
          <w:rFonts w:asciiTheme="minorHAnsi" w:eastAsia="Arial" w:hAnsiTheme="minorHAnsi" w:cstheme="minorHAnsi"/>
          <w:sz w:val="22"/>
          <w:szCs w:val="22"/>
          <w:lang w:val="fr-CA" w:bidi="fr-FR"/>
        </w:rPr>
        <w:t>Conseillère au soutien en dotation</w:t>
      </w:r>
    </w:p>
    <w:p w14:paraId="3BA1851F" w14:textId="1B870AB2" w:rsidR="00B739DC" w:rsidRPr="00D5487B" w:rsidRDefault="00B739DC" w:rsidP="00FB1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heme="minorHAnsi" w:hAnsiTheme="minorHAnsi" w:cstheme="minorHAnsi"/>
          <w:sz w:val="22"/>
          <w:szCs w:val="22"/>
          <w:lang w:val="fr-CA"/>
        </w:rPr>
      </w:pPr>
      <w:r w:rsidRPr="00D5487B">
        <w:rPr>
          <w:rFonts w:asciiTheme="minorHAnsi" w:hAnsiTheme="minorHAnsi" w:cstheme="minorHAnsi"/>
          <w:sz w:val="22"/>
          <w:szCs w:val="22"/>
          <w:lang w:val="fr-CA"/>
        </w:rPr>
        <w:t>Annexes:</w:t>
      </w:r>
    </w:p>
    <w:p w14:paraId="49040663" w14:textId="77777777" w:rsidR="00C01949" w:rsidRPr="00C01949" w:rsidRDefault="00A35947" w:rsidP="00C01949">
      <w:pPr>
        <w:pStyle w:val="Paragraphedeliste"/>
        <w:numPr>
          <w:ilvl w:val="0"/>
          <w:numId w:val="47"/>
        </w:numPr>
        <w:rPr>
          <w:rStyle w:val="Lienhypertexte"/>
          <w:rFonts w:asciiTheme="minorHAnsi" w:hAnsiTheme="minorHAnsi" w:cstheme="minorHAnsi"/>
          <w:bCs/>
          <w:sz w:val="22"/>
          <w:szCs w:val="22"/>
          <w:lang w:val="fr-CA"/>
        </w:rPr>
      </w:pPr>
      <w:hyperlink w:anchor="AnnexA" w:history="1">
        <w:r w:rsidR="00C01949" w:rsidRPr="00C01949">
          <w:rPr>
            <w:rStyle w:val="Lienhypertexte"/>
            <w:rFonts w:asciiTheme="minorHAnsi" w:hAnsiTheme="minorHAnsi" w:cstheme="minorHAnsi"/>
            <w:sz w:val="22"/>
            <w:szCs w:val="22"/>
            <w:lang w:val="fr-CA"/>
          </w:rPr>
          <w:t xml:space="preserve">Annexe A –  Document Faits Saillants de la Nouvelle orientation en dotation (NOD) pour les AG </w:t>
        </w:r>
      </w:hyperlink>
    </w:p>
    <w:p w14:paraId="3A75E1C7" w14:textId="77777777" w:rsidR="00C01949" w:rsidRPr="00C01949" w:rsidRDefault="00A35947" w:rsidP="00C01949">
      <w:pPr>
        <w:pStyle w:val="Paragraphedeliste"/>
        <w:numPr>
          <w:ilvl w:val="0"/>
          <w:numId w:val="47"/>
        </w:numPr>
        <w:rPr>
          <w:rFonts w:asciiTheme="minorHAnsi" w:hAnsiTheme="minorHAnsi" w:cstheme="minorHAnsi"/>
          <w:bCs/>
          <w:sz w:val="22"/>
          <w:szCs w:val="22"/>
          <w:lang w:val="fr-CA"/>
        </w:rPr>
        <w:sectPr w:rsidR="00C01949" w:rsidRPr="00C01949" w:rsidSect="00D8188D">
          <w:footnotePr>
            <w:numFmt w:val="lowerLetter"/>
          </w:footnotePr>
          <w:endnotePr>
            <w:numFmt w:val="lowerLetter"/>
          </w:endnotePr>
          <w:pgSz w:w="12240" w:h="15840" w:code="1"/>
          <w:pgMar w:top="1440" w:right="1080" w:bottom="1440" w:left="1080" w:header="284" w:footer="284" w:gutter="0"/>
          <w:cols w:space="720"/>
          <w:docGrid w:linePitch="326"/>
        </w:sectPr>
      </w:pPr>
      <w:hyperlink w:anchor="AnnexB" w:history="1">
        <w:r w:rsidR="00C01949" w:rsidRPr="00C01949">
          <w:rPr>
            <w:rStyle w:val="Lienhypertexte"/>
            <w:rFonts w:asciiTheme="minorHAnsi" w:hAnsiTheme="minorHAnsi" w:cstheme="minorHAnsi"/>
            <w:sz w:val="22"/>
            <w:szCs w:val="22"/>
            <w:lang w:val="fr-CA"/>
          </w:rPr>
          <w:t>Annexe B - Données sur l’effectif et les activités de dotation</w:t>
        </w:r>
      </w:hyperlink>
    </w:p>
    <w:p w14:paraId="294E89D1" w14:textId="5D58BD36" w:rsidR="00B739DC" w:rsidRPr="00D5487B" w:rsidRDefault="00C92217" w:rsidP="0012388A">
      <w:pPr>
        <w:pStyle w:val="Titre3"/>
        <w:jc w:val="right"/>
        <w:rPr>
          <w:lang w:val="fr-CA"/>
        </w:rPr>
      </w:pPr>
      <w:bookmarkStart w:id="1" w:name="AnnexC"/>
      <w:bookmarkStart w:id="2" w:name="AnnexA"/>
      <w:r>
        <w:rPr>
          <w:lang w:val="fr-CA"/>
        </w:rPr>
        <w:lastRenderedPageBreak/>
        <w:t>Annexe A</w:t>
      </w:r>
    </w:p>
    <w:bookmarkEnd w:id="1"/>
    <w:bookmarkEnd w:id="2"/>
    <w:p w14:paraId="361B7256" w14:textId="77777777" w:rsidR="00DB02D7" w:rsidRPr="00D5487B" w:rsidRDefault="00DB02D7" w:rsidP="00DB02D7">
      <w:pPr>
        <w:keepNext/>
        <w:keepLines/>
        <w:spacing w:before="40" w:after="120" w:line="259" w:lineRule="auto"/>
        <w:jc w:val="center"/>
        <w:outlineLvl w:val="1"/>
        <w:rPr>
          <w:rFonts w:ascii="Segoe UI" w:eastAsiaTheme="majorEastAsia" w:hAnsi="Segoe UI" w:cs="Segoe UI"/>
          <w:b/>
          <w:color w:val="5B315E" w:themeColor="accent2"/>
          <w:sz w:val="32"/>
          <w:szCs w:val="32"/>
          <w:lang w:val="fr-CA"/>
        </w:rPr>
      </w:pPr>
      <w:r w:rsidRPr="00D5487B">
        <w:rPr>
          <w:rFonts w:ascii="Segoe UI" w:eastAsiaTheme="majorEastAsia" w:hAnsi="Segoe UI" w:cs="Segoe UI"/>
          <w:b/>
          <w:color w:val="5B315E" w:themeColor="accent2"/>
          <w:sz w:val="32"/>
          <w:szCs w:val="32"/>
          <w:lang w:val="fr-CA"/>
        </w:rPr>
        <w:t>Une nouvelle orientation en dotation - un système fondé sur le mérite</w:t>
      </w:r>
      <w:r w:rsidRPr="00D5487B">
        <w:rPr>
          <w:rFonts w:asciiTheme="majorHAnsi" w:eastAsiaTheme="majorEastAsia" w:hAnsiTheme="majorHAnsi" w:cstheme="majorBidi"/>
          <w:b/>
          <w:color w:val="54575A" w:themeColor="text1"/>
          <w:sz w:val="48"/>
          <w:szCs w:val="48"/>
          <w:lang w:val="fr-CA"/>
        </w:rPr>
        <w:t xml:space="preserve"> </w:t>
      </w:r>
      <w:r w:rsidRPr="00D5487B">
        <w:rPr>
          <w:rFonts w:ascii="Segoe UI" w:eastAsiaTheme="majorEastAsia" w:hAnsi="Segoe UI" w:cs="Segoe UI"/>
          <w:b/>
          <w:color w:val="5B315E" w:themeColor="accent2"/>
          <w:sz w:val="32"/>
          <w:szCs w:val="32"/>
          <w:lang w:val="fr-CA"/>
        </w:rPr>
        <w:t>et axé sur l’efficacité, l’efficience et la justice</w:t>
      </w:r>
    </w:p>
    <w:p w14:paraId="55FE20DC" w14:textId="77777777" w:rsidR="00DB02D7" w:rsidRPr="00D5487B" w:rsidRDefault="00DB02D7" w:rsidP="00DB02D7">
      <w:pPr>
        <w:pStyle w:val="Titre3"/>
        <w:spacing w:after="120"/>
        <w:rPr>
          <w:lang w:val="fr-CA"/>
        </w:rPr>
      </w:pPr>
      <w:r w:rsidRPr="00D5487B">
        <w:rPr>
          <w:lang w:val="fr-CA"/>
        </w:rPr>
        <w:t>Politique de nomination</w:t>
      </w:r>
    </w:p>
    <w:p w14:paraId="113F8D0A" w14:textId="77777777" w:rsidR="00DB02D7" w:rsidRPr="00D5487B" w:rsidRDefault="00DB02D7" w:rsidP="00DB02D7">
      <w:pPr>
        <w:keepLines/>
        <w:spacing w:line="259" w:lineRule="auto"/>
        <w:rPr>
          <w:rFonts w:asciiTheme="minorHAnsi" w:eastAsiaTheme="minorHAnsi" w:hAnsiTheme="minorHAnsi" w:cstheme="minorHAnsi"/>
          <w:spacing w:val="-6"/>
          <w:sz w:val="22"/>
          <w:szCs w:val="22"/>
          <w:lang w:val="fr-CA"/>
        </w:rPr>
      </w:pPr>
      <w:r w:rsidRPr="00D5487B">
        <w:rPr>
          <w:rStyle w:val="lev"/>
          <w:rFonts w:asciiTheme="minorHAnsi" w:eastAsiaTheme="minorHAnsi" w:hAnsiTheme="minorHAnsi" w:cstheme="minorHAnsi"/>
          <w:sz w:val="22"/>
          <w:szCs w:val="22"/>
          <w:lang w:val="fr-CA"/>
        </w:rPr>
        <w:t>L’accent est davantage mis sur  les exigences de base</w:t>
      </w:r>
      <w:r w:rsidRPr="00D5487B">
        <w:rPr>
          <w:rFonts w:asciiTheme="minorHAnsi" w:eastAsiaTheme="minorHAnsi" w:hAnsiTheme="minorHAnsi" w:cstheme="minorHAnsi"/>
          <w:spacing w:val="-6"/>
          <w:sz w:val="22"/>
          <w:szCs w:val="22"/>
          <w:lang w:val="fr-CA"/>
        </w:rPr>
        <w:t xml:space="preserve"> afin de fournir aux personnes subdéléguées une plus grande  latitude à l’égard des nominations</w:t>
      </w:r>
    </w:p>
    <w:p w14:paraId="4E126870" w14:textId="77777777" w:rsidR="00DB02D7" w:rsidRPr="00D5487B" w:rsidRDefault="00DB02D7" w:rsidP="00DB02D7">
      <w:pPr>
        <w:keepLines/>
        <w:numPr>
          <w:ilvl w:val="0"/>
          <w:numId w:val="42"/>
        </w:numPr>
        <w:spacing w:line="259" w:lineRule="auto"/>
        <w:rPr>
          <w:rFonts w:asciiTheme="minorHAnsi" w:eastAsiaTheme="minorHAnsi" w:hAnsiTheme="minorHAnsi" w:cstheme="minorHAnsi"/>
          <w:spacing w:val="-6"/>
          <w:sz w:val="22"/>
          <w:szCs w:val="22"/>
          <w:lang w:val="fr-CA"/>
        </w:rPr>
      </w:pPr>
      <w:r w:rsidRPr="00D5487B">
        <w:rPr>
          <w:rStyle w:val="lev"/>
          <w:rFonts w:asciiTheme="minorHAnsi" w:eastAsiaTheme="minorHAnsi" w:hAnsiTheme="minorHAnsi" w:cstheme="minorHAnsi"/>
          <w:sz w:val="22"/>
          <w:szCs w:val="22"/>
          <w:lang w:val="fr-CA"/>
        </w:rPr>
        <w:t>Une seule politique de nomination</w:t>
      </w:r>
      <w:r w:rsidRPr="00D5487B">
        <w:rPr>
          <w:rFonts w:asciiTheme="minorHAnsi" w:eastAsiaTheme="minorHAnsi" w:hAnsiTheme="minorHAnsi" w:cstheme="minorHAnsi"/>
          <w:spacing w:val="-6"/>
          <w:sz w:val="22"/>
          <w:szCs w:val="22"/>
          <w:lang w:val="fr-CA"/>
        </w:rPr>
        <w:t xml:space="preserve">, sans chevauchement des obligations juridiques </w:t>
      </w:r>
    </w:p>
    <w:p w14:paraId="333D662F" w14:textId="77777777" w:rsidR="00DB02D7" w:rsidRPr="00D5487B" w:rsidRDefault="00DB02D7" w:rsidP="00DB02D7">
      <w:pPr>
        <w:keepLines/>
        <w:numPr>
          <w:ilvl w:val="0"/>
          <w:numId w:val="42"/>
        </w:numPr>
        <w:spacing w:line="259" w:lineRule="auto"/>
        <w:rPr>
          <w:rFonts w:asciiTheme="minorHAnsi" w:eastAsiaTheme="minorHAnsi" w:hAnsiTheme="minorHAnsi" w:cstheme="minorHAnsi"/>
          <w:spacing w:val="-6"/>
          <w:sz w:val="22"/>
          <w:szCs w:val="22"/>
          <w:lang w:val="fr-CA"/>
        </w:rPr>
      </w:pPr>
      <w:r w:rsidRPr="00D5487B">
        <w:rPr>
          <w:rStyle w:val="lev"/>
          <w:rFonts w:asciiTheme="minorHAnsi" w:eastAsiaTheme="minorHAnsi" w:hAnsiTheme="minorHAnsi" w:cstheme="minorHAnsi"/>
          <w:sz w:val="22"/>
          <w:szCs w:val="22"/>
          <w:lang w:val="fr-CA"/>
        </w:rPr>
        <w:t>Accent accru sur un système axé sur les valeurs</w:t>
      </w:r>
      <w:r w:rsidRPr="00D5487B">
        <w:rPr>
          <w:rFonts w:asciiTheme="minorHAnsi" w:eastAsiaTheme="minorHAnsi" w:hAnsiTheme="minorHAnsi" w:cstheme="minorHAnsi"/>
          <w:sz w:val="22"/>
          <w:szCs w:val="22"/>
          <w:lang w:val="fr-CA"/>
        </w:rPr>
        <w:t xml:space="preserve"> plutôt que sur un </w:t>
      </w:r>
      <w:r w:rsidRPr="00D5487B">
        <w:rPr>
          <w:rFonts w:asciiTheme="minorHAnsi" w:eastAsiaTheme="minorHAnsi" w:hAnsiTheme="minorHAnsi" w:cstheme="minorHAnsi"/>
          <w:spacing w:val="-6"/>
          <w:sz w:val="22"/>
          <w:szCs w:val="22"/>
          <w:lang w:val="fr-CA"/>
        </w:rPr>
        <w:t>système axé sur les règles</w:t>
      </w:r>
      <w:r w:rsidRPr="00D5487B">
        <w:rPr>
          <w:rFonts w:asciiTheme="minorHAnsi" w:eastAsiaTheme="minorHAnsi" w:hAnsiTheme="minorHAnsi" w:cstheme="minorHAnsi"/>
          <w:b/>
          <w:spacing w:val="-6"/>
          <w:sz w:val="22"/>
          <w:szCs w:val="22"/>
          <w:lang w:val="fr-CA"/>
        </w:rPr>
        <w:t xml:space="preserve"> </w:t>
      </w:r>
    </w:p>
    <w:p w14:paraId="5585D637" w14:textId="77777777" w:rsidR="00DB02D7" w:rsidRPr="00D5487B" w:rsidRDefault="00DB02D7" w:rsidP="00DB02D7">
      <w:pPr>
        <w:keepLines/>
        <w:numPr>
          <w:ilvl w:val="0"/>
          <w:numId w:val="42"/>
        </w:numPr>
        <w:spacing w:line="259" w:lineRule="auto"/>
        <w:rPr>
          <w:rFonts w:asciiTheme="minorHAnsi" w:eastAsiaTheme="minorHAnsi" w:hAnsiTheme="minorHAnsi" w:cstheme="minorHAnsi"/>
          <w:spacing w:val="-6"/>
          <w:sz w:val="22"/>
          <w:szCs w:val="22"/>
          <w:lang w:val="fr-CA"/>
        </w:rPr>
      </w:pPr>
      <w:r w:rsidRPr="00D5487B">
        <w:rPr>
          <w:rFonts w:asciiTheme="minorHAnsi" w:eastAsiaTheme="minorHAnsi" w:hAnsiTheme="minorHAnsi" w:cstheme="minorHAnsi"/>
          <w:spacing w:val="-6"/>
          <w:sz w:val="22"/>
          <w:szCs w:val="22"/>
          <w:lang w:val="fr-CA"/>
        </w:rPr>
        <w:t xml:space="preserve">Politique de nomination appuyée par une </w:t>
      </w:r>
      <w:r w:rsidRPr="00D5487B">
        <w:rPr>
          <w:rStyle w:val="lev"/>
          <w:rFonts w:asciiTheme="minorHAnsi" w:eastAsiaTheme="minorHAnsi" w:hAnsiTheme="minorHAnsi" w:cstheme="minorHAnsi"/>
          <w:sz w:val="22"/>
          <w:szCs w:val="22"/>
          <w:lang w:val="fr-CA"/>
        </w:rPr>
        <w:t>orientation rationalisée</w:t>
      </w:r>
      <w:r w:rsidRPr="00D5487B">
        <w:rPr>
          <w:rFonts w:asciiTheme="minorHAnsi" w:eastAsiaTheme="minorHAnsi" w:hAnsiTheme="minorHAnsi" w:cstheme="minorHAnsi"/>
          <w:b/>
          <w:spacing w:val="-6"/>
          <w:sz w:val="22"/>
          <w:szCs w:val="22"/>
          <w:lang w:val="fr-CA"/>
        </w:rPr>
        <w:t xml:space="preserve"> </w:t>
      </w:r>
      <w:r w:rsidRPr="00D5487B">
        <w:rPr>
          <w:rFonts w:asciiTheme="minorHAnsi" w:eastAsiaTheme="minorHAnsi" w:hAnsiTheme="minorHAnsi" w:cstheme="minorHAnsi"/>
          <w:spacing w:val="-6"/>
          <w:sz w:val="22"/>
          <w:szCs w:val="22"/>
          <w:lang w:val="fr-CA"/>
        </w:rPr>
        <w:t>:</w:t>
      </w:r>
    </w:p>
    <w:p w14:paraId="0A77DE37" w14:textId="77777777" w:rsidR="00DB02D7" w:rsidRPr="00D5487B" w:rsidRDefault="00DB02D7" w:rsidP="00DB02D7">
      <w:pPr>
        <w:keepLines/>
        <w:numPr>
          <w:ilvl w:val="1"/>
          <w:numId w:val="21"/>
        </w:numPr>
        <w:spacing w:line="259" w:lineRule="auto"/>
        <w:ind w:left="1508" w:hanging="425"/>
        <w:rPr>
          <w:rFonts w:asciiTheme="minorHAnsi" w:eastAsiaTheme="minorHAnsi" w:hAnsiTheme="minorHAnsi" w:cstheme="minorHAnsi"/>
          <w:spacing w:val="-6"/>
          <w:sz w:val="22"/>
          <w:szCs w:val="22"/>
          <w:lang w:val="fr-CA"/>
        </w:rPr>
      </w:pPr>
      <w:r w:rsidRPr="00D5487B">
        <w:rPr>
          <w:rFonts w:asciiTheme="minorHAnsi" w:eastAsiaTheme="minorHAnsi" w:hAnsiTheme="minorHAnsi" w:cstheme="minorHAnsi"/>
          <w:spacing w:val="-6"/>
          <w:sz w:val="22"/>
          <w:szCs w:val="22"/>
          <w:lang w:val="fr-CA"/>
        </w:rPr>
        <w:t>Feuille de route précisant les exigences relatives aux lois, règlements et politiques</w:t>
      </w:r>
    </w:p>
    <w:p w14:paraId="33949C7A" w14:textId="77777777" w:rsidR="00DB02D7" w:rsidRPr="00D5487B" w:rsidRDefault="00DB02D7" w:rsidP="00DB02D7">
      <w:pPr>
        <w:keepLines/>
        <w:numPr>
          <w:ilvl w:val="1"/>
          <w:numId w:val="21"/>
        </w:numPr>
        <w:spacing w:line="259" w:lineRule="auto"/>
        <w:ind w:left="1508" w:hanging="425"/>
        <w:rPr>
          <w:rFonts w:asciiTheme="minorHAnsi" w:eastAsiaTheme="minorHAnsi" w:hAnsiTheme="minorHAnsi" w:cstheme="minorHAnsi"/>
          <w:spacing w:val="-6"/>
          <w:sz w:val="22"/>
          <w:szCs w:val="22"/>
          <w:lang w:val="fr-CA"/>
        </w:rPr>
      </w:pPr>
      <w:r w:rsidRPr="00D5487B">
        <w:rPr>
          <w:rFonts w:asciiTheme="minorHAnsi" w:eastAsiaTheme="minorHAnsi" w:hAnsiTheme="minorHAnsi" w:cstheme="minorHAnsi"/>
          <w:spacing w:val="-6"/>
          <w:sz w:val="22"/>
          <w:szCs w:val="22"/>
          <w:lang w:val="fr-CA"/>
        </w:rPr>
        <w:t>Options et considérations relatives à  la prise de décisions dans les cas où il existe une certaine latitude</w:t>
      </w:r>
    </w:p>
    <w:p w14:paraId="6743CC82" w14:textId="77777777" w:rsidR="00DB02D7" w:rsidRPr="00D5487B" w:rsidRDefault="00DB02D7" w:rsidP="00DB02D7">
      <w:pPr>
        <w:keepLines/>
        <w:numPr>
          <w:ilvl w:val="0"/>
          <w:numId w:val="43"/>
        </w:numPr>
        <w:spacing w:line="259" w:lineRule="auto"/>
        <w:rPr>
          <w:rFonts w:asciiTheme="minorHAnsi" w:eastAsiaTheme="minorHAnsi" w:hAnsiTheme="minorHAnsi" w:cstheme="minorHAnsi"/>
          <w:spacing w:val="-6"/>
          <w:sz w:val="22"/>
          <w:szCs w:val="22"/>
          <w:lang w:val="fr-CA"/>
        </w:rPr>
      </w:pPr>
      <w:r w:rsidRPr="00D5487B">
        <w:rPr>
          <w:rStyle w:val="lev"/>
          <w:rFonts w:asciiTheme="minorHAnsi" w:eastAsiaTheme="minorHAnsi" w:hAnsiTheme="minorHAnsi" w:cstheme="minorHAnsi"/>
          <w:sz w:val="22"/>
          <w:szCs w:val="22"/>
          <w:lang w:val="fr-CA"/>
        </w:rPr>
        <w:t>Attentes clairement définies</w:t>
      </w:r>
      <w:r w:rsidRPr="00D5487B">
        <w:rPr>
          <w:rFonts w:asciiTheme="minorHAnsi" w:eastAsiaTheme="minorHAnsi" w:hAnsiTheme="minorHAnsi" w:cstheme="minorHAnsi"/>
          <w:spacing w:val="-6"/>
          <w:sz w:val="22"/>
          <w:szCs w:val="22"/>
          <w:lang w:val="fr-CA"/>
        </w:rPr>
        <w:t xml:space="preserve"> quant aux droits de priorité</w:t>
      </w:r>
    </w:p>
    <w:p w14:paraId="2F098F6A" w14:textId="77777777" w:rsidR="00DB02D7" w:rsidRPr="00D5487B" w:rsidRDefault="00DB02D7" w:rsidP="00DB02D7">
      <w:pPr>
        <w:keepLines/>
        <w:numPr>
          <w:ilvl w:val="0"/>
          <w:numId w:val="43"/>
        </w:numPr>
        <w:spacing w:line="259" w:lineRule="auto"/>
        <w:rPr>
          <w:rFonts w:asciiTheme="minorHAnsi" w:eastAsiaTheme="minorHAnsi" w:hAnsiTheme="minorHAnsi" w:cstheme="minorHAnsi"/>
          <w:spacing w:val="-6"/>
          <w:sz w:val="22"/>
          <w:szCs w:val="22"/>
          <w:lang w:val="fr-CA"/>
        </w:rPr>
      </w:pPr>
      <w:r w:rsidRPr="00D5487B">
        <w:rPr>
          <w:rFonts w:asciiTheme="minorHAnsi" w:eastAsiaTheme="minorHAnsi" w:hAnsiTheme="minorHAnsi" w:cstheme="minorHAnsi"/>
          <w:spacing w:val="-6"/>
          <w:sz w:val="22"/>
          <w:szCs w:val="22"/>
          <w:lang w:val="fr-CA"/>
        </w:rPr>
        <w:t>Aucune restriction quant aux méthodes d’évaluation pour la  nomination des cadres de direction (EX)</w:t>
      </w:r>
    </w:p>
    <w:p w14:paraId="1CCF9679" w14:textId="77777777" w:rsidR="00DB02D7" w:rsidRPr="00D5487B" w:rsidRDefault="00DB02D7" w:rsidP="00DB02D7">
      <w:pPr>
        <w:keepLines/>
        <w:numPr>
          <w:ilvl w:val="0"/>
          <w:numId w:val="43"/>
        </w:numPr>
        <w:spacing w:after="240" w:line="259" w:lineRule="auto"/>
        <w:rPr>
          <w:rFonts w:asciiTheme="minorHAnsi" w:eastAsiaTheme="minorHAnsi" w:hAnsiTheme="minorHAnsi" w:cstheme="minorHAnsi"/>
          <w:spacing w:val="-6"/>
          <w:sz w:val="22"/>
          <w:szCs w:val="22"/>
          <w:lang w:val="fr-CA"/>
        </w:rPr>
      </w:pPr>
      <w:r w:rsidRPr="00D5487B">
        <w:rPr>
          <w:rFonts w:asciiTheme="minorHAnsi" w:eastAsiaTheme="minorHAnsi" w:hAnsiTheme="minorHAnsi" w:cstheme="minorHAnsi"/>
          <w:spacing w:val="-6"/>
          <w:sz w:val="22"/>
          <w:szCs w:val="22"/>
          <w:lang w:val="fr-CA"/>
        </w:rPr>
        <w:t>Exceptions à la zone nationale de sélection approuvées</w:t>
      </w:r>
    </w:p>
    <w:p w14:paraId="62CC65F0" w14:textId="77777777" w:rsidR="00DB02D7" w:rsidRPr="00D5487B" w:rsidRDefault="00DB02D7" w:rsidP="00DB02D7">
      <w:pPr>
        <w:pStyle w:val="Titre3"/>
        <w:spacing w:after="120"/>
        <w:rPr>
          <w:lang w:val="fr-CA"/>
        </w:rPr>
      </w:pPr>
      <w:r w:rsidRPr="00D5487B">
        <w:rPr>
          <w:lang w:val="fr-CA"/>
        </w:rPr>
        <w:t>Délégation</w:t>
      </w:r>
    </w:p>
    <w:p w14:paraId="566F9B0D" w14:textId="77777777" w:rsidR="00DB02D7" w:rsidRPr="00D5487B" w:rsidRDefault="00DB02D7" w:rsidP="00DB02D7">
      <w:pPr>
        <w:pStyle w:val="Paragraphedeliste"/>
        <w:keepLines/>
        <w:numPr>
          <w:ilvl w:val="0"/>
          <w:numId w:val="44"/>
        </w:numPr>
        <w:spacing w:after="0" w:line="259" w:lineRule="auto"/>
        <w:rPr>
          <w:rFonts w:asciiTheme="minorHAnsi" w:eastAsiaTheme="minorHAnsi" w:hAnsiTheme="minorHAnsi" w:cstheme="minorHAnsi"/>
          <w:spacing w:val="-8"/>
          <w:sz w:val="22"/>
          <w:szCs w:val="22"/>
          <w:lang w:val="fr-CA"/>
        </w:rPr>
      </w:pPr>
      <w:r w:rsidRPr="00D5487B">
        <w:rPr>
          <w:rStyle w:val="lev"/>
          <w:rFonts w:asciiTheme="minorHAnsi" w:eastAsiaTheme="minorHAnsi" w:hAnsiTheme="minorHAnsi" w:cstheme="minorHAnsi"/>
          <w:sz w:val="22"/>
          <w:szCs w:val="22"/>
          <w:lang w:val="fr-CA"/>
        </w:rPr>
        <w:t>L’accent est davantage mis sur la capacité d’adapter le système de dotation  de l’organisation</w:t>
      </w:r>
      <w:r w:rsidRPr="00D5487B">
        <w:rPr>
          <w:rFonts w:asciiTheme="minorHAnsi" w:eastAsiaTheme="minorHAnsi" w:hAnsiTheme="minorHAnsi" w:cstheme="minorHAnsi"/>
          <w:b/>
          <w:bCs/>
          <w:spacing w:val="-8"/>
          <w:sz w:val="22"/>
          <w:szCs w:val="22"/>
          <w:lang w:val="fr-CA"/>
        </w:rPr>
        <w:t xml:space="preserve"> </w:t>
      </w:r>
      <w:r w:rsidRPr="00D5487B">
        <w:rPr>
          <w:rFonts w:asciiTheme="minorHAnsi" w:eastAsiaTheme="minorHAnsi" w:hAnsiTheme="minorHAnsi" w:cstheme="minorHAnsi"/>
          <w:spacing w:val="-8"/>
          <w:sz w:val="22"/>
          <w:szCs w:val="22"/>
          <w:lang w:val="fr-CA"/>
        </w:rPr>
        <w:t xml:space="preserve">en fonction du contexte particulier et des besoins opérationnels en évolution </w:t>
      </w:r>
    </w:p>
    <w:p w14:paraId="129C2D06" w14:textId="77777777" w:rsidR="00DB02D7" w:rsidRPr="00D5487B" w:rsidRDefault="00DB02D7" w:rsidP="00DB02D7">
      <w:pPr>
        <w:keepLines/>
        <w:numPr>
          <w:ilvl w:val="0"/>
          <w:numId w:val="44"/>
        </w:numPr>
        <w:spacing w:line="259" w:lineRule="auto"/>
        <w:rPr>
          <w:rStyle w:val="lev"/>
          <w:rFonts w:asciiTheme="minorHAnsi" w:eastAsiaTheme="minorHAnsi" w:hAnsiTheme="minorHAnsi" w:cstheme="minorHAnsi"/>
          <w:sz w:val="22"/>
          <w:szCs w:val="22"/>
          <w:lang w:val="fr-CA"/>
        </w:rPr>
      </w:pPr>
      <w:r w:rsidRPr="00D5487B">
        <w:rPr>
          <w:rFonts w:asciiTheme="minorHAnsi" w:eastAsiaTheme="minorHAnsi" w:hAnsiTheme="minorHAnsi" w:cstheme="minorHAnsi"/>
          <w:spacing w:val="-8"/>
          <w:sz w:val="22"/>
          <w:szCs w:val="22"/>
          <w:lang w:val="fr-CA"/>
        </w:rPr>
        <w:t xml:space="preserve">L’administrateur général établit une orientation quant à </w:t>
      </w:r>
      <w:r w:rsidRPr="00D5487B">
        <w:rPr>
          <w:rStyle w:val="lev"/>
          <w:rFonts w:asciiTheme="minorHAnsi" w:eastAsiaTheme="minorHAnsi" w:hAnsiTheme="minorHAnsi" w:cstheme="minorHAnsi"/>
          <w:sz w:val="22"/>
          <w:szCs w:val="22"/>
          <w:lang w:val="fr-CA"/>
        </w:rPr>
        <w:t xml:space="preserve">l’utilisation des processus de nomination annoncés et non annoncés </w:t>
      </w:r>
    </w:p>
    <w:p w14:paraId="0C77F6DB" w14:textId="77777777" w:rsidR="00DB02D7" w:rsidRPr="00D5487B" w:rsidRDefault="00DB02D7" w:rsidP="00DB02D7">
      <w:pPr>
        <w:keepLines/>
        <w:numPr>
          <w:ilvl w:val="0"/>
          <w:numId w:val="44"/>
        </w:numPr>
        <w:spacing w:line="259" w:lineRule="auto"/>
        <w:rPr>
          <w:rStyle w:val="lev"/>
          <w:rFonts w:asciiTheme="minorHAnsi" w:eastAsiaTheme="minorHAnsi" w:hAnsiTheme="minorHAnsi" w:cstheme="minorHAnsi"/>
          <w:sz w:val="22"/>
          <w:szCs w:val="22"/>
          <w:lang w:val="fr-CA"/>
        </w:rPr>
      </w:pPr>
      <w:r w:rsidRPr="00D5487B">
        <w:rPr>
          <w:rFonts w:asciiTheme="minorHAnsi" w:eastAsiaTheme="minorHAnsi" w:hAnsiTheme="minorHAnsi" w:cstheme="minorHAnsi"/>
          <w:spacing w:val="-8"/>
          <w:sz w:val="22"/>
          <w:szCs w:val="22"/>
          <w:lang w:val="fr-CA"/>
        </w:rPr>
        <w:t xml:space="preserve">L’administrateur général établit les exigences pour les personnes subdéléguées </w:t>
      </w:r>
      <w:r w:rsidRPr="00D5487B">
        <w:rPr>
          <w:rStyle w:val="lev"/>
          <w:rFonts w:asciiTheme="minorHAnsi" w:eastAsiaTheme="minorHAnsi" w:hAnsiTheme="minorHAnsi" w:cstheme="minorHAnsi"/>
          <w:sz w:val="22"/>
          <w:szCs w:val="22"/>
          <w:lang w:val="fr-CA"/>
        </w:rPr>
        <w:t>de formuler, par écrit, la décision de sélection</w:t>
      </w:r>
    </w:p>
    <w:p w14:paraId="7145E175" w14:textId="77777777" w:rsidR="00DB02D7" w:rsidRPr="00D5487B" w:rsidRDefault="00DB02D7" w:rsidP="00DB02D7">
      <w:pPr>
        <w:keepLines/>
        <w:numPr>
          <w:ilvl w:val="0"/>
          <w:numId w:val="44"/>
        </w:numPr>
        <w:spacing w:line="259" w:lineRule="auto"/>
        <w:rPr>
          <w:rFonts w:asciiTheme="minorHAnsi" w:eastAsiaTheme="minorHAnsi" w:hAnsiTheme="minorHAnsi" w:cstheme="minorHAnsi"/>
          <w:spacing w:val="-8"/>
          <w:sz w:val="22"/>
          <w:szCs w:val="22"/>
          <w:lang w:val="fr-CA"/>
        </w:rPr>
      </w:pPr>
      <w:r w:rsidRPr="00D5487B">
        <w:rPr>
          <w:rFonts w:asciiTheme="minorHAnsi" w:eastAsiaTheme="minorHAnsi" w:hAnsiTheme="minorHAnsi" w:cstheme="minorHAnsi"/>
          <w:spacing w:val="-8"/>
          <w:sz w:val="22"/>
          <w:szCs w:val="22"/>
          <w:lang w:val="fr-CA"/>
        </w:rPr>
        <w:t>Exigences plus claires concernant les enquêtes</w:t>
      </w:r>
    </w:p>
    <w:p w14:paraId="20E744A9" w14:textId="77777777" w:rsidR="00DB02D7" w:rsidRPr="00D5487B" w:rsidRDefault="00DB02D7" w:rsidP="00DB02D7">
      <w:pPr>
        <w:keepLines/>
        <w:numPr>
          <w:ilvl w:val="0"/>
          <w:numId w:val="44"/>
        </w:numPr>
        <w:spacing w:line="259" w:lineRule="auto"/>
        <w:rPr>
          <w:rFonts w:asciiTheme="minorHAnsi" w:eastAsiaTheme="minorHAnsi" w:hAnsiTheme="minorHAnsi" w:cstheme="minorHAnsi"/>
          <w:spacing w:val="-8"/>
          <w:sz w:val="22"/>
          <w:szCs w:val="22"/>
          <w:lang w:val="fr-CA"/>
        </w:rPr>
      </w:pPr>
      <w:r w:rsidRPr="00D5487B">
        <w:rPr>
          <w:rStyle w:val="lev"/>
          <w:rFonts w:asciiTheme="minorHAnsi" w:eastAsiaTheme="minorHAnsi" w:hAnsiTheme="minorHAnsi" w:cstheme="minorHAnsi"/>
          <w:sz w:val="22"/>
          <w:szCs w:val="22"/>
          <w:lang w:val="fr-CA"/>
        </w:rPr>
        <w:t>Formulaire d’attestation</w:t>
      </w:r>
      <w:r w:rsidRPr="00D5487B">
        <w:rPr>
          <w:rFonts w:asciiTheme="minorHAnsi" w:eastAsiaTheme="minorHAnsi" w:hAnsiTheme="minorHAnsi" w:cstheme="minorHAnsi"/>
          <w:spacing w:val="-8"/>
          <w:sz w:val="22"/>
          <w:szCs w:val="22"/>
          <w:lang w:val="fr-CA"/>
        </w:rPr>
        <w:t xml:space="preserve"> réitérant les responsabilités des personnes subdéléguées</w:t>
      </w:r>
    </w:p>
    <w:p w14:paraId="6341C44F" w14:textId="77777777" w:rsidR="00DB02D7" w:rsidRPr="00D5487B" w:rsidRDefault="00DB02D7" w:rsidP="00DB02D7">
      <w:pPr>
        <w:keepLines/>
        <w:spacing w:after="160" w:line="259" w:lineRule="auto"/>
        <w:ind w:right="-202"/>
        <w:rPr>
          <w:rFonts w:asciiTheme="minorHAnsi" w:eastAsiaTheme="minorHAnsi" w:hAnsiTheme="minorHAnsi" w:cstheme="minorHAnsi"/>
          <w:spacing w:val="-8"/>
          <w:sz w:val="22"/>
          <w:szCs w:val="22"/>
          <w:lang w:val="fr-CA"/>
        </w:rPr>
      </w:pPr>
      <w:r w:rsidRPr="00D5487B">
        <w:rPr>
          <w:rFonts w:asciiTheme="minorHAnsi" w:eastAsiaTheme="minorHAnsi" w:hAnsiTheme="minorHAnsi" w:cstheme="minorHAnsi"/>
          <w:spacing w:val="-8"/>
          <w:sz w:val="22"/>
          <w:szCs w:val="22"/>
          <w:lang w:val="fr-CA"/>
        </w:rPr>
        <w:t>Toutes les exigences de la CFP en matière de surveillance et de présentation de rapports figurent maintenant dans l’Instrument de délégation et de responsabilisation en matière de nomination</w:t>
      </w:r>
    </w:p>
    <w:p w14:paraId="6D14FE63" w14:textId="77777777" w:rsidR="00DB02D7" w:rsidRPr="00D5487B" w:rsidRDefault="00DB02D7" w:rsidP="00DB02D7">
      <w:pPr>
        <w:pStyle w:val="Titre3"/>
        <w:spacing w:after="120"/>
        <w:rPr>
          <w:lang w:val="fr-CA"/>
        </w:rPr>
      </w:pPr>
      <w:r w:rsidRPr="00D5487B">
        <w:rPr>
          <w:lang w:val="fr-CA"/>
        </w:rPr>
        <w:br w:type="page"/>
      </w:r>
    </w:p>
    <w:p w14:paraId="59700730" w14:textId="77777777" w:rsidR="00DB02D7" w:rsidRPr="00D5487B" w:rsidRDefault="00DB02D7" w:rsidP="00DB02D7">
      <w:pPr>
        <w:pStyle w:val="Titre3"/>
        <w:spacing w:after="120"/>
        <w:rPr>
          <w:lang w:val="fr-CA"/>
        </w:rPr>
      </w:pPr>
      <w:r w:rsidRPr="00D5487B">
        <w:rPr>
          <w:lang w:val="fr-CA"/>
        </w:rPr>
        <w:lastRenderedPageBreak/>
        <w:t>Surveillance et rapports</w:t>
      </w:r>
    </w:p>
    <w:p w14:paraId="39D09394" w14:textId="77777777" w:rsidR="00DB02D7" w:rsidRPr="00D5487B" w:rsidRDefault="00DB02D7" w:rsidP="00DB02D7">
      <w:pPr>
        <w:spacing w:after="120"/>
        <w:rPr>
          <w:rFonts w:asciiTheme="minorHAnsi" w:eastAsiaTheme="minorHAnsi" w:hAnsiTheme="minorHAnsi" w:cstheme="minorHAnsi"/>
          <w:sz w:val="22"/>
          <w:szCs w:val="22"/>
          <w:highlight w:val="yellow"/>
          <w:lang w:val="fr-CA"/>
        </w:rPr>
      </w:pPr>
      <w:r w:rsidRPr="00D5487B">
        <w:rPr>
          <w:rStyle w:val="lev"/>
          <w:rFonts w:asciiTheme="minorHAnsi" w:eastAsiaTheme="minorHAnsi" w:hAnsiTheme="minorHAnsi" w:cstheme="minorHAnsi"/>
          <w:sz w:val="22"/>
          <w:szCs w:val="22"/>
          <w:lang w:val="fr-CA"/>
        </w:rPr>
        <w:t>La surveillance est établie par les organisations</w:t>
      </w:r>
      <w:r w:rsidRPr="00D5487B">
        <w:rPr>
          <w:rFonts w:asciiTheme="minorHAnsi" w:eastAsiaTheme="minorHAnsi" w:hAnsiTheme="minorHAnsi" w:cstheme="minorHAnsi"/>
          <w:sz w:val="22"/>
          <w:szCs w:val="22"/>
          <w:lang w:val="fr-CA"/>
        </w:rPr>
        <w:t>, ciblée à leurs besoins</w:t>
      </w:r>
    </w:p>
    <w:p w14:paraId="11BA7820" w14:textId="77777777" w:rsidR="00DB02D7" w:rsidRPr="00D5487B" w:rsidRDefault="00DB02D7" w:rsidP="00DB02D7">
      <w:pPr>
        <w:pStyle w:val="Paragraphedeliste"/>
        <w:numPr>
          <w:ilvl w:val="0"/>
          <w:numId w:val="45"/>
        </w:numPr>
        <w:spacing w:after="0"/>
        <w:contextualSpacing w:val="0"/>
        <w:rPr>
          <w:rFonts w:asciiTheme="minorHAnsi" w:eastAsiaTheme="minorHAnsi" w:hAnsiTheme="minorHAnsi" w:cstheme="minorHAnsi"/>
          <w:sz w:val="22"/>
          <w:szCs w:val="22"/>
          <w:lang w:val="fr-CA"/>
        </w:rPr>
      </w:pPr>
      <w:r w:rsidRPr="00D5487B">
        <w:rPr>
          <w:rFonts w:asciiTheme="minorHAnsi" w:eastAsiaTheme="minorHAnsi" w:hAnsiTheme="minorHAnsi" w:cstheme="minorHAnsi"/>
          <w:sz w:val="22"/>
          <w:szCs w:val="22"/>
          <w:lang w:val="fr-CA"/>
        </w:rPr>
        <w:t>Le Rapport ministériel sur l’obligation de rendre compte en dotation n’est plus requis</w:t>
      </w:r>
    </w:p>
    <w:p w14:paraId="399F118F" w14:textId="77777777" w:rsidR="00DB02D7" w:rsidRPr="00D5487B" w:rsidRDefault="00DB02D7" w:rsidP="00DB02D7">
      <w:pPr>
        <w:pStyle w:val="Paragraphedeliste"/>
        <w:numPr>
          <w:ilvl w:val="0"/>
          <w:numId w:val="45"/>
        </w:numPr>
        <w:spacing w:after="0"/>
        <w:contextualSpacing w:val="0"/>
        <w:rPr>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Le rapport annuel à la CFP portera seulement</w:t>
      </w:r>
      <w:r w:rsidRPr="00D5487B">
        <w:rPr>
          <w:rFonts w:asciiTheme="minorHAnsi" w:eastAsiaTheme="minorHAnsi" w:hAnsiTheme="minorHAnsi" w:cstheme="minorHAnsi"/>
          <w:sz w:val="22"/>
          <w:szCs w:val="22"/>
          <w:lang w:val="fr-CA"/>
        </w:rPr>
        <w:t xml:space="preserve"> sur :</w:t>
      </w:r>
    </w:p>
    <w:p w14:paraId="26715BB0" w14:textId="77777777" w:rsidR="00DB02D7" w:rsidRPr="00D5487B" w:rsidRDefault="00DB02D7" w:rsidP="00DB02D7">
      <w:pPr>
        <w:pStyle w:val="Paragraphedeliste"/>
        <w:numPr>
          <w:ilvl w:val="0"/>
          <w:numId w:val="39"/>
        </w:numPr>
        <w:spacing w:after="0"/>
        <w:contextualSpacing w:val="0"/>
        <w:rPr>
          <w:rFonts w:asciiTheme="minorHAnsi" w:eastAsiaTheme="minorHAnsi" w:hAnsiTheme="minorHAnsi" w:cstheme="minorHAnsi"/>
          <w:sz w:val="22"/>
          <w:szCs w:val="22"/>
          <w:lang w:val="fr-CA"/>
        </w:rPr>
      </w:pPr>
      <w:r w:rsidRPr="00D5487B">
        <w:rPr>
          <w:rFonts w:asciiTheme="minorHAnsi" w:eastAsiaTheme="minorHAnsi" w:hAnsiTheme="minorHAnsi" w:cstheme="minorHAnsi"/>
          <w:sz w:val="22"/>
          <w:szCs w:val="22"/>
          <w:lang w:val="fr-CA"/>
        </w:rPr>
        <w:t>l’utilisation du Décret d’exemption concernant les langues officielles dans la fonction publique</w:t>
      </w:r>
    </w:p>
    <w:p w14:paraId="65D74660" w14:textId="77777777" w:rsidR="00DB02D7" w:rsidRPr="00D5487B" w:rsidRDefault="00DB02D7" w:rsidP="00DB02D7">
      <w:pPr>
        <w:pStyle w:val="Paragraphedeliste"/>
        <w:numPr>
          <w:ilvl w:val="0"/>
          <w:numId w:val="39"/>
        </w:numPr>
        <w:spacing w:after="0"/>
        <w:contextualSpacing w:val="0"/>
        <w:rPr>
          <w:rFonts w:asciiTheme="minorHAnsi" w:eastAsiaTheme="minorHAnsi" w:hAnsiTheme="minorHAnsi" w:cstheme="minorHAnsi"/>
          <w:sz w:val="22"/>
          <w:szCs w:val="22"/>
          <w:lang w:val="fr-CA"/>
        </w:rPr>
      </w:pPr>
      <w:r w:rsidRPr="00D5487B">
        <w:rPr>
          <w:rFonts w:asciiTheme="minorHAnsi" w:eastAsiaTheme="minorHAnsi" w:hAnsiTheme="minorHAnsi" w:cstheme="minorHAnsi"/>
          <w:sz w:val="22"/>
          <w:szCs w:val="22"/>
          <w:lang w:val="fr-CA"/>
        </w:rPr>
        <w:t>les exceptions à la zone nationale de sélection approuvée par l’administrateur général</w:t>
      </w:r>
    </w:p>
    <w:p w14:paraId="0EB3D01B" w14:textId="77777777" w:rsidR="00DB02D7" w:rsidRPr="00D5487B" w:rsidRDefault="00DB02D7" w:rsidP="00DB02D7">
      <w:pPr>
        <w:pStyle w:val="Paragraphedeliste"/>
        <w:numPr>
          <w:ilvl w:val="0"/>
          <w:numId w:val="39"/>
        </w:numPr>
        <w:spacing w:after="0"/>
        <w:contextualSpacing w:val="0"/>
        <w:rPr>
          <w:rFonts w:asciiTheme="minorHAnsi" w:eastAsiaTheme="minorHAnsi" w:hAnsiTheme="minorHAnsi" w:cstheme="minorHAnsi"/>
          <w:sz w:val="22"/>
          <w:szCs w:val="22"/>
          <w:lang w:val="fr-CA"/>
        </w:rPr>
      </w:pPr>
      <w:r w:rsidRPr="00D5487B">
        <w:rPr>
          <w:rFonts w:asciiTheme="minorHAnsi" w:eastAsiaTheme="minorHAnsi" w:hAnsiTheme="minorHAnsi" w:cstheme="minorHAnsi"/>
          <w:sz w:val="22"/>
          <w:szCs w:val="22"/>
          <w:lang w:val="fr-CA"/>
        </w:rPr>
        <w:t xml:space="preserve">les résultats de toutes enquêtes internes </w:t>
      </w:r>
    </w:p>
    <w:p w14:paraId="23435F9F" w14:textId="77777777" w:rsidR="00DB02D7" w:rsidRPr="00D5487B" w:rsidRDefault="00DB02D7" w:rsidP="00DB02D7">
      <w:pPr>
        <w:pStyle w:val="Paragraphedeliste"/>
        <w:numPr>
          <w:ilvl w:val="0"/>
          <w:numId w:val="39"/>
        </w:numPr>
        <w:spacing w:after="0"/>
        <w:contextualSpacing w:val="0"/>
        <w:rPr>
          <w:rFonts w:asciiTheme="minorHAnsi" w:eastAsiaTheme="minorHAnsi" w:hAnsiTheme="minorHAnsi" w:cstheme="minorHAnsi"/>
          <w:sz w:val="22"/>
          <w:szCs w:val="22"/>
          <w:lang w:val="fr-CA"/>
        </w:rPr>
      </w:pPr>
      <w:r w:rsidRPr="00D5487B">
        <w:rPr>
          <w:rFonts w:asciiTheme="minorHAnsi" w:eastAsiaTheme="minorHAnsi" w:hAnsiTheme="minorHAnsi" w:cstheme="minorHAnsi"/>
          <w:sz w:val="22"/>
          <w:szCs w:val="22"/>
          <w:lang w:val="fr-CA"/>
        </w:rPr>
        <w:t>les mesures prises à la suite de toutes enquêtes ou vérifications menées par la CFP</w:t>
      </w:r>
    </w:p>
    <w:p w14:paraId="6AB818FF" w14:textId="77777777" w:rsidR="00DB02D7" w:rsidRPr="00D5487B" w:rsidRDefault="00DB02D7" w:rsidP="00DB02D7">
      <w:pPr>
        <w:pStyle w:val="Paragraphedeliste"/>
        <w:numPr>
          <w:ilvl w:val="0"/>
          <w:numId w:val="40"/>
        </w:numPr>
        <w:spacing w:after="0"/>
        <w:contextualSpacing w:val="0"/>
        <w:rPr>
          <w:rFonts w:asciiTheme="minorHAnsi" w:eastAsiaTheme="minorHAnsi" w:hAnsiTheme="minorHAnsi" w:cstheme="minorHAnsi"/>
          <w:sz w:val="22"/>
          <w:szCs w:val="22"/>
          <w:lang w:val="fr-CA"/>
        </w:rPr>
      </w:pPr>
      <w:r w:rsidRPr="00D5487B">
        <w:rPr>
          <w:rFonts w:asciiTheme="minorHAnsi" w:eastAsiaTheme="minorHAnsi" w:hAnsiTheme="minorHAnsi" w:cstheme="minorHAnsi"/>
          <w:sz w:val="22"/>
          <w:szCs w:val="22"/>
          <w:lang w:val="fr-CA"/>
        </w:rPr>
        <w:t xml:space="preserve">L’administrateur général est responsable </w:t>
      </w:r>
      <w:r w:rsidRPr="00D5487B">
        <w:rPr>
          <w:rStyle w:val="lev"/>
          <w:rFonts w:asciiTheme="minorHAnsi" w:eastAsiaTheme="minorHAnsi" w:hAnsiTheme="minorHAnsi" w:cstheme="minorHAnsi"/>
          <w:sz w:val="22"/>
          <w:szCs w:val="22"/>
          <w:lang w:val="fr-CA"/>
        </w:rPr>
        <w:t>de la surveillance continue du système de dotation</w:t>
      </w:r>
      <w:r w:rsidRPr="00D5487B">
        <w:rPr>
          <w:rFonts w:asciiTheme="minorHAnsi" w:eastAsiaTheme="minorHAnsi" w:hAnsiTheme="minorHAnsi" w:cstheme="minorHAnsi"/>
          <w:sz w:val="22"/>
          <w:szCs w:val="22"/>
          <w:lang w:val="fr-CA"/>
        </w:rPr>
        <w:t xml:space="preserve"> de l’organisation en fonction de son contexte particulier</w:t>
      </w:r>
    </w:p>
    <w:p w14:paraId="33A3DE5B" w14:textId="77777777" w:rsidR="00DB02D7" w:rsidRPr="00D5487B" w:rsidRDefault="00DB02D7" w:rsidP="00DB02D7">
      <w:pPr>
        <w:pStyle w:val="Paragraphedeliste"/>
        <w:numPr>
          <w:ilvl w:val="0"/>
          <w:numId w:val="41"/>
        </w:numPr>
        <w:contextualSpacing w:val="0"/>
        <w:rPr>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examen de la conformité aux exigences</w:t>
      </w:r>
      <w:r w:rsidRPr="00D5487B">
        <w:rPr>
          <w:rFonts w:asciiTheme="minorHAnsi" w:eastAsiaTheme="minorHAnsi" w:hAnsiTheme="minorHAnsi" w:cstheme="minorHAnsi"/>
          <w:sz w:val="22"/>
          <w:szCs w:val="22"/>
          <w:lang w:val="fr-CA"/>
        </w:rPr>
        <w:t>, fondé sur les risques spécifiques de l’organisation, au moins une fois tous les cinq ans</w:t>
      </w:r>
    </w:p>
    <w:p w14:paraId="30961C3B" w14:textId="77777777" w:rsidR="00DB02D7" w:rsidRPr="00D5487B" w:rsidRDefault="00DB02D7" w:rsidP="00DB02D7">
      <w:pPr>
        <w:pStyle w:val="Titre3"/>
        <w:spacing w:after="120"/>
        <w:rPr>
          <w:lang w:val="fr-CA"/>
        </w:rPr>
      </w:pPr>
      <w:r w:rsidRPr="00D5487B">
        <w:rPr>
          <w:lang w:val="fr-CA"/>
        </w:rPr>
        <w:t>Surveillance de la CFP</w:t>
      </w:r>
    </w:p>
    <w:p w14:paraId="09C5CEBD" w14:textId="77777777" w:rsidR="00DB02D7" w:rsidRPr="00D5487B" w:rsidRDefault="00DB02D7" w:rsidP="00DB02D7">
      <w:pPr>
        <w:spacing w:after="120"/>
        <w:rPr>
          <w:rFonts w:asciiTheme="minorHAnsi" w:hAnsiTheme="minorHAnsi" w:cstheme="minorHAnsi"/>
          <w:sz w:val="22"/>
          <w:szCs w:val="22"/>
          <w:lang w:val="fr-CA"/>
        </w:rPr>
      </w:pPr>
      <w:r w:rsidRPr="00D5487B">
        <w:rPr>
          <w:rFonts w:asciiTheme="minorHAnsi" w:hAnsiTheme="minorHAnsi" w:cstheme="minorHAnsi"/>
          <w:sz w:val="22"/>
          <w:szCs w:val="22"/>
          <w:lang w:val="fr-CA"/>
        </w:rPr>
        <w:t>Axée sur l’ensemble du système</w:t>
      </w:r>
    </w:p>
    <w:p w14:paraId="0498F132" w14:textId="77777777" w:rsidR="00DB02D7" w:rsidRPr="00D5487B" w:rsidRDefault="00DB02D7" w:rsidP="00DB02D7">
      <w:pPr>
        <w:pStyle w:val="Paragraphedeliste"/>
        <w:numPr>
          <w:ilvl w:val="0"/>
          <w:numId w:val="46"/>
        </w:numPr>
        <w:spacing w:after="0"/>
        <w:ind w:left="723"/>
        <w:contextualSpacing w:val="0"/>
        <w:rPr>
          <w:rStyle w:val="lev"/>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 xml:space="preserve">Vérification de la conformité pangouvernementale tous les deux ans </w:t>
      </w:r>
    </w:p>
    <w:p w14:paraId="7A69B80B" w14:textId="77777777" w:rsidR="00DB02D7" w:rsidRPr="00D5487B" w:rsidRDefault="00DB02D7" w:rsidP="00DB02D7">
      <w:pPr>
        <w:pStyle w:val="Paragraphedeliste"/>
        <w:numPr>
          <w:ilvl w:val="0"/>
          <w:numId w:val="46"/>
        </w:numPr>
        <w:spacing w:after="0"/>
        <w:ind w:left="723"/>
        <w:contextualSpacing w:val="0"/>
        <w:rPr>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Nouveau Sondage sur la dotation</w:t>
      </w:r>
      <w:r w:rsidRPr="00D5487B">
        <w:rPr>
          <w:rFonts w:asciiTheme="minorHAnsi" w:eastAsiaTheme="minorHAnsi" w:hAnsiTheme="minorHAnsi" w:cstheme="minorHAnsi"/>
          <w:sz w:val="22"/>
          <w:szCs w:val="22"/>
          <w:lang w:val="fr-CA"/>
        </w:rPr>
        <w:t xml:space="preserve"> administré en alternance avec la vérification pangouvernementale</w:t>
      </w:r>
    </w:p>
    <w:p w14:paraId="44C676A1" w14:textId="77777777" w:rsidR="00DB02D7" w:rsidRPr="00D5487B" w:rsidRDefault="00DB02D7" w:rsidP="00DB02D7">
      <w:pPr>
        <w:pStyle w:val="Paragraphedeliste"/>
        <w:numPr>
          <w:ilvl w:val="0"/>
          <w:numId w:val="46"/>
        </w:numPr>
        <w:spacing w:after="0"/>
        <w:ind w:left="723"/>
        <w:contextualSpacing w:val="0"/>
        <w:rPr>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Examens de l’efficacité et de l’efficience de l’ensemble du système</w:t>
      </w:r>
      <w:r w:rsidRPr="00D5487B">
        <w:rPr>
          <w:rFonts w:asciiTheme="minorHAnsi" w:eastAsiaTheme="minorHAnsi" w:hAnsiTheme="minorHAnsi" w:cstheme="minorHAnsi"/>
          <w:sz w:val="22"/>
          <w:szCs w:val="22"/>
          <w:lang w:val="fr-CA"/>
        </w:rPr>
        <w:t xml:space="preserve"> pour appuyer l’amélioration continue</w:t>
      </w:r>
    </w:p>
    <w:p w14:paraId="0CC1E96A" w14:textId="77777777" w:rsidR="00DB02D7" w:rsidRPr="00D5487B" w:rsidRDefault="00DB02D7" w:rsidP="00DB02D7">
      <w:pPr>
        <w:pStyle w:val="Paragraphedeliste"/>
        <w:numPr>
          <w:ilvl w:val="0"/>
          <w:numId w:val="46"/>
        </w:numPr>
        <w:spacing w:after="0"/>
        <w:ind w:left="723"/>
        <w:contextualSpacing w:val="0"/>
        <w:rPr>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Vérifications ciblées de la CFP</w:t>
      </w:r>
      <w:r w:rsidRPr="00D5487B">
        <w:rPr>
          <w:rFonts w:asciiTheme="minorHAnsi" w:eastAsiaTheme="minorHAnsi" w:hAnsiTheme="minorHAnsi" w:cstheme="minorHAnsi"/>
          <w:sz w:val="22"/>
          <w:szCs w:val="22"/>
          <w:lang w:val="fr-CA"/>
        </w:rPr>
        <w:t xml:space="preserve"> suite aux risques pangouvernementaux ou organisationnels identifiés, ou à la demande de l’administrateur général </w:t>
      </w:r>
    </w:p>
    <w:p w14:paraId="062442B4" w14:textId="665FCBB4" w:rsidR="00DB02D7" w:rsidRPr="00D5487B" w:rsidRDefault="00DB02D7" w:rsidP="00DB02D7">
      <w:pPr>
        <w:pStyle w:val="Paragraphedeliste"/>
        <w:numPr>
          <w:ilvl w:val="0"/>
          <w:numId w:val="46"/>
        </w:numPr>
        <w:ind w:left="723"/>
        <w:contextualSpacing w:val="0"/>
        <w:rPr>
          <w:rFonts w:asciiTheme="minorHAnsi" w:eastAsiaTheme="minorHAnsi" w:hAnsiTheme="minorHAnsi" w:cstheme="minorHAnsi"/>
          <w:sz w:val="22"/>
          <w:szCs w:val="22"/>
          <w:lang w:val="fr-CA"/>
        </w:rPr>
      </w:pPr>
      <w:r w:rsidRPr="00D5487B">
        <w:rPr>
          <w:rStyle w:val="lev"/>
          <w:rFonts w:asciiTheme="minorHAnsi" w:eastAsiaTheme="minorHAnsi" w:hAnsiTheme="minorHAnsi" w:cstheme="minorHAnsi"/>
          <w:sz w:val="22"/>
          <w:szCs w:val="22"/>
          <w:lang w:val="fr-CA"/>
        </w:rPr>
        <w:t>Enquêtes menées</w:t>
      </w:r>
      <w:r w:rsidR="00D5487B">
        <w:rPr>
          <w:rFonts w:asciiTheme="minorHAnsi" w:eastAsiaTheme="minorHAnsi" w:hAnsiTheme="minorHAnsi" w:cstheme="minorHAnsi"/>
          <w:sz w:val="22"/>
          <w:szCs w:val="22"/>
          <w:lang w:val="fr-CA"/>
        </w:rPr>
        <w:t xml:space="preserve"> lorsqu’il y a lieu de croire </w:t>
      </w:r>
      <w:r w:rsidRPr="00D5487B">
        <w:rPr>
          <w:rFonts w:asciiTheme="minorHAnsi" w:eastAsiaTheme="minorHAnsi" w:hAnsiTheme="minorHAnsi" w:cstheme="minorHAnsi"/>
          <w:sz w:val="22"/>
          <w:szCs w:val="22"/>
          <w:lang w:val="fr-CA"/>
        </w:rPr>
        <w:t>qu’il pourrait y avoir ingérence politique, fraude ou conduite irrégulière dans le cadre d’un processus de nomination</w:t>
      </w:r>
    </w:p>
    <w:p w14:paraId="494E7650" w14:textId="381FB9E6" w:rsidR="00821610" w:rsidRPr="00DF0A40" w:rsidRDefault="00DB02D7" w:rsidP="00DF0A40">
      <w:pPr>
        <w:ind w:left="720"/>
        <w:rPr>
          <w:rStyle w:val="lev"/>
          <w:b w:val="0"/>
          <w:color w:val="0070C0"/>
          <w:sz w:val="22"/>
          <w:szCs w:val="22"/>
          <w:lang w:val="fr-CA"/>
        </w:rPr>
        <w:sectPr w:rsidR="00821610" w:rsidRPr="00DF0A40" w:rsidSect="00821610">
          <w:footerReference w:type="default" r:id="rId10"/>
          <w:footnotePr>
            <w:numFmt w:val="lowerLetter"/>
          </w:footnotePr>
          <w:endnotePr>
            <w:numFmt w:val="lowerLetter"/>
          </w:endnotePr>
          <w:pgSz w:w="12240" w:h="15840" w:code="1"/>
          <w:pgMar w:top="1797" w:right="1247" w:bottom="1797" w:left="851" w:header="284" w:footer="284" w:gutter="0"/>
          <w:cols w:space="720"/>
          <w:docGrid w:linePitch="326"/>
        </w:sectPr>
      </w:pPr>
      <w:r w:rsidRPr="00DF0A40">
        <w:rPr>
          <w:rStyle w:val="lev"/>
          <w:rFonts w:asciiTheme="minorHAnsi" w:eastAsiaTheme="minorHAnsi" w:hAnsiTheme="minorHAnsi" w:cstheme="minorHAnsi"/>
          <w:b w:val="0"/>
          <w:sz w:val="22"/>
          <w:szCs w:val="22"/>
          <w:lang w:val="fr-CA"/>
        </w:rPr>
        <w:t>Ce document doit être lu conjointement avec la Loi sur l’emploi dans la fonction publique, le Règlement sur l'emploi dans la fonction publique, la ligne directrice en matière de nomination de la CFP ainsi que l’Instrument de délégation et de responsabilisation en matière de nomination de la CFP</w:t>
      </w:r>
    </w:p>
    <w:p w14:paraId="4943417D" w14:textId="28C32644" w:rsidR="009F1E7C" w:rsidRPr="00D5487B" w:rsidRDefault="00C92217" w:rsidP="0012388A">
      <w:pPr>
        <w:pStyle w:val="Titre3"/>
        <w:jc w:val="right"/>
        <w:rPr>
          <w:rFonts w:ascii="Arial" w:hAnsi="Arial" w:cs="Arial"/>
          <w:lang w:val="fr-CA"/>
        </w:rPr>
      </w:pPr>
      <w:bookmarkStart w:id="3" w:name="AnnexB"/>
      <w:r>
        <w:rPr>
          <w:lang w:val="fr-CA"/>
        </w:rPr>
        <w:lastRenderedPageBreak/>
        <w:t>Annexe B</w:t>
      </w:r>
    </w:p>
    <w:bookmarkEnd w:id="3"/>
    <w:p w14:paraId="1E6EBF89" w14:textId="77777777" w:rsidR="00D8188D" w:rsidRPr="00D8188D" w:rsidRDefault="00D8188D" w:rsidP="00D8188D">
      <w:pPr>
        <w:pStyle w:val="Titre1"/>
        <w:spacing w:before="120" w:after="120"/>
        <w:rPr>
          <w:sz w:val="40"/>
          <w:lang w:val="fr-CA"/>
        </w:rPr>
      </w:pPr>
      <w:r w:rsidRPr="00D8188D">
        <w:rPr>
          <w:rFonts w:eastAsia="Times New Roman"/>
          <w:sz w:val="40"/>
          <w:lang w:val="fr-CA"/>
        </w:rPr>
        <w:t>Population selon la durée d'emploi au 31 mars</w:t>
      </w:r>
    </w:p>
    <w:p w14:paraId="729B4F3E" w14:textId="77777777" w:rsidR="00D835F3" w:rsidRPr="00D5487B" w:rsidRDefault="00D269E7" w:rsidP="00D835F3">
      <w:pPr>
        <w:keepNext/>
        <w:jc w:val="center"/>
        <w:rPr>
          <w:lang w:val="fr-CA"/>
        </w:rPr>
      </w:pPr>
      <w:r w:rsidRPr="00D5487B">
        <w:rPr>
          <w:rStyle w:val="lev"/>
          <w:noProof/>
          <w:lang w:val="en-CA" w:eastAsia="en-CA"/>
        </w:rPr>
        <w:drawing>
          <wp:inline distT="0" distB="0" distL="0" distR="0" wp14:anchorId="255C64FB" wp14:editId="76CB1238">
            <wp:extent cx="5648400" cy="3049200"/>
            <wp:effectExtent l="0" t="0" r="9525" b="18415"/>
            <wp:docPr id="13" name="Chart 13" descr="Figure 1 - Population selon la durée d'emploi au 31 m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B3A5C4" w14:textId="5A5D8ED1" w:rsidR="00D835F3" w:rsidRPr="00D5487B" w:rsidRDefault="00D835F3" w:rsidP="00D835F3">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1</w:t>
      </w:r>
      <w:r w:rsidRPr="00D5487B">
        <w:rPr>
          <w:lang w:val="fr-CA"/>
        </w:rPr>
        <w:fldChar w:fldCharType="end"/>
      </w:r>
      <w:r w:rsidRPr="00D5487B">
        <w:rPr>
          <w:lang w:val="fr-CA"/>
        </w:rPr>
        <w:t xml:space="preserve"> - Population selon la durée d'emploi au 31 mars</w:t>
      </w:r>
    </w:p>
    <w:p w14:paraId="5BEF573A" w14:textId="0A4A14BD" w:rsidR="00D835F3" w:rsidRPr="00D5487B" w:rsidRDefault="00D835F3" w:rsidP="003128BA">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4</w:t>
      </w:r>
      <w:r w:rsidRPr="00D5487B">
        <w:rPr>
          <w:lang w:val="fr-CA"/>
        </w:rPr>
        <w:fldChar w:fldCharType="end"/>
      </w:r>
      <w:r w:rsidRPr="00D5487B">
        <w:rPr>
          <w:lang w:val="fr-CA"/>
        </w:rPr>
        <w:t xml:space="preserve"> - Effectif régi par la Loi sur l’emploi dans la fonction publique au 31 mars selon la durée d’emploi</w:t>
      </w:r>
    </w:p>
    <w:tbl>
      <w:tblPr>
        <w:tblStyle w:val="Grilledutableau"/>
        <w:tblW w:w="5000" w:type="pct"/>
        <w:jc w:val="center"/>
        <w:tblLook w:val="0000" w:firstRow="0" w:lastRow="0" w:firstColumn="0" w:lastColumn="0" w:noHBand="0" w:noVBand="0"/>
        <w:tblDescription w:val="Effectif selon la durée d’emploi en date du 31 mars 2014 à 2019"/>
      </w:tblPr>
      <w:tblGrid>
        <w:gridCol w:w="3154"/>
        <w:gridCol w:w="2795"/>
        <w:gridCol w:w="2489"/>
        <w:gridCol w:w="2725"/>
        <w:gridCol w:w="1894"/>
        <w:gridCol w:w="1333"/>
      </w:tblGrid>
      <w:tr w:rsidR="00D835F3" w:rsidRPr="00D5487B" w14:paraId="04641824" w14:textId="77777777" w:rsidTr="00D8188D">
        <w:trPr>
          <w:cantSplit/>
          <w:trHeight w:val="290"/>
          <w:tblHeader/>
          <w:jc w:val="center"/>
        </w:trPr>
        <w:tc>
          <w:tcPr>
            <w:tcW w:w="1096" w:type="pct"/>
          </w:tcPr>
          <w:p w14:paraId="6E26EFF7" w14:textId="1C1AA451" w:rsidR="00D835F3" w:rsidRPr="00D5487B" w:rsidRDefault="00D835F3" w:rsidP="00D835F3">
            <w:pPr>
              <w:pStyle w:val="TableTitle"/>
              <w:rPr>
                <w:lang w:val="fr-CA"/>
              </w:rPr>
            </w:pPr>
            <w:r w:rsidRPr="00D5487B">
              <w:rPr>
                <w:lang w:val="fr-CA"/>
              </w:rPr>
              <w:t>Année</w:t>
            </w:r>
          </w:p>
        </w:tc>
        <w:tc>
          <w:tcPr>
            <w:tcW w:w="971" w:type="pct"/>
          </w:tcPr>
          <w:p w14:paraId="66D0BE81" w14:textId="77777777" w:rsidR="00D835F3" w:rsidRPr="00D5487B" w:rsidRDefault="00D835F3" w:rsidP="00D835F3">
            <w:pPr>
              <w:pStyle w:val="TableTitle"/>
              <w:rPr>
                <w:lang w:val="fr-CA"/>
              </w:rPr>
            </w:pPr>
            <w:r w:rsidRPr="00D5487B">
              <w:rPr>
                <w:lang w:val="fr-CA"/>
              </w:rPr>
              <w:t>Indéterminée</w:t>
            </w:r>
          </w:p>
        </w:tc>
        <w:tc>
          <w:tcPr>
            <w:tcW w:w="865" w:type="pct"/>
          </w:tcPr>
          <w:p w14:paraId="71294ABB" w14:textId="77777777" w:rsidR="00D835F3" w:rsidRPr="00D5487B" w:rsidRDefault="00D835F3" w:rsidP="00D835F3">
            <w:pPr>
              <w:pStyle w:val="TableTitle"/>
              <w:rPr>
                <w:lang w:val="fr-CA"/>
              </w:rPr>
            </w:pPr>
            <w:r w:rsidRPr="00D5487B">
              <w:rPr>
                <w:lang w:val="fr-CA"/>
              </w:rPr>
              <w:t>Déterminée</w:t>
            </w:r>
          </w:p>
        </w:tc>
        <w:tc>
          <w:tcPr>
            <w:tcW w:w="947" w:type="pct"/>
          </w:tcPr>
          <w:p w14:paraId="5824C90A" w14:textId="77777777" w:rsidR="00D835F3" w:rsidRPr="00D5487B" w:rsidRDefault="00D835F3" w:rsidP="00D835F3">
            <w:pPr>
              <w:pStyle w:val="TableTitle"/>
              <w:rPr>
                <w:lang w:val="fr-CA"/>
              </w:rPr>
            </w:pPr>
            <w:r w:rsidRPr="00D5487B">
              <w:rPr>
                <w:lang w:val="fr-CA"/>
              </w:rPr>
              <w:t>Occasionnels</w:t>
            </w:r>
          </w:p>
        </w:tc>
        <w:tc>
          <w:tcPr>
            <w:tcW w:w="658" w:type="pct"/>
          </w:tcPr>
          <w:p w14:paraId="16416E0F" w14:textId="77777777" w:rsidR="00D835F3" w:rsidRPr="00D5487B" w:rsidRDefault="00D835F3" w:rsidP="00D835F3">
            <w:pPr>
              <w:pStyle w:val="TableTitle"/>
              <w:rPr>
                <w:lang w:val="fr-CA"/>
              </w:rPr>
            </w:pPr>
            <w:r w:rsidRPr="00D5487B">
              <w:rPr>
                <w:lang w:val="fr-CA"/>
              </w:rPr>
              <w:t>Étudiant</w:t>
            </w:r>
          </w:p>
        </w:tc>
        <w:tc>
          <w:tcPr>
            <w:tcW w:w="463" w:type="pct"/>
          </w:tcPr>
          <w:p w14:paraId="6727FEBA" w14:textId="77777777" w:rsidR="00D835F3" w:rsidRPr="00D5487B" w:rsidRDefault="00D835F3" w:rsidP="00D835F3">
            <w:pPr>
              <w:pStyle w:val="TableTitle"/>
              <w:rPr>
                <w:lang w:val="fr-CA"/>
              </w:rPr>
            </w:pPr>
            <w:r w:rsidRPr="00D5487B">
              <w:rPr>
                <w:lang w:val="fr-CA"/>
              </w:rPr>
              <w:t>Total</w:t>
            </w:r>
          </w:p>
        </w:tc>
      </w:tr>
      <w:tr w:rsidR="00D835F3" w:rsidRPr="00D5487B" w14:paraId="59AA70B8" w14:textId="77777777" w:rsidTr="00D8188D">
        <w:trPr>
          <w:cantSplit/>
          <w:trHeight w:val="290"/>
          <w:tblHeader/>
          <w:jc w:val="center"/>
        </w:trPr>
        <w:tc>
          <w:tcPr>
            <w:tcW w:w="1096" w:type="pct"/>
          </w:tcPr>
          <w:p w14:paraId="0EFEC624"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 31 mars 2014</w:t>
            </w:r>
          </w:p>
        </w:tc>
        <w:tc>
          <w:tcPr>
            <w:tcW w:w="971" w:type="pct"/>
          </w:tcPr>
          <w:p w14:paraId="5F041B3C"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1 831</w:t>
            </w:r>
          </w:p>
        </w:tc>
        <w:tc>
          <w:tcPr>
            <w:tcW w:w="865" w:type="pct"/>
          </w:tcPr>
          <w:p w14:paraId="3B95A390"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113</w:t>
            </w:r>
          </w:p>
        </w:tc>
        <w:tc>
          <w:tcPr>
            <w:tcW w:w="947" w:type="pct"/>
          </w:tcPr>
          <w:p w14:paraId="76B0B230"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103</w:t>
            </w:r>
          </w:p>
        </w:tc>
        <w:tc>
          <w:tcPr>
            <w:tcW w:w="658" w:type="pct"/>
          </w:tcPr>
          <w:p w14:paraId="73B0C456"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126</w:t>
            </w:r>
          </w:p>
        </w:tc>
        <w:tc>
          <w:tcPr>
            <w:tcW w:w="463" w:type="pct"/>
          </w:tcPr>
          <w:p w14:paraId="5F68FC78"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2 173</w:t>
            </w:r>
          </w:p>
        </w:tc>
      </w:tr>
      <w:tr w:rsidR="00D835F3" w:rsidRPr="00D5487B" w14:paraId="1E9CF011" w14:textId="77777777" w:rsidTr="00D8188D">
        <w:trPr>
          <w:cantSplit/>
          <w:trHeight w:val="290"/>
          <w:tblHeader/>
          <w:jc w:val="center"/>
        </w:trPr>
        <w:tc>
          <w:tcPr>
            <w:tcW w:w="1096" w:type="pct"/>
          </w:tcPr>
          <w:p w14:paraId="7AB3169C"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 31 mars 2015</w:t>
            </w:r>
          </w:p>
        </w:tc>
        <w:tc>
          <w:tcPr>
            <w:tcW w:w="971" w:type="pct"/>
          </w:tcPr>
          <w:p w14:paraId="437761B9"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1 851</w:t>
            </w:r>
          </w:p>
        </w:tc>
        <w:tc>
          <w:tcPr>
            <w:tcW w:w="865" w:type="pct"/>
          </w:tcPr>
          <w:p w14:paraId="55ECC435"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139</w:t>
            </w:r>
          </w:p>
        </w:tc>
        <w:tc>
          <w:tcPr>
            <w:tcW w:w="947" w:type="pct"/>
          </w:tcPr>
          <w:p w14:paraId="77300276"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92</w:t>
            </w:r>
          </w:p>
        </w:tc>
        <w:tc>
          <w:tcPr>
            <w:tcW w:w="658" w:type="pct"/>
          </w:tcPr>
          <w:p w14:paraId="07DB6793"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101</w:t>
            </w:r>
          </w:p>
        </w:tc>
        <w:tc>
          <w:tcPr>
            <w:tcW w:w="463" w:type="pct"/>
          </w:tcPr>
          <w:p w14:paraId="07212BE0"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2 183</w:t>
            </w:r>
          </w:p>
        </w:tc>
      </w:tr>
      <w:tr w:rsidR="00D835F3" w:rsidRPr="00D5487B" w14:paraId="691A3EC1" w14:textId="77777777" w:rsidTr="00D8188D">
        <w:trPr>
          <w:cantSplit/>
          <w:trHeight w:val="290"/>
          <w:tblHeader/>
          <w:jc w:val="center"/>
        </w:trPr>
        <w:tc>
          <w:tcPr>
            <w:tcW w:w="1096" w:type="pct"/>
          </w:tcPr>
          <w:p w14:paraId="05B27ECA"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 31 mars 2016</w:t>
            </w:r>
          </w:p>
        </w:tc>
        <w:tc>
          <w:tcPr>
            <w:tcW w:w="971" w:type="pct"/>
          </w:tcPr>
          <w:p w14:paraId="2BB6D138"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1 884</w:t>
            </w:r>
          </w:p>
        </w:tc>
        <w:tc>
          <w:tcPr>
            <w:tcW w:w="865" w:type="pct"/>
          </w:tcPr>
          <w:p w14:paraId="1F850FE9"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114</w:t>
            </w:r>
          </w:p>
        </w:tc>
        <w:tc>
          <w:tcPr>
            <w:tcW w:w="947" w:type="pct"/>
          </w:tcPr>
          <w:p w14:paraId="4EC02AD2"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113</w:t>
            </w:r>
          </w:p>
        </w:tc>
        <w:tc>
          <w:tcPr>
            <w:tcW w:w="658" w:type="pct"/>
          </w:tcPr>
          <w:p w14:paraId="3D379793"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118</w:t>
            </w:r>
          </w:p>
        </w:tc>
        <w:tc>
          <w:tcPr>
            <w:tcW w:w="463" w:type="pct"/>
          </w:tcPr>
          <w:p w14:paraId="18BEC1B7"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2 229</w:t>
            </w:r>
          </w:p>
        </w:tc>
      </w:tr>
      <w:tr w:rsidR="00D835F3" w:rsidRPr="00D5487B" w14:paraId="4125688D" w14:textId="77777777" w:rsidTr="00D8188D">
        <w:trPr>
          <w:cantSplit/>
          <w:trHeight w:val="290"/>
          <w:tblHeader/>
          <w:jc w:val="center"/>
        </w:trPr>
        <w:tc>
          <w:tcPr>
            <w:tcW w:w="1096" w:type="pct"/>
          </w:tcPr>
          <w:p w14:paraId="2EE65193"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 31 mars 2017</w:t>
            </w:r>
          </w:p>
        </w:tc>
        <w:tc>
          <w:tcPr>
            <w:tcW w:w="971" w:type="pct"/>
          </w:tcPr>
          <w:p w14:paraId="54D4379D"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1 916</w:t>
            </w:r>
          </w:p>
        </w:tc>
        <w:tc>
          <w:tcPr>
            <w:tcW w:w="865" w:type="pct"/>
          </w:tcPr>
          <w:p w14:paraId="6C665940"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112</w:t>
            </w:r>
          </w:p>
        </w:tc>
        <w:tc>
          <w:tcPr>
            <w:tcW w:w="947" w:type="pct"/>
          </w:tcPr>
          <w:p w14:paraId="2D7AD693"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109</w:t>
            </w:r>
          </w:p>
        </w:tc>
        <w:tc>
          <w:tcPr>
            <w:tcW w:w="658" w:type="pct"/>
          </w:tcPr>
          <w:p w14:paraId="5C8695A6"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140</w:t>
            </w:r>
          </w:p>
        </w:tc>
        <w:tc>
          <w:tcPr>
            <w:tcW w:w="463" w:type="pct"/>
          </w:tcPr>
          <w:p w14:paraId="3227EFC0"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2 277</w:t>
            </w:r>
          </w:p>
        </w:tc>
      </w:tr>
      <w:tr w:rsidR="00D835F3" w:rsidRPr="00D5487B" w14:paraId="70AAA918" w14:textId="77777777" w:rsidTr="00D8188D">
        <w:trPr>
          <w:cantSplit/>
          <w:trHeight w:val="290"/>
          <w:tblHeader/>
          <w:jc w:val="center"/>
        </w:trPr>
        <w:tc>
          <w:tcPr>
            <w:tcW w:w="1096" w:type="pct"/>
          </w:tcPr>
          <w:p w14:paraId="5328ADDB"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 31 mars 2018</w:t>
            </w:r>
          </w:p>
        </w:tc>
        <w:tc>
          <w:tcPr>
            <w:tcW w:w="971" w:type="pct"/>
          </w:tcPr>
          <w:p w14:paraId="5AA29315"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1 850</w:t>
            </w:r>
          </w:p>
        </w:tc>
        <w:tc>
          <w:tcPr>
            <w:tcW w:w="865" w:type="pct"/>
          </w:tcPr>
          <w:p w14:paraId="29F17561"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127</w:t>
            </w:r>
          </w:p>
        </w:tc>
        <w:tc>
          <w:tcPr>
            <w:tcW w:w="947" w:type="pct"/>
          </w:tcPr>
          <w:p w14:paraId="2F30E188"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103</w:t>
            </w:r>
          </w:p>
        </w:tc>
        <w:tc>
          <w:tcPr>
            <w:tcW w:w="658" w:type="pct"/>
          </w:tcPr>
          <w:p w14:paraId="0148E957"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116</w:t>
            </w:r>
          </w:p>
        </w:tc>
        <w:tc>
          <w:tcPr>
            <w:tcW w:w="463" w:type="pct"/>
          </w:tcPr>
          <w:p w14:paraId="652C544B"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2 196</w:t>
            </w:r>
          </w:p>
        </w:tc>
      </w:tr>
      <w:tr w:rsidR="00D835F3" w:rsidRPr="00D5487B" w14:paraId="38506893" w14:textId="77777777" w:rsidTr="00D8188D">
        <w:trPr>
          <w:cantSplit/>
          <w:trHeight w:val="290"/>
          <w:tblHeader/>
          <w:jc w:val="center"/>
        </w:trPr>
        <w:tc>
          <w:tcPr>
            <w:tcW w:w="1096" w:type="pct"/>
          </w:tcPr>
          <w:p w14:paraId="5E25FFF1"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 31 mars 2019</w:t>
            </w:r>
          </w:p>
        </w:tc>
        <w:tc>
          <w:tcPr>
            <w:tcW w:w="971" w:type="pct"/>
          </w:tcPr>
          <w:p w14:paraId="72D8B510"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1 941</w:t>
            </w:r>
          </w:p>
        </w:tc>
        <w:tc>
          <w:tcPr>
            <w:tcW w:w="865" w:type="pct"/>
          </w:tcPr>
          <w:p w14:paraId="7EA711F5"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179</w:t>
            </w:r>
          </w:p>
        </w:tc>
        <w:tc>
          <w:tcPr>
            <w:tcW w:w="947" w:type="pct"/>
          </w:tcPr>
          <w:p w14:paraId="6A68DA9D"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132</w:t>
            </w:r>
          </w:p>
        </w:tc>
        <w:tc>
          <w:tcPr>
            <w:tcW w:w="658" w:type="pct"/>
          </w:tcPr>
          <w:p w14:paraId="5397A78E"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143</w:t>
            </w:r>
          </w:p>
        </w:tc>
        <w:tc>
          <w:tcPr>
            <w:tcW w:w="463" w:type="pct"/>
          </w:tcPr>
          <w:p w14:paraId="7C03C959" w14:textId="77777777" w:rsidR="00D835F3" w:rsidRPr="00D5487B" w:rsidRDefault="00D835F3" w:rsidP="00D835F3">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2 395</w:t>
            </w:r>
          </w:p>
        </w:tc>
      </w:tr>
    </w:tbl>
    <w:p w14:paraId="2878E933" w14:textId="5F3061DF" w:rsidR="00D8188D" w:rsidRPr="00D8188D" w:rsidRDefault="00D8188D" w:rsidP="00D8188D">
      <w:pPr>
        <w:pStyle w:val="Titre1"/>
        <w:spacing w:before="120" w:after="120"/>
        <w:rPr>
          <w:sz w:val="40"/>
          <w:lang w:val="fr-CA"/>
        </w:rPr>
      </w:pPr>
      <w:r w:rsidRPr="00D8188D">
        <w:rPr>
          <w:sz w:val="40"/>
          <w:lang w:val="fr-CA"/>
        </w:rPr>
        <w:lastRenderedPageBreak/>
        <w:t>Population selon le profil linguistique au 31 mars 2019</w:t>
      </w:r>
    </w:p>
    <w:p w14:paraId="5BF8E21E" w14:textId="77777777" w:rsidR="00BB3D6C" w:rsidRPr="00D5487B" w:rsidRDefault="00D269E7" w:rsidP="00BB3D6C">
      <w:pPr>
        <w:pStyle w:val="Titre3"/>
        <w:jc w:val="center"/>
        <w:rPr>
          <w:lang w:val="fr-CA"/>
        </w:rPr>
      </w:pPr>
      <w:r w:rsidRPr="00D5487B">
        <w:rPr>
          <w:rStyle w:val="lev"/>
          <w:noProof/>
          <w:lang w:val="en-CA" w:eastAsia="en-CA"/>
        </w:rPr>
        <w:drawing>
          <wp:inline distT="0" distB="0" distL="0" distR="0" wp14:anchorId="1FADBCE5" wp14:editId="3F887673">
            <wp:extent cx="1980000" cy="3020400"/>
            <wp:effectExtent l="0" t="0" r="1270" b="8890"/>
            <wp:docPr id="18" name="Chart 18" descr="Figure 2 - Population selon le profil linguistique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E7C989" w14:textId="221A8B27" w:rsidR="00BB3D6C" w:rsidRPr="00D5487B" w:rsidRDefault="00BB3D6C" w:rsidP="00BB3D6C">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2</w:t>
      </w:r>
      <w:r w:rsidRPr="00D5487B">
        <w:rPr>
          <w:lang w:val="fr-CA"/>
        </w:rPr>
        <w:fldChar w:fldCharType="end"/>
      </w:r>
      <w:r w:rsidRPr="00D5487B">
        <w:rPr>
          <w:lang w:val="fr-CA"/>
        </w:rPr>
        <w:t xml:space="preserve"> - Population selon le profil linguistique au 31 mars 2019</w:t>
      </w:r>
    </w:p>
    <w:p w14:paraId="21C98A71" w14:textId="7149E12F" w:rsidR="00BB3D6C" w:rsidRPr="00D5487B" w:rsidRDefault="00BB3D6C" w:rsidP="00BB3D6C">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5</w:t>
      </w:r>
      <w:r w:rsidRPr="00D5487B">
        <w:rPr>
          <w:lang w:val="fr-CA"/>
        </w:rPr>
        <w:fldChar w:fldCharType="end"/>
      </w:r>
      <w:r w:rsidRPr="00D5487B">
        <w:rPr>
          <w:lang w:val="fr-CA"/>
        </w:rPr>
        <w:t xml:space="preserve"> - Effectif régi par la Loi sur l’emploi dans la fonction publique selon le profil linguistique  au 31 mars 2019</w:t>
      </w:r>
    </w:p>
    <w:tbl>
      <w:tblPr>
        <w:tblStyle w:val="Grilledutableau"/>
        <w:tblW w:w="5000" w:type="pct"/>
        <w:jc w:val="center"/>
        <w:tblLook w:val="0000" w:firstRow="0" w:lastRow="0" w:firstColumn="0" w:lastColumn="0" w:noHBand="0" w:noVBand="0"/>
        <w:tblDescription w:val="Effectif selon les exigences linguistique au 31 mars 2019"/>
      </w:tblPr>
      <w:tblGrid>
        <w:gridCol w:w="3226"/>
        <w:gridCol w:w="4156"/>
        <w:gridCol w:w="7008"/>
      </w:tblGrid>
      <w:tr w:rsidR="00BB3D6C" w:rsidRPr="00A35947" w14:paraId="02855B0A" w14:textId="77777777" w:rsidTr="00D8188D">
        <w:trPr>
          <w:cantSplit/>
          <w:trHeight w:val="290"/>
          <w:tblHeader/>
          <w:jc w:val="center"/>
        </w:trPr>
        <w:tc>
          <w:tcPr>
            <w:tcW w:w="1121" w:type="pct"/>
          </w:tcPr>
          <w:p w14:paraId="5F0AA9BA" w14:textId="77777777" w:rsidR="00BB3D6C" w:rsidRPr="00D5487B" w:rsidRDefault="00BB3D6C" w:rsidP="00BB3D6C">
            <w:pPr>
              <w:pStyle w:val="TableTitle"/>
              <w:rPr>
                <w:color w:val="000000"/>
                <w:lang w:val="fr-CA"/>
              </w:rPr>
            </w:pPr>
            <w:r w:rsidRPr="00D5487B">
              <w:rPr>
                <w:lang w:val="fr-CA"/>
              </w:rPr>
              <w:t xml:space="preserve">Profil linguistique  </w:t>
            </w:r>
          </w:p>
        </w:tc>
        <w:tc>
          <w:tcPr>
            <w:tcW w:w="1444" w:type="pct"/>
          </w:tcPr>
          <w:p w14:paraId="371E20A8" w14:textId="77777777" w:rsidR="00BB3D6C" w:rsidRPr="00D5487B" w:rsidRDefault="00BB3D6C" w:rsidP="00BB3D6C">
            <w:pPr>
              <w:pStyle w:val="TableTitle"/>
              <w:rPr>
                <w:color w:val="000000"/>
                <w:lang w:val="fr-CA"/>
              </w:rPr>
            </w:pPr>
            <w:r w:rsidRPr="00D5487B">
              <w:rPr>
                <w:color w:val="000000"/>
                <w:lang w:val="fr-CA"/>
              </w:rPr>
              <w:t>Effectif au 31 mars 2019</w:t>
            </w:r>
          </w:p>
        </w:tc>
        <w:tc>
          <w:tcPr>
            <w:tcW w:w="2435" w:type="pct"/>
          </w:tcPr>
          <w:p w14:paraId="19D7AFF0" w14:textId="77777777" w:rsidR="00BB3D6C" w:rsidRPr="00D5487B" w:rsidRDefault="00BB3D6C" w:rsidP="00BB3D6C">
            <w:pPr>
              <w:pStyle w:val="TableTitle"/>
              <w:rPr>
                <w:color w:val="000000"/>
                <w:lang w:val="fr-CA"/>
              </w:rPr>
            </w:pPr>
            <w:r w:rsidRPr="00D5487B">
              <w:rPr>
                <w:lang w:val="fr-CA"/>
              </w:rPr>
              <w:t>Pourcentage de l'effectif au 31 mars 2019</w:t>
            </w:r>
          </w:p>
        </w:tc>
      </w:tr>
      <w:tr w:rsidR="00BB3D6C" w:rsidRPr="00D5487B" w14:paraId="6EE74D6D" w14:textId="77777777" w:rsidTr="00D8188D">
        <w:trPr>
          <w:cantSplit/>
          <w:trHeight w:val="290"/>
          <w:tblHeader/>
          <w:jc w:val="center"/>
        </w:trPr>
        <w:tc>
          <w:tcPr>
            <w:tcW w:w="1121" w:type="pct"/>
          </w:tcPr>
          <w:p w14:paraId="510241BC" w14:textId="77777777" w:rsidR="00BB3D6C" w:rsidRPr="00D5487B" w:rsidRDefault="00BB3D6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Bilingue </w:t>
            </w:r>
          </w:p>
        </w:tc>
        <w:tc>
          <w:tcPr>
            <w:tcW w:w="1444" w:type="pct"/>
          </w:tcPr>
          <w:p w14:paraId="5EA09E7E" w14:textId="77777777" w:rsidR="00BB3D6C" w:rsidRPr="00D5487B" w:rsidRDefault="00BB3D6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854</w:t>
            </w:r>
          </w:p>
        </w:tc>
        <w:tc>
          <w:tcPr>
            <w:tcW w:w="2435" w:type="pct"/>
          </w:tcPr>
          <w:p w14:paraId="52ED2668" w14:textId="77777777" w:rsidR="00BB3D6C" w:rsidRPr="00D5487B" w:rsidRDefault="00BB3D6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42%</w:t>
            </w:r>
          </w:p>
        </w:tc>
      </w:tr>
      <w:tr w:rsidR="00BB3D6C" w:rsidRPr="00D5487B" w14:paraId="05208342" w14:textId="77777777" w:rsidTr="00D8188D">
        <w:trPr>
          <w:cantSplit/>
          <w:trHeight w:val="290"/>
          <w:tblHeader/>
          <w:jc w:val="center"/>
        </w:trPr>
        <w:tc>
          <w:tcPr>
            <w:tcW w:w="1121" w:type="pct"/>
          </w:tcPr>
          <w:p w14:paraId="3A925325" w14:textId="77777777" w:rsidR="00BB3D6C" w:rsidRPr="00D5487B" w:rsidRDefault="00BB3D6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Unilingue</w:t>
            </w:r>
          </w:p>
        </w:tc>
        <w:tc>
          <w:tcPr>
            <w:tcW w:w="1444" w:type="pct"/>
          </w:tcPr>
          <w:p w14:paraId="1A8C98B9" w14:textId="77777777" w:rsidR="00BB3D6C" w:rsidRPr="00D5487B" w:rsidRDefault="00BB3D6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1 170</w:t>
            </w:r>
          </w:p>
        </w:tc>
        <w:tc>
          <w:tcPr>
            <w:tcW w:w="2435" w:type="pct"/>
          </w:tcPr>
          <w:p w14:paraId="1ECBA25D" w14:textId="77777777" w:rsidR="00BB3D6C" w:rsidRPr="00D5487B" w:rsidRDefault="00BB3D6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58%</w:t>
            </w:r>
          </w:p>
        </w:tc>
      </w:tr>
      <w:tr w:rsidR="00BB3D6C" w:rsidRPr="00D5487B" w14:paraId="0663D4EC" w14:textId="77777777" w:rsidTr="00D8188D">
        <w:trPr>
          <w:cantSplit/>
          <w:trHeight w:val="290"/>
          <w:tblHeader/>
          <w:jc w:val="center"/>
        </w:trPr>
        <w:tc>
          <w:tcPr>
            <w:tcW w:w="1121" w:type="pct"/>
          </w:tcPr>
          <w:p w14:paraId="4B583AAA" w14:textId="77777777" w:rsidR="00BB3D6C" w:rsidRPr="00D5487B" w:rsidRDefault="00BB3D6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Inconnus</w:t>
            </w:r>
          </w:p>
        </w:tc>
        <w:tc>
          <w:tcPr>
            <w:tcW w:w="1444" w:type="pct"/>
          </w:tcPr>
          <w:p w14:paraId="12CF74BC" w14:textId="77777777" w:rsidR="00BB3D6C" w:rsidRPr="00D5487B" w:rsidRDefault="00BB3D6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371</w:t>
            </w:r>
          </w:p>
        </w:tc>
        <w:tc>
          <w:tcPr>
            <w:tcW w:w="2435" w:type="pct"/>
          </w:tcPr>
          <w:p w14:paraId="3BBE1621" w14:textId="77777777" w:rsidR="00BB3D6C" w:rsidRPr="00D5487B" w:rsidRDefault="00BB3D6C" w:rsidP="00D8188D">
            <w:pPr>
              <w:autoSpaceDE w:val="0"/>
              <w:autoSpaceDN w:val="0"/>
              <w:adjustRightInd w:val="0"/>
              <w:jc w:val="center"/>
              <w:rPr>
                <w:rFonts w:asciiTheme="minorHAnsi" w:hAnsiTheme="minorHAnsi" w:cstheme="minorHAnsi"/>
                <w:color w:val="000000"/>
                <w:sz w:val="22"/>
                <w:szCs w:val="22"/>
                <w:lang w:val="fr-CA"/>
              </w:rPr>
            </w:pPr>
          </w:p>
        </w:tc>
      </w:tr>
    </w:tbl>
    <w:p w14:paraId="220C5DC2" w14:textId="77777777" w:rsidR="00BB3D6C" w:rsidRPr="00D5487B" w:rsidRDefault="00BB3D6C" w:rsidP="00BB3D6C">
      <w:pPr>
        <w:rPr>
          <w:lang w:val="fr-CA"/>
        </w:rPr>
        <w:sectPr w:rsidR="00BB3D6C" w:rsidRPr="00D5487B" w:rsidSect="00F56FB7">
          <w:headerReference w:type="default" r:id="rId13"/>
          <w:footerReference w:type="even" r:id="rId14"/>
          <w:headerReference w:type="first" r:id="rId15"/>
          <w:footerReference w:type="first" r:id="rId16"/>
          <w:pgSz w:w="15840" w:h="12240" w:orient="landscape"/>
          <w:pgMar w:top="630" w:right="720" w:bottom="720" w:left="720" w:header="708" w:footer="340" w:gutter="0"/>
          <w:cols w:space="708"/>
          <w:titlePg/>
          <w:docGrid w:linePitch="360"/>
        </w:sectPr>
      </w:pPr>
    </w:p>
    <w:p w14:paraId="7F10DBDE" w14:textId="77777777" w:rsidR="00D8188D" w:rsidRPr="00D8188D" w:rsidRDefault="00D8188D" w:rsidP="00D8188D">
      <w:pPr>
        <w:pStyle w:val="Titre1"/>
        <w:spacing w:before="120" w:after="120"/>
        <w:rPr>
          <w:sz w:val="40"/>
          <w:lang w:val="fr-CA"/>
        </w:rPr>
      </w:pPr>
      <w:r w:rsidRPr="00D8188D">
        <w:rPr>
          <w:rFonts w:eastAsia="Times New Roman"/>
          <w:sz w:val="40"/>
          <w:lang w:val="fr-CA"/>
        </w:rPr>
        <w:lastRenderedPageBreak/>
        <w:t>Population selon le groupe professionnel au 31 mars 2019</w:t>
      </w:r>
    </w:p>
    <w:p w14:paraId="3A5D537F" w14:textId="77777777" w:rsidR="00BB3D6C" w:rsidRPr="00D5487B" w:rsidRDefault="00BB3D6C" w:rsidP="00BB3D6C">
      <w:pPr>
        <w:keepNext/>
        <w:jc w:val="center"/>
        <w:rPr>
          <w:lang w:val="fr-CA"/>
        </w:rPr>
      </w:pPr>
      <w:r w:rsidRPr="00D5487B">
        <w:rPr>
          <w:rStyle w:val="lev"/>
          <w:noProof/>
          <w:lang w:val="en-CA" w:eastAsia="en-CA"/>
        </w:rPr>
        <w:drawing>
          <wp:inline distT="0" distB="0" distL="0" distR="0" wp14:anchorId="4ED03F59" wp14:editId="17DD214A">
            <wp:extent cx="1980000" cy="3020400"/>
            <wp:effectExtent l="0" t="0" r="1270" b="8890"/>
            <wp:docPr id="6" name="Chart 6" descr="Figure 3 - Population selon le groupe professionnel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4796CB" w14:textId="020C7C00" w:rsidR="00BB3D6C" w:rsidRPr="00D5487B" w:rsidRDefault="00BB3D6C" w:rsidP="00BB3D6C">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3</w:t>
      </w:r>
      <w:r w:rsidRPr="00D5487B">
        <w:rPr>
          <w:lang w:val="fr-CA"/>
        </w:rPr>
        <w:fldChar w:fldCharType="end"/>
      </w:r>
      <w:r w:rsidRPr="00D5487B">
        <w:rPr>
          <w:lang w:val="fr-CA"/>
        </w:rPr>
        <w:t xml:space="preserve"> - Population selon le groupe professionnel au 31 mars 2019</w:t>
      </w:r>
    </w:p>
    <w:p w14:paraId="5E86831F" w14:textId="799C6991" w:rsidR="00DD389D" w:rsidRPr="00D5487B" w:rsidRDefault="00DD389D" w:rsidP="00DD389D">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6</w:t>
      </w:r>
      <w:r w:rsidRPr="00D5487B">
        <w:rPr>
          <w:lang w:val="fr-CA"/>
        </w:rPr>
        <w:fldChar w:fldCharType="end"/>
      </w:r>
      <w:r w:rsidRPr="00D5487B">
        <w:rPr>
          <w:lang w:val="fr-CA"/>
        </w:rPr>
        <w:t xml:space="preserve"> - Groupes d’emploi, pourcentage de l'effectif régi par la Loi sur l’emploi dans la fonction publique au 31 mars 2019</w:t>
      </w:r>
    </w:p>
    <w:tbl>
      <w:tblPr>
        <w:tblStyle w:val="Grilledutableau"/>
        <w:tblW w:w="5000" w:type="pct"/>
        <w:jc w:val="center"/>
        <w:tblLook w:val="0000" w:firstRow="0" w:lastRow="0" w:firstColumn="0" w:lastColumn="0" w:noHBand="0" w:noVBand="0"/>
        <w:tblDescription w:val="Pourcentage de l'effectif sur l'emploi dans la FP au 31 mars 2019"/>
      </w:tblPr>
      <w:tblGrid>
        <w:gridCol w:w="6274"/>
        <w:gridCol w:w="3022"/>
        <w:gridCol w:w="5094"/>
      </w:tblGrid>
      <w:tr w:rsidR="00DD389D" w:rsidRPr="00A35947" w14:paraId="4D302F79" w14:textId="77777777" w:rsidTr="00D8188D">
        <w:trPr>
          <w:cantSplit/>
          <w:trHeight w:val="290"/>
          <w:tblHeader/>
          <w:jc w:val="center"/>
        </w:trPr>
        <w:tc>
          <w:tcPr>
            <w:tcW w:w="2180" w:type="pct"/>
          </w:tcPr>
          <w:p w14:paraId="4AD649D5" w14:textId="77777777" w:rsidR="00DD389D" w:rsidRPr="00D5487B" w:rsidRDefault="00DD389D" w:rsidP="00DD389D">
            <w:pPr>
              <w:pStyle w:val="TableTitle"/>
              <w:rPr>
                <w:color w:val="000000"/>
                <w:lang w:val="fr-CA"/>
              </w:rPr>
            </w:pPr>
            <w:r w:rsidRPr="00D5487B">
              <w:rPr>
                <w:lang w:val="fr-CA"/>
              </w:rPr>
              <w:t>Groupes professionnels</w:t>
            </w:r>
          </w:p>
        </w:tc>
        <w:tc>
          <w:tcPr>
            <w:tcW w:w="1050" w:type="pct"/>
          </w:tcPr>
          <w:p w14:paraId="19DB5203" w14:textId="77777777" w:rsidR="00DD389D" w:rsidRPr="00D5487B" w:rsidRDefault="00DD389D" w:rsidP="00DD389D">
            <w:pPr>
              <w:pStyle w:val="TableTitle"/>
              <w:rPr>
                <w:color w:val="000000"/>
                <w:lang w:val="fr-CA"/>
              </w:rPr>
            </w:pPr>
            <w:r w:rsidRPr="00D5487B">
              <w:rPr>
                <w:lang w:val="fr-CA"/>
              </w:rPr>
              <w:t>Effectif au 31 mars 2019</w:t>
            </w:r>
          </w:p>
        </w:tc>
        <w:tc>
          <w:tcPr>
            <w:tcW w:w="1770" w:type="pct"/>
          </w:tcPr>
          <w:p w14:paraId="0DE60A92" w14:textId="77777777" w:rsidR="00DD389D" w:rsidRPr="00D5487B" w:rsidRDefault="00DD389D" w:rsidP="00DD389D">
            <w:pPr>
              <w:pStyle w:val="TableTitle"/>
              <w:rPr>
                <w:lang w:val="fr-CA"/>
              </w:rPr>
            </w:pPr>
            <w:r w:rsidRPr="00D5487B">
              <w:rPr>
                <w:lang w:val="fr-CA"/>
              </w:rPr>
              <w:t>Pourcentage de l'effectif au 31 mars 2019</w:t>
            </w:r>
          </w:p>
        </w:tc>
      </w:tr>
      <w:tr w:rsidR="00DD389D" w:rsidRPr="00D5487B" w14:paraId="0E10D7C8" w14:textId="77777777" w:rsidTr="00D8188D">
        <w:trPr>
          <w:cantSplit/>
          <w:trHeight w:val="290"/>
          <w:tblHeader/>
          <w:jc w:val="center"/>
        </w:trPr>
        <w:tc>
          <w:tcPr>
            <w:tcW w:w="2180" w:type="pct"/>
          </w:tcPr>
          <w:p w14:paraId="4C9A03C8"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EC – Groupe Économique et services sciences sociales</w:t>
            </w:r>
          </w:p>
        </w:tc>
        <w:tc>
          <w:tcPr>
            <w:tcW w:w="1050" w:type="pct"/>
          </w:tcPr>
          <w:p w14:paraId="4B8FECCB"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828</w:t>
            </w:r>
          </w:p>
        </w:tc>
        <w:tc>
          <w:tcPr>
            <w:tcW w:w="1770" w:type="pct"/>
          </w:tcPr>
          <w:p w14:paraId="6B7BF91E"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37%</w:t>
            </w:r>
          </w:p>
        </w:tc>
      </w:tr>
      <w:tr w:rsidR="00DD389D" w:rsidRPr="00D5487B" w14:paraId="28705CA6" w14:textId="77777777" w:rsidTr="00D8188D">
        <w:trPr>
          <w:cantSplit/>
          <w:trHeight w:val="290"/>
          <w:tblHeader/>
          <w:jc w:val="center"/>
        </w:trPr>
        <w:tc>
          <w:tcPr>
            <w:tcW w:w="2180" w:type="pct"/>
          </w:tcPr>
          <w:p w14:paraId="3732CC14"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AS – Services administratifs</w:t>
            </w:r>
          </w:p>
        </w:tc>
        <w:tc>
          <w:tcPr>
            <w:tcW w:w="1050" w:type="pct"/>
          </w:tcPr>
          <w:p w14:paraId="32CBEC7D"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359</w:t>
            </w:r>
          </w:p>
        </w:tc>
        <w:tc>
          <w:tcPr>
            <w:tcW w:w="1770" w:type="pct"/>
          </w:tcPr>
          <w:p w14:paraId="543C4D5A"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w:t>
            </w:r>
          </w:p>
        </w:tc>
      </w:tr>
      <w:tr w:rsidR="00DD389D" w:rsidRPr="00D5487B" w14:paraId="6998961E" w14:textId="77777777" w:rsidTr="00D8188D">
        <w:trPr>
          <w:cantSplit/>
          <w:trHeight w:val="290"/>
          <w:tblHeader/>
          <w:jc w:val="center"/>
        </w:trPr>
        <w:tc>
          <w:tcPr>
            <w:tcW w:w="2180" w:type="pct"/>
          </w:tcPr>
          <w:p w14:paraId="799F15CE"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PM – Administration des programmes</w:t>
            </w:r>
          </w:p>
        </w:tc>
        <w:tc>
          <w:tcPr>
            <w:tcW w:w="1050" w:type="pct"/>
          </w:tcPr>
          <w:p w14:paraId="6714874E"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262</w:t>
            </w:r>
          </w:p>
        </w:tc>
        <w:tc>
          <w:tcPr>
            <w:tcW w:w="1770" w:type="pct"/>
          </w:tcPr>
          <w:p w14:paraId="1997A4C3"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w:t>
            </w:r>
          </w:p>
        </w:tc>
      </w:tr>
      <w:tr w:rsidR="00DD389D" w:rsidRPr="00D5487B" w14:paraId="04EA7836" w14:textId="77777777" w:rsidTr="00D8188D">
        <w:trPr>
          <w:cantSplit/>
          <w:trHeight w:val="290"/>
          <w:tblHeader/>
          <w:jc w:val="center"/>
        </w:trPr>
        <w:tc>
          <w:tcPr>
            <w:tcW w:w="2180" w:type="pct"/>
          </w:tcPr>
          <w:p w14:paraId="1DC3EF77"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EG – Soutien technologique et scientifique</w:t>
            </w:r>
          </w:p>
        </w:tc>
        <w:tc>
          <w:tcPr>
            <w:tcW w:w="1050" w:type="pct"/>
          </w:tcPr>
          <w:p w14:paraId="00C677A9"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257</w:t>
            </w:r>
          </w:p>
        </w:tc>
        <w:tc>
          <w:tcPr>
            <w:tcW w:w="1770" w:type="pct"/>
          </w:tcPr>
          <w:p w14:paraId="58E93030"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w:t>
            </w:r>
          </w:p>
        </w:tc>
      </w:tr>
      <w:tr w:rsidR="00DD389D" w:rsidRPr="00D5487B" w14:paraId="1895F58F" w14:textId="77777777" w:rsidTr="00D8188D">
        <w:trPr>
          <w:cantSplit/>
          <w:trHeight w:val="290"/>
          <w:tblHeader/>
          <w:jc w:val="center"/>
        </w:trPr>
        <w:tc>
          <w:tcPr>
            <w:tcW w:w="2180" w:type="pct"/>
          </w:tcPr>
          <w:p w14:paraId="3212553B"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Autre</w:t>
            </w:r>
          </w:p>
        </w:tc>
        <w:tc>
          <w:tcPr>
            <w:tcW w:w="1050" w:type="pct"/>
          </w:tcPr>
          <w:p w14:paraId="045C9952"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546</w:t>
            </w:r>
          </w:p>
        </w:tc>
        <w:tc>
          <w:tcPr>
            <w:tcW w:w="1770" w:type="pct"/>
          </w:tcPr>
          <w:p w14:paraId="6F728CF1"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24%</w:t>
            </w:r>
          </w:p>
        </w:tc>
      </w:tr>
    </w:tbl>
    <w:p w14:paraId="72025AE8" w14:textId="727E47BA" w:rsidR="00D8188D" w:rsidRPr="00D8188D" w:rsidRDefault="00D8188D" w:rsidP="00D8188D">
      <w:pPr>
        <w:pStyle w:val="Titre1"/>
        <w:spacing w:before="120" w:after="120"/>
        <w:rPr>
          <w:sz w:val="40"/>
          <w:lang w:val="fr-CA"/>
        </w:rPr>
      </w:pPr>
      <w:r w:rsidRPr="00D8188D">
        <w:rPr>
          <w:sz w:val="40"/>
          <w:lang w:val="fr-CA"/>
        </w:rPr>
        <w:lastRenderedPageBreak/>
        <w:t>Population selon la région au 31 mars 2019</w:t>
      </w:r>
    </w:p>
    <w:p w14:paraId="4E4B1F26" w14:textId="77777777" w:rsidR="00DD389D" w:rsidRPr="00D5487B" w:rsidRDefault="00BB3D6C" w:rsidP="00DD389D">
      <w:pPr>
        <w:keepNext/>
        <w:jc w:val="center"/>
        <w:rPr>
          <w:lang w:val="fr-CA"/>
        </w:rPr>
      </w:pPr>
      <w:r w:rsidRPr="00D5487B">
        <w:rPr>
          <w:rStyle w:val="lev"/>
          <w:noProof/>
          <w:lang w:val="en-CA" w:eastAsia="en-CA"/>
        </w:rPr>
        <w:drawing>
          <wp:inline distT="0" distB="0" distL="0" distR="0" wp14:anchorId="35E2A7CB" wp14:editId="17CDE510">
            <wp:extent cx="1980000" cy="3020400"/>
            <wp:effectExtent l="0" t="0" r="1270" b="8890"/>
            <wp:docPr id="15" name="Chart 15" descr="Figure 4 - Population selon la région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5A0C65" w14:textId="509F343B" w:rsidR="00BB3D6C" w:rsidRPr="00D5487B" w:rsidRDefault="00DD389D" w:rsidP="00DD389D">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4</w:t>
      </w:r>
      <w:r w:rsidRPr="00D5487B">
        <w:rPr>
          <w:lang w:val="fr-CA"/>
        </w:rPr>
        <w:fldChar w:fldCharType="end"/>
      </w:r>
      <w:r w:rsidRPr="00D5487B">
        <w:rPr>
          <w:lang w:val="fr-CA"/>
        </w:rPr>
        <w:t xml:space="preserve"> - Population selon la région au 31 mars 2019</w:t>
      </w:r>
    </w:p>
    <w:p w14:paraId="7BAC9B97" w14:textId="57280BD4" w:rsidR="00DD389D" w:rsidRPr="00D5487B" w:rsidRDefault="00DD389D" w:rsidP="00DD389D">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7</w:t>
      </w:r>
      <w:r w:rsidRPr="00D5487B">
        <w:rPr>
          <w:lang w:val="fr-CA"/>
        </w:rPr>
        <w:fldChar w:fldCharType="end"/>
      </w:r>
      <w:r w:rsidRPr="00D5487B">
        <w:rPr>
          <w:lang w:val="fr-CA"/>
        </w:rPr>
        <w:t xml:space="preserve"> - Effectif par région, pourcentage de l'effectif régi par la Loi sur l’emploi dans la fonction publique au 31 mars 2019</w:t>
      </w:r>
    </w:p>
    <w:tbl>
      <w:tblPr>
        <w:tblStyle w:val="Grilledutableau"/>
        <w:tblW w:w="5000" w:type="pct"/>
        <w:jc w:val="center"/>
        <w:tblLook w:val="0000" w:firstRow="0" w:lastRow="0" w:firstColumn="0" w:lastColumn="0" w:noHBand="0" w:noVBand="0"/>
        <w:tblDescription w:val="Effectif selon la région en date du 31 mars 2019"/>
      </w:tblPr>
      <w:tblGrid>
        <w:gridCol w:w="5071"/>
        <w:gridCol w:w="3471"/>
        <w:gridCol w:w="5848"/>
      </w:tblGrid>
      <w:tr w:rsidR="00DD389D" w:rsidRPr="00A35947" w14:paraId="743921D9" w14:textId="77777777" w:rsidTr="00D8188D">
        <w:trPr>
          <w:cantSplit/>
          <w:trHeight w:val="290"/>
          <w:tblHeader/>
          <w:jc w:val="center"/>
        </w:trPr>
        <w:tc>
          <w:tcPr>
            <w:tcW w:w="1762" w:type="pct"/>
          </w:tcPr>
          <w:p w14:paraId="4492B6DA" w14:textId="77777777" w:rsidR="00DD389D" w:rsidRPr="00D5487B" w:rsidRDefault="00DD389D" w:rsidP="00DD389D">
            <w:pPr>
              <w:pStyle w:val="TableTitle"/>
              <w:rPr>
                <w:lang w:val="fr-CA"/>
              </w:rPr>
            </w:pPr>
            <w:r w:rsidRPr="00D5487B">
              <w:rPr>
                <w:lang w:val="fr-CA"/>
              </w:rPr>
              <w:t>Région</w:t>
            </w:r>
          </w:p>
        </w:tc>
        <w:tc>
          <w:tcPr>
            <w:tcW w:w="1206" w:type="pct"/>
          </w:tcPr>
          <w:p w14:paraId="4B7DABDE" w14:textId="77777777" w:rsidR="00DD389D" w:rsidRPr="00D5487B" w:rsidRDefault="00DD389D" w:rsidP="00DD389D">
            <w:pPr>
              <w:pStyle w:val="TableTitle"/>
              <w:rPr>
                <w:lang w:val="fr-CA"/>
              </w:rPr>
            </w:pPr>
            <w:r w:rsidRPr="00D5487B">
              <w:rPr>
                <w:lang w:val="fr-CA"/>
              </w:rPr>
              <w:t>Effectif au 31 mars 2019</w:t>
            </w:r>
          </w:p>
        </w:tc>
        <w:tc>
          <w:tcPr>
            <w:tcW w:w="2032" w:type="pct"/>
          </w:tcPr>
          <w:p w14:paraId="2F3736AC" w14:textId="77777777" w:rsidR="00DD389D" w:rsidRPr="00D5487B" w:rsidRDefault="00DD389D" w:rsidP="00DD389D">
            <w:pPr>
              <w:pStyle w:val="TableTitle"/>
              <w:rPr>
                <w:lang w:val="fr-CA"/>
              </w:rPr>
            </w:pPr>
            <w:r w:rsidRPr="00D5487B">
              <w:rPr>
                <w:lang w:val="fr-CA"/>
              </w:rPr>
              <w:t>Pourcentage de l'effectif au 31 mars 2019</w:t>
            </w:r>
          </w:p>
        </w:tc>
      </w:tr>
      <w:tr w:rsidR="00DD389D" w:rsidRPr="00D5487B" w14:paraId="4CD0B906" w14:textId="77777777" w:rsidTr="00D8188D">
        <w:trPr>
          <w:cantSplit/>
          <w:trHeight w:val="290"/>
          <w:tblHeader/>
          <w:jc w:val="center"/>
        </w:trPr>
        <w:tc>
          <w:tcPr>
            <w:tcW w:w="1762" w:type="pct"/>
          </w:tcPr>
          <w:p w14:paraId="4ED478F8"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Région de la capitale nationale (RCN)</w:t>
            </w:r>
          </w:p>
        </w:tc>
        <w:tc>
          <w:tcPr>
            <w:tcW w:w="1206" w:type="pct"/>
          </w:tcPr>
          <w:p w14:paraId="483194BD"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1 453</w:t>
            </w:r>
          </w:p>
        </w:tc>
        <w:tc>
          <w:tcPr>
            <w:tcW w:w="2032" w:type="pct"/>
          </w:tcPr>
          <w:p w14:paraId="3123FDEA"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61%</w:t>
            </w:r>
          </w:p>
        </w:tc>
      </w:tr>
      <w:tr w:rsidR="00DD389D" w:rsidRPr="00D5487B" w14:paraId="56C343A1" w14:textId="77777777" w:rsidTr="00D8188D">
        <w:trPr>
          <w:cantSplit/>
          <w:trHeight w:val="290"/>
          <w:tblHeader/>
          <w:jc w:val="center"/>
        </w:trPr>
        <w:tc>
          <w:tcPr>
            <w:tcW w:w="1762" w:type="pct"/>
          </w:tcPr>
          <w:p w14:paraId="7E56EBCD"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Régions à l’extérieur de la RCN</w:t>
            </w:r>
          </w:p>
        </w:tc>
        <w:tc>
          <w:tcPr>
            <w:tcW w:w="1206" w:type="pct"/>
          </w:tcPr>
          <w:p w14:paraId="67A10265"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939</w:t>
            </w:r>
          </w:p>
        </w:tc>
        <w:tc>
          <w:tcPr>
            <w:tcW w:w="2032" w:type="pct"/>
          </w:tcPr>
          <w:p w14:paraId="26E5BE53"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39%</w:t>
            </w:r>
          </w:p>
        </w:tc>
      </w:tr>
      <w:tr w:rsidR="00DD389D" w:rsidRPr="00D5487B" w14:paraId="140CFF2F" w14:textId="77777777" w:rsidTr="00D8188D">
        <w:trPr>
          <w:cantSplit/>
          <w:trHeight w:val="290"/>
          <w:tblHeader/>
          <w:jc w:val="center"/>
        </w:trPr>
        <w:tc>
          <w:tcPr>
            <w:tcW w:w="1762" w:type="pct"/>
          </w:tcPr>
          <w:p w14:paraId="1C064A49" w14:textId="77777777" w:rsidR="00DD389D" w:rsidRPr="00D5487B" w:rsidRDefault="00DD389D"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Inconnus</w:t>
            </w:r>
          </w:p>
        </w:tc>
        <w:tc>
          <w:tcPr>
            <w:tcW w:w="1206" w:type="pct"/>
          </w:tcPr>
          <w:p w14:paraId="385CA158"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c>
          <w:tcPr>
            <w:tcW w:w="2032" w:type="pct"/>
          </w:tcPr>
          <w:p w14:paraId="54A68A1B" w14:textId="77777777" w:rsidR="00DD389D" w:rsidRPr="00D5487B" w:rsidRDefault="00DD389D" w:rsidP="00D8188D">
            <w:pPr>
              <w:autoSpaceDE w:val="0"/>
              <w:autoSpaceDN w:val="0"/>
              <w:adjustRightInd w:val="0"/>
              <w:jc w:val="center"/>
              <w:rPr>
                <w:rFonts w:asciiTheme="minorHAnsi" w:hAnsiTheme="minorHAnsi" w:cstheme="minorHAnsi"/>
                <w:color w:val="000000"/>
                <w:sz w:val="22"/>
                <w:szCs w:val="22"/>
                <w:lang w:val="fr-CA"/>
              </w:rPr>
            </w:pPr>
          </w:p>
        </w:tc>
      </w:tr>
    </w:tbl>
    <w:p w14:paraId="2EDC8AB3" w14:textId="26B4DAE0" w:rsidR="00D8188D" w:rsidRPr="00D8188D" w:rsidRDefault="00D8188D" w:rsidP="00D8188D">
      <w:pPr>
        <w:pStyle w:val="Titre1"/>
        <w:spacing w:before="120" w:after="120"/>
        <w:rPr>
          <w:sz w:val="36"/>
          <w:lang w:val="fr-CA"/>
        </w:rPr>
      </w:pPr>
      <w:r w:rsidRPr="00D8188D">
        <w:rPr>
          <w:sz w:val="36"/>
          <w:lang w:val="fr-CA"/>
        </w:rPr>
        <w:lastRenderedPageBreak/>
        <w:t>Embauche externe pour une période indéterminée selon le groupe professionnel, 2018-2019</w:t>
      </w:r>
    </w:p>
    <w:p w14:paraId="0BCAD019" w14:textId="77777777" w:rsidR="00BE11CC" w:rsidRPr="00D5487B" w:rsidRDefault="00BB3D6C" w:rsidP="00BE11CC">
      <w:pPr>
        <w:pStyle w:val="Titre3"/>
        <w:jc w:val="center"/>
        <w:rPr>
          <w:lang w:val="fr-CA"/>
        </w:rPr>
      </w:pPr>
      <w:r w:rsidRPr="00D5487B">
        <w:rPr>
          <w:rStyle w:val="lev"/>
          <w:noProof/>
          <w:lang w:val="en-CA" w:eastAsia="en-CA"/>
        </w:rPr>
        <w:drawing>
          <wp:inline distT="0" distB="0" distL="0" distR="0" wp14:anchorId="60A6B6F7" wp14:editId="5DC1C5B9">
            <wp:extent cx="1980000" cy="3020400"/>
            <wp:effectExtent l="0" t="0" r="1270" b="8890"/>
            <wp:docPr id="7" name="Chart 7" descr="Figure 5 - Embauche externe pour une période indéterminée selon le groupe professionnel,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BC467E" w14:textId="2CD3DBE2" w:rsidR="00BB3D6C" w:rsidRPr="00D5487B" w:rsidRDefault="00BE11CC" w:rsidP="00BE11CC">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5</w:t>
      </w:r>
      <w:r w:rsidRPr="00D5487B">
        <w:rPr>
          <w:lang w:val="fr-CA"/>
        </w:rPr>
        <w:fldChar w:fldCharType="end"/>
      </w:r>
      <w:r w:rsidRPr="00D5487B">
        <w:rPr>
          <w:lang w:val="fr-CA"/>
        </w:rPr>
        <w:t xml:space="preserve"> - Embauche externe pour une période indéterminée selon le groupe professionnel, 2018-2019</w:t>
      </w:r>
    </w:p>
    <w:p w14:paraId="7E4247EE" w14:textId="675CCCBF" w:rsidR="00BE11CC" w:rsidRPr="00D5487B" w:rsidRDefault="00BE11CC" w:rsidP="00BE11CC">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8</w:t>
      </w:r>
      <w:r w:rsidRPr="00D5487B">
        <w:rPr>
          <w:lang w:val="fr-CA"/>
        </w:rPr>
        <w:fldChar w:fldCharType="end"/>
      </w:r>
      <w:r w:rsidRPr="00D5487B">
        <w:rPr>
          <w:lang w:val="fr-CA"/>
        </w:rPr>
        <w:t xml:space="preserve"> - Embauche externe à des postes pour une période indéterminée selon le groupe professionnel, de 2018 à 2019</w:t>
      </w:r>
    </w:p>
    <w:tbl>
      <w:tblPr>
        <w:tblStyle w:val="Grilledutableau"/>
        <w:tblW w:w="0" w:type="auto"/>
        <w:jc w:val="center"/>
        <w:tblLook w:val="0000" w:firstRow="0" w:lastRow="0" w:firstColumn="0" w:lastColumn="0" w:noHBand="0" w:noVBand="0"/>
        <w:tblDescription w:val="Embauche externe indéterminée - groupe professionnel 18 -19"/>
      </w:tblPr>
      <w:tblGrid>
        <w:gridCol w:w="4040"/>
        <w:gridCol w:w="4565"/>
        <w:gridCol w:w="5785"/>
      </w:tblGrid>
      <w:tr w:rsidR="00BE11CC" w:rsidRPr="00A35947" w14:paraId="2331FCC8" w14:textId="77777777" w:rsidTr="00BE11CC">
        <w:trPr>
          <w:cantSplit/>
          <w:trHeight w:val="290"/>
          <w:tblHeader/>
          <w:jc w:val="center"/>
        </w:trPr>
        <w:tc>
          <w:tcPr>
            <w:tcW w:w="0" w:type="auto"/>
          </w:tcPr>
          <w:p w14:paraId="102BE753" w14:textId="77777777" w:rsidR="00BE11CC" w:rsidRPr="00D5487B" w:rsidRDefault="00BE11CC" w:rsidP="00BE11CC">
            <w:pPr>
              <w:pStyle w:val="TableTitle"/>
              <w:rPr>
                <w:color w:val="000000"/>
                <w:lang w:val="fr-CA"/>
              </w:rPr>
            </w:pPr>
            <w:r w:rsidRPr="00D5487B">
              <w:rPr>
                <w:lang w:val="fr-CA"/>
              </w:rPr>
              <w:t>Groupes professionnels</w:t>
            </w:r>
          </w:p>
        </w:tc>
        <w:tc>
          <w:tcPr>
            <w:tcW w:w="0" w:type="auto"/>
          </w:tcPr>
          <w:p w14:paraId="7F5602DC" w14:textId="77777777" w:rsidR="00BE11CC" w:rsidRPr="00D5487B" w:rsidRDefault="00BE11CC" w:rsidP="00BE11CC">
            <w:pPr>
              <w:pStyle w:val="TableTitle"/>
              <w:rPr>
                <w:color w:val="000000"/>
                <w:lang w:val="fr-CA"/>
              </w:rPr>
            </w:pPr>
            <w:r w:rsidRPr="00D5487B">
              <w:rPr>
                <w:color w:val="000000"/>
                <w:lang w:val="fr-CA"/>
              </w:rPr>
              <w:t>Nombre d'embauches pour une période indéterminée dans</w:t>
            </w:r>
          </w:p>
          <w:p w14:paraId="21B8BC77" w14:textId="77777777" w:rsidR="00BE11CC" w:rsidRPr="00D5487B" w:rsidRDefault="00BE11CC" w:rsidP="00BE11CC">
            <w:pPr>
              <w:pStyle w:val="TableTitle"/>
              <w:rPr>
                <w:color w:val="000000"/>
                <w:lang w:val="fr-CA"/>
              </w:rPr>
            </w:pPr>
            <w:r w:rsidRPr="00D5487B">
              <w:rPr>
                <w:color w:val="000000"/>
                <w:lang w:val="fr-CA"/>
              </w:rPr>
              <w:t>l’organisation</w:t>
            </w:r>
          </w:p>
        </w:tc>
        <w:tc>
          <w:tcPr>
            <w:tcW w:w="0" w:type="auto"/>
          </w:tcPr>
          <w:p w14:paraId="4722F586" w14:textId="77777777" w:rsidR="00BE11CC" w:rsidRPr="00D5487B" w:rsidRDefault="00BE11CC" w:rsidP="00BE11CC">
            <w:pPr>
              <w:pStyle w:val="TableTitle"/>
              <w:rPr>
                <w:color w:val="000000"/>
                <w:lang w:val="fr-CA"/>
              </w:rPr>
            </w:pPr>
            <w:r w:rsidRPr="00D5487B">
              <w:rPr>
                <w:color w:val="000000"/>
                <w:lang w:val="fr-CA"/>
              </w:rPr>
              <w:t>Pourcentage d'embauches pour une période indéterminée dans l’organisation</w:t>
            </w:r>
          </w:p>
        </w:tc>
      </w:tr>
      <w:tr w:rsidR="00BE11CC" w:rsidRPr="00D5487B" w14:paraId="33CC4598" w14:textId="77777777" w:rsidTr="00BE11CC">
        <w:trPr>
          <w:cantSplit/>
          <w:trHeight w:val="290"/>
          <w:tblHeader/>
          <w:jc w:val="center"/>
        </w:trPr>
        <w:tc>
          <w:tcPr>
            <w:tcW w:w="0" w:type="auto"/>
          </w:tcPr>
          <w:p w14:paraId="4FBB5C19" w14:textId="77777777" w:rsidR="00BE11CC" w:rsidRPr="00D5487B" w:rsidRDefault="00BE11C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EC – Groupe Économique et services sciences sociales</w:t>
            </w:r>
          </w:p>
        </w:tc>
        <w:tc>
          <w:tcPr>
            <w:tcW w:w="0" w:type="auto"/>
          </w:tcPr>
          <w:p w14:paraId="61C903F2"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46</w:t>
            </w:r>
          </w:p>
        </w:tc>
        <w:tc>
          <w:tcPr>
            <w:tcW w:w="0" w:type="auto"/>
          </w:tcPr>
          <w:p w14:paraId="77A94516"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52%</w:t>
            </w:r>
          </w:p>
        </w:tc>
      </w:tr>
      <w:tr w:rsidR="00BE11CC" w:rsidRPr="00D5487B" w14:paraId="6B028148" w14:textId="77777777" w:rsidTr="00BE11CC">
        <w:trPr>
          <w:cantSplit/>
          <w:trHeight w:val="290"/>
          <w:tblHeader/>
          <w:jc w:val="center"/>
        </w:trPr>
        <w:tc>
          <w:tcPr>
            <w:tcW w:w="0" w:type="auto"/>
          </w:tcPr>
          <w:p w14:paraId="3E96A193" w14:textId="77777777" w:rsidR="00BE11CC" w:rsidRPr="00D5487B" w:rsidRDefault="00BE11C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AS – Services administratifs</w:t>
            </w:r>
          </w:p>
        </w:tc>
        <w:tc>
          <w:tcPr>
            <w:tcW w:w="0" w:type="auto"/>
          </w:tcPr>
          <w:p w14:paraId="33C15793"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18</w:t>
            </w:r>
          </w:p>
        </w:tc>
        <w:tc>
          <w:tcPr>
            <w:tcW w:w="0" w:type="auto"/>
          </w:tcPr>
          <w:p w14:paraId="1B496DB5"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21%</w:t>
            </w:r>
          </w:p>
        </w:tc>
      </w:tr>
      <w:tr w:rsidR="00BE11CC" w:rsidRPr="00D5487B" w14:paraId="588D3871" w14:textId="77777777" w:rsidTr="00BE11CC">
        <w:trPr>
          <w:cantSplit/>
          <w:trHeight w:val="290"/>
          <w:tblHeader/>
          <w:jc w:val="center"/>
        </w:trPr>
        <w:tc>
          <w:tcPr>
            <w:tcW w:w="0" w:type="auto"/>
          </w:tcPr>
          <w:p w14:paraId="5A26A0C3" w14:textId="77777777" w:rsidR="00BE11CC" w:rsidRPr="00D5487B" w:rsidRDefault="00BE11C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Autre</w:t>
            </w:r>
          </w:p>
        </w:tc>
        <w:tc>
          <w:tcPr>
            <w:tcW w:w="0" w:type="auto"/>
          </w:tcPr>
          <w:p w14:paraId="16F2518D"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23</w:t>
            </w:r>
          </w:p>
        </w:tc>
        <w:tc>
          <w:tcPr>
            <w:tcW w:w="0" w:type="auto"/>
          </w:tcPr>
          <w:p w14:paraId="692F5999"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26%</w:t>
            </w:r>
          </w:p>
        </w:tc>
      </w:tr>
      <w:tr w:rsidR="00BE11CC" w:rsidRPr="00D5487B" w14:paraId="44729B06" w14:textId="77777777" w:rsidTr="00BE11CC">
        <w:trPr>
          <w:cantSplit/>
          <w:trHeight w:val="290"/>
          <w:tblHeader/>
          <w:jc w:val="center"/>
        </w:trPr>
        <w:tc>
          <w:tcPr>
            <w:tcW w:w="0" w:type="auto"/>
          </w:tcPr>
          <w:p w14:paraId="3CBB3C8A" w14:textId="77777777" w:rsidR="00BE11CC" w:rsidRPr="00D5487B" w:rsidRDefault="00BE11C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Total</w:t>
            </w:r>
          </w:p>
        </w:tc>
        <w:tc>
          <w:tcPr>
            <w:tcW w:w="0" w:type="auto"/>
          </w:tcPr>
          <w:p w14:paraId="760E4CC7"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88</w:t>
            </w:r>
          </w:p>
        </w:tc>
        <w:tc>
          <w:tcPr>
            <w:tcW w:w="0" w:type="auto"/>
          </w:tcPr>
          <w:p w14:paraId="1DA4558C" w14:textId="77777777" w:rsidR="00BE11CC" w:rsidRPr="00D5487B" w:rsidRDefault="00BE11C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100%</w:t>
            </w:r>
          </w:p>
        </w:tc>
      </w:tr>
    </w:tbl>
    <w:p w14:paraId="73417CA5" w14:textId="77777777" w:rsidR="00D8188D" w:rsidRPr="00D8188D" w:rsidRDefault="00D8188D" w:rsidP="00D8188D">
      <w:pPr>
        <w:pStyle w:val="Titre1"/>
        <w:spacing w:before="120" w:after="120"/>
        <w:rPr>
          <w:sz w:val="40"/>
          <w:lang w:val="en-CA"/>
        </w:rPr>
      </w:pPr>
      <w:r w:rsidRPr="00D8188D">
        <w:rPr>
          <w:sz w:val="40"/>
          <w:lang w:val="en-CA"/>
        </w:rPr>
        <w:lastRenderedPageBreak/>
        <w:t xml:space="preserve">Dotation </w:t>
      </w:r>
      <w:proofErr w:type="spellStart"/>
      <w:r w:rsidRPr="00D8188D">
        <w:rPr>
          <w:sz w:val="40"/>
          <w:lang w:val="en-CA"/>
        </w:rPr>
        <w:t>selon</w:t>
      </w:r>
      <w:proofErr w:type="spellEnd"/>
      <w:r w:rsidRPr="00D8188D">
        <w:rPr>
          <w:sz w:val="40"/>
          <w:lang w:val="en-CA"/>
        </w:rPr>
        <w:t xml:space="preserve"> la </w:t>
      </w:r>
      <w:proofErr w:type="spellStart"/>
      <w:r w:rsidRPr="00D8188D">
        <w:rPr>
          <w:sz w:val="40"/>
          <w:lang w:val="en-CA"/>
        </w:rPr>
        <w:t>région</w:t>
      </w:r>
      <w:proofErr w:type="spellEnd"/>
    </w:p>
    <w:p w14:paraId="40C9B4B2" w14:textId="77777777" w:rsidR="00D74A6F" w:rsidRPr="00D5487B" w:rsidRDefault="00D269E7" w:rsidP="00D74A6F">
      <w:pPr>
        <w:pStyle w:val="Titre3"/>
        <w:jc w:val="center"/>
        <w:rPr>
          <w:lang w:val="fr-CA"/>
        </w:rPr>
      </w:pPr>
      <w:r w:rsidRPr="00D5487B">
        <w:rPr>
          <w:rStyle w:val="lev"/>
          <w:noProof/>
          <w:lang w:val="en-CA" w:eastAsia="en-CA"/>
        </w:rPr>
        <w:drawing>
          <wp:inline distT="0" distB="0" distL="0" distR="0" wp14:anchorId="651D110C" wp14:editId="39202C6E">
            <wp:extent cx="5648400" cy="3049200"/>
            <wp:effectExtent l="0" t="0" r="9525" b="18415"/>
            <wp:docPr id="10" name="Chart 10" descr="Figure 6 - Dotation selon la ré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4C3D4F" w14:textId="45D9B8D0" w:rsidR="00D74A6F" w:rsidRPr="00D5487B" w:rsidRDefault="00D74A6F" w:rsidP="00D74A6F">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6</w:t>
      </w:r>
      <w:r w:rsidRPr="00D5487B">
        <w:rPr>
          <w:lang w:val="fr-CA"/>
        </w:rPr>
        <w:fldChar w:fldCharType="end"/>
      </w:r>
      <w:r w:rsidRPr="00D5487B">
        <w:rPr>
          <w:lang w:val="fr-CA"/>
        </w:rPr>
        <w:t xml:space="preserve"> - Dotation selon la </w:t>
      </w:r>
      <w:r w:rsidR="00251B7C" w:rsidRPr="00D5487B">
        <w:rPr>
          <w:lang w:val="fr-CA"/>
        </w:rPr>
        <w:t>ré</w:t>
      </w:r>
      <w:r w:rsidRPr="00D5487B">
        <w:rPr>
          <w:lang w:val="fr-CA"/>
        </w:rPr>
        <w:t>gion</w:t>
      </w:r>
    </w:p>
    <w:p w14:paraId="31B4631F" w14:textId="2FBB26F2" w:rsidR="00D74A6F" w:rsidRPr="00D5487B" w:rsidRDefault="00D74A6F" w:rsidP="00723746">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9</w:t>
      </w:r>
      <w:r w:rsidRPr="00D5487B">
        <w:rPr>
          <w:lang w:val="fr-CA"/>
        </w:rPr>
        <w:fldChar w:fldCharType="end"/>
      </w:r>
      <w:r w:rsidRPr="00D5487B">
        <w:rPr>
          <w:lang w:val="fr-CA"/>
        </w:rPr>
        <w:t xml:space="preserve"> - Pourcentage des activités de dotation dans la région de la capitale nationale en comparaison avec les régions à l’extérieur de la région de la capitale nationale selon l'exercice financier</w:t>
      </w:r>
    </w:p>
    <w:tbl>
      <w:tblPr>
        <w:tblStyle w:val="Grilledutableau"/>
        <w:tblW w:w="0" w:type="auto"/>
        <w:tblLook w:val="0000" w:firstRow="0" w:lastRow="0" w:firstColumn="0" w:lastColumn="0" w:noHBand="0" w:noVBand="0"/>
        <w:tblDescription w:val="Dotation selon la région de 2014 à 2019"/>
      </w:tblPr>
      <w:tblGrid>
        <w:gridCol w:w="1619"/>
        <w:gridCol w:w="6148"/>
        <w:gridCol w:w="6623"/>
      </w:tblGrid>
      <w:tr w:rsidR="00D74A6F" w:rsidRPr="00A35947" w14:paraId="62DC13E4" w14:textId="77777777" w:rsidTr="00723746">
        <w:trPr>
          <w:trHeight w:val="290"/>
          <w:tblHeader/>
        </w:trPr>
        <w:tc>
          <w:tcPr>
            <w:tcW w:w="0" w:type="auto"/>
          </w:tcPr>
          <w:p w14:paraId="3D0007B1" w14:textId="77777777" w:rsidR="00D74A6F" w:rsidRPr="00D5487B" w:rsidRDefault="00D74A6F" w:rsidP="00D74A6F">
            <w:pPr>
              <w:pStyle w:val="TableTitle"/>
              <w:rPr>
                <w:lang w:val="fr-CA"/>
              </w:rPr>
            </w:pPr>
            <w:r w:rsidRPr="00D5487B">
              <w:rPr>
                <w:lang w:val="fr-CA"/>
              </w:rPr>
              <w:t>L'exercice financier</w:t>
            </w:r>
          </w:p>
        </w:tc>
        <w:tc>
          <w:tcPr>
            <w:tcW w:w="0" w:type="auto"/>
          </w:tcPr>
          <w:p w14:paraId="4533F388" w14:textId="77777777" w:rsidR="00D74A6F" w:rsidRPr="00D5487B" w:rsidRDefault="00D74A6F" w:rsidP="00D74A6F">
            <w:pPr>
              <w:pStyle w:val="TableTitle"/>
              <w:rPr>
                <w:lang w:val="fr-CA"/>
              </w:rPr>
            </w:pPr>
            <w:r w:rsidRPr="00D5487B">
              <w:rPr>
                <w:lang w:val="fr-CA"/>
              </w:rPr>
              <w:t xml:space="preserve">Pourcentage des activités de dotation à l’organisation qui a eu lieu dans la région de la capitale nationale (RCN) </w:t>
            </w:r>
          </w:p>
        </w:tc>
        <w:tc>
          <w:tcPr>
            <w:tcW w:w="0" w:type="auto"/>
          </w:tcPr>
          <w:p w14:paraId="75128743" w14:textId="77777777" w:rsidR="00D74A6F" w:rsidRPr="00D5487B" w:rsidRDefault="00D74A6F" w:rsidP="00D74A6F">
            <w:pPr>
              <w:pStyle w:val="TableTitle"/>
              <w:rPr>
                <w:lang w:val="fr-CA"/>
              </w:rPr>
            </w:pPr>
            <w:r w:rsidRPr="00D5487B">
              <w:rPr>
                <w:lang w:val="fr-CA"/>
              </w:rPr>
              <w:t>Pourcentage des activités de dotation à l’organisation qui a eu lieu à l’extérieur de la région de la capitale nationale (RCN)</w:t>
            </w:r>
          </w:p>
        </w:tc>
      </w:tr>
      <w:tr w:rsidR="00D74A6F" w:rsidRPr="00D5487B" w14:paraId="5306A043" w14:textId="77777777" w:rsidTr="00723746">
        <w:trPr>
          <w:trHeight w:val="290"/>
          <w:tblHeader/>
        </w:trPr>
        <w:tc>
          <w:tcPr>
            <w:tcW w:w="0" w:type="auto"/>
          </w:tcPr>
          <w:p w14:paraId="2FF40A17" w14:textId="77777777" w:rsidR="00D74A6F" w:rsidRPr="00D5487B" w:rsidRDefault="00D74A6F"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2014 à 2015</w:t>
            </w:r>
          </w:p>
        </w:tc>
        <w:tc>
          <w:tcPr>
            <w:tcW w:w="0" w:type="auto"/>
          </w:tcPr>
          <w:p w14:paraId="4033DC49"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63%</w:t>
            </w:r>
          </w:p>
        </w:tc>
        <w:tc>
          <w:tcPr>
            <w:tcW w:w="0" w:type="auto"/>
          </w:tcPr>
          <w:p w14:paraId="2096C4BF"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37%</w:t>
            </w:r>
          </w:p>
        </w:tc>
      </w:tr>
      <w:tr w:rsidR="00D74A6F" w:rsidRPr="00D5487B" w14:paraId="52088636" w14:textId="77777777" w:rsidTr="00723746">
        <w:trPr>
          <w:trHeight w:val="290"/>
          <w:tblHeader/>
        </w:trPr>
        <w:tc>
          <w:tcPr>
            <w:tcW w:w="0" w:type="auto"/>
          </w:tcPr>
          <w:p w14:paraId="403F121E" w14:textId="77777777" w:rsidR="00D74A6F" w:rsidRPr="00D5487B" w:rsidRDefault="00D74A6F"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2015 à 2016</w:t>
            </w:r>
          </w:p>
        </w:tc>
        <w:tc>
          <w:tcPr>
            <w:tcW w:w="0" w:type="auto"/>
          </w:tcPr>
          <w:p w14:paraId="4EA6D254"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67%</w:t>
            </w:r>
          </w:p>
        </w:tc>
        <w:tc>
          <w:tcPr>
            <w:tcW w:w="0" w:type="auto"/>
          </w:tcPr>
          <w:p w14:paraId="70DFBAA7"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33%</w:t>
            </w:r>
          </w:p>
        </w:tc>
      </w:tr>
      <w:tr w:rsidR="00D74A6F" w:rsidRPr="00D5487B" w14:paraId="1661FB49" w14:textId="77777777" w:rsidTr="00723746">
        <w:trPr>
          <w:trHeight w:val="290"/>
          <w:tblHeader/>
        </w:trPr>
        <w:tc>
          <w:tcPr>
            <w:tcW w:w="0" w:type="auto"/>
          </w:tcPr>
          <w:p w14:paraId="2C11B509" w14:textId="77777777" w:rsidR="00D74A6F" w:rsidRPr="00D5487B" w:rsidRDefault="00D74A6F"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2016 à 2017</w:t>
            </w:r>
          </w:p>
        </w:tc>
        <w:tc>
          <w:tcPr>
            <w:tcW w:w="0" w:type="auto"/>
          </w:tcPr>
          <w:p w14:paraId="3E5AF7EE"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68%</w:t>
            </w:r>
          </w:p>
        </w:tc>
        <w:tc>
          <w:tcPr>
            <w:tcW w:w="0" w:type="auto"/>
          </w:tcPr>
          <w:p w14:paraId="42E64140"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32%</w:t>
            </w:r>
          </w:p>
        </w:tc>
      </w:tr>
      <w:tr w:rsidR="00D74A6F" w:rsidRPr="00D5487B" w14:paraId="50B9E6DB" w14:textId="77777777" w:rsidTr="00723746">
        <w:trPr>
          <w:trHeight w:val="290"/>
          <w:tblHeader/>
        </w:trPr>
        <w:tc>
          <w:tcPr>
            <w:tcW w:w="0" w:type="auto"/>
          </w:tcPr>
          <w:p w14:paraId="47F1DA7D" w14:textId="77777777" w:rsidR="00D74A6F" w:rsidRPr="00D5487B" w:rsidRDefault="00D74A6F"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2017 à 2018</w:t>
            </w:r>
          </w:p>
        </w:tc>
        <w:tc>
          <w:tcPr>
            <w:tcW w:w="0" w:type="auto"/>
          </w:tcPr>
          <w:p w14:paraId="2457C561"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68%</w:t>
            </w:r>
          </w:p>
        </w:tc>
        <w:tc>
          <w:tcPr>
            <w:tcW w:w="0" w:type="auto"/>
          </w:tcPr>
          <w:p w14:paraId="563BD727"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32%</w:t>
            </w:r>
          </w:p>
        </w:tc>
      </w:tr>
      <w:tr w:rsidR="00D74A6F" w:rsidRPr="00D5487B" w14:paraId="0982B9B6" w14:textId="77777777" w:rsidTr="00723746">
        <w:trPr>
          <w:trHeight w:val="290"/>
          <w:tblHeader/>
        </w:trPr>
        <w:tc>
          <w:tcPr>
            <w:tcW w:w="0" w:type="auto"/>
          </w:tcPr>
          <w:p w14:paraId="06DA4AC9" w14:textId="77777777" w:rsidR="00D74A6F" w:rsidRPr="00D5487B" w:rsidRDefault="00D74A6F"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2018 à 2019</w:t>
            </w:r>
          </w:p>
        </w:tc>
        <w:tc>
          <w:tcPr>
            <w:tcW w:w="0" w:type="auto"/>
          </w:tcPr>
          <w:p w14:paraId="7F73B1B8"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70%</w:t>
            </w:r>
          </w:p>
        </w:tc>
        <w:tc>
          <w:tcPr>
            <w:tcW w:w="0" w:type="auto"/>
          </w:tcPr>
          <w:p w14:paraId="1475E299" w14:textId="77777777" w:rsidR="00D74A6F" w:rsidRPr="00D5487B" w:rsidRDefault="00D74A6F"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30%</w:t>
            </w:r>
          </w:p>
        </w:tc>
      </w:tr>
    </w:tbl>
    <w:p w14:paraId="43BC3C07" w14:textId="77777777" w:rsidR="00D8188D" w:rsidRPr="00D8188D" w:rsidRDefault="00D8188D" w:rsidP="00D8188D">
      <w:pPr>
        <w:pStyle w:val="Titre1"/>
        <w:spacing w:before="120" w:after="120"/>
        <w:rPr>
          <w:sz w:val="40"/>
          <w:lang w:val="fr-CA"/>
        </w:rPr>
      </w:pPr>
      <w:r w:rsidRPr="00D8188D">
        <w:rPr>
          <w:sz w:val="40"/>
          <w:lang w:val="fr-CA"/>
        </w:rPr>
        <w:lastRenderedPageBreak/>
        <w:t>Dotation selon le type de processus</w:t>
      </w:r>
    </w:p>
    <w:p w14:paraId="2F05E003" w14:textId="77777777" w:rsidR="000B01B9" w:rsidRPr="00D5487B" w:rsidRDefault="00D269E7" w:rsidP="000B01B9">
      <w:pPr>
        <w:pStyle w:val="Titre3"/>
        <w:jc w:val="center"/>
        <w:rPr>
          <w:lang w:val="fr-CA"/>
        </w:rPr>
      </w:pPr>
      <w:r w:rsidRPr="00D5487B">
        <w:rPr>
          <w:rStyle w:val="lev"/>
          <w:noProof/>
          <w:lang w:val="en-CA" w:eastAsia="en-CA"/>
        </w:rPr>
        <w:drawing>
          <wp:inline distT="0" distB="0" distL="0" distR="0" wp14:anchorId="2918C746" wp14:editId="3BBD5357">
            <wp:extent cx="5648400" cy="3049200"/>
            <wp:effectExtent l="0" t="0" r="9525" b="18415"/>
            <wp:docPr id="1" name="Chart 1" descr="Figure 7 - Dotation selon le type de processu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D1C930" w14:textId="69743B6C" w:rsidR="00D269E7" w:rsidRPr="00D5487B" w:rsidRDefault="000B01B9" w:rsidP="000B01B9">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7</w:t>
      </w:r>
      <w:r w:rsidRPr="00D5487B">
        <w:rPr>
          <w:lang w:val="fr-CA"/>
        </w:rPr>
        <w:fldChar w:fldCharType="end"/>
      </w:r>
      <w:r w:rsidRPr="00D5487B">
        <w:rPr>
          <w:lang w:val="fr-CA"/>
        </w:rPr>
        <w:t xml:space="preserve"> - Dotation selon le type de processus</w:t>
      </w:r>
    </w:p>
    <w:p w14:paraId="42A8BD4D" w14:textId="6953DCF6" w:rsidR="0030367C" w:rsidRPr="00D5487B" w:rsidRDefault="0030367C" w:rsidP="0030367C">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10</w:t>
      </w:r>
      <w:r w:rsidRPr="00D5487B">
        <w:rPr>
          <w:lang w:val="fr-CA"/>
        </w:rPr>
        <w:fldChar w:fldCharType="end"/>
      </w:r>
      <w:r w:rsidRPr="00D5487B">
        <w:rPr>
          <w:lang w:val="fr-CA"/>
        </w:rPr>
        <w:t xml:space="preserve"> - Nombre et pourcentage des activités de dotation selon le type de processus et l’exercice financier</w:t>
      </w:r>
    </w:p>
    <w:tbl>
      <w:tblPr>
        <w:tblStyle w:val="Grilledutableau"/>
        <w:tblW w:w="5000" w:type="pct"/>
        <w:jc w:val="center"/>
        <w:tblLook w:val="0000" w:firstRow="0" w:lastRow="0" w:firstColumn="0" w:lastColumn="0" w:noHBand="0" w:noVBand="0"/>
        <w:tblDescription w:val="Dotation selon le type de processus "/>
      </w:tblPr>
      <w:tblGrid>
        <w:gridCol w:w="2194"/>
        <w:gridCol w:w="4885"/>
        <w:gridCol w:w="2479"/>
        <w:gridCol w:w="4832"/>
      </w:tblGrid>
      <w:tr w:rsidR="0030367C" w:rsidRPr="00A35947" w14:paraId="23500F12" w14:textId="77777777" w:rsidTr="00D8188D">
        <w:trPr>
          <w:cantSplit/>
          <w:trHeight w:val="290"/>
          <w:tblHeader/>
          <w:jc w:val="center"/>
        </w:trPr>
        <w:tc>
          <w:tcPr>
            <w:tcW w:w="762" w:type="pct"/>
          </w:tcPr>
          <w:p w14:paraId="6B71778E" w14:textId="77777777" w:rsidR="0030367C" w:rsidRPr="00D5487B" w:rsidRDefault="0030367C" w:rsidP="0030367C">
            <w:pPr>
              <w:pStyle w:val="TableTitle"/>
              <w:rPr>
                <w:lang w:val="fr-CA"/>
              </w:rPr>
            </w:pPr>
            <w:r w:rsidRPr="00D5487B">
              <w:rPr>
                <w:lang w:val="fr-CA"/>
              </w:rPr>
              <w:t>Exercice financier</w:t>
            </w:r>
          </w:p>
        </w:tc>
        <w:tc>
          <w:tcPr>
            <w:tcW w:w="1697" w:type="pct"/>
          </w:tcPr>
          <w:p w14:paraId="7B046F74" w14:textId="77777777" w:rsidR="0030367C" w:rsidRPr="00D5487B" w:rsidRDefault="0030367C" w:rsidP="0030367C">
            <w:pPr>
              <w:pStyle w:val="TableTitle"/>
              <w:rPr>
                <w:lang w:val="fr-CA"/>
              </w:rPr>
            </w:pPr>
            <w:r w:rsidRPr="00D5487B">
              <w:rPr>
                <w:lang w:val="fr-CA"/>
              </w:rPr>
              <w:t>Processus non annoncé (inconnus exclus)</w:t>
            </w:r>
          </w:p>
        </w:tc>
        <w:tc>
          <w:tcPr>
            <w:tcW w:w="861" w:type="pct"/>
          </w:tcPr>
          <w:p w14:paraId="7434B27E" w14:textId="77777777" w:rsidR="0030367C" w:rsidRPr="00D5487B" w:rsidRDefault="0030367C" w:rsidP="0030367C">
            <w:pPr>
              <w:pStyle w:val="TableTitle"/>
              <w:rPr>
                <w:lang w:val="fr-CA"/>
              </w:rPr>
            </w:pPr>
            <w:r w:rsidRPr="00D5487B">
              <w:rPr>
                <w:lang w:val="fr-CA"/>
              </w:rPr>
              <w:t>Processus annoncés</w:t>
            </w:r>
          </w:p>
        </w:tc>
        <w:tc>
          <w:tcPr>
            <w:tcW w:w="1679" w:type="pct"/>
          </w:tcPr>
          <w:p w14:paraId="24B087A2" w14:textId="77777777" w:rsidR="0030367C" w:rsidRPr="00D5487B" w:rsidRDefault="0030367C" w:rsidP="0030367C">
            <w:pPr>
              <w:pStyle w:val="TableTitle"/>
              <w:rPr>
                <w:lang w:val="fr-CA"/>
              </w:rPr>
            </w:pPr>
            <w:r w:rsidRPr="00D5487B">
              <w:rPr>
                <w:lang w:val="fr-CA"/>
              </w:rPr>
              <w:t xml:space="preserve">Pourcentage de processus non annoncés </w:t>
            </w:r>
          </w:p>
        </w:tc>
      </w:tr>
      <w:tr w:rsidR="0030367C" w:rsidRPr="00D5487B" w14:paraId="09608D9C" w14:textId="77777777" w:rsidTr="00D8188D">
        <w:trPr>
          <w:cantSplit/>
          <w:trHeight w:val="290"/>
          <w:tblHeader/>
          <w:jc w:val="center"/>
        </w:trPr>
        <w:tc>
          <w:tcPr>
            <w:tcW w:w="762" w:type="pct"/>
          </w:tcPr>
          <w:p w14:paraId="515EE860" w14:textId="77777777" w:rsidR="0030367C" w:rsidRPr="00D5487B" w:rsidRDefault="0030367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2014 à 2015 </w:t>
            </w:r>
          </w:p>
        </w:tc>
        <w:tc>
          <w:tcPr>
            <w:tcW w:w="1697" w:type="pct"/>
          </w:tcPr>
          <w:p w14:paraId="4105859D"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98</w:t>
            </w:r>
          </w:p>
        </w:tc>
        <w:tc>
          <w:tcPr>
            <w:tcW w:w="861" w:type="pct"/>
          </w:tcPr>
          <w:p w14:paraId="0BE3B09B"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197</w:t>
            </w:r>
          </w:p>
        </w:tc>
        <w:tc>
          <w:tcPr>
            <w:tcW w:w="1679" w:type="pct"/>
          </w:tcPr>
          <w:p w14:paraId="38FAD23F"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33%</w:t>
            </w:r>
          </w:p>
        </w:tc>
      </w:tr>
      <w:tr w:rsidR="0030367C" w:rsidRPr="00D5487B" w14:paraId="6B776916" w14:textId="77777777" w:rsidTr="00D8188D">
        <w:trPr>
          <w:cantSplit/>
          <w:trHeight w:val="290"/>
          <w:tblHeader/>
          <w:jc w:val="center"/>
        </w:trPr>
        <w:tc>
          <w:tcPr>
            <w:tcW w:w="762" w:type="pct"/>
          </w:tcPr>
          <w:p w14:paraId="58256187" w14:textId="77777777" w:rsidR="0030367C" w:rsidRPr="00D5487B" w:rsidRDefault="0030367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2015 à 2016 </w:t>
            </w:r>
          </w:p>
        </w:tc>
        <w:tc>
          <w:tcPr>
            <w:tcW w:w="1697" w:type="pct"/>
          </w:tcPr>
          <w:p w14:paraId="2D1B594D"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66</w:t>
            </w:r>
          </w:p>
        </w:tc>
        <w:tc>
          <w:tcPr>
            <w:tcW w:w="861" w:type="pct"/>
          </w:tcPr>
          <w:p w14:paraId="0D3DAFF9"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164</w:t>
            </w:r>
          </w:p>
        </w:tc>
        <w:tc>
          <w:tcPr>
            <w:tcW w:w="1679" w:type="pct"/>
          </w:tcPr>
          <w:p w14:paraId="1294A47F"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29%</w:t>
            </w:r>
          </w:p>
        </w:tc>
      </w:tr>
      <w:tr w:rsidR="0030367C" w:rsidRPr="00D5487B" w14:paraId="216771F3" w14:textId="77777777" w:rsidTr="00D8188D">
        <w:trPr>
          <w:cantSplit/>
          <w:trHeight w:val="290"/>
          <w:tblHeader/>
          <w:jc w:val="center"/>
        </w:trPr>
        <w:tc>
          <w:tcPr>
            <w:tcW w:w="762" w:type="pct"/>
          </w:tcPr>
          <w:p w14:paraId="5F075FBC" w14:textId="77777777" w:rsidR="0030367C" w:rsidRPr="00D5487B" w:rsidRDefault="0030367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2016 à 2017</w:t>
            </w:r>
          </w:p>
        </w:tc>
        <w:tc>
          <w:tcPr>
            <w:tcW w:w="1697" w:type="pct"/>
          </w:tcPr>
          <w:p w14:paraId="38F09B1F"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82</w:t>
            </w:r>
          </w:p>
        </w:tc>
        <w:tc>
          <w:tcPr>
            <w:tcW w:w="861" w:type="pct"/>
          </w:tcPr>
          <w:p w14:paraId="017BB65A"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169</w:t>
            </w:r>
          </w:p>
        </w:tc>
        <w:tc>
          <w:tcPr>
            <w:tcW w:w="1679" w:type="pct"/>
          </w:tcPr>
          <w:p w14:paraId="020F561E"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33%</w:t>
            </w:r>
          </w:p>
        </w:tc>
      </w:tr>
      <w:tr w:rsidR="0030367C" w:rsidRPr="00D5487B" w14:paraId="7735EFD7" w14:textId="77777777" w:rsidTr="00D8188D">
        <w:trPr>
          <w:cantSplit/>
          <w:trHeight w:val="290"/>
          <w:tblHeader/>
          <w:jc w:val="center"/>
        </w:trPr>
        <w:tc>
          <w:tcPr>
            <w:tcW w:w="762" w:type="pct"/>
          </w:tcPr>
          <w:p w14:paraId="188B4D55" w14:textId="77777777" w:rsidR="0030367C" w:rsidRPr="00D5487B" w:rsidRDefault="0030367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2017 à 2018</w:t>
            </w:r>
          </w:p>
        </w:tc>
        <w:tc>
          <w:tcPr>
            <w:tcW w:w="1697" w:type="pct"/>
          </w:tcPr>
          <w:p w14:paraId="33227D19"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164</w:t>
            </w:r>
          </w:p>
        </w:tc>
        <w:tc>
          <w:tcPr>
            <w:tcW w:w="861" w:type="pct"/>
          </w:tcPr>
          <w:p w14:paraId="4D2607A7"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218</w:t>
            </w:r>
          </w:p>
        </w:tc>
        <w:tc>
          <w:tcPr>
            <w:tcW w:w="1679" w:type="pct"/>
          </w:tcPr>
          <w:p w14:paraId="47007283"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43%</w:t>
            </w:r>
          </w:p>
        </w:tc>
      </w:tr>
      <w:tr w:rsidR="0030367C" w:rsidRPr="00D5487B" w14:paraId="6E9E11CC" w14:textId="77777777" w:rsidTr="00D8188D">
        <w:trPr>
          <w:cantSplit/>
          <w:trHeight w:val="290"/>
          <w:tblHeader/>
          <w:jc w:val="center"/>
        </w:trPr>
        <w:tc>
          <w:tcPr>
            <w:tcW w:w="762" w:type="pct"/>
          </w:tcPr>
          <w:p w14:paraId="6B3F0CA7" w14:textId="77777777" w:rsidR="0030367C" w:rsidRPr="00D5487B" w:rsidRDefault="0030367C"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2018 à 2019</w:t>
            </w:r>
          </w:p>
        </w:tc>
        <w:tc>
          <w:tcPr>
            <w:tcW w:w="1697" w:type="pct"/>
          </w:tcPr>
          <w:p w14:paraId="6CD5651E"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195</w:t>
            </w:r>
          </w:p>
        </w:tc>
        <w:tc>
          <w:tcPr>
            <w:tcW w:w="861" w:type="pct"/>
          </w:tcPr>
          <w:p w14:paraId="519512E1"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312</w:t>
            </w:r>
          </w:p>
        </w:tc>
        <w:tc>
          <w:tcPr>
            <w:tcW w:w="1679" w:type="pct"/>
          </w:tcPr>
          <w:p w14:paraId="5F0219A1" w14:textId="77777777" w:rsidR="0030367C" w:rsidRPr="00D5487B" w:rsidRDefault="0030367C"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38%</w:t>
            </w:r>
          </w:p>
        </w:tc>
      </w:tr>
    </w:tbl>
    <w:p w14:paraId="522C07C8" w14:textId="77777777" w:rsidR="00D8188D" w:rsidRPr="00497F4C" w:rsidRDefault="00D8188D" w:rsidP="00D8188D">
      <w:pPr>
        <w:pStyle w:val="Titre1"/>
        <w:spacing w:before="120" w:after="120"/>
        <w:rPr>
          <w:sz w:val="40"/>
          <w:lang w:val="fr-CA"/>
        </w:rPr>
      </w:pPr>
      <w:r w:rsidRPr="00497F4C">
        <w:rPr>
          <w:sz w:val="40"/>
          <w:lang w:val="fr-CA"/>
        </w:rPr>
        <w:lastRenderedPageBreak/>
        <w:t>Dotation selon le type de nomination</w:t>
      </w:r>
    </w:p>
    <w:p w14:paraId="52105C2E" w14:textId="77777777" w:rsidR="00070BD2" w:rsidRPr="00D5487B" w:rsidRDefault="00D269E7" w:rsidP="00070BD2">
      <w:pPr>
        <w:pStyle w:val="Titre3"/>
        <w:jc w:val="center"/>
        <w:rPr>
          <w:lang w:val="fr-CA"/>
        </w:rPr>
      </w:pPr>
      <w:r w:rsidRPr="00D5487B">
        <w:rPr>
          <w:rStyle w:val="lev"/>
          <w:noProof/>
          <w:lang w:val="en-CA" w:eastAsia="en-CA"/>
        </w:rPr>
        <w:drawing>
          <wp:inline distT="0" distB="0" distL="0" distR="0" wp14:anchorId="6D37D826" wp14:editId="62BAB066">
            <wp:extent cx="5648400" cy="3049200"/>
            <wp:effectExtent l="0" t="0" r="9525" b="18415"/>
            <wp:docPr id="9" name="Chart 9" descr="Figure 8 - 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E7CA2E" w14:textId="35A32276" w:rsidR="00070BD2" w:rsidRPr="00D5487B" w:rsidRDefault="00070BD2" w:rsidP="00070BD2">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8</w:t>
      </w:r>
      <w:r w:rsidRPr="00D5487B">
        <w:rPr>
          <w:lang w:val="fr-CA"/>
        </w:rPr>
        <w:fldChar w:fldCharType="end"/>
      </w:r>
      <w:r w:rsidRPr="00D5487B">
        <w:rPr>
          <w:lang w:val="fr-CA"/>
        </w:rPr>
        <w:t xml:space="preserve"> - Dotation selon le type de nomination</w:t>
      </w:r>
    </w:p>
    <w:p w14:paraId="02A4A991" w14:textId="2376A668" w:rsidR="00070BD2" w:rsidRPr="00D5487B" w:rsidRDefault="00070BD2" w:rsidP="00070BD2">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11</w:t>
      </w:r>
      <w:r w:rsidRPr="00D5487B">
        <w:rPr>
          <w:lang w:val="fr-CA"/>
        </w:rPr>
        <w:fldChar w:fldCharType="end"/>
      </w:r>
      <w:r w:rsidRPr="00D5487B">
        <w:rPr>
          <w:lang w:val="fr-CA"/>
        </w:rPr>
        <w:t xml:space="preserve"> - Activités de dotation selon le type de nomination et exercice financier</w:t>
      </w:r>
    </w:p>
    <w:tbl>
      <w:tblPr>
        <w:tblStyle w:val="Grilledutableau"/>
        <w:tblW w:w="0" w:type="auto"/>
        <w:jc w:val="center"/>
        <w:tblLook w:val="0000" w:firstRow="0" w:lastRow="0" w:firstColumn="0" w:lastColumn="0" w:noHBand="0" w:noVBand="0"/>
        <w:tblDescription w:val="Dotation par type de nomination"/>
      </w:tblPr>
      <w:tblGrid>
        <w:gridCol w:w="1422"/>
        <w:gridCol w:w="1376"/>
        <w:gridCol w:w="2474"/>
        <w:gridCol w:w="4543"/>
        <w:gridCol w:w="3854"/>
        <w:gridCol w:w="721"/>
      </w:tblGrid>
      <w:tr w:rsidR="00070BD2" w:rsidRPr="00D5487B" w14:paraId="58DAEAC4" w14:textId="77777777" w:rsidTr="00070BD2">
        <w:trPr>
          <w:cantSplit/>
          <w:tblHeader/>
          <w:jc w:val="center"/>
        </w:trPr>
        <w:tc>
          <w:tcPr>
            <w:tcW w:w="0" w:type="auto"/>
          </w:tcPr>
          <w:p w14:paraId="3FBE824C" w14:textId="77777777" w:rsidR="00070BD2" w:rsidRPr="00D5487B" w:rsidRDefault="00070BD2" w:rsidP="00070BD2">
            <w:pPr>
              <w:pStyle w:val="TableTitle"/>
              <w:rPr>
                <w:lang w:val="fr-CA"/>
              </w:rPr>
            </w:pPr>
            <w:r w:rsidRPr="00D5487B">
              <w:rPr>
                <w:lang w:val="fr-CA"/>
              </w:rPr>
              <w:t>Exercice financier</w:t>
            </w:r>
          </w:p>
        </w:tc>
        <w:tc>
          <w:tcPr>
            <w:tcW w:w="0" w:type="auto"/>
          </w:tcPr>
          <w:p w14:paraId="0A9964CB" w14:textId="77777777" w:rsidR="00070BD2" w:rsidRPr="00D5487B" w:rsidRDefault="00070BD2" w:rsidP="00070BD2">
            <w:pPr>
              <w:pStyle w:val="TableTitle"/>
              <w:rPr>
                <w:lang w:val="fr-CA"/>
              </w:rPr>
            </w:pPr>
            <w:r w:rsidRPr="00D5487B">
              <w:rPr>
                <w:lang w:val="fr-CA"/>
              </w:rPr>
              <w:t>Promotions</w:t>
            </w:r>
          </w:p>
        </w:tc>
        <w:tc>
          <w:tcPr>
            <w:tcW w:w="0" w:type="auto"/>
          </w:tcPr>
          <w:p w14:paraId="39BC88A7" w14:textId="77777777" w:rsidR="00070BD2" w:rsidRPr="00D5487B" w:rsidRDefault="00070BD2" w:rsidP="00070BD2">
            <w:pPr>
              <w:pStyle w:val="TableTitle"/>
              <w:rPr>
                <w:lang w:val="fr-CA"/>
              </w:rPr>
            </w:pPr>
            <w:r w:rsidRPr="00D5487B">
              <w:rPr>
                <w:lang w:val="fr-CA"/>
              </w:rPr>
              <w:t>Déplacements latéraux et régressifs</w:t>
            </w:r>
          </w:p>
        </w:tc>
        <w:tc>
          <w:tcPr>
            <w:tcW w:w="0" w:type="auto"/>
          </w:tcPr>
          <w:p w14:paraId="10D33E65" w14:textId="77777777" w:rsidR="00070BD2" w:rsidRPr="00D5487B" w:rsidRDefault="00070BD2" w:rsidP="00070BD2">
            <w:pPr>
              <w:pStyle w:val="TableTitle"/>
              <w:rPr>
                <w:lang w:val="fr-CA"/>
              </w:rPr>
            </w:pPr>
            <w:r w:rsidRPr="00D5487B">
              <w:rPr>
                <w:lang w:val="fr-CA"/>
              </w:rPr>
              <w:t>Nominations à la fonction publique (y compris les employés occasionnels et les étudiants)</w:t>
            </w:r>
          </w:p>
        </w:tc>
        <w:tc>
          <w:tcPr>
            <w:tcW w:w="0" w:type="auto"/>
          </w:tcPr>
          <w:p w14:paraId="130D665C" w14:textId="77777777" w:rsidR="00070BD2" w:rsidRPr="00D5487B" w:rsidRDefault="00070BD2" w:rsidP="00070BD2">
            <w:pPr>
              <w:pStyle w:val="TableTitle"/>
              <w:rPr>
                <w:lang w:val="fr-CA"/>
              </w:rPr>
            </w:pPr>
            <w:r w:rsidRPr="00D5487B">
              <w:rPr>
                <w:lang w:val="fr-CA"/>
              </w:rPr>
              <w:t>Nominations intérimaires (Excluant les nominations de moins de 4 mois)</w:t>
            </w:r>
          </w:p>
        </w:tc>
        <w:tc>
          <w:tcPr>
            <w:tcW w:w="0" w:type="auto"/>
          </w:tcPr>
          <w:p w14:paraId="041C9DB5" w14:textId="77777777" w:rsidR="00070BD2" w:rsidRPr="00D5487B" w:rsidRDefault="00070BD2" w:rsidP="00070BD2">
            <w:pPr>
              <w:pStyle w:val="TableTitle"/>
              <w:rPr>
                <w:lang w:val="fr-CA"/>
              </w:rPr>
            </w:pPr>
            <w:r w:rsidRPr="00D5487B">
              <w:rPr>
                <w:lang w:val="fr-CA"/>
              </w:rPr>
              <w:t>Total</w:t>
            </w:r>
          </w:p>
        </w:tc>
      </w:tr>
      <w:tr w:rsidR="00070BD2" w:rsidRPr="00D5487B" w14:paraId="203B7E54" w14:textId="77777777" w:rsidTr="00070BD2">
        <w:trPr>
          <w:cantSplit/>
          <w:tblHeader/>
          <w:jc w:val="center"/>
        </w:trPr>
        <w:tc>
          <w:tcPr>
            <w:tcW w:w="0" w:type="auto"/>
          </w:tcPr>
          <w:p w14:paraId="616D3C04" w14:textId="77777777" w:rsidR="00070BD2" w:rsidRPr="00D5487B" w:rsidRDefault="00070BD2"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2014 à 2015 </w:t>
            </w:r>
          </w:p>
        </w:tc>
        <w:tc>
          <w:tcPr>
            <w:tcW w:w="0" w:type="auto"/>
          </w:tcPr>
          <w:p w14:paraId="36A444FD"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106</w:t>
            </w:r>
          </w:p>
        </w:tc>
        <w:tc>
          <w:tcPr>
            <w:tcW w:w="0" w:type="auto"/>
          </w:tcPr>
          <w:p w14:paraId="56F76817"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134</w:t>
            </w:r>
          </w:p>
        </w:tc>
        <w:tc>
          <w:tcPr>
            <w:tcW w:w="0" w:type="auto"/>
          </w:tcPr>
          <w:p w14:paraId="6C610D73"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547</w:t>
            </w:r>
          </w:p>
        </w:tc>
        <w:tc>
          <w:tcPr>
            <w:tcW w:w="0" w:type="auto"/>
          </w:tcPr>
          <w:p w14:paraId="624DDF79"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229</w:t>
            </w:r>
          </w:p>
        </w:tc>
        <w:tc>
          <w:tcPr>
            <w:tcW w:w="0" w:type="auto"/>
          </w:tcPr>
          <w:p w14:paraId="608317F8"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1 016</w:t>
            </w:r>
          </w:p>
        </w:tc>
      </w:tr>
      <w:tr w:rsidR="00070BD2" w:rsidRPr="00D5487B" w14:paraId="6D8F0EFF" w14:textId="77777777" w:rsidTr="00070BD2">
        <w:trPr>
          <w:cantSplit/>
          <w:tblHeader/>
          <w:jc w:val="center"/>
        </w:trPr>
        <w:tc>
          <w:tcPr>
            <w:tcW w:w="0" w:type="auto"/>
          </w:tcPr>
          <w:p w14:paraId="256A324F" w14:textId="77777777" w:rsidR="00070BD2" w:rsidRPr="00D5487B" w:rsidRDefault="00070BD2"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2015 à 2016</w:t>
            </w:r>
          </w:p>
        </w:tc>
        <w:tc>
          <w:tcPr>
            <w:tcW w:w="0" w:type="auto"/>
          </w:tcPr>
          <w:p w14:paraId="7618D9B6"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136</w:t>
            </w:r>
          </w:p>
        </w:tc>
        <w:tc>
          <w:tcPr>
            <w:tcW w:w="0" w:type="auto"/>
          </w:tcPr>
          <w:p w14:paraId="3265133A"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183</w:t>
            </w:r>
          </w:p>
        </w:tc>
        <w:tc>
          <w:tcPr>
            <w:tcW w:w="0" w:type="auto"/>
          </w:tcPr>
          <w:p w14:paraId="6A9F7880"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571</w:t>
            </w:r>
          </w:p>
        </w:tc>
        <w:tc>
          <w:tcPr>
            <w:tcW w:w="0" w:type="auto"/>
          </w:tcPr>
          <w:p w14:paraId="02DEBDF1"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147</w:t>
            </w:r>
          </w:p>
        </w:tc>
        <w:tc>
          <w:tcPr>
            <w:tcW w:w="0" w:type="auto"/>
          </w:tcPr>
          <w:p w14:paraId="36296832"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1 037</w:t>
            </w:r>
          </w:p>
        </w:tc>
      </w:tr>
      <w:tr w:rsidR="00070BD2" w:rsidRPr="00D5487B" w14:paraId="46D6BC2D" w14:textId="77777777" w:rsidTr="00070BD2">
        <w:trPr>
          <w:cantSplit/>
          <w:tblHeader/>
          <w:jc w:val="center"/>
        </w:trPr>
        <w:tc>
          <w:tcPr>
            <w:tcW w:w="0" w:type="auto"/>
          </w:tcPr>
          <w:p w14:paraId="243F2C66" w14:textId="77777777" w:rsidR="00070BD2" w:rsidRPr="00D5487B" w:rsidRDefault="00070BD2"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2016 à 2017 </w:t>
            </w:r>
          </w:p>
        </w:tc>
        <w:tc>
          <w:tcPr>
            <w:tcW w:w="0" w:type="auto"/>
          </w:tcPr>
          <w:p w14:paraId="2696FDED"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164</w:t>
            </w:r>
          </w:p>
        </w:tc>
        <w:tc>
          <w:tcPr>
            <w:tcW w:w="0" w:type="auto"/>
          </w:tcPr>
          <w:p w14:paraId="099841C5"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192</w:t>
            </w:r>
          </w:p>
        </w:tc>
        <w:tc>
          <w:tcPr>
            <w:tcW w:w="0" w:type="auto"/>
          </w:tcPr>
          <w:p w14:paraId="311FDFC9"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672</w:t>
            </w:r>
          </w:p>
        </w:tc>
        <w:tc>
          <w:tcPr>
            <w:tcW w:w="0" w:type="auto"/>
          </w:tcPr>
          <w:p w14:paraId="2ED8E4DB"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143</w:t>
            </w:r>
          </w:p>
        </w:tc>
        <w:tc>
          <w:tcPr>
            <w:tcW w:w="0" w:type="auto"/>
          </w:tcPr>
          <w:p w14:paraId="51D0804C"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1 171</w:t>
            </w:r>
          </w:p>
        </w:tc>
      </w:tr>
      <w:tr w:rsidR="00070BD2" w:rsidRPr="00D5487B" w14:paraId="1679B926" w14:textId="77777777" w:rsidTr="00070BD2">
        <w:trPr>
          <w:cantSplit/>
          <w:tblHeader/>
          <w:jc w:val="center"/>
        </w:trPr>
        <w:tc>
          <w:tcPr>
            <w:tcW w:w="0" w:type="auto"/>
          </w:tcPr>
          <w:p w14:paraId="36FDD8A6" w14:textId="77777777" w:rsidR="00070BD2" w:rsidRPr="00D5487B" w:rsidRDefault="00070BD2"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2017 à 2018</w:t>
            </w:r>
          </w:p>
        </w:tc>
        <w:tc>
          <w:tcPr>
            <w:tcW w:w="0" w:type="auto"/>
          </w:tcPr>
          <w:p w14:paraId="436D2B07"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193</w:t>
            </w:r>
          </w:p>
        </w:tc>
        <w:tc>
          <w:tcPr>
            <w:tcW w:w="0" w:type="auto"/>
          </w:tcPr>
          <w:p w14:paraId="4E187366"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198</w:t>
            </w:r>
          </w:p>
        </w:tc>
        <w:tc>
          <w:tcPr>
            <w:tcW w:w="0" w:type="auto"/>
          </w:tcPr>
          <w:p w14:paraId="1B0FF150"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582</w:t>
            </w:r>
          </w:p>
        </w:tc>
        <w:tc>
          <w:tcPr>
            <w:tcW w:w="0" w:type="auto"/>
          </w:tcPr>
          <w:p w14:paraId="4DA95B0F"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122</w:t>
            </w:r>
          </w:p>
        </w:tc>
        <w:tc>
          <w:tcPr>
            <w:tcW w:w="0" w:type="auto"/>
          </w:tcPr>
          <w:p w14:paraId="751735D9"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1 095</w:t>
            </w:r>
          </w:p>
        </w:tc>
      </w:tr>
      <w:tr w:rsidR="00070BD2" w:rsidRPr="00D5487B" w14:paraId="4816C486" w14:textId="77777777" w:rsidTr="00070BD2">
        <w:trPr>
          <w:cantSplit/>
          <w:tblHeader/>
          <w:jc w:val="center"/>
        </w:trPr>
        <w:tc>
          <w:tcPr>
            <w:tcW w:w="0" w:type="auto"/>
          </w:tcPr>
          <w:p w14:paraId="56C0AF42" w14:textId="77777777" w:rsidR="00070BD2" w:rsidRPr="00D5487B" w:rsidRDefault="00070BD2"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2018 à 2019</w:t>
            </w:r>
          </w:p>
        </w:tc>
        <w:tc>
          <w:tcPr>
            <w:tcW w:w="0" w:type="auto"/>
          </w:tcPr>
          <w:p w14:paraId="3910699E"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242</w:t>
            </w:r>
          </w:p>
        </w:tc>
        <w:tc>
          <w:tcPr>
            <w:tcW w:w="0" w:type="auto"/>
          </w:tcPr>
          <w:p w14:paraId="45B0A8CA"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230</w:t>
            </w:r>
          </w:p>
        </w:tc>
        <w:tc>
          <w:tcPr>
            <w:tcW w:w="0" w:type="auto"/>
          </w:tcPr>
          <w:p w14:paraId="254837C8"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728</w:t>
            </w:r>
          </w:p>
        </w:tc>
        <w:tc>
          <w:tcPr>
            <w:tcW w:w="0" w:type="auto"/>
          </w:tcPr>
          <w:p w14:paraId="5E90CACC"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183</w:t>
            </w:r>
          </w:p>
        </w:tc>
        <w:tc>
          <w:tcPr>
            <w:tcW w:w="0" w:type="auto"/>
          </w:tcPr>
          <w:p w14:paraId="73C0D776" w14:textId="77777777" w:rsidR="00070BD2" w:rsidRPr="00D5487B" w:rsidRDefault="00070BD2"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1 383</w:t>
            </w:r>
          </w:p>
        </w:tc>
      </w:tr>
    </w:tbl>
    <w:p w14:paraId="1287121A" w14:textId="77777777" w:rsidR="00D8188D" w:rsidRPr="00D8188D" w:rsidRDefault="00D8188D" w:rsidP="00D8188D">
      <w:pPr>
        <w:pStyle w:val="Titre1"/>
        <w:spacing w:before="120" w:after="120"/>
        <w:rPr>
          <w:sz w:val="40"/>
          <w:lang w:val="en-CA"/>
        </w:rPr>
      </w:pPr>
      <w:r w:rsidRPr="00D8188D">
        <w:rPr>
          <w:sz w:val="40"/>
          <w:lang w:val="en-CA"/>
        </w:rPr>
        <w:lastRenderedPageBreak/>
        <w:t xml:space="preserve">Dotation </w:t>
      </w:r>
      <w:proofErr w:type="spellStart"/>
      <w:r w:rsidRPr="00D8188D">
        <w:rPr>
          <w:sz w:val="40"/>
          <w:lang w:val="en-CA"/>
        </w:rPr>
        <w:t>selon</w:t>
      </w:r>
      <w:proofErr w:type="spellEnd"/>
      <w:r w:rsidRPr="00D8188D">
        <w:rPr>
          <w:sz w:val="40"/>
          <w:lang w:val="en-CA"/>
        </w:rPr>
        <w:t xml:space="preserve"> la </w:t>
      </w:r>
      <w:proofErr w:type="spellStart"/>
      <w:r w:rsidRPr="00D8188D">
        <w:rPr>
          <w:sz w:val="40"/>
          <w:lang w:val="en-CA"/>
        </w:rPr>
        <w:t>durée</w:t>
      </w:r>
      <w:proofErr w:type="spellEnd"/>
      <w:r w:rsidRPr="00D8188D">
        <w:rPr>
          <w:sz w:val="40"/>
          <w:lang w:val="en-CA"/>
        </w:rPr>
        <w:t xml:space="preserve"> </w:t>
      </w:r>
      <w:proofErr w:type="spellStart"/>
      <w:r w:rsidRPr="00D8188D">
        <w:rPr>
          <w:sz w:val="40"/>
          <w:lang w:val="en-CA"/>
        </w:rPr>
        <w:t>d'emploi</w:t>
      </w:r>
      <w:proofErr w:type="spellEnd"/>
    </w:p>
    <w:p w14:paraId="3CE3F0FE" w14:textId="77777777" w:rsidR="00AA0745" w:rsidRPr="00D5487B" w:rsidRDefault="00070BD2" w:rsidP="00AA0745">
      <w:pPr>
        <w:pStyle w:val="Titre3"/>
        <w:jc w:val="center"/>
        <w:rPr>
          <w:lang w:val="fr-CA"/>
        </w:rPr>
      </w:pPr>
      <w:r w:rsidRPr="00D5487B">
        <w:rPr>
          <w:rStyle w:val="lev"/>
          <w:noProof/>
          <w:lang w:val="en-CA" w:eastAsia="en-CA"/>
        </w:rPr>
        <w:drawing>
          <wp:inline distT="0" distB="0" distL="0" distR="0" wp14:anchorId="2D4B696C" wp14:editId="4DAC422F">
            <wp:extent cx="5648400" cy="3049200"/>
            <wp:effectExtent l="0" t="0" r="9525" b="18415"/>
            <wp:docPr id="3" name="Chart 3" descr="Figure 9 - Dotation selon la durée d'emploi"/>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5FF866" w14:textId="369EF99F" w:rsidR="00070BD2" w:rsidRPr="00D5487B" w:rsidRDefault="00AA0745" w:rsidP="00AA0745">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9</w:t>
      </w:r>
      <w:r w:rsidRPr="00D5487B">
        <w:rPr>
          <w:lang w:val="fr-CA"/>
        </w:rPr>
        <w:fldChar w:fldCharType="end"/>
      </w:r>
      <w:r w:rsidRPr="00D5487B">
        <w:rPr>
          <w:lang w:val="fr-CA"/>
        </w:rPr>
        <w:t xml:space="preserve"> - Dotation selon la durée d'emploi</w:t>
      </w:r>
    </w:p>
    <w:p w14:paraId="3E883A73" w14:textId="23FD79C1" w:rsidR="00AA0745" w:rsidRPr="00D5487B" w:rsidRDefault="00AA0745" w:rsidP="00D8188D">
      <w:pPr>
        <w:pStyle w:val="Lgende"/>
        <w:keepNext/>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12</w:t>
      </w:r>
      <w:r w:rsidRPr="00D5487B">
        <w:rPr>
          <w:lang w:val="fr-CA"/>
        </w:rPr>
        <w:fldChar w:fldCharType="end"/>
      </w:r>
      <w:r w:rsidRPr="00D5487B">
        <w:rPr>
          <w:lang w:val="fr-CA"/>
        </w:rPr>
        <w:t xml:space="preserve"> - Activités de dotation selon la durée d’emploi et l’exercice financier</w:t>
      </w:r>
    </w:p>
    <w:tbl>
      <w:tblPr>
        <w:tblStyle w:val="Grilledutableau"/>
        <w:tblW w:w="0" w:type="auto"/>
        <w:jc w:val="center"/>
        <w:tblLook w:val="0000" w:firstRow="0" w:lastRow="0" w:firstColumn="0" w:lastColumn="0" w:noHBand="0" w:noVBand="0"/>
        <w:tblDescription w:val="Dotation selon la durée d’emploi"/>
      </w:tblPr>
      <w:tblGrid>
        <w:gridCol w:w="1349"/>
        <w:gridCol w:w="3272"/>
        <w:gridCol w:w="2822"/>
        <w:gridCol w:w="2962"/>
        <w:gridCol w:w="2339"/>
        <w:gridCol w:w="1646"/>
      </w:tblGrid>
      <w:tr w:rsidR="00AA0745" w:rsidRPr="00D5487B" w14:paraId="45C05BBA" w14:textId="77777777" w:rsidTr="00AA0745">
        <w:trPr>
          <w:cantSplit/>
          <w:tblHeader/>
          <w:jc w:val="center"/>
        </w:trPr>
        <w:tc>
          <w:tcPr>
            <w:tcW w:w="0" w:type="auto"/>
          </w:tcPr>
          <w:p w14:paraId="0643ADA5" w14:textId="77777777" w:rsidR="00AA0745" w:rsidRPr="00D5487B" w:rsidRDefault="00AA0745" w:rsidP="00AA0745">
            <w:pPr>
              <w:pStyle w:val="TableTitle"/>
              <w:rPr>
                <w:lang w:val="fr-CA"/>
              </w:rPr>
            </w:pPr>
            <w:r w:rsidRPr="00D5487B">
              <w:rPr>
                <w:lang w:val="fr-CA"/>
              </w:rPr>
              <w:t>Exercice financier</w:t>
            </w:r>
          </w:p>
        </w:tc>
        <w:tc>
          <w:tcPr>
            <w:tcW w:w="0" w:type="auto"/>
          </w:tcPr>
          <w:p w14:paraId="6D6943B8" w14:textId="77777777" w:rsidR="00AA0745" w:rsidRPr="00D5487B" w:rsidRDefault="00AA0745" w:rsidP="00AA0745">
            <w:pPr>
              <w:pStyle w:val="TableTitle"/>
              <w:rPr>
                <w:lang w:val="fr-CA"/>
              </w:rPr>
            </w:pPr>
            <w:r w:rsidRPr="00D5487B">
              <w:rPr>
                <w:lang w:val="fr-CA"/>
              </w:rPr>
              <w:t>Activités de dotation pour des postes pour une période indéterminée</w:t>
            </w:r>
          </w:p>
        </w:tc>
        <w:tc>
          <w:tcPr>
            <w:tcW w:w="0" w:type="auto"/>
          </w:tcPr>
          <w:p w14:paraId="7A57CD32" w14:textId="77777777" w:rsidR="00AA0745" w:rsidRPr="00D5487B" w:rsidRDefault="00AA0745" w:rsidP="00AA0745">
            <w:pPr>
              <w:pStyle w:val="TableTitle"/>
              <w:rPr>
                <w:lang w:val="fr-CA"/>
              </w:rPr>
            </w:pPr>
            <w:r w:rsidRPr="00D5487B">
              <w:rPr>
                <w:lang w:val="fr-CA"/>
              </w:rPr>
              <w:t>Activités de dotation pour des postes de durée déterminée</w:t>
            </w:r>
          </w:p>
        </w:tc>
        <w:tc>
          <w:tcPr>
            <w:tcW w:w="0" w:type="auto"/>
          </w:tcPr>
          <w:p w14:paraId="1567F1F9" w14:textId="77777777" w:rsidR="00AA0745" w:rsidRPr="00D5487B" w:rsidRDefault="00AA0745" w:rsidP="00AA0745">
            <w:pPr>
              <w:pStyle w:val="TableTitle"/>
              <w:rPr>
                <w:lang w:val="fr-CA"/>
              </w:rPr>
            </w:pPr>
            <w:r w:rsidRPr="00D5487B">
              <w:rPr>
                <w:lang w:val="fr-CA"/>
              </w:rPr>
              <w:t>Activités de dotation de durée pour les emplois occasionnels</w:t>
            </w:r>
          </w:p>
        </w:tc>
        <w:tc>
          <w:tcPr>
            <w:tcW w:w="0" w:type="auto"/>
          </w:tcPr>
          <w:p w14:paraId="4FBAAC35" w14:textId="77777777" w:rsidR="00AA0745" w:rsidRPr="00D5487B" w:rsidRDefault="00AA0745" w:rsidP="00AA0745">
            <w:pPr>
              <w:pStyle w:val="TableTitle"/>
              <w:rPr>
                <w:lang w:val="fr-CA"/>
              </w:rPr>
            </w:pPr>
            <w:r w:rsidRPr="00D5487B">
              <w:rPr>
                <w:lang w:val="fr-CA"/>
              </w:rPr>
              <w:t>Activités de dotation pour les emplois étudiants</w:t>
            </w:r>
          </w:p>
        </w:tc>
        <w:tc>
          <w:tcPr>
            <w:tcW w:w="0" w:type="auto"/>
          </w:tcPr>
          <w:p w14:paraId="476D436C" w14:textId="77777777" w:rsidR="00AA0745" w:rsidRPr="00D5487B" w:rsidRDefault="00AA0745" w:rsidP="00AA0745">
            <w:pPr>
              <w:pStyle w:val="TableTitle"/>
              <w:rPr>
                <w:lang w:val="fr-CA"/>
              </w:rPr>
            </w:pPr>
            <w:r w:rsidRPr="00D5487B">
              <w:rPr>
                <w:lang w:val="fr-CA"/>
              </w:rPr>
              <w:t>Activités de dotation totale</w:t>
            </w:r>
          </w:p>
        </w:tc>
      </w:tr>
      <w:tr w:rsidR="00AA0745" w:rsidRPr="00D5487B" w14:paraId="09F195CC" w14:textId="77777777" w:rsidTr="00AA0745">
        <w:trPr>
          <w:cantSplit/>
          <w:tblHeader/>
          <w:jc w:val="center"/>
        </w:trPr>
        <w:tc>
          <w:tcPr>
            <w:tcW w:w="0" w:type="auto"/>
          </w:tcPr>
          <w:p w14:paraId="7F8BD212" w14:textId="77777777" w:rsidR="00AA0745" w:rsidRPr="00D5487B" w:rsidRDefault="00AA0745"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2014 à 2015</w:t>
            </w:r>
          </w:p>
        </w:tc>
        <w:tc>
          <w:tcPr>
            <w:tcW w:w="0" w:type="auto"/>
          </w:tcPr>
          <w:p w14:paraId="32070522"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474</w:t>
            </w:r>
          </w:p>
        </w:tc>
        <w:tc>
          <w:tcPr>
            <w:tcW w:w="0" w:type="auto"/>
          </w:tcPr>
          <w:p w14:paraId="525CC849"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111</w:t>
            </w:r>
          </w:p>
        </w:tc>
        <w:tc>
          <w:tcPr>
            <w:tcW w:w="0" w:type="auto"/>
          </w:tcPr>
          <w:p w14:paraId="4C7C77AE"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196</w:t>
            </w:r>
          </w:p>
        </w:tc>
        <w:tc>
          <w:tcPr>
            <w:tcW w:w="0" w:type="auto"/>
          </w:tcPr>
          <w:p w14:paraId="5E081BE9"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235</w:t>
            </w:r>
          </w:p>
        </w:tc>
        <w:tc>
          <w:tcPr>
            <w:tcW w:w="0" w:type="auto"/>
          </w:tcPr>
          <w:p w14:paraId="7823A158"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1 016</w:t>
            </w:r>
          </w:p>
        </w:tc>
      </w:tr>
      <w:tr w:rsidR="00AA0745" w:rsidRPr="00D5487B" w14:paraId="612DF629" w14:textId="77777777" w:rsidTr="00AA0745">
        <w:trPr>
          <w:cantSplit/>
          <w:tblHeader/>
          <w:jc w:val="center"/>
        </w:trPr>
        <w:tc>
          <w:tcPr>
            <w:tcW w:w="0" w:type="auto"/>
          </w:tcPr>
          <w:p w14:paraId="140C6B15" w14:textId="77777777" w:rsidR="00AA0745" w:rsidRPr="00D5487B" w:rsidRDefault="00AA0745"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2015 à 2016</w:t>
            </w:r>
          </w:p>
        </w:tc>
        <w:tc>
          <w:tcPr>
            <w:tcW w:w="0" w:type="auto"/>
          </w:tcPr>
          <w:p w14:paraId="3B74D268"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460</w:t>
            </w:r>
          </w:p>
        </w:tc>
        <w:tc>
          <w:tcPr>
            <w:tcW w:w="0" w:type="auto"/>
          </w:tcPr>
          <w:p w14:paraId="0BB8A817"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83</w:t>
            </w:r>
          </w:p>
        </w:tc>
        <w:tc>
          <w:tcPr>
            <w:tcW w:w="0" w:type="auto"/>
          </w:tcPr>
          <w:p w14:paraId="461538B2"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228</w:t>
            </w:r>
          </w:p>
        </w:tc>
        <w:tc>
          <w:tcPr>
            <w:tcW w:w="0" w:type="auto"/>
          </w:tcPr>
          <w:p w14:paraId="372CE34D"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266</w:t>
            </w:r>
          </w:p>
        </w:tc>
        <w:tc>
          <w:tcPr>
            <w:tcW w:w="0" w:type="auto"/>
          </w:tcPr>
          <w:p w14:paraId="5018C442"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1 037</w:t>
            </w:r>
          </w:p>
        </w:tc>
      </w:tr>
      <w:tr w:rsidR="00AA0745" w:rsidRPr="00D5487B" w14:paraId="51A819FB" w14:textId="77777777" w:rsidTr="00AA0745">
        <w:trPr>
          <w:cantSplit/>
          <w:tblHeader/>
          <w:jc w:val="center"/>
        </w:trPr>
        <w:tc>
          <w:tcPr>
            <w:tcW w:w="0" w:type="auto"/>
          </w:tcPr>
          <w:p w14:paraId="3B496919" w14:textId="77777777" w:rsidR="00AA0745" w:rsidRPr="00D5487B" w:rsidRDefault="00AA0745"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2016 à 2017</w:t>
            </w:r>
          </w:p>
        </w:tc>
        <w:tc>
          <w:tcPr>
            <w:tcW w:w="0" w:type="auto"/>
          </w:tcPr>
          <w:p w14:paraId="0A51B4A2"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511</w:t>
            </w:r>
          </w:p>
        </w:tc>
        <w:tc>
          <w:tcPr>
            <w:tcW w:w="0" w:type="auto"/>
          </w:tcPr>
          <w:p w14:paraId="7B8B6870"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111</w:t>
            </w:r>
          </w:p>
        </w:tc>
        <w:tc>
          <w:tcPr>
            <w:tcW w:w="0" w:type="auto"/>
          </w:tcPr>
          <w:p w14:paraId="2E329CBB"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224</w:t>
            </w:r>
          </w:p>
        </w:tc>
        <w:tc>
          <w:tcPr>
            <w:tcW w:w="0" w:type="auto"/>
          </w:tcPr>
          <w:p w14:paraId="66B37824"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325</w:t>
            </w:r>
          </w:p>
        </w:tc>
        <w:tc>
          <w:tcPr>
            <w:tcW w:w="0" w:type="auto"/>
          </w:tcPr>
          <w:p w14:paraId="0E14DE7D"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1 171</w:t>
            </w:r>
          </w:p>
        </w:tc>
      </w:tr>
      <w:tr w:rsidR="00AA0745" w:rsidRPr="00D5487B" w14:paraId="161C49D7" w14:textId="77777777" w:rsidTr="00AA0745">
        <w:trPr>
          <w:cantSplit/>
          <w:tblHeader/>
          <w:jc w:val="center"/>
        </w:trPr>
        <w:tc>
          <w:tcPr>
            <w:tcW w:w="0" w:type="auto"/>
          </w:tcPr>
          <w:p w14:paraId="38F99158" w14:textId="77777777" w:rsidR="00AA0745" w:rsidRPr="00D5487B" w:rsidRDefault="00AA0745"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2017 à 2018</w:t>
            </w:r>
          </w:p>
        </w:tc>
        <w:tc>
          <w:tcPr>
            <w:tcW w:w="0" w:type="auto"/>
          </w:tcPr>
          <w:p w14:paraId="5949AAAB"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550</w:t>
            </w:r>
          </w:p>
        </w:tc>
        <w:tc>
          <w:tcPr>
            <w:tcW w:w="0" w:type="auto"/>
          </w:tcPr>
          <w:p w14:paraId="7A2549D2"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114</w:t>
            </w:r>
          </w:p>
        </w:tc>
        <w:tc>
          <w:tcPr>
            <w:tcW w:w="0" w:type="auto"/>
          </w:tcPr>
          <w:p w14:paraId="038DE61E"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204</w:t>
            </w:r>
          </w:p>
        </w:tc>
        <w:tc>
          <w:tcPr>
            <w:tcW w:w="0" w:type="auto"/>
          </w:tcPr>
          <w:p w14:paraId="75C1C4DE"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227</w:t>
            </w:r>
          </w:p>
        </w:tc>
        <w:tc>
          <w:tcPr>
            <w:tcW w:w="0" w:type="auto"/>
          </w:tcPr>
          <w:p w14:paraId="25AA6CCA"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1 095</w:t>
            </w:r>
          </w:p>
        </w:tc>
      </w:tr>
      <w:tr w:rsidR="00AA0745" w:rsidRPr="00D5487B" w14:paraId="21BB49AA" w14:textId="77777777" w:rsidTr="00AA0745">
        <w:trPr>
          <w:cantSplit/>
          <w:tblHeader/>
          <w:jc w:val="center"/>
        </w:trPr>
        <w:tc>
          <w:tcPr>
            <w:tcW w:w="0" w:type="auto"/>
          </w:tcPr>
          <w:p w14:paraId="56498962" w14:textId="77777777" w:rsidR="00AA0745" w:rsidRPr="00D5487B" w:rsidRDefault="00AA0745"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2018 à 2019</w:t>
            </w:r>
          </w:p>
        </w:tc>
        <w:tc>
          <w:tcPr>
            <w:tcW w:w="0" w:type="auto"/>
          </w:tcPr>
          <w:p w14:paraId="5E284AFE"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717</w:t>
            </w:r>
          </w:p>
        </w:tc>
        <w:tc>
          <w:tcPr>
            <w:tcW w:w="0" w:type="auto"/>
          </w:tcPr>
          <w:p w14:paraId="4AD1DCAC"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160</w:t>
            </w:r>
          </w:p>
        </w:tc>
        <w:tc>
          <w:tcPr>
            <w:tcW w:w="0" w:type="auto"/>
          </w:tcPr>
          <w:p w14:paraId="700B89A0"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253</w:t>
            </w:r>
          </w:p>
        </w:tc>
        <w:tc>
          <w:tcPr>
            <w:tcW w:w="0" w:type="auto"/>
          </w:tcPr>
          <w:p w14:paraId="05ABA27C"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253</w:t>
            </w:r>
          </w:p>
        </w:tc>
        <w:tc>
          <w:tcPr>
            <w:tcW w:w="0" w:type="auto"/>
          </w:tcPr>
          <w:p w14:paraId="24851D21" w14:textId="77777777" w:rsidR="00AA0745" w:rsidRPr="00D5487B" w:rsidRDefault="00AA0745"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1 383</w:t>
            </w:r>
          </w:p>
        </w:tc>
      </w:tr>
    </w:tbl>
    <w:p w14:paraId="414CB6D2" w14:textId="77777777" w:rsidR="00AA0745" w:rsidRPr="00D5487B" w:rsidRDefault="00AA0745" w:rsidP="00AA0745">
      <w:pPr>
        <w:contextualSpacing/>
        <w:rPr>
          <w:rStyle w:val="lev"/>
          <w:rFonts w:asciiTheme="minorHAnsi" w:hAnsiTheme="minorHAnsi" w:cstheme="minorHAnsi"/>
          <w:sz w:val="22"/>
          <w:lang w:val="fr-CA"/>
        </w:rPr>
      </w:pPr>
      <w:r w:rsidRPr="00D5487B">
        <w:rPr>
          <w:rStyle w:val="lev"/>
          <w:rFonts w:asciiTheme="minorHAnsi" w:hAnsiTheme="minorHAnsi" w:cstheme="minorHAnsi"/>
          <w:sz w:val="22"/>
          <w:lang w:val="fr-CA"/>
        </w:rPr>
        <w:t>Sondage sur la dotation et l’impartialité politique (2018) – Principales constatations</w:t>
      </w:r>
    </w:p>
    <w:p w14:paraId="370E6650" w14:textId="77777777" w:rsidR="00AA0745" w:rsidRPr="00D5487B" w:rsidRDefault="00AA0745" w:rsidP="00AA0745">
      <w:pPr>
        <w:pStyle w:val="Paragraphedeliste"/>
        <w:numPr>
          <w:ilvl w:val="0"/>
          <w:numId w:val="31"/>
        </w:numPr>
        <w:spacing w:after="0"/>
        <w:jc w:val="both"/>
        <w:rPr>
          <w:rFonts w:asciiTheme="minorHAnsi" w:hAnsiTheme="minorHAnsi" w:cstheme="minorHAnsi"/>
          <w:sz w:val="22"/>
          <w:szCs w:val="22"/>
          <w:lang w:val="fr-CA"/>
        </w:rPr>
      </w:pPr>
      <w:r w:rsidRPr="00D5487B">
        <w:rPr>
          <w:rFonts w:asciiTheme="minorHAnsi" w:hAnsiTheme="minorHAnsi" w:cstheme="minorHAnsi"/>
          <w:sz w:val="22"/>
          <w:szCs w:val="22"/>
          <w:lang w:val="fr-CA"/>
        </w:rPr>
        <w:t xml:space="preserve">59,0% des </w:t>
      </w:r>
      <w:r w:rsidRPr="00D5487B">
        <w:rPr>
          <w:rStyle w:val="lev"/>
          <w:rFonts w:asciiTheme="minorHAnsi" w:hAnsiTheme="minorHAnsi" w:cstheme="minorHAnsi"/>
          <w:sz w:val="22"/>
          <w:lang w:val="fr-CA"/>
        </w:rPr>
        <w:t>employés</w:t>
      </w:r>
      <w:r w:rsidRPr="00D5487B">
        <w:rPr>
          <w:rFonts w:asciiTheme="minorHAnsi" w:hAnsiTheme="minorHAnsi" w:cstheme="minorHAnsi"/>
          <w:sz w:val="22"/>
          <w:szCs w:val="22"/>
          <w:lang w:val="fr-CA"/>
        </w:rPr>
        <w:t xml:space="preserve"> estiment que les personnes embauchées peuvent effectuer le travail, comparativement à 52,3% dans les organisations de même taille et à 53,8% dans la fonction publique fédérale.</w:t>
      </w:r>
    </w:p>
    <w:p w14:paraId="3E77E49A" w14:textId="77777777" w:rsidR="00AA0745" w:rsidRPr="00D5487B" w:rsidRDefault="00AA0745" w:rsidP="00AA0745">
      <w:pPr>
        <w:pStyle w:val="Paragraphedeliste"/>
        <w:numPr>
          <w:ilvl w:val="0"/>
          <w:numId w:val="31"/>
        </w:numPr>
        <w:spacing w:after="0"/>
        <w:jc w:val="both"/>
        <w:rPr>
          <w:rFonts w:asciiTheme="minorHAnsi" w:hAnsiTheme="minorHAnsi" w:cstheme="minorHAnsi"/>
          <w:sz w:val="22"/>
          <w:szCs w:val="22"/>
          <w:lang w:val="fr-CA"/>
        </w:rPr>
      </w:pPr>
      <w:r w:rsidRPr="00D5487B">
        <w:rPr>
          <w:rFonts w:asciiTheme="minorHAnsi" w:hAnsiTheme="minorHAnsi" w:cstheme="minorHAnsi"/>
          <w:sz w:val="22"/>
          <w:szCs w:val="22"/>
          <w:lang w:val="fr-CA"/>
        </w:rPr>
        <w:t xml:space="preserve">56,7% des </w:t>
      </w:r>
      <w:r w:rsidRPr="00D5487B">
        <w:rPr>
          <w:rStyle w:val="lev"/>
          <w:rFonts w:asciiTheme="minorHAnsi" w:hAnsiTheme="minorHAnsi" w:cstheme="minorHAnsi"/>
          <w:sz w:val="22"/>
          <w:lang w:val="fr-CA"/>
        </w:rPr>
        <w:t>gestionnaires</w:t>
      </w:r>
      <w:r w:rsidRPr="00D5487B">
        <w:rPr>
          <w:rFonts w:asciiTheme="minorHAnsi" w:hAnsiTheme="minorHAnsi" w:cstheme="minorHAnsi"/>
          <w:sz w:val="22"/>
          <w:szCs w:val="22"/>
          <w:lang w:val="fr-CA"/>
        </w:rPr>
        <w:t xml:space="preserve"> estiment que la Nouvelle orientation en dotation a amélioré la façon d'embaucher et de nommer les candidats au sein de leur organisation, comparativement à 54,4% dans les organisations de même taille et à 56,1% dans la fonction publique fédérale.</w:t>
      </w:r>
    </w:p>
    <w:p w14:paraId="1889C41C" w14:textId="77777777" w:rsidR="00AA0745" w:rsidRPr="00D5487B" w:rsidRDefault="00AA0745" w:rsidP="00AA0745">
      <w:pPr>
        <w:pStyle w:val="Paragraphedeliste"/>
        <w:numPr>
          <w:ilvl w:val="0"/>
          <w:numId w:val="31"/>
        </w:numPr>
        <w:spacing w:after="0"/>
        <w:jc w:val="both"/>
        <w:rPr>
          <w:rFonts w:asciiTheme="minorHAnsi" w:hAnsiTheme="minorHAnsi" w:cstheme="minorHAnsi"/>
          <w:sz w:val="22"/>
          <w:szCs w:val="22"/>
          <w:lang w:val="fr-CA"/>
        </w:rPr>
      </w:pPr>
      <w:r w:rsidRPr="00D5487B">
        <w:rPr>
          <w:rFonts w:asciiTheme="minorHAnsi" w:hAnsiTheme="minorHAnsi" w:cstheme="minorHAnsi"/>
          <w:sz w:val="22"/>
          <w:szCs w:val="22"/>
          <w:lang w:val="fr-CA"/>
        </w:rPr>
        <w:t>90.5% des</w:t>
      </w:r>
      <w:r w:rsidRPr="00D5487B">
        <w:rPr>
          <w:rStyle w:val="lev"/>
          <w:rFonts w:asciiTheme="minorHAnsi" w:hAnsiTheme="minorHAnsi" w:cstheme="minorHAnsi"/>
          <w:sz w:val="22"/>
          <w:lang w:val="fr-CA"/>
        </w:rPr>
        <w:t xml:space="preserve"> gestionnaires </w:t>
      </w:r>
      <w:r w:rsidRPr="00D5487B">
        <w:rPr>
          <w:rFonts w:asciiTheme="minorHAnsi" w:hAnsiTheme="minorHAnsi" w:cstheme="minorHAnsi"/>
          <w:sz w:val="22"/>
          <w:szCs w:val="22"/>
          <w:lang w:val="fr-CA"/>
        </w:rPr>
        <w:t xml:space="preserve">estiment qu'au sein de leur organisation, le processus administratif visant à pourvoir un poste est </w:t>
      </w:r>
      <w:r w:rsidRPr="00D5487B">
        <w:rPr>
          <w:rStyle w:val="lev"/>
          <w:rFonts w:asciiTheme="minorHAnsi" w:hAnsiTheme="minorHAnsi" w:cstheme="minorHAnsi"/>
          <w:sz w:val="22"/>
          <w:lang w:val="fr-CA"/>
        </w:rPr>
        <w:t>lourd</w:t>
      </w:r>
      <w:r w:rsidRPr="00D5487B">
        <w:rPr>
          <w:rFonts w:asciiTheme="minorHAnsi" w:hAnsiTheme="minorHAnsi" w:cstheme="minorHAnsi"/>
          <w:sz w:val="22"/>
          <w:szCs w:val="22"/>
          <w:lang w:val="fr-CA"/>
        </w:rPr>
        <w:t>, comparativement à 88,6% dans les organisations de même taille et à 87,9% dans la fonction publique fédérale.</w:t>
      </w:r>
    </w:p>
    <w:p w14:paraId="6B30D424" w14:textId="77777777" w:rsidR="00D8188D" w:rsidRPr="00D8188D" w:rsidRDefault="00D8188D" w:rsidP="00D8188D">
      <w:pPr>
        <w:pStyle w:val="Titre1"/>
        <w:spacing w:before="120" w:after="120"/>
        <w:rPr>
          <w:sz w:val="40"/>
          <w:lang w:val="en-CA"/>
        </w:rPr>
      </w:pPr>
      <w:proofErr w:type="spellStart"/>
      <w:r w:rsidRPr="00D8188D">
        <w:rPr>
          <w:sz w:val="40"/>
          <w:lang w:val="en-CA"/>
        </w:rPr>
        <w:lastRenderedPageBreak/>
        <w:t>Embauche</w:t>
      </w:r>
      <w:proofErr w:type="spellEnd"/>
      <w:r w:rsidRPr="00D8188D">
        <w:rPr>
          <w:sz w:val="40"/>
          <w:lang w:val="en-CA"/>
        </w:rPr>
        <w:t xml:space="preserve"> </w:t>
      </w:r>
      <w:proofErr w:type="spellStart"/>
      <w:r w:rsidRPr="00D8188D">
        <w:rPr>
          <w:sz w:val="40"/>
          <w:lang w:val="en-CA"/>
        </w:rPr>
        <w:t>d'étudiants</w:t>
      </w:r>
      <w:proofErr w:type="spellEnd"/>
    </w:p>
    <w:p w14:paraId="5B4513A5" w14:textId="77777777" w:rsidR="00AA0745" w:rsidRPr="00D5487B" w:rsidRDefault="00D269E7" w:rsidP="00AA0745">
      <w:pPr>
        <w:pStyle w:val="Titre3"/>
        <w:jc w:val="center"/>
        <w:rPr>
          <w:lang w:val="fr-CA"/>
        </w:rPr>
      </w:pPr>
      <w:r w:rsidRPr="00D5487B">
        <w:rPr>
          <w:rStyle w:val="lev"/>
          <w:noProof/>
          <w:lang w:val="en-CA" w:eastAsia="en-CA"/>
        </w:rPr>
        <w:drawing>
          <wp:inline distT="0" distB="0" distL="0" distR="0" wp14:anchorId="4D7EAEB2" wp14:editId="4F54E4FC">
            <wp:extent cx="5648400" cy="3049200"/>
            <wp:effectExtent l="0" t="0" r="9525" b="18415"/>
            <wp:docPr id="17" name="Chart 17" descr="Figure 10 - Embauche d'étudi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200D81" w14:textId="6337193D" w:rsidR="00D269E7" w:rsidRPr="00D5487B" w:rsidRDefault="00AA0745" w:rsidP="00AA0745">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10</w:t>
      </w:r>
      <w:r w:rsidRPr="00D5487B">
        <w:rPr>
          <w:lang w:val="fr-CA"/>
        </w:rPr>
        <w:fldChar w:fldCharType="end"/>
      </w:r>
      <w:r w:rsidRPr="00D5487B">
        <w:rPr>
          <w:lang w:val="fr-CA"/>
        </w:rPr>
        <w:t xml:space="preserve"> - Embauche d'étudiants</w:t>
      </w:r>
    </w:p>
    <w:p w14:paraId="573D927F" w14:textId="55B4BB62" w:rsidR="00CA1AB3" w:rsidRPr="00D5487B" w:rsidRDefault="00CA1AB3" w:rsidP="00CA1AB3">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13</w:t>
      </w:r>
      <w:r w:rsidRPr="00D5487B">
        <w:rPr>
          <w:lang w:val="fr-CA"/>
        </w:rPr>
        <w:fldChar w:fldCharType="end"/>
      </w:r>
      <w:r w:rsidRPr="00D5487B">
        <w:rPr>
          <w:lang w:val="fr-CA"/>
        </w:rPr>
        <w:t xml:space="preserve"> - Activités d’embauche d’étudiants selon le programme de recrutement et l’exercice financier</w:t>
      </w:r>
    </w:p>
    <w:tbl>
      <w:tblPr>
        <w:tblStyle w:val="Grilledutableau"/>
        <w:tblW w:w="0" w:type="auto"/>
        <w:jc w:val="center"/>
        <w:tblLook w:val="0000" w:firstRow="0" w:lastRow="0" w:firstColumn="0" w:lastColumn="0" w:noHBand="0" w:noVBand="0"/>
        <w:tblDescription w:val="Embauches dans le cadre de programmes d'étudiants "/>
      </w:tblPr>
      <w:tblGrid>
        <w:gridCol w:w="1636"/>
        <w:gridCol w:w="3978"/>
        <w:gridCol w:w="4986"/>
        <w:gridCol w:w="3069"/>
        <w:gridCol w:w="721"/>
      </w:tblGrid>
      <w:tr w:rsidR="00CA1AB3" w:rsidRPr="00D5487B" w14:paraId="1E6AFAE3" w14:textId="77777777" w:rsidTr="00CA1AB3">
        <w:trPr>
          <w:cantSplit/>
          <w:tblHeader/>
          <w:jc w:val="center"/>
        </w:trPr>
        <w:tc>
          <w:tcPr>
            <w:tcW w:w="0" w:type="auto"/>
          </w:tcPr>
          <w:p w14:paraId="0B752664" w14:textId="77777777" w:rsidR="00CA1AB3" w:rsidRPr="00D5487B" w:rsidRDefault="00CA1AB3" w:rsidP="00CA1AB3">
            <w:pPr>
              <w:pStyle w:val="TableTitle"/>
              <w:rPr>
                <w:lang w:val="fr-CA"/>
              </w:rPr>
            </w:pPr>
            <w:r w:rsidRPr="00D5487B">
              <w:rPr>
                <w:lang w:val="fr-CA"/>
              </w:rPr>
              <w:t>Exercice financier</w:t>
            </w:r>
          </w:p>
        </w:tc>
        <w:tc>
          <w:tcPr>
            <w:tcW w:w="0" w:type="auto"/>
          </w:tcPr>
          <w:p w14:paraId="284E8992" w14:textId="77777777" w:rsidR="00CA1AB3" w:rsidRPr="00D5487B" w:rsidRDefault="00CA1AB3" w:rsidP="00CA1AB3">
            <w:pPr>
              <w:pStyle w:val="TableTitle"/>
              <w:rPr>
                <w:lang w:val="fr-CA"/>
              </w:rPr>
            </w:pPr>
            <w:r w:rsidRPr="00D5487B">
              <w:rPr>
                <w:lang w:val="fr-CA"/>
              </w:rPr>
              <w:t xml:space="preserve">Programme fédéral d’expérience de travail étudiant </w:t>
            </w:r>
          </w:p>
        </w:tc>
        <w:tc>
          <w:tcPr>
            <w:tcW w:w="0" w:type="auto"/>
          </w:tcPr>
          <w:p w14:paraId="68006534" w14:textId="77777777" w:rsidR="00CA1AB3" w:rsidRPr="00D5487B" w:rsidRDefault="00CA1AB3" w:rsidP="00CA1AB3">
            <w:pPr>
              <w:pStyle w:val="TableTitle"/>
              <w:rPr>
                <w:lang w:val="fr-CA"/>
              </w:rPr>
            </w:pPr>
            <w:r w:rsidRPr="00D5487B">
              <w:rPr>
                <w:lang w:val="fr-CA"/>
              </w:rPr>
              <w:t xml:space="preserve">Programme postsecondaire d'enseignement coopératif/de stages </w:t>
            </w:r>
          </w:p>
        </w:tc>
        <w:tc>
          <w:tcPr>
            <w:tcW w:w="0" w:type="auto"/>
          </w:tcPr>
          <w:p w14:paraId="72375A73" w14:textId="77777777" w:rsidR="00CA1AB3" w:rsidRPr="00D5487B" w:rsidRDefault="00CA1AB3" w:rsidP="00CA1AB3">
            <w:pPr>
              <w:pStyle w:val="TableTitle"/>
              <w:rPr>
                <w:lang w:val="fr-CA"/>
              </w:rPr>
            </w:pPr>
            <w:r w:rsidRPr="00D5487B">
              <w:rPr>
                <w:lang w:val="fr-CA"/>
              </w:rPr>
              <w:t>Programme des adjoints de recherche</w:t>
            </w:r>
          </w:p>
        </w:tc>
        <w:tc>
          <w:tcPr>
            <w:tcW w:w="0" w:type="auto"/>
          </w:tcPr>
          <w:p w14:paraId="5095D075" w14:textId="77777777" w:rsidR="00CA1AB3" w:rsidRPr="00D5487B" w:rsidRDefault="00CA1AB3" w:rsidP="00CA1AB3">
            <w:pPr>
              <w:pStyle w:val="TableTitle"/>
              <w:rPr>
                <w:lang w:val="fr-CA"/>
              </w:rPr>
            </w:pPr>
            <w:r w:rsidRPr="00D5487B">
              <w:rPr>
                <w:lang w:val="fr-CA"/>
              </w:rPr>
              <w:t>Total</w:t>
            </w:r>
          </w:p>
        </w:tc>
      </w:tr>
      <w:tr w:rsidR="00CA1AB3" w:rsidRPr="00D5487B" w14:paraId="6021C472" w14:textId="77777777" w:rsidTr="00CA1AB3">
        <w:trPr>
          <w:cantSplit/>
          <w:tblHeader/>
          <w:jc w:val="center"/>
        </w:trPr>
        <w:tc>
          <w:tcPr>
            <w:tcW w:w="0" w:type="auto"/>
          </w:tcPr>
          <w:p w14:paraId="09279CE7" w14:textId="77777777" w:rsidR="00CA1AB3" w:rsidRPr="00D5487B" w:rsidRDefault="00CA1AB3"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2014 à 2015</w:t>
            </w:r>
          </w:p>
        </w:tc>
        <w:tc>
          <w:tcPr>
            <w:tcW w:w="0" w:type="auto"/>
          </w:tcPr>
          <w:p w14:paraId="4FBAF381"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105</w:t>
            </w:r>
          </w:p>
        </w:tc>
        <w:tc>
          <w:tcPr>
            <w:tcW w:w="0" w:type="auto"/>
          </w:tcPr>
          <w:p w14:paraId="521C6E6F"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123</w:t>
            </w:r>
          </w:p>
        </w:tc>
        <w:tc>
          <w:tcPr>
            <w:tcW w:w="0" w:type="auto"/>
          </w:tcPr>
          <w:p w14:paraId="27C5789C"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w:t>
            </w:r>
          </w:p>
        </w:tc>
        <w:tc>
          <w:tcPr>
            <w:tcW w:w="0" w:type="auto"/>
          </w:tcPr>
          <w:p w14:paraId="5DB0BBCE"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235</w:t>
            </w:r>
          </w:p>
        </w:tc>
      </w:tr>
      <w:tr w:rsidR="00CA1AB3" w:rsidRPr="00D5487B" w14:paraId="7F5A3373" w14:textId="77777777" w:rsidTr="00CA1AB3">
        <w:trPr>
          <w:cantSplit/>
          <w:tblHeader/>
          <w:jc w:val="center"/>
        </w:trPr>
        <w:tc>
          <w:tcPr>
            <w:tcW w:w="0" w:type="auto"/>
          </w:tcPr>
          <w:p w14:paraId="0A7A37DD" w14:textId="77777777" w:rsidR="00CA1AB3" w:rsidRPr="00D5487B" w:rsidRDefault="00CA1AB3"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2015 à 2016</w:t>
            </w:r>
          </w:p>
        </w:tc>
        <w:tc>
          <w:tcPr>
            <w:tcW w:w="0" w:type="auto"/>
          </w:tcPr>
          <w:p w14:paraId="0DBDC2B9"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119</w:t>
            </w:r>
          </w:p>
        </w:tc>
        <w:tc>
          <w:tcPr>
            <w:tcW w:w="0" w:type="auto"/>
          </w:tcPr>
          <w:p w14:paraId="43E3F7D7"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142</w:t>
            </w:r>
          </w:p>
        </w:tc>
        <w:tc>
          <w:tcPr>
            <w:tcW w:w="0" w:type="auto"/>
          </w:tcPr>
          <w:p w14:paraId="1BA7DBA2"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w:t>
            </w:r>
          </w:p>
        </w:tc>
        <w:tc>
          <w:tcPr>
            <w:tcW w:w="0" w:type="auto"/>
          </w:tcPr>
          <w:p w14:paraId="11A1983E"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266</w:t>
            </w:r>
          </w:p>
        </w:tc>
      </w:tr>
      <w:tr w:rsidR="00CA1AB3" w:rsidRPr="00D5487B" w14:paraId="1CC0C8FF" w14:textId="77777777" w:rsidTr="00CA1AB3">
        <w:trPr>
          <w:cantSplit/>
          <w:tblHeader/>
          <w:jc w:val="center"/>
        </w:trPr>
        <w:tc>
          <w:tcPr>
            <w:tcW w:w="0" w:type="auto"/>
          </w:tcPr>
          <w:p w14:paraId="4274B412" w14:textId="77777777" w:rsidR="00CA1AB3" w:rsidRPr="00D5487B" w:rsidRDefault="00CA1AB3"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2016 à 2017</w:t>
            </w:r>
          </w:p>
        </w:tc>
        <w:tc>
          <w:tcPr>
            <w:tcW w:w="0" w:type="auto"/>
          </w:tcPr>
          <w:p w14:paraId="122CE298"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166</w:t>
            </w:r>
          </w:p>
        </w:tc>
        <w:tc>
          <w:tcPr>
            <w:tcW w:w="0" w:type="auto"/>
          </w:tcPr>
          <w:p w14:paraId="5EFDA2B4"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158</w:t>
            </w:r>
          </w:p>
        </w:tc>
        <w:tc>
          <w:tcPr>
            <w:tcW w:w="0" w:type="auto"/>
          </w:tcPr>
          <w:p w14:paraId="4357CA27"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c>
          <w:tcPr>
            <w:tcW w:w="0" w:type="auto"/>
          </w:tcPr>
          <w:p w14:paraId="19F31030"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325</w:t>
            </w:r>
          </w:p>
        </w:tc>
      </w:tr>
      <w:tr w:rsidR="00CA1AB3" w:rsidRPr="00D5487B" w14:paraId="5CF0DC5C" w14:textId="77777777" w:rsidTr="00CA1AB3">
        <w:trPr>
          <w:cantSplit/>
          <w:tblHeader/>
          <w:jc w:val="center"/>
        </w:trPr>
        <w:tc>
          <w:tcPr>
            <w:tcW w:w="0" w:type="auto"/>
          </w:tcPr>
          <w:p w14:paraId="2AEBA406" w14:textId="77777777" w:rsidR="00CA1AB3" w:rsidRPr="00D5487B" w:rsidRDefault="00CA1AB3"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2017 à 2018</w:t>
            </w:r>
          </w:p>
        </w:tc>
        <w:tc>
          <w:tcPr>
            <w:tcW w:w="0" w:type="auto"/>
          </w:tcPr>
          <w:p w14:paraId="2D00354D"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122</w:t>
            </w:r>
          </w:p>
        </w:tc>
        <w:tc>
          <w:tcPr>
            <w:tcW w:w="0" w:type="auto"/>
          </w:tcPr>
          <w:p w14:paraId="7C098A82"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102</w:t>
            </w:r>
          </w:p>
        </w:tc>
        <w:tc>
          <w:tcPr>
            <w:tcW w:w="0" w:type="auto"/>
          </w:tcPr>
          <w:p w14:paraId="15139EA1"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c>
          <w:tcPr>
            <w:tcW w:w="0" w:type="auto"/>
          </w:tcPr>
          <w:p w14:paraId="2CB954A4"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227</w:t>
            </w:r>
          </w:p>
        </w:tc>
      </w:tr>
      <w:tr w:rsidR="00CA1AB3" w:rsidRPr="00D5487B" w14:paraId="1A51A04C" w14:textId="77777777" w:rsidTr="00CA1AB3">
        <w:trPr>
          <w:cantSplit/>
          <w:tblHeader/>
          <w:jc w:val="center"/>
        </w:trPr>
        <w:tc>
          <w:tcPr>
            <w:tcW w:w="0" w:type="auto"/>
          </w:tcPr>
          <w:p w14:paraId="1F42ABE3" w14:textId="77777777" w:rsidR="00CA1AB3" w:rsidRPr="00D5487B" w:rsidRDefault="00CA1AB3"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2018 à 2019</w:t>
            </w:r>
          </w:p>
        </w:tc>
        <w:tc>
          <w:tcPr>
            <w:tcW w:w="0" w:type="auto"/>
          </w:tcPr>
          <w:p w14:paraId="5BC8DD9C"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144</w:t>
            </w:r>
          </w:p>
        </w:tc>
        <w:tc>
          <w:tcPr>
            <w:tcW w:w="0" w:type="auto"/>
          </w:tcPr>
          <w:p w14:paraId="43EA81B6"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106</w:t>
            </w:r>
          </w:p>
        </w:tc>
        <w:tc>
          <w:tcPr>
            <w:tcW w:w="0" w:type="auto"/>
          </w:tcPr>
          <w:p w14:paraId="167F0D5E"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c>
          <w:tcPr>
            <w:tcW w:w="0" w:type="auto"/>
          </w:tcPr>
          <w:p w14:paraId="2330985B" w14:textId="77777777" w:rsidR="00CA1AB3" w:rsidRPr="00D5487B" w:rsidRDefault="00CA1AB3"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253</w:t>
            </w:r>
          </w:p>
        </w:tc>
      </w:tr>
    </w:tbl>
    <w:p w14:paraId="1F08BD96" w14:textId="77777777" w:rsidR="00D8188D" w:rsidRPr="00D8188D" w:rsidRDefault="00D8188D" w:rsidP="00D8188D">
      <w:pPr>
        <w:pStyle w:val="Titre1"/>
        <w:spacing w:before="120" w:after="120"/>
        <w:rPr>
          <w:sz w:val="36"/>
          <w:lang w:val="fr-CA"/>
        </w:rPr>
      </w:pPr>
      <w:r w:rsidRPr="00D8188D">
        <w:rPr>
          <w:rFonts w:eastAsia="Times New Roman"/>
          <w:sz w:val="36"/>
          <w:lang w:val="fr-CA"/>
        </w:rPr>
        <w:lastRenderedPageBreak/>
        <w:t>Activités d'embauche externe pour une période indéterminée et d'une durée déterminée : Programme de recrutement postsecondaire et embauche d'anciens étudiants</w:t>
      </w:r>
    </w:p>
    <w:p w14:paraId="539168D7" w14:textId="77777777" w:rsidR="00EB0347" w:rsidRPr="00D5487B" w:rsidRDefault="00AA0745" w:rsidP="00EB0347">
      <w:pPr>
        <w:keepNext/>
        <w:jc w:val="center"/>
        <w:rPr>
          <w:lang w:val="fr-CA"/>
        </w:rPr>
      </w:pPr>
      <w:r w:rsidRPr="00D5487B">
        <w:rPr>
          <w:rStyle w:val="lev"/>
          <w:noProof/>
          <w:lang w:val="en-CA" w:eastAsia="en-CA"/>
        </w:rPr>
        <w:drawing>
          <wp:inline distT="0" distB="0" distL="0" distR="0" wp14:anchorId="25489324" wp14:editId="13BBDE23">
            <wp:extent cx="5648400" cy="3049200"/>
            <wp:effectExtent l="0" t="0" r="9525" b="18415"/>
            <wp:docPr id="8" name="Chart 8" descr="Figure 11 - Activités d'embauche externe pour une période indéterminée et d'une durée 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294A04" w14:textId="24D3DE58" w:rsidR="00AA0745" w:rsidRPr="00D5487B" w:rsidRDefault="00EB0347" w:rsidP="00EB0347">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00F92BF4" w:rsidRPr="00D5487B">
        <w:rPr>
          <w:noProof/>
          <w:lang w:val="fr-CA"/>
        </w:rPr>
        <w:t>11</w:t>
      </w:r>
      <w:r w:rsidRPr="00D5487B">
        <w:rPr>
          <w:lang w:val="fr-CA"/>
        </w:rPr>
        <w:fldChar w:fldCharType="end"/>
      </w:r>
      <w:r w:rsidRPr="00D5487B">
        <w:rPr>
          <w:lang w:val="fr-CA"/>
        </w:rPr>
        <w:t xml:space="preserve"> - Activités d'embauche externe pour une période indéterminée et d'une durée déterminée : Programme de recrutement postsecondaire et embauche d'anciens étudiants</w:t>
      </w:r>
    </w:p>
    <w:p w14:paraId="4A8D3C0C" w14:textId="2BA5990D" w:rsidR="00EB0347" w:rsidRPr="00D5487B" w:rsidRDefault="00EB0347" w:rsidP="00EB0347">
      <w:pPr>
        <w:pStyle w:val="Lgende"/>
        <w:keepNext/>
        <w:spacing w:before="240"/>
        <w:jc w:val="center"/>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14</w:t>
      </w:r>
      <w:r w:rsidRPr="00D5487B">
        <w:rPr>
          <w:lang w:val="fr-CA"/>
        </w:rPr>
        <w:fldChar w:fldCharType="end"/>
      </w:r>
      <w:r w:rsidRPr="00D5487B">
        <w:rPr>
          <w:lang w:val="fr-CA"/>
        </w:rPr>
        <w:t xml:space="preserve"> - Activités d'embauche externe pour une période indéterminée et d'une durée déterminée : Programme de recrutement postsecondaire et embauche d'anciens étudiants selon l’exercice financier</w:t>
      </w:r>
    </w:p>
    <w:tbl>
      <w:tblPr>
        <w:tblStyle w:val="Grilledutableau"/>
        <w:tblW w:w="0" w:type="auto"/>
        <w:jc w:val="center"/>
        <w:tblLook w:val="0000" w:firstRow="0" w:lastRow="0" w:firstColumn="0" w:lastColumn="0" w:noHBand="0" w:noVBand="0"/>
        <w:tblDescription w:val="Activités d'embauche externe - durée détermininée et indéterminée &#10;"/>
      </w:tblPr>
      <w:tblGrid>
        <w:gridCol w:w="1945"/>
        <w:gridCol w:w="6082"/>
        <w:gridCol w:w="3331"/>
      </w:tblGrid>
      <w:tr w:rsidR="00EB0347" w:rsidRPr="00D5487B" w14:paraId="33EE8F69" w14:textId="77777777" w:rsidTr="00EB0347">
        <w:trPr>
          <w:cantSplit/>
          <w:tblHeader/>
          <w:jc w:val="center"/>
        </w:trPr>
        <w:tc>
          <w:tcPr>
            <w:tcW w:w="0" w:type="auto"/>
          </w:tcPr>
          <w:p w14:paraId="74E27A5D" w14:textId="77777777" w:rsidR="00EB0347" w:rsidRPr="00D5487B" w:rsidRDefault="00EB0347" w:rsidP="00EB0347">
            <w:pPr>
              <w:pStyle w:val="TableTitle"/>
              <w:rPr>
                <w:lang w:val="fr-CA"/>
              </w:rPr>
            </w:pPr>
            <w:r w:rsidRPr="00D5487B">
              <w:rPr>
                <w:lang w:val="fr-CA"/>
              </w:rPr>
              <w:t>Exercice financier</w:t>
            </w:r>
          </w:p>
        </w:tc>
        <w:tc>
          <w:tcPr>
            <w:tcW w:w="0" w:type="auto"/>
          </w:tcPr>
          <w:p w14:paraId="2F7D4210" w14:textId="77777777" w:rsidR="00EB0347" w:rsidRPr="00D5487B" w:rsidRDefault="00EB0347" w:rsidP="00EB0347">
            <w:pPr>
              <w:pStyle w:val="TableTitle"/>
              <w:rPr>
                <w:lang w:val="fr-CA"/>
              </w:rPr>
            </w:pPr>
            <w:r w:rsidRPr="00D5487B">
              <w:rPr>
                <w:lang w:val="fr-CA"/>
              </w:rPr>
              <w:t>Embauches du programme de recrutement postsecondaire</w:t>
            </w:r>
          </w:p>
        </w:tc>
        <w:tc>
          <w:tcPr>
            <w:tcW w:w="0" w:type="auto"/>
          </w:tcPr>
          <w:p w14:paraId="735C3873" w14:textId="77777777" w:rsidR="00EB0347" w:rsidRPr="00D5487B" w:rsidRDefault="00EB0347" w:rsidP="00EB0347">
            <w:pPr>
              <w:pStyle w:val="TableTitle"/>
              <w:rPr>
                <w:lang w:val="fr-CA"/>
              </w:rPr>
            </w:pPr>
            <w:r w:rsidRPr="00D5487B">
              <w:rPr>
                <w:lang w:val="fr-CA"/>
              </w:rPr>
              <w:t>Embauches d’anciens étudiants</w:t>
            </w:r>
          </w:p>
        </w:tc>
      </w:tr>
      <w:tr w:rsidR="00EB0347" w:rsidRPr="00D5487B" w14:paraId="7ACA6A82" w14:textId="77777777" w:rsidTr="00EB0347">
        <w:trPr>
          <w:cantSplit/>
          <w:tblHeader/>
          <w:jc w:val="center"/>
        </w:trPr>
        <w:tc>
          <w:tcPr>
            <w:tcW w:w="0" w:type="auto"/>
          </w:tcPr>
          <w:p w14:paraId="62007DE4" w14:textId="77777777" w:rsidR="00EB0347" w:rsidRPr="00D5487B" w:rsidRDefault="00EB0347"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2014 à 2015</w:t>
            </w:r>
          </w:p>
        </w:tc>
        <w:tc>
          <w:tcPr>
            <w:tcW w:w="0" w:type="auto"/>
          </w:tcPr>
          <w:p w14:paraId="47EA905C"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w:t>
            </w:r>
          </w:p>
        </w:tc>
        <w:tc>
          <w:tcPr>
            <w:tcW w:w="0" w:type="auto"/>
          </w:tcPr>
          <w:p w14:paraId="0CB0EEEB"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51</w:t>
            </w:r>
          </w:p>
        </w:tc>
      </w:tr>
      <w:tr w:rsidR="00EB0347" w:rsidRPr="00D5487B" w14:paraId="71779F59" w14:textId="77777777" w:rsidTr="00EB0347">
        <w:trPr>
          <w:cantSplit/>
          <w:tblHeader/>
          <w:jc w:val="center"/>
        </w:trPr>
        <w:tc>
          <w:tcPr>
            <w:tcW w:w="0" w:type="auto"/>
          </w:tcPr>
          <w:p w14:paraId="426505D2" w14:textId="77777777" w:rsidR="00EB0347" w:rsidRPr="00D5487B" w:rsidRDefault="00EB0347"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2015 à 2016</w:t>
            </w:r>
          </w:p>
        </w:tc>
        <w:tc>
          <w:tcPr>
            <w:tcW w:w="0" w:type="auto"/>
          </w:tcPr>
          <w:p w14:paraId="389D2839"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w:t>
            </w:r>
          </w:p>
        </w:tc>
        <w:tc>
          <w:tcPr>
            <w:tcW w:w="0" w:type="auto"/>
          </w:tcPr>
          <w:p w14:paraId="001CF1DF"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25</w:t>
            </w:r>
          </w:p>
        </w:tc>
      </w:tr>
      <w:tr w:rsidR="00EB0347" w:rsidRPr="00D5487B" w14:paraId="522DBBFA" w14:textId="77777777" w:rsidTr="00EB0347">
        <w:trPr>
          <w:cantSplit/>
          <w:tblHeader/>
          <w:jc w:val="center"/>
        </w:trPr>
        <w:tc>
          <w:tcPr>
            <w:tcW w:w="0" w:type="auto"/>
          </w:tcPr>
          <w:p w14:paraId="1529010A" w14:textId="77777777" w:rsidR="00EB0347" w:rsidRPr="00D5487B" w:rsidRDefault="00EB0347"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2016 à 2017</w:t>
            </w:r>
          </w:p>
        </w:tc>
        <w:tc>
          <w:tcPr>
            <w:tcW w:w="0" w:type="auto"/>
          </w:tcPr>
          <w:p w14:paraId="6119871E"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w:t>
            </w:r>
          </w:p>
        </w:tc>
        <w:tc>
          <w:tcPr>
            <w:tcW w:w="0" w:type="auto"/>
          </w:tcPr>
          <w:p w14:paraId="2B61635D"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55</w:t>
            </w:r>
          </w:p>
        </w:tc>
      </w:tr>
      <w:tr w:rsidR="00EB0347" w:rsidRPr="00D5487B" w14:paraId="693AC871" w14:textId="77777777" w:rsidTr="00EB0347">
        <w:trPr>
          <w:cantSplit/>
          <w:tblHeader/>
          <w:jc w:val="center"/>
        </w:trPr>
        <w:tc>
          <w:tcPr>
            <w:tcW w:w="0" w:type="auto"/>
          </w:tcPr>
          <w:p w14:paraId="3F9153D1" w14:textId="77777777" w:rsidR="00EB0347" w:rsidRPr="00D5487B" w:rsidRDefault="00EB0347"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2017 à 2018</w:t>
            </w:r>
          </w:p>
        </w:tc>
        <w:tc>
          <w:tcPr>
            <w:tcW w:w="0" w:type="auto"/>
          </w:tcPr>
          <w:p w14:paraId="45494547"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w:t>
            </w:r>
          </w:p>
        </w:tc>
        <w:tc>
          <w:tcPr>
            <w:tcW w:w="0" w:type="auto"/>
          </w:tcPr>
          <w:p w14:paraId="26F39228"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70</w:t>
            </w:r>
          </w:p>
        </w:tc>
      </w:tr>
      <w:tr w:rsidR="00EB0347" w:rsidRPr="00D5487B" w14:paraId="28784196" w14:textId="77777777" w:rsidTr="00EB0347">
        <w:trPr>
          <w:cantSplit/>
          <w:tblHeader/>
          <w:jc w:val="center"/>
        </w:trPr>
        <w:tc>
          <w:tcPr>
            <w:tcW w:w="0" w:type="auto"/>
          </w:tcPr>
          <w:p w14:paraId="0F2894EF" w14:textId="77777777" w:rsidR="00EB0347" w:rsidRPr="00D5487B" w:rsidRDefault="00EB0347"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2018 à 2019</w:t>
            </w:r>
          </w:p>
        </w:tc>
        <w:tc>
          <w:tcPr>
            <w:tcW w:w="0" w:type="auto"/>
          </w:tcPr>
          <w:p w14:paraId="22E64E4C"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w:t>
            </w:r>
          </w:p>
        </w:tc>
        <w:tc>
          <w:tcPr>
            <w:tcW w:w="0" w:type="auto"/>
          </w:tcPr>
          <w:p w14:paraId="7856794C" w14:textId="77777777" w:rsidR="00EB0347" w:rsidRPr="00D5487B" w:rsidRDefault="00EB0347"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79</w:t>
            </w:r>
          </w:p>
        </w:tc>
      </w:tr>
    </w:tbl>
    <w:p w14:paraId="07814ACB" w14:textId="77777777" w:rsidR="00EB0347" w:rsidRPr="00D5487B" w:rsidRDefault="00EB0347" w:rsidP="00DD2BFA">
      <w:pPr>
        <w:pStyle w:val="Titre3"/>
        <w:rPr>
          <w:lang w:val="fr-CA"/>
        </w:rPr>
        <w:sectPr w:rsidR="00EB0347" w:rsidRPr="00D5487B" w:rsidSect="00F56FB7">
          <w:pgSz w:w="15840" w:h="12240" w:orient="landscape"/>
          <w:pgMar w:top="630" w:right="720" w:bottom="720" w:left="720" w:header="708" w:footer="340" w:gutter="0"/>
          <w:cols w:space="708"/>
          <w:titlePg/>
          <w:docGrid w:linePitch="360"/>
        </w:sectPr>
      </w:pPr>
    </w:p>
    <w:p w14:paraId="08CF82EF" w14:textId="4DC1046B" w:rsidR="00D8188D" w:rsidRPr="00D8188D" w:rsidRDefault="00D8188D" w:rsidP="00D8188D">
      <w:pPr>
        <w:pStyle w:val="Titre1"/>
        <w:spacing w:before="120" w:after="120"/>
        <w:rPr>
          <w:sz w:val="40"/>
          <w:lang w:val="fr-CA"/>
        </w:rPr>
      </w:pPr>
      <w:r w:rsidRPr="00D8188D">
        <w:rPr>
          <w:sz w:val="40"/>
          <w:lang w:val="fr-CA"/>
        </w:rPr>
        <w:lastRenderedPageBreak/>
        <w:t>Durée de dotation interne</w:t>
      </w:r>
    </w:p>
    <w:p w14:paraId="0DBECA94" w14:textId="31B1358E" w:rsidR="00F92BF4" w:rsidRPr="00D5487B" w:rsidRDefault="00D269E7" w:rsidP="00F92BF4">
      <w:pPr>
        <w:pStyle w:val="Titre3"/>
        <w:rPr>
          <w:lang w:val="fr-CA"/>
        </w:rPr>
      </w:pPr>
      <w:r w:rsidRPr="00D5487B">
        <w:rPr>
          <w:rStyle w:val="lev"/>
          <w:noProof/>
          <w:lang w:val="en-CA" w:eastAsia="en-CA"/>
        </w:rPr>
        <w:drawing>
          <wp:inline distT="0" distB="0" distL="0" distR="0" wp14:anchorId="12AAE933" wp14:editId="6FA14DD0">
            <wp:extent cx="5648400" cy="3049200"/>
            <wp:effectExtent l="0" t="0" r="9525" b="18415"/>
            <wp:docPr id="22" name="Chart 22" descr="Figure 12 - Durée de dotation interne Médiane pour la function publique = 176 jours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92BF4" w:rsidRPr="00D5487B">
        <w:rPr>
          <w:rStyle w:val="lev"/>
          <w:noProof/>
          <w:lang w:val="en-CA" w:eastAsia="en-CA"/>
        </w:rPr>
        <w:drawing>
          <wp:inline distT="0" distB="0" distL="0" distR="0" wp14:anchorId="76604FB1" wp14:editId="788405A8">
            <wp:extent cx="5648400" cy="3049200"/>
            <wp:effectExtent l="0" t="0" r="9525" b="18415"/>
            <wp:docPr id="23" name="Chart 23" descr="Figure 13 - Durée de dotation interne - Médiane pour Agence de la santé publique Canada = 213 jours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DB2EA40" w14:textId="632ACEA0" w:rsidR="00D269E7" w:rsidRPr="00D5487B" w:rsidRDefault="00F92BF4" w:rsidP="00F92BF4">
      <w:pPr>
        <w:pStyle w:val="Lgende"/>
        <w:tabs>
          <w:tab w:val="left" w:pos="8931"/>
        </w:tabs>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Pr="00D5487B">
        <w:rPr>
          <w:noProof/>
          <w:lang w:val="fr-CA"/>
        </w:rPr>
        <w:t>12</w:t>
      </w:r>
      <w:r w:rsidRPr="00D5487B">
        <w:rPr>
          <w:lang w:val="fr-CA"/>
        </w:rPr>
        <w:fldChar w:fldCharType="end"/>
      </w:r>
      <w:r w:rsidRPr="00D5487B">
        <w:rPr>
          <w:lang w:val="fr-CA"/>
        </w:rPr>
        <w:t xml:space="preserve"> - Durée de dotation interne Médiane pour la </w:t>
      </w:r>
      <w:proofErr w:type="spellStart"/>
      <w:r w:rsidRPr="00D5487B">
        <w:rPr>
          <w:lang w:val="fr-CA"/>
        </w:rPr>
        <w:t>function</w:t>
      </w:r>
      <w:proofErr w:type="spellEnd"/>
      <w:r w:rsidRPr="00D5487B">
        <w:rPr>
          <w:lang w:val="fr-CA"/>
        </w:rPr>
        <w:t xml:space="preserve"> publique = 176 jours 2018-2019</w:t>
      </w:r>
      <w:r w:rsidRPr="00D5487B">
        <w:rPr>
          <w:lang w:val="fr-CA"/>
        </w:rPr>
        <w:tab/>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Pr="00D5487B">
        <w:rPr>
          <w:noProof/>
          <w:lang w:val="fr-CA"/>
        </w:rPr>
        <w:t>13</w:t>
      </w:r>
      <w:r w:rsidRPr="00D5487B">
        <w:rPr>
          <w:lang w:val="fr-CA"/>
        </w:rPr>
        <w:fldChar w:fldCharType="end"/>
      </w:r>
      <w:r w:rsidRPr="00D5487B">
        <w:rPr>
          <w:lang w:val="fr-CA"/>
        </w:rPr>
        <w:t xml:space="preserve"> - Durée de dotation interne - Médiane pour Agence de la santé publique Canada = 213 jours 2018-2019</w:t>
      </w:r>
    </w:p>
    <w:p w14:paraId="0CF75ECA" w14:textId="1145D288" w:rsidR="00EB0347" w:rsidRPr="00D8188D" w:rsidRDefault="00D8188D" w:rsidP="00D8188D">
      <w:pPr>
        <w:numPr>
          <w:ilvl w:val="1"/>
          <w:numId w:val="0"/>
        </w:numPr>
        <w:spacing w:before="240" w:after="120"/>
        <w:rPr>
          <w:rStyle w:val="Lienhypertexte"/>
          <w:rFonts w:asciiTheme="minorHAnsi" w:hAnsiTheme="minorHAnsi" w:cstheme="minorHAnsi"/>
          <w:sz w:val="22"/>
          <w:lang w:val="fr-CA"/>
        </w:rPr>
      </w:pPr>
      <w:r>
        <w:rPr>
          <w:rStyle w:val="Lienhypertexte"/>
          <w:rFonts w:asciiTheme="minorHAnsi" w:eastAsiaTheme="minorHAnsi" w:hAnsiTheme="minorHAnsi" w:cstheme="minorHAnsi"/>
          <w:sz w:val="22"/>
          <w:szCs w:val="22"/>
          <w:lang w:val="fr-CA"/>
        </w:rPr>
        <w:fldChar w:fldCharType="begin"/>
      </w:r>
      <w:r>
        <w:rPr>
          <w:rStyle w:val="Lienhypertexte"/>
          <w:rFonts w:asciiTheme="minorHAnsi" w:eastAsiaTheme="minorHAnsi" w:hAnsiTheme="minorHAnsi" w:cstheme="minorHAnsi"/>
          <w:sz w:val="22"/>
          <w:szCs w:val="22"/>
          <w:lang w:val="fr-CA"/>
        </w:rPr>
        <w:instrText xml:space="preserve"> HYPERLINK  \l "Durée_dotation_interne" </w:instrText>
      </w:r>
      <w:r>
        <w:rPr>
          <w:rStyle w:val="Lienhypertexte"/>
          <w:rFonts w:asciiTheme="minorHAnsi" w:eastAsiaTheme="minorHAnsi" w:hAnsiTheme="minorHAnsi" w:cstheme="minorHAnsi"/>
          <w:sz w:val="22"/>
          <w:szCs w:val="22"/>
          <w:lang w:val="fr-CA"/>
        </w:rPr>
        <w:fldChar w:fldCharType="separate"/>
      </w:r>
      <w:r w:rsidRPr="00D8188D">
        <w:rPr>
          <w:rStyle w:val="Lienhypertexte"/>
          <w:rFonts w:asciiTheme="minorHAnsi" w:eastAsiaTheme="minorHAnsi" w:hAnsiTheme="minorHAnsi" w:cstheme="minorHAnsi"/>
          <w:sz w:val="22"/>
          <w:szCs w:val="22"/>
          <w:lang w:val="fr-CA"/>
        </w:rPr>
        <w:t>Tableau des données sur la durée de dotation interne disponible ici</w:t>
      </w:r>
      <w:r w:rsidR="00F92BF4" w:rsidRPr="00D8188D">
        <w:rPr>
          <w:rStyle w:val="Lienhypertexte"/>
          <w:rFonts w:asciiTheme="minorHAnsi" w:hAnsiTheme="minorHAnsi" w:cstheme="minorHAnsi"/>
          <w:sz w:val="22"/>
          <w:lang w:val="fr-CA"/>
        </w:rPr>
        <w:t>.</w:t>
      </w:r>
    </w:p>
    <w:p w14:paraId="027826D9" w14:textId="40254EE9" w:rsidR="00F92BF4" w:rsidRPr="00D5487B" w:rsidRDefault="00D8188D" w:rsidP="00F92BF4">
      <w:pPr>
        <w:pStyle w:val="Titre3"/>
        <w:spacing w:before="240"/>
        <w:rPr>
          <w:rFonts w:asciiTheme="minorHAnsi" w:hAnsiTheme="minorHAnsi" w:cstheme="minorHAnsi"/>
          <w:sz w:val="22"/>
          <w:szCs w:val="20"/>
          <w:lang w:val="fr-CA"/>
        </w:rPr>
        <w:sectPr w:rsidR="00F92BF4" w:rsidRPr="00D5487B" w:rsidSect="00EB0347">
          <w:pgSz w:w="20160" w:h="12240" w:orient="landscape" w:code="5"/>
          <w:pgMar w:top="630" w:right="720" w:bottom="720" w:left="720" w:header="708" w:footer="340" w:gutter="0"/>
          <w:cols w:space="708"/>
          <w:titlePg/>
          <w:docGrid w:linePitch="360"/>
        </w:sectPr>
      </w:pPr>
      <w:r>
        <w:rPr>
          <w:rStyle w:val="Lienhypertexte"/>
          <w:rFonts w:asciiTheme="minorHAnsi" w:eastAsiaTheme="minorHAnsi" w:hAnsiTheme="minorHAnsi" w:cstheme="minorHAnsi"/>
          <w:sz w:val="22"/>
          <w:szCs w:val="22"/>
          <w:lang w:val="fr-CA"/>
        </w:rPr>
        <w:fldChar w:fldCharType="end"/>
      </w:r>
    </w:p>
    <w:p w14:paraId="19D5208A" w14:textId="6230BAB9" w:rsidR="00F92BF4" w:rsidRPr="00D5487B" w:rsidRDefault="00F92BF4" w:rsidP="00C05009">
      <w:pPr>
        <w:spacing w:before="240"/>
        <w:rPr>
          <w:rFonts w:asciiTheme="minorHAnsi" w:hAnsiTheme="minorHAnsi" w:cstheme="minorHAnsi"/>
          <w:sz w:val="22"/>
          <w:lang w:val="fr-CA"/>
        </w:rPr>
      </w:pPr>
      <w:r w:rsidRPr="00D5487B">
        <w:rPr>
          <w:rFonts w:asciiTheme="minorHAnsi" w:hAnsiTheme="minorHAnsi" w:cstheme="minorHAnsi"/>
          <w:sz w:val="22"/>
          <w:lang w:val="fr-CA"/>
        </w:rPr>
        <w:t>La durée de dotation interne correspond au nombre de jours civils entre la date d'ouverture de l'annonce et la date de la première notification.</w:t>
      </w:r>
    </w:p>
    <w:p w14:paraId="08FC2DC6" w14:textId="2782F0B5" w:rsidR="00EB0347" w:rsidRPr="00D5487B" w:rsidRDefault="00F92BF4" w:rsidP="00C05009">
      <w:pPr>
        <w:spacing w:before="240" w:after="120"/>
        <w:rPr>
          <w:rStyle w:val="lev"/>
          <w:rFonts w:asciiTheme="minorHAnsi" w:hAnsiTheme="minorHAnsi" w:cstheme="minorHAnsi"/>
          <w:sz w:val="22"/>
          <w:lang w:val="fr-CA"/>
        </w:rPr>
      </w:pPr>
      <w:r w:rsidRPr="00D5487B">
        <w:rPr>
          <w:rStyle w:val="lev"/>
          <w:rFonts w:asciiTheme="minorHAnsi" w:hAnsiTheme="minorHAnsi" w:cstheme="minorHAnsi"/>
          <w:sz w:val="22"/>
          <w:lang w:val="fr-CA"/>
        </w:rPr>
        <w:br w:type="column"/>
      </w:r>
      <w:r w:rsidRPr="00D5487B">
        <w:rPr>
          <w:rStyle w:val="lev"/>
          <w:rFonts w:asciiTheme="minorHAnsi" w:hAnsiTheme="minorHAnsi" w:cstheme="minorHAnsi"/>
          <w:sz w:val="22"/>
          <w:lang w:val="fr-CA"/>
        </w:rPr>
        <w:t>Durée de dotation interne pour l’exercice financier de 2018 à 2019</w:t>
      </w:r>
    </w:p>
    <w:p w14:paraId="5C6136F0" w14:textId="06872CA5" w:rsidR="00F92BF4" w:rsidRPr="00D5487B" w:rsidRDefault="00F92BF4" w:rsidP="00C05009">
      <w:pPr>
        <w:rPr>
          <w:rFonts w:asciiTheme="minorHAnsi" w:hAnsiTheme="minorHAnsi" w:cstheme="minorHAnsi"/>
          <w:sz w:val="22"/>
          <w:szCs w:val="22"/>
          <w:lang w:val="fr-CA"/>
        </w:rPr>
      </w:pPr>
      <w:r w:rsidRPr="00D5487B">
        <w:rPr>
          <w:rFonts w:asciiTheme="minorHAnsi" w:hAnsiTheme="minorHAnsi" w:cstheme="minorHAnsi"/>
          <w:sz w:val="22"/>
          <w:szCs w:val="22"/>
          <w:lang w:val="fr-CA"/>
        </w:rPr>
        <w:t>La durée médiane de dotation interne pour la fonction publique (organisations assujetties à la Loi sur l’emploi dans la fonction publique) pour l’exercice financier 2018 à 2019 est 176 jours.</w:t>
      </w:r>
    </w:p>
    <w:p w14:paraId="30116CAD" w14:textId="77777777" w:rsidR="00F92BF4" w:rsidRPr="00D5487B" w:rsidRDefault="00F92BF4" w:rsidP="00C05009">
      <w:pPr>
        <w:spacing w:before="120"/>
        <w:rPr>
          <w:lang w:val="fr-CA"/>
        </w:rPr>
        <w:sectPr w:rsidR="00F92BF4" w:rsidRPr="00D5487B" w:rsidSect="00F92BF4">
          <w:type w:val="continuous"/>
          <w:pgSz w:w="20160" w:h="12240" w:orient="landscape" w:code="5"/>
          <w:pgMar w:top="630" w:right="720" w:bottom="720" w:left="720" w:header="708" w:footer="340" w:gutter="0"/>
          <w:cols w:num="2" w:space="708"/>
          <w:titlePg/>
          <w:docGrid w:linePitch="360"/>
        </w:sectPr>
      </w:pPr>
      <w:r w:rsidRPr="00D5487B">
        <w:rPr>
          <w:rFonts w:asciiTheme="minorHAnsi" w:hAnsiTheme="minorHAnsi" w:cstheme="minorHAnsi"/>
          <w:sz w:val="22"/>
          <w:szCs w:val="22"/>
          <w:lang w:val="fr-CA"/>
        </w:rPr>
        <w:t>La durée médiane de dotation interne pour l’Agence de santé publique du Canada pour l’exercice financier 2018 à 2019 est 213 jours</w:t>
      </w:r>
      <w:r w:rsidRPr="00D5487B">
        <w:rPr>
          <w:lang w:val="fr-CA"/>
        </w:rPr>
        <w:t>.</w:t>
      </w:r>
    </w:p>
    <w:p w14:paraId="7274190E" w14:textId="77777777" w:rsidR="00EB0347" w:rsidRPr="00D5487B" w:rsidRDefault="00EB0347" w:rsidP="00EB0347">
      <w:pPr>
        <w:rPr>
          <w:lang w:val="fr-CA"/>
        </w:rPr>
        <w:sectPr w:rsidR="00EB0347" w:rsidRPr="00D5487B" w:rsidSect="00F92BF4">
          <w:type w:val="continuous"/>
          <w:pgSz w:w="20160" w:h="12240" w:orient="landscape" w:code="5"/>
          <w:pgMar w:top="630" w:right="720" w:bottom="720" w:left="720" w:header="708" w:footer="340" w:gutter="0"/>
          <w:cols w:space="708"/>
          <w:titlePg/>
          <w:docGrid w:linePitch="360"/>
        </w:sectPr>
      </w:pPr>
    </w:p>
    <w:p w14:paraId="0C236B29" w14:textId="286D907E" w:rsidR="00D8188D" w:rsidRPr="00D8188D" w:rsidRDefault="00D8188D" w:rsidP="00D8188D">
      <w:pPr>
        <w:pStyle w:val="Titre1"/>
        <w:spacing w:before="120" w:after="120"/>
        <w:rPr>
          <w:sz w:val="40"/>
          <w:lang w:val="fr-CA"/>
        </w:rPr>
      </w:pPr>
      <w:r w:rsidRPr="00D8188D">
        <w:rPr>
          <w:sz w:val="40"/>
          <w:lang w:val="fr-CA"/>
        </w:rPr>
        <w:lastRenderedPageBreak/>
        <w:t>Durée de dotation interne</w:t>
      </w:r>
    </w:p>
    <w:p w14:paraId="124AFF7A" w14:textId="58F5AFB3" w:rsidR="00F92BF4" w:rsidRPr="00D5487B" w:rsidRDefault="00F92BF4" w:rsidP="00F92BF4">
      <w:pPr>
        <w:pStyle w:val="Lgende"/>
        <w:keepNext/>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000D2F59" w:rsidRPr="00D5487B">
        <w:rPr>
          <w:noProof/>
          <w:lang w:val="fr-CA"/>
        </w:rPr>
        <w:t>15</w:t>
      </w:r>
      <w:r w:rsidRPr="00D5487B">
        <w:rPr>
          <w:lang w:val="fr-CA"/>
        </w:rPr>
        <w:fldChar w:fldCharType="end"/>
      </w:r>
      <w:r w:rsidRPr="00D5487B">
        <w:rPr>
          <w:lang w:val="fr-CA"/>
        </w:rPr>
        <w:t xml:space="preserve"> - Durée de dotation interne</w:t>
      </w:r>
    </w:p>
    <w:tbl>
      <w:tblPr>
        <w:tblStyle w:val="Grilledutableau"/>
        <w:tblW w:w="5000" w:type="pct"/>
        <w:jc w:val="center"/>
        <w:tblLook w:val="0000" w:firstRow="0" w:lastRow="0" w:firstColumn="0" w:lastColumn="0" w:noHBand="0" w:noVBand="0"/>
        <w:tblDescription w:val="Durée des processus de dotation interne"/>
      </w:tblPr>
      <w:tblGrid>
        <w:gridCol w:w="5878"/>
        <w:gridCol w:w="8576"/>
        <w:gridCol w:w="8576"/>
      </w:tblGrid>
      <w:tr w:rsidR="00F92BF4" w:rsidRPr="00A35947" w14:paraId="57E9C072" w14:textId="77777777" w:rsidTr="00F92BF4">
        <w:trPr>
          <w:cantSplit/>
          <w:trHeight w:val="290"/>
          <w:tblHeader/>
          <w:jc w:val="center"/>
        </w:trPr>
        <w:tc>
          <w:tcPr>
            <w:tcW w:w="1276" w:type="pct"/>
          </w:tcPr>
          <w:p w14:paraId="1AA312AA" w14:textId="77777777" w:rsidR="00F92BF4" w:rsidRPr="00D5487B" w:rsidRDefault="00F92BF4" w:rsidP="00F92BF4">
            <w:pPr>
              <w:pStyle w:val="TableTitle"/>
              <w:rPr>
                <w:lang w:val="fr-CA"/>
              </w:rPr>
            </w:pPr>
            <w:bookmarkStart w:id="4" w:name="Durée_dotation_interne" w:colFirst="0" w:colLast="0"/>
            <w:r w:rsidRPr="00D5487B">
              <w:rPr>
                <w:lang w:val="fr-CA"/>
              </w:rPr>
              <w:t>Nombre de jours civils</w:t>
            </w:r>
          </w:p>
        </w:tc>
        <w:tc>
          <w:tcPr>
            <w:tcW w:w="1862" w:type="pct"/>
          </w:tcPr>
          <w:p w14:paraId="7D0FB655" w14:textId="77777777" w:rsidR="00F92BF4" w:rsidRPr="00D5487B" w:rsidRDefault="00F92BF4" w:rsidP="00F92BF4">
            <w:pPr>
              <w:pStyle w:val="TableTitle"/>
              <w:rPr>
                <w:lang w:val="fr-CA"/>
              </w:rPr>
            </w:pPr>
            <w:r w:rsidRPr="00D5487B">
              <w:rPr>
                <w:lang w:val="fr-CA"/>
              </w:rPr>
              <w:t xml:space="preserve">Le nombre de premières embauches internes dans un processus interne (durée de dotation interne) dans les organisations assujetties à la </w:t>
            </w:r>
            <w:r w:rsidRPr="00D5487B">
              <w:rPr>
                <w:i/>
                <w:lang w:val="fr-CA"/>
              </w:rPr>
              <w:t>Loi sur l’emploi dans la fonction publique</w:t>
            </w:r>
            <w:r w:rsidRPr="00D5487B">
              <w:rPr>
                <w:lang w:val="fr-CA"/>
              </w:rPr>
              <w:t>, dans le nombre de jours civils spécifié</w:t>
            </w:r>
          </w:p>
        </w:tc>
        <w:tc>
          <w:tcPr>
            <w:tcW w:w="1862" w:type="pct"/>
          </w:tcPr>
          <w:p w14:paraId="5ED2CC05" w14:textId="77777777" w:rsidR="00F92BF4" w:rsidRPr="00D5487B" w:rsidRDefault="00F92BF4" w:rsidP="00F92BF4">
            <w:pPr>
              <w:pStyle w:val="TableTitle"/>
              <w:rPr>
                <w:lang w:val="fr-CA"/>
              </w:rPr>
            </w:pPr>
            <w:r w:rsidRPr="00D5487B">
              <w:rPr>
                <w:lang w:val="fr-CA"/>
              </w:rPr>
              <w:t>Le nombre de premières embauches internes dans un processus interne (durée de dotation interne) dans l’organisation spécifiée, dans le nombre de jours civils spécifié</w:t>
            </w:r>
          </w:p>
        </w:tc>
      </w:tr>
      <w:bookmarkEnd w:id="4"/>
      <w:tr w:rsidR="00F92BF4" w:rsidRPr="00D5487B" w14:paraId="71B159FD" w14:textId="77777777" w:rsidTr="00F92BF4">
        <w:trPr>
          <w:cantSplit/>
          <w:trHeight w:val="290"/>
          <w:tblHeader/>
          <w:jc w:val="center"/>
        </w:trPr>
        <w:tc>
          <w:tcPr>
            <w:tcW w:w="1276" w:type="pct"/>
          </w:tcPr>
          <w:p w14:paraId="3D88AD15"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 jours civils</w:t>
            </w:r>
          </w:p>
        </w:tc>
        <w:tc>
          <w:tcPr>
            <w:tcW w:w="1862" w:type="pct"/>
          </w:tcPr>
          <w:p w14:paraId="3F64C609"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c>
          <w:tcPr>
            <w:tcW w:w="1862" w:type="pct"/>
          </w:tcPr>
          <w:p w14:paraId="180E2515"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7981D9BF" w14:textId="77777777" w:rsidTr="00F92BF4">
        <w:trPr>
          <w:cantSplit/>
          <w:trHeight w:val="290"/>
          <w:tblHeader/>
          <w:jc w:val="center"/>
        </w:trPr>
        <w:tc>
          <w:tcPr>
            <w:tcW w:w="1276" w:type="pct"/>
          </w:tcPr>
          <w:p w14:paraId="3BD62410"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 à 29 jours civils</w:t>
            </w:r>
          </w:p>
        </w:tc>
        <w:tc>
          <w:tcPr>
            <w:tcW w:w="1862" w:type="pct"/>
          </w:tcPr>
          <w:p w14:paraId="21325C0C"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15</w:t>
            </w:r>
          </w:p>
        </w:tc>
        <w:tc>
          <w:tcPr>
            <w:tcW w:w="1862" w:type="pct"/>
          </w:tcPr>
          <w:p w14:paraId="2401F0D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308BF4DB" w14:textId="77777777" w:rsidTr="00F92BF4">
        <w:trPr>
          <w:cantSplit/>
          <w:trHeight w:val="290"/>
          <w:tblHeader/>
          <w:jc w:val="center"/>
        </w:trPr>
        <w:tc>
          <w:tcPr>
            <w:tcW w:w="1276" w:type="pct"/>
          </w:tcPr>
          <w:p w14:paraId="058B6C93"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30 à 59 jours civils</w:t>
            </w:r>
          </w:p>
        </w:tc>
        <w:tc>
          <w:tcPr>
            <w:tcW w:w="1862" w:type="pct"/>
          </w:tcPr>
          <w:p w14:paraId="50D1045D"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130</w:t>
            </w:r>
          </w:p>
        </w:tc>
        <w:tc>
          <w:tcPr>
            <w:tcW w:w="1862" w:type="pct"/>
          </w:tcPr>
          <w:p w14:paraId="7DA15021"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759A6038" w14:textId="77777777" w:rsidTr="00F92BF4">
        <w:trPr>
          <w:cantSplit/>
          <w:trHeight w:val="290"/>
          <w:tblHeader/>
          <w:jc w:val="center"/>
        </w:trPr>
        <w:tc>
          <w:tcPr>
            <w:tcW w:w="1276" w:type="pct"/>
          </w:tcPr>
          <w:p w14:paraId="043D3A92"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60 à 89 jours civils</w:t>
            </w:r>
          </w:p>
        </w:tc>
        <w:tc>
          <w:tcPr>
            <w:tcW w:w="1862" w:type="pct"/>
          </w:tcPr>
          <w:p w14:paraId="3BFCB1AE"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277</w:t>
            </w:r>
          </w:p>
        </w:tc>
        <w:tc>
          <w:tcPr>
            <w:tcW w:w="1862" w:type="pct"/>
          </w:tcPr>
          <w:p w14:paraId="6839345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12B8CC0B" w14:textId="77777777" w:rsidTr="00F92BF4">
        <w:trPr>
          <w:cantSplit/>
          <w:trHeight w:val="290"/>
          <w:tblHeader/>
          <w:jc w:val="center"/>
        </w:trPr>
        <w:tc>
          <w:tcPr>
            <w:tcW w:w="1276" w:type="pct"/>
          </w:tcPr>
          <w:p w14:paraId="3E6A4A64"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90 à 119 jours civils</w:t>
            </w:r>
          </w:p>
        </w:tc>
        <w:tc>
          <w:tcPr>
            <w:tcW w:w="1862" w:type="pct"/>
          </w:tcPr>
          <w:p w14:paraId="0EB4B686"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391</w:t>
            </w:r>
          </w:p>
        </w:tc>
        <w:tc>
          <w:tcPr>
            <w:tcW w:w="1862" w:type="pct"/>
          </w:tcPr>
          <w:p w14:paraId="45CADE23"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w:t>
            </w:r>
          </w:p>
        </w:tc>
      </w:tr>
      <w:tr w:rsidR="00F92BF4" w:rsidRPr="00D5487B" w14:paraId="4FAA710C" w14:textId="77777777" w:rsidTr="00F92BF4">
        <w:trPr>
          <w:cantSplit/>
          <w:trHeight w:val="290"/>
          <w:tblHeader/>
          <w:jc w:val="center"/>
        </w:trPr>
        <w:tc>
          <w:tcPr>
            <w:tcW w:w="1276" w:type="pct"/>
          </w:tcPr>
          <w:p w14:paraId="567887FA"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120 à 149 jours civils</w:t>
            </w:r>
          </w:p>
        </w:tc>
        <w:tc>
          <w:tcPr>
            <w:tcW w:w="1862" w:type="pct"/>
          </w:tcPr>
          <w:p w14:paraId="690574AF"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367</w:t>
            </w:r>
          </w:p>
        </w:tc>
        <w:tc>
          <w:tcPr>
            <w:tcW w:w="1862" w:type="pct"/>
          </w:tcPr>
          <w:p w14:paraId="115A48E0"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r>
      <w:tr w:rsidR="00F92BF4" w:rsidRPr="00D5487B" w14:paraId="27B1FF57" w14:textId="77777777" w:rsidTr="00F92BF4">
        <w:trPr>
          <w:cantSplit/>
          <w:trHeight w:val="290"/>
          <w:tblHeader/>
          <w:jc w:val="center"/>
        </w:trPr>
        <w:tc>
          <w:tcPr>
            <w:tcW w:w="1276" w:type="pct"/>
          </w:tcPr>
          <w:p w14:paraId="58BFB1A0"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150 à 179 jours civils</w:t>
            </w:r>
          </w:p>
        </w:tc>
        <w:tc>
          <w:tcPr>
            <w:tcW w:w="1862" w:type="pct"/>
          </w:tcPr>
          <w:p w14:paraId="4D0E1FE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322</w:t>
            </w:r>
          </w:p>
        </w:tc>
        <w:tc>
          <w:tcPr>
            <w:tcW w:w="1862" w:type="pct"/>
          </w:tcPr>
          <w:p w14:paraId="31EB3737"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w:t>
            </w:r>
          </w:p>
        </w:tc>
      </w:tr>
      <w:tr w:rsidR="00F92BF4" w:rsidRPr="00D5487B" w14:paraId="66304E13" w14:textId="77777777" w:rsidTr="00F92BF4">
        <w:trPr>
          <w:cantSplit/>
          <w:trHeight w:val="290"/>
          <w:tblHeader/>
          <w:jc w:val="center"/>
        </w:trPr>
        <w:tc>
          <w:tcPr>
            <w:tcW w:w="1276" w:type="pct"/>
          </w:tcPr>
          <w:p w14:paraId="729D7595"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180 à 209 jours civils</w:t>
            </w:r>
          </w:p>
        </w:tc>
        <w:tc>
          <w:tcPr>
            <w:tcW w:w="1862" w:type="pct"/>
          </w:tcPr>
          <w:p w14:paraId="1DB4D230"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278</w:t>
            </w:r>
          </w:p>
        </w:tc>
        <w:tc>
          <w:tcPr>
            <w:tcW w:w="1862" w:type="pct"/>
          </w:tcPr>
          <w:p w14:paraId="3CF0350F"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w:t>
            </w:r>
          </w:p>
        </w:tc>
      </w:tr>
      <w:tr w:rsidR="00F92BF4" w:rsidRPr="00D5487B" w14:paraId="27F8A9F8" w14:textId="77777777" w:rsidTr="00F92BF4">
        <w:trPr>
          <w:cantSplit/>
          <w:trHeight w:val="290"/>
          <w:tblHeader/>
          <w:jc w:val="center"/>
        </w:trPr>
        <w:tc>
          <w:tcPr>
            <w:tcW w:w="1276" w:type="pct"/>
          </w:tcPr>
          <w:p w14:paraId="66300FA2"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210 à 239 jours civils</w:t>
            </w:r>
          </w:p>
        </w:tc>
        <w:tc>
          <w:tcPr>
            <w:tcW w:w="1862" w:type="pct"/>
          </w:tcPr>
          <w:p w14:paraId="5CD4A6CC"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241</w:t>
            </w:r>
          </w:p>
        </w:tc>
        <w:tc>
          <w:tcPr>
            <w:tcW w:w="1862" w:type="pct"/>
          </w:tcPr>
          <w:p w14:paraId="650FBDFE"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w:t>
            </w:r>
          </w:p>
        </w:tc>
      </w:tr>
      <w:tr w:rsidR="00F92BF4" w:rsidRPr="00D5487B" w14:paraId="5535ABFE" w14:textId="77777777" w:rsidTr="00F92BF4">
        <w:trPr>
          <w:cantSplit/>
          <w:trHeight w:val="290"/>
          <w:tblHeader/>
          <w:jc w:val="center"/>
        </w:trPr>
        <w:tc>
          <w:tcPr>
            <w:tcW w:w="1276" w:type="pct"/>
          </w:tcPr>
          <w:p w14:paraId="099D49C4"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240 à 269 jours civils</w:t>
            </w:r>
          </w:p>
        </w:tc>
        <w:tc>
          <w:tcPr>
            <w:tcW w:w="1862" w:type="pct"/>
          </w:tcPr>
          <w:p w14:paraId="7223A04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165</w:t>
            </w:r>
          </w:p>
        </w:tc>
        <w:tc>
          <w:tcPr>
            <w:tcW w:w="1862" w:type="pct"/>
          </w:tcPr>
          <w:p w14:paraId="5BC95102"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w:t>
            </w:r>
          </w:p>
        </w:tc>
      </w:tr>
      <w:tr w:rsidR="00F92BF4" w:rsidRPr="00D5487B" w14:paraId="02E36160" w14:textId="77777777" w:rsidTr="00F92BF4">
        <w:trPr>
          <w:cantSplit/>
          <w:trHeight w:val="290"/>
          <w:tblHeader/>
          <w:jc w:val="center"/>
        </w:trPr>
        <w:tc>
          <w:tcPr>
            <w:tcW w:w="1276" w:type="pct"/>
          </w:tcPr>
          <w:p w14:paraId="0714093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270 à 299 jours civils</w:t>
            </w:r>
          </w:p>
        </w:tc>
        <w:tc>
          <w:tcPr>
            <w:tcW w:w="1862" w:type="pct"/>
          </w:tcPr>
          <w:p w14:paraId="26B14F1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134</w:t>
            </w:r>
          </w:p>
        </w:tc>
        <w:tc>
          <w:tcPr>
            <w:tcW w:w="1862" w:type="pct"/>
          </w:tcPr>
          <w:p w14:paraId="7B338788"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w:t>
            </w:r>
          </w:p>
        </w:tc>
      </w:tr>
      <w:tr w:rsidR="00F92BF4" w:rsidRPr="00D5487B" w14:paraId="22B3555C" w14:textId="77777777" w:rsidTr="00F92BF4">
        <w:trPr>
          <w:cantSplit/>
          <w:trHeight w:val="290"/>
          <w:tblHeader/>
          <w:jc w:val="center"/>
        </w:trPr>
        <w:tc>
          <w:tcPr>
            <w:tcW w:w="1276" w:type="pct"/>
          </w:tcPr>
          <w:p w14:paraId="681B41D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300 à 329 jours civils</w:t>
            </w:r>
          </w:p>
        </w:tc>
        <w:tc>
          <w:tcPr>
            <w:tcW w:w="1862" w:type="pct"/>
          </w:tcPr>
          <w:p w14:paraId="78B8D3A1"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107</w:t>
            </w:r>
          </w:p>
        </w:tc>
        <w:tc>
          <w:tcPr>
            <w:tcW w:w="1862" w:type="pct"/>
          </w:tcPr>
          <w:p w14:paraId="659BBD20"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2D76A4CD" w14:textId="77777777" w:rsidTr="00F92BF4">
        <w:trPr>
          <w:cantSplit/>
          <w:trHeight w:val="290"/>
          <w:tblHeader/>
          <w:jc w:val="center"/>
        </w:trPr>
        <w:tc>
          <w:tcPr>
            <w:tcW w:w="1276" w:type="pct"/>
          </w:tcPr>
          <w:p w14:paraId="54DE710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330 à 359 jours civils</w:t>
            </w:r>
          </w:p>
        </w:tc>
        <w:tc>
          <w:tcPr>
            <w:tcW w:w="1862" w:type="pct"/>
          </w:tcPr>
          <w:p w14:paraId="74A2113F"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77</w:t>
            </w:r>
          </w:p>
        </w:tc>
        <w:tc>
          <w:tcPr>
            <w:tcW w:w="1862" w:type="pct"/>
          </w:tcPr>
          <w:p w14:paraId="087C8E95"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7CC51AA9" w14:textId="77777777" w:rsidTr="00F92BF4">
        <w:trPr>
          <w:cantSplit/>
          <w:trHeight w:val="290"/>
          <w:tblHeader/>
          <w:jc w:val="center"/>
        </w:trPr>
        <w:tc>
          <w:tcPr>
            <w:tcW w:w="1276" w:type="pct"/>
          </w:tcPr>
          <w:p w14:paraId="3B9D089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360 à 389 jours civils</w:t>
            </w:r>
          </w:p>
        </w:tc>
        <w:tc>
          <w:tcPr>
            <w:tcW w:w="1862" w:type="pct"/>
          </w:tcPr>
          <w:p w14:paraId="125E701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61</w:t>
            </w:r>
          </w:p>
        </w:tc>
        <w:tc>
          <w:tcPr>
            <w:tcW w:w="1862" w:type="pct"/>
          </w:tcPr>
          <w:p w14:paraId="4BFE7B18"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29E4AB48" w14:textId="77777777" w:rsidTr="00F92BF4">
        <w:trPr>
          <w:cantSplit/>
          <w:trHeight w:val="290"/>
          <w:tblHeader/>
          <w:jc w:val="center"/>
        </w:trPr>
        <w:tc>
          <w:tcPr>
            <w:tcW w:w="1276" w:type="pct"/>
          </w:tcPr>
          <w:p w14:paraId="309CC885"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390 à 419 jours civils</w:t>
            </w:r>
          </w:p>
        </w:tc>
        <w:tc>
          <w:tcPr>
            <w:tcW w:w="1862" w:type="pct"/>
          </w:tcPr>
          <w:p w14:paraId="09C56B5D"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53</w:t>
            </w:r>
          </w:p>
        </w:tc>
        <w:tc>
          <w:tcPr>
            <w:tcW w:w="1862" w:type="pct"/>
          </w:tcPr>
          <w:p w14:paraId="75B4887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w:t>
            </w:r>
          </w:p>
        </w:tc>
      </w:tr>
      <w:tr w:rsidR="00F92BF4" w:rsidRPr="00D5487B" w14:paraId="6E1FC278" w14:textId="77777777" w:rsidTr="00F92BF4">
        <w:trPr>
          <w:cantSplit/>
          <w:trHeight w:val="290"/>
          <w:tblHeader/>
          <w:jc w:val="center"/>
        </w:trPr>
        <w:tc>
          <w:tcPr>
            <w:tcW w:w="1276" w:type="pct"/>
          </w:tcPr>
          <w:p w14:paraId="448B9F7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420 à 449 jours civils</w:t>
            </w:r>
          </w:p>
        </w:tc>
        <w:tc>
          <w:tcPr>
            <w:tcW w:w="1862" w:type="pct"/>
          </w:tcPr>
          <w:p w14:paraId="3B71FF9C"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51</w:t>
            </w:r>
          </w:p>
        </w:tc>
        <w:tc>
          <w:tcPr>
            <w:tcW w:w="1862" w:type="pct"/>
          </w:tcPr>
          <w:p w14:paraId="1F67D9E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645419A9" w14:textId="77777777" w:rsidTr="00F92BF4">
        <w:trPr>
          <w:cantSplit/>
          <w:trHeight w:val="290"/>
          <w:tblHeader/>
          <w:jc w:val="center"/>
        </w:trPr>
        <w:tc>
          <w:tcPr>
            <w:tcW w:w="1276" w:type="pct"/>
          </w:tcPr>
          <w:p w14:paraId="537454FA"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450 à 479 jours civils</w:t>
            </w:r>
          </w:p>
        </w:tc>
        <w:tc>
          <w:tcPr>
            <w:tcW w:w="1862" w:type="pct"/>
          </w:tcPr>
          <w:p w14:paraId="30ECDD81"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42</w:t>
            </w:r>
          </w:p>
        </w:tc>
        <w:tc>
          <w:tcPr>
            <w:tcW w:w="1862" w:type="pct"/>
          </w:tcPr>
          <w:p w14:paraId="09FA59CF"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431AAEFA" w14:textId="77777777" w:rsidTr="00F92BF4">
        <w:trPr>
          <w:cantSplit/>
          <w:trHeight w:val="290"/>
          <w:tblHeader/>
          <w:jc w:val="center"/>
        </w:trPr>
        <w:tc>
          <w:tcPr>
            <w:tcW w:w="1276" w:type="pct"/>
          </w:tcPr>
          <w:p w14:paraId="096962D5"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480 à 509 jours civils</w:t>
            </w:r>
          </w:p>
        </w:tc>
        <w:tc>
          <w:tcPr>
            <w:tcW w:w="1862" w:type="pct"/>
          </w:tcPr>
          <w:p w14:paraId="2B013137"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40</w:t>
            </w:r>
          </w:p>
        </w:tc>
        <w:tc>
          <w:tcPr>
            <w:tcW w:w="1862" w:type="pct"/>
          </w:tcPr>
          <w:p w14:paraId="67C9C86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60A8D5BF" w14:textId="77777777" w:rsidTr="00F92BF4">
        <w:trPr>
          <w:cantSplit/>
          <w:trHeight w:val="290"/>
          <w:tblHeader/>
          <w:jc w:val="center"/>
        </w:trPr>
        <w:tc>
          <w:tcPr>
            <w:tcW w:w="1276" w:type="pct"/>
          </w:tcPr>
          <w:p w14:paraId="71B77B3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510 à 539 jours civils </w:t>
            </w:r>
          </w:p>
        </w:tc>
        <w:tc>
          <w:tcPr>
            <w:tcW w:w="1862" w:type="pct"/>
          </w:tcPr>
          <w:p w14:paraId="26FE06D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32</w:t>
            </w:r>
          </w:p>
        </w:tc>
        <w:tc>
          <w:tcPr>
            <w:tcW w:w="1862" w:type="pct"/>
          </w:tcPr>
          <w:p w14:paraId="7A59C35E"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221449F1" w14:textId="77777777" w:rsidTr="00F92BF4">
        <w:trPr>
          <w:cantSplit/>
          <w:trHeight w:val="290"/>
          <w:tblHeader/>
          <w:jc w:val="center"/>
        </w:trPr>
        <w:tc>
          <w:tcPr>
            <w:tcW w:w="1276" w:type="pct"/>
          </w:tcPr>
          <w:p w14:paraId="481CF01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540 à 569 jours civils</w:t>
            </w:r>
          </w:p>
        </w:tc>
        <w:tc>
          <w:tcPr>
            <w:tcW w:w="1862" w:type="pct"/>
          </w:tcPr>
          <w:p w14:paraId="19340EF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24</w:t>
            </w:r>
          </w:p>
        </w:tc>
        <w:tc>
          <w:tcPr>
            <w:tcW w:w="1862" w:type="pct"/>
          </w:tcPr>
          <w:p w14:paraId="7D2F7E7C"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308CF787" w14:textId="77777777" w:rsidTr="00F92BF4">
        <w:trPr>
          <w:cantSplit/>
          <w:trHeight w:val="290"/>
          <w:tblHeader/>
          <w:jc w:val="center"/>
        </w:trPr>
        <w:tc>
          <w:tcPr>
            <w:tcW w:w="1276" w:type="pct"/>
          </w:tcPr>
          <w:p w14:paraId="7F6575C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570 à 599 jours civils</w:t>
            </w:r>
          </w:p>
        </w:tc>
        <w:tc>
          <w:tcPr>
            <w:tcW w:w="1862" w:type="pct"/>
          </w:tcPr>
          <w:p w14:paraId="7264E561"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21</w:t>
            </w:r>
          </w:p>
        </w:tc>
        <w:tc>
          <w:tcPr>
            <w:tcW w:w="1862" w:type="pct"/>
          </w:tcPr>
          <w:p w14:paraId="23C0A52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1EB0298F" w14:textId="77777777" w:rsidTr="00F92BF4">
        <w:trPr>
          <w:cantSplit/>
          <w:trHeight w:val="290"/>
          <w:tblHeader/>
          <w:jc w:val="center"/>
        </w:trPr>
        <w:tc>
          <w:tcPr>
            <w:tcW w:w="1276" w:type="pct"/>
          </w:tcPr>
          <w:p w14:paraId="2B00C385"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600 à 629 jours civils</w:t>
            </w:r>
          </w:p>
        </w:tc>
        <w:tc>
          <w:tcPr>
            <w:tcW w:w="1862" w:type="pct"/>
          </w:tcPr>
          <w:p w14:paraId="5759981C"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w:t>
            </w:r>
          </w:p>
        </w:tc>
        <w:tc>
          <w:tcPr>
            <w:tcW w:w="1862" w:type="pct"/>
          </w:tcPr>
          <w:p w14:paraId="232D5F5D"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630D84A2" w14:textId="77777777" w:rsidTr="00F92BF4">
        <w:trPr>
          <w:cantSplit/>
          <w:trHeight w:val="290"/>
          <w:tblHeader/>
          <w:jc w:val="center"/>
        </w:trPr>
        <w:tc>
          <w:tcPr>
            <w:tcW w:w="1276" w:type="pct"/>
          </w:tcPr>
          <w:p w14:paraId="67372452"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630 à 659 jours civils</w:t>
            </w:r>
          </w:p>
        </w:tc>
        <w:tc>
          <w:tcPr>
            <w:tcW w:w="1862" w:type="pct"/>
          </w:tcPr>
          <w:p w14:paraId="497941A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19</w:t>
            </w:r>
          </w:p>
        </w:tc>
        <w:tc>
          <w:tcPr>
            <w:tcW w:w="1862" w:type="pct"/>
          </w:tcPr>
          <w:p w14:paraId="4BD91BD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755DDBAA" w14:textId="77777777" w:rsidTr="00F92BF4">
        <w:trPr>
          <w:cantSplit/>
          <w:trHeight w:val="290"/>
          <w:tblHeader/>
          <w:jc w:val="center"/>
        </w:trPr>
        <w:tc>
          <w:tcPr>
            <w:tcW w:w="1276" w:type="pct"/>
          </w:tcPr>
          <w:p w14:paraId="18A614E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660 à 689 jours civils</w:t>
            </w:r>
          </w:p>
        </w:tc>
        <w:tc>
          <w:tcPr>
            <w:tcW w:w="1862" w:type="pct"/>
          </w:tcPr>
          <w:p w14:paraId="367D3B96"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c>
          <w:tcPr>
            <w:tcW w:w="1862" w:type="pct"/>
          </w:tcPr>
          <w:p w14:paraId="7D63B68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24343FCB" w14:textId="77777777" w:rsidTr="00F92BF4">
        <w:trPr>
          <w:cantSplit/>
          <w:trHeight w:val="290"/>
          <w:tblHeader/>
          <w:jc w:val="center"/>
        </w:trPr>
        <w:tc>
          <w:tcPr>
            <w:tcW w:w="1276" w:type="pct"/>
          </w:tcPr>
          <w:p w14:paraId="2CC0F063"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690 à 719 jours civils</w:t>
            </w:r>
          </w:p>
        </w:tc>
        <w:tc>
          <w:tcPr>
            <w:tcW w:w="1862" w:type="pct"/>
          </w:tcPr>
          <w:p w14:paraId="00D2C189"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w:t>
            </w:r>
          </w:p>
        </w:tc>
        <w:tc>
          <w:tcPr>
            <w:tcW w:w="1862" w:type="pct"/>
          </w:tcPr>
          <w:p w14:paraId="305767C2"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01CB1C0E" w14:textId="77777777" w:rsidTr="00F92BF4">
        <w:trPr>
          <w:cantSplit/>
          <w:trHeight w:val="302"/>
          <w:tblHeader/>
          <w:jc w:val="center"/>
        </w:trPr>
        <w:tc>
          <w:tcPr>
            <w:tcW w:w="1276" w:type="pct"/>
          </w:tcPr>
          <w:p w14:paraId="03800436"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720 à 749 jours civils</w:t>
            </w:r>
          </w:p>
        </w:tc>
        <w:tc>
          <w:tcPr>
            <w:tcW w:w="1862" w:type="pct"/>
          </w:tcPr>
          <w:p w14:paraId="612E42F3"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w:t>
            </w:r>
          </w:p>
        </w:tc>
        <w:tc>
          <w:tcPr>
            <w:tcW w:w="1862" w:type="pct"/>
          </w:tcPr>
          <w:p w14:paraId="46CB56B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66E16627" w14:textId="77777777" w:rsidTr="00F92BF4">
        <w:trPr>
          <w:cantSplit/>
          <w:trHeight w:val="290"/>
          <w:tblHeader/>
          <w:jc w:val="center"/>
        </w:trPr>
        <w:tc>
          <w:tcPr>
            <w:tcW w:w="1276" w:type="pct"/>
          </w:tcPr>
          <w:p w14:paraId="67FFE993"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750 à 779 jours civils</w:t>
            </w:r>
          </w:p>
        </w:tc>
        <w:tc>
          <w:tcPr>
            <w:tcW w:w="1862" w:type="pct"/>
          </w:tcPr>
          <w:p w14:paraId="5FB097D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w:t>
            </w:r>
          </w:p>
        </w:tc>
        <w:tc>
          <w:tcPr>
            <w:tcW w:w="1862" w:type="pct"/>
          </w:tcPr>
          <w:p w14:paraId="14BE62CF"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660A04BE" w14:textId="77777777" w:rsidTr="00F92BF4">
        <w:trPr>
          <w:cantSplit/>
          <w:trHeight w:val="290"/>
          <w:tblHeader/>
          <w:jc w:val="center"/>
        </w:trPr>
        <w:tc>
          <w:tcPr>
            <w:tcW w:w="1276" w:type="pct"/>
          </w:tcPr>
          <w:p w14:paraId="7018E6E4"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780 à 809 jours civils</w:t>
            </w:r>
          </w:p>
        </w:tc>
        <w:tc>
          <w:tcPr>
            <w:tcW w:w="1862" w:type="pct"/>
          </w:tcPr>
          <w:p w14:paraId="065EBB48"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w:t>
            </w:r>
          </w:p>
        </w:tc>
        <w:tc>
          <w:tcPr>
            <w:tcW w:w="1862" w:type="pct"/>
          </w:tcPr>
          <w:p w14:paraId="7B4375C5"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77666190" w14:textId="77777777" w:rsidTr="00F92BF4">
        <w:trPr>
          <w:cantSplit/>
          <w:trHeight w:val="290"/>
          <w:tblHeader/>
          <w:jc w:val="center"/>
        </w:trPr>
        <w:tc>
          <w:tcPr>
            <w:tcW w:w="1276" w:type="pct"/>
          </w:tcPr>
          <w:p w14:paraId="2964E8B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810 à 839 jours civils</w:t>
            </w:r>
          </w:p>
        </w:tc>
        <w:tc>
          <w:tcPr>
            <w:tcW w:w="1862" w:type="pct"/>
          </w:tcPr>
          <w:p w14:paraId="1F412381"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w:t>
            </w:r>
          </w:p>
        </w:tc>
        <w:tc>
          <w:tcPr>
            <w:tcW w:w="1862" w:type="pct"/>
          </w:tcPr>
          <w:p w14:paraId="20FBCFF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22066BAC" w14:textId="77777777" w:rsidTr="00F92BF4">
        <w:trPr>
          <w:cantSplit/>
          <w:trHeight w:val="290"/>
          <w:tblHeader/>
          <w:jc w:val="center"/>
        </w:trPr>
        <w:tc>
          <w:tcPr>
            <w:tcW w:w="1276" w:type="pct"/>
          </w:tcPr>
          <w:p w14:paraId="2DB9D6E9"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840 à 869 jours civils</w:t>
            </w:r>
          </w:p>
        </w:tc>
        <w:tc>
          <w:tcPr>
            <w:tcW w:w="1862" w:type="pct"/>
          </w:tcPr>
          <w:p w14:paraId="4D767D63"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10</w:t>
            </w:r>
          </w:p>
        </w:tc>
        <w:tc>
          <w:tcPr>
            <w:tcW w:w="1862" w:type="pct"/>
          </w:tcPr>
          <w:p w14:paraId="55B52983"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6F565BCB" w14:textId="77777777" w:rsidTr="00F92BF4">
        <w:trPr>
          <w:cantSplit/>
          <w:trHeight w:val="290"/>
          <w:tblHeader/>
          <w:jc w:val="center"/>
        </w:trPr>
        <w:tc>
          <w:tcPr>
            <w:tcW w:w="1276" w:type="pct"/>
          </w:tcPr>
          <w:p w14:paraId="6B5D5A3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870 à 899 jours civils</w:t>
            </w:r>
          </w:p>
        </w:tc>
        <w:tc>
          <w:tcPr>
            <w:tcW w:w="1862" w:type="pct"/>
          </w:tcPr>
          <w:p w14:paraId="775B84D6"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w:t>
            </w:r>
          </w:p>
        </w:tc>
        <w:tc>
          <w:tcPr>
            <w:tcW w:w="1862" w:type="pct"/>
          </w:tcPr>
          <w:p w14:paraId="0D040C3E"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7FAACD7B" w14:textId="77777777" w:rsidTr="00F92BF4">
        <w:trPr>
          <w:cantSplit/>
          <w:trHeight w:val="290"/>
          <w:tblHeader/>
          <w:jc w:val="center"/>
        </w:trPr>
        <w:tc>
          <w:tcPr>
            <w:tcW w:w="1276" w:type="pct"/>
          </w:tcPr>
          <w:p w14:paraId="5F0C809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900 à 929 jours civils</w:t>
            </w:r>
          </w:p>
        </w:tc>
        <w:tc>
          <w:tcPr>
            <w:tcW w:w="1862" w:type="pct"/>
          </w:tcPr>
          <w:p w14:paraId="7DAD2465"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w:t>
            </w:r>
          </w:p>
        </w:tc>
        <w:tc>
          <w:tcPr>
            <w:tcW w:w="1862" w:type="pct"/>
          </w:tcPr>
          <w:p w14:paraId="765A423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F92BF4" w:rsidRPr="00D5487B" w14:paraId="56FCD2B6" w14:textId="77777777" w:rsidTr="00F92BF4">
        <w:trPr>
          <w:cantSplit/>
          <w:trHeight w:val="290"/>
          <w:tblHeader/>
          <w:jc w:val="center"/>
        </w:trPr>
        <w:tc>
          <w:tcPr>
            <w:tcW w:w="1276" w:type="pct"/>
          </w:tcPr>
          <w:p w14:paraId="5699ECFB"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930 à 959 jours civils</w:t>
            </w:r>
          </w:p>
        </w:tc>
        <w:tc>
          <w:tcPr>
            <w:tcW w:w="1862" w:type="pct"/>
          </w:tcPr>
          <w:p w14:paraId="6A25386A"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w:t>
            </w:r>
          </w:p>
        </w:tc>
        <w:tc>
          <w:tcPr>
            <w:tcW w:w="1862" w:type="pct"/>
          </w:tcPr>
          <w:p w14:paraId="30F2358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2ADDEEF4" w14:textId="77777777" w:rsidTr="00F92BF4">
        <w:trPr>
          <w:cantSplit/>
          <w:trHeight w:val="290"/>
          <w:tblHeader/>
          <w:jc w:val="center"/>
        </w:trPr>
        <w:tc>
          <w:tcPr>
            <w:tcW w:w="1276" w:type="pct"/>
          </w:tcPr>
          <w:p w14:paraId="3C2C7951"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960 à 989 jours civils</w:t>
            </w:r>
          </w:p>
        </w:tc>
        <w:tc>
          <w:tcPr>
            <w:tcW w:w="1862" w:type="pct"/>
          </w:tcPr>
          <w:p w14:paraId="1136F32B"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c>
          <w:tcPr>
            <w:tcW w:w="1862" w:type="pct"/>
          </w:tcPr>
          <w:p w14:paraId="041B6AD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F92BF4" w:rsidRPr="00D5487B" w14:paraId="5154F2BD" w14:textId="77777777" w:rsidTr="00F92BF4">
        <w:trPr>
          <w:cantSplit/>
          <w:trHeight w:val="290"/>
          <w:tblHeader/>
          <w:jc w:val="center"/>
        </w:trPr>
        <w:tc>
          <w:tcPr>
            <w:tcW w:w="1276" w:type="pct"/>
          </w:tcPr>
          <w:p w14:paraId="1F24D95D" w14:textId="77777777" w:rsidR="00F92BF4" w:rsidRPr="00D5487B" w:rsidRDefault="00F92BF4"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Plus de 990 jours civils</w:t>
            </w:r>
          </w:p>
        </w:tc>
        <w:tc>
          <w:tcPr>
            <w:tcW w:w="1862" w:type="pct"/>
          </w:tcPr>
          <w:p w14:paraId="63B38CA4"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23</w:t>
            </w:r>
          </w:p>
        </w:tc>
        <w:tc>
          <w:tcPr>
            <w:tcW w:w="1862" w:type="pct"/>
          </w:tcPr>
          <w:p w14:paraId="7A2750D5" w14:textId="77777777" w:rsidR="00F92BF4" w:rsidRPr="00D5487B" w:rsidRDefault="00F92BF4"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bl>
    <w:p w14:paraId="23FA534E" w14:textId="77777777" w:rsidR="00F92BF4" w:rsidRPr="00D5487B" w:rsidRDefault="00F92BF4" w:rsidP="00EB0347">
      <w:pPr>
        <w:rPr>
          <w:lang w:val="fr-CA"/>
        </w:rPr>
        <w:sectPr w:rsidR="00F92BF4" w:rsidRPr="00D5487B" w:rsidSect="00F92BF4">
          <w:pgSz w:w="24480" w:h="15840" w:orient="landscape" w:code="3"/>
          <w:pgMar w:top="630" w:right="720" w:bottom="720" w:left="720" w:header="708" w:footer="340" w:gutter="0"/>
          <w:cols w:space="708"/>
          <w:titlePg/>
          <w:docGrid w:linePitch="360"/>
        </w:sectPr>
      </w:pPr>
    </w:p>
    <w:p w14:paraId="0E4D09D1" w14:textId="6E0098CC" w:rsidR="00D8188D" w:rsidRPr="00D8188D" w:rsidRDefault="00D8188D" w:rsidP="00D8188D">
      <w:pPr>
        <w:pStyle w:val="Titre1"/>
        <w:spacing w:before="120" w:after="120"/>
        <w:rPr>
          <w:sz w:val="40"/>
          <w:lang w:val="fr-CA"/>
        </w:rPr>
      </w:pPr>
      <w:r w:rsidRPr="00D8188D">
        <w:rPr>
          <w:sz w:val="40"/>
          <w:lang w:val="fr-CA"/>
        </w:rPr>
        <w:lastRenderedPageBreak/>
        <w:t>Durée de dotation externe</w:t>
      </w:r>
    </w:p>
    <w:p w14:paraId="4F921AAC" w14:textId="77777777" w:rsidR="00F92BF4" w:rsidRPr="00D5487B" w:rsidRDefault="00EB0347" w:rsidP="00F92BF4">
      <w:pPr>
        <w:keepNext/>
        <w:jc w:val="center"/>
        <w:rPr>
          <w:lang w:val="fr-CA"/>
        </w:rPr>
      </w:pPr>
      <w:r w:rsidRPr="00D5487B">
        <w:rPr>
          <w:rStyle w:val="lev"/>
          <w:noProof/>
          <w:lang w:val="en-CA" w:eastAsia="en-CA"/>
        </w:rPr>
        <w:drawing>
          <wp:inline distT="0" distB="0" distL="0" distR="0" wp14:anchorId="2C24B077" wp14:editId="67AD43AA">
            <wp:extent cx="5648400" cy="3049200"/>
            <wp:effectExtent l="0" t="0" r="9525" b="18415"/>
            <wp:docPr id="21" name="Chart 21" descr="Figure 14 - Durée de dotation externe Médiane pour la function publique = 186 jours 2018-2019&#10;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479E75" w14:textId="629AA269" w:rsidR="00EB0347" w:rsidRPr="00D5487B" w:rsidRDefault="00F92BF4" w:rsidP="00F92BF4">
      <w:pPr>
        <w:pStyle w:val="Lgende"/>
        <w:jc w:val="center"/>
        <w:rPr>
          <w:lang w:val="fr-CA"/>
        </w:rPr>
      </w:pPr>
      <w:r w:rsidRPr="00D5487B">
        <w:rPr>
          <w:lang w:val="fr-CA"/>
        </w:rPr>
        <w:t xml:space="preserve">Figure </w:t>
      </w:r>
      <w:r w:rsidRPr="00D5487B">
        <w:rPr>
          <w:lang w:val="fr-CA"/>
        </w:rPr>
        <w:fldChar w:fldCharType="begin"/>
      </w:r>
      <w:r w:rsidRPr="00D5487B">
        <w:rPr>
          <w:lang w:val="fr-CA"/>
        </w:rPr>
        <w:instrText xml:space="preserve"> SEQ Figure \* ARABIC </w:instrText>
      </w:r>
      <w:r w:rsidRPr="00D5487B">
        <w:rPr>
          <w:lang w:val="fr-CA"/>
        </w:rPr>
        <w:fldChar w:fldCharType="separate"/>
      </w:r>
      <w:r w:rsidRPr="00D5487B">
        <w:rPr>
          <w:noProof/>
          <w:lang w:val="fr-CA"/>
        </w:rPr>
        <w:t>14</w:t>
      </w:r>
      <w:r w:rsidRPr="00D5487B">
        <w:rPr>
          <w:lang w:val="fr-CA"/>
        </w:rPr>
        <w:fldChar w:fldCharType="end"/>
      </w:r>
      <w:r w:rsidRPr="00D5487B">
        <w:rPr>
          <w:lang w:val="fr-CA"/>
        </w:rPr>
        <w:t xml:space="preserve"> - Durée de dotation externe Médiane pour la </w:t>
      </w:r>
      <w:proofErr w:type="spellStart"/>
      <w:r w:rsidRPr="00D5487B">
        <w:rPr>
          <w:lang w:val="fr-CA"/>
        </w:rPr>
        <w:t>function</w:t>
      </w:r>
      <w:proofErr w:type="spellEnd"/>
      <w:r w:rsidRPr="00D5487B">
        <w:rPr>
          <w:lang w:val="fr-CA"/>
        </w:rPr>
        <w:t xml:space="preserve"> publique = 186 jours 2018-2019</w:t>
      </w:r>
    </w:p>
    <w:p w14:paraId="671AD06E" w14:textId="77777777" w:rsidR="00F92BF4" w:rsidRPr="00D5487B" w:rsidRDefault="00F92BF4" w:rsidP="00F92BF4">
      <w:pPr>
        <w:rPr>
          <w:rStyle w:val="lev"/>
          <w:rFonts w:asciiTheme="minorHAnsi" w:hAnsiTheme="minorHAnsi" w:cstheme="minorHAnsi"/>
          <w:sz w:val="22"/>
          <w:lang w:val="fr-CA"/>
        </w:rPr>
        <w:sectPr w:rsidR="00F92BF4" w:rsidRPr="00D5487B" w:rsidSect="00011B85">
          <w:headerReference w:type="default" r:id="rId29"/>
          <w:footerReference w:type="even" r:id="rId30"/>
          <w:footerReference w:type="default" r:id="rId31"/>
          <w:pgSz w:w="15840" w:h="12240" w:orient="landscape"/>
          <w:pgMar w:top="720" w:right="720" w:bottom="720" w:left="1276" w:header="708" w:footer="283" w:gutter="0"/>
          <w:cols w:space="708"/>
          <w:docGrid w:linePitch="360"/>
        </w:sectPr>
      </w:pPr>
    </w:p>
    <w:p w14:paraId="001E048C" w14:textId="6ABCC2D3" w:rsidR="000D2F59" w:rsidRPr="00D8188D" w:rsidRDefault="00D8188D" w:rsidP="00D8188D">
      <w:pPr>
        <w:spacing w:before="240" w:after="160"/>
        <w:rPr>
          <w:rStyle w:val="Lienhypertexte"/>
          <w:rFonts w:asciiTheme="minorHAnsi" w:hAnsiTheme="minorHAnsi" w:cstheme="minorHAnsi"/>
          <w:sz w:val="22"/>
          <w:lang w:val="fr-CA"/>
        </w:rPr>
      </w:pPr>
      <w:r>
        <w:rPr>
          <w:rStyle w:val="Lienhypertexte"/>
          <w:rFonts w:asciiTheme="minorHAnsi" w:eastAsiaTheme="minorHAnsi" w:hAnsiTheme="minorHAnsi" w:cstheme="minorHAnsi"/>
          <w:sz w:val="22"/>
          <w:szCs w:val="22"/>
          <w:lang w:val="fr-CA"/>
        </w:rPr>
        <w:fldChar w:fldCharType="begin"/>
      </w:r>
      <w:r>
        <w:rPr>
          <w:rStyle w:val="Lienhypertexte"/>
          <w:rFonts w:asciiTheme="minorHAnsi" w:eastAsiaTheme="minorHAnsi" w:hAnsiTheme="minorHAnsi" w:cstheme="minorHAnsi"/>
          <w:sz w:val="22"/>
          <w:szCs w:val="22"/>
          <w:lang w:val="fr-CA"/>
        </w:rPr>
        <w:instrText xml:space="preserve"> HYPERLINK  \l "Durée_dotation_externe" </w:instrText>
      </w:r>
      <w:r>
        <w:rPr>
          <w:rStyle w:val="Lienhypertexte"/>
          <w:rFonts w:asciiTheme="minorHAnsi" w:eastAsiaTheme="minorHAnsi" w:hAnsiTheme="minorHAnsi" w:cstheme="minorHAnsi"/>
          <w:sz w:val="22"/>
          <w:szCs w:val="22"/>
          <w:lang w:val="fr-CA"/>
        </w:rPr>
        <w:fldChar w:fldCharType="separate"/>
      </w:r>
      <w:r w:rsidRPr="00D8188D">
        <w:rPr>
          <w:rStyle w:val="Lienhypertexte"/>
          <w:rFonts w:asciiTheme="minorHAnsi" w:eastAsiaTheme="minorHAnsi" w:hAnsiTheme="minorHAnsi" w:cstheme="minorHAnsi"/>
          <w:sz w:val="22"/>
          <w:szCs w:val="22"/>
          <w:lang w:val="fr-CA"/>
        </w:rPr>
        <w:t>Tableau des données sur la durée de dotation externe disponible ici.</w:t>
      </w:r>
    </w:p>
    <w:p w14:paraId="345F762A" w14:textId="780042D4" w:rsidR="000D2F59" w:rsidRPr="00D5487B" w:rsidRDefault="00D8188D" w:rsidP="00F92BF4">
      <w:pPr>
        <w:spacing w:before="240" w:after="120"/>
        <w:rPr>
          <w:rStyle w:val="lev"/>
          <w:rFonts w:asciiTheme="minorHAnsi" w:hAnsiTheme="minorHAnsi" w:cstheme="minorHAnsi"/>
          <w:sz w:val="22"/>
          <w:lang w:val="fr-CA"/>
        </w:rPr>
        <w:sectPr w:rsidR="000D2F59" w:rsidRPr="00D5487B" w:rsidSect="00F92BF4">
          <w:type w:val="continuous"/>
          <w:pgSz w:w="15840" w:h="12240" w:orient="landscape"/>
          <w:pgMar w:top="720" w:right="720" w:bottom="720" w:left="1276" w:header="708" w:footer="708" w:gutter="0"/>
          <w:cols w:space="708"/>
          <w:docGrid w:linePitch="360"/>
        </w:sectPr>
      </w:pPr>
      <w:r>
        <w:rPr>
          <w:rStyle w:val="Lienhypertexte"/>
          <w:rFonts w:asciiTheme="minorHAnsi" w:eastAsiaTheme="minorHAnsi" w:hAnsiTheme="minorHAnsi" w:cstheme="minorHAnsi"/>
          <w:sz w:val="22"/>
          <w:szCs w:val="22"/>
          <w:lang w:val="fr-CA"/>
        </w:rPr>
        <w:fldChar w:fldCharType="end"/>
      </w:r>
    </w:p>
    <w:p w14:paraId="5E2120E9" w14:textId="433070AD" w:rsidR="00F92BF4" w:rsidRPr="00D5487B" w:rsidRDefault="00F92BF4" w:rsidP="00B041F6">
      <w:pPr>
        <w:spacing w:before="120" w:after="120"/>
        <w:rPr>
          <w:rStyle w:val="lev"/>
          <w:rFonts w:asciiTheme="minorHAnsi" w:hAnsiTheme="minorHAnsi" w:cstheme="minorHAnsi"/>
          <w:sz w:val="22"/>
          <w:lang w:val="fr-CA"/>
        </w:rPr>
      </w:pPr>
      <w:r w:rsidRPr="00D5487B">
        <w:rPr>
          <w:rStyle w:val="lev"/>
          <w:rFonts w:asciiTheme="minorHAnsi" w:hAnsiTheme="minorHAnsi" w:cstheme="minorHAnsi"/>
          <w:sz w:val="22"/>
          <w:lang w:val="fr-CA"/>
        </w:rPr>
        <w:t>Durée de dotation externe</w:t>
      </w:r>
    </w:p>
    <w:p w14:paraId="63F25458" w14:textId="1493506C" w:rsidR="00F92BF4" w:rsidRPr="00D5487B" w:rsidRDefault="00F92BF4" w:rsidP="00C05009">
      <w:pPr>
        <w:rPr>
          <w:rFonts w:asciiTheme="minorHAnsi" w:hAnsiTheme="minorHAnsi" w:cstheme="minorHAnsi"/>
          <w:sz w:val="22"/>
          <w:lang w:val="fr-CA"/>
        </w:rPr>
      </w:pPr>
      <w:r w:rsidRPr="00D5487B">
        <w:rPr>
          <w:rFonts w:asciiTheme="minorHAnsi" w:hAnsiTheme="minorHAnsi" w:cstheme="minorHAnsi"/>
          <w:sz w:val="22"/>
          <w:lang w:val="fr-CA"/>
        </w:rPr>
        <w:t>Les données sont insuffisantes pour fournir des résultats sur la durée des processus de dotation externe pour l’agence de la santé publique du Canada.</w:t>
      </w:r>
    </w:p>
    <w:p w14:paraId="515465CC" w14:textId="77777777" w:rsidR="00F92BF4" w:rsidRPr="00D5487B" w:rsidRDefault="00D269E7" w:rsidP="00C05009">
      <w:pPr>
        <w:spacing w:before="120"/>
        <w:rPr>
          <w:rFonts w:asciiTheme="minorHAnsi" w:hAnsiTheme="minorHAnsi" w:cstheme="minorHAnsi"/>
          <w:sz w:val="22"/>
          <w:lang w:val="fr-CA"/>
        </w:rPr>
      </w:pPr>
      <w:r w:rsidRPr="00D5487B">
        <w:rPr>
          <w:rFonts w:asciiTheme="minorHAnsi" w:hAnsiTheme="minorHAnsi" w:cstheme="minorHAnsi"/>
          <w:sz w:val="22"/>
          <w:lang w:val="fr-CA"/>
        </w:rPr>
        <w:t>La durée de dotation externe est calculée en tant que le nombre de jours civils entre la date d’ouverture de l’annonce et la date estimée de la première embauche externe.</w:t>
      </w:r>
    </w:p>
    <w:p w14:paraId="44AEA6F4" w14:textId="4D44F084" w:rsidR="00F92BF4" w:rsidRPr="00D5487B" w:rsidRDefault="000D2F59" w:rsidP="000D2F59">
      <w:pPr>
        <w:spacing w:before="120" w:after="120"/>
        <w:rPr>
          <w:rStyle w:val="lev"/>
          <w:rFonts w:asciiTheme="minorHAnsi" w:hAnsiTheme="minorHAnsi" w:cstheme="minorHAnsi"/>
          <w:sz w:val="22"/>
          <w:lang w:val="fr-CA"/>
        </w:rPr>
      </w:pPr>
      <w:r w:rsidRPr="00D5487B">
        <w:rPr>
          <w:rStyle w:val="lev"/>
          <w:rFonts w:asciiTheme="minorHAnsi" w:hAnsiTheme="minorHAnsi" w:cstheme="minorHAnsi"/>
          <w:sz w:val="22"/>
          <w:lang w:val="fr-CA"/>
        </w:rPr>
        <w:br w:type="column"/>
      </w:r>
      <w:r w:rsidR="00F92BF4" w:rsidRPr="00D5487B">
        <w:rPr>
          <w:rStyle w:val="lev"/>
          <w:rFonts w:asciiTheme="minorHAnsi" w:hAnsiTheme="minorHAnsi" w:cstheme="minorHAnsi"/>
          <w:sz w:val="22"/>
          <w:lang w:val="fr-CA"/>
        </w:rPr>
        <w:t>Durée de dotation externe pour l’exercice financier 2018 à 2019</w:t>
      </w:r>
    </w:p>
    <w:p w14:paraId="163A561D" w14:textId="728104D7" w:rsidR="00F92BF4" w:rsidRPr="00D5487B" w:rsidRDefault="00F92BF4" w:rsidP="00C05009">
      <w:pPr>
        <w:rPr>
          <w:rFonts w:asciiTheme="minorHAnsi" w:hAnsiTheme="minorHAnsi" w:cstheme="minorHAnsi"/>
          <w:sz w:val="22"/>
          <w:lang w:val="fr-CA"/>
        </w:rPr>
      </w:pPr>
      <w:r w:rsidRPr="00D5487B">
        <w:rPr>
          <w:rFonts w:asciiTheme="minorHAnsi" w:hAnsiTheme="minorHAnsi" w:cstheme="minorHAnsi"/>
          <w:sz w:val="22"/>
          <w:lang w:val="fr-CA"/>
        </w:rPr>
        <w:t>La durée médiane de dotation externe pour la fonction publique (organisations assujetties à la Loi sur l’emploi dans la fonction publiques (LEFP)) pour l’exercice financier 2018 à 2019 est 186 jours.</w:t>
      </w:r>
    </w:p>
    <w:p w14:paraId="0B187315" w14:textId="6D28F70F" w:rsidR="00F92BF4" w:rsidRPr="00D5487B" w:rsidRDefault="00F92BF4" w:rsidP="00C05009">
      <w:pPr>
        <w:spacing w:before="120"/>
        <w:rPr>
          <w:rStyle w:val="lev"/>
          <w:b w:val="0"/>
          <w:sz w:val="22"/>
          <w:lang w:val="fr-CA"/>
        </w:rPr>
        <w:sectPr w:rsidR="00F92BF4" w:rsidRPr="00D5487B" w:rsidSect="000D2F59">
          <w:type w:val="continuous"/>
          <w:pgSz w:w="15840" w:h="12240" w:orient="landscape"/>
          <w:pgMar w:top="720" w:right="720" w:bottom="720" w:left="1276" w:header="708" w:footer="708" w:gutter="0"/>
          <w:cols w:num="2" w:space="708"/>
          <w:docGrid w:linePitch="360"/>
        </w:sectPr>
      </w:pPr>
      <w:r w:rsidRPr="00D5487B">
        <w:rPr>
          <w:rFonts w:asciiTheme="minorHAnsi" w:hAnsiTheme="minorHAnsi" w:cstheme="minorHAnsi"/>
          <w:sz w:val="22"/>
          <w:lang w:val="fr-CA"/>
        </w:rPr>
        <w:t>Les données sont insuffisantes pour fournir des résultats sur la durée des processus de dotation ext</w:t>
      </w:r>
      <w:r w:rsidR="00C05009" w:rsidRPr="00D5487B">
        <w:rPr>
          <w:rFonts w:asciiTheme="minorHAnsi" w:hAnsiTheme="minorHAnsi" w:cstheme="minorHAnsi"/>
          <w:sz w:val="22"/>
          <w:lang w:val="fr-CA"/>
        </w:rPr>
        <w:t xml:space="preserve">erne pour l’Agence de la santé </w:t>
      </w:r>
      <w:r w:rsidRPr="00D5487B">
        <w:rPr>
          <w:rFonts w:asciiTheme="minorHAnsi" w:hAnsiTheme="minorHAnsi" w:cstheme="minorHAnsi"/>
          <w:sz w:val="22"/>
          <w:lang w:val="fr-CA"/>
        </w:rPr>
        <w:t>publique du Canada</w:t>
      </w:r>
      <w:r w:rsidRPr="00D5487B">
        <w:rPr>
          <w:lang w:val="fr-CA"/>
        </w:rPr>
        <w:t>.</w:t>
      </w:r>
    </w:p>
    <w:p w14:paraId="668AF6D6" w14:textId="2AD1E1F1" w:rsidR="00FF0953" w:rsidRPr="00557C45" w:rsidRDefault="00FF0953" w:rsidP="00FF0953">
      <w:pPr>
        <w:pStyle w:val="Titre1"/>
        <w:spacing w:before="120" w:after="120"/>
        <w:rPr>
          <w:sz w:val="40"/>
          <w:lang w:val="fr-CA"/>
        </w:rPr>
      </w:pPr>
      <w:r w:rsidRPr="00557C45">
        <w:rPr>
          <w:sz w:val="40"/>
          <w:lang w:val="fr-CA"/>
        </w:rPr>
        <w:lastRenderedPageBreak/>
        <w:t>Durée de dotation externe</w:t>
      </w:r>
    </w:p>
    <w:p w14:paraId="4C5508F2" w14:textId="32F4322A" w:rsidR="000D2F59" w:rsidRPr="00D5487B" w:rsidRDefault="000D2F59" w:rsidP="000D2F59">
      <w:pPr>
        <w:pStyle w:val="Lgende"/>
        <w:keepNext/>
        <w:rPr>
          <w:lang w:val="fr-CA"/>
        </w:rPr>
      </w:pPr>
      <w:r w:rsidRPr="00D5487B">
        <w:rPr>
          <w:lang w:val="fr-CA"/>
        </w:rPr>
        <w:t xml:space="preserve">Table </w:t>
      </w:r>
      <w:r w:rsidRPr="00D5487B">
        <w:rPr>
          <w:lang w:val="fr-CA"/>
        </w:rPr>
        <w:fldChar w:fldCharType="begin"/>
      </w:r>
      <w:r w:rsidRPr="00D5487B">
        <w:rPr>
          <w:lang w:val="fr-CA"/>
        </w:rPr>
        <w:instrText xml:space="preserve"> SEQ Table \* ARABIC </w:instrText>
      </w:r>
      <w:r w:rsidRPr="00D5487B">
        <w:rPr>
          <w:lang w:val="fr-CA"/>
        </w:rPr>
        <w:fldChar w:fldCharType="separate"/>
      </w:r>
      <w:r w:rsidRPr="00D5487B">
        <w:rPr>
          <w:noProof/>
          <w:lang w:val="fr-CA"/>
        </w:rPr>
        <w:t>16</w:t>
      </w:r>
      <w:r w:rsidRPr="00D5487B">
        <w:rPr>
          <w:lang w:val="fr-CA"/>
        </w:rPr>
        <w:fldChar w:fldCharType="end"/>
      </w:r>
      <w:r w:rsidRPr="00D5487B">
        <w:rPr>
          <w:lang w:val="fr-CA"/>
        </w:rPr>
        <w:t xml:space="preserve"> - Durée de dotation externe</w:t>
      </w:r>
    </w:p>
    <w:tbl>
      <w:tblPr>
        <w:tblStyle w:val="Grilledutableau"/>
        <w:tblW w:w="0" w:type="auto"/>
        <w:jc w:val="center"/>
        <w:tblLook w:val="0000" w:firstRow="0" w:lastRow="0" w:firstColumn="0" w:lastColumn="0" w:noHBand="0" w:noVBand="0"/>
        <w:tblDescription w:val="Durée des processus de dotation externe"/>
      </w:tblPr>
      <w:tblGrid>
        <w:gridCol w:w="2317"/>
        <w:gridCol w:w="20157"/>
      </w:tblGrid>
      <w:tr w:rsidR="000D2F59" w:rsidRPr="00A35947" w14:paraId="7EE95640" w14:textId="77777777" w:rsidTr="002E6E29">
        <w:trPr>
          <w:cantSplit/>
          <w:trHeight w:val="290"/>
          <w:tblHeader/>
          <w:jc w:val="center"/>
        </w:trPr>
        <w:tc>
          <w:tcPr>
            <w:tcW w:w="0" w:type="auto"/>
          </w:tcPr>
          <w:p w14:paraId="15A74762" w14:textId="77777777" w:rsidR="000D2F59" w:rsidRPr="00D5487B" w:rsidRDefault="000D2F59" w:rsidP="002E6E29">
            <w:pPr>
              <w:pStyle w:val="TableTitle"/>
              <w:rPr>
                <w:lang w:val="fr-CA"/>
              </w:rPr>
            </w:pPr>
            <w:bookmarkStart w:id="5" w:name="Durée_dotation_externe" w:colFirst="0" w:colLast="0"/>
            <w:r w:rsidRPr="00D5487B">
              <w:rPr>
                <w:lang w:val="fr-CA"/>
              </w:rPr>
              <w:t>Nombre de jours civils</w:t>
            </w:r>
          </w:p>
        </w:tc>
        <w:tc>
          <w:tcPr>
            <w:tcW w:w="0" w:type="auto"/>
          </w:tcPr>
          <w:p w14:paraId="4D6A37BE" w14:textId="77777777" w:rsidR="000D2F59" w:rsidRPr="00D5487B" w:rsidRDefault="000D2F59" w:rsidP="002E6E29">
            <w:pPr>
              <w:pStyle w:val="TableTitle"/>
              <w:rPr>
                <w:lang w:val="fr-CA"/>
              </w:rPr>
            </w:pPr>
            <w:r w:rsidRPr="00D5487B">
              <w:rPr>
                <w:lang w:val="fr-CA"/>
              </w:rPr>
              <w:t>Le nombre de premières embauches externes dans un processus externe (durée de dotation externe) dans les organisations assujetties à la</w:t>
            </w:r>
            <w:r w:rsidRPr="00D5487B">
              <w:rPr>
                <w:i/>
                <w:lang w:val="fr-CA"/>
              </w:rPr>
              <w:t xml:space="preserve"> Loi sur l’emploi dans la fonction publique, </w:t>
            </w:r>
            <w:r w:rsidRPr="00D5487B">
              <w:rPr>
                <w:lang w:val="fr-CA"/>
              </w:rPr>
              <w:t>dans le nombre de jours civils spécifié</w:t>
            </w:r>
          </w:p>
        </w:tc>
      </w:tr>
      <w:bookmarkEnd w:id="5"/>
      <w:tr w:rsidR="000D2F59" w:rsidRPr="00D5487B" w14:paraId="10203F5F" w14:textId="77777777" w:rsidTr="002E6E29">
        <w:trPr>
          <w:cantSplit/>
          <w:trHeight w:val="290"/>
          <w:tblHeader/>
          <w:jc w:val="center"/>
        </w:trPr>
        <w:tc>
          <w:tcPr>
            <w:tcW w:w="0" w:type="auto"/>
          </w:tcPr>
          <w:p w14:paraId="589EDA79"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 jours civils</w:t>
            </w:r>
          </w:p>
        </w:tc>
        <w:tc>
          <w:tcPr>
            <w:tcW w:w="0" w:type="auto"/>
          </w:tcPr>
          <w:p w14:paraId="61302C4C"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0D2F59" w:rsidRPr="00D5487B" w14:paraId="1605F2DE" w14:textId="77777777" w:rsidTr="002E6E29">
        <w:trPr>
          <w:cantSplit/>
          <w:trHeight w:val="290"/>
          <w:tblHeader/>
          <w:jc w:val="center"/>
        </w:trPr>
        <w:tc>
          <w:tcPr>
            <w:tcW w:w="0" w:type="auto"/>
          </w:tcPr>
          <w:p w14:paraId="402BD83C"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 à 29 jours civils</w:t>
            </w:r>
          </w:p>
        </w:tc>
        <w:tc>
          <w:tcPr>
            <w:tcW w:w="0" w:type="auto"/>
          </w:tcPr>
          <w:p w14:paraId="6D133C87"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49</w:t>
            </w:r>
          </w:p>
        </w:tc>
      </w:tr>
      <w:tr w:rsidR="000D2F59" w:rsidRPr="00D5487B" w14:paraId="5412CAB8" w14:textId="77777777" w:rsidTr="002E6E29">
        <w:trPr>
          <w:cantSplit/>
          <w:trHeight w:val="290"/>
          <w:tblHeader/>
          <w:jc w:val="center"/>
        </w:trPr>
        <w:tc>
          <w:tcPr>
            <w:tcW w:w="0" w:type="auto"/>
          </w:tcPr>
          <w:p w14:paraId="7D42F0CF"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30 à 59 jours civils</w:t>
            </w:r>
          </w:p>
        </w:tc>
        <w:tc>
          <w:tcPr>
            <w:tcW w:w="0" w:type="auto"/>
          </w:tcPr>
          <w:p w14:paraId="0C1D1DF4"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82</w:t>
            </w:r>
          </w:p>
        </w:tc>
      </w:tr>
      <w:tr w:rsidR="000D2F59" w:rsidRPr="00D5487B" w14:paraId="38FAA6C6" w14:textId="77777777" w:rsidTr="002E6E29">
        <w:trPr>
          <w:cantSplit/>
          <w:trHeight w:val="290"/>
          <w:tblHeader/>
          <w:jc w:val="center"/>
        </w:trPr>
        <w:tc>
          <w:tcPr>
            <w:tcW w:w="0" w:type="auto"/>
          </w:tcPr>
          <w:p w14:paraId="6FF7CDB5"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60 à 89 jours civils</w:t>
            </w:r>
          </w:p>
        </w:tc>
        <w:tc>
          <w:tcPr>
            <w:tcW w:w="0" w:type="auto"/>
          </w:tcPr>
          <w:p w14:paraId="109B82EE"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124</w:t>
            </w:r>
          </w:p>
        </w:tc>
      </w:tr>
      <w:tr w:rsidR="000D2F59" w:rsidRPr="00D5487B" w14:paraId="419BBB70" w14:textId="77777777" w:rsidTr="002E6E29">
        <w:trPr>
          <w:cantSplit/>
          <w:trHeight w:val="290"/>
          <w:tblHeader/>
          <w:jc w:val="center"/>
        </w:trPr>
        <w:tc>
          <w:tcPr>
            <w:tcW w:w="0" w:type="auto"/>
          </w:tcPr>
          <w:p w14:paraId="02DCCA42"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90 à 119 jours civils</w:t>
            </w:r>
          </w:p>
        </w:tc>
        <w:tc>
          <w:tcPr>
            <w:tcW w:w="0" w:type="auto"/>
          </w:tcPr>
          <w:p w14:paraId="6B47EEA9"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160</w:t>
            </w:r>
          </w:p>
        </w:tc>
      </w:tr>
      <w:tr w:rsidR="000D2F59" w:rsidRPr="00D5487B" w14:paraId="6632E396" w14:textId="77777777" w:rsidTr="002E6E29">
        <w:trPr>
          <w:cantSplit/>
          <w:trHeight w:val="290"/>
          <w:tblHeader/>
          <w:jc w:val="center"/>
        </w:trPr>
        <w:tc>
          <w:tcPr>
            <w:tcW w:w="0" w:type="auto"/>
          </w:tcPr>
          <w:p w14:paraId="0E7293C7"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120 à 149 jours civils</w:t>
            </w:r>
          </w:p>
        </w:tc>
        <w:tc>
          <w:tcPr>
            <w:tcW w:w="0" w:type="auto"/>
          </w:tcPr>
          <w:p w14:paraId="5C9BF5D5"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181</w:t>
            </w:r>
          </w:p>
        </w:tc>
      </w:tr>
      <w:tr w:rsidR="000D2F59" w:rsidRPr="00D5487B" w14:paraId="0D09AA2F" w14:textId="77777777" w:rsidTr="002E6E29">
        <w:trPr>
          <w:cantSplit/>
          <w:trHeight w:val="290"/>
          <w:tblHeader/>
          <w:jc w:val="center"/>
        </w:trPr>
        <w:tc>
          <w:tcPr>
            <w:tcW w:w="0" w:type="auto"/>
          </w:tcPr>
          <w:p w14:paraId="4951F152"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150 à 179 jours civils</w:t>
            </w:r>
          </w:p>
        </w:tc>
        <w:tc>
          <w:tcPr>
            <w:tcW w:w="0" w:type="auto"/>
          </w:tcPr>
          <w:p w14:paraId="67A3ABFB"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179</w:t>
            </w:r>
          </w:p>
        </w:tc>
      </w:tr>
      <w:tr w:rsidR="000D2F59" w:rsidRPr="00D5487B" w14:paraId="7AB42042" w14:textId="77777777" w:rsidTr="002E6E29">
        <w:trPr>
          <w:cantSplit/>
          <w:trHeight w:val="290"/>
          <w:tblHeader/>
          <w:jc w:val="center"/>
        </w:trPr>
        <w:tc>
          <w:tcPr>
            <w:tcW w:w="0" w:type="auto"/>
          </w:tcPr>
          <w:p w14:paraId="46D27310"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180 à 209 jours civils</w:t>
            </w:r>
          </w:p>
        </w:tc>
        <w:tc>
          <w:tcPr>
            <w:tcW w:w="0" w:type="auto"/>
          </w:tcPr>
          <w:p w14:paraId="12950A2D"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160</w:t>
            </w:r>
          </w:p>
        </w:tc>
      </w:tr>
      <w:tr w:rsidR="000D2F59" w:rsidRPr="00D5487B" w14:paraId="49937875" w14:textId="77777777" w:rsidTr="002E6E29">
        <w:trPr>
          <w:cantSplit/>
          <w:trHeight w:val="290"/>
          <w:tblHeader/>
          <w:jc w:val="center"/>
        </w:trPr>
        <w:tc>
          <w:tcPr>
            <w:tcW w:w="0" w:type="auto"/>
          </w:tcPr>
          <w:p w14:paraId="6B4681DB"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210 à 239 jours civils</w:t>
            </w:r>
          </w:p>
        </w:tc>
        <w:tc>
          <w:tcPr>
            <w:tcW w:w="0" w:type="auto"/>
          </w:tcPr>
          <w:p w14:paraId="0AF08E65"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139</w:t>
            </w:r>
          </w:p>
        </w:tc>
      </w:tr>
      <w:tr w:rsidR="000D2F59" w:rsidRPr="00D5487B" w14:paraId="3AE451B2" w14:textId="77777777" w:rsidTr="002E6E29">
        <w:trPr>
          <w:cantSplit/>
          <w:trHeight w:val="290"/>
          <w:tblHeader/>
          <w:jc w:val="center"/>
        </w:trPr>
        <w:tc>
          <w:tcPr>
            <w:tcW w:w="0" w:type="auto"/>
          </w:tcPr>
          <w:p w14:paraId="3980EA16"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240 à 269 jours civils</w:t>
            </w:r>
          </w:p>
        </w:tc>
        <w:tc>
          <w:tcPr>
            <w:tcW w:w="0" w:type="auto"/>
          </w:tcPr>
          <w:p w14:paraId="21A10FB5"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84</w:t>
            </w:r>
          </w:p>
        </w:tc>
      </w:tr>
      <w:tr w:rsidR="000D2F59" w:rsidRPr="00D5487B" w14:paraId="72BDA1C6" w14:textId="77777777" w:rsidTr="002E6E29">
        <w:trPr>
          <w:cantSplit/>
          <w:trHeight w:val="290"/>
          <w:tblHeader/>
          <w:jc w:val="center"/>
        </w:trPr>
        <w:tc>
          <w:tcPr>
            <w:tcW w:w="0" w:type="auto"/>
          </w:tcPr>
          <w:p w14:paraId="641EE351"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270 à 299 jours civils</w:t>
            </w:r>
          </w:p>
        </w:tc>
        <w:tc>
          <w:tcPr>
            <w:tcW w:w="0" w:type="auto"/>
          </w:tcPr>
          <w:p w14:paraId="10038979"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73</w:t>
            </w:r>
          </w:p>
        </w:tc>
      </w:tr>
      <w:tr w:rsidR="000D2F59" w:rsidRPr="00D5487B" w14:paraId="753BABB6" w14:textId="77777777" w:rsidTr="002E6E29">
        <w:trPr>
          <w:cantSplit/>
          <w:trHeight w:val="290"/>
          <w:tblHeader/>
          <w:jc w:val="center"/>
        </w:trPr>
        <w:tc>
          <w:tcPr>
            <w:tcW w:w="0" w:type="auto"/>
          </w:tcPr>
          <w:p w14:paraId="6FF41952"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300 à 329 jours civils</w:t>
            </w:r>
          </w:p>
        </w:tc>
        <w:tc>
          <w:tcPr>
            <w:tcW w:w="0" w:type="auto"/>
          </w:tcPr>
          <w:p w14:paraId="027C4A51"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61</w:t>
            </w:r>
          </w:p>
        </w:tc>
      </w:tr>
      <w:tr w:rsidR="000D2F59" w:rsidRPr="00D5487B" w14:paraId="422F8498" w14:textId="77777777" w:rsidTr="002E6E29">
        <w:trPr>
          <w:cantSplit/>
          <w:trHeight w:val="290"/>
          <w:tblHeader/>
          <w:jc w:val="center"/>
        </w:trPr>
        <w:tc>
          <w:tcPr>
            <w:tcW w:w="0" w:type="auto"/>
          </w:tcPr>
          <w:p w14:paraId="0D375E5B"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330 à 359 jours civils</w:t>
            </w:r>
          </w:p>
        </w:tc>
        <w:tc>
          <w:tcPr>
            <w:tcW w:w="0" w:type="auto"/>
          </w:tcPr>
          <w:p w14:paraId="202B8F92"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41</w:t>
            </w:r>
          </w:p>
        </w:tc>
      </w:tr>
      <w:tr w:rsidR="000D2F59" w:rsidRPr="00D5487B" w14:paraId="2425C946" w14:textId="77777777" w:rsidTr="002E6E29">
        <w:trPr>
          <w:cantSplit/>
          <w:trHeight w:val="290"/>
          <w:tblHeader/>
          <w:jc w:val="center"/>
        </w:trPr>
        <w:tc>
          <w:tcPr>
            <w:tcW w:w="0" w:type="auto"/>
          </w:tcPr>
          <w:p w14:paraId="33FE89AB"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360 à 389 jours civils</w:t>
            </w:r>
          </w:p>
        </w:tc>
        <w:tc>
          <w:tcPr>
            <w:tcW w:w="0" w:type="auto"/>
          </w:tcPr>
          <w:p w14:paraId="46F445C7"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43</w:t>
            </w:r>
          </w:p>
        </w:tc>
      </w:tr>
      <w:tr w:rsidR="000D2F59" w:rsidRPr="00D5487B" w14:paraId="17FD3E1D" w14:textId="77777777" w:rsidTr="002E6E29">
        <w:trPr>
          <w:cantSplit/>
          <w:trHeight w:val="290"/>
          <w:tblHeader/>
          <w:jc w:val="center"/>
        </w:trPr>
        <w:tc>
          <w:tcPr>
            <w:tcW w:w="0" w:type="auto"/>
          </w:tcPr>
          <w:p w14:paraId="58A73E12"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390 à 419 jours civils</w:t>
            </w:r>
          </w:p>
        </w:tc>
        <w:tc>
          <w:tcPr>
            <w:tcW w:w="0" w:type="auto"/>
          </w:tcPr>
          <w:p w14:paraId="230528DC"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49</w:t>
            </w:r>
          </w:p>
        </w:tc>
      </w:tr>
      <w:tr w:rsidR="000D2F59" w:rsidRPr="00D5487B" w14:paraId="1AF9B997" w14:textId="77777777" w:rsidTr="002E6E29">
        <w:trPr>
          <w:cantSplit/>
          <w:trHeight w:val="290"/>
          <w:tblHeader/>
          <w:jc w:val="center"/>
        </w:trPr>
        <w:tc>
          <w:tcPr>
            <w:tcW w:w="0" w:type="auto"/>
          </w:tcPr>
          <w:p w14:paraId="6944AF3B"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420 à 449 jours civils</w:t>
            </w:r>
          </w:p>
        </w:tc>
        <w:tc>
          <w:tcPr>
            <w:tcW w:w="0" w:type="auto"/>
          </w:tcPr>
          <w:p w14:paraId="0B035C54"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35</w:t>
            </w:r>
          </w:p>
        </w:tc>
      </w:tr>
      <w:tr w:rsidR="000D2F59" w:rsidRPr="00D5487B" w14:paraId="79E5435E" w14:textId="77777777" w:rsidTr="002E6E29">
        <w:trPr>
          <w:cantSplit/>
          <w:trHeight w:val="290"/>
          <w:tblHeader/>
          <w:jc w:val="center"/>
        </w:trPr>
        <w:tc>
          <w:tcPr>
            <w:tcW w:w="0" w:type="auto"/>
          </w:tcPr>
          <w:p w14:paraId="79519CBC"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450 à 479 jours civils</w:t>
            </w:r>
          </w:p>
        </w:tc>
        <w:tc>
          <w:tcPr>
            <w:tcW w:w="0" w:type="auto"/>
          </w:tcPr>
          <w:p w14:paraId="4AF6D20E"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22</w:t>
            </w:r>
          </w:p>
        </w:tc>
      </w:tr>
      <w:tr w:rsidR="000D2F59" w:rsidRPr="00D5487B" w14:paraId="3E3A85BE" w14:textId="77777777" w:rsidTr="002E6E29">
        <w:trPr>
          <w:cantSplit/>
          <w:trHeight w:val="290"/>
          <w:tblHeader/>
          <w:jc w:val="center"/>
        </w:trPr>
        <w:tc>
          <w:tcPr>
            <w:tcW w:w="0" w:type="auto"/>
          </w:tcPr>
          <w:p w14:paraId="6B5656A5"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480 à 509 jours civils</w:t>
            </w:r>
          </w:p>
        </w:tc>
        <w:tc>
          <w:tcPr>
            <w:tcW w:w="0" w:type="auto"/>
          </w:tcPr>
          <w:p w14:paraId="6A46EE8D"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27</w:t>
            </w:r>
          </w:p>
        </w:tc>
      </w:tr>
      <w:tr w:rsidR="000D2F59" w:rsidRPr="00D5487B" w14:paraId="341C68E1" w14:textId="77777777" w:rsidTr="002E6E29">
        <w:trPr>
          <w:cantSplit/>
          <w:trHeight w:val="290"/>
          <w:tblHeader/>
          <w:jc w:val="center"/>
        </w:trPr>
        <w:tc>
          <w:tcPr>
            <w:tcW w:w="0" w:type="auto"/>
          </w:tcPr>
          <w:p w14:paraId="6629A0CA"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 xml:space="preserve">510 à 539 jours civils </w:t>
            </w:r>
          </w:p>
        </w:tc>
        <w:tc>
          <w:tcPr>
            <w:tcW w:w="0" w:type="auto"/>
          </w:tcPr>
          <w:p w14:paraId="660A4C42"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17</w:t>
            </w:r>
          </w:p>
        </w:tc>
      </w:tr>
      <w:tr w:rsidR="000D2F59" w:rsidRPr="00D5487B" w14:paraId="6B143D70" w14:textId="77777777" w:rsidTr="002E6E29">
        <w:trPr>
          <w:cantSplit/>
          <w:trHeight w:val="290"/>
          <w:tblHeader/>
          <w:jc w:val="center"/>
        </w:trPr>
        <w:tc>
          <w:tcPr>
            <w:tcW w:w="0" w:type="auto"/>
          </w:tcPr>
          <w:p w14:paraId="40F03E9A"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540 à 569 jours civils</w:t>
            </w:r>
          </w:p>
        </w:tc>
        <w:tc>
          <w:tcPr>
            <w:tcW w:w="0" w:type="auto"/>
          </w:tcPr>
          <w:p w14:paraId="5B9E82FE"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15</w:t>
            </w:r>
          </w:p>
        </w:tc>
      </w:tr>
      <w:tr w:rsidR="000D2F59" w:rsidRPr="00D5487B" w14:paraId="24717CB5" w14:textId="77777777" w:rsidTr="002E6E29">
        <w:trPr>
          <w:cantSplit/>
          <w:trHeight w:val="290"/>
          <w:tblHeader/>
          <w:jc w:val="center"/>
        </w:trPr>
        <w:tc>
          <w:tcPr>
            <w:tcW w:w="0" w:type="auto"/>
          </w:tcPr>
          <w:p w14:paraId="0285D280"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570 à 599 jours civils</w:t>
            </w:r>
          </w:p>
        </w:tc>
        <w:tc>
          <w:tcPr>
            <w:tcW w:w="0" w:type="auto"/>
          </w:tcPr>
          <w:p w14:paraId="62E91FB0"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14</w:t>
            </w:r>
          </w:p>
        </w:tc>
      </w:tr>
      <w:tr w:rsidR="000D2F59" w:rsidRPr="00D5487B" w14:paraId="1D09CFB8" w14:textId="77777777" w:rsidTr="002E6E29">
        <w:trPr>
          <w:cantSplit/>
          <w:trHeight w:val="290"/>
          <w:tblHeader/>
          <w:jc w:val="center"/>
        </w:trPr>
        <w:tc>
          <w:tcPr>
            <w:tcW w:w="0" w:type="auto"/>
          </w:tcPr>
          <w:p w14:paraId="30C9E719"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600 à 629 jours civils</w:t>
            </w:r>
          </w:p>
        </w:tc>
        <w:tc>
          <w:tcPr>
            <w:tcW w:w="0" w:type="auto"/>
          </w:tcPr>
          <w:p w14:paraId="4CB37E87"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12</w:t>
            </w:r>
          </w:p>
        </w:tc>
      </w:tr>
      <w:tr w:rsidR="000D2F59" w:rsidRPr="00D5487B" w14:paraId="2F3A63CE" w14:textId="77777777" w:rsidTr="002E6E29">
        <w:trPr>
          <w:cantSplit/>
          <w:trHeight w:val="290"/>
          <w:tblHeader/>
          <w:jc w:val="center"/>
        </w:trPr>
        <w:tc>
          <w:tcPr>
            <w:tcW w:w="0" w:type="auto"/>
          </w:tcPr>
          <w:p w14:paraId="1C72950C"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630 à 659 jours civils</w:t>
            </w:r>
          </w:p>
        </w:tc>
        <w:tc>
          <w:tcPr>
            <w:tcW w:w="0" w:type="auto"/>
          </w:tcPr>
          <w:p w14:paraId="72CCA09C"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w:t>
            </w:r>
          </w:p>
        </w:tc>
      </w:tr>
      <w:tr w:rsidR="000D2F59" w:rsidRPr="00D5487B" w14:paraId="1E3D9B58" w14:textId="77777777" w:rsidTr="002E6E29">
        <w:trPr>
          <w:cantSplit/>
          <w:trHeight w:val="290"/>
          <w:tblHeader/>
          <w:jc w:val="center"/>
        </w:trPr>
        <w:tc>
          <w:tcPr>
            <w:tcW w:w="0" w:type="auto"/>
          </w:tcPr>
          <w:p w14:paraId="6E13954C"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660 à 689 jours civils</w:t>
            </w:r>
          </w:p>
        </w:tc>
        <w:tc>
          <w:tcPr>
            <w:tcW w:w="0" w:type="auto"/>
          </w:tcPr>
          <w:p w14:paraId="00537F0C"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5</w:t>
            </w:r>
          </w:p>
        </w:tc>
      </w:tr>
      <w:tr w:rsidR="000D2F59" w:rsidRPr="00D5487B" w14:paraId="0B532CAD" w14:textId="77777777" w:rsidTr="002E6E29">
        <w:trPr>
          <w:cantSplit/>
          <w:trHeight w:val="290"/>
          <w:tblHeader/>
          <w:jc w:val="center"/>
        </w:trPr>
        <w:tc>
          <w:tcPr>
            <w:tcW w:w="0" w:type="auto"/>
          </w:tcPr>
          <w:p w14:paraId="3C7D4A59"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690 à 719 jours civils</w:t>
            </w:r>
          </w:p>
        </w:tc>
        <w:tc>
          <w:tcPr>
            <w:tcW w:w="0" w:type="auto"/>
          </w:tcPr>
          <w:p w14:paraId="2D9A1638"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w:t>
            </w:r>
          </w:p>
        </w:tc>
      </w:tr>
      <w:tr w:rsidR="000D2F59" w:rsidRPr="00D5487B" w14:paraId="39DA468C" w14:textId="77777777" w:rsidTr="002E6E29">
        <w:trPr>
          <w:cantSplit/>
          <w:trHeight w:val="302"/>
          <w:tblHeader/>
          <w:jc w:val="center"/>
        </w:trPr>
        <w:tc>
          <w:tcPr>
            <w:tcW w:w="0" w:type="auto"/>
          </w:tcPr>
          <w:p w14:paraId="10E5A385"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720 à 749 jours civils</w:t>
            </w:r>
          </w:p>
        </w:tc>
        <w:tc>
          <w:tcPr>
            <w:tcW w:w="0" w:type="auto"/>
          </w:tcPr>
          <w:p w14:paraId="54BEE168"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11</w:t>
            </w:r>
          </w:p>
        </w:tc>
      </w:tr>
      <w:tr w:rsidR="000D2F59" w:rsidRPr="00D5487B" w14:paraId="1A7DB8DE" w14:textId="77777777" w:rsidTr="002E6E29">
        <w:trPr>
          <w:cantSplit/>
          <w:trHeight w:val="290"/>
          <w:tblHeader/>
          <w:jc w:val="center"/>
        </w:trPr>
        <w:tc>
          <w:tcPr>
            <w:tcW w:w="0" w:type="auto"/>
          </w:tcPr>
          <w:p w14:paraId="05D134B1"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750 à 779 jours civils</w:t>
            </w:r>
          </w:p>
        </w:tc>
        <w:tc>
          <w:tcPr>
            <w:tcW w:w="0" w:type="auto"/>
          </w:tcPr>
          <w:p w14:paraId="45DF16E2"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r>
      <w:tr w:rsidR="000D2F59" w:rsidRPr="00D5487B" w14:paraId="53094937" w14:textId="77777777" w:rsidTr="002E6E29">
        <w:trPr>
          <w:cantSplit/>
          <w:trHeight w:val="290"/>
          <w:tblHeader/>
          <w:jc w:val="center"/>
        </w:trPr>
        <w:tc>
          <w:tcPr>
            <w:tcW w:w="0" w:type="auto"/>
          </w:tcPr>
          <w:p w14:paraId="6429CB2D"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780 à 809 jours civils</w:t>
            </w:r>
          </w:p>
        </w:tc>
        <w:tc>
          <w:tcPr>
            <w:tcW w:w="0" w:type="auto"/>
          </w:tcPr>
          <w:p w14:paraId="326475D5"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7</w:t>
            </w:r>
          </w:p>
        </w:tc>
      </w:tr>
      <w:tr w:rsidR="000D2F59" w:rsidRPr="00D5487B" w14:paraId="384BE2CE" w14:textId="77777777" w:rsidTr="002E6E29">
        <w:trPr>
          <w:cantSplit/>
          <w:trHeight w:val="290"/>
          <w:tblHeader/>
          <w:jc w:val="center"/>
        </w:trPr>
        <w:tc>
          <w:tcPr>
            <w:tcW w:w="0" w:type="auto"/>
          </w:tcPr>
          <w:p w14:paraId="264A9ED8"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810 à 839 jours civils</w:t>
            </w:r>
          </w:p>
        </w:tc>
        <w:tc>
          <w:tcPr>
            <w:tcW w:w="0" w:type="auto"/>
          </w:tcPr>
          <w:p w14:paraId="17BC9279"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w:t>
            </w:r>
          </w:p>
        </w:tc>
      </w:tr>
      <w:tr w:rsidR="000D2F59" w:rsidRPr="00D5487B" w14:paraId="271E69E5" w14:textId="77777777" w:rsidTr="002E6E29">
        <w:trPr>
          <w:cantSplit/>
          <w:trHeight w:val="290"/>
          <w:tblHeader/>
          <w:jc w:val="center"/>
        </w:trPr>
        <w:tc>
          <w:tcPr>
            <w:tcW w:w="0" w:type="auto"/>
          </w:tcPr>
          <w:p w14:paraId="5248D12D"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840 à 869 jours civils</w:t>
            </w:r>
          </w:p>
        </w:tc>
        <w:tc>
          <w:tcPr>
            <w:tcW w:w="0" w:type="auto"/>
          </w:tcPr>
          <w:p w14:paraId="4E8D8B1B"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2</w:t>
            </w:r>
          </w:p>
        </w:tc>
      </w:tr>
      <w:tr w:rsidR="000D2F59" w:rsidRPr="00D5487B" w14:paraId="7C16D108" w14:textId="77777777" w:rsidTr="002E6E29">
        <w:trPr>
          <w:cantSplit/>
          <w:trHeight w:val="290"/>
          <w:tblHeader/>
          <w:jc w:val="center"/>
        </w:trPr>
        <w:tc>
          <w:tcPr>
            <w:tcW w:w="0" w:type="auto"/>
          </w:tcPr>
          <w:p w14:paraId="54D13CEC"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870 à 899 jours civils</w:t>
            </w:r>
          </w:p>
        </w:tc>
        <w:tc>
          <w:tcPr>
            <w:tcW w:w="0" w:type="auto"/>
          </w:tcPr>
          <w:p w14:paraId="7A1B158E"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0D2F59" w:rsidRPr="00D5487B" w14:paraId="460BFAEC" w14:textId="77777777" w:rsidTr="002E6E29">
        <w:trPr>
          <w:cantSplit/>
          <w:trHeight w:val="290"/>
          <w:tblHeader/>
          <w:jc w:val="center"/>
        </w:trPr>
        <w:tc>
          <w:tcPr>
            <w:tcW w:w="0" w:type="auto"/>
          </w:tcPr>
          <w:p w14:paraId="125E2834"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900 à 929 jours civils</w:t>
            </w:r>
          </w:p>
        </w:tc>
        <w:tc>
          <w:tcPr>
            <w:tcW w:w="0" w:type="auto"/>
          </w:tcPr>
          <w:p w14:paraId="413915F4"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3</w:t>
            </w:r>
          </w:p>
        </w:tc>
      </w:tr>
      <w:tr w:rsidR="000D2F59" w:rsidRPr="00D5487B" w14:paraId="7EE15030" w14:textId="77777777" w:rsidTr="002E6E29">
        <w:trPr>
          <w:cantSplit/>
          <w:trHeight w:val="290"/>
          <w:tblHeader/>
          <w:jc w:val="center"/>
        </w:trPr>
        <w:tc>
          <w:tcPr>
            <w:tcW w:w="0" w:type="auto"/>
          </w:tcPr>
          <w:p w14:paraId="54A5FBEF"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930 à 959 jours civils</w:t>
            </w:r>
          </w:p>
        </w:tc>
        <w:tc>
          <w:tcPr>
            <w:tcW w:w="0" w:type="auto"/>
          </w:tcPr>
          <w:p w14:paraId="7EBEF59C"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1</w:t>
            </w:r>
          </w:p>
        </w:tc>
      </w:tr>
      <w:tr w:rsidR="000D2F59" w:rsidRPr="00D5487B" w14:paraId="749A7EE1" w14:textId="77777777" w:rsidTr="002E6E29">
        <w:trPr>
          <w:cantSplit/>
          <w:trHeight w:val="290"/>
          <w:tblHeader/>
          <w:jc w:val="center"/>
        </w:trPr>
        <w:tc>
          <w:tcPr>
            <w:tcW w:w="0" w:type="auto"/>
          </w:tcPr>
          <w:p w14:paraId="24CE3EA5"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960 à 989 jours civils</w:t>
            </w:r>
          </w:p>
        </w:tc>
        <w:tc>
          <w:tcPr>
            <w:tcW w:w="0" w:type="auto"/>
          </w:tcPr>
          <w:p w14:paraId="17460780"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r w:rsidR="000D2F59" w:rsidRPr="00D5487B" w14:paraId="60A46CD0" w14:textId="77777777" w:rsidTr="002E6E29">
        <w:trPr>
          <w:cantSplit/>
          <w:trHeight w:val="290"/>
          <w:tblHeader/>
          <w:jc w:val="center"/>
        </w:trPr>
        <w:tc>
          <w:tcPr>
            <w:tcW w:w="0" w:type="auto"/>
          </w:tcPr>
          <w:p w14:paraId="66028595" w14:textId="77777777" w:rsidR="000D2F59" w:rsidRPr="00D5487B" w:rsidRDefault="000D2F59" w:rsidP="00D8188D">
            <w:pPr>
              <w:autoSpaceDE w:val="0"/>
              <w:autoSpaceDN w:val="0"/>
              <w:adjustRightInd w:val="0"/>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Plus de 990 jours civils</w:t>
            </w:r>
          </w:p>
        </w:tc>
        <w:tc>
          <w:tcPr>
            <w:tcW w:w="0" w:type="auto"/>
          </w:tcPr>
          <w:p w14:paraId="09CB8B1C" w14:textId="77777777" w:rsidR="000D2F59" w:rsidRPr="00D5487B" w:rsidRDefault="000D2F59" w:rsidP="00D8188D">
            <w:pPr>
              <w:autoSpaceDE w:val="0"/>
              <w:autoSpaceDN w:val="0"/>
              <w:adjustRightInd w:val="0"/>
              <w:jc w:val="center"/>
              <w:rPr>
                <w:rFonts w:asciiTheme="minorHAnsi" w:hAnsiTheme="minorHAnsi" w:cstheme="minorHAnsi"/>
                <w:color w:val="000000"/>
                <w:sz w:val="22"/>
                <w:szCs w:val="22"/>
                <w:lang w:val="fr-CA"/>
              </w:rPr>
            </w:pPr>
            <w:r w:rsidRPr="00D5487B">
              <w:rPr>
                <w:rFonts w:asciiTheme="minorHAnsi" w:hAnsiTheme="minorHAnsi" w:cstheme="minorHAnsi"/>
                <w:color w:val="000000"/>
                <w:sz w:val="22"/>
                <w:szCs w:val="22"/>
                <w:lang w:val="fr-CA"/>
              </w:rPr>
              <w:t>0</w:t>
            </w:r>
          </w:p>
        </w:tc>
      </w:tr>
    </w:tbl>
    <w:p w14:paraId="00EC67FB" w14:textId="77777777" w:rsidR="000D2F59" w:rsidRPr="00D5487B" w:rsidRDefault="000D2F59" w:rsidP="00F92BF4">
      <w:pPr>
        <w:pStyle w:val="Titre3"/>
        <w:rPr>
          <w:rStyle w:val="lev"/>
          <w:b w:val="0"/>
          <w:sz w:val="22"/>
          <w:lang w:val="fr-CA"/>
        </w:rPr>
        <w:sectPr w:rsidR="000D2F59" w:rsidRPr="00D5487B" w:rsidSect="00011B85">
          <w:pgSz w:w="24480" w:h="15840" w:orient="landscape" w:code="3"/>
          <w:pgMar w:top="720" w:right="720" w:bottom="720" w:left="1276" w:header="708" w:footer="283" w:gutter="0"/>
          <w:cols w:space="708"/>
          <w:docGrid w:linePitch="360"/>
        </w:sectPr>
      </w:pPr>
    </w:p>
    <w:p w14:paraId="37D36E13" w14:textId="68903FCC" w:rsidR="00575306" w:rsidRPr="00D5487B" w:rsidRDefault="00575306" w:rsidP="001F4139">
      <w:pPr>
        <w:pStyle w:val="Titre3"/>
        <w:spacing w:before="0"/>
        <w:rPr>
          <w:rStyle w:val="lev"/>
          <w:rFonts w:asciiTheme="minorHAnsi" w:hAnsiTheme="minorHAnsi" w:cstheme="minorHAnsi"/>
          <w:sz w:val="22"/>
          <w:lang w:val="fr-CA"/>
        </w:rPr>
      </w:pPr>
      <w:r w:rsidRPr="00FF0953">
        <w:rPr>
          <w:rStyle w:val="Titre1Car"/>
          <w:sz w:val="40"/>
        </w:rPr>
        <w:lastRenderedPageBreak/>
        <w:t>Notes techniques</w:t>
      </w:r>
      <w:r w:rsidRPr="00FF0953">
        <w:rPr>
          <w:rStyle w:val="lev"/>
          <w:rFonts w:asciiTheme="minorHAnsi" w:hAnsiTheme="minorHAnsi" w:cstheme="minorHAnsi"/>
          <w:sz w:val="18"/>
          <w:lang w:val="fr-CA"/>
        </w:rPr>
        <w:t xml:space="preserve"> </w:t>
      </w:r>
      <w:r w:rsidRPr="00D5487B">
        <w:rPr>
          <w:rStyle w:val="lev"/>
          <w:rFonts w:asciiTheme="minorHAnsi" w:hAnsiTheme="minorHAnsi" w:cstheme="minorHAnsi"/>
          <w:sz w:val="22"/>
          <w:lang w:val="fr-CA"/>
        </w:rPr>
        <w:t>:</w:t>
      </w:r>
    </w:p>
    <w:p w14:paraId="44F8E1C1" w14:textId="77777777" w:rsidR="00575306" w:rsidRPr="00D5487B" w:rsidRDefault="00575306" w:rsidP="001F4139">
      <w:pPr>
        <w:pStyle w:val="Paragraphedeliste"/>
        <w:numPr>
          <w:ilvl w:val="0"/>
          <w:numId w:val="38"/>
        </w:numPr>
        <w:spacing w:after="0"/>
        <w:ind w:left="363" w:hanging="426"/>
        <w:contextualSpacing w:val="0"/>
        <w:rPr>
          <w:rFonts w:asciiTheme="minorHAnsi" w:hAnsiTheme="minorHAnsi" w:cstheme="minorHAnsi"/>
          <w:sz w:val="22"/>
          <w:szCs w:val="22"/>
          <w:lang w:val="fr-CA"/>
        </w:rPr>
      </w:pPr>
      <w:r w:rsidRPr="00D5487B">
        <w:rPr>
          <w:rFonts w:asciiTheme="minorHAnsi" w:eastAsiaTheme="minorHAnsi" w:hAnsiTheme="minorHAnsi" w:cstheme="minorHAnsi"/>
          <w:bCs/>
          <w:sz w:val="22"/>
          <w:szCs w:val="22"/>
          <w:lang w:val="fr-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D5487B">
        <w:rPr>
          <w:rFonts w:asciiTheme="minorHAnsi" w:hAnsiTheme="minorHAnsi" w:cstheme="minorHAnsi"/>
          <w:sz w:val="22"/>
          <w:szCs w:val="22"/>
          <w:lang w:val="fr-CA"/>
        </w:rPr>
        <w:t>Les PANA ne sont pas requis pour toutes les activités de dotation interne. Par conséquent, cette mesure se limite aux rapports sur les nominations promotionnels internes.</w:t>
      </w:r>
    </w:p>
    <w:p w14:paraId="1AF97FBC" w14:textId="77777777" w:rsidR="00575306" w:rsidRPr="00D5487B" w:rsidRDefault="00575306" w:rsidP="001F4139">
      <w:pPr>
        <w:pStyle w:val="Paragraphedeliste"/>
        <w:numPr>
          <w:ilvl w:val="0"/>
          <w:numId w:val="6"/>
        </w:numPr>
        <w:spacing w:after="0"/>
        <w:ind w:left="363"/>
        <w:rPr>
          <w:rFonts w:asciiTheme="minorHAnsi" w:eastAsiaTheme="minorHAnsi" w:hAnsiTheme="minorHAnsi" w:cstheme="minorHAnsi"/>
          <w:bCs/>
          <w:sz w:val="22"/>
          <w:szCs w:val="22"/>
          <w:lang w:val="fr-CA"/>
        </w:rPr>
      </w:pPr>
      <w:r w:rsidRPr="00D5487B">
        <w:rPr>
          <w:rFonts w:asciiTheme="minorHAnsi" w:eastAsiaTheme="minorHAnsi" w:hAnsiTheme="minorHAnsi" w:cstheme="minorHAnsi"/>
          <w:bCs/>
          <w:sz w:val="22"/>
          <w:szCs w:val="22"/>
          <w:lang w:val="fr-CA"/>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D5487B">
        <w:rPr>
          <w:rFonts w:asciiTheme="minorHAnsi" w:eastAsiaTheme="minorHAnsi" w:hAnsiTheme="minorHAnsi" w:cstheme="minorHAnsi"/>
          <w:bCs/>
          <w:i/>
          <w:sz w:val="22"/>
          <w:szCs w:val="22"/>
          <w:lang w:val="fr-CA"/>
        </w:rPr>
        <w:t xml:space="preserve">Loi sur l'emploi dans la fonction publique </w:t>
      </w:r>
      <w:r w:rsidRPr="00D5487B">
        <w:rPr>
          <w:rFonts w:asciiTheme="minorHAnsi" w:eastAsiaTheme="minorHAnsi" w:hAnsiTheme="minorHAnsi" w:cstheme="minorHAnsi"/>
          <w:bCs/>
          <w:sz w:val="22"/>
          <w:szCs w:val="22"/>
          <w:lang w:val="fr-CA"/>
        </w:rPr>
        <w:t>pour les postes de durée déterminée et ceux pour une période indéterminée. Parce que le lien des données entre les systèmes utilise un jumelage probabiliste, des erreurs de mesure sont donc possibles.</w:t>
      </w:r>
    </w:p>
    <w:p w14:paraId="2BA2B928" w14:textId="77777777" w:rsidR="00575306" w:rsidRPr="00D5487B" w:rsidRDefault="00575306" w:rsidP="001F4139">
      <w:pPr>
        <w:pStyle w:val="Paragraphedeliste"/>
        <w:numPr>
          <w:ilvl w:val="0"/>
          <w:numId w:val="6"/>
        </w:numPr>
        <w:spacing w:after="0"/>
        <w:ind w:left="363"/>
        <w:rPr>
          <w:rFonts w:asciiTheme="minorHAnsi" w:eastAsiaTheme="minorHAnsi" w:hAnsiTheme="minorHAnsi" w:cstheme="minorHAnsi"/>
          <w:bCs/>
          <w:sz w:val="22"/>
          <w:szCs w:val="22"/>
          <w:lang w:val="fr-CA"/>
        </w:rPr>
      </w:pPr>
      <w:r w:rsidRPr="00D5487B">
        <w:rPr>
          <w:rFonts w:asciiTheme="minorHAnsi" w:eastAsiaTheme="minorHAnsi" w:hAnsiTheme="minorHAnsi" w:cstheme="minorHAnsi"/>
          <w:bCs/>
          <w:sz w:val="22"/>
          <w:szCs w:val="22"/>
          <w:lang w:val="fr-CA"/>
        </w:rPr>
        <w:t>Seules les nominations d'une durée déterminée et les nominations pour une période indéterminée sont incluses (les mutations, les nominations d’employés occasionnels et les nominations intérimaires sont exclues).</w:t>
      </w:r>
    </w:p>
    <w:p w14:paraId="2539F6C7" w14:textId="363C0BEE" w:rsidR="00575306" w:rsidRPr="00FF0953" w:rsidRDefault="00575306" w:rsidP="00FF0953">
      <w:pPr>
        <w:pStyle w:val="Titre1"/>
        <w:rPr>
          <w:rStyle w:val="lev"/>
          <w:rFonts w:asciiTheme="majorHAnsi" w:hAnsiTheme="majorHAnsi"/>
          <w:b w:val="0"/>
          <w:bCs w:val="0"/>
          <w:sz w:val="40"/>
        </w:rPr>
      </w:pPr>
      <w:r w:rsidRPr="00FF0953">
        <w:rPr>
          <w:rStyle w:val="lev"/>
          <w:rFonts w:asciiTheme="majorHAnsi" w:hAnsiTheme="majorHAnsi"/>
          <w:b w:val="0"/>
          <w:bCs w:val="0"/>
          <w:sz w:val="40"/>
        </w:rPr>
        <w:t>Source:</w:t>
      </w:r>
    </w:p>
    <w:p w14:paraId="3BBCF7B3" w14:textId="77777777" w:rsidR="00575306" w:rsidRPr="00D5487B" w:rsidRDefault="00575306" w:rsidP="001F4139">
      <w:pPr>
        <w:pStyle w:val="Paragraphedeliste"/>
        <w:numPr>
          <w:ilvl w:val="0"/>
          <w:numId w:val="6"/>
        </w:numPr>
        <w:tabs>
          <w:tab w:val="clear" w:pos="720"/>
        </w:tabs>
        <w:spacing w:after="0"/>
        <w:ind w:left="284" w:hanging="284"/>
        <w:rPr>
          <w:rFonts w:asciiTheme="minorHAnsi" w:eastAsiaTheme="minorHAnsi" w:hAnsiTheme="minorHAnsi" w:cstheme="minorHAnsi"/>
          <w:bCs/>
          <w:sz w:val="22"/>
          <w:szCs w:val="22"/>
          <w:lang w:val="fr-CA"/>
        </w:rPr>
      </w:pPr>
      <w:r w:rsidRPr="00D5487B">
        <w:rPr>
          <w:rFonts w:asciiTheme="minorHAnsi" w:eastAsiaTheme="minorHAnsi" w:hAnsiTheme="minorHAnsi" w:cstheme="minorHAnsi"/>
          <w:bCs/>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0F70DA78" w14:textId="77777777" w:rsidR="00575306" w:rsidRPr="00D5487B" w:rsidRDefault="00575306" w:rsidP="001F4139">
      <w:pPr>
        <w:pStyle w:val="Paragraphedeliste"/>
        <w:numPr>
          <w:ilvl w:val="0"/>
          <w:numId w:val="6"/>
        </w:numPr>
        <w:tabs>
          <w:tab w:val="clear" w:pos="720"/>
        </w:tabs>
        <w:spacing w:after="0"/>
        <w:ind w:left="284" w:hanging="284"/>
        <w:rPr>
          <w:rFonts w:asciiTheme="minorHAnsi" w:eastAsiaTheme="minorHAnsi" w:hAnsiTheme="minorHAnsi" w:cstheme="minorHAnsi"/>
          <w:bCs/>
          <w:sz w:val="22"/>
          <w:szCs w:val="22"/>
          <w:lang w:val="fr-CA"/>
        </w:rPr>
      </w:pPr>
      <w:r w:rsidRPr="00D5487B">
        <w:rPr>
          <w:rFonts w:asciiTheme="minorHAnsi" w:eastAsiaTheme="minorHAnsi" w:hAnsiTheme="minorHAnsi" w:cstheme="minorHAnsi"/>
          <w:bCs/>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5D3B7C8A" w14:textId="4C6BE503" w:rsidR="003329E9" w:rsidRPr="00D5487B" w:rsidRDefault="00575306" w:rsidP="001F4139">
      <w:pPr>
        <w:pStyle w:val="Paragraphedeliste"/>
        <w:numPr>
          <w:ilvl w:val="0"/>
          <w:numId w:val="6"/>
        </w:numPr>
        <w:tabs>
          <w:tab w:val="clear" w:pos="720"/>
        </w:tabs>
        <w:spacing w:after="0"/>
        <w:ind w:left="284" w:hanging="284"/>
        <w:rPr>
          <w:rFonts w:asciiTheme="minorHAnsi" w:eastAsiaTheme="minorHAnsi" w:hAnsiTheme="minorHAnsi" w:cstheme="minorHAnsi"/>
          <w:bCs/>
          <w:sz w:val="22"/>
          <w:szCs w:val="22"/>
          <w:lang w:val="fr-CA"/>
        </w:rPr>
      </w:pPr>
      <w:r w:rsidRPr="00D5487B">
        <w:rPr>
          <w:rFonts w:asciiTheme="minorHAnsi" w:eastAsiaTheme="minorHAnsi" w:hAnsiTheme="minorHAnsi" w:cstheme="minorHAnsi"/>
          <w:bCs/>
          <w:sz w:val="22"/>
          <w:szCs w:val="22"/>
          <w:lang w:val="fr-CA"/>
        </w:rPr>
        <w:t>Ces données ne correspondent pas nécessairement aux donnés sur les ressources humaines de chaque organisation en raison des différences de méthodologie et des périodes visées par l’analyse.</w:t>
      </w:r>
    </w:p>
    <w:sectPr w:rsidR="003329E9" w:rsidRPr="00D5487B" w:rsidSect="001F4139">
      <w:headerReference w:type="default" r:id="rId32"/>
      <w:footerReference w:type="default" r:id="rId33"/>
      <w:footerReference w:type="first" r:id="rId34"/>
      <w:pgSz w:w="12240" w:h="15840"/>
      <w:pgMar w:top="992" w:right="1797" w:bottom="1440" w:left="1797"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FC3FA" w14:textId="77777777" w:rsidR="00D8188D" w:rsidRDefault="00D8188D" w:rsidP="0051557E">
      <w:r>
        <w:separator/>
      </w:r>
    </w:p>
  </w:endnote>
  <w:endnote w:type="continuationSeparator" w:id="0">
    <w:p w14:paraId="14083DA7" w14:textId="77777777" w:rsidR="00D8188D" w:rsidRDefault="00D8188D"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1FB1" w14:textId="6DCF8D17" w:rsidR="00D8188D" w:rsidRPr="00011B85" w:rsidRDefault="00D8188D" w:rsidP="00011B85">
    <w:pPr>
      <w:keepLines/>
      <w:tabs>
        <w:tab w:val="center" w:pos="4680"/>
        <w:tab w:val="right" w:pos="9360"/>
      </w:tabs>
      <w:rPr>
        <w:rFonts w:asciiTheme="minorHAnsi" w:eastAsiaTheme="minorHAnsi" w:hAnsiTheme="minorHAnsi" w:cstheme="minorBidi"/>
        <w:color w:val="54575A" w:themeColor="text1"/>
        <w:sz w:val="22"/>
        <w:szCs w:val="22"/>
        <w:lang w:val="fr-CA"/>
      </w:rPr>
    </w:pPr>
    <w:r w:rsidRPr="00E674BE">
      <w:rPr>
        <w:rFonts w:ascii="Calibri" w:eastAsia="Calibri" w:hAnsi="Calibri" w:cs="Arial"/>
        <w:color w:val="54575A" w:themeColor="text1"/>
        <w:sz w:val="16"/>
        <w:szCs w:val="22"/>
        <w:lang w:val="fr-CA"/>
      </w:rPr>
      <w:fldChar w:fldCharType="begin"/>
    </w:r>
    <w:r w:rsidRPr="00E674BE">
      <w:rPr>
        <w:rFonts w:ascii="Calibri" w:eastAsia="Calibri" w:hAnsi="Calibri" w:cs="Arial"/>
        <w:color w:val="54575A" w:themeColor="text1"/>
        <w:sz w:val="16"/>
        <w:szCs w:val="22"/>
        <w:lang w:val="en-CA"/>
      </w:rPr>
      <w:instrText xml:space="preserve"> PAGE   \* MERGEFORMAT </w:instrText>
    </w:r>
    <w:r w:rsidRPr="00E674BE">
      <w:rPr>
        <w:rFonts w:ascii="Calibri" w:eastAsia="Calibri" w:hAnsi="Calibri" w:cs="Arial"/>
        <w:color w:val="54575A" w:themeColor="text1"/>
        <w:sz w:val="16"/>
        <w:szCs w:val="22"/>
        <w:lang w:val="fr-CA"/>
      </w:rPr>
      <w:fldChar w:fldCharType="separate"/>
    </w:r>
    <w:r w:rsidR="00A35947" w:rsidRPr="00A35947">
      <w:rPr>
        <w:rFonts w:ascii="Calibri" w:eastAsia="Calibri" w:hAnsi="Calibri" w:cs="Arial"/>
        <w:b/>
        <w:bCs/>
        <w:noProof/>
        <w:color w:val="54575A" w:themeColor="text1"/>
        <w:sz w:val="16"/>
        <w:szCs w:val="22"/>
        <w:lang w:val="en-CA"/>
      </w:rPr>
      <w:t>10</w:t>
    </w:r>
    <w:r w:rsidRPr="00E674BE">
      <w:rPr>
        <w:rFonts w:ascii="Calibri" w:eastAsia="Calibri" w:hAnsi="Calibri" w:cs="Arial"/>
        <w:b/>
        <w:bCs/>
        <w:noProof/>
        <w:color w:val="54575A" w:themeColor="text1"/>
        <w:sz w:val="16"/>
        <w:szCs w:val="22"/>
        <w:lang w:val="fr-CA"/>
      </w:rPr>
      <w:fldChar w:fldCharType="end"/>
    </w:r>
    <w:r w:rsidRPr="00E674BE">
      <w:rPr>
        <w:rFonts w:ascii="Calibri" w:eastAsia="Calibri" w:hAnsi="Calibri" w:cs="Arial"/>
        <w:b/>
        <w:bCs/>
        <w:color w:val="54575A" w:themeColor="text1"/>
        <w:sz w:val="16"/>
        <w:szCs w:val="22"/>
        <w:lang w:val="en-CA"/>
      </w:rPr>
      <w:t>|</w:t>
    </w:r>
    <w:r w:rsidRPr="00E674BE">
      <w:rPr>
        <w:rFonts w:ascii="Calibri" w:eastAsia="Calibri" w:hAnsi="Calibri" w:cs="Arial"/>
        <w:color w:val="54575A" w:themeColor="text1"/>
        <w:sz w:val="16"/>
        <w:szCs w:val="22"/>
        <w:lang w:val="en-CA"/>
      </w:rPr>
      <w:t xml:space="preserve"> </w:t>
    </w:r>
    <w:r w:rsidRPr="00E674BE">
      <w:rPr>
        <w:rFonts w:ascii="Calibri" w:eastAsia="Calibri" w:hAnsi="Calibri" w:cs="Arial"/>
        <w:color w:val="54575A" w:themeColor="text1"/>
        <w:sz w:val="16"/>
        <w:szCs w:val="22"/>
        <w:lang w:val="en-CA"/>
      </w:rPr>
      <w:tab/>
    </w:r>
    <w:r w:rsidRPr="00E674BE">
      <w:rPr>
        <w:rFonts w:ascii="Calibri" w:eastAsia="Calibri" w:hAnsi="Calibri" w:cs="Arial"/>
        <w:color w:val="54575A" w:themeColor="text1"/>
        <w:sz w:val="16"/>
        <w:szCs w:val="22"/>
        <w:lang w:val="en-CA"/>
      </w:rPr>
      <w:tab/>
      <w:t>GCDOCS 10008005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29F53" w14:textId="46C99E9F" w:rsidR="00D8188D" w:rsidRDefault="00D8188D" w:rsidP="00C66B61">
    <w:pPr>
      <w:pBdr>
        <w:top w:val="single" w:sz="4" w:space="1" w:color="D9D9D9"/>
      </w:pBdr>
      <w:tabs>
        <w:tab w:val="center" w:pos="4680"/>
        <w:tab w:val="right" w:pos="9360"/>
      </w:tabs>
      <w:jc w:val="cente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A35947" w:rsidRPr="00A35947">
      <w:rPr>
        <w:rFonts w:ascii="Calibri" w:eastAsia="Calibri" w:hAnsi="Calibri" w:cs="Arial"/>
        <w:b/>
        <w:bCs/>
        <w:noProof/>
        <w:sz w:val="16"/>
        <w:szCs w:val="22"/>
        <w:lang w:val="en-CA"/>
      </w:rPr>
      <w:t>22</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958D1">
      <w:rPr>
        <w:rFonts w:ascii="Calibri" w:eastAsia="Calibri" w:hAnsi="Calibri" w:cs="Arial"/>
        <w:sz w:val="16"/>
        <w:szCs w:val="22"/>
        <w:lang w:val="en-CA"/>
      </w:rPr>
      <w:t>10009407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FC262" w14:textId="77777777" w:rsidR="00D8188D" w:rsidRPr="00ED49DF" w:rsidRDefault="00D8188D" w:rsidP="00154303">
    <w:pPr>
      <w:pStyle w:val="Pieddepage"/>
      <w:jc w:val="center"/>
      <w:rPr>
        <w:sz w:val="20"/>
        <w:lang w:val="fr-CA"/>
      </w:rPr>
    </w:pPr>
    <w:r w:rsidRPr="0079292E">
      <w:rPr>
        <w:sz w:val="20"/>
        <w:lang w:val="fr-CA"/>
      </w:rPr>
      <w:t xml:space="preserve">Produit par la Direction des services de données et de l’analyse de la Commission de la fonction publique du Canada – Mise à jour le </w:t>
    </w:r>
    <w:r>
      <w:rPr>
        <w:sz w:val="20"/>
        <w:lang w:val="fr-CA"/>
      </w:rPr>
      <w:t>20 août</w:t>
    </w:r>
    <w:r w:rsidRPr="0079292E">
      <w:rPr>
        <w:sz w:val="20"/>
        <w:lang w:val="fr-CA"/>
      </w:rPr>
      <w:t xml:space="preserve"> 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FDA7F" w14:textId="3FD72330" w:rsidR="00D8188D" w:rsidRPr="00F56FB7" w:rsidRDefault="00D8188D" w:rsidP="00C66B61">
    <w:pPr>
      <w:pBdr>
        <w:top w:val="single" w:sz="4" w:space="1" w:color="D9D9D9"/>
      </w:pBdr>
      <w:tabs>
        <w:tab w:val="center" w:pos="4680"/>
        <w:tab w:val="right" w:pos="9360"/>
      </w:tabs>
      <w:jc w:val="center"/>
      <w:rPr>
        <w:lang w:val="fr-CA"/>
      </w:rP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A35947" w:rsidRPr="00A35947">
      <w:rPr>
        <w:rFonts w:ascii="Calibri" w:eastAsia="Calibri" w:hAnsi="Calibri" w:cs="Arial"/>
        <w:b/>
        <w:bCs/>
        <w:noProof/>
        <w:sz w:val="16"/>
        <w:szCs w:val="22"/>
        <w:lang w:val="en-CA"/>
      </w:rPr>
      <w:t>15</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958D1">
      <w:rPr>
        <w:rFonts w:ascii="Calibri" w:eastAsia="Calibri" w:hAnsi="Calibri" w:cs="Arial"/>
        <w:sz w:val="16"/>
        <w:szCs w:val="22"/>
        <w:lang w:val="en-CA"/>
      </w:rPr>
      <w:t>10009407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B792" w14:textId="77777777" w:rsidR="00D8188D" w:rsidRPr="00A56930" w:rsidRDefault="00D8188D" w:rsidP="00EE6CEF">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DA1A" w14:textId="5706A4AA" w:rsidR="00D8188D" w:rsidRPr="00011B85" w:rsidRDefault="00D8188D" w:rsidP="00011B85">
    <w:pPr>
      <w:pBdr>
        <w:top w:val="single" w:sz="4" w:space="1" w:color="D9D9D9"/>
      </w:pBdr>
      <w:tabs>
        <w:tab w:val="center" w:pos="4680"/>
        <w:tab w:val="right" w:pos="9360"/>
      </w:tabs>
      <w:jc w:val="cente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A35947" w:rsidRPr="00A35947">
      <w:rPr>
        <w:rFonts w:ascii="Calibri" w:eastAsia="Calibri" w:hAnsi="Calibri" w:cs="Arial"/>
        <w:b/>
        <w:bCs/>
        <w:noProof/>
        <w:sz w:val="16"/>
        <w:szCs w:val="22"/>
        <w:lang w:val="en-CA"/>
      </w:rPr>
      <w:t>27</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958D1">
      <w:rPr>
        <w:rFonts w:ascii="Calibri" w:eastAsia="Calibri" w:hAnsi="Calibri" w:cs="Arial"/>
        <w:sz w:val="16"/>
        <w:szCs w:val="22"/>
        <w:lang w:val="en-CA"/>
      </w:rPr>
      <w:t>10009407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179664"/>
      <w:docPartObj>
        <w:docPartGallery w:val="Page Numbers (Bottom of Page)"/>
        <w:docPartUnique/>
      </w:docPartObj>
    </w:sdtPr>
    <w:sdtEndPr>
      <w:rPr>
        <w:noProof/>
      </w:rPr>
    </w:sdtEndPr>
    <w:sdtContent>
      <w:p w14:paraId="2EED3B23" w14:textId="6457CAF2" w:rsidR="00D8188D" w:rsidRDefault="00D8188D" w:rsidP="00C66B61">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Pr="000D2F59">
          <w:rPr>
            <w:rFonts w:ascii="Calibri" w:eastAsia="Calibri" w:hAnsi="Calibri" w:cs="Arial"/>
            <w:b/>
            <w:bCs/>
            <w:noProof/>
            <w:sz w:val="16"/>
            <w:szCs w:val="22"/>
            <w:lang w:val="en-CA"/>
          </w:rPr>
          <w:t>34</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958D1">
          <w:rPr>
            <w:rFonts w:ascii="Calibri" w:eastAsia="Calibri" w:hAnsi="Calibri" w:cs="Arial"/>
            <w:sz w:val="16"/>
            <w:szCs w:val="22"/>
            <w:lang w:val="en-CA"/>
          </w:rPr>
          <w:t>10009407</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EF62" w14:textId="28405355" w:rsidR="00D8188D" w:rsidRPr="00F56FB7" w:rsidRDefault="00D8188D" w:rsidP="00C66B61">
    <w:pPr>
      <w:pBdr>
        <w:top w:val="single" w:sz="4" w:space="1" w:color="D9D9D9"/>
      </w:pBdr>
      <w:tabs>
        <w:tab w:val="center" w:pos="4680"/>
        <w:tab w:val="right" w:pos="9360"/>
      </w:tabs>
      <w:jc w:val="center"/>
      <w:rPr>
        <w:lang w:val="fr-CA"/>
      </w:rP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A35947" w:rsidRPr="00A35947">
      <w:rPr>
        <w:rFonts w:ascii="Calibri" w:eastAsia="Calibri" w:hAnsi="Calibri" w:cs="Arial"/>
        <w:b/>
        <w:bCs/>
        <w:noProof/>
        <w:sz w:val="16"/>
        <w:szCs w:val="22"/>
        <w:lang w:val="en-CA"/>
      </w:rPr>
      <w:t>28</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E958D1">
      <w:rPr>
        <w:rFonts w:ascii="Calibri" w:eastAsia="Calibri" w:hAnsi="Calibri" w:cs="Arial"/>
        <w:sz w:val="16"/>
        <w:szCs w:val="22"/>
        <w:lang w:val="en-CA"/>
      </w:rPr>
      <w:t>10009407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F696" w14:textId="77777777" w:rsidR="00D8188D" w:rsidRDefault="00D8188D" w:rsidP="0051557E">
      <w:r>
        <w:separator/>
      </w:r>
    </w:p>
  </w:footnote>
  <w:footnote w:type="continuationSeparator" w:id="0">
    <w:p w14:paraId="7B96C887" w14:textId="77777777" w:rsidR="00D8188D" w:rsidRDefault="00D8188D"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458D8" w14:textId="352D5DEC" w:rsidR="00D8188D" w:rsidRPr="00D8188D" w:rsidRDefault="00D8188D" w:rsidP="00D8188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27B0" w14:textId="49815357" w:rsidR="00D8188D" w:rsidRPr="00D8188D" w:rsidRDefault="00D8188D" w:rsidP="00D8188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1489" w14:textId="77777777" w:rsidR="00D8188D" w:rsidRPr="00896F90" w:rsidRDefault="00D8188D">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9EE9" w14:textId="77777777" w:rsidR="00D8188D" w:rsidRDefault="00D8188D" w:rsidP="0051557E">
    <w:pPr>
      <w:pStyle w:val="En-tte"/>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48"/>
    <w:multiLevelType w:val="hybridMultilevel"/>
    <w:tmpl w:val="6E1460B4"/>
    <w:lvl w:ilvl="0" w:tplc="10090003">
      <w:start w:val="1"/>
      <w:numFmt w:val="bullet"/>
      <w:lvlText w:val="o"/>
      <w:lvlJc w:val="left"/>
      <w:pPr>
        <w:ind w:left="2061" w:hanging="360"/>
      </w:pPr>
      <w:rPr>
        <w:rFonts w:ascii="Courier New" w:hAnsi="Courier New" w:cs="Courier New" w:hint="default"/>
        <w:color w:val="54575A" w:themeColor="text1"/>
      </w:rPr>
    </w:lvl>
    <w:lvl w:ilvl="1" w:tplc="7C82211A">
      <w:start w:val="1"/>
      <w:numFmt w:val="bullet"/>
      <w:lvlText w:val=""/>
      <w:lvlJc w:val="left"/>
      <w:pPr>
        <w:ind w:left="2781" w:hanging="360"/>
      </w:pPr>
      <w:rPr>
        <w:rFonts w:ascii="Symbol" w:hAnsi="Symbol"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1" w15:restartNumberingAfterBreak="0">
    <w:nsid w:val="02CF6E65"/>
    <w:multiLevelType w:val="hybridMultilevel"/>
    <w:tmpl w:val="56AEBF50"/>
    <w:lvl w:ilvl="0" w:tplc="CF92CBCA">
      <w:start w:val="1"/>
      <w:numFmt w:val="bullet"/>
      <w:lvlText w:val=""/>
      <w:lvlJc w:val="left"/>
      <w:pPr>
        <w:ind w:left="2061" w:hanging="360"/>
      </w:pPr>
      <w:rPr>
        <w:rFonts w:ascii="Symbol" w:hAnsi="Symbol" w:hint="default"/>
        <w:color w:val="54575A" w:themeColor="text1"/>
      </w:rPr>
    </w:lvl>
    <w:lvl w:ilvl="1" w:tplc="7C82211A">
      <w:start w:val="1"/>
      <w:numFmt w:val="bullet"/>
      <w:lvlText w:val=""/>
      <w:lvlJc w:val="left"/>
      <w:pPr>
        <w:ind w:left="2781" w:hanging="360"/>
      </w:pPr>
      <w:rPr>
        <w:rFonts w:ascii="Symbol" w:hAnsi="Symbol"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2" w15:restartNumberingAfterBreak="0">
    <w:nsid w:val="02D72EB4"/>
    <w:multiLevelType w:val="hybridMultilevel"/>
    <w:tmpl w:val="D22EB260"/>
    <w:lvl w:ilvl="0" w:tplc="10090001">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9104A4"/>
    <w:multiLevelType w:val="hybridMultilevel"/>
    <w:tmpl w:val="00C49782"/>
    <w:lvl w:ilvl="0" w:tplc="F2B4A5D0">
      <w:start w:val="1"/>
      <w:numFmt w:val="bullet"/>
      <w:lvlText w:val=""/>
      <w:lvlJc w:val="left"/>
      <w:pPr>
        <w:ind w:left="720" w:hanging="360"/>
      </w:pPr>
      <w:rPr>
        <w:rFonts w:ascii="Symbol" w:hAnsi="Symbol" w:hint="default"/>
        <w:b/>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12E48"/>
    <w:multiLevelType w:val="hybridMultilevel"/>
    <w:tmpl w:val="69D8F1F0"/>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5" w15:restartNumberingAfterBreak="0">
    <w:nsid w:val="06232685"/>
    <w:multiLevelType w:val="hybridMultilevel"/>
    <w:tmpl w:val="F230B7E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0E201564"/>
    <w:multiLevelType w:val="hybridMultilevel"/>
    <w:tmpl w:val="B854DE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A90A0D"/>
    <w:multiLevelType w:val="hybridMultilevel"/>
    <w:tmpl w:val="4E4C1586"/>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3A31DC"/>
    <w:multiLevelType w:val="hybridMultilevel"/>
    <w:tmpl w:val="0D6C2602"/>
    <w:lvl w:ilvl="0" w:tplc="10090001">
      <w:start w:val="1"/>
      <w:numFmt w:val="bullet"/>
      <w:lvlText w:val=""/>
      <w:lvlJc w:val="left"/>
      <w:pPr>
        <w:ind w:left="360" w:hanging="360"/>
      </w:pPr>
      <w:rPr>
        <w:rFonts w:ascii="Symbol" w:hAnsi="Symbol" w:hint="default"/>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6E2164"/>
    <w:multiLevelType w:val="hybridMultilevel"/>
    <w:tmpl w:val="80A49054"/>
    <w:lvl w:ilvl="0" w:tplc="3DE84C70">
      <w:start w:val="1"/>
      <w:numFmt w:val="bullet"/>
      <w:lvlText w:val=""/>
      <w:lvlJc w:val="left"/>
      <w:pPr>
        <w:ind w:left="720" w:hanging="360"/>
      </w:pPr>
      <w:rPr>
        <w:rFonts w:ascii="Wingdings" w:hAnsi="Wingdings" w:hint="default"/>
        <w:color w:val="auto"/>
      </w:rPr>
    </w:lvl>
    <w:lvl w:ilvl="1" w:tplc="3DE84C70">
      <w:start w:val="1"/>
      <w:numFmt w:val="bullet"/>
      <w:lvlText w:val=""/>
      <w:lvlJc w:val="left"/>
      <w:pPr>
        <w:ind w:left="1440" w:hanging="360"/>
      </w:pPr>
      <w:rPr>
        <w:rFonts w:ascii="Wingdings" w:hAnsi="Wingdings"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BC2F79"/>
    <w:multiLevelType w:val="hybridMultilevel"/>
    <w:tmpl w:val="C28C30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20"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F214987"/>
    <w:multiLevelType w:val="hybridMultilevel"/>
    <w:tmpl w:val="16CE1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E44718C"/>
    <w:multiLevelType w:val="hybridMultilevel"/>
    <w:tmpl w:val="A22C159E"/>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A481C"/>
    <w:multiLevelType w:val="multilevel"/>
    <w:tmpl w:val="2328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C19D5"/>
    <w:multiLevelType w:val="hybridMultilevel"/>
    <w:tmpl w:val="0D12BF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9667F5F"/>
    <w:multiLevelType w:val="hybridMultilevel"/>
    <w:tmpl w:val="4316F0E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595C82"/>
    <w:multiLevelType w:val="hybridMultilevel"/>
    <w:tmpl w:val="6772D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3693144"/>
    <w:multiLevelType w:val="hybridMultilevel"/>
    <w:tmpl w:val="8FFE8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D25E2C"/>
    <w:multiLevelType w:val="hybridMultilevel"/>
    <w:tmpl w:val="F67EC2D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A96095"/>
    <w:multiLevelType w:val="hybridMultilevel"/>
    <w:tmpl w:val="F9281FF4"/>
    <w:lvl w:ilvl="0" w:tplc="5B7286B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9" w15:restartNumberingAfterBreak="0">
    <w:nsid w:val="6D0C3C2F"/>
    <w:multiLevelType w:val="hybridMultilevel"/>
    <w:tmpl w:val="4224CA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6003D15"/>
    <w:multiLevelType w:val="hybridMultilevel"/>
    <w:tmpl w:val="3C18D050"/>
    <w:lvl w:ilvl="0" w:tplc="10090001">
      <w:start w:val="1"/>
      <w:numFmt w:val="bullet"/>
      <w:lvlText w:val=""/>
      <w:lvlJc w:val="left"/>
      <w:pPr>
        <w:ind w:left="360" w:hanging="360"/>
      </w:pPr>
      <w:rPr>
        <w:rFonts w:ascii="Symbol" w:hAnsi="Symbol" w:hint="default"/>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B8F7E94"/>
    <w:multiLevelType w:val="hybridMultilevel"/>
    <w:tmpl w:val="AE267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D894F13"/>
    <w:multiLevelType w:val="hybridMultilevel"/>
    <w:tmpl w:val="966C3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27"/>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5"/>
  </w:num>
  <w:num w:numId="7">
    <w:abstractNumId w:val="28"/>
  </w:num>
  <w:num w:numId="8">
    <w:abstractNumId w:val="21"/>
  </w:num>
  <w:num w:numId="9">
    <w:abstractNumId w:val="14"/>
  </w:num>
  <w:num w:numId="10">
    <w:abstractNumId w:val="8"/>
  </w:num>
  <w:num w:numId="11">
    <w:abstractNumId w:val="39"/>
  </w:num>
  <w:num w:numId="12">
    <w:abstractNumId w:val="1"/>
  </w:num>
  <w:num w:numId="13">
    <w:abstractNumId w:val="42"/>
  </w:num>
  <w:num w:numId="14">
    <w:abstractNumId w:val="9"/>
  </w:num>
  <w:num w:numId="15">
    <w:abstractNumId w:val="3"/>
  </w:num>
  <w:num w:numId="16">
    <w:abstractNumId w:val="30"/>
  </w:num>
  <w:num w:numId="17">
    <w:abstractNumId w:val="34"/>
  </w:num>
  <w:num w:numId="18">
    <w:abstractNumId w:val="37"/>
  </w:num>
  <w:num w:numId="19">
    <w:abstractNumId w:val="5"/>
  </w:num>
  <w:num w:numId="20">
    <w:abstractNumId w:val="31"/>
  </w:num>
  <w:num w:numId="21">
    <w:abstractNumId w:val="29"/>
  </w:num>
  <w:num w:numId="22">
    <w:abstractNumId w:val="18"/>
  </w:num>
  <w:num w:numId="23">
    <w:abstractNumId w:val="17"/>
  </w:num>
  <w:num w:numId="24">
    <w:abstractNumId w:val="43"/>
  </w:num>
  <w:num w:numId="25">
    <w:abstractNumId w:val="11"/>
  </w:num>
  <w:num w:numId="26">
    <w:abstractNumId w:val="2"/>
  </w:num>
  <w:num w:numId="27">
    <w:abstractNumId w:val="38"/>
  </w:num>
  <w:num w:numId="28">
    <w:abstractNumId w:val="0"/>
  </w:num>
  <w:num w:numId="29">
    <w:abstractNumId w:val="32"/>
  </w:num>
  <w:num w:numId="30">
    <w:abstractNumId w:val="16"/>
  </w:num>
  <w:num w:numId="31">
    <w:abstractNumId w:val="35"/>
  </w:num>
  <w:num w:numId="32">
    <w:abstractNumId w:val="41"/>
  </w:num>
  <w:num w:numId="33">
    <w:abstractNumId w:val="22"/>
  </w:num>
  <w:num w:numId="34">
    <w:abstractNumId w:val="4"/>
  </w:num>
  <w:num w:numId="35">
    <w:abstractNumId w:val="44"/>
  </w:num>
  <w:num w:numId="36">
    <w:abstractNumId w:val="7"/>
  </w:num>
  <w:num w:numId="37">
    <w:abstractNumId w:val="40"/>
  </w:num>
  <w:num w:numId="38">
    <w:abstractNumId w:val="6"/>
  </w:num>
  <w:num w:numId="39">
    <w:abstractNumId w:val="45"/>
  </w:num>
  <w:num w:numId="40">
    <w:abstractNumId w:val="33"/>
  </w:num>
  <w:num w:numId="41">
    <w:abstractNumId w:val="23"/>
  </w:num>
  <w:num w:numId="42">
    <w:abstractNumId w:val="25"/>
  </w:num>
  <w:num w:numId="43">
    <w:abstractNumId w:val="10"/>
  </w:num>
  <w:num w:numId="44">
    <w:abstractNumId w:val="36"/>
  </w:num>
  <w:num w:numId="45">
    <w:abstractNumId w:val="20"/>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720"/>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DC"/>
    <w:rsid w:val="00011B85"/>
    <w:rsid w:val="000537CC"/>
    <w:rsid w:val="00054758"/>
    <w:rsid w:val="00063516"/>
    <w:rsid w:val="00070BD2"/>
    <w:rsid w:val="00081375"/>
    <w:rsid w:val="000A29A5"/>
    <w:rsid w:val="000B01B9"/>
    <w:rsid w:val="000D2F59"/>
    <w:rsid w:val="000F1718"/>
    <w:rsid w:val="00104FD4"/>
    <w:rsid w:val="00121B33"/>
    <w:rsid w:val="0012388A"/>
    <w:rsid w:val="00142B06"/>
    <w:rsid w:val="00154303"/>
    <w:rsid w:val="00173EA3"/>
    <w:rsid w:val="00183CCD"/>
    <w:rsid w:val="001F0502"/>
    <w:rsid w:val="001F3875"/>
    <w:rsid w:val="001F4139"/>
    <w:rsid w:val="00210749"/>
    <w:rsid w:val="002318A3"/>
    <w:rsid w:val="00244CD0"/>
    <w:rsid w:val="00251B7C"/>
    <w:rsid w:val="002678C3"/>
    <w:rsid w:val="002B594E"/>
    <w:rsid w:val="002D0B88"/>
    <w:rsid w:val="002E6E29"/>
    <w:rsid w:val="0030367C"/>
    <w:rsid w:val="003128BA"/>
    <w:rsid w:val="0031519E"/>
    <w:rsid w:val="003329E9"/>
    <w:rsid w:val="003454A6"/>
    <w:rsid w:val="00387F3B"/>
    <w:rsid w:val="003B7863"/>
    <w:rsid w:val="003E30EA"/>
    <w:rsid w:val="003E5F23"/>
    <w:rsid w:val="0040579D"/>
    <w:rsid w:val="0042588C"/>
    <w:rsid w:val="00433E18"/>
    <w:rsid w:val="00437969"/>
    <w:rsid w:val="004401BA"/>
    <w:rsid w:val="00455E7C"/>
    <w:rsid w:val="00497F4C"/>
    <w:rsid w:val="004A5A28"/>
    <w:rsid w:val="004B6AD3"/>
    <w:rsid w:val="004E5B87"/>
    <w:rsid w:val="00507362"/>
    <w:rsid w:val="0051557E"/>
    <w:rsid w:val="00527FD9"/>
    <w:rsid w:val="00557C45"/>
    <w:rsid w:val="00575306"/>
    <w:rsid w:val="00593F64"/>
    <w:rsid w:val="005B3F09"/>
    <w:rsid w:val="005B6740"/>
    <w:rsid w:val="005E25A4"/>
    <w:rsid w:val="0060298A"/>
    <w:rsid w:val="00624CD3"/>
    <w:rsid w:val="006678AA"/>
    <w:rsid w:val="00704403"/>
    <w:rsid w:val="00723746"/>
    <w:rsid w:val="00725C92"/>
    <w:rsid w:val="00742791"/>
    <w:rsid w:val="00760127"/>
    <w:rsid w:val="007E17D1"/>
    <w:rsid w:val="00821610"/>
    <w:rsid w:val="00832C00"/>
    <w:rsid w:val="00853E06"/>
    <w:rsid w:val="00854AF8"/>
    <w:rsid w:val="00991C23"/>
    <w:rsid w:val="00997D3F"/>
    <w:rsid w:val="009B30C3"/>
    <w:rsid w:val="009F1E7C"/>
    <w:rsid w:val="00A14EFD"/>
    <w:rsid w:val="00A35947"/>
    <w:rsid w:val="00A3677B"/>
    <w:rsid w:val="00A77330"/>
    <w:rsid w:val="00A91C1A"/>
    <w:rsid w:val="00A94564"/>
    <w:rsid w:val="00AA0745"/>
    <w:rsid w:val="00AA3B30"/>
    <w:rsid w:val="00B041F6"/>
    <w:rsid w:val="00B739DC"/>
    <w:rsid w:val="00B86617"/>
    <w:rsid w:val="00B86FD7"/>
    <w:rsid w:val="00B927BA"/>
    <w:rsid w:val="00BB3D6C"/>
    <w:rsid w:val="00BC3A62"/>
    <w:rsid w:val="00BE11CC"/>
    <w:rsid w:val="00C01949"/>
    <w:rsid w:val="00C031C5"/>
    <w:rsid w:val="00C05009"/>
    <w:rsid w:val="00C207E9"/>
    <w:rsid w:val="00C4178E"/>
    <w:rsid w:val="00C562F1"/>
    <w:rsid w:val="00C6505B"/>
    <w:rsid w:val="00C66B61"/>
    <w:rsid w:val="00C83CB0"/>
    <w:rsid w:val="00C92217"/>
    <w:rsid w:val="00C9612C"/>
    <w:rsid w:val="00CA1AB3"/>
    <w:rsid w:val="00CB2533"/>
    <w:rsid w:val="00CC1F36"/>
    <w:rsid w:val="00D269E7"/>
    <w:rsid w:val="00D5487B"/>
    <w:rsid w:val="00D733A3"/>
    <w:rsid w:val="00D74A6F"/>
    <w:rsid w:val="00D8188D"/>
    <w:rsid w:val="00D835F3"/>
    <w:rsid w:val="00D874AA"/>
    <w:rsid w:val="00DB02D7"/>
    <w:rsid w:val="00DD2BFA"/>
    <w:rsid w:val="00DD389D"/>
    <w:rsid w:val="00DF0A40"/>
    <w:rsid w:val="00E13B5B"/>
    <w:rsid w:val="00E2286C"/>
    <w:rsid w:val="00E3175F"/>
    <w:rsid w:val="00E501F6"/>
    <w:rsid w:val="00E554A0"/>
    <w:rsid w:val="00E674BE"/>
    <w:rsid w:val="00E73079"/>
    <w:rsid w:val="00E84DA5"/>
    <w:rsid w:val="00EA313B"/>
    <w:rsid w:val="00EB0347"/>
    <w:rsid w:val="00ED7F0A"/>
    <w:rsid w:val="00EE6CEF"/>
    <w:rsid w:val="00EF48FD"/>
    <w:rsid w:val="00F063E0"/>
    <w:rsid w:val="00F2210B"/>
    <w:rsid w:val="00F56FB7"/>
    <w:rsid w:val="00F737CF"/>
    <w:rsid w:val="00F76061"/>
    <w:rsid w:val="00F82CF5"/>
    <w:rsid w:val="00F83861"/>
    <w:rsid w:val="00F92BF4"/>
    <w:rsid w:val="00FA7BED"/>
    <w:rsid w:val="00FB0439"/>
    <w:rsid w:val="00FB1CA0"/>
    <w:rsid w:val="00FB4772"/>
    <w:rsid w:val="00FD51B3"/>
    <w:rsid w:val="00FE05A3"/>
    <w:rsid w:val="00FE0BC5"/>
    <w:rsid w:val="00FF09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F36578"/>
  <w15:chartTrackingRefBased/>
  <w15:docId w15:val="{3B235D2E-D171-4575-80ED-56D79F39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DC"/>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paragraph" w:styleId="Paragraphedeliste">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ParagraphedelisteC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D835F3"/>
    <w:rPr>
      <w:rFonts w:ascii="Segoe UI Semibold" w:hAnsi="Segoe UI Semibold"/>
      <w:b w:val="0"/>
      <w:color w:val="auto"/>
      <w:sz w:val="22"/>
    </w:rPr>
  </w:style>
  <w:style w:type="paragraph" w:styleId="Titre">
    <w:name w:val="Title"/>
    <w:basedOn w:val="Normal"/>
    <w:next w:val="Normal"/>
    <w:link w:val="TitreCar"/>
    <w:autoRedefine/>
    <w:uiPriority w:val="10"/>
    <w:qFormat/>
    <w:rsid w:val="00387F3B"/>
    <w:pPr>
      <w:spacing w:before="1200" w:line="1200" w:lineRule="exact"/>
      <w:contextualSpacing/>
      <w:jc w:val="center"/>
    </w:pPr>
    <w:rPr>
      <w:rFonts w:ascii="Segoe UI Light" w:eastAsiaTheme="majorEastAsia" w:hAnsi="Segoe UI Light" w:cs="Segoe UI Light"/>
      <w:spacing w:val="-10"/>
      <w:kern w:val="28"/>
      <w:sz w:val="52"/>
      <w:szCs w:val="52"/>
      <w:lang w:val="fr-CA" w:bidi="fr-FR"/>
    </w:rPr>
  </w:style>
  <w:style w:type="character" w:customStyle="1" w:styleId="TitreCar">
    <w:name w:val="Titre Car"/>
    <w:basedOn w:val="Policepardfaut"/>
    <w:link w:val="Titre"/>
    <w:uiPriority w:val="10"/>
    <w:rsid w:val="00387F3B"/>
    <w:rPr>
      <w:rFonts w:ascii="Segoe UI Light" w:eastAsiaTheme="majorEastAsia" w:hAnsi="Segoe UI Light" w:cs="Segoe UI Light"/>
      <w:spacing w:val="-10"/>
      <w:kern w:val="28"/>
      <w:sz w:val="52"/>
      <w:szCs w:val="52"/>
      <w:lang w:val="fr-CA" w:bidi="fr-FR"/>
    </w:rPr>
  </w:style>
  <w:style w:type="paragraph" w:styleId="NormalWeb">
    <w:name w:val="Normal (Web)"/>
    <w:basedOn w:val="Normal"/>
    <w:uiPriority w:val="99"/>
    <w:unhideWhenUsed/>
    <w:rsid w:val="00B739DC"/>
    <w:pPr>
      <w:spacing w:before="100" w:beforeAutospacing="1" w:after="100" w:afterAutospacing="1"/>
    </w:pPr>
    <w:rPr>
      <w:rFonts w:ascii="Verdana" w:hAnsi="Verdana"/>
      <w:szCs w:val="24"/>
    </w:rPr>
  </w:style>
  <w:style w:type="paragraph" w:customStyle="1" w:styleId="Level1">
    <w:name w:val="Level 1"/>
    <w:basedOn w:val="Normal"/>
    <w:uiPriority w:val="99"/>
    <w:rsid w:val="00B739DC"/>
    <w:pPr>
      <w:widowControl w:val="0"/>
    </w:pPr>
  </w:style>
  <w:style w:type="character" w:styleId="Lienhypertexte">
    <w:name w:val="Hyperlink"/>
    <w:uiPriority w:val="99"/>
    <w:unhideWhenUsed/>
    <w:rsid w:val="00B739DC"/>
    <w:rPr>
      <w:color w:val="0563C1"/>
      <w:u w:val="single"/>
    </w:rPr>
  </w:style>
  <w:style w:type="character" w:customStyle="1" w:styleId="CommentaireCar">
    <w:name w:val="Commentaire Car"/>
    <w:basedOn w:val="Policepardfaut"/>
    <w:link w:val="Commentaire"/>
    <w:uiPriority w:val="99"/>
    <w:semiHidden/>
    <w:rsid w:val="00B739DC"/>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unhideWhenUsed/>
    <w:rsid w:val="00B739DC"/>
    <w:rPr>
      <w:sz w:val="20"/>
    </w:rPr>
  </w:style>
  <w:style w:type="character" w:customStyle="1" w:styleId="ObjetducommentaireCar">
    <w:name w:val="Objet du commentaire Car"/>
    <w:basedOn w:val="CommentaireCar"/>
    <w:link w:val="Objetducommentaire"/>
    <w:uiPriority w:val="99"/>
    <w:semiHidden/>
    <w:rsid w:val="00B739DC"/>
    <w:rPr>
      <w:rFonts w:ascii="Times New Roman" w:eastAsia="Times New Roman" w:hAnsi="Times New Roman"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B739DC"/>
    <w:rPr>
      <w:b/>
      <w:bCs/>
    </w:rPr>
  </w:style>
  <w:style w:type="paragraph" w:styleId="Sansinterligne">
    <w:name w:val="No Spacing"/>
    <w:uiPriority w:val="1"/>
    <w:qFormat/>
    <w:rsid w:val="00B739DC"/>
    <w:pPr>
      <w:spacing w:after="0" w:line="240" w:lineRule="auto"/>
    </w:pPr>
    <w:rPr>
      <w:rFonts w:ascii="Times New Roman" w:eastAsia="Times New Roman" w:hAnsi="Times New Roman" w:cs="Times New Roman"/>
      <w:sz w:val="24"/>
      <w:szCs w:val="20"/>
      <w:lang w:val="en-US"/>
    </w:rPr>
  </w:style>
  <w:style w:type="character" w:styleId="Lienhypertextesuivivisit">
    <w:name w:val="FollowedHyperlink"/>
    <w:uiPriority w:val="99"/>
    <w:semiHidden/>
    <w:unhideWhenUsed/>
    <w:rsid w:val="00B739DC"/>
    <w:rPr>
      <w:color w:val="954F72"/>
      <w:u w:val="single"/>
    </w:rPr>
  </w:style>
  <w:style w:type="paragraph" w:styleId="Notedefin">
    <w:name w:val="endnote text"/>
    <w:basedOn w:val="Normal"/>
    <w:link w:val="NotedefinCar"/>
    <w:unhideWhenUsed/>
    <w:rsid w:val="00B739DC"/>
    <w:rPr>
      <w:rFonts w:ascii="Arial" w:hAnsi="Arial"/>
      <w:sz w:val="20"/>
      <w:lang w:val="en-CA" w:eastAsia="en-CA"/>
    </w:rPr>
  </w:style>
  <w:style w:type="character" w:customStyle="1" w:styleId="NotedefinCar">
    <w:name w:val="Note de fin Car"/>
    <w:basedOn w:val="Policepardfaut"/>
    <w:link w:val="Notedefin"/>
    <w:rsid w:val="00B739DC"/>
    <w:rPr>
      <w:rFonts w:ascii="Arial" w:eastAsia="Times New Roman" w:hAnsi="Arial" w:cs="Times New Roman"/>
      <w:sz w:val="20"/>
      <w:szCs w:val="20"/>
      <w:lang w:eastAsia="en-CA"/>
    </w:rPr>
  </w:style>
  <w:style w:type="paragraph" w:customStyle="1" w:styleId="Style1">
    <w:name w:val="Style1"/>
    <w:basedOn w:val="Normal"/>
    <w:link w:val="Style1Char"/>
    <w:qFormat/>
    <w:rsid w:val="00B739DC"/>
    <w:pPr>
      <w:pBdr>
        <w:bottom w:val="single" w:sz="4" w:space="1" w:color="92D050"/>
      </w:pBdr>
      <w:autoSpaceDE w:val="0"/>
      <w:autoSpaceDN w:val="0"/>
      <w:adjustRightInd w:val="0"/>
      <w:ind w:right="50"/>
    </w:pPr>
    <w:rPr>
      <w:rFonts w:ascii="Arial" w:hAnsi="Arial" w:cs="Arial"/>
      <w:b/>
      <w:caps/>
      <w:color w:val="92D050"/>
      <w:sz w:val="22"/>
      <w:szCs w:val="22"/>
      <w:lang w:val="en-CA"/>
    </w:rPr>
  </w:style>
  <w:style w:type="character" w:customStyle="1" w:styleId="Style1Char">
    <w:name w:val="Style1 Char"/>
    <w:basedOn w:val="Policepardfaut"/>
    <w:link w:val="Style1"/>
    <w:rsid w:val="00B739DC"/>
    <w:rPr>
      <w:rFonts w:ascii="Arial" w:eastAsia="Times New Roman" w:hAnsi="Arial" w:cs="Arial"/>
      <w:b/>
      <w:caps/>
      <w:color w:val="92D050"/>
    </w:rPr>
  </w:style>
  <w:style w:type="paragraph" w:customStyle="1" w:styleId="Style2">
    <w:name w:val="Style2"/>
    <w:basedOn w:val="Normal"/>
    <w:link w:val="Style2Char"/>
    <w:qFormat/>
    <w:rsid w:val="00B739DC"/>
    <w:pPr>
      <w:shd w:val="clear" w:color="auto" w:fill="F2F2F2"/>
    </w:pPr>
    <w:rPr>
      <w:rFonts w:ascii="Arial" w:hAnsi="Arial" w:cs="Arial"/>
      <w:b/>
      <w:color w:val="009999"/>
      <w:spacing w:val="-10"/>
      <w:sz w:val="22"/>
      <w:szCs w:val="22"/>
      <w:lang w:val="en-CA"/>
    </w:rPr>
  </w:style>
  <w:style w:type="character" w:customStyle="1" w:styleId="Style2Char">
    <w:name w:val="Style2 Char"/>
    <w:basedOn w:val="Policepardfaut"/>
    <w:link w:val="Style2"/>
    <w:rsid w:val="00B739DC"/>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B739DC"/>
    <w:pPr>
      <w:jc w:val="center"/>
    </w:pPr>
    <w:rPr>
      <w:rFonts w:ascii="Arial" w:hAnsi="Arial" w:cs="Arial"/>
      <w:b/>
      <w:sz w:val="22"/>
      <w:szCs w:val="22"/>
      <w:u w:val="single"/>
    </w:rPr>
  </w:style>
  <w:style w:type="character" w:customStyle="1" w:styleId="Style3Char">
    <w:name w:val="Style3 Char"/>
    <w:basedOn w:val="Policepardfaut"/>
    <w:link w:val="Style3"/>
    <w:rsid w:val="00B739DC"/>
    <w:rPr>
      <w:rFonts w:ascii="Arial" w:eastAsia="Times New Roman" w:hAnsi="Arial" w:cs="Arial"/>
      <w:b/>
      <w:u w:val="single"/>
      <w:lang w:val="en-US"/>
    </w:rPr>
  </w:style>
  <w:style w:type="paragraph" w:customStyle="1" w:styleId="Style4">
    <w:name w:val="Style4"/>
    <w:basedOn w:val="Normal"/>
    <w:link w:val="Style4Char"/>
    <w:qFormat/>
    <w:rsid w:val="00B739DC"/>
    <w:rPr>
      <w:rFonts w:ascii="Arial" w:hAnsi="Arial" w:cs="Arial"/>
      <w:sz w:val="22"/>
      <w:szCs w:val="22"/>
      <w:u w:val="single"/>
      <w:lang w:val="en-CA" w:eastAsia="en-CA"/>
    </w:rPr>
  </w:style>
  <w:style w:type="character" w:customStyle="1" w:styleId="Style4Char">
    <w:name w:val="Style4 Char"/>
    <w:basedOn w:val="Policepardfaut"/>
    <w:link w:val="Style4"/>
    <w:rsid w:val="00B739DC"/>
    <w:rPr>
      <w:rFonts w:ascii="Arial" w:eastAsia="Times New Roman" w:hAnsi="Arial" w:cs="Arial"/>
      <w:u w:val="single"/>
      <w:lang w:eastAsia="en-CA"/>
    </w:rPr>
  </w:style>
  <w:style w:type="paragraph" w:customStyle="1" w:styleId="Style5">
    <w:name w:val="Style5"/>
    <w:basedOn w:val="Normal"/>
    <w:link w:val="Style5Char"/>
    <w:qFormat/>
    <w:rsid w:val="00B739DC"/>
    <w:pPr>
      <w:jc w:val="center"/>
    </w:pPr>
    <w:rPr>
      <w:rFonts w:ascii="Arial" w:hAnsi="Arial" w:cs="Arial"/>
      <w:b/>
      <w:bCs/>
      <w:sz w:val="22"/>
      <w:szCs w:val="22"/>
      <w:lang w:val="en"/>
    </w:rPr>
  </w:style>
  <w:style w:type="character" w:customStyle="1" w:styleId="Style5Char">
    <w:name w:val="Style5 Char"/>
    <w:basedOn w:val="Policepardfaut"/>
    <w:link w:val="Style5"/>
    <w:rsid w:val="00B739DC"/>
    <w:rPr>
      <w:rFonts w:ascii="Arial" w:eastAsia="Times New Roman" w:hAnsi="Arial" w:cs="Arial"/>
      <w:b/>
      <w:bCs/>
      <w:lang w:val="en"/>
    </w:rPr>
  </w:style>
  <w:style w:type="paragraph" w:customStyle="1" w:styleId="Style6">
    <w:name w:val="Style6"/>
    <w:basedOn w:val="Normal"/>
    <w:link w:val="Style6Char"/>
    <w:qFormat/>
    <w:rsid w:val="00B739DC"/>
    <w:pPr>
      <w:jc w:val="center"/>
    </w:pPr>
    <w:rPr>
      <w:rFonts w:ascii="Arial" w:hAnsi="Arial" w:cs="Arial"/>
      <w:b/>
      <w:color w:val="54575A" w:themeColor="text1"/>
      <w:szCs w:val="24"/>
    </w:rPr>
  </w:style>
  <w:style w:type="character" w:customStyle="1" w:styleId="Style6Char">
    <w:name w:val="Style6 Char"/>
    <w:basedOn w:val="Policepardfaut"/>
    <w:link w:val="Style6"/>
    <w:rsid w:val="00B739DC"/>
    <w:rPr>
      <w:rFonts w:ascii="Arial" w:eastAsia="Times New Roman" w:hAnsi="Arial" w:cs="Arial"/>
      <w:b/>
      <w:color w:val="54575A" w:themeColor="text1"/>
      <w:sz w:val="24"/>
      <w:szCs w:val="24"/>
      <w:lang w:val="en-US"/>
    </w:rPr>
  </w:style>
  <w:style w:type="paragraph" w:customStyle="1" w:styleId="Style7">
    <w:name w:val="Style7"/>
    <w:basedOn w:val="Normal"/>
    <w:link w:val="Style7Char"/>
    <w:qFormat/>
    <w:rsid w:val="00B739DC"/>
    <w:pPr>
      <w:jc w:val="center"/>
    </w:pPr>
    <w:rPr>
      <w:rFonts w:ascii="Arial" w:hAnsi="Arial" w:cs="Arial"/>
      <w:color w:val="54575A" w:themeColor="text1"/>
      <w:sz w:val="22"/>
      <w:szCs w:val="32"/>
    </w:rPr>
  </w:style>
  <w:style w:type="character" w:customStyle="1" w:styleId="Style7Char">
    <w:name w:val="Style7 Char"/>
    <w:basedOn w:val="Policepardfaut"/>
    <w:link w:val="Style7"/>
    <w:rsid w:val="00B739DC"/>
    <w:rPr>
      <w:rFonts w:ascii="Arial" w:eastAsia="Times New Roman" w:hAnsi="Arial" w:cs="Arial"/>
      <w:color w:val="54575A" w:themeColor="text1"/>
      <w:szCs w:val="32"/>
      <w:lang w:val="en-US"/>
    </w:rPr>
  </w:style>
  <w:style w:type="paragraph" w:customStyle="1" w:styleId="Style8">
    <w:name w:val="Style8"/>
    <w:basedOn w:val="Normal"/>
    <w:link w:val="Style8Char"/>
    <w:qFormat/>
    <w:rsid w:val="00B739DC"/>
    <w:rPr>
      <w:rFonts w:ascii="Arial" w:hAnsi="Arial" w:cs="Arial"/>
      <w:color w:val="767171"/>
      <w:sz w:val="16"/>
      <w:szCs w:val="22"/>
      <w:lang w:val="en-CA"/>
    </w:rPr>
  </w:style>
  <w:style w:type="character" w:customStyle="1" w:styleId="Style8Char">
    <w:name w:val="Style8 Char"/>
    <w:basedOn w:val="Policepardfaut"/>
    <w:link w:val="Style8"/>
    <w:rsid w:val="00B739DC"/>
    <w:rPr>
      <w:rFonts w:ascii="Arial" w:eastAsia="Times New Roman" w:hAnsi="Arial" w:cs="Arial"/>
      <w:color w:val="767171"/>
      <w:sz w:val="16"/>
    </w:rPr>
  </w:style>
  <w:style w:type="paragraph" w:customStyle="1" w:styleId="Style9">
    <w:name w:val="Style9"/>
    <w:basedOn w:val="Normal"/>
    <w:link w:val="Style9Char"/>
    <w:qFormat/>
    <w:rsid w:val="00B739DC"/>
    <w:rPr>
      <w:rFonts w:ascii="Arial" w:hAnsi="Arial" w:cs="Arial"/>
      <w:b/>
      <w:color w:val="009999"/>
      <w:spacing w:val="-10"/>
      <w:sz w:val="22"/>
      <w:szCs w:val="22"/>
      <w:lang w:val="en-CA"/>
    </w:rPr>
  </w:style>
  <w:style w:type="character" w:customStyle="1" w:styleId="Style9Char">
    <w:name w:val="Style9 Char"/>
    <w:basedOn w:val="Policepardfaut"/>
    <w:link w:val="Style9"/>
    <w:rsid w:val="00B739DC"/>
    <w:rPr>
      <w:rFonts w:ascii="Arial" w:eastAsia="Times New Roman" w:hAnsi="Arial" w:cs="Arial"/>
      <w:b/>
      <w:color w:val="009999"/>
      <w:spacing w:val="-10"/>
    </w:rPr>
  </w:style>
  <w:style w:type="character" w:styleId="Emphaseple">
    <w:name w:val="Subtle Emphasis"/>
    <w:basedOn w:val="Policepardfaut"/>
    <w:uiPriority w:val="19"/>
    <w:qFormat/>
    <w:rsid w:val="00B739DC"/>
    <w:rPr>
      <w:i/>
      <w:iCs/>
      <w:color w:val="A8ABAE" w:themeColor="text1" w:themeTint="7F"/>
    </w:rPr>
  </w:style>
  <w:style w:type="table" w:customStyle="1" w:styleId="TableGrid3">
    <w:name w:val="Table Grid3"/>
    <w:basedOn w:val="TableauNormal"/>
    <w:next w:val="Grilledutableau"/>
    <w:uiPriority w:val="39"/>
    <w:rsid w:val="00B739D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39"/>
    <w:rsid w:val="00B73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B739DC"/>
    <w:pPr>
      <w:spacing w:after="0" w:line="240" w:lineRule="auto"/>
    </w:pPr>
    <w:rPr>
      <w:rFonts w:ascii="Calibri" w:eastAsia="Calibri" w:hAnsi="Calibri" w:cs="Times New Roman"/>
      <w:sz w:val="20"/>
      <w:szCs w:val="20"/>
      <w:lang w:val="fr-FR" w:eastAsia="fr-FR" w:bidi="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500" w:themeFill="accent5"/>
      </w:tcPr>
    </w:tblStylePr>
    <w:tblStylePr w:type="band1Vert">
      <w:tblPr/>
      <w:tcPr>
        <w:shd w:val="clear" w:color="auto" w:fill="F4FF88" w:themeFill="accent5" w:themeFillTint="66"/>
      </w:tcPr>
    </w:tblStylePr>
    <w:tblStylePr w:type="band1Horz">
      <w:tblPr/>
      <w:tcPr>
        <w:shd w:val="clear" w:color="auto" w:fill="F4FF88" w:themeFill="accent5" w:themeFillTint="66"/>
      </w:tcPr>
    </w:tblStylePr>
  </w:style>
  <w:style w:type="character" w:styleId="lev">
    <w:name w:val="Strong"/>
    <w:basedOn w:val="Policepardfaut"/>
    <w:uiPriority w:val="22"/>
    <w:qFormat/>
    <w:rsid w:val="00D835F3"/>
    <w:rPr>
      <w:rFonts w:ascii="Segoe UI Semibold" w:hAnsi="Segoe UI Semibold"/>
      <w:b/>
      <w:bCs/>
      <w:color w:val="auto"/>
      <w:sz w:val="24"/>
    </w:rPr>
  </w:style>
  <w:style w:type="table" w:styleId="TableauGrille5Fonc">
    <w:name w:val="Grid Table 5 Dark"/>
    <w:basedOn w:val="TableauNormal"/>
    <w:uiPriority w:val="50"/>
    <w:rsid w:val="002B59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character" w:styleId="Marquedecommentaire">
    <w:name w:val="annotation reference"/>
    <w:basedOn w:val="Policepardfaut"/>
    <w:uiPriority w:val="99"/>
    <w:semiHidden/>
    <w:unhideWhenUsed/>
    <w:rsid w:val="00B86FD7"/>
    <w:rPr>
      <w:sz w:val="16"/>
      <w:szCs w:val="16"/>
    </w:rPr>
  </w:style>
  <w:style w:type="paragraph" w:styleId="Rvision">
    <w:name w:val="Revision"/>
    <w:hidden/>
    <w:uiPriority w:val="99"/>
    <w:semiHidden/>
    <w:rsid w:val="0042588C"/>
    <w:pPr>
      <w:spacing w:after="0" w:line="240" w:lineRule="auto"/>
    </w:pPr>
    <w:rPr>
      <w:rFonts w:ascii="Times New Roman" w:eastAsia="Times New Roman" w:hAnsi="Times New Roman" w:cs="Times New Roman"/>
      <w:sz w:val="24"/>
      <w:szCs w:val="20"/>
      <w:lang w:val="en-US"/>
    </w:rPr>
  </w:style>
  <w:style w:type="paragraph" w:styleId="Lgende">
    <w:name w:val="caption"/>
    <w:basedOn w:val="Normal"/>
    <w:next w:val="Normal"/>
    <w:uiPriority w:val="35"/>
    <w:unhideWhenUsed/>
    <w:qFormat/>
    <w:rsid w:val="00E2286C"/>
    <w:rPr>
      <w:rFonts w:asciiTheme="minorHAnsi" w:hAnsiTheme="minorHAnsi"/>
      <w:iCs/>
      <w:sz w:val="18"/>
      <w:szCs w:val="18"/>
    </w:rPr>
  </w:style>
  <w:style w:type="character" w:customStyle="1" w:styleId="ParagraphedelisteCar">
    <w:name w:val="Paragraphe de liste Car"/>
    <w:aliases w:val="TBS PB List Paragraph Car,Table Paragraph Car,Dot pt Car,Liste 1 Car,List Paragraph1 Car,Recommendation Car,List Paragraph11 Car,L Car,List Paragraph2 Car,CV text Car,Table text Car,F5 List Paragraph Car,List Paragraph111 Car"/>
    <w:basedOn w:val="Policepardfaut"/>
    <w:link w:val="Paragraphedeliste"/>
    <w:uiPriority w:val="34"/>
    <w:locked/>
    <w:rsid w:val="00DB02D7"/>
    <w:rPr>
      <w:rFonts w:ascii="Times New Roman" w:eastAsia="Times New Roman" w:hAnsi="Times New Roman" w:cs="Times New Roman"/>
      <w:sz w:val="24"/>
      <w:szCs w:val="20"/>
      <w:lang w:val="en-US"/>
    </w:rPr>
  </w:style>
  <w:style w:type="character" w:styleId="Accentuation">
    <w:name w:val="Emphasis"/>
    <w:basedOn w:val="Policepardfaut"/>
    <w:uiPriority w:val="20"/>
    <w:qFormat/>
    <w:rsid w:val="00D83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0304">
      <w:bodyDiv w:val="1"/>
      <w:marLeft w:val="0"/>
      <w:marRight w:val="0"/>
      <w:marTop w:val="0"/>
      <w:marBottom w:val="0"/>
      <w:divBdr>
        <w:top w:val="none" w:sz="0" w:space="0" w:color="auto"/>
        <w:left w:val="none" w:sz="0" w:space="0" w:color="auto"/>
        <w:bottom w:val="none" w:sz="0" w:space="0" w:color="auto"/>
        <w:right w:val="none" w:sz="0" w:space="0" w:color="auto"/>
      </w:divBdr>
    </w:div>
    <w:div w:id="190801274">
      <w:bodyDiv w:val="1"/>
      <w:marLeft w:val="0"/>
      <w:marRight w:val="0"/>
      <w:marTop w:val="0"/>
      <w:marBottom w:val="0"/>
      <w:divBdr>
        <w:top w:val="none" w:sz="0" w:space="0" w:color="auto"/>
        <w:left w:val="none" w:sz="0" w:space="0" w:color="auto"/>
        <w:bottom w:val="none" w:sz="0" w:space="0" w:color="auto"/>
        <w:right w:val="none" w:sz="0" w:space="0" w:color="auto"/>
      </w:divBdr>
    </w:div>
    <w:div w:id="383531623">
      <w:bodyDiv w:val="1"/>
      <w:marLeft w:val="0"/>
      <w:marRight w:val="0"/>
      <w:marTop w:val="0"/>
      <w:marBottom w:val="0"/>
      <w:divBdr>
        <w:top w:val="none" w:sz="0" w:space="0" w:color="auto"/>
        <w:left w:val="none" w:sz="0" w:space="0" w:color="auto"/>
        <w:bottom w:val="none" w:sz="0" w:space="0" w:color="auto"/>
        <w:right w:val="none" w:sz="0" w:space="0" w:color="auto"/>
      </w:divBdr>
    </w:div>
    <w:div w:id="688025241">
      <w:bodyDiv w:val="1"/>
      <w:marLeft w:val="0"/>
      <w:marRight w:val="0"/>
      <w:marTop w:val="0"/>
      <w:marBottom w:val="0"/>
      <w:divBdr>
        <w:top w:val="none" w:sz="0" w:space="0" w:color="auto"/>
        <w:left w:val="none" w:sz="0" w:space="0" w:color="auto"/>
        <w:bottom w:val="none" w:sz="0" w:space="0" w:color="auto"/>
        <w:right w:val="none" w:sz="0" w:space="0" w:color="auto"/>
      </w:divBdr>
    </w:div>
    <w:div w:id="692847901">
      <w:bodyDiv w:val="1"/>
      <w:marLeft w:val="0"/>
      <w:marRight w:val="0"/>
      <w:marTop w:val="0"/>
      <w:marBottom w:val="0"/>
      <w:divBdr>
        <w:top w:val="none" w:sz="0" w:space="0" w:color="auto"/>
        <w:left w:val="none" w:sz="0" w:space="0" w:color="auto"/>
        <w:bottom w:val="none" w:sz="0" w:space="0" w:color="auto"/>
        <w:right w:val="none" w:sz="0" w:space="0" w:color="auto"/>
      </w:divBdr>
    </w:div>
    <w:div w:id="1396901486">
      <w:bodyDiv w:val="1"/>
      <w:marLeft w:val="0"/>
      <w:marRight w:val="0"/>
      <w:marTop w:val="0"/>
      <w:marBottom w:val="0"/>
      <w:divBdr>
        <w:top w:val="none" w:sz="0" w:space="0" w:color="auto"/>
        <w:left w:val="none" w:sz="0" w:space="0" w:color="auto"/>
        <w:bottom w:val="none" w:sz="0" w:space="0" w:color="auto"/>
        <w:right w:val="none" w:sz="0" w:space="0" w:color="auto"/>
      </w:divBdr>
    </w:div>
    <w:div w:id="1533151487">
      <w:bodyDiv w:val="1"/>
      <w:marLeft w:val="0"/>
      <w:marRight w:val="0"/>
      <w:marTop w:val="0"/>
      <w:marBottom w:val="0"/>
      <w:divBdr>
        <w:top w:val="none" w:sz="0" w:space="0" w:color="auto"/>
        <w:left w:val="none" w:sz="0" w:space="0" w:color="auto"/>
        <w:bottom w:val="none" w:sz="0" w:space="0" w:color="auto"/>
        <w:right w:val="none" w:sz="0" w:space="0" w:color="auto"/>
      </w:divBdr>
    </w:div>
    <w:div w:id="1798182886">
      <w:bodyDiv w:val="1"/>
      <w:marLeft w:val="0"/>
      <w:marRight w:val="0"/>
      <w:marTop w:val="0"/>
      <w:marBottom w:val="0"/>
      <w:divBdr>
        <w:top w:val="none" w:sz="0" w:space="0" w:color="auto"/>
        <w:left w:val="none" w:sz="0" w:space="0" w:color="auto"/>
        <w:bottom w:val="none" w:sz="0" w:space="0" w:color="auto"/>
        <w:right w:val="none" w:sz="0" w:space="0" w:color="auto"/>
      </w:divBdr>
    </w:div>
    <w:div w:id="18346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6.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5.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oter" Target="footer5.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CA" sz="1200" b="1">
                <a:latin typeface="+mn-lt"/>
                <a:cs typeface="Segoe UI Semibold" panose="020B0702040204020203" pitchFamily="34" charset="0"/>
              </a:rPr>
              <a:t>Population selon la durée d'emploi au 31 mars</a:t>
            </a:r>
          </a:p>
        </c:rich>
      </c:tx>
      <c:layout>
        <c:manualLayout>
          <c:xMode val="edge"/>
          <c:yMode val="edge"/>
          <c:x val="0.21029437930713973"/>
          <c:y val="2.391594926909912E-2"/>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 </c:v>
                </c:pt>
                <c:pt idx="1">
                  <c:v> 2015
(N=2 183) </c:v>
                </c:pt>
                <c:pt idx="2">
                  <c:v> 2016
(N=2 229) </c:v>
                </c:pt>
                <c:pt idx="3">
                  <c:v> 2017
(N=2 277) </c:v>
                </c:pt>
                <c:pt idx="4">
                  <c:v> 2018
(N=2 196) </c:v>
                </c:pt>
                <c:pt idx="5">
                  <c:v> 2019
(N=2 395) </c:v>
                </c:pt>
              </c:strCache>
            </c:strRef>
          </c:cat>
          <c:val>
            <c:numRef>
              <c:f>Sheet1!$B$2:$B$7</c:f>
              <c:numCache>
                <c:formatCode>#\ ###</c:formatCode>
                <c:ptCount val="6"/>
                <c:pt idx="0">
                  <c:v>1831</c:v>
                </c:pt>
                <c:pt idx="1">
                  <c:v>1851</c:v>
                </c:pt>
                <c:pt idx="2">
                  <c:v>1884</c:v>
                </c:pt>
                <c:pt idx="3">
                  <c:v>1916</c:v>
                </c:pt>
                <c:pt idx="4">
                  <c:v>1850</c:v>
                </c:pt>
                <c:pt idx="5">
                  <c:v>1941</c:v>
                </c:pt>
              </c:numCache>
            </c:numRef>
          </c:val>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892E-3"/>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5974025974025976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15584415584415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2.5974025974025927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 </c:v>
                </c:pt>
                <c:pt idx="1">
                  <c:v> 2015
(N=2 183) </c:v>
                </c:pt>
                <c:pt idx="2">
                  <c:v> 2016
(N=2 229) </c:v>
                </c:pt>
                <c:pt idx="3">
                  <c:v> 2017
(N=2 277) </c:v>
                </c:pt>
                <c:pt idx="4">
                  <c:v> 2018
(N=2 196) </c:v>
                </c:pt>
                <c:pt idx="5">
                  <c:v> 2019
(N=2 395) </c:v>
                </c:pt>
              </c:strCache>
            </c:strRef>
          </c:cat>
          <c:val>
            <c:numRef>
              <c:f>Sheet1!$C$2:$C$7</c:f>
              <c:numCache>
                <c:formatCode>#\ ###</c:formatCode>
                <c:ptCount val="6"/>
                <c:pt idx="0">
                  <c:v>113</c:v>
                </c:pt>
                <c:pt idx="1">
                  <c:v>139</c:v>
                </c:pt>
                <c:pt idx="2">
                  <c:v>114</c:v>
                </c:pt>
                <c:pt idx="3">
                  <c:v>112</c:v>
                </c:pt>
                <c:pt idx="4">
                  <c:v>127</c:v>
                </c:pt>
                <c:pt idx="5">
                  <c:v>179</c:v>
                </c:pt>
              </c:numCache>
            </c:numRef>
          </c:val>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 </c:v>
                </c:pt>
                <c:pt idx="1">
                  <c:v> 2015
(N=2 183) </c:v>
                </c:pt>
                <c:pt idx="2">
                  <c:v> 2016
(N=2 229) </c:v>
                </c:pt>
                <c:pt idx="3">
                  <c:v> 2017
(N=2 277) </c:v>
                </c:pt>
                <c:pt idx="4">
                  <c:v> 2018
(N=2 196) </c:v>
                </c:pt>
                <c:pt idx="5">
                  <c:v> 2019
(N=2 395) </c:v>
                </c:pt>
              </c:strCache>
            </c:strRef>
          </c:cat>
          <c:val>
            <c:numRef>
              <c:f>Sheet1!$D$2:$D$7</c:f>
              <c:numCache>
                <c:formatCode>#\ ###</c:formatCode>
                <c:ptCount val="6"/>
                <c:pt idx="0">
                  <c:v>103</c:v>
                </c:pt>
                <c:pt idx="1">
                  <c:v>92</c:v>
                </c:pt>
                <c:pt idx="2">
                  <c:v>113</c:v>
                </c:pt>
                <c:pt idx="3">
                  <c:v>109</c:v>
                </c:pt>
                <c:pt idx="4">
                  <c:v>103</c:v>
                </c:pt>
                <c:pt idx="5">
                  <c:v>132</c:v>
                </c:pt>
              </c:numCache>
            </c:numRef>
          </c:val>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(N=2 173) </c:v>
                </c:pt>
                <c:pt idx="1">
                  <c:v> 2015
(N=2 183) </c:v>
                </c:pt>
                <c:pt idx="2">
                  <c:v> 2016
(N=2 229) </c:v>
                </c:pt>
                <c:pt idx="3">
                  <c:v> 2017
(N=2 277) </c:v>
                </c:pt>
                <c:pt idx="4">
                  <c:v> 2018
(N=2 196) </c:v>
                </c:pt>
                <c:pt idx="5">
                  <c:v> 2019
(N=2 395) </c:v>
                </c:pt>
              </c:strCache>
            </c:strRef>
          </c:cat>
          <c:val>
            <c:numRef>
              <c:f>Sheet1!$E$2:$E$7</c:f>
              <c:numCache>
                <c:formatCode>#\ ###</c:formatCode>
                <c:ptCount val="6"/>
                <c:pt idx="0">
                  <c:v>126</c:v>
                </c:pt>
                <c:pt idx="1">
                  <c:v>101</c:v>
                </c:pt>
                <c:pt idx="2">
                  <c:v>118</c:v>
                </c:pt>
                <c:pt idx="3">
                  <c:v>140</c:v>
                </c:pt>
                <c:pt idx="4">
                  <c:v>116</c:v>
                </c:pt>
                <c:pt idx="5">
                  <c:v>143</c:v>
                </c:pt>
              </c:numCache>
            </c:numRef>
          </c:val>
        </c:ser>
        <c:dLbls>
          <c:dLblPos val="ctr"/>
          <c:showLegendKey val="0"/>
          <c:showVal val="1"/>
          <c:showCatName val="0"/>
          <c:showSerName val="0"/>
          <c:showPercent val="0"/>
          <c:showBubbleSize val="0"/>
        </c:dLbls>
        <c:gapWidth val="150"/>
        <c:overlap val="100"/>
        <c:axId val="368689952"/>
        <c:axId val="368689168"/>
      </c:barChart>
      <c:catAx>
        <c:axId val="3686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689168"/>
        <c:crosses val="autoZero"/>
        <c:auto val="1"/>
        <c:lblAlgn val="ctr"/>
        <c:lblOffset val="100"/>
        <c:noMultiLvlLbl val="0"/>
      </c:catAx>
      <c:valAx>
        <c:axId val="36868916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689952"/>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Embauche d'étudiants</a:t>
            </a:r>
          </a:p>
        </c:rich>
      </c:tx>
      <c:layout>
        <c:manualLayout>
          <c:xMode val="edge"/>
          <c:yMode val="edge"/>
          <c:x val="0.36464049076496124"/>
          <c:y val="2.686120181655068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(N=235)</c:v>
                </c:pt>
                <c:pt idx="1">
                  <c:v>2015-2016
 (N=266)</c:v>
                </c:pt>
                <c:pt idx="2">
                  <c:v>2016-2017
 (N=325)</c:v>
                </c:pt>
                <c:pt idx="3">
                  <c:v>2017-2018
 (N=227)</c:v>
                </c:pt>
                <c:pt idx="4">
                  <c:v>2018-2019
 (N=253)</c:v>
                </c:pt>
              </c:strCache>
            </c:strRef>
          </c:cat>
          <c:val>
            <c:numRef>
              <c:f>Sheet1!$B$2:$B$6</c:f>
              <c:numCache>
                <c:formatCode>General</c:formatCode>
                <c:ptCount val="5"/>
                <c:pt idx="0">
                  <c:v>105</c:v>
                </c:pt>
                <c:pt idx="1">
                  <c:v>119</c:v>
                </c:pt>
                <c:pt idx="2">
                  <c:v>166</c:v>
                </c:pt>
                <c:pt idx="3">
                  <c:v>122</c:v>
                </c:pt>
                <c:pt idx="4">
                  <c:v>144</c:v>
                </c:pt>
              </c:numCache>
            </c:numRef>
          </c:val>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237136465324384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(N=235)</c:v>
                </c:pt>
                <c:pt idx="1">
                  <c:v>2015-2016
 (N=266)</c:v>
                </c:pt>
                <c:pt idx="2">
                  <c:v>2016-2017
 (N=325)</c:v>
                </c:pt>
                <c:pt idx="3">
                  <c:v>2017-2018
 (N=227)</c:v>
                </c:pt>
                <c:pt idx="4">
                  <c:v>2018-2019
 (N=253)</c:v>
                </c:pt>
              </c:strCache>
            </c:strRef>
          </c:cat>
          <c:val>
            <c:numRef>
              <c:f>Sheet1!$C$2:$C$6</c:f>
              <c:numCache>
                <c:formatCode>General</c:formatCode>
                <c:ptCount val="5"/>
                <c:pt idx="0">
                  <c:v>123</c:v>
                </c:pt>
                <c:pt idx="1">
                  <c:v>142</c:v>
                </c:pt>
                <c:pt idx="2">
                  <c:v>158</c:v>
                </c:pt>
                <c:pt idx="3">
                  <c:v>102</c:v>
                </c:pt>
                <c:pt idx="4">
                  <c:v>106</c:v>
                </c:pt>
              </c:numCache>
            </c:numRef>
          </c:val>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layout>
                <c:manualLayout>
                  <c:x val="-3.7645013444658707E-17"/>
                  <c:y val="-2.60999254287844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237136465324384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1067761806981521E-3"/>
                  <c:y val="-2.60999254287844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237136465324384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067761806981521E-3"/>
                  <c:y val="-2.23713646532438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(N=235)</c:v>
                </c:pt>
                <c:pt idx="1">
                  <c:v>2015-2016
 (N=266)</c:v>
                </c:pt>
                <c:pt idx="2">
                  <c:v>2016-2017
 (N=325)</c:v>
                </c:pt>
                <c:pt idx="3">
                  <c:v>2017-2018
 (N=227)</c:v>
                </c:pt>
                <c:pt idx="4">
                  <c:v>2018-2019
 (N=253)</c:v>
                </c:pt>
              </c:strCache>
            </c:strRef>
          </c:cat>
          <c:val>
            <c:numRef>
              <c:f>Sheet1!$D$2:$D$6</c:f>
              <c:numCache>
                <c:formatCode>General</c:formatCode>
                <c:ptCount val="5"/>
                <c:pt idx="0">
                  <c:v>7</c:v>
                </c:pt>
                <c:pt idx="1">
                  <c:v>5</c:v>
                </c:pt>
                <c:pt idx="2">
                  <c:v>1</c:v>
                </c:pt>
                <c:pt idx="3">
                  <c:v>3</c:v>
                </c:pt>
                <c:pt idx="4">
                  <c:v>3</c:v>
                </c:pt>
              </c:numCache>
            </c:numRef>
          </c:val>
        </c:ser>
        <c:dLbls>
          <c:dLblPos val="ctr"/>
          <c:showLegendKey val="0"/>
          <c:showVal val="1"/>
          <c:showCatName val="0"/>
          <c:showSerName val="0"/>
          <c:showPercent val="0"/>
          <c:showBubbleSize val="0"/>
        </c:dLbls>
        <c:gapWidth val="150"/>
        <c:overlap val="100"/>
        <c:axId val="370704024"/>
        <c:axId val="370705984"/>
      </c:barChart>
      <c:catAx>
        <c:axId val="37070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5984"/>
        <c:crosses val="autoZero"/>
        <c:auto val="1"/>
        <c:lblAlgn val="ctr"/>
        <c:lblOffset val="100"/>
        <c:noMultiLvlLbl val="0"/>
      </c:catAx>
      <c:valAx>
        <c:axId val="370705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4024"/>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Activités d'embauche externe pour une période indéterminée et d'une durée déterminée : Programme de recrutement postsecondaire et embauche d'anciens étudiants</a:t>
            </a:r>
          </a:p>
        </c:rich>
      </c:tx>
      <c:layout>
        <c:manualLayout>
          <c:xMode val="edge"/>
          <c:yMode val="edge"/>
          <c:x val="0.123417650365373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498864861213496"/>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7525309567398852E-17"/>
                  <c:y val="1.118985453189094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4</c:v>
                </c:pt>
                <c:pt idx="1">
                  <c:v>2</c:v>
                </c:pt>
                <c:pt idx="2">
                  <c:v>6</c:v>
                </c:pt>
                <c:pt idx="3">
                  <c:v>2</c:v>
                </c:pt>
                <c:pt idx="4">
                  <c:v>11</c:v>
                </c:pt>
              </c:numCache>
            </c:numRef>
          </c:val>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3.729951510630361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832412523020931E-3"/>
                  <c:y val="1.49198060425214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50506191347977E-16"/>
                  <c:y val="3.729951510630396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7.459903021260706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51</c:v>
                </c:pt>
                <c:pt idx="1">
                  <c:v>25</c:v>
                </c:pt>
                <c:pt idx="2">
                  <c:v>55</c:v>
                </c:pt>
                <c:pt idx="3">
                  <c:v>70</c:v>
                </c:pt>
                <c:pt idx="4">
                  <c:v>79</c:v>
                </c:pt>
              </c:numCache>
            </c:numRef>
          </c:val>
        </c:ser>
        <c:dLbls>
          <c:showLegendKey val="0"/>
          <c:showVal val="1"/>
          <c:showCatName val="0"/>
          <c:showSerName val="0"/>
          <c:showPercent val="0"/>
          <c:showBubbleSize val="0"/>
        </c:dLbls>
        <c:gapWidth val="150"/>
        <c:shape val="box"/>
        <c:axId val="370706376"/>
        <c:axId val="370706768"/>
        <c:axId val="0"/>
      </c:bar3DChart>
      <c:catAx>
        <c:axId val="370706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6768"/>
        <c:crosses val="autoZero"/>
        <c:auto val="1"/>
        <c:lblAlgn val="ctr"/>
        <c:lblOffset val="100"/>
        <c:noMultiLvlLbl val="0"/>
      </c:catAx>
      <c:valAx>
        <c:axId val="3707067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6376"/>
        <c:crosses val="autoZero"/>
        <c:crossBetween val="between"/>
        <c:minorUnit val="1"/>
      </c:valAx>
      <c:spPr>
        <a:noFill/>
        <a:ln>
          <a:noFill/>
        </a:ln>
        <a:effectLst/>
      </c:spPr>
    </c:plotArea>
    <c:legend>
      <c:legendPos val="r"/>
      <c:layout>
        <c:manualLayout>
          <c:xMode val="edge"/>
          <c:yMode val="edge"/>
          <c:x val="4.7026870260002032E-2"/>
          <c:y val="0.8239915180315254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interne</a:t>
            </a:r>
          </a:p>
          <a:p>
            <a:pPr>
              <a:defRPr sz="1200"/>
            </a:pPr>
            <a:r>
              <a:rPr lang="en-CA" sz="1200"/>
              <a:t>Médiane pour la fonction publique = 176 jours</a:t>
            </a:r>
          </a:p>
          <a:p>
            <a:pPr>
              <a:defRPr sz="1200"/>
            </a:pPr>
            <a:r>
              <a:rPr lang="en-CA" sz="1200"/>
              <a:t> 2018-2019</a:t>
            </a:r>
          </a:p>
        </c:rich>
      </c:tx>
      <c:layout>
        <c:manualLayout>
          <c:xMode val="edge"/>
          <c:yMode val="edge"/>
          <c:x val="0.22699986279118145"/>
          <c:y val="3.618340667216639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370700496"/>
        <c:axId val="372024704"/>
      </c:barChart>
      <c:catAx>
        <c:axId val="3707004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24704"/>
        <c:crosses val="autoZero"/>
        <c:auto val="1"/>
        <c:lblAlgn val="ctr"/>
        <c:lblOffset val="100"/>
        <c:noMultiLvlLbl val="0"/>
      </c:catAx>
      <c:valAx>
        <c:axId val="372024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interne - Médiane pour </a:t>
            </a:r>
          </a:p>
          <a:p>
            <a:pPr>
              <a:defRPr sz="1200"/>
            </a:pPr>
            <a:r>
              <a:rPr lang="en-CA" sz="1200"/>
              <a:t>Agence de la santé publique Canada = 213 jours</a:t>
            </a:r>
          </a:p>
          <a:p>
            <a:pPr>
              <a:defRPr sz="1200"/>
            </a:pPr>
            <a:r>
              <a:rPr lang="en-CA" sz="1200"/>
              <a:t> 2018-2019</a:t>
            </a:r>
          </a:p>
        </c:rich>
      </c:tx>
      <c:layout>
        <c:manualLayout>
          <c:xMode val="edge"/>
          <c:yMode val="edge"/>
          <c:x val="0.23431457431457431"/>
          <c:y val="1.290972774744620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4060742407199097E-2"/>
          <c:y val="0.19575223828728727"/>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0</c:v>
                </c:pt>
                <c:pt idx="2">
                  <c:v>1</c:v>
                </c:pt>
                <c:pt idx="3">
                  <c:v>0</c:v>
                </c:pt>
                <c:pt idx="4">
                  <c:v>7</c:v>
                </c:pt>
                <c:pt idx="5">
                  <c:v>3</c:v>
                </c:pt>
                <c:pt idx="6">
                  <c:v>4</c:v>
                </c:pt>
                <c:pt idx="7">
                  <c:v>8</c:v>
                </c:pt>
                <c:pt idx="8">
                  <c:v>5</c:v>
                </c:pt>
                <c:pt idx="9">
                  <c:v>6</c:v>
                </c:pt>
                <c:pt idx="10">
                  <c:v>2</c:v>
                </c:pt>
                <c:pt idx="11">
                  <c:v>1</c:v>
                </c:pt>
                <c:pt idx="12">
                  <c:v>1</c:v>
                </c:pt>
                <c:pt idx="13">
                  <c:v>1</c:v>
                </c:pt>
                <c:pt idx="14">
                  <c:v>2</c:v>
                </c:pt>
                <c:pt idx="15">
                  <c:v>0</c:v>
                </c:pt>
                <c:pt idx="16">
                  <c:v>0</c:v>
                </c:pt>
                <c:pt idx="17">
                  <c:v>1</c:v>
                </c:pt>
                <c:pt idx="18">
                  <c:v>1</c:v>
                </c:pt>
                <c:pt idx="19">
                  <c:v>1</c:v>
                </c:pt>
                <c:pt idx="20">
                  <c:v>0</c:v>
                </c:pt>
                <c:pt idx="21">
                  <c:v>0</c:v>
                </c:pt>
                <c:pt idx="22">
                  <c:v>0</c:v>
                </c:pt>
                <c:pt idx="23">
                  <c:v>1</c:v>
                </c:pt>
                <c:pt idx="24">
                  <c:v>0</c:v>
                </c:pt>
                <c:pt idx="25">
                  <c:v>0</c:v>
                </c:pt>
                <c:pt idx="26">
                  <c:v>1</c:v>
                </c:pt>
                <c:pt idx="27">
                  <c:v>0</c:v>
                </c:pt>
                <c:pt idx="28">
                  <c:v>1</c:v>
                </c:pt>
                <c:pt idx="29">
                  <c:v>0</c:v>
                </c:pt>
                <c:pt idx="30">
                  <c:v>0</c:v>
                </c:pt>
                <c:pt idx="31">
                  <c:v>1</c:v>
                </c:pt>
                <c:pt idx="32">
                  <c:v>0</c:v>
                </c:pt>
                <c:pt idx="33">
                  <c:v>0</c:v>
                </c:pt>
                <c:pt idx="34">
                  <c:v>1</c:v>
                </c:pt>
              </c:numCache>
            </c:numRef>
          </c:val>
        </c:ser>
        <c:dLbls>
          <c:showLegendKey val="0"/>
          <c:showVal val="0"/>
          <c:showCatName val="0"/>
          <c:showSerName val="0"/>
          <c:showPercent val="0"/>
          <c:showBubbleSize val="0"/>
        </c:dLbls>
        <c:gapWidth val="150"/>
        <c:overlap val="100"/>
        <c:axId val="372026664"/>
        <c:axId val="372023920"/>
      </c:barChart>
      <c:catAx>
        <c:axId val="3720266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23920"/>
        <c:crosses val="autoZero"/>
        <c:auto val="1"/>
        <c:lblAlgn val="ctr"/>
        <c:lblOffset val="100"/>
        <c:noMultiLvlLbl val="0"/>
      </c:catAx>
      <c:valAx>
        <c:axId val="37202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26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a:t>
            </a:r>
          </a:p>
          <a:p>
            <a:pPr>
              <a:defRPr sz="1200"/>
            </a:pPr>
            <a:r>
              <a:rPr lang="en-CA" sz="1200"/>
              <a:t>Médiane pour la fonction publique = 186 jours</a:t>
            </a:r>
          </a:p>
          <a:p>
            <a:pPr>
              <a:defRPr sz="1200"/>
            </a:pPr>
            <a:r>
              <a:rPr lang="en-CA" sz="1200"/>
              <a:t> 2018-2019</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ser>
        <c:dLbls>
          <c:showLegendKey val="0"/>
          <c:showVal val="0"/>
          <c:showCatName val="0"/>
          <c:showSerName val="0"/>
          <c:showPercent val="0"/>
          <c:showBubbleSize val="0"/>
        </c:dLbls>
        <c:gapWidth val="150"/>
        <c:overlap val="100"/>
        <c:axId val="372024312"/>
        <c:axId val="372022744"/>
      </c:barChart>
      <c:catAx>
        <c:axId val="37202431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22744"/>
        <c:crosses val="autoZero"/>
        <c:auto val="1"/>
        <c:lblAlgn val="ctr"/>
        <c:lblOffset val="100"/>
        <c:noMultiLvlLbl val="0"/>
      </c:catAx>
      <c:valAx>
        <c:axId val="372022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202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le profil linguistique au 31 mars 2019 (N=2 395)</a:t>
            </a:r>
            <a:endParaRPr lang="en-CA" sz="1200"/>
          </a:p>
        </c:rich>
      </c:tx>
      <c:layout>
        <c:manualLayout>
          <c:xMode val="edge"/>
          <c:yMode val="edge"/>
          <c:x val="0.16470846903299391"/>
          <c:y val="1.370494449063432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explosion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dPt>
          <c:dLbls>
            <c:dLbl>
              <c:idx val="0"/>
              <c:layout>
                <c:manualLayout>
                  <c:x val="-9.8167539267015713E-2"/>
                  <c:y val="0.20652826005444977"/>
                </c:manualLayout>
              </c:layout>
              <c:showLegendKey val="0"/>
              <c:showVal val="0"/>
              <c:showCatName val="1"/>
              <c:showSerName val="0"/>
              <c:showPercent val="1"/>
              <c:showBubbleSize val="0"/>
              <c:extLst>
                <c:ext xmlns:c15="http://schemas.microsoft.com/office/drawing/2012/chart" uri="{CE6537A1-D6FC-4f65-9D91-7224C49458BB}">
                  <c15:layout>
                    <c:manualLayout>
                      <c:w val="0.43717277486910994"/>
                      <c:h val="0.16045548654244307"/>
                    </c:manualLayout>
                  </c15:layout>
                </c:ext>
              </c:extLst>
            </c:dLbl>
            <c:dLbl>
              <c:idx val="1"/>
              <c:layout>
                <c:manualLayout>
                  <c:x val="0.16579440986107102"/>
                  <c:y val="-0.18993739912945665"/>
                </c:manualLayout>
              </c:layout>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1170</c:v>
                </c:pt>
                <c:pt idx="1">
                  <c:v>854</c:v>
                </c:pt>
              </c:numCache>
            </c:numRef>
          </c:val>
        </c:ser>
        <c:dLbls>
          <c:showLegendKey val="0"/>
          <c:showVal val="0"/>
          <c:showCatName val="0"/>
          <c:showSerName val="0"/>
          <c:showPercent val="0"/>
          <c:showBubbleSize val="0"/>
          <c:showLeaderLines val="1"/>
        </c:dLbls>
        <c:firstSliceAng val="30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a:solidFill>
                  <a:sysClr val="windowText" lastClr="000000"/>
                </a:solidFill>
              </a:rPr>
              <a:t>Population selon le groupe professionnel au 31 mars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bg1">
                  <a:lumMod val="75000"/>
                </a:schemeClr>
              </a:solidFill>
              <a:ln w="3175">
                <a:solidFill>
                  <a:schemeClr val="lt1"/>
                </a:solidFill>
              </a:ln>
              <a:effectLst/>
            </c:spPr>
          </c:dPt>
          <c:dPt>
            <c:idx val="3"/>
            <c:bubble3D val="0"/>
            <c:spPr>
              <a:solidFill>
                <a:schemeClr val="accent5"/>
              </a:solidFill>
              <a:ln w="3175">
                <a:solidFill>
                  <a:schemeClr val="lt1"/>
                </a:solidFill>
              </a:ln>
              <a:effectLst/>
            </c:spPr>
          </c:dPt>
          <c:dPt>
            <c:idx val="4"/>
            <c:bubble3D val="0"/>
            <c:spPr>
              <a:solidFill>
                <a:schemeClr val="accent6"/>
              </a:solidFill>
              <a:ln w="3175">
                <a:solidFill>
                  <a:schemeClr val="lt1"/>
                </a:solidFill>
              </a:ln>
              <a:effectLst/>
            </c:spPr>
          </c:dPt>
          <c:dLbls>
            <c:dLbl>
              <c:idx val="0"/>
              <c:layout>
                <c:manualLayout>
                  <c:x val="0.1784512969398378"/>
                  <c:y val="-0.177846952010376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3632809865247292"/>
                  <c:y val="7.831694189977229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7.6887930908077828E-2"/>
                  <c:y val="0.185257309762349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0.17132232115196952"/>
                  <c:y val="0.1546591500965102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93624539944"/>
                      <c:h val="0.15953307392996108"/>
                    </c:manualLayout>
                  </c15:layout>
                </c:ext>
              </c:extLst>
            </c:dLbl>
            <c:dLbl>
              <c:idx val="4"/>
              <c:layout>
                <c:manualLayout>
                  <c:x val="-0.11173184357541899"/>
                  <c:y val="-1.822972517540365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815642458100558"/>
                      <c:h val="0.13878080415045396"/>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EC</c:v>
                </c:pt>
                <c:pt idx="1">
                  <c:v>AS</c:v>
                </c:pt>
                <c:pt idx="2">
                  <c:v>PM</c:v>
                </c:pt>
                <c:pt idx="3">
                  <c:v>EG</c:v>
                </c:pt>
                <c:pt idx="4">
                  <c:v>Autre</c:v>
                </c:pt>
              </c:strCache>
            </c:strRef>
          </c:cat>
          <c:val>
            <c:numRef>
              <c:f>Sheet1!$B$2:$B$6</c:f>
              <c:numCache>
                <c:formatCode>General</c:formatCode>
                <c:ptCount val="5"/>
                <c:pt idx="0">
                  <c:v>828</c:v>
                </c:pt>
                <c:pt idx="1">
                  <c:v>359</c:v>
                </c:pt>
                <c:pt idx="2">
                  <c:v>262</c:v>
                </c:pt>
                <c:pt idx="3">
                  <c:v>257</c:v>
                </c:pt>
                <c:pt idx="4">
                  <c:v>546</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la région au 31 mars 2019 (N=2 395)</a:t>
            </a:r>
            <a:endParaRPr lang="en-CA" sz="1200"/>
          </a:p>
        </c:rich>
      </c:tx>
      <c:layout>
        <c:manualLayout>
          <c:xMode val="edge"/>
          <c:yMode val="edge"/>
          <c:x val="0.12792086473061834"/>
          <c:y val="2.0703933747412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dLbl>
              <c:idx val="0"/>
              <c:layout>
                <c:manualLayout>
                  <c:x val="-0.12903225806451613"/>
                  <c:y val="0.25948142351771247"/>
                </c:manualLayout>
              </c:layout>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Lst>
            </c:dLbl>
            <c:dLbl>
              <c:idx val="1"/>
              <c:layout>
                <c:manualLayout>
                  <c:x val="0.2293906810035842"/>
                  <c:y val="-0.19136833439298348"/>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939</c:v>
                </c:pt>
                <c:pt idx="1">
                  <c:v>1453</c:v>
                </c:pt>
              </c:numCache>
            </c:numRef>
          </c:val>
        </c:ser>
        <c:dLbls>
          <c:showLegendKey val="0"/>
          <c:showVal val="0"/>
          <c:showCatName val="0"/>
          <c:showSerName val="0"/>
          <c:showPercent val="0"/>
          <c:showBubbleSize val="0"/>
          <c:showLeaderLines val="1"/>
        </c:dLbls>
        <c:firstSliceAng val="329"/>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 externe pour une période</a:t>
            </a:r>
            <a:r>
              <a:rPr lang="en-US" sz="1200" baseline="0">
                <a:solidFill>
                  <a:sysClr val="windowText" lastClr="000000"/>
                </a:solidFill>
              </a:rPr>
              <a:t> indéterminée selon le groupe professionnel</a:t>
            </a:r>
            <a:r>
              <a:rPr lang="en-US" sz="1200">
                <a:solidFill>
                  <a:sysClr val="windowText" lastClr="000000"/>
                </a:solidFill>
              </a:rPr>
              <a:t>,</a:t>
            </a:r>
          </a:p>
          <a:p>
            <a:pPr>
              <a:defRPr sz="1200" b="1">
                <a:solidFill>
                  <a:sysClr val="windowText" lastClr="000000"/>
                </a:solidFill>
              </a:defRPr>
            </a:pPr>
            <a:r>
              <a:rPr lang="en-US" sz="1200">
                <a:solidFill>
                  <a:sysClr val="windowText" lastClr="000000"/>
                </a:solidFill>
              </a:rPr>
              <a:t> 2018-2019 (N=88)</a:t>
            </a:r>
          </a:p>
        </c:rich>
      </c:tx>
      <c:layout>
        <c:manualLayout>
          <c:xMode val="edge"/>
          <c:yMode val="edge"/>
          <c:x val="0.13685786871253025"/>
          <c:y val="2.995172281345403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021914916183917E-2"/>
          <c:y val="0.4360810712369953"/>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2"/>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9.6620893402817407E-3"/>
                  <c:y val="-3.283741203300744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Lst>
            </c:dLbl>
            <c:dLbl>
              <c:idx val="1"/>
              <c:layout>
                <c:manualLayout>
                  <c:x val="-8.4932861653162928E-3"/>
                  <c:y val="3.5162507000249649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ext>
              </c:extLst>
            </c:dLbl>
            <c:dLbl>
              <c:idx val="2"/>
              <c:layout>
                <c:manualLayout>
                  <c:x val="-5.4542457555124598E-3"/>
                  <c:y val="-3.937696764282482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EC</c:v>
                </c:pt>
                <c:pt idx="1">
                  <c:v>AS</c:v>
                </c:pt>
                <c:pt idx="2">
                  <c:v>Autre</c:v>
                </c:pt>
              </c:strCache>
            </c:strRef>
          </c:cat>
          <c:val>
            <c:numRef>
              <c:f>Sheet1!$B$2:$B$4</c:f>
              <c:numCache>
                <c:formatCode>General</c:formatCode>
                <c:ptCount val="3"/>
                <c:pt idx="0">
                  <c:v>46</c:v>
                </c:pt>
                <c:pt idx="1">
                  <c:v>18</c:v>
                </c:pt>
                <c:pt idx="2">
                  <c:v>23</c:v>
                </c:pt>
              </c:numCache>
            </c:numRef>
          </c:val>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région</a:t>
            </a:r>
          </a:p>
        </c:rich>
      </c:tx>
      <c:layout>
        <c:manualLayout>
          <c:xMode val="edge"/>
          <c:yMode val="edge"/>
          <c:x val="0.35127422731517749"/>
          <c:y val="2.822279479176746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872265966754156E-4"/>
                  <c:y val="1.37056707212609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739743058433487E-3"/>
                  <c:y val="1.0495090375138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7804024496937879E-3"/>
                  <c:y val="1.791341955135510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0.63</c:v>
                </c:pt>
                <c:pt idx="1">
                  <c:v>0.67</c:v>
                </c:pt>
                <c:pt idx="2">
                  <c:v>0.68</c:v>
                </c:pt>
                <c:pt idx="3">
                  <c:v>0.68</c:v>
                </c:pt>
                <c:pt idx="4">
                  <c:v>0.7</c:v>
                </c:pt>
              </c:numCache>
            </c:numRef>
          </c:val>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152046783625733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0.37</c:v>
                </c:pt>
                <c:pt idx="1">
                  <c:v>0.33</c:v>
                </c:pt>
                <c:pt idx="2">
                  <c:v>0.32</c:v>
                </c:pt>
                <c:pt idx="3">
                  <c:v>0.33</c:v>
                </c:pt>
                <c:pt idx="4">
                  <c:v>0.3</c:v>
                </c:pt>
              </c:numCache>
            </c:numRef>
          </c:val>
        </c:ser>
        <c:dLbls>
          <c:showLegendKey val="0"/>
          <c:showVal val="0"/>
          <c:showCatName val="0"/>
          <c:showSerName val="0"/>
          <c:showPercent val="0"/>
          <c:showBubbleSize val="0"/>
        </c:dLbls>
        <c:gapWidth val="150"/>
        <c:axId val="368690344"/>
        <c:axId val="370704808"/>
      </c:barChart>
      <c:catAx>
        <c:axId val="368690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4808"/>
        <c:crosses val="autoZero"/>
        <c:auto val="1"/>
        <c:lblAlgn val="ctr"/>
        <c:lblOffset val="100"/>
        <c:noMultiLvlLbl val="0"/>
      </c:catAx>
      <c:valAx>
        <c:axId val="37070480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690344"/>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processus</a:t>
            </a:r>
          </a:p>
        </c:rich>
      </c:tx>
      <c:layout>
        <c:manualLayout>
          <c:xMode val="edge"/>
          <c:yMode val="edge"/>
          <c:x val="0.29251751625481892"/>
          <c:y val="1.720409297931697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5.3058212678015221E-2"/>
          <c:w val="0.84333349635643373"/>
          <c:h val="0.56874193419543051"/>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2646246444958E-3"/>
                  <c:y val="1.7419691649388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09749762955E-3"/>
                  <c:y val="1.73479257357692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2646246444333E-3"/>
                  <c:y val="1.79134195513551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98</c:v>
                </c:pt>
                <c:pt idx="1">
                  <c:v>66</c:v>
                </c:pt>
                <c:pt idx="2">
                  <c:v>82</c:v>
                </c:pt>
                <c:pt idx="3">
                  <c:v>164</c:v>
                </c:pt>
                <c:pt idx="4">
                  <c:v>195</c:v>
                </c:pt>
              </c:numCache>
            </c:numRef>
          </c:val>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6.9808027923211171E-3"/>
                  <c:y val="1.68488019004477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9808027923211171E-3"/>
                  <c:y val="1.39932739690732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197</c:v>
                </c:pt>
                <c:pt idx="1">
                  <c:v>164</c:v>
                </c:pt>
                <c:pt idx="2">
                  <c:v>169</c:v>
                </c:pt>
                <c:pt idx="3">
                  <c:v>218</c:v>
                </c:pt>
                <c:pt idx="4">
                  <c:v>312</c:v>
                </c:pt>
              </c:numCache>
            </c:numRef>
          </c:val>
        </c:ser>
        <c:dLbls>
          <c:showLegendKey val="0"/>
          <c:showVal val="0"/>
          <c:showCatName val="0"/>
          <c:showSerName val="0"/>
          <c:showPercent val="0"/>
          <c:showBubbleSize val="0"/>
        </c:dLbls>
        <c:gapWidth val="150"/>
        <c:axId val="370704416"/>
        <c:axId val="370705200"/>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71135479792792E-2"/>
                  <c:y val="-1.9250262040013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5632463481331851E-2"/>
                  <c:y val="-3.42210093363136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156078657707054E-2"/>
                  <c:y val="-2.52645693573038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7777686166192711E-2"/>
                  <c:y val="-2.79056089378240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8113671654917611E-2"/>
                  <c:y val="-4.0177580166707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19050" cap="flat" cmpd="sng" algn="ctr">
                      <a:solidFill>
                        <a:schemeClr val="dk1"/>
                      </a:solidFill>
                      <a:prstDash val="solid"/>
                      <a:miter lim="800000"/>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0.33</c:v>
                </c:pt>
                <c:pt idx="1">
                  <c:v>0.28999999999999998</c:v>
                </c:pt>
                <c:pt idx="2">
                  <c:v>0.33</c:v>
                </c:pt>
                <c:pt idx="3">
                  <c:v>0.43</c:v>
                </c:pt>
                <c:pt idx="4">
                  <c:v>0.38</c:v>
                </c:pt>
              </c:numCache>
            </c:numRef>
          </c:val>
          <c:smooth val="0"/>
        </c:ser>
        <c:dLbls>
          <c:showLegendKey val="0"/>
          <c:showVal val="0"/>
          <c:showCatName val="0"/>
          <c:showSerName val="0"/>
          <c:showPercent val="0"/>
          <c:showBubbleSize val="0"/>
        </c:dLbls>
        <c:marker val="1"/>
        <c:smooth val="0"/>
        <c:axId val="370702848"/>
        <c:axId val="370699712"/>
      </c:lineChart>
      <c:catAx>
        <c:axId val="370704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5200"/>
        <c:crosses val="autoZero"/>
        <c:auto val="1"/>
        <c:lblAlgn val="ctr"/>
        <c:lblOffset val="100"/>
        <c:noMultiLvlLbl val="0"/>
      </c:catAx>
      <c:valAx>
        <c:axId val="37070520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4416"/>
        <c:crosses val="autoZero"/>
        <c:crossBetween val="between"/>
      </c:valAx>
      <c:valAx>
        <c:axId val="37069971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2848"/>
        <c:crosses val="max"/>
        <c:crossBetween val="between"/>
        <c:majorUnit val="0.1"/>
      </c:valAx>
      <c:catAx>
        <c:axId val="370702848"/>
        <c:scaling>
          <c:orientation val="minMax"/>
        </c:scaling>
        <c:delete val="1"/>
        <c:axPos val="b"/>
        <c:numFmt formatCode="General" sourceLinked="1"/>
        <c:majorTickMark val="out"/>
        <c:minorTickMark val="none"/>
        <c:tickLblPos val="nextTo"/>
        <c:crossAx val="370699712"/>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nomination</a:t>
            </a:r>
          </a:p>
        </c:rich>
      </c:tx>
      <c:layout>
        <c:manualLayout>
          <c:xMode val="edge"/>
          <c:yMode val="edge"/>
          <c:x val="0.28606940995781938"/>
          <c:y val="2.461527864109675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405074365704287E-2"/>
                  <c:y val="2.58878255602664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(N=1 016)</c:v>
                </c:pt>
                <c:pt idx="1">
                  <c:v>2015-2016
(N=1 037)</c:v>
                </c:pt>
                <c:pt idx="2">
                  <c:v>2016-2017 
(N=1 171)</c:v>
                </c:pt>
                <c:pt idx="3">
                  <c:v>2017-2018
(N=1 095)</c:v>
                </c:pt>
                <c:pt idx="4">
                  <c:v>2018-2019
(N=1 383)</c:v>
                </c:pt>
              </c:strCache>
            </c:strRef>
          </c:cat>
          <c:val>
            <c:numRef>
              <c:f>Sheet1!$B$3:$B$7</c:f>
              <c:numCache>
                <c:formatCode>#\ ###</c:formatCode>
                <c:ptCount val="5"/>
                <c:pt idx="0">
                  <c:v>106</c:v>
                </c:pt>
                <c:pt idx="1">
                  <c:v>136</c:v>
                </c:pt>
                <c:pt idx="2">
                  <c:v>164</c:v>
                </c:pt>
                <c:pt idx="3">
                  <c:v>193</c:v>
                </c:pt>
                <c:pt idx="4">
                  <c:v>242</c:v>
                </c:pt>
              </c:numCache>
            </c:numRef>
          </c:val>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1.56801938219260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1.9417726630325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5555555555556572E-3"/>
                  <c:y val="7.657581263880476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5.4754694124780387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4534E-3"/>
                  <c:y val="1.960024227740755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(N=1 016)</c:v>
                </c:pt>
                <c:pt idx="1">
                  <c:v>2015-2016
(N=1 037)</c:v>
                </c:pt>
                <c:pt idx="2">
                  <c:v>2016-2017 
(N=1 171)</c:v>
                </c:pt>
                <c:pt idx="3">
                  <c:v>2017-2018
(N=1 095)</c:v>
                </c:pt>
                <c:pt idx="4">
                  <c:v>2018-2019
(N=1 383)</c:v>
                </c:pt>
              </c:strCache>
            </c:strRef>
          </c:cat>
          <c:val>
            <c:numRef>
              <c:f>Sheet1!$C$3:$C$7</c:f>
              <c:numCache>
                <c:formatCode>#\ ###</c:formatCode>
                <c:ptCount val="5"/>
                <c:pt idx="0">
                  <c:v>134</c:v>
                </c:pt>
                <c:pt idx="1">
                  <c:v>183</c:v>
                </c:pt>
                <c:pt idx="2">
                  <c:v>192</c:v>
                </c:pt>
                <c:pt idx="3">
                  <c:v>198</c:v>
                </c:pt>
                <c:pt idx="4">
                  <c:v>230</c:v>
                </c:pt>
              </c:numCache>
            </c:numRef>
          </c:val>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492563429571303E-3"/>
                  <c:y val="2.02101352715525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7.475065616797900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(N=1 016)</c:v>
                </c:pt>
                <c:pt idx="1">
                  <c:v>2015-2016
(N=1 037)</c:v>
                </c:pt>
                <c:pt idx="2">
                  <c:v>2016-2017 
(N=1 171)</c:v>
                </c:pt>
                <c:pt idx="3">
                  <c:v>2017-2018
(N=1 095)</c:v>
                </c:pt>
                <c:pt idx="4">
                  <c:v>2018-2019
(N=1 383)</c:v>
                </c:pt>
              </c:strCache>
            </c:strRef>
          </c:cat>
          <c:val>
            <c:numRef>
              <c:f>Sheet1!$D$3:$D$7</c:f>
              <c:numCache>
                <c:formatCode>#\ ###</c:formatCode>
                <c:ptCount val="5"/>
                <c:pt idx="0">
                  <c:v>547</c:v>
                </c:pt>
                <c:pt idx="1">
                  <c:v>571</c:v>
                </c:pt>
                <c:pt idx="2">
                  <c:v>672</c:v>
                </c:pt>
                <c:pt idx="3">
                  <c:v>582</c:v>
                </c:pt>
                <c:pt idx="4">
                  <c:v>728</c:v>
                </c:pt>
              </c:numCache>
            </c:numRef>
          </c:val>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1.96002422774075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1.97827579244901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(N=1 016)</c:v>
                </c:pt>
                <c:pt idx="1">
                  <c:v>2015-2016
(N=1 037)</c:v>
                </c:pt>
                <c:pt idx="2">
                  <c:v>2016-2017 
(N=1 171)</c:v>
                </c:pt>
                <c:pt idx="3">
                  <c:v>2017-2018
(N=1 095)</c:v>
                </c:pt>
                <c:pt idx="4">
                  <c:v>2018-2019
(N=1 383)</c:v>
                </c:pt>
              </c:strCache>
            </c:strRef>
          </c:cat>
          <c:val>
            <c:numRef>
              <c:f>Sheet1!$E$3:$E$7</c:f>
              <c:numCache>
                <c:formatCode>#\ ###</c:formatCode>
                <c:ptCount val="5"/>
                <c:pt idx="0">
                  <c:v>229</c:v>
                </c:pt>
                <c:pt idx="1">
                  <c:v>147</c:v>
                </c:pt>
                <c:pt idx="2">
                  <c:v>143</c:v>
                </c:pt>
                <c:pt idx="3">
                  <c:v>122</c:v>
                </c:pt>
                <c:pt idx="4">
                  <c:v>183</c:v>
                </c:pt>
              </c:numCache>
            </c:numRef>
          </c:val>
        </c:ser>
        <c:dLbls>
          <c:showLegendKey val="0"/>
          <c:showVal val="0"/>
          <c:showCatName val="0"/>
          <c:showSerName val="0"/>
          <c:showPercent val="0"/>
          <c:showBubbleSize val="0"/>
        </c:dLbls>
        <c:gapWidth val="150"/>
        <c:shape val="box"/>
        <c:axId val="370705592"/>
        <c:axId val="370700888"/>
        <c:axId val="0"/>
      </c:bar3DChart>
      <c:catAx>
        <c:axId val="370705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0888"/>
        <c:crosses val="autoZero"/>
        <c:auto val="0"/>
        <c:lblAlgn val="ctr"/>
        <c:lblOffset val="100"/>
        <c:noMultiLvlLbl val="0"/>
      </c:catAx>
      <c:valAx>
        <c:axId val="37070088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559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durée d'emploi</a:t>
            </a: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(N=1 016)</c:v>
                </c:pt>
                <c:pt idx="1">
                  <c:v>2015-2016
 (N=1 037)</c:v>
                </c:pt>
                <c:pt idx="2">
                  <c:v>2016-2017
 (N=1 171)</c:v>
                </c:pt>
                <c:pt idx="3">
                  <c:v>2017-2018
 (N=1 095)</c:v>
                </c:pt>
                <c:pt idx="4">
                  <c:v>2018-2019
 (N=1 383)</c:v>
                </c:pt>
              </c:strCache>
            </c:strRef>
          </c:cat>
          <c:val>
            <c:numRef>
              <c:f>Sheet1!$B$2:$B$6</c:f>
              <c:numCache>
                <c:formatCode>#\ ###</c:formatCode>
                <c:ptCount val="5"/>
                <c:pt idx="0">
                  <c:v>474</c:v>
                </c:pt>
                <c:pt idx="1">
                  <c:v>460</c:v>
                </c:pt>
                <c:pt idx="2">
                  <c:v>511</c:v>
                </c:pt>
                <c:pt idx="3">
                  <c:v>550</c:v>
                </c:pt>
                <c:pt idx="4">
                  <c:v>717</c:v>
                </c:pt>
              </c:numCache>
            </c:numRef>
          </c:val>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8286E-3"/>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(N=1 016)</c:v>
                </c:pt>
                <c:pt idx="1">
                  <c:v>2015-2016
 (N=1 037)</c:v>
                </c:pt>
                <c:pt idx="2">
                  <c:v>2016-2017
 (N=1 171)</c:v>
                </c:pt>
                <c:pt idx="3">
                  <c:v>2017-2018
 (N=1 095)</c:v>
                </c:pt>
                <c:pt idx="4">
                  <c:v>2018-2019
 (N=1 383)</c:v>
                </c:pt>
              </c:strCache>
            </c:strRef>
          </c:cat>
          <c:val>
            <c:numRef>
              <c:f>Sheet1!$C$2:$C$6</c:f>
              <c:numCache>
                <c:formatCode>#\ ###</c:formatCode>
                <c:ptCount val="5"/>
                <c:pt idx="0">
                  <c:v>111</c:v>
                </c:pt>
                <c:pt idx="1">
                  <c:v>83</c:v>
                </c:pt>
                <c:pt idx="2">
                  <c:v>111</c:v>
                </c:pt>
                <c:pt idx="3">
                  <c:v>114</c:v>
                </c:pt>
                <c:pt idx="4">
                  <c:v>160</c:v>
                </c:pt>
              </c:numCache>
            </c:numRef>
          </c:val>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88888888888899E-2"/>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111111111111112E-2"/>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(N=1 016)</c:v>
                </c:pt>
                <c:pt idx="1">
                  <c:v>2015-2016
 (N=1 037)</c:v>
                </c:pt>
                <c:pt idx="2">
                  <c:v>2016-2017
 (N=1 171)</c:v>
                </c:pt>
                <c:pt idx="3">
                  <c:v>2017-2018
 (N=1 095)</c:v>
                </c:pt>
                <c:pt idx="4">
                  <c:v>2018-2019
 (N=1 383)</c:v>
                </c:pt>
              </c:strCache>
            </c:strRef>
          </c:cat>
          <c:val>
            <c:numRef>
              <c:f>Sheet1!$D$2:$D$6</c:f>
              <c:numCache>
                <c:formatCode>#\ ###</c:formatCode>
                <c:ptCount val="5"/>
                <c:pt idx="0">
                  <c:v>196</c:v>
                </c:pt>
                <c:pt idx="1">
                  <c:v>228</c:v>
                </c:pt>
                <c:pt idx="2">
                  <c:v>224</c:v>
                </c:pt>
                <c:pt idx="3">
                  <c:v>204</c:v>
                </c:pt>
                <c:pt idx="4">
                  <c:v>253</c:v>
                </c:pt>
              </c:numCache>
            </c:numRef>
          </c:val>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1.94177266303249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(N=1 016)</c:v>
                </c:pt>
                <c:pt idx="1">
                  <c:v>2015-2016
 (N=1 037)</c:v>
                </c:pt>
                <c:pt idx="2">
                  <c:v>2016-2017
 (N=1 171)</c:v>
                </c:pt>
                <c:pt idx="3">
                  <c:v>2017-2018
 (N=1 095)</c:v>
                </c:pt>
                <c:pt idx="4">
                  <c:v>2018-2019
 (N=1 383)</c:v>
                </c:pt>
              </c:strCache>
            </c:strRef>
          </c:cat>
          <c:val>
            <c:numRef>
              <c:f>Sheet1!$E$2:$E$6</c:f>
              <c:numCache>
                <c:formatCode>#\ ###</c:formatCode>
                <c:ptCount val="5"/>
                <c:pt idx="0">
                  <c:v>235</c:v>
                </c:pt>
                <c:pt idx="1">
                  <c:v>266</c:v>
                </c:pt>
                <c:pt idx="2">
                  <c:v>325</c:v>
                </c:pt>
                <c:pt idx="3">
                  <c:v>227</c:v>
                </c:pt>
                <c:pt idx="4">
                  <c:v>253</c:v>
                </c:pt>
              </c:numCache>
            </c:numRef>
          </c:val>
        </c:ser>
        <c:dLbls>
          <c:showLegendKey val="0"/>
          <c:showVal val="1"/>
          <c:showCatName val="0"/>
          <c:showSerName val="0"/>
          <c:showPercent val="0"/>
          <c:showBubbleSize val="0"/>
        </c:dLbls>
        <c:gapWidth val="150"/>
        <c:shape val="box"/>
        <c:axId val="370702456"/>
        <c:axId val="370703240"/>
        <c:axId val="0"/>
      </c:bar3DChart>
      <c:catAx>
        <c:axId val="370702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3240"/>
        <c:crosses val="autoZero"/>
        <c:auto val="1"/>
        <c:lblAlgn val="ctr"/>
        <c:lblOffset val="100"/>
        <c:noMultiLvlLbl val="0"/>
      </c:catAx>
      <c:valAx>
        <c:axId val="37070324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702456"/>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371</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3</a:t>
          </a: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(58</a:t>
          </a:r>
          <a:r>
            <a:rPr lang="en-CA" sz="850" baseline="0">
              <a:solidFill>
                <a:sysClr val="windowText" lastClr="000000"/>
              </a:solidFill>
            </a:rPr>
            <a:t>% à 82</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0.91477</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377" y="3114675"/>
          <a:ext cx="3397053" cy="2901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*Embauches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0.30306</cdr:x>
      <cdr:y>0.18919</cdr:y>
    </cdr:from>
    <cdr:to>
      <cdr:x>0.30445</cdr:x>
      <cdr:y>0.73921</cdr:y>
    </cdr:to>
    <cdr:cxnSp macro="">
      <cdr:nvCxnSpPr>
        <cdr:cNvPr id="5" name="Straight Connector 4" descr="Median line fof the specified organization's internal time to staff graphic"/>
        <cdr:cNvCxnSpPr/>
      </cdr:nvCxnSpPr>
      <cdr:spPr>
        <a:xfrm xmlns:a="http://schemas.openxmlformats.org/drawingml/2006/main" flipV="1">
          <a:off x="1333615" y="517172"/>
          <a:ext cx="6117"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3964-B890-45DC-B47D-728F5DCB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622</TotalTime>
  <Pages>28</Pages>
  <Words>5279</Words>
  <Characters>30092</Characters>
  <Application>Microsoft Office Word</Application>
  <DocSecurity>0</DocSecurity>
  <Lines>250</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35301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98</cp:revision>
  <dcterms:created xsi:type="dcterms:W3CDTF">2020-01-31T19:03:00Z</dcterms:created>
  <dcterms:modified xsi:type="dcterms:W3CDTF">2020-12-17T17:40:00Z</dcterms:modified>
</cp:coreProperties>
</file>