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4.xml" ContentType="application/vnd.openxmlformats-officedocument.drawingml.chartshapes+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5.xml" ContentType="application/vnd.openxmlformats-officedocument.drawingml.chartshapes+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6.xml" ContentType="application/vnd.openxmlformats-officedocument.drawingml.chartshapes+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7.xml" ContentType="application/vnd.openxmlformats-officedocument.drawingml.chartshapes+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8.xml" ContentType="application/vnd.openxmlformats-officedocument.drawingml.chartshapes+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9.xml" ContentType="application/vnd.openxmlformats-officedocument.drawingml.chartshapes+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2F2F2" w:themeColor="background2"/>
  <w:body>
    <w:p w14:paraId="2E2BDC67" w14:textId="77777777" w:rsidR="009C729C" w:rsidRPr="0054386D" w:rsidRDefault="00282ABD" w:rsidP="00F50508">
      <w:pPr>
        <w:pStyle w:val="Titre"/>
      </w:pPr>
      <w:r w:rsidRPr="0054386D">
        <w:t>P</w:t>
      </w:r>
      <w:r w:rsidR="009C729C" w:rsidRPr="0054386D">
        <w:t>resident meeting with</w:t>
      </w:r>
      <w:r w:rsidRPr="0054386D">
        <w:t xml:space="preserve"> </w:t>
      </w:r>
      <w:r w:rsidRPr="0054386D">
        <w:br/>
        <w:t>Mr. S</w:t>
      </w:r>
      <w:r w:rsidR="009C729C" w:rsidRPr="0054386D">
        <w:t>tephen</w:t>
      </w:r>
      <w:r w:rsidR="00D736A7" w:rsidRPr="0054386D">
        <w:t xml:space="preserve"> L</w:t>
      </w:r>
      <w:r w:rsidR="009C729C" w:rsidRPr="0054386D">
        <w:t>ucas</w:t>
      </w:r>
      <w:r w:rsidR="00D736A7" w:rsidRPr="0054386D">
        <w:t>, D</w:t>
      </w:r>
      <w:r w:rsidR="009C729C" w:rsidRPr="0054386D">
        <w:t>eputy Minister</w:t>
      </w:r>
      <w:r w:rsidR="00D736A7" w:rsidRPr="0054386D">
        <w:t xml:space="preserve">, </w:t>
      </w:r>
    </w:p>
    <w:p w14:paraId="417A2C1E" w14:textId="45F831F5" w:rsidR="00282ABD" w:rsidRPr="0054386D" w:rsidRDefault="00D736A7" w:rsidP="00F50508">
      <w:pPr>
        <w:pStyle w:val="Titre"/>
      </w:pPr>
      <w:r w:rsidRPr="0054386D">
        <w:t>H</w:t>
      </w:r>
      <w:r w:rsidR="009C729C" w:rsidRPr="0054386D">
        <w:t>ealth</w:t>
      </w:r>
      <w:r w:rsidRPr="0054386D">
        <w:t xml:space="preserve"> C</w:t>
      </w:r>
      <w:r w:rsidR="009C729C" w:rsidRPr="0054386D">
        <w:t>anada</w:t>
      </w:r>
      <w:r w:rsidR="00282ABD" w:rsidRPr="0054386D">
        <w:br/>
        <w:t>October 11, 2019</w:t>
      </w:r>
    </w:p>
    <w:p w14:paraId="06FB6141" w14:textId="77777777" w:rsidR="00282ABD" w:rsidRPr="00AC349D" w:rsidRDefault="00282ABD" w:rsidP="00AC349D">
      <w:pPr>
        <w:pStyle w:val="Titre1"/>
      </w:pPr>
      <w:r w:rsidRPr="00AC349D">
        <w:t>Introduction</w:t>
      </w:r>
    </w:p>
    <w:p w14:paraId="74CEB2BB" w14:textId="77777777" w:rsidR="00282ABD" w:rsidRPr="00AC349D" w:rsidRDefault="00282ABD" w:rsidP="00AC349D">
      <w:pPr>
        <w:pStyle w:val="Titre2"/>
      </w:pPr>
      <w:r w:rsidRPr="00AC349D">
        <w:t>Deputy Head</w:t>
      </w:r>
    </w:p>
    <w:p w14:paraId="65285118" w14:textId="7C18B2CD" w:rsidR="00B62C81" w:rsidRDefault="00282ABD" w:rsidP="00B62C81">
      <w:pPr>
        <w:pStyle w:val="Sansinterligne"/>
        <w:spacing w:before="120" w:after="120"/>
        <w:contextualSpacing/>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 xml:space="preserve">Mr. Stephen Lucas was appointed as the Deputy Head (DH) of Health Canada (HC) on September 3, 2019. </w:t>
      </w:r>
    </w:p>
    <w:p w14:paraId="56BC02B3" w14:textId="7ED66F64" w:rsidR="00B62C81" w:rsidRPr="0049560D" w:rsidRDefault="00B62C81" w:rsidP="00B62C81">
      <w:pPr>
        <w:rPr>
          <w:rFonts w:asciiTheme="minorHAnsi" w:hAnsiTheme="minorHAnsi" w:cstheme="minorHAnsi"/>
          <w:sz w:val="22"/>
          <w:szCs w:val="22"/>
          <w:lang w:val="en-CA" w:eastAsia="en-CA"/>
        </w:rPr>
      </w:pPr>
      <w:r w:rsidRPr="00B62C81">
        <w:rPr>
          <w:rFonts w:asciiTheme="minorHAnsi" w:hAnsiTheme="minorHAnsi" w:cstheme="minorHAnsi"/>
          <w:sz w:val="22"/>
          <w:szCs w:val="22"/>
          <w:lang w:val="en-CA" w:eastAsia="en-CA"/>
        </w:rPr>
        <w:t>Mr</w:t>
      </w:r>
      <w:r w:rsidR="00384573">
        <w:rPr>
          <w:rFonts w:asciiTheme="minorHAnsi" w:hAnsiTheme="minorHAnsi" w:cstheme="minorHAnsi"/>
          <w:sz w:val="22"/>
          <w:szCs w:val="22"/>
          <w:lang w:val="en-CA" w:eastAsia="en-CA"/>
        </w:rPr>
        <w:t>.</w:t>
      </w:r>
      <w:r w:rsidRPr="00B62C81">
        <w:rPr>
          <w:rFonts w:asciiTheme="minorHAnsi" w:hAnsiTheme="minorHAnsi" w:cstheme="minorHAnsi"/>
          <w:sz w:val="22"/>
          <w:szCs w:val="22"/>
          <w:lang w:val="en-CA" w:eastAsia="en-CA"/>
        </w:rPr>
        <w:t xml:space="preserve"> Stephen Lucas </w:t>
      </w:r>
      <w:r>
        <w:rPr>
          <w:rFonts w:asciiTheme="minorHAnsi" w:hAnsiTheme="minorHAnsi" w:cstheme="minorHAnsi"/>
          <w:sz w:val="22"/>
          <w:szCs w:val="22"/>
          <w:lang w:val="en-CA" w:eastAsia="en-CA"/>
        </w:rPr>
        <w:t>has previously exercised</w:t>
      </w:r>
      <w:r w:rsidRPr="00B62C81">
        <w:rPr>
          <w:rFonts w:asciiTheme="minorHAnsi" w:hAnsiTheme="minorHAnsi" w:cstheme="minorHAnsi"/>
          <w:sz w:val="22"/>
          <w:szCs w:val="22"/>
          <w:lang w:val="en-CA" w:eastAsia="en-CA"/>
        </w:rPr>
        <w:t xml:space="preserve"> the Public Service Commission’s (PSC) authority </w:t>
      </w:r>
      <w:r>
        <w:rPr>
          <w:rFonts w:asciiTheme="minorHAnsi" w:hAnsiTheme="minorHAnsi" w:cstheme="minorHAnsi"/>
          <w:sz w:val="22"/>
          <w:szCs w:val="22"/>
          <w:lang w:val="en-CA" w:eastAsia="en-CA"/>
        </w:rPr>
        <w:t>as</w:t>
      </w:r>
      <w:r w:rsidRPr="00B62C81">
        <w:rPr>
          <w:rFonts w:asciiTheme="minorHAnsi" w:hAnsiTheme="minorHAnsi" w:cstheme="minorHAnsi"/>
          <w:sz w:val="22"/>
          <w:szCs w:val="22"/>
          <w:lang w:val="en-CA" w:eastAsia="en-CA"/>
        </w:rPr>
        <w:t xml:space="preserve"> Deputy Head. A copy of the New Direction in Staffing (NDS) highlights for DHs is attached as </w:t>
      </w:r>
      <w:hyperlink w:anchor="AnnexA" w:history="1">
        <w:r w:rsidRPr="00CC297B">
          <w:rPr>
            <w:rStyle w:val="Lienhypertexte"/>
            <w:rFonts w:asciiTheme="minorHAnsi" w:hAnsiTheme="minorHAnsi" w:cstheme="minorHAnsi"/>
            <w:sz w:val="22"/>
            <w:szCs w:val="22"/>
            <w:lang w:val="en-CA" w:eastAsia="en-CA"/>
          </w:rPr>
          <w:t>Annex A</w:t>
        </w:r>
      </w:hyperlink>
      <w:r w:rsidR="0049560D">
        <w:rPr>
          <w:rStyle w:val="Lienhypertexte"/>
          <w:rFonts w:asciiTheme="minorHAnsi" w:hAnsiTheme="minorHAnsi" w:cstheme="minorHAnsi"/>
          <w:sz w:val="22"/>
          <w:szCs w:val="22"/>
          <w:u w:val="none"/>
          <w:lang w:val="en-CA" w:eastAsia="en-CA"/>
        </w:rPr>
        <w:t>.</w:t>
      </w:r>
    </w:p>
    <w:p w14:paraId="0D2FD96B" w14:textId="77777777" w:rsidR="00282ABD" w:rsidRPr="00842013" w:rsidRDefault="00282ABD" w:rsidP="00842013">
      <w:pPr>
        <w:pStyle w:val="Titre1"/>
        <w:spacing w:before="120" w:after="120"/>
        <w:rPr>
          <w:lang w:val="en-CA"/>
        </w:rPr>
      </w:pPr>
      <w:r w:rsidRPr="00842013">
        <w:rPr>
          <w:lang w:val="en-CA"/>
        </w:rPr>
        <w:t>Organizational Context</w:t>
      </w:r>
    </w:p>
    <w:p w14:paraId="7FB4A08E" w14:textId="77777777" w:rsidR="00282ABD" w:rsidRPr="00842013" w:rsidRDefault="00282ABD" w:rsidP="00842013">
      <w:pPr>
        <w:pStyle w:val="Titre2"/>
        <w:spacing w:before="120" w:after="120"/>
        <w:rPr>
          <w:lang w:val="en-CA"/>
        </w:rPr>
      </w:pPr>
      <w:r w:rsidRPr="00842013">
        <w:rPr>
          <w:lang w:val="en-CA"/>
        </w:rPr>
        <w:t>Mandate</w:t>
      </w:r>
    </w:p>
    <w:p w14:paraId="0A2658A3" w14:textId="77777777"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HC is responsible for helping Canadians maintain and improve their health. It ensures that high-quality health services are accessible, and works to reduce health risks.</w:t>
      </w:r>
    </w:p>
    <w:p w14:paraId="68AAF927" w14:textId="77777777"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 xml:space="preserve">The organization is responsible for regulating areas such as drugs and health products, food products, environmental and workplace health. It also promotes healthy living, ensures consumer products safety, and conducts researches and testing. </w:t>
      </w:r>
    </w:p>
    <w:p w14:paraId="69E2A087" w14:textId="77777777"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In the fall 2017, the Government created Indigenous Services Canada, a new department with the primary mandate of improving the quality of services delivered to First Nations, Inuit, and Métis peoples. This resulted in the transfer, to the new Department, of the HC First Nations and Inuit Health Branch as well as internal corporate resources.</w:t>
      </w:r>
    </w:p>
    <w:p w14:paraId="3839A5B8" w14:textId="77777777"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HC and the Public Health Agency of Canada share the same Human Resources (HR) services.</w:t>
      </w:r>
    </w:p>
    <w:p w14:paraId="446E1CBA" w14:textId="77777777" w:rsidR="00282ABD" w:rsidRPr="00842013" w:rsidRDefault="00282ABD" w:rsidP="00842013">
      <w:pPr>
        <w:pStyle w:val="Titre2"/>
        <w:spacing w:before="120" w:after="120"/>
        <w:rPr>
          <w:lang w:val="en-CA"/>
        </w:rPr>
      </w:pPr>
      <w:r w:rsidRPr="00842013">
        <w:rPr>
          <w:lang w:val="en-CA"/>
        </w:rPr>
        <w:t>Challenges</w:t>
      </w:r>
    </w:p>
    <w:p w14:paraId="6B41B88D" w14:textId="77777777"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HC anticipates an increase of staffing and recruitment activities in fiscal years 2019-2020 and 2020-2021, due to a funding level increase for improving the accessibility, affordability and appropriate use of prescription drugs and medical devices. They wish to attract, retain and develop a talented, diverse and representative workforce, and are competing with the scientific and medical industries for the same pool of candidates.</w:t>
      </w:r>
    </w:p>
    <w:p w14:paraId="07346674" w14:textId="77777777"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lastRenderedPageBreak/>
        <w:t>To address this challenge, they will continue to modernize recruitment and workplace practices in support of greater efficiency. As such, HC will focus on succession planning and will continue ensuring available pools of candidates for:</w:t>
      </w:r>
    </w:p>
    <w:p w14:paraId="5F26449C" w14:textId="77777777" w:rsidR="00282ABD" w:rsidRPr="00842013" w:rsidRDefault="00282ABD" w:rsidP="00F50508">
      <w:pPr>
        <w:pStyle w:val="Sansinterligne"/>
        <w:numPr>
          <w:ilvl w:val="0"/>
          <w:numId w:val="11"/>
        </w:numPr>
        <w:spacing w:before="120" w:after="120"/>
        <w:ind w:left="714" w:hanging="357"/>
        <w:contextualSpacing/>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Administrative positions (AS-CR) for which they have numerous positions and frequent movements; and</w:t>
      </w:r>
    </w:p>
    <w:p w14:paraId="5A23012B" w14:textId="77777777" w:rsidR="00282ABD" w:rsidRPr="00842013" w:rsidRDefault="00282ABD" w:rsidP="00F50508">
      <w:pPr>
        <w:pStyle w:val="Sansinterligne"/>
        <w:numPr>
          <w:ilvl w:val="0"/>
          <w:numId w:val="11"/>
        </w:numPr>
        <w:spacing w:before="120" w:after="120"/>
        <w:ind w:left="714" w:hanging="357"/>
        <w:contextualSpacing/>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Highly specialized positions (MD, NU, CH) that are difficult to attract.</w:t>
      </w:r>
    </w:p>
    <w:p w14:paraId="2CBA6EAD" w14:textId="77777777" w:rsidR="00282ABD" w:rsidRPr="00842013" w:rsidRDefault="00282ABD" w:rsidP="00F50508">
      <w:pPr>
        <w:pStyle w:val="Sansinterligne"/>
        <w:spacing w:before="24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In the recruitment of these professionals, obtaining timely confirmation of bilingualism and recognition of foreign education credentials has been a challenge.</w:t>
      </w:r>
    </w:p>
    <w:p w14:paraId="0A5D5E76" w14:textId="77777777"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HC will continue to experiment with recruitment strategies in an attempt to have a more timely and efficient staffing system.</w:t>
      </w:r>
    </w:p>
    <w:p w14:paraId="2CF6D789" w14:textId="77777777" w:rsidR="00282ABD" w:rsidRPr="00842013" w:rsidRDefault="00282ABD" w:rsidP="00842013">
      <w:pPr>
        <w:pStyle w:val="Titre2"/>
        <w:spacing w:before="120" w:after="120"/>
        <w:rPr>
          <w:u w:val="single"/>
          <w:lang w:val="en-CA"/>
        </w:rPr>
      </w:pPr>
      <w:r w:rsidRPr="00842013">
        <w:rPr>
          <w:lang w:val="en-CA"/>
        </w:rPr>
        <w:t>Experimentation</w:t>
      </w:r>
    </w:p>
    <w:p w14:paraId="5DE981B4" w14:textId="77777777"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HC has successfully experienced group interviews in 2018 in their offices on the East Coast, and said they could use this practice in the future for their appointment processes.</w:t>
      </w:r>
    </w:p>
    <w:p w14:paraId="45F06560" w14:textId="77777777"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 xml:space="preserve">HC is working on making their talent management and performance appraisal practices more compatible for use in staffing processes, as valuable information to assess merit. </w:t>
      </w:r>
    </w:p>
    <w:p w14:paraId="53ED6F77" w14:textId="6B09D1F0"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HC is conducting a pilot project called “Growth Approach” (</w:t>
      </w:r>
      <w:proofErr w:type="spellStart"/>
      <w:r w:rsidRPr="00842013">
        <w:rPr>
          <w:rFonts w:ascii="Segoe UI Semilight" w:hAnsi="Segoe UI Semilight" w:cs="Segoe UI Semilight"/>
          <w:sz w:val="22"/>
          <w:szCs w:val="22"/>
          <w:lang w:val="en-CA" w:eastAsia="en-CA"/>
        </w:rPr>
        <w:t>Grandir</w:t>
      </w:r>
      <w:proofErr w:type="spellEnd"/>
      <w:r w:rsidR="00912B51" w:rsidRPr="00842013">
        <w:rPr>
          <w:rFonts w:ascii="Segoe UI Semilight" w:hAnsi="Segoe UI Semilight" w:cs="Segoe UI Semilight"/>
          <w:sz w:val="22"/>
          <w:szCs w:val="22"/>
          <w:lang w:val="en-CA" w:eastAsia="en-CA"/>
        </w:rPr>
        <w:t xml:space="preserve">) </w:t>
      </w:r>
      <w:r w:rsidRPr="00842013">
        <w:rPr>
          <w:rFonts w:ascii="Segoe UI Semilight" w:hAnsi="Segoe UI Semilight" w:cs="Segoe UI Semilight"/>
          <w:sz w:val="22"/>
          <w:szCs w:val="22"/>
          <w:lang w:val="en-CA" w:eastAsia="en-CA"/>
        </w:rPr>
        <w:t xml:space="preserve">that consist of not eliminating the candidates that don’t meet one or more merit criteria. Unsuccessful candidates are simply kept in a partially assessed pool until such time as they can demonstrate to an assessment board that they have acquired the competency that they previously missed. The results are then used to help guide training and development plans for employees. This approach leverages multiple assessment resources (performance review, work sample, etc.) and facilitates the alignment with </w:t>
      </w:r>
      <w:r w:rsidR="00B33018" w:rsidRPr="00842013">
        <w:rPr>
          <w:rFonts w:ascii="Segoe UI Semilight" w:hAnsi="Segoe UI Semilight" w:cs="Segoe UI Semilight"/>
          <w:sz w:val="22"/>
          <w:szCs w:val="22"/>
          <w:lang w:val="en-CA" w:eastAsia="en-CA"/>
        </w:rPr>
        <w:t>talent management of employees.</w:t>
      </w:r>
    </w:p>
    <w:p w14:paraId="56D9FA33" w14:textId="77777777"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For the hiring of doctors (MD group), HC has adapted their advertisement approach. They now simply ask candidates to submit their résumé, and the hiring manager contact them to ask for any pertinent additional information. This simplified application process, combined with customized outreach strategies using social media and other forums, has increased the number of candidates for the MD group. The approach was a success as it is now recruiting more candidates than with the former traditional methods.</w:t>
      </w:r>
    </w:p>
    <w:p w14:paraId="03606BCB" w14:textId="77777777" w:rsidR="00282ABD" w:rsidRPr="00842013" w:rsidRDefault="00282ABD" w:rsidP="00842013">
      <w:pPr>
        <w:pStyle w:val="Titre1"/>
        <w:spacing w:before="120" w:after="120"/>
        <w:rPr>
          <w:lang w:val="en-CA"/>
        </w:rPr>
      </w:pPr>
      <w:r w:rsidRPr="00842013">
        <w:rPr>
          <w:lang w:val="en-CA"/>
        </w:rPr>
        <w:t>Population and Staffing Activities</w:t>
      </w:r>
    </w:p>
    <w:p w14:paraId="0C9670AA" w14:textId="77777777" w:rsidR="00282ABD" w:rsidRPr="00842013" w:rsidRDefault="00282ABD" w:rsidP="00842013">
      <w:pPr>
        <w:pStyle w:val="Titre2"/>
        <w:spacing w:before="120" w:after="120"/>
        <w:rPr>
          <w:u w:val="single"/>
          <w:lang w:val="en-CA"/>
        </w:rPr>
      </w:pPr>
      <w:r w:rsidRPr="00842013">
        <w:rPr>
          <w:lang w:val="en-CA"/>
        </w:rPr>
        <w:t>Population</w:t>
      </w:r>
    </w:p>
    <w:p w14:paraId="26FFA67F" w14:textId="3BF866C4" w:rsidR="00282ABD" w:rsidRPr="00842013" w:rsidRDefault="00282ABD" w:rsidP="00842013">
      <w:pPr>
        <w:pStyle w:val="Sansinterligne"/>
        <w:spacing w:before="120" w:after="120"/>
        <w:rPr>
          <w:rFonts w:asciiTheme="minorHAnsi" w:hAnsiTheme="minorHAnsi" w:cstheme="minorHAnsi"/>
          <w:sz w:val="22"/>
          <w:szCs w:val="22"/>
          <w:lang w:val="en-CA" w:eastAsia="en-CA"/>
        </w:rPr>
      </w:pPr>
      <w:r w:rsidRPr="00842013">
        <w:rPr>
          <w:rFonts w:asciiTheme="minorHAnsi" w:hAnsiTheme="minorHAnsi" w:cstheme="minorHAnsi"/>
          <w:sz w:val="22"/>
          <w:szCs w:val="22"/>
          <w:lang w:val="en-CA" w:eastAsia="en-CA"/>
        </w:rPr>
        <w:t>HC is a large organization that has a population of 10,850 em</w:t>
      </w:r>
      <w:r w:rsidR="00B33018" w:rsidRPr="00842013">
        <w:rPr>
          <w:rFonts w:asciiTheme="minorHAnsi" w:hAnsiTheme="minorHAnsi" w:cstheme="minorHAnsi"/>
          <w:sz w:val="22"/>
          <w:szCs w:val="22"/>
          <w:lang w:val="en-CA" w:eastAsia="en-CA"/>
        </w:rPr>
        <w:t xml:space="preserve">ployees, as of March 31, 2019. </w:t>
      </w:r>
    </w:p>
    <w:p w14:paraId="6529E6D2" w14:textId="64F9285B" w:rsidR="003A722C" w:rsidRPr="00842013" w:rsidRDefault="00282ABD" w:rsidP="00842013">
      <w:pPr>
        <w:pStyle w:val="Titre2"/>
        <w:spacing w:before="120" w:after="120"/>
        <w:rPr>
          <w:lang w:val="en-CA"/>
        </w:rPr>
      </w:pPr>
      <w:r w:rsidRPr="00842013">
        <w:rPr>
          <w:lang w:val="en-CA"/>
        </w:rPr>
        <w:t>Staffing Activities</w:t>
      </w:r>
    </w:p>
    <w:p w14:paraId="0A1B8956" w14:textId="4FB013FF" w:rsidR="00282ABD" w:rsidRPr="00842013" w:rsidRDefault="00282ABD" w:rsidP="00842013">
      <w:pPr>
        <w:pStyle w:val="Sansinterligne"/>
        <w:spacing w:before="120" w:after="120"/>
        <w:rPr>
          <w:rFonts w:asciiTheme="minorHAnsi" w:hAnsiTheme="minorHAnsi" w:cstheme="minorHAnsi"/>
          <w:sz w:val="22"/>
          <w:szCs w:val="22"/>
          <w:lang w:val="en-CA" w:eastAsia="en-CA"/>
        </w:rPr>
      </w:pPr>
      <w:r w:rsidRPr="00842013">
        <w:rPr>
          <w:rFonts w:asciiTheme="minorHAnsi" w:hAnsiTheme="minorHAnsi" w:cstheme="minorHAnsi"/>
          <w:sz w:val="22"/>
          <w:szCs w:val="22"/>
          <w:lang w:val="en-CA" w:eastAsia="en-CA"/>
        </w:rPr>
        <w:t>In 2018–2019, HC processed a t</w:t>
      </w:r>
      <w:r w:rsidR="00B33018" w:rsidRPr="00842013">
        <w:rPr>
          <w:rFonts w:asciiTheme="minorHAnsi" w:hAnsiTheme="minorHAnsi" w:cstheme="minorHAnsi"/>
          <w:sz w:val="22"/>
          <w:szCs w:val="22"/>
          <w:lang w:val="en-CA" w:eastAsia="en-CA"/>
        </w:rPr>
        <w:t>otal of 6,359 staffing actions:</w:t>
      </w:r>
    </w:p>
    <w:p w14:paraId="5D707079" w14:textId="77777777" w:rsidR="00282ABD" w:rsidRPr="00842013" w:rsidRDefault="00282ABD" w:rsidP="002A0977">
      <w:pPr>
        <w:pStyle w:val="Sansinterligne"/>
        <w:numPr>
          <w:ilvl w:val="0"/>
          <w:numId w:val="12"/>
        </w:numPr>
        <w:spacing w:before="120" w:after="120"/>
        <w:ind w:left="714" w:hanging="357"/>
        <w:contextualSpacing/>
        <w:rPr>
          <w:rFonts w:asciiTheme="minorHAnsi" w:hAnsiTheme="minorHAnsi" w:cstheme="minorHAnsi"/>
          <w:sz w:val="22"/>
          <w:szCs w:val="22"/>
          <w:lang w:val="en-CA" w:eastAsia="en-CA"/>
        </w:rPr>
      </w:pPr>
      <w:r w:rsidRPr="00842013">
        <w:rPr>
          <w:rFonts w:asciiTheme="minorHAnsi" w:hAnsiTheme="minorHAnsi" w:cstheme="minorHAnsi"/>
          <w:sz w:val="22"/>
          <w:szCs w:val="22"/>
          <w:lang w:val="en-CA" w:eastAsia="en-CA"/>
        </w:rPr>
        <w:t xml:space="preserve">2,783 appointments to the public service (these include casuals and students); </w:t>
      </w:r>
    </w:p>
    <w:p w14:paraId="3D97AFB1" w14:textId="77777777" w:rsidR="00282ABD" w:rsidRPr="00842013" w:rsidRDefault="00282ABD" w:rsidP="002A0977">
      <w:pPr>
        <w:pStyle w:val="Sansinterligne"/>
        <w:numPr>
          <w:ilvl w:val="0"/>
          <w:numId w:val="12"/>
        </w:numPr>
        <w:spacing w:before="120" w:after="120"/>
        <w:ind w:left="714" w:hanging="357"/>
        <w:contextualSpacing/>
        <w:rPr>
          <w:rFonts w:asciiTheme="minorHAnsi" w:hAnsiTheme="minorHAnsi" w:cstheme="minorHAnsi"/>
          <w:sz w:val="22"/>
          <w:szCs w:val="22"/>
          <w:lang w:val="en-CA" w:eastAsia="en-CA"/>
        </w:rPr>
      </w:pPr>
      <w:r w:rsidRPr="00842013">
        <w:rPr>
          <w:rFonts w:asciiTheme="minorHAnsi" w:hAnsiTheme="minorHAnsi" w:cstheme="minorHAnsi"/>
          <w:sz w:val="22"/>
          <w:szCs w:val="22"/>
          <w:lang w:val="en-CA" w:eastAsia="en-CA"/>
        </w:rPr>
        <w:t>1,356 promotions;</w:t>
      </w:r>
    </w:p>
    <w:p w14:paraId="7F3BFC0E" w14:textId="77777777" w:rsidR="00282ABD" w:rsidRPr="00842013" w:rsidRDefault="00282ABD" w:rsidP="002A0977">
      <w:pPr>
        <w:pStyle w:val="Sansinterligne"/>
        <w:numPr>
          <w:ilvl w:val="0"/>
          <w:numId w:val="12"/>
        </w:numPr>
        <w:spacing w:before="120" w:after="120"/>
        <w:ind w:left="714" w:hanging="357"/>
        <w:contextualSpacing/>
        <w:rPr>
          <w:rFonts w:asciiTheme="minorHAnsi" w:hAnsiTheme="minorHAnsi" w:cstheme="minorHAnsi"/>
          <w:sz w:val="22"/>
          <w:szCs w:val="22"/>
          <w:lang w:val="en-CA" w:eastAsia="en-CA"/>
        </w:rPr>
      </w:pPr>
      <w:r w:rsidRPr="00842013">
        <w:rPr>
          <w:rFonts w:asciiTheme="minorHAnsi" w:hAnsiTheme="minorHAnsi" w:cstheme="minorHAnsi"/>
          <w:sz w:val="22"/>
          <w:szCs w:val="22"/>
          <w:lang w:val="en-CA" w:eastAsia="en-CA"/>
        </w:rPr>
        <w:t>797 acting appointments; and</w:t>
      </w:r>
    </w:p>
    <w:p w14:paraId="5CFF4134" w14:textId="5D94E29C" w:rsidR="00282ABD" w:rsidRPr="00842013" w:rsidRDefault="00282ABD" w:rsidP="002A0977">
      <w:pPr>
        <w:pStyle w:val="Sansinterligne"/>
        <w:numPr>
          <w:ilvl w:val="0"/>
          <w:numId w:val="12"/>
        </w:numPr>
        <w:spacing w:before="120" w:after="120"/>
        <w:ind w:left="714" w:hanging="357"/>
        <w:contextualSpacing/>
        <w:rPr>
          <w:rFonts w:asciiTheme="minorHAnsi" w:hAnsiTheme="minorHAnsi" w:cstheme="minorHAnsi"/>
          <w:sz w:val="22"/>
          <w:szCs w:val="22"/>
          <w:lang w:val="en-CA" w:eastAsia="en-CA"/>
        </w:rPr>
      </w:pPr>
      <w:r w:rsidRPr="00842013">
        <w:rPr>
          <w:rFonts w:asciiTheme="minorHAnsi" w:hAnsiTheme="minorHAnsi" w:cstheme="minorHAnsi"/>
          <w:sz w:val="22"/>
          <w:szCs w:val="22"/>
          <w:lang w:val="en-CA" w:eastAsia="en-CA"/>
        </w:rPr>
        <w:t xml:space="preserve">1,423 lateral and downward movements </w:t>
      </w:r>
    </w:p>
    <w:p w14:paraId="7D309924" w14:textId="77777777" w:rsidR="00F50508" w:rsidRDefault="00F50508" w:rsidP="00842013">
      <w:pPr>
        <w:pStyle w:val="Sansinterligne"/>
        <w:spacing w:before="120" w:after="120"/>
        <w:rPr>
          <w:rFonts w:asciiTheme="minorHAnsi" w:hAnsiTheme="minorHAnsi" w:cstheme="minorHAnsi"/>
          <w:sz w:val="22"/>
          <w:szCs w:val="22"/>
          <w:lang w:val="en-CA" w:eastAsia="en-CA"/>
        </w:rPr>
        <w:sectPr w:rsidR="00F50508" w:rsidSect="00934B32">
          <w:footerReference w:type="default" r:id="rId8"/>
          <w:footerReference w:type="first" r:id="rId9"/>
          <w:footnotePr>
            <w:numFmt w:val="lowerLetter"/>
          </w:footnotePr>
          <w:endnotePr>
            <w:numFmt w:val="lowerLetter"/>
          </w:endnotePr>
          <w:pgSz w:w="12240" w:h="15840" w:code="1"/>
          <w:pgMar w:top="1440" w:right="1080" w:bottom="1440" w:left="1080" w:header="284" w:footer="284" w:gutter="0"/>
          <w:cols w:space="720"/>
          <w:docGrid w:linePitch="326"/>
        </w:sectPr>
      </w:pPr>
    </w:p>
    <w:p w14:paraId="78A3D1E3" w14:textId="53910318" w:rsidR="00282ABD" w:rsidRPr="00842013" w:rsidRDefault="00B33018" w:rsidP="00842013">
      <w:pPr>
        <w:pStyle w:val="Sansinterligne"/>
        <w:spacing w:before="120" w:after="120"/>
        <w:rPr>
          <w:rFonts w:asciiTheme="minorHAnsi" w:hAnsiTheme="minorHAnsi" w:cstheme="minorHAnsi"/>
          <w:sz w:val="22"/>
          <w:szCs w:val="22"/>
          <w:lang w:val="en-CA" w:eastAsia="en-CA"/>
        </w:rPr>
      </w:pPr>
      <w:r w:rsidRPr="00842013">
        <w:rPr>
          <w:rFonts w:asciiTheme="minorHAnsi" w:hAnsiTheme="minorHAnsi" w:cstheme="minorHAnsi"/>
          <w:sz w:val="22"/>
          <w:szCs w:val="22"/>
          <w:lang w:val="en-CA" w:eastAsia="en-CA"/>
        </w:rPr>
        <w:lastRenderedPageBreak/>
        <w:t>Tenure of appointments:</w:t>
      </w:r>
    </w:p>
    <w:p w14:paraId="3FB7E767" w14:textId="77777777" w:rsidR="00282ABD" w:rsidRPr="00842013" w:rsidRDefault="00282ABD" w:rsidP="002A0977">
      <w:pPr>
        <w:pStyle w:val="Sansinterligne"/>
        <w:numPr>
          <w:ilvl w:val="0"/>
          <w:numId w:val="13"/>
        </w:numPr>
        <w:spacing w:before="120" w:after="120"/>
        <w:ind w:left="714" w:hanging="357"/>
        <w:contextualSpacing/>
        <w:rPr>
          <w:rFonts w:asciiTheme="minorHAnsi" w:hAnsiTheme="minorHAnsi" w:cstheme="minorHAnsi"/>
          <w:sz w:val="22"/>
          <w:szCs w:val="22"/>
          <w:lang w:val="en-CA" w:eastAsia="en-CA"/>
        </w:rPr>
      </w:pPr>
      <w:r w:rsidRPr="00842013">
        <w:rPr>
          <w:rFonts w:asciiTheme="minorHAnsi" w:hAnsiTheme="minorHAnsi" w:cstheme="minorHAnsi"/>
          <w:sz w:val="22"/>
          <w:szCs w:val="22"/>
          <w:lang w:val="en-CA" w:eastAsia="en-CA"/>
        </w:rPr>
        <w:t>4,068 indeterminates;</w:t>
      </w:r>
    </w:p>
    <w:p w14:paraId="0D3530AA" w14:textId="77777777" w:rsidR="00282ABD" w:rsidRPr="00842013" w:rsidRDefault="00282ABD" w:rsidP="002A0977">
      <w:pPr>
        <w:pStyle w:val="Sansinterligne"/>
        <w:numPr>
          <w:ilvl w:val="0"/>
          <w:numId w:val="13"/>
        </w:numPr>
        <w:spacing w:before="120" w:after="120"/>
        <w:ind w:left="714" w:hanging="357"/>
        <w:contextualSpacing/>
        <w:rPr>
          <w:rFonts w:asciiTheme="minorHAnsi" w:hAnsiTheme="minorHAnsi" w:cstheme="minorHAnsi"/>
          <w:sz w:val="22"/>
          <w:szCs w:val="22"/>
          <w:lang w:val="en-CA" w:eastAsia="en-CA"/>
        </w:rPr>
      </w:pPr>
      <w:r w:rsidRPr="00842013">
        <w:rPr>
          <w:rFonts w:asciiTheme="minorHAnsi" w:hAnsiTheme="minorHAnsi" w:cstheme="minorHAnsi"/>
          <w:sz w:val="22"/>
          <w:szCs w:val="22"/>
          <w:lang w:val="en-CA" w:eastAsia="en-CA"/>
        </w:rPr>
        <w:t>809 terms;</w:t>
      </w:r>
    </w:p>
    <w:p w14:paraId="4C989FDB" w14:textId="77777777" w:rsidR="00282ABD" w:rsidRPr="00842013" w:rsidRDefault="00282ABD" w:rsidP="002A0977">
      <w:pPr>
        <w:pStyle w:val="Sansinterligne"/>
        <w:numPr>
          <w:ilvl w:val="0"/>
          <w:numId w:val="13"/>
        </w:numPr>
        <w:spacing w:before="120" w:after="120"/>
        <w:ind w:left="714" w:hanging="357"/>
        <w:contextualSpacing/>
        <w:rPr>
          <w:rFonts w:asciiTheme="minorHAnsi" w:hAnsiTheme="minorHAnsi" w:cstheme="minorHAnsi"/>
          <w:sz w:val="22"/>
          <w:szCs w:val="22"/>
          <w:lang w:val="en-CA" w:eastAsia="en-CA"/>
        </w:rPr>
      </w:pPr>
      <w:r w:rsidRPr="00842013">
        <w:rPr>
          <w:rFonts w:asciiTheme="minorHAnsi" w:hAnsiTheme="minorHAnsi" w:cstheme="minorHAnsi"/>
          <w:sz w:val="22"/>
          <w:szCs w:val="22"/>
          <w:lang w:val="en-CA" w:eastAsia="en-CA"/>
        </w:rPr>
        <w:t>804 casuals, and</w:t>
      </w:r>
    </w:p>
    <w:p w14:paraId="3521C728" w14:textId="403474A9" w:rsidR="00282ABD" w:rsidRPr="00842013" w:rsidRDefault="00282ABD" w:rsidP="002A0977">
      <w:pPr>
        <w:pStyle w:val="Sansinterligne"/>
        <w:numPr>
          <w:ilvl w:val="0"/>
          <w:numId w:val="13"/>
        </w:numPr>
        <w:spacing w:before="120" w:after="120"/>
        <w:ind w:left="714" w:hanging="357"/>
        <w:rPr>
          <w:rFonts w:asciiTheme="minorHAnsi" w:hAnsiTheme="minorHAnsi" w:cstheme="minorHAnsi"/>
          <w:sz w:val="22"/>
          <w:szCs w:val="22"/>
          <w:lang w:val="en-CA" w:eastAsia="en-CA"/>
        </w:rPr>
      </w:pPr>
      <w:r w:rsidRPr="00842013">
        <w:rPr>
          <w:rFonts w:asciiTheme="minorHAnsi" w:hAnsiTheme="minorHAnsi" w:cstheme="minorHAnsi"/>
          <w:sz w:val="22"/>
          <w:szCs w:val="22"/>
          <w:lang w:val="en-CA" w:eastAsia="en-CA"/>
        </w:rPr>
        <w:t xml:space="preserve">678 students. </w:t>
      </w:r>
    </w:p>
    <w:p w14:paraId="6BE224DE" w14:textId="75673051" w:rsidR="00282ABD" w:rsidRPr="00842013" w:rsidRDefault="00282ABD" w:rsidP="00842013">
      <w:pPr>
        <w:pStyle w:val="Sansinterligne"/>
        <w:spacing w:before="120" w:after="120"/>
        <w:rPr>
          <w:rFonts w:asciiTheme="minorHAnsi" w:hAnsiTheme="minorHAnsi" w:cstheme="minorHAnsi"/>
          <w:sz w:val="22"/>
          <w:szCs w:val="22"/>
          <w:lang w:val="en-CA" w:eastAsia="en-CA"/>
        </w:rPr>
      </w:pPr>
      <w:r w:rsidRPr="00842013">
        <w:rPr>
          <w:rFonts w:asciiTheme="minorHAnsi" w:hAnsiTheme="minorHAnsi" w:cstheme="minorHAnsi"/>
          <w:sz w:val="22"/>
          <w:szCs w:val="22"/>
          <w:lang w:val="en-CA" w:eastAsia="en-CA"/>
        </w:rPr>
        <w:t xml:space="preserve">Please refer to </w:t>
      </w:r>
      <w:r w:rsidR="00F87B06" w:rsidRPr="002C0B94">
        <w:rPr>
          <w:rStyle w:val="Lienhypertexte"/>
          <w:rFonts w:asciiTheme="minorHAnsi" w:hAnsiTheme="minorHAnsi" w:cstheme="minorHAnsi"/>
          <w:sz w:val="22"/>
          <w:szCs w:val="22"/>
          <w:lang w:val="en-CA"/>
        </w:rPr>
        <w:t>Anne</w:t>
      </w:r>
      <w:r w:rsidR="002C0B94">
        <w:rPr>
          <w:rStyle w:val="Lienhypertexte"/>
          <w:rFonts w:asciiTheme="minorHAnsi" w:hAnsiTheme="minorHAnsi" w:cstheme="minorHAnsi"/>
          <w:sz w:val="22"/>
          <w:szCs w:val="22"/>
          <w:lang w:val="en-CA"/>
        </w:rPr>
        <w:t>x B</w:t>
      </w:r>
      <w:r w:rsidRPr="00842013">
        <w:rPr>
          <w:rFonts w:asciiTheme="minorHAnsi" w:hAnsiTheme="minorHAnsi" w:cstheme="minorHAnsi"/>
          <w:sz w:val="22"/>
          <w:szCs w:val="22"/>
          <w:lang w:val="en-CA" w:eastAsia="en-CA"/>
        </w:rPr>
        <w:t xml:space="preserve"> for additional details</w:t>
      </w:r>
      <w:r w:rsidR="00C00A4A">
        <w:rPr>
          <w:rFonts w:asciiTheme="minorHAnsi" w:hAnsiTheme="minorHAnsi" w:cstheme="minorHAnsi"/>
          <w:sz w:val="22"/>
          <w:szCs w:val="22"/>
          <w:lang w:val="en-CA" w:eastAsia="en-CA"/>
        </w:rPr>
        <w:t xml:space="preserve"> on staffing activities</w:t>
      </w:r>
      <w:r w:rsidRPr="00842013">
        <w:rPr>
          <w:rFonts w:asciiTheme="minorHAnsi" w:hAnsiTheme="minorHAnsi" w:cstheme="minorHAnsi"/>
          <w:sz w:val="22"/>
          <w:szCs w:val="22"/>
          <w:lang w:val="en-CA" w:eastAsia="en-CA"/>
        </w:rPr>
        <w:t>.</w:t>
      </w:r>
    </w:p>
    <w:p w14:paraId="5DAD4298" w14:textId="77777777" w:rsidR="00282ABD" w:rsidRPr="00842013" w:rsidRDefault="00282ABD" w:rsidP="00842013">
      <w:pPr>
        <w:pStyle w:val="Titre1"/>
        <w:spacing w:before="120" w:after="120"/>
        <w:rPr>
          <w:lang w:val="en-CA"/>
        </w:rPr>
      </w:pPr>
      <w:r w:rsidRPr="00842013">
        <w:rPr>
          <w:lang w:val="en-CA"/>
        </w:rPr>
        <w:t>Time to Staff</w:t>
      </w:r>
    </w:p>
    <w:p w14:paraId="7A832840" w14:textId="07939E9B"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HC has a median time of 201 days for internal appointments, which is higher than the median of the publ</w:t>
      </w:r>
      <w:r w:rsidR="00B33018" w:rsidRPr="00842013">
        <w:rPr>
          <w:rFonts w:ascii="Segoe UI Semilight" w:hAnsi="Segoe UI Semilight" w:cs="Segoe UI Semilight"/>
          <w:sz w:val="22"/>
          <w:szCs w:val="22"/>
          <w:lang w:val="en-CA" w:eastAsia="en-CA"/>
        </w:rPr>
        <w:t xml:space="preserve">ic service, which is 176 days. </w:t>
      </w:r>
    </w:p>
    <w:p w14:paraId="27D85291" w14:textId="1F6B7B3E"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HC has a median time of 193 days for external appointments, which is higher than the median of the publ</w:t>
      </w:r>
      <w:r w:rsidR="00B33018" w:rsidRPr="00842013">
        <w:rPr>
          <w:rFonts w:ascii="Segoe UI Semilight" w:hAnsi="Segoe UI Semilight" w:cs="Segoe UI Semilight"/>
          <w:sz w:val="22"/>
          <w:szCs w:val="22"/>
          <w:lang w:val="en-CA" w:eastAsia="en-CA"/>
        </w:rPr>
        <w:t xml:space="preserve">ic service, which is 186 days. </w:t>
      </w:r>
    </w:p>
    <w:p w14:paraId="3F33D75D" w14:textId="01FBD323"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As part of the HR to Pay Timeliness initiative, HC put in place various tools and processes to help improve t</w:t>
      </w:r>
      <w:r w:rsidR="00B33018" w:rsidRPr="00842013">
        <w:rPr>
          <w:rFonts w:ascii="Segoe UI Semilight" w:hAnsi="Segoe UI Semilight" w:cs="Segoe UI Semilight"/>
          <w:sz w:val="22"/>
          <w:szCs w:val="22"/>
          <w:lang w:val="en-CA" w:eastAsia="en-CA"/>
        </w:rPr>
        <w:t>he overall staffing timeliness.</w:t>
      </w:r>
    </w:p>
    <w:p w14:paraId="3681FC6D" w14:textId="458E0FE9" w:rsidR="00F236D0" w:rsidRPr="00842013" w:rsidRDefault="00282ABD" w:rsidP="00842013">
      <w:pPr>
        <w:pStyle w:val="Titre1"/>
        <w:spacing w:before="120" w:after="120"/>
        <w:rPr>
          <w:lang w:val="en-CA"/>
        </w:rPr>
      </w:pPr>
      <w:r w:rsidRPr="00842013">
        <w:rPr>
          <w:lang w:val="en-CA"/>
        </w:rPr>
        <w:t>Staffing Framework</w:t>
      </w:r>
    </w:p>
    <w:p w14:paraId="33BDC088" w14:textId="77777777" w:rsidR="00282ABD" w:rsidRPr="00842013" w:rsidRDefault="00282ABD" w:rsidP="00842013">
      <w:pPr>
        <w:pStyle w:val="Titre2"/>
        <w:spacing w:before="120" w:after="120"/>
        <w:rPr>
          <w:lang w:val="en-CA"/>
        </w:rPr>
      </w:pPr>
      <w:r w:rsidRPr="00842013">
        <w:rPr>
          <w:lang w:val="en-CA"/>
        </w:rPr>
        <w:t>New Direction in Staffing Implementation</w:t>
      </w:r>
    </w:p>
    <w:p w14:paraId="5C728860" w14:textId="77777777"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In February 2019, at the request of the organization, the Public Service Commission (PSC) re-examined HC sub-delegation instruments. HC updated their staffing framework (Policy on Area of Selection, guidance for the use of advertised and non-advertised appointments, articulation of selection decision and sub-delegation instrument) further to observations stemming from this review. The updated framework has since been approved by the DH.</w:t>
      </w:r>
    </w:p>
    <w:p w14:paraId="30E6B294" w14:textId="77777777" w:rsidR="00282ABD" w:rsidRPr="00842013" w:rsidRDefault="00282ABD" w:rsidP="00842013">
      <w:pPr>
        <w:pStyle w:val="Titre1"/>
        <w:spacing w:before="120" w:after="120"/>
        <w:rPr>
          <w:lang w:val="en-CA"/>
        </w:rPr>
      </w:pPr>
      <w:r w:rsidRPr="00842013">
        <w:rPr>
          <w:lang w:val="en-CA"/>
        </w:rPr>
        <w:t>Appointment Delegation and Accountability Instrument Annex D Reporting</w:t>
      </w:r>
    </w:p>
    <w:p w14:paraId="1D5D9A3B" w14:textId="77777777" w:rsidR="00282ABD" w:rsidRPr="00842013" w:rsidRDefault="00282ABD" w:rsidP="00842013">
      <w:pPr>
        <w:pStyle w:val="Titre2"/>
        <w:spacing w:before="120" w:after="120"/>
        <w:rPr>
          <w:lang w:val="en-CA"/>
        </w:rPr>
      </w:pPr>
      <w:r w:rsidRPr="00842013">
        <w:rPr>
          <w:lang w:val="en-CA"/>
        </w:rPr>
        <w:t>Use of the Public Service Official Languages Exclusion Approval Order and the Public Service Official Languages Appointment Regulations</w:t>
      </w:r>
    </w:p>
    <w:p w14:paraId="345860B0" w14:textId="0388A183"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 xml:space="preserve">HC reported that the organization made no use of the </w:t>
      </w:r>
      <w:r w:rsidRPr="00842013">
        <w:rPr>
          <w:rStyle w:val="Accentuation"/>
          <w:lang w:val="en-CA"/>
        </w:rPr>
        <w:t>Public Service Official Langu</w:t>
      </w:r>
      <w:r w:rsidR="00B33018" w:rsidRPr="00842013">
        <w:rPr>
          <w:rStyle w:val="Accentuation"/>
          <w:lang w:val="en-CA"/>
        </w:rPr>
        <w:t>ages Exclusion Approval Order</w:t>
      </w:r>
      <w:r w:rsidR="00B33018" w:rsidRPr="00842013">
        <w:rPr>
          <w:rFonts w:ascii="Segoe UI Semilight" w:hAnsi="Segoe UI Semilight" w:cs="Segoe UI Semilight"/>
          <w:sz w:val="22"/>
          <w:szCs w:val="22"/>
          <w:lang w:val="en-CA" w:eastAsia="en-CA"/>
        </w:rPr>
        <w:t xml:space="preserve">. </w:t>
      </w:r>
    </w:p>
    <w:p w14:paraId="619813F6" w14:textId="77777777" w:rsidR="00994800" w:rsidRDefault="00282ABD" w:rsidP="00842013">
      <w:pPr>
        <w:pStyle w:val="Sansinterligne"/>
        <w:spacing w:before="120" w:after="120"/>
        <w:rPr>
          <w:rFonts w:ascii="Segoe UI Semilight" w:hAnsi="Segoe UI Semilight" w:cs="Segoe UI Semilight"/>
          <w:sz w:val="22"/>
          <w:szCs w:val="22"/>
          <w:lang w:val="en-CA" w:eastAsia="en-CA"/>
        </w:rPr>
        <w:sectPr w:rsidR="00994800" w:rsidSect="00934B32">
          <w:footnotePr>
            <w:numFmt w:val="lowerLetter"/>
          </w:footnotePr>
          <w:endnotePr>
            <w:numFmt w:val="lowerLetter"/>
          </w:endnotePr>
          <w:pgSz w:w="12240" w:h="15840" w:code="1"/>
          <w:pgMar w:top="1440" w:right="1080" w:bottom="1440" w:left="1080" w:header="284" w:footer="284" w:gutter="0"/>
          <w:cols w:space="720"/>
          <w:docGrid w:linePitch="326"/>
        </w:sectPr>
      </w:pPr>
      <w:r w:rsidRPr="00842013">
        <w:rPr>
          <w:rFonts w:ascii="Segoe UI Semilight" w:hAnsi="Segoe UI Semilight" w:cs="Segoe UI Semilight"/>
          <w:sz w:val="22"/>
          <w:szCs w:val="22"/>
          <w:lang w:val="en-CA" w:eastAsia="en-CA"/>
        </w:rPr>
        <w:t xml:space="preserve">They reported two active cases under the </w:t>
      </w:r>
      <w:r w:rsidRPr="00842013">
        <w:rPr>
          <w:rStyle w:val="Accentuation"/>
          <w:lang w:val="en-CA"/>
        </w:rPr>
        <w:t>Public Service Official Languages Appointment Regulations</w:t>
      </w:r>
      <w:r w:rsidRPr="00842013">
        <w:rPr>
          <w:rFonts w:ascii="Segoe UI Semilight" w:hAnsi="Segoe UI Semilight" w:cs="Segoe UI Semilight"/>
          <w:sz w:val="22"/>
          <w:szCs w:val="22"/>
          <w:lang w:val="en-CA" w:eastAsia="en-CA"/>
        </w:rPr>
        <w:t xml:space="preserve"> for the period of April 1, 2018, and March 31, 2019.  Both individuals have since successfully completed their training.  The organization does </w:t>
      </w:r>
      <w:r w:rsidR="00B33018" w:rsidRPr="00842013">
        <w:rPr>
          <w:rFonts w:ascii="Segoe UI Semilight" w:hAnsi="Segoe UI Semilight" w:cs="Segoe UI Semilight"/>
          <w:sz w:val="22"/>
          <w:szCs w:val="22"/>
          <w:lang w:val="en-CA" w:eastAsia="en-CA"/>
        </w:rPr>
        <w:t>not have any outstanding cases.</w:t>
      </w:r>
    </w:p>
    <w:p w14:paraId="313FAAB1" w14:textId="77777777" w:rsidR="00282ABD" w:rsidRPr="00842013" w:rsidRDefault="00282ABD" w:rsidP="00842013">
      <w:pPr>
        <w:pStyle w:val="Titre2"/>
        <w:spacing w:before="120" w:after="120"/>
        <w:rPr>
          <w:lang w:val="en-CA"/>
        </w:rPr>
      </w:pPr>
      <w:r w:rsidRPr="00842013">
        <w:rPr>
          <w:lang w:val="en-CA"/>
        </w:rPr>
        <w:lastRenderedPageBreak/>
        <w:t>Approved Deputy Head Exceptions to the National Area of Selection Requirements for External Advertised Appointment Process</w:t>
      </w:r>
    </w:p>
    <w:p w14:paraId="51D3D41D" w14:textId="63297CA8"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 xml:space="preserve">HC did not report any exception to the National Area of </w:t>
      </w:r>
      <w:r w:rsidR="00B33018" w:rsidRPr="00842013">
        <w:rPr>
          <w:rFonts w:ascii="Segoe UI Semilight" w:hAnsi="Segoe UI Semilight" w:cs="Segoe UI Semilight"/>
          <w:sz w:val="22"/>
          <w:szCs w:val="22"/>
          <w:lang w:val="en-CA" w:eastAsia="en-CA"/>
        </w:rPr>
        <w:t>Selection approved by their DH.</w:t>
      </w:r>
    </w:p>
    <w:p w14:paraId="467D2DFB" w14:textId="77777777" w:rsidR="00282ABD" w:rsidRPr="00842013" w:rsidRDefault="00282ABD" w:rsidP="00842013">
      <w:pPr>
        <w:pStyle w:val="Titre2"/>
        <w:spacing w:before="120" w:after="120"/>
        <w:rPr>
          <w:lang w:val="en-CA"/>
        </w:rPr>
      </w:pPr>
      <w:r w:rsidRPr="00842013">
        <w:rPr>
          <w:lang w:val="en-CA"/>
        </w:rPr>
        <w:t>Results of Organizational Cyclical Assessment</w:t>
      </w:r>
    </w:p>
    <w:p w14:paraId="68D734C3" w14:textId="76054A36" w:rsidR="00F236D0"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HC confirmed that they will submit their cyclical Assessment by May 2021. They are hoping to provide a preliminary report to see if the PSC would have any advice to provide prior to submitting the final report.</w:t>
      </w:r>
    </w:p>
    <w:p w14:paraId="231019BF" w14:textId="77777777" w:rsidR="00282ABD" w:rsidRPr="00842013" w:rsidRDefault="00282ABD" w:rsidP="00842013">
      <w:pPr>
        <w:pStyle w:val="Titre2"/>
        <w:spacing w:before="120" w:after="120"/>
        <w:rPr>
          <w:lang w:val="en-CA"/>
        </w:rPr>
      </w:pPr>
      <w:r w:rsidRPr="00842013">
        <w:rPr>
          <w:lang w:val="en-CA"/>
        </w:rPr>
        <w:t>Inquiries and Trends</w:t>
      </w:r>
    </w:p>
    <w:p w14:paraId="7F219BE4" w14:textId="2267687B"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 xml:space="preserve">The majority (16.1%) of inquiries from HC are related to the assessment in the appointment process. Other noteworthy areas of inquiries include clarification on sections of the </w:t>
      </w:r>
      <w:r w:rsidRPr="00934B32">
        <w:rPr>
          <w:rStyle w:val="Accentuation"/>
        </w:rPr>
        <w:t>Public Service Employment Act</w:t>
      </w:r>
      <w:r w:rsidRPr="00842013">
        <w:rPr>
          <w:rFonts w:ascii="Segoe UI Semilight" w:hAnsi="Segoe UI Semilight" w:cs="Segoe UI Semilight"/>
          <w:sz w:val="22"/>
          <w:szCs w:val="22"/>
          <w:lang w:val="en-CA" w:eastAsia="en-CA"/>
        </w:rPr>
        <w:t>, guidance on the Office of the Chief Human Resources Officer people management policies, staffing values and student hiring. This spread of inquiries is similar to activities</w:t>
      </w:r>
      <w:r w:rsidR="00B33018" w:rsidRPr="00842013">
        <w:rPr>
          <w:rFonts w:ascii="Segoe UI Semilight" w:hAnsi="Segoe UI Semilight" w:cs="Segoe UI Semilight"/>
          <w:sz w:val="22"/>
          <w:szCs w:val="22"/>
          <w:lang w:val="en-CA" w:eastAsia="en-CA"/>
        </w:rPr>
        <w:t xml:space="preserve"> from comparable organizations.</w:t>
      </w:r>
    </w:p>
    <w:p w14:paraId="47666D71" w14:textId="77777777"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 xml:space="preserve">HC is doing regular monitoring of their staffing system. They are using this information to support their cyclical review report. </w:t>
      </w:r>
    </w:p>
    <w:p w14:paraId="3F816C61" w14:textId="77777777" w:rsidR="00282ABD" w:rsidRPr="00842013" w:rsidRDefault="00282ABD" w:rsidP="00842013">
      <w:pPr>
        <w:pStyle w:val="Titre1"/>
        <w:spacing w:before="120" w:after="120"/>
        <w:rPr>
          <w:lang w:val="en-CA"/>
        </w:rPr>
      </w:pPr>
      <w:r w:rsidRPr="00842013">
        <w:rPr>
          <w:lang w:val="en-CA"/>
        </w:rPr>
        <w:t>Oversight</w:t>
      </w:r>
      <w:r w:rsidR="00A9789E" w:rsidRPr="00842013">
        <w:rPr>
          <w:lang w:val="en-CA"/>
        </w:rPr>
        <w:t xml:space="preserve"> </w:t>
      </w:r>
    </w:p>
    <w:p w14:paraId="6327A764" w14:textId="77777777" w:rsidR="006C10D0" w:rsidRPr="00842013" w:rsidRDefault="006C10D0" w:rsidP="00842013">
      <w:pPr>
        <w:pStyle w:val="Titre2"/>
        <w:spacing w:before="120" w:after="120"/>
        <w:rPr>
          <w:u w:val="single"/>
          <w:lang w:val="en-CA"/>
        </w:rPr>
      </w:pPr>
      <w:r w:rsidRPr="00842013">
        <w:rPr>
          <w:lang w:val="en-CA"/>
        </w:rPr>
        <w:t xml:space="preserve">Audit </w:t>
      </w:r>
    </w:p>
    <w:p w14:paraId="237D00DB" w14:textId="77777777" w:rsidR="00994800" w:rsidRPr="006E3518" w:rsidRDefault="006C10D0" w:rsidP="006E3518">
      <w:pPr>
        <w:rPr>
          <w:rFonts w:asciiTheme="minorHAnsi" w:hAnsiTheme="minorHAnsi" w:cstheme="minorHAnsi"/>
          <w:sz w:val="22"/>
          <w:szCs w:val="22"/>
        </w:rPr>
      </w:pPr>
      <w:r w:rsidRPr="006E3518">
        <w:rPr>
          <w:rFonts w:asciiTheme="minorHAnsi" w:hAnsiTheme="minorHAnsi" w:cstheme="minorHAnsi"/>
          <w:sz w:val="22"/>
          <w:szCs w:val="22"/>
        </w:rPr>
        <w:t>HC was included in the completed System-Wide Staffing Audit, for which the final report was published in December 2018. The organization was also one of the 15 organizations covered by the Horizontal Audit on Credential Validation. The final report for this audit was published on May 29, 2019</w:t>
      </w:r>
    </w:p>
    <w:p w14:paraId="2AEF7628" w14:textId="77777777" w:rsidR="00994800" w:rsidRPr="006E3518" w:rsidRDefault="00994800" w:rsidP="006E3518">
      <w:pPr>
        <w:rPr>
          <w:rFonts w:asciiTheme="minorHAnsi" w:hAnsiTheme="minorHAnsi" w:cstheme="minorHAnsi"/>
          <w:sz w:val="22"/>
          <w:szCs w:val="22"/>
        </w:rPr>
        <w:sectPr w:rsidR="00994800" w:rsidRPr="006E3518" w:rsidSect="00934B32">
          <w:footnotePr>
            <w:numFmt w:val="lowerLetter"/>
          </w:footnotePr>
          <w:endnotePr>
            <w:numFmt w:val="lowerLetter"/>
          </w:endnotePr>
          <w:pgSz w:w="12240" w:h="15840" w:code="1"/>
          <w:pgMar w:top="1440" w:right="1080" w:bottom="1440" w:left="1080" w:header="284" w:footer="284" w:gutter="0"/>
          <w:cols w:space="720"/>
          <w:docGrid w:linePitch="326"/>
        </w:sectPr>
      </w:pPr>
    </w:p>
    <w:p w14:paraId="30EBB2FD" w14:textId="65F2B3FA" w:rsidR="00282ABD" w:rsidRPr="00842013" w:rsidRDefault="00282ABD" w:rsidP="00842013">
      <w:pPr>
        <w:pStyle w:val="Titre2"/>
        <w:spacing w:before="120" w:after="120"/>
        <w:rPr>
          <w:u w:val="single"/>
          <w:lang w:val="en-CA"/>
        </w:rPr>
      </w:pPr>
      <w:r w:rsidRPr="00842013">
        <w:rPr>
          <w:lang w:val="en-CA"/>
        </w:rPr>
        <w:lastRenderedPageBreak/>
        <w:t>Investigations</w:t>
      </w:r>
    </w:p>
    <w:p w14:paraId="74978EC2" w14:textId="4B301851"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Between August 26, 2016, and August 25, 2019, the PSC received 22 requests for investigations on staffing actions at HC, 14 on external appointments and 8 on potential frauds. At the beginning of that period, the PSC also had 4 cases carri</w:t>
      </w:r>
      <w:r w:rsidR="00B33018" w:rsidRPr="00842013">
        <w:rPr>
          <w:rFonts w:ascii="Segoe UI Semilight" w:hAnsi="Segoe UI Semilight" w:cs="Segoe UI Semilight"/>
          <w:sz w:val="22"/>
          <w:szCs w:val="22"/>
          <w:lang w:val="en-CA" w:eastAsia="en-CA"/>
        </w:rPr>
        <w:t>ed over from the previous year.</w:t>
      </w:r>
    </w:p>
    <w:p w14:paraId="754C99D7" w14:textId="77777777" w:rsidR="00282ABD" w:rsidRPr="00842013" w:rsidRDefault="00282ABD" w:rsidP="002A0977">
      <w:pPr>
        <w:pStyle w:val="Sansinterligne"/>
        <w:numPr>
          <w:ilvl w:val="0"/>
          <w:numId w:val="14"/>
        </w:numPr>
        <w:spacing w:before="120" w:after="120"/>
        <w:ind w:left="714" w:hanging="357"/>
        <w:contextualSpacing/>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2 cases were referred by the organization (one on external processes and one on potential fraud);</w:t>
      </w:r>
    </w:p>
    <w:p w14:paraId="16B6C691" w14:textId="77777777" w:rsidR="00282ABD" w:rsidRPr="00842013" w:rsidRDefault="00282ABD" w:rsidP="002A0977">
      <w:pPr>
        <w:pStyle w:val="Sansinterligne"/>
        <w:numPr>
          <w:ilvl w:val="0"/>
          <w:numId w:val="14"/>
        </w:numPr>
        <w:spacing w:before="120" w:after="120"/>
        <w:ind w:left="714" w:hanging="357"/>
        <w:contextualSpacing/>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15 cases were closed or not accepted (thirteen on external processes and two on potential fraud);</w:t>
      </w:r>
    </w:p>
    <w:p w14:paraId="7CEC6D15" w14:textId="77777777" w:rsidR="00282ABD" w:rsidRPr="00842013" w:rsidRDefault="00282ABD" w:rsidP="002A0977">
      <w:pPr>
        <w:pStyle w:val="Sansinterligne"/>
        <w:numPr>
          <w:ilvl w:val="0"/>
          <w:numId w:val="14"/>
        </w:numPr>
        <w:spacing w:before="120" w:after="120"/>
        <w:ind w:left="714" w:hanging="357"/>
        <w:contextualSpacing/>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 xml:space="preserve">3 cases on potential fraud were unfounded; </w:t>
      </w:r>
    </w:p>
    <w:p w14:paraId="1521B89D" w14:textId="77777777" w:rsidR="00282ABD" w:rsidRPr="00842013" w:rsidRDefault="00282ABD" w:rsidP="002A0977">
      <w:pPr>
        <w:pStyle w:val="Sansinterligne"/>
        <w:numPr>
          <w:ilvl w:val="0"/>
          <w:numId w:val="14"/>
        </w:numPr>
        <w:spacing w:before="120" w:after="120"/>
        <w:ind w:left="714" w:hanging="357"/>
        <w:contextualSpacing/>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 xml:space="preserve">3 cases on potential fraud were founded; and </w:t>
      </w:r>
    </w:p>
    <w:p w14:paraId="204D4E30" w14:textId="412E9148" w:rsidR="00282ABD" w:rsidRPr="00842013" w:rsidRDefault="00282ABD" w:rsidP="002A0977">
      <w:pPr>
        <w:pStyle w:val="Sansinterligne"/>
        <w:numPr>
          <w:ilvl w:val="0"/>
          <w:numId w:val="14"/>
        </w:numPr>
        <w:spacing w:before="120" w:after="240"/>
        <w:ind w:left="714" w:hanging="357"/>
        <w:contextualSpacing/>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3 cases are ongoing (one on external process and one on potential fraud).</w:t>
      </w:r>
    </w:p>
    <w:p w14:paraId="293DAD16" w14:textId="2346C75B" w:rsidR="006C1FA6" w:rsidRPr="00446697" w:rsidRDefault="006C1FA6" w:rsidP="00920412">
      <w:pPr>
        <w:pStyle w:val="Lgende"/>
        <w:keepNext/>
        <w:spacing w:before="120"/>
        <w:rPr>
          <w:rStyle w:val="Accentuation"/>
          <w:rFonts w:cstheme="minorHAnsi"/>
          <w:b/>
          <w:i w:val="0"/>
          <w:sz w:val="18"/>
        </w:rPr>
      </w:pPr>
      <w:r w:rsidRPr="00446697">
        <w:rPr>
          <w:rStyle w:val="Accentuation"/>
          <w:rFonts w:cstheme="minorHAnsi"/>
          <w:i w:val="0"/>
          <w:sz w:val="18"/>
        </w:rPr>
        <w:t xml:space="preserve">Table </w:t>
      </w:r>
      <w:r w:rsidRPr="00446697">
        <w:rPr>
          <w:rStyle w:val="Accentuation"/>
          <w:rFonts w:cstheme="minorHAnsi"/>
          <w:b/>
          <w:i w:val="0"/>
          <w:sz w:val="18"/>
        </w:rPr>
        <w:fldChar w:fldCharType="begin"/>
      </w:r>
      <w:r w:rsidRPr="00446697">
        <w:rPr>
          <w:rStyle w:val="Accentuation"/>
          <w:rFonts w:cstheme="minorHAnsi"/>
          <w:i w:val="0"/>
          <w:sz w:val="18"/>
        </w:rPr>
        <w:instrText xml:space="preserve"> SEQ Table \* ARABIC </w:instrText>
      </w:r>
      <w:r w:rsidRPr="00446697">
        <w:rPr>
          <w:rStyle w:val="Accentuation"/>
          <w:rFonts w:cstheme="minorHAnsi"/>
          <w:b/>
          <w:i w:val="0"/>
          <w:sz w:val="18"/>
        </w:rPr>
        <w:fldChar w:fldCharType="separate"/>
      </w:r>
      <w:r w:rsidR="002A0977">
        <w:rPr>
          <w:rStyle w:val="Accentuation"/>
          <w:rFonts w:cstheme="minorHAnsi"/>
          <w:i w:val="0"/>
          <w:noProof/>
          <w:sz w:val="18"/>
        </w:rPr>
        <w:t>1</w:t>
      </w:r>
      <w:r w:rsidRPr="00446697">
        <w:rPr>
          <w:rStyle w:val="Accentuation"/>
          <w:rFonts w:cstheme="minorHAnsi"/>
          <w:b/>
          <w:i w:val="0"/>
          <w:sz w:val="18"/>
        </w:rPr>
        <w:fldChar w:fldCharType="end"/>
      </w:r>
      <w:r w:rsidRPr="00446697">
        <w:rPr>
          <w:rStyle w:val="Accentuation"/>
          <w:rFonts w:cstheme="minorHAnsi"/>
          <w:i w:val="0"/>
          <w:sz w:val="18"/>
        </w:rPr>
        <w:t xml:space="preserve"> - Investigations</w:t>
      </w:r>
    </w:p>
    <w:tbl>
      <w:tblPr>
        <w:tblStyle w:val="TableGrid1"/>
        <w:tblW w:w="0" w:type="auto"/>
        <w:jc w:val="center"/>
        <w:tblLayout w:type="fixed"/>
        <w:tblLook w:val="04A0" w:firstRow="1" w:lastRow="0" w:firstColumn="1" w:lastColumn="0" w:noHBand="0" w:noVBand="1"/>
        <w:tblDescription w:val="Table 1 - Investigations"/>
      </w:tblPr>
      <w:tblGrid>
        <w:gridCol w:w="2263"/>
        <w:gridCol w:w="1060"/>
        <w:gridCol w:w="1652"/>
        <w:gridCol w:w="1257"/>
        <w:gridCol w:w="1415"/>
        <w:gridCol w:w="1370"/>
        <w:gridCol w:w="1053"/>
      </w:tblGrid>
      <w:tr w:rsidR="00A76D5A" w:rsidRPr="00F52EF3" w14:paraId="087B49E3" w14:textId="77777777" w:rsidTr="00232375">
        <w:trPr>
          <w:cantSplit/>
          <w:trHeight w:val="1200"/>
          <w:tblHeader/>
          <w:jc w:val="center"/>
        </w:trPr>
        <w:tc>
          <w:tcPr>
            <w:tcW w:w="2263" w:type="dxa"/>
            <w:shd w:val="clear" w:color="auto" w:fill="54575A" w:themeFill="text1"/>
            <w:hideMark/>
          </w:tcPr>
          <w:p w14:paraId="6053608D" w14:textId="77777777" w:rsidR="007B1877" w:rsidRPr="00F52EF3" w:rsidRDefault="007B1877" w:rsidP="00842013">
            <w:pPr>
              <w:pStyle w:val="TableTitle"/>
              <w:spacing w:before="120" w:after="120"/>
              <w:contextualSpacing/>
              <w:rPr>
                <w:rFonts w:asciiTheme="minorHAnsi" w:hAnsiTheme="minorHAnsi" w:cstheme="minorHAnsi"/>
                <w:color w:val="FFFFFF" w:themeColor="background1"/>
                <w:lang w:val="en-CA" w:eastAsia="en-CA"/>
              </w:rPr>
            </w:pPr>
            <w:r w:rsidRPr="00F52EF3">
              <w:rPr>
                <w:rFonts w:asciiTheme="minorHAnsi" w:hAnsiTheme="minorHAnsi" w:cstheme="minorHAnsi"/>
                <w:color w:val="FFFFFF" w:themeColor="background1"/>
                <w:lang w:val="en-CA"/>
              </w:rPr>
              <w:br w:type="textWrapping" w:clear="all"/>
            </w:r>
            <w:r w:rsidRPr="00F52EF3">
              <w:rPr>
                <w:rFonts w:asciiTheme="minorHAnsi" w:hAnsiTheme="minorHAnsi" w:cstheme="minorHAnsi"/>
                <w:color w:val="FFFFFF" w:themeColor="background1"/>
                <w:lang w:val="en-CA" w:eastAsia="en-CA"/>
              </w:rPr>
              <w:t>Nature of Issue</w:t>
            </w:r>
          </w:p>
        </w:tc>
        <w:tc>
          <w:tcPr>
            <w:tcW w:w="1060" w:type="dxa"/>
            <w:shd w:val="clear" w:color="auto" w:fill="54575A" w:themeFill="text1"/>
            <w:hideMark/>
          </w:tcPr>
          <w:p w14:paraId="79ABF189" w14:textId="77777777" w:rsidR="007B1877" w:rsidRPr="00F52EF3" w:rsidRDefault="007B1877" w:rsidP="00842013">
            <w:pPr>
              <w:pStyle w:val="TableTitle"/>
              <w:spacing w:before="120" w:after="120"/>
              <w:contextualSpacing/>
              <w:rPr>
                <w:rFonts w:asciiTheme="minorHAnsi" w:hAnsiTheme="minorHAnsi" w:cstheme="minorHAnsi"/>
                <w:color w:val="FFFFFF" w:themeColor="background1"/>
                <w:lang w:val="en-CA" w:eastAsia="en-CA"/>
              </w:rPr>
            </w:pPr>
            <w:r w:rsidRPr="00F52EF3">
              <w:rPr>
                <w:rFonts w:asciiTheme="minorHAnsi" w:hAnsiTheme="minorHAnsi" w:cstheme="minorHAnsi"/>
                <w:color w:val="FFFFFF" w:themeColor="background1"/>
                <w:lang w:val="en-CA" w:eastAsia="en-CA"/>
              </w:rPr>
              <w:t>Cases Received</w:t>
            </w:r>
          </w:p>
        </w:tc>
        <w:tc>
          <w:tcPr>
            <w:tcW w:w="1652" w:type="dxa"/>
            <w:shd w:val="clear" w:color="auto" w:fill="54575A" w:themeFill="text1"/>
            <w:hideMark/>
          </w:tcPr>
          <w:p w14:paraId="545E1FB0" w14:textId="77777777" w:rsidR="007B1877" w:rsidRPr="00F52EF3" w:rsidRDefault="007B1877" w:rsidP="00842013">
            <w:pPr>
              <w:pStyle w:val="TableTitle"/>
              <w:spacing w:before="120" w:after="120"/>
              <w:contextualSpacing/>
              <w:rPr>
                <w:rFonts w:asciiTheme="minorHAnsi" w:hAnsiTheme="minorHAnsi" w:cstheme="minorHAnsi"/>
                <w:color w:val="FFFFFF" w:themeColor="background1"/>
                <w:lang w:val="en-CA" w:eastAsia="en-CA"/>
              </w:rPr>
            </w:pPr>
            <w:r w:rsidRPr="00F52EF3">
              <w:rPr>
                <w:rFonts w:asciiTheme="minorHAnsi" w:hAnsiTheme="minorHAnsi" w:cstheme="minorHAnsi"/>
                <w:color w:val="FFFFFF" w:themeColor="background1"/>
                <w:lang w:val="en-CA" w:eastAsia="en-CA"/>
              </w:rPr>
              <w:t>Cases Referred by Organization</w:t>
            </w:r>
          </w:p>
        </w:tc>
        <w:tc>
          <w:tcPr>
            <w:tcW w:w="1257" w:type="dxa"/>
            <w:shd w:val="clear" w:color="auto" w:fill="54575A" w:themeFill="text1"/>
            <w:hideMark/>
          </w:tcPr>
          <w:p w14:paraId="39F273C9" w14:textId="77777777" w:rsidR="007B1877" w:rsidRPr="00F52EF3" w:rsidRDefault="007B1877" w:rsidP="00842013">
            <w:pPr>
              <w:pStyle w:val="TableTitle"/>
              <w:spacing w:before="120" w:after="120"/>
              <w:contextualSpacing/>
              <w:rPr>
                <w:rFonts w:asciiTheme="minorHAnsi" w:hAnsiTheme="minorHAnsi" w:cstheme="minorHAnsi"/>
                <w:color w:val="FFFFFF" w:themeColor="background1"/>
                <w:lang w:val="en-CA" w:eastAsia="en-CA"/>
              </w:rPr>
            </w:pPr>
            <w:r w:rsidRPr="00F52EF3">
              <w:rPr>
                <w:rFonts w:asciiTheme="minorHAnsi" w:hAnsiTheme="minorHAnsi" w:cstheme="minorHAnsi"/>
                <w:color w:val="FFFFFF" w:themeColor="background1"/>
                <w:lang w:val="en-CA" w:eastAsia="en-CA"/>
              </w:rPr>
              <w:t>Closed—Not Accepted</w:t>
            </w:r>
          </w:p>
        </w:tc>
        <w:tc>
          <w:tcPr>
            <w:tcW w:w="1415" w:type="dxa"/>
            <w:shd w:val="clear" w:color="auto" w:fill="54575A" w:themeFill="text1"/>
            <w:hideMark/>
          </w:tcPr>
          <w:p w14:paraId="2550BF7C" w14:textId="77777777" w:rsidR="007B1877" w:rsidRPr="00F52EF3" w:rsidRDefault="007B1877" w:rsidP="00842013">
            <w:pPr>
              <w:pStyle w:val="TableTitle"/>
              <w:spacing w:before="120" w:after="120"/>
              <w:contextualSpacing/>
              <w:rPr>
                <w:rFonts w:asciiTheme="minorHAnsi" w:hAnsiTheme="minorHAnsi" w:cstheme="minorHAnsi"/>
                <w:color w:val="FFFFFF" w:themeColor="background1"/>
                <w:lang w:val="en-CA" w:eastAsia="en-CA"/>
              </w:rPr>
            </w:pPr>
            <w:r w:rsidRPr="00F52EF3">
              <w:rPr>
                <w:rFonts w:asciiTheme="minorHAnsi" w:hAnsiTheme="minorHAnsi" w:cstheme="minorHAnsi"/>
                <w:color w:val="FFFFFF" w:themeColor="background1"/>
                <w:lang w:val="en-CA" w:eastAsia="en-CA"/>
              </w:rPr>
              <w:t>Completed Unfounded</w:t>
            </w:r>
          </w:p>
        </w:tc>
        <w:tc>
          <w:tcPr>
            <w:tcW w:w="1370" w:type="dxa"/>
            <w:shd w:val="clear" w:color="auto" w:fill="54575A" w:themeFill="text1"/>
            <w:hideMark/>
          </w:tcPr>
          <w:p w14:paraId="25CECD3E" w14:textId="77777777" w:rsidR="007B1877" w:rsidRPr="00F52EF3" w:rsidRDefault="007B1877" w:rsidP="00842013">
            <w:pPr>
              <w:pStyle w:val="TableTitle"/>
              <w:spacing w:before="120" w:after="120"/>
              <w:contextualSpacing/>
              <w:rPr>
                <w:rFonts w:asciiTheme="minorHAnsi" w:hAnsiTheme="minorHAnsi" w:cstheme="minorHAnsi"/>
                <w:color w:val="FFFFFF" w:themeColor="background1"/>
                <w:lang w:val="en-CA" w:eastAsia="en-CA"/>
              </w:rPr>
            </w:pPr>
            <w:r w:rsidRPr="00F52EF3">
              <w:rPr>
                <w:rFonts w:asciiTheme="minorHAnsi" w:hAnsiTheme="minorHAnsi" w:cstheme="minorHAnsi"/>
                <w:color w:val="FFFFFF" w:themeColor="background1"/>
                <w:lang w:val="en-CA" w:eastAsia="en-CA"/>
              </w:rPr>
              <w:t>Completed Founded</w:t>
            </w:r>
          </w:p>
        </w:tc>
        <w:tc>
          <w:tcPr>
            <w:tcW w:w="1053" w:type="dxa"/>
            <w:shd w:val="clear" w:color="auto" w:fill="54575A" w:themeFill="text1"/>
            <w:hideMark/>
          </w:tcPr>
          <w:p w14:paraId="09A48B29" w14:textId="77777777" w:rsidR="007B1877" w:rsidRPr="00F52EF3" w:rsidRDefault="007B1877" w:rsidP="00842013">
            <w:pPr>
              <w:pStyle w:val="TableTitle"/>
              <w:spacing w:before="120" w:after="120"/>
              <w:contextualSpacing/>
              <w:rPr>
                <w:rFonts w:asciiTheme="minorHAnsi" w:hAnsiTheme="minorHAnsi" w:cstheme="minorHAnsi"/>
                <w:color w:val="FFFFFF" w:themeColor="background1"/>
                <w:lang w:val="en-CA" w:eastAsia="en-CA"/>
              </w:rPr>
            </w:pPr>
            <w:r w:rsidRPr="00F52EF3">
              <w:rPr>
                <w:rFonts w:asciiTheme="minorHAnsi" w:hAnsiTheme="minorHAnsi" w:cstheme="minorHAnsi"/>
                <w:color w:val="FFFFFF" w:themeColor="background1"/>
                <w:lang w:val="en-CA" w:eastAsia="en-CA"/>
              </w:rPr>
              <w:t>Ongoing</w:t>
            </w:r>
          </w:p>
        </w:tc>
      </w:tr>
      <w:tr w:rsidR="007B1877" w:rsidRPr="00F52EF3" w14:paraId="0E17A9B7" w14:textId="77777777" w:rsidTr="00232375">
        <w:trPr>
          <w:cantSplit/>
          <w:trHeight w:val="600"/>
          <w:tblHeader/>
          <w:jc w:val="center"/>
        </w:trPr>
        <w:tc>
          <w:tcPr>
            <w:tcW w:w="2263" w:type="dxa"/>
            <w:shd w:val="clear" w:color="auto" w:fill="54575A" w:themeFill="text1"/>
            <w:hideMark/>
          </w:tcPr>
          <w:p w14:paraId="7CCE4075" w14:textId="77777777" w:rsidR="007B1877" w:rsidRPr="00F52EF3" w:rsidRDefault="007B1877" w:rsidP="00842013">
            <w:pPr>
              <w:spacing w:before="120" w:after="120"/>
              <w:contextualSpacing/>
              <w:rPr>
                <w:rFonts w:asciiTheme="minorHAnsi" w:hAnsiTheme="minorHAnsi" w:cstheme="minorHAnsi"/>
                <w:color w:val="FFFFFF" w:themeColor="background1"/>
                <w:sz w:val="22"/>
                <w:szCs w:val="22"/>
                <w:lang w:val="en-CA" w:eastAsia="en-CA"/>
              </w:rPr>
            </w:pPr>
            <w:r w:rsidRPr="00F52EF3">
              <w:rPr>
                <w:rFonts w:asciiTheme="minorHAnsi" w:hAnsiTheme="minorHAnsi" w:cstheme="minorHAnsi"/>
                <w:color w:val="FFFFFF" w:themeColor="background1"/>
                <w:sz w:val="22"/>
                <w:szCs w:val="22"/>
                <w:lang w:val="en-CA" w:eastAsia="en-CA"/>
              </w:rPr>
              <w:t>s.66 External Appointments (Merit, Error, Omission, Improper Conduct)</w:t>
            </w:r>
          </w:p>
        </w:tc>
        <w:tc>
          <w:tcPr>
            <w:tcW w:w="1060" w:type="dxa"/>
            <w:noWrap/>
            <w:hideMark/>
          </w:tcPr>
          <w:p w14:paraId="0F8BD526" w14:textId="77777777" w:rsidR="007B1877" w:rsidRPr="00F52EF3" w:rsidRDefault="007B1877" w:rsidP="00842013">
            <w:pPr>
              <w:spacing w:before="120" w:after="120"/>
              <w:contextualSpacing/>
              <w:jc w:val="center"/>
              <w:rPr>
                <w:rFonts w:asciiTheme="minorHAnsi" w:hAnsiTheme="minorHAnsi" w:cstheme="minorHAnsi"/>
                <w:sz w:val="22"/>
                <w:szCs w:val="22"/>
                <w:lang w:val="en-CA" w:eastAsia="en-CA"/>
              </w:rPr>
            </w:pPr>
            <w:r w:rsidRPr="00F52EF3">
              <w:rPr>
                <w:rFonts w:asciiTheme="minorHAnsi" w:hAnsiTheme="minorHAnsi" w:cstheme="minorHAnsi"/>
                <w:sz w:val="22"/>
                <w:szCs w:val="22"/>
                <w:lang w:val="en-CA" w:eastAsia="en-CA"/>
              </w:rPr>
              <w:t>14</w:t>
            </w:r>
          </w:p>
        </w:tc>
        <w:tc>
          <w:tcPr>
            <w:tcW w:w="1652" w:type="dxa"/>
            <w:noWrap/>
            <w:hideMark/>
          </w:tcPr>
          <w:p w14:paraId="027CC409" w14:textId="77777777" w:rsidR="007B1877" w:rsidRPr="00F52EF3" w:rsidRDefault="007B1877" w:rsidP="00842013">
            <w:pPr>
              <w:spacing w:before="120" w:after="120"/>
              <w:contextualSpacing/>
              <w:jc w:val="center"/>
              <w:rPr>
                <w:rFonts w:asciiTheme="minorHAnsi" w:hAnsiTheme="minorHAnsi" w:cstheme="minorHAnsi"/>
                <w:sz w:val="22"/>
                <w:szCs w:val="22"/>
                <w:lang w:val="en-CA" w:eastAsia="en-CA"/>
              </w:rPr>
            </w:pPr>
            <w:r w:rsidRPr="00F52EF3">
              <w:rPr>
                <w:rFonts w:asciiTheme="minorHAnsi" w:hAnsiTheme="minorHAnsi" w:cstheme="minorHAnsi"/>
                <w:sz w:val="22"/>
                <w:szCs w:val="22"/>
                <w:lang w:val="en-CA" w:eastAsia="en-CA"/>
              </w:rPr>
              <w:t>1</w:t>
            </w:r>
          </w:p>
        </w:tc>
        <w:tc>
          <w:tcPr>
            <w:tcW w:w="1257" w:type="dxa"/>
            <w:noWrap/>
            <w:hideMark/>
          </w:tcPr>
          <w:p w14:paraId="07794DB6" w14:textId="77777777" w:rsidR="007B1877" w:rsidRPr="00F52EF3" w:rsidRDefault="007B1877" w:rsidP="00842013">
            <w:pPr>
              <w:spacing w:before="120" w:after="120"/>
              <w:contextualSpacing/>
              <w:jc w:val="center"/>
              <w:rPr>
                <w:rFonts w:asciiTheme="minorHAnsi" w:hAnsiTheme="minorHAnsi" w:cstheme="minorHAnsi"/>
                <w:sz w:val="22"/>
                <w:szCs w:val="22"/>
                <w:lang w:val="en-CA" w:eastAsia="en-CA"/>
              </w:rPr>
            </w:pPr>
            <w:r w:rsidRPr="00F52EF3">
              <w:rPr>
                <w:rFonts w:asciiTheme="minorHAnsi" w:hAnsiTheme="minorHAnsi" w:cstheme="minorHAnsi"/>
                <w:sz w:val="22"/>
                <w:szCs w:val="22"/>
                <w:lang w:val="en-CA" w:eastAsia="en-CA"/>
              </w:rPr>
              <w:t>13</w:t>
            </w:r>
          </w:p>
        </w:tc>
        <w:tc>
          <w:tcPr>
            <w:tcW w:w="1415" w:type="dxa"/>
            <w:noWrap/>
            <w:hideMark/>
          </w:tcPr>
          <w:p w14:paraId="53A6FAB0" w14:textId="77777777" w:rsidR="007B1877" w:rsidRPr="00F52EF3" w:rsidRDefault="007B1877" w:rsidP="00842013">
            <w:pPr>
              <w:spacing w:before="120" w:after="120"/>
              <w:contextualSpacing/>
              <w:jc w:val="center"/>
              <w:rPr>
                <w:rFonts w:asciiTheme="minorHAnsi" w:hAnsiTheme="minorHAnsi" w:cstheme="minorHAnsi"/>
                <w:sz w:val="22"/>
                <w:szCs w:val="22"/>
                <w:lang w:val="en-CA" w:eastAsia="en-CA"/>
              </w:rPr>
            </w:pPr>
            <w:r w:rsidRPr="00F52EF3">
              <w:rPr>
                <w:rFonts w:asciiTheme="minorHAnsi" w:hAnsiTheme="minorHAnsi" w:cstheme="minorHAnsi"/>
                <w:sz w:val="22"/>
                <w:szCs w:val="22"/>
                <w:lang w:val="en-CA" w:eastAsia="en-CA"/>
              </w:rPr>
              <w:t>0</w:t>
            </w:r>
          </w:p>
        </w:tc>
        <w:tc>
          <w:tcPr>
            <w:tcW w:w="1370" w:type="dxa"/>
            <w:noWrap/>
            <w:hideMark/>
          </w:tcPr>
          <w:p w14:paraId="47EC0BEB" w14:textId="77777777" w:rsidR="007B1877" w:rsidRPr="00F52EF3" w:rsidRDefault="007B1877" w:rsidP="00842013">
            <w:pPr>
              <w:spacing w:before="120" w:after="120"/>
              <w:contextualSpacing/>
              <w:jc w:val="center"/>
              <w:rPr>
                <w:rFonts w:asciiTheme="minorHAnsi" w:hAnsiTheme="minorHAnsi" w:cstheme="minorHAnsi"/>
                <w:sz w:val="22"/>
                <w:szCs w:val="22"/>
                <w:lang w:val="en-CA" w:eastAsia="en-CA"/>
              </w:rPr>
            </w:pPr>
            <w:r w:rsidRPr="00F52EF3">
              <w:rPr>
                <w:rFonts w:asciiTheme="minorHAnsi" w:hAnsiTheme="minorHAnsi" w:cstheme="minorHAnsi"/>
                <w:sz w:val="22"/>
                <w:szCs w:val="22"/>
                <w:lang w:val="en-CA" w:eastAsia="en-CA"/>
              </w:rPr>
              <w:t>0</w:t>
            </w:r>
          </w:p>
        </w:tc>
        <w:tc>
          <w:tcPr>
            <w:tcW w:w="1053" w:type="dxa"/>
            <w:noWrap/>
            <w:hideMark/>
          </w:tcPr>
          <w:p w14:paraId="459206B2" w14:textId="77777777" w:rsidR="007B1877" w:rsidRPr="00F52EF3" w:rsidRDefault="007B1877" w:rsidP="00842013">
            <w:pPr>
              <w:spacing w:before="120" w:after="120"/>
              <w:contextualSpacing/>
              <w:jc w:val="center"/>
              <w:rPr>
                <w:rFonts w:asciiTheme="minorHAnsi" w:hAnsiTheme="minorHAnsi" w:cstheme="minorHAnsi"/>
                <w:sz w:val="22"/>
                <w:szCs w:val="22"/>
                <w:lang w:val="en-CA" w:eastAsia="en-CA"/>
              </w:rPr>
            </w:pPr>
            <w:r w:rsidRPr="00F52EF3">
              <w:rPr>
                <w:rFonts w:asciiTheme="minorHAnsi" w:hAnsiTheme="minorHAnsi" w:cstheme="minorHAnsi"/>
                <w:sz w:val="22"/>
                <w:szCs w:val="22"/>
                <w:lang w:val="en-CA" w:eastAsia="en-CA"/>
              </w:rPr>
              <w:t>1</w:t>
            </w:r>
          </w:p>
        </w:tc>
      </w:tr>
      <w:tr w:rsidR="007B1877" w:rsidRPr="00F52EF3" w14:paraId="76D7DEAA" w14:textId="77777777" w:rsidTr="00232375">
        <w:trPr>
          <w:cantSplit/>
          <w:trHeight w:val="300"/>
          <w:tblHeader/>
          <w:jc w:val="center"/>
        </w:trPr>
        <w:tc>
          <w:tcPr>
            <w:tcW w:w="2263" w:type="dxa"/>
            <w:shd w:val="clear" w:color="auto" w:fill="54575A" w:themeFill="text1"/>
            <w:hideMark/>
          </w:tcPr>
          <w:p w14:paraId="3CD69D29" w14:textId="77777777" w:rsidR="007B1877" w:rsidRPr="00F52EF3" w:rsidRDefault="007B1877" w:rsidP="00842013">
            <w:pPr>
              <w:spacing w:before="120" w:after="120"/>
              <w:contextualSpacing/>
              <w:rPr>
                <w:rFonts w:asciiTheme="minorHAnsi" w:hAnsiTheme="minorHAnsi" w:cstheme="minorHAnsi"/>
                <w:color w:val="FFFFFF" w:themeColor="background1"/>
                <w:sz w:val="22"/>
                <w:szCs w:val="22"/>
                <w:lang w:val="en-CA" w:eastAsia="en-CA"/>
              </w:rPr>
            </w:pPr>
            <w:r w:rsidRPr="00F52EF3">
              <w:rPr>
                <w:rFonts w:asciiTheme="minorHAnsi" w:hAnsiTheme="minorHAnsi" w:cstheme="minorHAnsi"/>
                <w:color w:val="FFFFFF" w:themeColor="background1"/>
                <w:sz w:val="22"/>
                <w:szCs w:val="22"/>
                <w:lang w:val="en-CA" w:eastAsia="en-CA"/>
              </w:rPr>
              <w:t>s.69 Fraud</w:t>
            </w:r>
          </w:p>
        </w:tc>
        <w:tc>
          <w:tcPr>
            <w:tcW w:w="1060" w:type="dxa"/>
            <w:noWrap/>
            <w:hideMark/>
          </w:tcPr>
          <w:p w14:paraId="1057F2E8" w14:textId="77777777" w:rsidR="007B1877" w:rsidRPr="00F52EF3" w:rsidRDefault="007B1877" w:rsidP="00842013">
            <w:pPr>
              <w:spacing w:before="120" w:after="120"/>
              <w:contextualSpacing/>
              <w:jc w:val="center"/>
              <w:rPr>
                <w:rFonts w:asciiTheme="minorHAnsi" w:hAnsiTheme="minorHAnsi" w:cstheme="minorHAnsi"/>
                <w:sz w:val="22"/>
                <w:szCs w:val="22"/>
                <w:lang w:val="en-CA" w:eastAsia="en-CA"/>
              </w:rPr>
            </w:pPr>
            <w:r w:rsidRPr="00F52EF3">
              <w:rPr>
                <w:rFonts w:asciiTheme="minorHAnsi" w:hAnsiTheme="minorHAnsi" w:cstheme="minorHAnsi"/>
                <w:sz w:val="22"/>
                <w:szCs w:val="22"/>
                <w:lang w:val="en-CA" w:eastAsia="en-CA"/>
              </w:rPr>
              <w:t>8</w:t>
            </w:r>
          </w:p>
        </w:tc>
        <w:tc>
          <w:tcPr>
            <w:tcW w:w="1652" w:type="dxa"/>
            <w:noWrap/>
            <w:hideMark/>
          </w:tcPr>
          <w:p w14:paraId="190E6CED" w14:textId="77777777" w:rsidR="007B1877" w:rsidRPr="00F52EF3" w:rsidRDefault="007B1877" w:rsidP="00842013">
            <w:pPr>
              <w:spacing w:before="120" w:after="120"/>
              <w:contextualSpacing/>
              <w:jc w:val="center"/>
              <w:rPr>
                <w:rFonts w:asciiTheme="minorHAnsi" w:hAnsiTheme="minorHAnsi" w:cstheme="minorHAnsi"/>
                <w:sz w:val="22"/>
                <w:szCs w:val="22"/>
                <w:lang w:val="en-CA" w:eastAsia="en-CA"/>
              </w:rPr>
            </w:pPr>
            <w:r w:rsidRPr="00F52EF3">
              <w:rPr>
                <w:rFonts w:asciiTheme="minorHAnsi" w:hAnsiTheme="minorHAnsi" w:cstheme="minorHAnsi"/>
                <w:sz w:val="22"/>
                <w:szCs w:val="22"/>
                <w:lang w:val="en-CA" w:eastAsia="en-CA"/>
              </w:rPr>
              <w:t>1</w:t>
            </w:r>
          </w:p>
        </w:tc>
        <w:tc>
          <w:tcPr>
            <w:tcW w:w="1257" w:type="dxa"/>
            <w:noWrap/>
            <w:hideMark/>
          </w:tcPr>
          <w:p w14:paraId="59756DE1" w14:textId="77777777" w:rsidR="007B1877" w:rsidRPr="00F52EF3" w:rsidRDefault="007B1877" w:rsidP="00842013">
            <w:pPr>
              <w:spacing w:before="120" w:after="120"/>
              <w:contextualSpacing/>
              <w:jc w:val="center"/>
              <w:rPr>
                <w:rFonts w:asciiTheme="minorHAnsi" w:hAnsiTheme="minorHAnsi" w:cstheme="minorHAnsi"/>
                <w:sz w:val="22"/>
                <w:szCs w:val="22"/>
                <w:lang w:val="en-CA" w:eastAsia="en-CA"/>
              </w:rPr>
            </w:pPr>
            <w:r w:rsidRPr="00F52EF3">
              <w:rPr>
                <w:rFonts w:asciiTheme="minorHAnsi" w:hAnsiTheme="minorHAnsi" w:cstheme="minorHAnsi"/>
                <w:sz w:val="22"/>
                <w:szCs w:val="22"/>
                <w:lang w:val="en-CA" w:eastAsia="en-CA"/>
              </w:rPr>
              <w:t>2</w:t>
            </w:r>
          </w:p>
        </w:tc>
        <w:tc>
          <w:tcPr>
            <w:tcW w:w="1415" w:type="dxa"/>
            <w:noWrap/>
            <w:hideMark/>
          </w:tcPr>
          <w:p w14:paraId="090529E8" w14:textId="77777777" w:rsidR="007B1877" w:rsidRPr="00F52EF3" w:rsidRDefault="007B1877" w:rsidP="00842013">
            <w:pPr>
              <w:spacing w:before="120" w:after="120"/>
              <w:contextualSpacing/>
              <w:jc w:val="center"/>
              <w:rPr>
                <w:rFonts w:asciiTheme="minorHAnsi" w:hAnsiTheme="minorHAnsi" w:cstheme="minorHAnsi"/>
                <w:sz w:val="22"/>
                <w:szCs w:val="22"/>
                <w:lang w:val="en-CA" w:eastAsia="en-CA"/>
              </w:rPr>
            </w:pPr>
            <w:r w:rsidRPr="00F52EF3">
              <w:rPr>
                <w:rFonts w:asciiTheme="minorHAnsi" w:hAnsiTheme="minorHAnsi" w:cstheme="minorHAnsi"/>
                <w:sz w:val="22"/>
                <w:szCs w:val="22"/>
                <w:lang w:val="en-CA" w:eastAsia="en-CA"/>
              </w:rPr>
              <w:t>3</w:t>
            </w:r>
          </w:p>
        </w:tc>
        <w:tc>
          <w:tcPr>
            <w:tcW w:w="1370" w:type="dxa"/>
            <w:noWrap/>
            <w:hideMark/>
          </w:tcPr>
          <w:p w14:paraId="2625629A" w14:textId="77777777" w:rsidR="007B1877" w:rsidRPr="00F52EF3" w:rsidRDefault="007B1877" w:rsidP="00842013">
            <w:pPr>
              <w:spacing w:before="120" w:after="120"/>
              <w:contextualSpacing/>
              <w:jc w:val="center"/>
              <w:rPr>
                <w:rFonts w:asciiTheme="minorHAnsi" w:hAnsiTheme="minorHAnsi" w:cstheme="minorHAnsi"/>
                <w:sz w:val="22"/>
                <w:szCs w:val="22"/>
                <w:lang w:val="en-CA" w:eastAsia="en-CA"/>
              </w:rPr>
            </w:pPr>
            <w:r w:rsidRPr="00F52EF3">
              <w:rPr>
                <w:rFonts w:asciiTheme="minorHAnsi" w:hAnsiTheme="minorHAnsi" w:cstheme="minorHAnsi"/>
                <w:sz w:val="22"/>
                <w:szCs w:val="22"/>
                <w:lang w:val="en-CA" w:eastAsia="en-CA"/>
              </w:rPr>
              <w:t>3</w:t>
            </w:r>
          </w:p>
        </w:tc>
        <w:tc>
          <w:tcPr>
            <w:tcW w:w="1053" w:type="dxa"/>
            <w:noWrap/>
            <w:hideMark/>
          </w:tcPr>
          <w:p w14:paraId="03448611" w14:textId="77777777" w:rsidR="007B1877" w:rsidRPr="00F52EF3" w:rsidRDefault="007B1877" w:rsidP="00842013">
            <w:pPr>
              <w:spacing w:before="120" w:after="120"/>
              <w:contextualSpacing/>
              <w:jc w:val="center"/>
              <w:rPr>
                <w:rFonts w:asciiTheme="minorHAnsi" w:hAnsiTheme="minorHAnsi" w:cstheme="minorHAnsi"/>
                <w:sz w:val="22"/>
                <w:szCs w:val="22"/>
                <w:lang w:val="en-CA" w:eastAsia="en-CA"/>
              </w:rPr>
            </w:pPr>
            <w:r w:rsidRPr="00F52EF3">
              <w:rPr>
                <w:rFonts w:asciiTheme="minorHAnsi" w:hAnsiTheme="minorHAnsi" w:cstheme="minorHAnsi"/>
                <w:sz w:val="22"/>
                <w:szCs w:val="22"/>
                <w:lang w:val="en-CA" w:eastAsia="en-CA"/>
              </w:rPr>
              <w:t>2</w:t>
            </w:r>
          </w:p>
        </w:tc>
      </w:tr>
      <w:tr w:rsidR="007B1877" w:rsidRPr="00F52EF3" w14:paraId="441B1AA9" w14:textId="77777777" w:rsidTr="00232375">
        <w:trPr>
          <w:cantSplit/>
          <w:trHeight w:val="300"/>
          <w:tblHeader/>
          <w:jc w:val="center"/>
        </w:trPr>
        <w:tc>
          <w:tcPr>
            <w:tcW w:w="2263" w:type="dxa"/>
            <w:shd w:val="clear" w:color="auto" w:fill="54575A" w:themeFill="text1"/>
            <w:hideMark/>
          </w:tcPr>
          <w:p w14:paraId="52860B35" w14:textId="77777777" w:rsidR="007B1877" w:rsidRPr="00F52EF3" w:rsidRDefault="007B1877" w:rsidP="00842013">
            <w:pPr>
              <w:spacing w:before="120" w:after="120"/>
              <w:contextualSpacing/>
              <w:rPr>
                <w:rFonts w:asciiTheme="minorHAnsi" w:hAnsiTheme="minorHAnsi" w:cstheme="minorHAnsi"/>
                <w:bCs/>
                <w:color w:val="FFFFFF" w:themeColor="background1"/>
                <w:sz w:val="22"/>
                <w:szCs w:val="22"/>
                <w:lang w:val="en-CA" w:eastAsia="en-CA"/>
              </w:rPr>
            </w:pPr>
            <w:r w:rsidRPr="00F52EF3">
              <w:rPr>
                <w:rFonts w:asciiTheme="minorHAnsi" w:hAnsiTheme="minorHAnsi" w:cstheme="minorHAnsi"/>
                <w:bCs/>
                <w:color w:val="FFFFFF" w:themeColor="background1"/>
                <w:sz w:val="22"/>
                <w:szCs w:val="22"/>
                <w:lang w:val="en-CA" w:eastAsia="en-CA"/>
              </w:rPr>
              <w:t>Total</w:t>
            </w:r>
          </w:p>
        </w:tc>
        <w:tc>
          <w:tcPr>
            <w:tcW w:w="1060" w:type="dxa"/>
            <w:noWrap/>
            <w:hideMark/>
          </w:tcPr>
          <w:p w14:paraId="7B68CCF0" w14:textId="77777777" w:rsidR="007B1877" w:rsidRPr="00F52EF3" w:rsidRDefault="007B1877" w:rsidP="00842013">
            <w:pPr>
              <w:spacing w:before="120" w:after="120"/>
              <w:contextualSpacing/>
              <w:jc w:val="center"/>
              <w:rPr>
                <w:rFonts w:asciiTheme="minorHAnsi" w:hAnsiTheme="minorHAnsi" w:cstheme="minorHAnsi"/>
                <w:bCs/>
                <w:sz w:val="22"/>
                <w:szCs w:val="22"/>
                <w:lang w:val="en-CA" w:eastAsia="en-CA"/>
              </w:rPr>
            </w:pPr>
            <w:r w:rsidRPr="00F52EF3">
              <w:rPr>
                <w:rFonts w:asciiTheme="minorHAnsi" w:hAnsiTheme="minorHAnsi" w:cstheme="minorHAnsi"/>
                <w:bCs/>
                <w:sz w:val="22"/>
                <w:szCs w:val="22"/>
                <w:lang w:val="en-CA" w:eastAsia="en-CA"/>
              </w:rPr>
              <w:t>22</w:t>
            </w:r>
          </w:p>
        </w:tc>
        <w:tc>
          <w:tcPr>
            <w:tcW w:w="1652" w:type="dxa"/>
            <w:noWrap/>
            <w:hideMark/>
          </w:tcPr>
          <w:p w14:paraId="7E8B0779" w14:textId="77777777" w:rsidR="007B1877" w:rsidRPr="00F52EF3" w:rsidRDefault="007B1877" w:rsidP="00842013">
            <w:pPr>
              <w:spacing w:before="120" w:after="120"/>
              <w:contextualSpacing/>
              <w:jc w:val="center"/>
              <w:rPr>
                <w:rFonts w:asciiTheme="minorHAnsi" w:hAnsiTheme="minorHAnsi" w:cstheme="minorHAnsi"/>
                <w:bCs/>
                <w:sz w:val="22"/>
                <w:szCs w:val="22"/>
                <w:lang w:val="en-CA" w:eastAsia="en-CA"/>
              </w:rPr>
            </w:pPr>
            <w:r w:rsidRPr="00F52EF3">
              <w:rPr>
                <w:rFonts w:asciiTheme="minorHAnsi" w:hAnsiTheme="minorHAnsi" w:cstheme="minorHAnsi"/>
                <w:bCs/>
                <w:sz w:val="22"/>
                <w:szCs w:val="22"/>
                <w:lang w:val="en-CA" w:eastAsia="en-CA"/>
              </w:rPr>
              <w:t>2</w:t>
            </w:r>
          </w:p>
        </w:tc>
        <w:tc>
          <w:tcPr>
            <w:tcW w:w="1257" w:type="dxa"/>
            <w:noWrap/>
            <w:hideMark/>
          </w:tcPr>
          <w:p w14:paraId="36AAA990" w14:textId="77777777" w:rsidR="007B1877" w:rsidRPr="00F52EF3" w:rsidRDefault="007B1877" w:rsidP="00842013">
            <w:pPr>
              <w:spacing w:before="120" w:after="120"/>
              <w:contextualSpacing/>
              <w:jc w:val="center"/>
              <w:rPr>
                <w:rFonts w:asciiTheme="minorHAnsi" w:hAnsiTheme="minorHAnsi" w:cstheme="minorHAnsi"/>
                <w:bCs/>
                <w:sz w:val="22"/>
                <w:szCs w:val="22"/>
                <w:lang w:val="en-CA" w:eastAsia="en-CA"/>
              </w:rPr>
            </w:pPr>
            <w:r w:rsidRPr="00F52EF3">
              <w:rPr>
                <w:rFonts w:asciiTheme="minorHAnsi" w:hAnsiTheme="minorHAnsi" w:cstheme="minorHAnsi"/>
                <w:bCs/>
                <w:sz w:val="22"/>
                <w:szCs w:val="22"/>
                <w:lang w:val="en-CA" w:eastAsia="en-CA"/>
              </w:rPr>
              <w:t>15</w:t>
            </w:r>
          </w:p>
        </w:tc>
        <w:tc>
          <w:tcPr>
            <w:tcW w:w="1415" w:type="dxa"/>
            <w:noWrap/>
            <w:hideMark/>
          </w:tcPr>
          <w:p w14:paraId="4C37D5D9" w14:textId="77777777" w:rsidR="007B1877" w:rsidRPr="00F52EF3" w:rsidRDefault="007B1877" w:rsidP="00842013">
            <w:pPr>
              <w:spacing w:before="120" w:after="120"/>
              <w:contextualSpacing/>
              <w:jc w:val="center"/>
              <w:rPr>
                <w:rFonts w:asciiTheme="minorHAnsi" w:hAnsiTheme="minorHAnsi" w:cstheme="minorHAnsi"/>
                <w:bCs/>
                <w:sz w:val="22"/>
                <w:szCs w:val="22"/>
                <w:lang w:val="en-CA" w:eastAsia="en-CA"/>
              </w:rPr>
            </w:pPr>
            <w:r w:rsidRPr="00F52EF3">
              <w:rPr>
                <w:rFonts w:asciiTheme="minorHAnsi" w:hAnsiTheme="minorHAnsi" w:cstheme="minorHAnsi"/>
                <w:bCs/>
                <w:sz w:val="22"/>
                <w:szCs w:val="22"/>
                <w:lang w:val="en-CA" w:eastAsia="en-CA"/>
              </w:rPr>
              <w:t>3</w:t>
            </w:r>
          </w:p>
        </w:tc>
        <w:tc>
          <w:tcPr>
            <w:tcW w:w="1370" w:type="dxa"/>
            <w:noWrap/>
            <w:hideMark/>
          </w:tcPr>
          <w:p w14:paraId="1513CC30" w14:textId="77777777" w:rsidR="007B1877" w:rsidRPr="00F52EF3" w:rsidRDefault="007B1877" w:rsidP="00842013">
            <w:pPr>
              <w:spacing w:before="120" w:after="120"/>
              <w:contextualSpacing/>
              <w:jc w:val="center"/>
              <w:rPr>
                <w:rFonts w:asciiTheme="minorHAnsi" w:hAnsiTheme="minorHAnsi" w:cstheme="minorHAnsi"/>
                <w:bCs/>
                <w:sz w:val="22"/>
                <w:szCs w:val="22"/>
                <w:lang w:val="en-CA" w:eastAsia="en-CA"/>
              </w:rPr>
            </w:pPr>
            <w:r w:rsidRPr="00F52EF3">
              <w:rPr>
                <w:rFonts w:asciiTheme="minorHAnsi" w:hAnsiTheme="minorHAnsi" w:cstheme="minorHAnsi"/>
                <w:bCs/>
                <w:sz w:val="22"/>
                <w:szCs w:val="22"/>
                <w:lang w:val="en-CA" w:eastAsia="en-CA"/>
              </w:rPr>
              <w:t>3</w:t>
            </w:r>
          </w:p>
        </w:tc>
        <w:tc>
          <w:tcPr>
            <w:tcW w:w="1053" w:type="dxa"/>
            <w:noWrap/>
            <w:hideMark/>
          </w:tcPr>
          <w:p w14:paraId="338D058F" w14:textId="77777777" w:rsidR="007B1877" w:rsidRPr="00F52EF3" w:rsidRDefault="007B1877" w:rsidP="00842013">
            <w:pPr>
              <w:spacing w:before="120" w:after="120"/>
              <w:contextualSpacing/>
              <w:jc w:val="center"/>
              <w:rPr>
                <w:rFonts w:asciiTheme="minorHAnsi" w:hAnsiTheme="minorHAnsi" w:cstheme="minorHAnsi"/>
                <w:bCs/>
                <w:sz w:val="22"/>
                <w:szCs w:val="22"/>
                <w:lang w:val="en-CA" w:eastAsia="en-CA"/>
              </w:rPr>
            </w:pPr>
            <w:r w:rsidRPr="00F52EF3">
              <w:rPr>
                <w:rFonts w:asciiTheme="minorHAnsi" w:hAnsiTheme="minorHAnsi" w:cstheme="minorHAnsi"/>
                <w:bCs/>
                <w:sz w:val="22"/>
                <w:szCs w:val="22"/>
                <w:lang w:val="en-CA" w:eastAsia="en-CA"/>
              </w:rPr>
              <w:t>3</w:t>
            </w:r>
          </w:p>
        </w:tc>
      </w:tr>
    </w:tbl>
    <w:p w14:paraId="05FE7CBF" w14:textId="77777777" w:rsidR="007B1877" w:rsidRPr="005B5E7A" w:rsidRDefault="007B1877" w:rsidP="00842013">
      <w:pPr>
        <w:keepLines/>
        <w:tabs>
          <w:tab w:val="left" w:pos="236"/>
        </w:tabs>
        <w:spacing w:before="120" w:after="120"/>
        <w:rPr>
          <w:rFonts w:asciiTheme="minorHAnsi" w:hAnsiTheme="minorHAnsi" w:cstheme="minorHAnsi"/>
          <w:sz w:val="22"/>
          <w:szCs w:val="22"/>
          <w:lang w:val="en-CA"/>
        </w:rPr>
      </w:pPr>
      <w:r w:rsidRPr="005B5E7A">
        <w:rPr>
          <w:rFonts w:asciiTheme="minorHAnsi" w:hAnsiTheme="minorHAnsi" w:cstheme="minorHAnsi"/>
          <w:sz w:val="22"/>
          <w:szCs w:val="22"/>
          <w:lang w:val="en-CA"/>
        </w:rPr>
        <w:t>Note: The numbers may not add up as discontinued cases, cases resolved via early intervention and rare cases are not included in this table.</w:t>
      </w:r>
    </w:p>
    <w:p w14:paraId="6EDFB927" w14:textId="77777777" w:rsidR="00F87B06" w:rsidRPr="00842013" w:rsidRDefault="00F87B06" w:rsidP="00842013">
      <w:pPr>
        <w:spacing w:before="120" w:after="120"/>
        <w:rPr>
          <w:rFonts w:ascii="Segoe UI" w:eastAsiaTheme="majorEastAsia" w:hAnsi="Segoe UI" w:cs="Segoe UI"/>
          <w:b/>
          <w:color w:val="5B315E" w:themeColor="accent2"/>
          <w:sz w:val="32"/>
          <w:szCs w:val="32"/>
          <w:lang w:val="en-CA"/>
        </w:rPr>
      </w:pPr>
      <w:r w:rsidRPr="00842013">
        <w:rPr>
          <w:lang w:val="en-CA"/>
        </w:rPr>
        <w:br w:type="page"/>
      </w:r>
    </w:p>
    <w:p w14:paraId="065C5AF7" w14:textId="214F00D5" w:rsidR="00282ABD" w:rsidRPr="00842013" w:rsidRDefault="00282ABD" w:rsidP="00842013">
      <w:pPr>
        <w:pStyle w:val="Titre2"/>
        <w:spacing w:before="120" w:after="120"/>
        <w:rPr>
          <w:lang w:val="en-CA"/>
        </w:rPr>
      </w:pPr>
      <w:r w:rsidRPr="00842013">
        <w:rPr>
          <w:lang w:val="en-CA"/>
        </w:rPr>
        <w:lastRenderedPageBreak/>
        <w:t>Staffing and Non-Partisanship Survey Results</w:t>
      </w:r>
    </w:p>
    <w:p w14:paraId="6E35FF29" w14:textId="0071F85D"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Below are key findings from Health Canada’s 2018 Staffing and Non-Pa</w:t>
      </w:r>
      <w:r w:rsidR="00B33018" w:rsidRPr="00842013">
        <w:rPr>
          <w:rFonts w:ascii="Segoe UI Semilight" w:hAnsi="Segoe UI Semilight" w:cs="Segoe UI Semilight"/>
          <w:sz w:val="22"/>
          <w:szCs w:val="22"/>
          <w:lang w:val="en-CA" w:eastAsia="en-CA"/>
        </w:rPr>
        <w:t xml:space="preserve">rtisanship Survey results: </w:t>
      </w:r>
    </w:p>
    <w:p w14:paraId="288AAF39" w14:textId="77777777" w:rsidR="00282ABD" w:rsidRPr="00842013" w:rsidRDefault="00282ABD" w:rsidP="002A0977">
      <w:pPr>
        <w:pStyle w:val="Sansinterligne"/>
        <w:numPr>
          <w:ilvl w:val="0"/>
          <w:numId w:val="15"/>
        </w:numPr>
        <w:spacing w:before="120" w:after="120"/>
        <w:ind w:left="714" w:hanging="357"/>
        <w:contextualSpacing/>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58.0% of employees agreed that people hired can do the job, compared to 52.3% in organizations of similar size, and 53.8% in the federal public service;</w:t>
      </w:r>
    </w:p>
    <w:p w14:paraId="6B70E3C3" w14:textId="77777777" w:rsidR="00282ABD" w:rsidRPr="00842013" w:rsidRDefault="00282ABD" w:rsidP="002A0977">
      <w:pPr>
        <w:pStyle w:val="Sansinterligne"/>
        <w:numPr>
          <w:ilvl w:val="0"/>
          <w:numId w:val="15"/>
        </w:numPr>
        <w:spacing w:before="120" w:after="120"/>
        <w:ind w:left="714" w:hanging="357"/>
        <w:contextualSpacing/>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62.7% of managers agreed that the New Direction in Staffing (NDS) has improved the way they hire and appoint persons to and within their organization, compared to 54.4% in organizations of similar size, and 56.1% in the federal public service;</w:t>
      </w:r>
    </w:p>
    <w:p w14:paraId="64DEA9AC" w14:textId="77777777" w:rsidR="00282ABD" w:rsidRPr="00842013" w:rsidRDefault="00282ABD" w:rsidP="002A0977">
      <w:pPr>
        <w:pStyle w:val="Sansinterligne"/>
        <w:numPr>
          <w:ilvl w:val="0"/>
          <w:numId w:val="15"/>
        </w:numPr>
        <w:spacing w:before="120" w:after="120"/>
        <w:ind w:left="714" w:hanging="357"/>
        <w:contextualSpacing/>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77.7% of managers indicated that they understand the NDS, as compared to 60.1% in similar size organizations and 61.4% across all organizations in the federal public service;</w:t>
      </w:r>
    </w:p>
    <w:p w14:paraId="4D2012CF" w14:textId="77777777" w:rsidR="00282ABD" w:rsidRPr="00842013" w:rsidRDefault="00282ABD" w:rsidP="002A0977">
      <w:pPr>
        <w:pStyle w:val="Sansinterligne"/>
        <w:numPr>
          <w:ilvl w:val="0"/>
          <w:numId w:val="15"/>
        </w:numPr>
        <w:spacing w:before="120" w:after="120"/>
        <w:ind w:left="714" w:hanging="357"/>
        <w:contextualSpacing/>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60% of managers feel staffing is not quick enough, as compared to 64.5% in similar size organizations and 62.4% across all organizations in the federal public service; and</w:t>
      </w:r>
    </w:p>
    <w:p w14:paraId="2956765D" w14:textId="76F6191D" w:rsidR="00282ABD" w:rsidRPr="00842013" w:rsidRDefault="00282ABD" w:rsidP="002A0977">
      <w:pPr>
        <w:pStyle w:val="Sansinterligne"/>
        <w:numPr>
          <w:ilvl w:val="0"/>
          <w:numId w:val="15"/>
        </w:numPr>
        <w:spacing w:before="120" w:after="120"/>
        <w:ind w:left="714" w:hanging="357"/>
        <w:contextualSpacing/>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88.8% of managers agreed that within their organization, the administrative process to staff a position is burdensome, compared to 88.6% in organizations of similar size, and 87.9% in the federal public service.</w:t>
      </w:r>
    </w:p>
    <w:p w14:paraId="750792B7" w14:textId="77777777" w:rsidR="00282ABD" w:rsidRPr="00842013" w:rsidRDefault="00282ABD" w:rsidP="00842013">
      <w:pPr>
        <w:pStyle w:val="Titre1"/>
        <w:spacing w:before="120" w:after="120"/>
        <w:rPr>
          <w:lang w:val="en-CA"/>
        </w:rPr>
      </w:pPr>
      <w:r w:rsidRPr="00842013">
        <w:rPr>
          <w:lang w:val="en-CA"/>
        </w:rPr>
        <w:t>Diversity Profile</w:t>
      </w:r>
    </w:p>
    <w:p w14:paraId="2AFFF907" w14:textId="3F747D2B" w:rsidR="00282ABD" w:rsidRPr="00842013" w:rsidRDefault="00282ABD" w:rsidP="00842013">
      <w:pPr>
        <w:pStyle w:val="Sansinterligne"/>
        <w:spacing w:before="120" w:after="120"/>
        <w:rPr>
          <w:rFonts w:asciiTheme="minorHAnsi" w:hAnsiTheme="minorHAnsi" w:cstheme="minorHAnsi"/>
          <w:sz w:val="22"/>
          <w:szCs w:val="22"/>
          <w:lang w:val="en-CA" w:eastAsia="en-CA"/>
        </w:rPr>
      </w:pPr>
      <w:r w:rsidRPr="00842013">
        <w:rPr>
          <w:rFonts w:asciiTheme="minorHAnsi" w:hAnsiTheme="minorHAnsi" w:cstheme="minorHAnsi"/>
          <w:sz w:val="22"/>
          <w:szCs w:val="22"/>
          <w:lang w:val="en-CA" w:eastAsia="en-CA"/>
        </w:rPr>
        <w:t>The workforce availability estimates in the public service for 2019 have been updated in the Diversity Profile although new estimates for organizations will only be released in the coming month. Using data from 2017-2018, HC exceeds the workforce availability for women, visible minorities and aboriginal peoples designated groups, and is lower than the workforce availability for persons with disabilities. However, these findings will be revised when new estimates</w:t>
      </w:r>
      <w:r w:rsidR="00B33018" w:rsidRPr="00842013">
        <w:rPr>
          <w:rFonts w:asciiTheme="minorHAnsi" w:hAnsiTheme="minorHAnsi" w:cstheme="minorHAnsi"/>
          <w:sz w:val="22"/>
          <w:szCs w:val="22"/>
          <w:lang w:val="en-CA" w:eastAsia="en-CA"/>
        </w:rPr>
        <w:t xml:space="preserve"> are released later this month.</w:t>
      </w:r>
    </w:p>
    <w:p w14:paraId="697036DD" w14:textId="08E4F804" w:rsidR="006C1FA6" w:rsidRPr="00446697" w:rsidRDefault="006C1FA6" w:rsidP="00920412">
      <w:pPr>
        <w:pStyle w:val="Lgende"/>
        <w:keepNext/>
        <w:spacing w:before="120"/>
        <w:rPr>
          <w:rStyle w:val="Accentuation"/>
          <w:rFonts w:cstheme="minorHAnsi"/>
          <w:b/>
          <w:i w:val="0"/>
          <w:sz w:val="18"/>
        </w:rPr>
      </w:pPr>
      <w:r w:rsidRPr="00446697">
        <w:rPr>
          <w:rStyle w:val="Accentuation"/>
          <w:rFonts w:cstheme="minorHAnsi"/>
          <w:i w:val="0"/>
          <w:sz w:val="18"/>
        </w:rPr>
        <w:t xml:space="preserve">Table </w:t>
      </w:r>
      <w:r w:rsidRPr="00446697">
        <w:rPr>
          <w:rStyle w:val="Accentuation"/>
          <w:rFonts w:cstheme="minorHAnsi"/>
          <w:b/>
          <w:i w:val="0"/>
          <w:sz w:val="18"/>
        </w:rPr>
        <w:fldChar w:fldCharType="begin"/>
      </w:r>
      <w:r w:rsidRPr="00446697">
        <w:rPr>
          <w:rStyle w:val="Accentuation"/>
          <w:rFonts w:cstheme="minorHAnsi"/>
          <w:i w:val="0"/>
          <w:sz w:val="18"/>
        </w:rPr>
        <w:instrText xml:space="preserve"> SEQ Table \* ARABIC </w:instrText>
      </w:r>
      <w:r w:rsidRPr="00446697">
        <w:rPr>
          <w:rStyle w:val="Accentuation"/>
          <w:rFonts w:cstheme="minorHAnsi"/>
          <w:b/>
          <w:i w:val="0"/>
          <w:sz w:val="18"/>
        </w:rPr>
        <w:fldChar w:fldCharType="separate"/>
      </w:r>
      <w:r w:rsidR="002A0977">
        <w:rPr>
          <w:rStyle w:val="Accentuation"/>
          <w:rFonts w:cstheme="minorHAnsi"/>
          <w:i w:val="0"/>
          <w:noProof/>
          <w:sz w:val="18"/>
        </w:rPr>
        <w:t>2</w:t>
      </w:r>
      <w:r w:rsidRPr="00446697">
        <w:rPr>
          <w:rStyle w:val="Accentuation"/>
          <w:rFonts w:cstheme="minorHAnsi"/>
          <w:b/>
          <w:i w:val="0"/>
          <w:sz w:val="18"/>
        </w:rPr>
        <w:fldChar w:fldCharType="end"/>
      </w:r>
      <w:r w:rsidRPr="00446697">
        <w:rPr>
          <w:rStyle w:val="Accentuation"/>
          <w:rFonts w:cstheme="minorHAnsi"/>
          <w:i w:val="0"/>
          <w:sz w:val="18"/>
        </w:rPr>
        <w:t xml:space="preserve"> - Employment Equity</w:t>
      </w:r>
    </w:p>
    <w:tbl>
      <w:tblPr>
        <w:tblStyle w:val="TableGrid11"/>
        <w:tblW w:w="0" w:type="auto"/>
        <w:jc w:val="center"/>
        <w:tblLook w:val="04A0" w:firstRow="1" w:lastRow="0" w:firstColumn="1" w:lastColumn="0" w:noHBand="0" w:noVBand="1"/>
        <w:tblDescription w:val="Table 2 - Employment Equity"/>
      </w:tblPr>
      <w:tblGrid>
        <w:gridCol w:w="2631"/>
        <w:gridCol w:w="3380"/>
        <w:gridCol w:w="1510"/>
        <w:gridCol w:w="2549"/>
      </w:tblGrid>
      <w:tr w:rsidR="006C1FA6" w:rsidRPr="00842013" w14:paraId="0A504C86" w14:textId="77777777" w:rsidTr="006C1FA6">
        <w:trPr>
          <w:cantSplit/>
          <w:trHeight w:val="759"/>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54575A" w:themeFill="text1"/>
            <w:vAlign w:val="center"/>
            <w:hideMark/>
          </w:tcPr>
          <w:p w14:paraId="6BB4859B" w14:textId="77777777" w:rsidR="00A76D5A" w:rsidRPr="00842013" w:rsidRDefault="00A76D5A" w:rsidP="00842013">
            <w:pPr>
              <w:pStyle w:val="TableTitle"/>
              <w:spacing w:before="120" w:after="120"/>
              <w:contextualSpacing/>
              <w:rPr>
                <w:rFonts w:eastAsiaTheme="minorHAnsi"/>
                <w:color w:val="FFFFFF" w:themeColor="background1"/>
                <w:lang w:val="en-CA"/>
              </w:rPr>
            </w:pPr>
            <w:r w:rsidRPr="00842013">
              <w:rPr>
                <w:rFonts w:eastAsiaTheme="minorHAnsi"/>
                <w:color w:val="FFFFFF" w:themeColor="background1"/>
                <w:lang w:val="en-CA"/>
              </w:rPr>
              <w:t>Designated Group</w:t>
            </w:r>
          </w:p>
        </w:tc>
        <w:tc>
          <w:tcPr>
            <w:tcW w:w="0" w:type="auto"/>
            <w:tcBorders>
              <w:top w:val="single" w:sz="4" w:space="0" w:color="auto"/>
              <w:left w:val="single" w:sz="4" w:space="0" w:color="auto"/>
              <w:bottom w:val="single" w:sz="4" w:space="0" w:color="auto"/>
              <w:right w:val="single" w:sz="4" w:space="0" w:color="auto"/>
            </w:tcBorders>
            <w:shd w:val="clear" w:color="auto" w:fill="54575A" w:themeFill="text1"/>
            <w:vAlign w:val="center"/>
            <w:hideMark/>
          </w:tcPr>
          <w:p w14:paraId="07767590" w14:textId="77777777" w:rsidR="00A76D5A" w:rsidRPr="00842013" w:rsidRDefault="00A76D5A" w:rsidP="00842013">
            <w:pPr>
              <w:pStyle w:val="TableTitle"/>
              <w:spacing w:before="120" w:after="120"/>
              <w:contextualSpacing/>
              <w:rPr>
                <w:color w:val="FFFFFF" w:themeColor="background1"/>
                <w:lang w:val="en-CA"/>
              </w:rPr>
            </w:pPr>
            <w:r w:rsidRPr="00842013">
              <w:rPr>
                <w:color w:val="FFFFFF" w:themeColor="background1"/>
                <w:lang w:val="en-CA"/>
              </w:rPr>
              <w:t>Public Service</w:t>
            </w:r>
          </w:p>
          <w:p w14:paraId="6688C3B1" w14:textId="77777777" w:rsidR="00A76D5A" w:rsidRPr="00842013" w:rsidRDefault="00A76D5A" w:rsidP="00842013">
            <w:pPr>
              <w:pStyle w:val="TableTitle"/>
              <w:spacing w:before="120" w:after="120"/>
              <w:contextualSpacing/>
              <w:rPr>
                <w:color w:val="FFFFFF" w:themeColor="background1"/>
                <w:lang w:val="en-CA"/>
              </w:rPr>
            </w:pPr>
            <w:r w:rsidRPr="00842013">
              <w:rPr>
                <w:color w:val="FFFFFF" w:themeColor="background1"/>
                <w:lang w:val="en-CA"/>
              </w:rPr>
              <w:t>Work Force Availability (WFA) - (2019)</w:t>
            </w:r>
          </w:p>
        </w:tc>
        <w:tc>
          <w:tcPr>
            <w:tcW w:w="0" w:type="auto"/>
            <w:tcBorders>
              <w:top w:val="single" w:sz="4" w:space="0" w:color="auto"/>
              <w:left w:val="single" w:sz="4" w:space="0" w:color="auto"/>
              <w:right w:val="single" w:sz="4" w:space="0" w:color="auto"/>
            </w:tcBorders>
            <w:shd w:val="clear" w:color="auto" w:fill="BF3C00"/>
            <w:vAlign w:val="center"/>
            <w:hideMark/>
          </w:tcPr>
          <w:p w14:paraId="27C847DA" w14:textId="77777777" w:rsidR="00A76D5A" w:rsidRPr="00842013" w:rsidRDefault="00A76D5A" w:rsidP="00842013">
            <w:pPr>
              <w:pStyle w:val="TableTitle"/>
              <w:spacing w:before="120" w:after="120"/>
              <w:contextualSpacing/>
              <w:rPr>
                <w:rFonts w:eastAsiaTheme="minorHAnsi"/>
                <w:color w:val="FFFFFF" w:themeColor="background1"/>
                <w:lang w:val="en-CA"/>
              </w:rPr>
            </w:pPr>
            <w:r w:rsidRPr="00842013">
              <w:rPr>
                <w:rFonts w:eastAsiaTheme="minorHAnsi"/>
                <w:color w:val="FFFFFF" w:themeColor="background1"/>
                <w:lang w:val="en-CA"/>
              </w:rPr>
              <w:t>Health Canada</w:t>
            </w:r>
          </w:p>
        </w:tc>
        <w:tc>
          <w:tcPr>
            <w:tcW w:w="0" w:type="auto"/>
            <w:tcBorders>
              <w:top w:val="single" w:sz="4" w:space="0" w:color="auto"/>
              <w:left w:val="single" w:sz="4" w:space="0" w:color="auto"/>
              <w:bottom w:val="single" w:sz="4" w:space="0" w:color="auto"/>
              <w:right w:val="single" w:sz="4" w:space="0" w:color="auto"/>
            </w:tcBorders>
            <w:shd w:val="clear" w:color="auto" w:fill="54575A" w:themeFill="text1"/>
            <w:hideMark/>
          </w:tcPr>
          <w:p w14:paraId="497934E9" w14:textId="77777777" w:rsidR="00A76D5A" w:rsidRPr="00842013" w:rsidRDefault="00A76D5A" w:rsidP="00842013">
            <w:pPr>
              <w:pStyle w:val="TableTitle"/>
              <w:spacing w:before="120" w:after="120"/>
              <w:contextualSpacing/>
              <w:rPr>
                <w:rFonts w:eastAsiaTheme="minorHAnsi"/>
                <w:color w:val="FFFFFF" w:themeColor="background1"/>
                <w:lang w:val="en-CA"/>
              </w:rPr>
            </w:pPr>
            <w:r w:rsidRPr="00842013">
              <w:rPr>
                <w:rFonts w:eastAsiaTheme="minorHAnsi"/>
                <w:color w:val="FFFFFF" w:themeColor="background1"/>
                <w:lang w:val="en-CA"/>
              </w:rPr>
              <w:t>Representation across the</w:t>
            </w:r>
          </w:p>
          <w:p w14:paraId="49EFA9C2" w14:textId="77777777" w:rsidR="00A76D5A" w:rsidRPr="00842013" w:rsidRDefault="00A76D5A" w:rsidP="00842013">
            <w:pPr>
              <w:pStyle w:val="TableTitle"/>
              <w:spacing w:before="120" w:after="120"/>
              <w:contextualSpacing/>
              <w:rPr>
                <w:rFonts w:eastAsiaTheme="minorHAnsi"/>
                <w:color w:val="FFFFFF" w:themeColor="background1"/>
                <w:lang w:val="en-CA"/>
              </w:rPr>
            </w:pPr>
            <w:r w:rsidRPr="00842013">
              <w:rPr>
                <w:rFonts w:eastAsiaTheme="minorHAnsi"/>
                <w:color w:val="FFFFFF" w:themeColor="background1"/>
                <w:lang w:val="en-CA"/>
              </w:rPr>
              <w:t>Public Service of Canada</w:t>
            </w:r>
          </w:p>
        </w:tc>
      </w:tr>
      <w:tr w:rsidR="00A76D5A" w:rsidRPr="00842013" w14:paraId="21EBFEFC" w14:textId="77777777" w:rsidTr="007E01AC">
        <w:trPr>
          <w:cantSplit/>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54575A" w:themeFill="text1"/>
            <w:hideMark/>
          </w:tcPr>
          <w:p w14:paraId="45946A60" w14:textId="77777777" w:rsidR="00A76D5A" w:rsidRPr="007E01AC" w:rsidRDefault="00A76D5A" w:rsidP="00842013">
            <w:pPr>
              <w:spacing w:before="120" w:after="120"/>
              <w:contextualSpacing/>
              <w:rPr>
                <w:rFonts w:asciiTheme="minorHAnsi" w:eastAsiaTheme="minorHAnsi" w:hAnsiTheme="minorHAnsi" w:cstheme="minorHAnsi"/>
                <w:color w:val="FFFFFF" w:themeColor="background1"/>
                <w:sz w:val="22"/>
                <w:lang w:val="en-CA"/>
              </w:rPr>
            </w:pPr>
            <w:r w:rsidRPr="007E01AC">
              <w:rPr>
                <w:rFonts w:asciiTheme="minorHAnsi" w:eastAsiaTheme="minorHAnsi" w:hAnsiTheme="minorHAnsi" w:cstheme="minorHAnsi"/>
                <w:color w:val="FFFFFF" w:themeColor="background1"/>
                <w:sz w:val="22"/>
                <w:lang w:val="en-CA"/>
              </w:rPr>
              <w:t>Women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C1B978" w14:textId="77777777" w:rsidR="00A76D5A" w:rsidRPr="00842013" w:rsidRDefault="00A76D5A" w:rsidP="00842013">
            <w:pPr>
              <w:spacing w:before="120" w:after="120"/>
              <w:contextualSpacing/>
              <w:jc w:val="center"/>
              <w:rPr>
                <w:rFonts w:asciiTheme="minorHAnsi" w:hAnsiTheme="minorHAnsi" w:cstheme="minorHAnsi"/>
                <w:sz w:val="22"/>
                <w:lang w:val="en-CA"/>
              </w:rPr>
            </w:pPr>
            <w:r w:rsidRPr="00842013">
              <w:rPr>
                <w:rFonts w:asciiTheme="minorHAnsi" w:hAnsiTheme="minorHAnsi" w:cstheme="minorHAnsi"/>
                <w:sz w:val="22"/>
                <w:lang w:val="en-CA"/>
              </w:rPr>
              <w:t>52.5%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F50D34" w14:textId="77777777" w:rsidR="00A76D5A" w:rsidRPr="00842013" w:rsidRDefault="00A76D5A" w:rsidP="00842013">
            <w:pPr>
              <w:autoSpaceDE w:val="0"/>
              <w:autoSpaceDN w:val="0"/>
              <w:adjustRightInd w:val="0"/>
              <w:spacing w:before="120" w:after="120"/>
              <w:contextualSpacing/>
              <w:jc w:val="center"/>
              <w:rPr>
                <w:rFonts w:asciiTheme="minorHAnsi" w:eastAsiaTheme="minorHAnsi" w:hAnsiTheme="minorHAnsi" w:cstheme="minorHAnsi"/>
                <w:sz w:val="22"/>
                <w:lang w:val="en-CA"/>
              </w:rPr>
            </w:pPr>
            <w:r w:rsidRPr="00842013">
              <w:rPr>
                <w:rFonts w:asciiTheme="minorHAnsi" w:eastAsiaTheme="minorHAnsi" w:hAnsiTheme="minorHAnsi" w:cstheme="minorHAnsi"/>
                <w:sz w:val="22"/>
                <w:lang w:val="en-CA"/>
              </w:rPr>
              <w:t>66.7%</w:t>
            </w:r>
          </w:p>
        </w:tc>
        <w:tc>
          <w:tcPr>
            <w:tcW w:w="0" w:type="auto"/>
            <w:tcBorders>
              <w:top w:val="single" w:sz="4" w:space="0" w:color="auto"/>
              <w:left w:val="single" w:sz="4" w:space="0" w:color="auto"/>
              <w:bottom w:val="single" w:sz="4" w:space="0" w:color="auto"/>
              <w:right w:val="single" w:sz="4" w:space="0" w:color="auto"/>
            </w:tcBorders>
            <w:hideMark/>
          </w:tcPr>
          <w:p w14:paraId="1F087137" w14:textId="77777777" w:rsidR="00A76D5A" w:rsidRPr="00842013" w:rsidRDefault="00A76D5A" w:rsidP="00842013">
            <w:pPr>
              <w:autoSpaceDE w:val="0"/>
              <w:autoSpaceDN w:val="0"/>
              <w:adjustRightInd w:val="0"/>
              <w:spacing w:before="120" w:after="120"/>
              <w:contextualSpacing/>
              <w:jc w:val="center"/>
              <w:rPr>
                <w:rFonts w:asciiTheme="minorHAnsi" w:eastAsiaTheme="minorHAnsi" w:hAnsiTheme="minorHAnsi" w:cstheme="minorHAnsi"/>
                <w:sz w:val="22"/>
                <w:lang w:val="en-CA"/>
              </w:rPr>
            </w:pPr>
            <w:r w:rsidRPr="00842013">
              <w:rPr>
                <w:rFonts w:asciiTheme="minorHAnsi" w:eastAsiaTheme="minorHAnsi" w:hAnsiTheme="minorHAnsi" w:cstheme="minorHAnsi"/>
                <w:sz w:val="22"/>
                <w:lang w:val="en-CA"/>
              </w:rPr>
              <w:t>54.8%</w:t>
            </w:r>
          </w:p>
        </w:tc>
      </w:tr>
      <w:tr w:rsidR="00A76D5A" w:rsidRPr="00842013" w14:paraId="370647AB" w14:textId="77777777" w:rsidTr="007E01AC">
        <w:trPr>
          <w:cantSplit/>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54575A" w:themeFill="text1"/>
            <w:hideMark/>
          </w:tcPr>
          <w:p w14:paraId="75A1BF44" w14:textId="77777777" w:rsidR="00A76D5A" w:rsidRPr="007E01AC" w:rsidRDefault="00A76D5A" w:rsidP="00842013">
            <w:pPr>
              <w:spacing w:before="120" w:after="120"/>
              <w:contextualSpacing/>
              <w:rPr>
                <w:rFonts w:asciiTheme="minorHAnsi" w:eastAsiaTheme="minorHAnsi" w:hAnsiTheme="minorHAnsi" w:cstheme="minorHAnsi"/>
                <w:color w:val="FFFFFF" w:themeColor="background1"/>
                <w:sz w:val="22"/>
                <w:lang w:val="en-CA"/>
              </w:rPr>
            </w:pPr>
            <w:r w:rsidRPr="007E01AC">
              <w:rPr>
                <w:rFonts w:asciiTheme="minorHAnsi" w:eastAsiaTheme="minorHAnsi" w:hAnsiTheme="minorHAnsi" w:cstheme="minorHAnsi"/>
                <w:color w:val="FFFFFF" w:themeColor="background1"/>
                <w:sz w:val="22"/>
                <w:lang w:val="en-CA"/>
              </w:rPr>
              <w:t>Aboriginal Peoples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9339CF8" w14:textId="77777777" w:rsidR="00A76D5A" w:rsidRPr="00842013" w:rsidRDefault="00A76D5A" w:rsidP="00842013">
            <w:pPr>
              <w:spacing w:before="120" w:after="120"/>
              <w:contextualSpacing/>
              <w:jc w:val="center"/>
              <w:rPr>
                <w:rFonts w:asciiTheme="minorHAnsi" w:hAnsiTheme="minorHAnsi" w:cstheme="minorHAnsi"/>
                <w:sz w:val="22"/>
                <w:lang w:val="en-CA"/>
              </w:rPr>
            </w:pPr>
            <w:r w:rsidRPr="00842013">
              <w:rPr>
                <w:rFonts w:asciiTheme="minorHAnsi" w:hAnsiTheme="minorHAnsi" w:cstheme="minorHAnsi"/>
                <w:sz w:val="22"/>
                <w:lang w:val="en-CA"/>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19CD4E" w14:textId="77777777" w:rsidR="00A76D5A" w:rsidRPr="00842013" w:rsidRDefault="00A76D5A" w:rsidP="00842013">
            <w:pPr>
              <w:autoSpaceDE w:val="0"/>
              <w:autoSpaceDN w:val="0"/>
              <w:adjustRightInd w:val="0"/>
              <w:spacing w:before="120" w:after="120"/>
              <w:contextualSpacing/>
              <w:jc w:val="center"/>
              <w:rPr>
                <w:rFonts w:asciiTheme="minorHAnsi" w:eastAsiaTheme="minorHAnsi" w:hAnsiTheme="minorHAnsi" w:cstheme="minorHAnsi"/>
                <w:sz w:val="22"/>
                <w:lang w:val="en-CA"/>
              </w:rPr>
            </w:pPr>
            <w:r w:rsidRPr="00842013">
              <w:rPr>
                <w:rFonts w:asciiTheme="minorHAnsi" w:eastAsiaTheme="minorHAnsi" w:hAnsiTheme="minorHAnsi" w:cstheme="minorHAnsi"/>
                <w:sz w:val="22"/>
                <w:lang w:val="en-CA"/>
              </w:rPr>
              <w:t>7.6%</w:t>
            </w:r>
          </w:p>
        </w:tc>
        <w:tc>
          <w:tcPr>
            <w:tcW w:w="0" w:type="auto"/>
            <w:tcBorders>
              <w:top w:val="single" w:sz="4" w:space="0" w:color="auto"/>
              <w:left w:val="single" w:sz="4" w:space="0" w:color="auto"/>
              <w:bottom w:val="single" w:sz="4" w:space="0" w:color="auto"/>
              <w:right w:val="single" w:sz="4" w:space="0" w:color="auto"/>
            </w:tcBorders>
            <w:hideMark/>
          </w:tcPr>
          <w:p w14:paraId="74E602CC" w14:textId="77777777" w:rsidR="00A76D5A" w:rsidRPr="00842013" w:rsidRDefault="00A76D5A" w:rsidP="00842013">
            <w:pPr>
              <w:autoSpaceDE w:val="0"/>
              <w:autoSpaceDN w:val="0"/>
              <w:adjustRightInd w:val="0"/>
              <w:spacing w:before="120" w:after="120"/>
              <w:contextualSpacing/>
              <w:jc w:val="center"/>
              <w:rPr>
                <w:rFonts w:asciiTheme="minorHAnsi" w:eastAsiaTheme="minorHAnsi" w:hAnsiTheme="minorHAnsi" w:cstheme="minorHAnsi"/>
                <w:sz w:val="22"/>
                <w:lang w:val="en-CA"/>
              </w:rPr>
            </w:pPr>
            <w:r w:rsidRPr="00842013">
              <w:rPr>
                <w:rFonts w:asciiTheme="minorHAnsi" w:eastAsiaTheme="minorHAnsi" w:hAnsiTheme="minorHAnsi" w:cstheme="minorHAnsi"/>
                <w:sz w:val="22"/>
                <w:lang w:val="en-CA"/>
              </w:rPr>
              <w:t>5.1%</w:t>
            </w:r>
          </w:p>
        </w:tc>
      </w:tr>
      <w:tr w:rsidR="00A76D5A" w:rsidRPr="00842013" w14:paraId="1A7ADE1C" w14:textId="77777777" w:rsidTr="007E01AC">
        <w:trPr>
          <w:cantSplit/>
          <w:trHeight w:val="598"/>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54575A" w:themeFill="text1"/>
            <w:hideMark/>
          </w:tcPr>
          <w:p w14:paraId="06F832D5" w14:textId="77777777" w:rsidR="00A76D5A" w:rsidRPr="007E01AC" w:rsidRDefault="00A76D5A" w:rsidP="00842013">
            <w:pPr>
              <w:spacing w:before="120" w:after="120"/>
              <w:contextualSpacing/>
              <w:rPr>
                <w:rFonts w:asciiTheme="minorHAnsi" w:eastAsiaTheme="minorHAnsi" w:hAnsiTheme="minorHAnsi" w:cstheme="minorHAnsi"/>
                <w:color w:val="FFFFFF" w:themeColor="background1"/>
                <w:sz w:val="22"/>
                <w:lang w:val="en-CA"/>
              </w:rPr>
            </w:pPr>
            <w:r w:rsidRPr="007E01AC">
              <w:rPr>
                <w:rFonts w:asciiTheme="minorHAnsi" w:eastAsiaTheme="minorHAnsi" w:hAnsiTheme="minorHAnsi" w:cstheme="minorHAnsi"/>
                <w:color w:val="FFFFFF" w:themeColor="background1"/>
                <w:sz w:val="22"/>
                <w:lang w:val="en-CA"/>
              </w:rPr>
              <w:t>Persons with Disabilities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AC2C255" w14:textId="77777777" w:rsidR="00A76D5A" w:rsidRPr="00842013" w:rsidRDefault="00A76D5A" w:rsidP="00842013">
            <w:pPr>
              <w:spacing w:before="120" w:after="120"/>
              <w:contextualSpacing/>
              <w:jc w:val="center"/>
              <w:rPr>
                <w:rFonts w:asciiTheme="minorHAnsi" w:hAnsiTheme="minorHAnsi" w:cstheme="minorHAnsi"/>
                <w:sz w:val="22"/>
                <w:lang w:val="en-CA"/>
              </w:rPr>
            </w:pPr>
            <w:r w:rsidRPr="00842013">
              <w:rPr>
                <w:rFonts w:asciiTheme="minorHAnsi" w:hAnsiTheme="minorHAnsi" w:cstheme="minorHAnsi"/>
                <w:sz w:val="22"/>
                <w:lang w:val="en-CA"/>
              </w:rPr>
              <w:t>9%</w:t>
            </w:r>
          </w:p>
        </w:tc>
        <w:tc>
          <w:tcPr>
            <w:tcW w:w="0" w:type="auto"/>
            <w:tcBorders>
              <w:top w:val="single" w:sz="4" w:space="0" w:color="auto"/>
              <w:left w:val="single" w:sz="4" w:space="0" w:color="auto"/>
              <w:bottom w:val="single" w:sz="4" w:space="0" w:color="auto"/>
              <w:right w:val="single" w:sz="4" w:space="0" w:color="auto"/>
            </w:tcBorders>
            <w:shd w:val="clear" w:color="auto" w:fill="FFB999" w:themeFill="accent4" w:themeFillTint="66"/>
            <w:vAlign w:val="center"/>
          </w:tcPr>
          <w:p w14:paraId="1CA6367C" w14:textId="77777777" w:rsidR="00A76D5A" w:rsidRPr="00842013" w:rsidRDefault="00A76D5A" w:rsidP="00842013">
            <w:pPr>
              <w:autoSpaceDE w:val="0"/>
              <w:autoSpaceDN w:val="0"/>
              <w:adjustRightInd w:val="0"/>
              <w:spacing w:before="120" w:after="120"/>
              <w:contextualSpacing/>
              <w:jc w:val="center"/>
              <w:rPr>
                <w:rFonts w:asciiTheme="minorHAnsi" w:eastAsiaTheme="minorHAnsi" w:hAnsiTheme="minorHAnsi" w:cstheme="minorHAnsi"/>
                <w:sz w:val="22"/>
                <w:lang w:val="en-CA"/>
              </w:rPr>
            </w:pPr>
            <w:r w:rsidRPr="00842013">
              <w:rPr>
                <w:rFonts w:asciiTheme="minorHAnsi" w:eastAsiaTheme="minorHAnsi" w:hAnsiTheme="minorHAnsi" w:cstheme="minorHAnsi"/>
                <w:sz w:val="22"/>
                <w:lang w:val="en-CA"/>
              </w:rPr>
              <w:t>5.4%</w:t>
            </w:r>
          </w:p>
        </w:tc>
        <w:tc>
          <w:tcPr>
            <w:tcW w:w="0" w:type="auto"/>
            <w:tcBorders>
              <w:top w:val="single" w:sz="4" w:space="0" w:color="auto"/>
              <w:left w:val="single" w:sz="4" w:space="0" w:color="auto"/>
              <w:bottom w:val="single" w:sz="4" w:space="0" w:color="auto"/>
              <w:right w:val="single" w:sz="4" w:space="0" w:color="auto"/>
            </w:tcBorders>
            <w:vAlign w:val="center"/>
            <w:hideMark/>
          </w:tcPr>
          <w:p w14:paraId="2F84F369" w14:textId="77777777" w:rsidR="00A76D5A" w:rsidRPr="00842013" w:rsidRDefault="00A76D5A" w:rsidP="00842013">
            <w:pPr>
              <w:autoSpaceDE w:val="0"/>
              <w:autoSpaceDN w:val="0"/>
              <w:adjustRightInd w:val="0"/>
              <w:spacing w:before="120" w:after="120"/>
              <w:contextualSpacing/>
              <w:jc w:val="center"/>
              <w:rPr>
                <w:rFonts w:asciiTheme="minorHAnsi" w:eastAsiaTheme="minorHAnsi" w:hAnsiTheme="minorHAnsi" w:cstheme="minorHAnsi"/>
                <w:sz w:val="22"/>
                <w:lang w:val="en-CA"/>
              </w:rPr>
            </w:pPr>
            <w:r w:rsidRPr="00842013">
              <w:rPr>
                <w:rFonts w:asciiTheme="minorHAnsi" w:eastAsiaTheme="minorHAnsi" w:hAnsiTheme="minorHAnsi" w:cstheme="minorHAnsi"/>
                <w:sz w:val="22"/>
                <w:lang w:val="en-CA"/>
              </w:rPr>
              <w:t>5.3%</w:t>
            </w:r>
          </w:p>
        </w:tc>
      </w:tr>
      <w:tr w:rsidR="00A76D5A" w:rsidRPr="00842013" w14:paraId="08A9860D" w14:textId="77777777" w:rsidTr="007E01AC">
        <w:trPr>
          <w:cantSplit/>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54575A" w:themeFill="text1"/>
            <w:hideMark/>
          </w:tcPr>
          <w:p w14:paraId="76A79F47" w14:textId="77777777" w:rsidR="00A76D5A" w:rsidRPr="007E01AC" w:rsidRDefault="00A76D5A" w:rsidP="00842013">
            <w:pPr>
              <w:spacing w:before="120" w:after="120"/>
              <w:contextualSpacing/>
              <w:rPr>
                <w:rFonts w:asciiTheme="minorHAnsi" w:eastAsiaTheme="minorHAnsi" w:hAnsiTheme="minorHAnsi" w:cstheme="minorHAnsi"/>
                <w:color w:val="FFFFFF" w:themeColor="background1"/>
                <w:sz w:val="22"/>
                <w:lang w:val="en-CA"/>
              </w:rPr>
            </w:pPr>
            <w:r w:rsidRPr="007E01AC">
              <w:rPr>
                <w:rFonts w:asciiTheme="minorHAnsi" w:eastAsiaTheme="minorHAnsi" w:hAnsiTheme="minorHAnsi" w:cstheme="minorHAnsi"/>
                <w:color w:val="FFFFFF" w:themeColor="background1"/>
                <w:sz w:val="22"/>
                <w:lang w:val="en-CA"/>
              </w:rPr>
              <w:t>Members of Visible Minorities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7964F19" w14:textId="77777777" w:rsidR="00A76D5A" w:rsidRPr="00842013" w:rsidRDefault="00A76D5A" w:rsidP="00842013">
            <w:pPr>
              <w:spacing w:before="120" w:after="120"/>
              <w:contextualSpacing/>
              <w:jc w:val="center"/>
              <w:rPr>
                <w:rFonts w:asciiTheme="minorHAnsi" w:hAnsiTheme="minorHAnsi" w:cstheme="minorHAnsi"/>
                <w:sz w:val="22"/>
                <w:lang w:val="en-CA"/>
              </w:rPr>
            </w:pPr>
            <w:r w:rsidRPr="00842013">
              <w:rPr>
                <w:rFonts w:asciiTheme="minorHAnsi" w:hAnsiTheme="minorHAnsi" w:cstheme="minorHAnsi"/>
                <w:sz w:val="22"/>
                <w:lang w:val="en-CA"/>
              </w:rPr>
              <w:t>15.3%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651F8F" w14:textId="77777777" w:rsidR="00A76D5A" w:rsidRPr="00842013" w:rsidRDefault="00A76D5A" w:rsidP="00842013">
            <w:pPr>
              <w:autoSpaceDE w:val="0"/>
              <w:autoSpaceDN w:val="0"/>
              <w:adjustRightInd w:val="0"/>
              <w:spacing w:before="120" w:after="120"/>
              <w:contextualSpacing/>
              <w:jc w:val="center"/>
              <w:rPr>
                <w:rFonts w:asciiTheme="minorHAnsi" w:eastAsiaTheme="minorHAnsi" w:hAnsiTheme="minorHAnsi" w:cstheme="minorHAnsi"/>
                <w:sz w:val="22"/>
                <w:lang w:val="en-CA"/>
              </w:rPr>
            </w:pPr>
            <w:r w:rsidRPr="00842013">
              <w:rPr>
                <w:rFonts w:asciiTheme="minorHAnsi" w:eastAsiaTheme="minorHAnsi" w:hAnsiTheme="minorHAnsi" w:cstheme="minorHAnsi"/>
                <w:sz w:val="22"/>
                <w:lang w:val="en-CA"/>
              </w:rPr>
              <w:t>22.6%</w:t>
            </w:r>
          </w:p>
        </w:tc>
        <w:tc>
          <w:tcPr>
            <w:tcW w:w="0" w:type="auto"/>
            <w:tcBorders>
              <w:top w:val="single" w:sz="4" w:space="0" w:color="auto"/>
              <w:left w:val="single" w:sz="4" w:space="0" w:color="auto"/>
              <w:bottom w:val="single" w:sz="4" w:space="0" w:color="auto"/>
              <w:right w:val="single" w:sz="4" w:space="0" w:color="auto"/>
            </w:tcBorders>
            <w:vAlign w:val="center"/>
            <w:hideMark/>
          </w:tcPr>
          <w:p w14:paraId="4E78BAF7" w14:textId="77777777" w:rsidR="00A76D5A" w:rsidRPr="00842013" w:rsidRDefault="00A76D5A" w:rsidP="00842013">
            <w:pPr>
              <w:autoSpaceDE w:val="0"/>
              <w:autoSpaceDN w:val="0"/>
              <w:adjustRightInd w:val="0"/>
              <w:spacing w:before="120" w:after="120"/>
              <w:contextualSpacing/>
              <w:jc w:val="center"/>
              <w:rPr>
                <w:rFonts w:asciiTheme="minorHAnsi" w:eastAsiaTheme="minorHAnsi" w:hAnsiTheme="minorHAnsi" w:cstheme="minorHAnsi"/>
                <w:sz w:val="22"/>
                <w:lang w:val="en-CA"/>
              </w:rPr>
            </w:pPr>
            <w:r w:rsidRPr="00842013">
              <w:rPr>
                <w:rFonts w:asciiTheme="minorHAnsi" w:eastAsiaTheme="minorHAnsi" w:hAnsiTheme="minorHAnsi" w:cstheme="minorHAnsi"/>
                <w:sz w:val="22"/>
                <w:lang w:val="en-CA"/>
              </w:rPr>
              <w:t>15.7%</w:t>
            </w:r>
          </w:p>
        </w:tc>
      </w:tr>
    </w:tbl>
    <w:p w14:paraId="7EA2424C" w14:textId="4483A115" w:rsidR="006C1FA6" w:rsidRPr="005B5E7A" w:rsidRDefault="00A76D5A" w:rsidP="00842013">
      <w:pPr>
        <w:tabs>
          <w:tab w:val="left" w:pos="142"/>
        </w:tabs>
        <w:spacing w:before="120" w:after="120"/>
        <w:rPr>
          <w:rFonts w:asciiTheme="minorHAnsi" w:eastAsiaTheme="minorHAnsi" w:hAnsiTheme="minorHAnsi" w:cstheme="minorHAnsi"/>
          <w:color w:val="0099A8" w:themeColor="hyperlink"/>
          <w:sz w:val="22"/>
          <w:u w:val="single"/>
          <w:lang w:val="en-CA"/>
        </w:rPr>
        <w:sectPr w:rsidR="006C1FA6" w:rsidRPr="005B5E7A" w:rsidSect="00934B32">
          <w:footnotePr>
            <w:numFmt w:val="lowerLetter"/>
          </w:footnotePr>
          <w:endnotePr>
            <w:numFmt w:val="lowerLetter"/>
          </w:endnotePr>
          <w:pgSz w:w="12240" w:h="15840" w:code="1"/>
          <w:pgMar w:top="1440" w:right="1080" w:bottom="1440" w:left="1080" w:header="284" w:footer="284" w:gutter="0"/>
          <w:cols w:space="720"/>
          <w:docGrid w:linePitch="326"/>
        </w:sectPr>
      </w:pPr>
      <w:r w:rsidRPr="00842013">
        <w:rPr>
          <w:rFonts w:asciiTheme="minorHAnsi" w:eastAsiaTheme="minorHAnsi" w:hAnsiTheme="minorHAnsi" w:cstheme="minorHAnsi"/>
          <w:sz w:val="22"/>
          <w:lang w:val="en-CA"/>
        </w:rPr>
        <w:t xml:space="preserve">Source: </w:t>
      </w:r>
      <w:hyperlink r:id="rId10" w:history="1">
        <w:r w:rsidRPr="00842013">
          <w:rPr>
            <w:rFonts w:asciiTheme="minorHAnsi" w:eastAsiaTheme="minorHAnsi" w:hAnsiTheme="minorHAnsi" w:cstheme="minorHAnsi"/>
            <w:color w:val="0070C0"/>
            <w:sz w:val="22"/>
            <w:u w:val="single"/>
            <w:lang w:val="en-CA"/>
          </w:rPr>
          <w:t>Employment Equity in the Public Service of Canada 2017– 2018</w:t>
        </w:r>
      </w:hyperlink>
      <w:r w:rsidRPr="00842013">
        <w:rPr>
          <w:rFonts w:asciiTheme="minorHAnsi" w:eastAsiaTheme="minorHAnsi" w:hAnsiTheme="minorHAnsi" w:cstheme="minorHAnsi"/>
          <w:color w:val="0099A8" w:themeColor="hyperlink"/>
          <w:sz w:val="22"/>
          <w:u w:val="single"/>
          <w:lang w:val="en-CA"/>
        </w:rPr>
        <w:t xml:space="preserve"> </w:t>
      </w:r>
      <w:r w:rsidRPr="00842013">
        <w:rPr>
          <w:rFonts w:asciiTheme="minorHAnsi" w:eastAsiaTheme="minorHAnsi" w:hAnsiTheme="minorHAnsi" w:cstheme="minorHAnsi"/>
          <w:sz w:val="22"/>
          <w:lang w:val="en-CA"/>
        </w:rPr>
        <w:t>Treasury Board of Canada Secretariat</w:t>
      </w:r>
      <w:r w:rsidRPr="00842013">
        <w:rPr>
          <w:rFonts w:asciiTheme="minorHAnsi" w:hAnsiTheme="minorHAnsi" w:cstheme="minorHAnsi"/>
          <w:sz w:val="22"/>
          <w:szCs w:val="22"/>
          <w:lang w:val="en-CA"/>
        </w:rPr>
        <w:br/>
      </w:r>
    </w:p>
    <w:p w14:paraId="7F25096F" w14:textId="4C98026F" w:rsidR="00282ABD" w:rsidRPr="00842013" w:rsidRDefault="00282ABD" w:rsidP="00842013">
      <w:pPr>
        <w:pStyle w:val="Titre1"/>
        <w:spacing w:before="120" w:after="120"/>
        <w:rPr>
          <w:lang w:val="en-CA"/>
        </w:rPr>
      </w:pPr>
      <w:r w:rsidRPr="00842013">
        <w:rPr>
          <w:lang w:val="en-CA"/>
        </w:rPr>
        <w:lastRenderedPageBreak/>
        <w:t>Priority Entitlements and Veterans</w:t>
      </w:r>
    </w:p>
    <w:p w14:paraId="11C35E7C" w14:textId="49CADF82"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From April 1, 2018, to August 26, 2019, HC appointed 24 persons with a priority entitlement (PPE) indeterminately. Of these appointments 10 were their own PPEs and 14 were from oth</w:t>
      </w:r>
      <w:r w:rsidR="00B33018" w:rsidRPr="00842013">
        <w:rPr>
          <w:rFonts w:ascii="Segoe UI Semilight" w:hAnsi="Segoe UI Semilight" w:cs="Segoe UI Semilight"/>
          <w:sz w:val="22"/>
          <w:szCs w:val="22"/>
          <w:lang w:val="en-CA" w:eastAsia="en-CA"/>
        </w:rPr>
        <w:t>er organizations</w:t>
      </w:r>
    </w:p>
    <w:p w14:paraId="6A9720BF" w14:textId="5A91D343" w:rsidR="00282ABD" w:rsidRPr="00842013" w:rsidRDefault="00282ABD" w:rsidP="006B37BD">
      <w:pPr>
        <w:pStyle w:val="Sansinterligne"/>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HC had 41 PPEs activated in Priority Information Managemen</w:t>
      </w:r>
      <w:r w:rsidR="00B33018" w:rsidRPr="00842013">
        <w:rPr>
          <w:rFonts w:ascii="Segoe UI Semilight" w:hAnsi="Segoe UI Semilight" w:cs="Segoe UI Semilight"/>
          <w:sz w:val="22"/>
          <w:szCs w:val="22"/>
          <w:lang w:val="en-CA" w:eastAsia="en-CA"/>
        </w:rPr>
        <w:t>t System as of August 26, 2019:</w:t>
      </w:r>
    </w:p>
    <w:p w14:paraId="42D031CD" w14:textId="6BAF2113" w:rsidR="00282ABD" w:rsidRPr="00842013" w:rsidRDefault="00282ABD" w:rsidP="002A0977">
      <w:pPr>
        <w:pStyle w:val="Sansinterligne"/>
        <w:numPr>
          <w:ilvl w:val="1"/>
          <w:numId w:val="18"/>
        </w:numPr>
        <w:spacing w:before="120" w:after="120"/>
        <w:ind w:left="1434" w:hanging="357"/>
        <w:contextualSpacing/>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 xml:space="preserve">31 have the Leave of Absence entitlement; </w:t>
      </w:r>
    </w:p>
    <w:p w14:paraId="48136D53" w14:textId="320A1EA6" w:rsidR="00282ABD" w:rsidRPr="00842013" w:rsidRDefault="00282ABD" w:rsidP="002A0977">
      <w:pPr>
        <w:pStyle w:val="Sansinterligne"/>
        <w:numPr>
          <w:ilvl w:val="1"/>
          <w:numId w:val="18"/>
        </w:numPr>
        <w:spacing w:before="120" w:after="120"/>
        <w:ind w:left="1434" w:hanging="357"/>
        <w:contextualSpacing/>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9 have a relocation of spouse entitlement; and</w:t>
      </w:r>
    </w:p>
    <w:p w14:paraId="7487CC3D" w14:textId="494694E7" w:rsidR="00282ABD" w:rsidRPr="00842013" w:rsidRDefault="00282ABD" w:rsidP="002A0977">
      <w:pPr>
        <w:pStyle w:val="Sansinterligne"/>
        <w:numPr>
          <w:ilvl w:val="1"/>
          <w:numId w:val="18"/>
        </w:numPr>
        <w:spacing w:before="120" w:after="120"/>
        <w:ind w:left="1434" w:hanging="357"/>
        <w:contextualSpacing/>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1 h</w:t>
      </w:r>
      <w:r w:rsidR="00B33018" w:rsidRPr="00842013">
        <w:rPr>
          <w:rFonts w:ascii="Segoe UI Semilight" w:hAnsi="Segoe UI Semilight" w:cs="Segoe UI Semilight"/>
          <w:sz w:val="22"/>
          <w:szCs w:val="22"/>
          <w:lang w:val="en-CA" w:eastAsia="en-CA"/>
        </w:rPr>
        <w:t>as a reinstatement entitlement.</w:t>
      </w:r>
    </w:p>
    <w:p w14:paraId="2CFBA117" w14:textId="77777777" w:rsidR="00282ABD" w:rsidRPr="00842013" w:rsidRDefault="00282ABD" w:rsidP="002A0977">
      <w:pPr>
        <w:pStyle w:val="Sansinterligne"/>
        <w:spacing w:before="24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Since the coming into force of the Veterans Hiring Act, HC has made 13 appointments of persons with a Canadian Armed Forces Priority Entitlement (6 statutory and 7 regulatory), between J</w:t>
      </w:r>
      <w:r w:rsidR="00B33018" w:rsidRPr="00842013">
        <w:rPr>
          <w:rFonts w:ascii="Segoe UI Semilight" w:hAnsi="Segoe UI Semilight" w:cs="Segoe UI Semilight"/>
          <w:sz w:val="22"/>
          <w:szCs w:val="22"/>
          <w:lang w:val="en-CA" w:eastAsia="en-CA"/>
        </w:rPr>
        <w:t>uly 1, 2015, and July 31, 2019.</w:t>
      </w:r>
    </w:p>
    <w:p w14:paraId="45B3846D" w14:textId="4594D027" w:rsidR="00DE5B06" w:rsidRPr="00842013" w:rsidRDefault="00DE5B06" w:rsidP="00920412">
      <w:pPr>
        <w:spacing w:before="120"/>
        <w:rPr>
          <w:rFonts w:asciiTheme="minorHAnsi" w:hAnsiTheme="minorHAnsi" w:cstheme="minorHAnsi"/>
          <w:sz w:val="18"/>
          <w:szCs w:val="18"/>
          <w:lang w:val="en-CA"/>
        </w:rPr>
      </w:pPr>
      <w:r w:rsidRPr="00842013">
        <w:rPr>
          <w:rFonts w:asciiTheme="minorHAnsi" w:hAnsiTheme="minorHAnsi" w:cstheme="minorHAnsi"/>
          <w:sz w:val="18"/>
          <w:szCs w:val="18"/>
          <w:lang w:val="en-CA"/>
        </w:rPr>
        <w:t xml:space="preserve">Table </w:t>
      </w:r>
      <w:r w:rsidRPr="00842013">
        <w:rPr>
          <w:rFonts w:asciiTheme="minorHAnsi" w:hAnsiTheme="minorHAnsi" w:cstheme="minorHAnsi"/>
          <w:sz w:val="18"/>
          <w:szCs w:val="18"/>
          <w:lang w:val="en-CA"/>
        </w:rPr>
        <w:fldChar w:fldCharType="begin"/>
      </w:r>
      <w:r w:rsidRPr="00842013">
        <w:rPr>
          <w:rFonts w:asciiTheme="minorHAnsi" w:hAnsiTheme="minorHAnsi" w:cstheme="minorHAnsi"/>
          <w:sz w:val="18"/>
          <w:szCs w:val="18"/>
          <w:lang w:val="en-CA"/>
        </w:rPr>
        <w:instrText xml:space="preserve"> SEQ Table \* ARABIC </w:instrText>
      </w:r>
      <w:r w:rsidRPr="00842013">
        <w:rPr>
          <w:rFonts w:asciiTheme="minorHAnsi" w:hAnsiTheme="minorHAnsi" w:cstheme="minorHAnsi"/>
          <w:sz w:val="18"/>
          <w:szCs w:val="18"/>
          <w:lang w:val="en-CA"/>
        </w:rPr>
        <w:fldChar w:fldCharType="separate"/>
      </w:r>
      <w:r w:rsidR="002A0977">
        <w:rPr>
          <w:rFonts w:asciiTheme="minorHAnsi" w:hAnsiTheme="minorHAnsi" w:cstheme="minorHAnsi"/>
          <w:noProof/>
          <w:sz w:val="18"/>
          <w:szCs w:val="18"/>
          <w:lang w:val="en-CA"/>
        </w:rPr>
        <w:t>3</w:t>
      </w:r>
      <w:r w:rsidRPr="00842013">
        <w:rPr>
          <w:rFonts w:asciiTheme="minorHAnsi" w:hAnsiTheme="minorHAnsi" w:cstheme="minorHAnsi"/>
          <w:sz w:val="18"/>
          <w:szCs w:val="18"/>
          <w:lang w:val="en-CA"/>
        </w:rPr>
        <w:fldChar w:fldCharType="end"/>
      </w:r>
      <w:r w:rsidRPr="00842013">
        <w:rPr>
          <w:rFonts w:asciiTheme="minorHAnsi" w:hAnsiTheme="minorHAnsi" w:cstheme="minorHAnsi"/>
          <w:sz w:val="18"/>
          <w:szCs w:val="18"/>
          <w:lang w:val="en-CA"/>
        </w:rPr>
        <w:t xml:space="preserve"> - Priority Entitlements and Veterans</w:t>
      </w:r>
    </w:p>
    <w:tbl>
      <w:tblPr>
        <w:tblStyle w:val="TableGrid1"/>
        <w:tblW w:w="0" w:type="auto"/>
        <w:jc w:val="center"/>
        <w:tblLook w:val="04A0" w:firstRow="1" w:lastRow="0" w:firstColumn="1" w:lastColumn="0" w:noHBand="0" w:noVBand="1"/>
        <w:tblDescription w:val="Table 3 - Priority Entitlements and Veterans"/>
      </w:tblPr>
      <w:tblGrid>
        <w:gridCol w:w="2050"/>
        <w:gridCol w:w="3048"/>
        <w:gridCol w:w="2977"/>
        <w:gridCol w:w="1995"/>
      </w:tblGrid>
      <w:tr w:rsidR="00D868DD" w:rsidRPr="00842013" w14:paraId="481383E4" w14:textId="77777777" w:rsidTr="007E54E2">
        <w:trPr>
          <w:cantSplit/>
          <w:tblHeader/>
          <w:jc w:val="center"/>
        </w:trPr>
        <w:tc>
          <w:tcPr>
            <w:tcW w:w="2050" w:type="dxa"/>
            <w:shd w:val="clear" w:color="auto" w:fill="0070C0"/>
            <w:vAlign w:val="center"/>
          </w:tcPr>
          <w:p w14:paraId="45B6E0D9" w14:textId="77777777" w:rsidR="00A76D5A" w:rsidRPr="00842013" w:rsidRDefault="00A76D5A" w:rsidP="00D868DD">
            <w:pPr>
              <w:pStyle w:val="TableTitle"/>
              <w:spacing w:before="120" w:after="120"/>
              <w:jc w:val="center"/>
              <w:rPr>
                <w:color w:val="FFFFFF" w:themeColor="background1"/>
                <w:lang w:val="en-CA"/>
              </w:rPr>
            </w:pPr>
            <w:r w:rsidRPr="00842013">
              <w:rPr>
                <w:color w:val="FFFFFF" w:themeColor="background1"/>
                <w:lang w:val="en-CA"/>
              </w:rPr>
              <w:t>Period</w:t>
            </w:r>
          </w:p>
        </w:tc>
        <w:tc>
          <w:tcPr>
            <w:tcW w:w="3048" w:type="dxa"/>
            <w:shd w:val="clear" w:color="auto" w:fill="0070C0"/>
            <w:vAlign w:val="center"/>
          </w:tcPr>
          <w:p w14:paraId="13DCAC8B" w14:textId="77777777" w:rsidR="00A76D5A" w:rsidRPr="00842013" w:rsidRDefault="00A76D5A" w:rsidP="00D868DD">
            <w:pPr>
              <w:pStyle w:val="TableTitle"/>
              <w:spacing w:before="120" w:after="120"/>
              <w:jc w:val="center"/>
              <w:rPr>
                <w:b/>
                <w:smallCaps/>
                <w:color w:val="FFFFFF" w:themeColor="background1"/>
                <w:lang w:val="en-CA"/>
              </w:rPr>
            </w:pPr>
            <w:r w:rsidRPr="00842013">
              <w:rPr>
                <w:b/>
                <w:smallCaps/>
                <w:color w:val="FFFFFF" w:themeColor="background1"/>
                <w:lang w:val="en-CA"/>
              </w:rPr>
              <w:t>attributable to service (statutory)</w:t>
            </w:r>
          </w:p>
        </w:tc>
        <w:tc>
          <w:tcPr>
            <w:tcW w:w="2977" w:type="dxa"/>
            <w:shd w:val="clear" w:color="auto" w:fill="0070C0"/>
            <w:vAlign w:val="center"/>
          </w:tcPr>
          <w:p w14:paraId="13D3FD75" w14:textId="77777777" w:rsidR="00A76D5A" w:rsidRPr="00842013" w:rsidRDefault="00A76D5A" w:rsidP="00D868DD">
            <w:pPr>
              <w:pStyle w:val="TableTitle"/>
              <w:spacing w:before="120" w:after="120"/>
              <w:jc w:val="center"/>
              <w:rPr>
                <w:b/>
                <w:smallCaps/>
                <w:color w:val="FFFFFF" w:themeColor="background1"/>
                <w:lang w:val="en-CA"/>
              </w:rPr>
            </w:pPr>
            <w:r w:rsidRPr="00842013">
              <w:rPr>
                <w:b/>
                <w:smallCaps/>
                <w:color w:val="FFFFFF" w:themeColor="background1"/>
                <w:lang w:val="en-CA"/>
              </w:rPr>
              <w:t>not attributable to service (regulatory)</w:t>
            </w:r>
          </w:p>
        </w:tc>
        <w:tc>
          <w:tcPr>
            <w:tcW w:w="1995" w:type="dxa"/>
            <w:shd w:val="clear" w:color="auto" w:fill="0070C0"/>
            <w:vAlign w:val="center"/>
          </w:tcPr>
          <w:p w14:paraId="46AF2461" w14:textId="77777777" w:rsidR="00A76D5A" w:rsidRPr="00842013" w:rsidRDefault="00A76D5A" w:rsidP="00D868DD">
            <w:pPr>
              <w:pStyle w:val="TableTitle"/>
              <w:spacing w:before="120" w:after="120"/>
              <w:jc w:val="center"/>
              <w:rPr>
                <w:b/>
                <w:smallCaps/>
                <w:color w:val="FFFFFF" w:themeColor="background1"/>
                <w:lang w:val="en-CA"/>
              </w:rPr>
            </w:pPr>
            <w:r w:rsidRPr="00842013">
              <w:rPr>
                <w:b/>
                <w:smallCaps/>
                <w:color w:val="FFFFFF" w:themeColor="background1"/>
                <w:lang w:val="en-CA"/>
              </w:rPr>
              <w:t>total</w:t>
            </w:r>
          </w:p>
        </w:tc>
      </w:tr>
      <w:tr w:rsidR="00D868DD" w:rsidRPr="00842013" w14:paraId="42BA9386" w14:textId="77777777" w:rsidTr="007E54E2">
        <w:trPr>
          <w:cantSplit/>
          <w:tblHeader/>
          <w:jc w:val="center"/>
        </w:trPr>
        <w:tc>
          <w:tcPr>
            <w:tcW w:w="0" w:type="auto"/>
            <w:shd w:val="clear" w:color="auto" w:fill="0070C0"/>
          </w:tcPr>
          <w:p w14:paraId="2FB795D3" w14:textId="77777777" w:rsidR="00A76D5A" w:rsidRPr="00842013" w:rsidRDefault="00A76D5A" w:rsidP="00842013">
            <w:pPr>
              <w:widowControl w:val="0"/>
              <w:tabs>
                <w:tab w:val="left" w:pos="-1440"/>
              </w:tabs>
              <w:autoSpaceDE w:val="0"/>
              <w:autoSpaceDN w:val="0"/>
              <w:adjustRightInd w:val="0"/>
              <w:spacing w:before="120" w:after="120"/>
              <w:jc w:val="right"/>
              <w:rPr>
                <w:rFonts w:ascii="Segoe UI Semilight" w:hAnsi="Segoe UI Semilight" w:cs="Segoe UI Semilight"/>
                <w:color w:val="FFFFFF" w:themeColor="background1"/>
                <w:sz w:val="22"/>
                <w:szCs w:val="22"/>
                <w:lang w:val="en-CA"/>
              </w:rPr>
            </w:pPr>
            <w:r w:rsidRPr="00842013">
              <w:rPr>
                <w:rFonts w:ascii="Segoe UI Semilight" w:hAnsi="Segoe UI Semilight" w:cs="Segoe UI Semilight"/>
                <w:color w:val="FFFFFF" w:themeColor="background1"/>
                <w:sz w:val="22"/>
                <w:szCs w:val="22"/>
                <w:lang w:val="en-CA"/>
              </w:rPr>
              <w:t>2015 (July 1) - 2016</w:t>
            </w:r>
          </w:p>
        </w:tc>
        <w:tc>
          <w:tcPr>
            <w:tcW w:w="0" w:type="auto"/>
          </w:tcPr>
          <w:p w14:paraId="30FB8AE2" w14:textId="77777777" w:rsidR="00A76D5A" w:rsidRPr="00842013" w:rsidRDefault="00A76D5A" w:rsidP="00842013">
            <w:pPr>
              <w:widowControl w:val="0"/>
              <w:tabs>
                <w:tab w:val="left" w:pos="-1440"/>
              </w:tabs>
              <w:autoSpaceDE w:val="0"/>
              <w:autoSpaceDN w:val="0"/>
              <w:adjustRightInd w:val="0"/>
              <w:spacing w:before="120" w:after="120"/>
              <w:jc w:val="center"/>
              <w:rPr>
                <w:rFonts w:ascii="Segoe UI Semilight" w:hAnsi="Segoe UI Semilight" w:cs="Segoe UI Semilight"/>
                <w:sz w:val="22"/>
                <w:szCs w:val="22"/>
                <w:lang w:val="en-CA"/>
              </w:rPr>
            </w:pPr>
            <w:r w:rsidRPr="00842013">
              <w:rPr>
                <w:rFonts w:ascii="Segoe UI Semilight" w:hAnsi="Segoe UI Semilight" w:cs="Segoe UI Semilight"/>
                <w:sz w:val="22"/>
                <w:szCs w:val="22"/>
                <w:lang w:val="en-CA"/>
              </w:rPr>
              <w:t>2</w:t>
            </w:r>
          </w:p>
        </w:tc>
        <w:tc>
          <w:tcPr>
            <w:tcW w:w="2977" w:type="dxa"/>
          </w:tcPr>
          <w:p w14:paraId="3D0BC1AA" w14:textId="77777777" w:rsidR="00A76D5A" w:rsidRPr="00842013" w:rsidRDefault="00A76D5A" w:rsidP="00842013">
            <w:pPr>
              <w:widowControl w:val="0"/>
              <w:tabs>
                <w:tab w:val="left" w:pos="-1440"/>
              </w:tabs>
              <w:autoSpaceDE w:val="0"/>
              <w:autoSpaceDN w:val="0"/>
              <w:adjustRightInd w:val="0"/>
              <w:spacing w:before="120" w:after="120"/>
              <w:jc w:val="center"/>
              <w:rPr>
                <w:rFonts w:ascii="Segoe UI Semilight" w:hAnsi="Segoe UI Semilight" w:cs="Segoe UI Semilight"/>
                <w:sz w:val="22"/>
                <w:szCs w:val="22"/>
                <w:lang w:val="en-CA"/>
              </w:rPr>
            </w:pPr>
            <w:r w:rsidRPr="00842013">
              <w:rPr>
                <w:rFonts w:ascii="Segoe UI Semilight" w:hAnsi="Segoe UI Semilight" w:cs="Segoe UI Semilight"/>
                <w:sz w:val="22"/>
                <w:szCs w:val="22"/>
                <w:lang w:val="en-CA"/>
              </w:rPr>
              <w:t>1</w:t>
            </w:r>
          </w:p>
        </w:tc>
        <w:tc>
          <w:tcPr>
            <w:tcW w:w="1995" w:type="dxa"/>
          </w:tcPr>
          <w:p w14:paraId="07116E21" w14:textId="77777777" w:rsidR="00A76D5A" w:rsidRPr="00842013" w:rsidRDefault="00A76D5A" w:rsidP="00842013">
            <w:pPr>
              <w:widowControl w:val="0"/>
              <w:tabs>
                <w:tab w:val="left" w:pos="-1440"/>
              </w:tabs>
              <w:autoSpaceDE w:val="0"/>
              <w:autoSpaceDN w:val="0"/>
              <w:adjustRightInd w:val="0"/>
              <w:spacing w:before="120" w:after="120"/>
              <w:jc w:val="center"/>
              <w:rPr>
                <w:rFonts w:ascii="Segoe UI Semilight" w:hAnsi="Segoe UI Semilight" w:cs="Segoe UI Semilight"/>
                <w:sz w:val="22"/>
                <w:szCs w:val="22"/>
                <w:lang w:val="en-CA"/>
              </w:rPr>
            </w:pPr>
            <w:r w:rsidRPr="00842013">
              <w:rPr>
                <w:rFonts w:ascii="Segoe UI Semilight" w:hAnsi="Segoe UI Semilight" w:cs="Segoe UI Semilight"/>
                <w:sz w:val="22"/>
                <w:szCs w:val="22"/>
                <w:lang w:val="en-CA"/>
              </w:rPr>
              <w:t>3</w:t>
            </w:r>
          </w:p>
        </w:tc>
      </w:tr>
      <w:tr w:rsidR="00D868DD" w:rsidRPr="00842013" w14:paraId="15D39218" w14:textId="77777777" w:rsidTr="007E54E2">
        <w:trPr>
          <w:cantSplit/>
          <w:tblHeader/>
          <w:jc w:val="center"/>
        </w:trPr>
        <w:tc>
          <w:tcPr>
            <w:tcW w:w="0" w:type="auto"/>
            <w:shd w:val="clear" w:color="auto" w:fill="0070C0"/>
          </w:tcPr>
          <w:p w14:paraId="0ABA439D" w14:textId="77777777" w:rsidR="00A76D5A" w:rsidRPr="00842013" w:rsidRDefault="00A76D5A" w:rsidP="00842013">
            <w:pPr>
              <w:widowControl w:val="0"/>
              <w:tabs>
                <w:tab w:val="left" w:pos="-1440"/>
              </w:tabs>
              <w:autoSpaceDE w:val="0"/>
              <w:autoSpaceDN w:val="0"/>
              <w:adjustRightInd w:val="0"/>
              <w:spacing w:before="120" w:after="120"/>
              <w:jc w:val="right"/>
              <w:rPr>
                <w:rFonts w:ascii="Segoe UI Semilight" w:hAnsi="Segoe UI Semilight" w:cs="Segoe UI Semilight"/>
                <w:color w:val="FFFFFF" w:themeColor="background1"/>
                <w:sz w:val="22"/>
                <w:szCs w:val="22"/>
                <w:lang w:val="en-CA"/>
              </w:rPr>
            </w:pPr>
            <w:r w:rsidRPr="00842013">
              <w:rPr>
                <w:rFonts w:ascii="Segoe UI Semilight" w:hAnsi="Segoe UI Semilight" w:cs="Segoe UI Semilight"/>
                <w:color w:val="FFFFFF" w:themeColor="background1"/>
                <w:sz w:val="22"/>
                <w:szCs w:val="22"/>
                <w:lang w:val="en-CA"/>
              </w:rPr>
              <w:t>2016 - 2017</w:t>
            </w:r>
          </w:p>
        </w:tc>
        <w:tc>
          <w:tcPr>
            <w:tcW w:w="0" w:type="auto"/>
          </w:tcPr>
          <w:p w14:paraId="26C09FE6" w14:textId="77777777" w:rsidR="00A76D5A" w:rsidRPr="00842013" w:rsidRDefault="00A76D5A" w:rsidP="00842013">
            <w:pPr>
              <w:widowControl w:val="0"/>
              <w:tabs>
                <w:tab w:val="left" w:pos="-1440"/>
              </w:tabs>
              <w:autoSpaceDE w:val="0"/>
              <w:autoSpaceDN w:val="0"/>
              <w:adjustRightInd w:val="0"/>
              <w:spacing w:before="120" w:after="120"/>
              <w:jc w:val="center"/>
              <w:rPr>
                <w:rFonts w:ascii="Segoe UI Semilight" w:hAnsi="Segoe UI Semilight" w:cs="Segoe UI Semilight"/>
                <w:sz w:val="22"/>
                <w:szCs w:val="22"/>
                <w:lang w:val="en-CA"/>
              </w:rPr>
            </w:pPr>
            <w:r w:rsidRPr="00842013">
              <w:rPr>
                <w:rFonts w:ascii="Segoe UI Semilight" w:hAnsi="Segoe UI Semilight" w:cs="Segoe UI Semilight"/>
                <w:sz w:val="22"/>
                <w:szCs w:val="22"/>
                <w:lang w:val="en-CA"/>
              </w:rPr>
              <w:t>2</w:t>
            </w:r>
          </w:p>
        </w:tc>
        <w:tc>
          <w:tcPr>
            <w:tcW w:w="2977" w:type="dxa"/>
          </w:tcPr>
          <w:p w14:paraId="46C3076E" w14:textId="77777777" w:rsidR="00A76D5A" w:rsidRPr="00842013" w:rsidRDefault="00A76D5A" w:rsidP="00842013">
            <w:pPr>
              <w:widowControl w:val="0"/>
              <w:tabs>
                <w:tab w:val="left" w:pos="-1440"/>
              </w:tabs>
              <w:autoSpaceDE w:val="0"/>
              <w:autoSpaceDN w:val="0"/>
              <w:adjustRightInd w:val="0"/>
              <w:spacing w:before="120" w:after="120"/>
              <w:jc w:val="center"/>
              <w:rPr>
                <w:rFonts w:ascii="Segoe UI Semilight" w:hAnsi="Segoe UI Semilight" w:cs="Segoe UI Semilight"/>
                <w:sz w:val="22"/>
                <w:szCs w:val="22"/>
                <w:lang w:val="en-CA"/>
              </w:rPr>
            </w:pPr>
            <w:r w:rsidRPr="00842013">
              <w:rPr>
                <w:rFonts w:ascii="Segoe UI Semilight" w:hAnsi="Segoe UI Semilight" w:cs="Segoe UI Semilight"/>
                <w:sz w:val="22"/>
                <w:szCs w:val="22"/>
                <w:lang w:val="en-CA"/>
              </w:rPr>
              <w:t>3</w:t>
            </w:r>
          </w:p>
        </w:tc>
        <w:tc>
          <w:tcPr>
            <w:tcW w:w="1995" w:type="dxa"/>
          </w:tcPr>
          <w:p w14:paraId="4300EEBD" w14:textId="77777777" w:rsidR="00A76D5A" w:rsidRPr="00842013" w:rsidRDefault="00A76D5A" w:rsidP="00842013">
            <w:pPr>
              <w:widowControl w:val="0"/>
              <w:tabs>
                <w:tab w:val="left" w:pos="-1440"/>
              </w:tabs>
              <w:autoSpaceDE w:val="0"/>
              <w:autoSpaceDN w:val="0"/>
              <w:adjustRightInd w:val="0"/>
              <w:spacing w:before="120" w:after="120"/>
              <w:jc w:val="center"/>
              <w:rPr>
                <w:rFonts w:ascii="Segoe UI Semilight" w:hAnsi="Segoe UI Semilight" w:cs="Segoe UI Semilight"/>
                <w:sz w:val="22"/>
                <w:szCs w:val="22"/>
                <w:lang w:val="en-CA"/>
              </w:rPr>
            </w:pPr>
            <w:r w:rsidRPr="00842013">
              <w:rPr>
                <w:rFonts w:ascii="Segoe UI Semilight" w:hAnsi="Segoe UI Semilight" w:cs="Segoe UI Semilight"/>
                <w:sz w:val="22"/>
                <w:szCs w:val="22"/>
                <w:lang w:val="en-CA"/>
              </w:rPr>
              <w:t>5</w:t>
            </w:r>
          </w:p>
        </w:tc>
      </w:tr>
      <w:tr w:rsidR="00D868DD" w:rsidRPr="00842013" w14:paraId="5DB0FCC6" w14:textId="77777777" w:rsidTr="007E54E2">
        <w:trPr>
          <w:cantSplit/>
          <w:tblHeader/>
          <w:jc w:val="center"/>
        </w:trPr>
        <w:tc>
          <w:tcPr>
            <w:tcW w:w="0" w:type="auto"/>
            <w:shd w:val="clear" w:color="auto" w:fill="0070C0"/>
          </w:tcPr>
          <w:p w14:paraId="7098567E" w14:textId="77777777" w:rsidR="00A76D5A" w:rsidRPr="00842013" w:rsidRDefault="00A76D5A" w:rsidP="00842013">
            <w:pPr>
              <w:widowControl w:val="0"/>
              <w:tabs>
                <w:tab w:val="left" w:pos="-1440"/>
              </w:tabs>
              <w:autoSpaceDE w:val="0"/>
              <w:autoSpaceDN w:val="0"/>
              <w:adjustRightInd w:val="0"/>
              <w:spacing w:before="120" w:after="120"/>
              <w:jc w:val="right"/>
              <w:rPr>
                <w:rFonts w:ascii="Segoe UI Semilight" w:hAnsi="Segoe UI Semilight" w:cs="Segoe UI Semilight"/>
                <w:color w:val="FFFFFF" w:themeColor="background1"/>
                <w:sz w:val="22"/>
                <w:szCs w:val="22"/>
                <w:lang w:val="en-CA"/>
              </w:rPr>
            </w:pPr>
            <w:r w:rsidRPr="00842013">
              <w:rPr>
                <w:rFonts w:ascii="Segoe UI Semilight" w:hAnsi="Segoe UI Semilight" w:cs="Segoe UI Semilight"/>
                <w:color w:val="FFFFFF" w:themeColor="background1"/>
                <w:sz w:val="22"/>
                <w:szCs w:val="22"/>
                <w:lang w:val="en-CA"/>
              </w:rPr>
              <w:t>2017 - 2018</w:t>
            </w:r>
          </w:p>
        </w:tc>
        <w:tc>
          <w:tcPr>
            <w:tcW w:w="0" w:type="auto"/>
          </w:tcPr>
          <w:p w14:paraId="1F3B0D52" w14:textId="77777777" w:rsidR="00A76D5A" w:rsidRPr="00842013" w:rsidRDefault="00A76D5A" w:rsidP="00842013">
            <w:pPr>
              <w:widowControl w:val="0"/>
              <w:tabs>
                <w:tab w:val="left" w:pos="-1440"/>
              </w:tabs>
              <w:autoSpaceDE w:val="0"/>
              <w:autoSpaceDN w:val="0"/>
              <w:adjustRightInd w:val="0"/>
              <w:spacing w:before="120" w:after="120"/>
              <w:jc w:val="center"/>
              <w:rPr>
                <w:rFonts w:ascii="Segoe UI Semilight" w:hAnsi="Segoe UI Semilight" w:cs="Segoe UI Semilight"/>
                <w:sz w:val="22"/>
                <w:szCs w:val="22"/>
                <w:lang w:val="en-CA"/>
              </w:rPr>
            </w:pPr>
            <w:r w:rsidRPr="00842013">
              <w:rPr>
                <w:rFonts w:ascii="Segoe UI Semilight" w:hAnsi="Segoe UI Semilight" w:cs="Segoe UI Semilight"/>
                <w:sz w:val="22"/>
                <w:szCs w:val="22"/>
                <w:lang w:val="en-CA"/>
              </w:rPr>
              <w:t>1</w:t>
            </w:r>
          </w:p>
        </w:tc>
        <w:tc>
          <w:tcPr>
            <w:tcW w:w="2977" w:type="dxa"/>
          </w:tcPr>
          <w:p w14:paraId="377ACBD8" w14:textId="77777777" w:rsidR="00A76D5A" w:rsidRPr="00842013" w:rsidRDefault="00A76D5A" w:rsidP="00842013">
            <w:pPr>
              <w:widowControl w:val="0"/>
              <w:tabs>
                <w:tab w:val="left" w:pos="-1440"/>
              </w:tabs>
              <w:autoSpaceDE w:val="0"/>
              <w:autoSpaceDN w:val="0"/>
              <w:adjustRightInd w:val="0"/>
              <w:spacing w:before="120" w:after="120"/>
              <w:jc w:val="center"/>
              <w:rPr>
                <w:rFonts w:ascii="Segoe UI Semilight" w:hAnsi="Segoe UI Semilight" w:cs="Segoe UI Semilight"/>
                <w:sz w:val="22"/>
                <w:szCs w:val="22"/>
                <w:lang w:val="en-CA"/>
              </w:rPr>
            </w:pPr>
            <w:r w:rsidRPr="00842013">
              <w:rPr>
                <w:rFonts w:ascii="Segoe UI Semilight" w:hAnsi="Segoe UI Semilight" w:cs="Segoe UI Semilight"/>
                <w:sz w:val="22"/>
                <w:szCs w:val="22"/>
                <w:lang w:val="en-CA"/>
              </w:rPr>
              <w:t>3</w:t>
            </w:r>
          </w:p>
        </w:tc>
        <w:tc>
          <w:tcPr>
            <w:tcW w:w="1995" w:type="dxa"/>
          </w:tcPr>
          <w:p w14:paraId="7CEAFB20" w14:textId="77777777" w:rsidR="00A76D5A" w:rsidRPr="00842013" w:rsidRDefault="00A76D5A" w:rsidP="00842013">
            <w:pPr>
              <w:widowControl w:val="0"/>
              <w:tabs>
                <w:tab w:val="left" w:pos="-1440"/>
              </w:tabs>
              <w:autoSpaceDE w:val="0"/>
              <w:autoSpaceDN w:val="0"/>
              <w:adjustRightInd w:val="0"/>
              <w:spacing w:before="120" w:after="120"/>
              <w:jc w:val="center"/>
              <w:rPr>
                <w:rFonts w:ascii="Segoe UI Semilight" w:hAnsi="Segoe UI Semilight" w:cs="Segoe UI Semilight"/>
                <w:sz w:val="22"/>
                <w:szCs w:val="22"/>
                <w:lang w:val="en-CA"/>
              </w:rPr>
            </w:pPr>
            <w:r w:rsidRPr="00842013">
              <w:rPr>
                <w:rFonts w:ascii="Segoe UI Semilight" w:hAnsi="Segoe UI Semilight" w:cs="Segoe UI Semilight"/>
                <w:sz w:val="22"/>
                <w:szCs w:val="22"/>
                <w:lang w:val="en-CA"/>
              </w:rPr>
              <w:t>4</w:t>
            </w:r>
          </w:p>
        </w:tc>
      </w:tr>
      <w:tr w:rsidR="00D868DD" w:rsidRPr="00842013" w14:paraId="43837E35" w14:textId="77777777" w:rsidTr="007E54E2">
        <w:trPr>
          <w:cantSplit/>
          <w:tblHeader/>
          <w:jc w:val="center"/>
        </w:trPr>
        <w:tc>
          <w:tcPr>
            <w:tcW w:w="0" w:type="auto"/>
            <w:shd w:val="clear" w:color="auto" w:fill="0070C0"/>
          </w:tcPr>
          <w:p w14:paraId="69DE2566" w14:textId="77777777" w:rsidR="00A76D5A" w:rsidRPr="00842013" w:rsidRDefault="00A76D5A" w:rsidP="00842013">
            <w:pPr>
              <w:widowControl w:val="0"/>
              <w:tabs>
                <w:tab w:val="left" w:pos="-1440"/>
              </w:tabs>
              <w:autoSpaceDE w:val="0"/>
              <w:autoSpaceDN w:val="0"/>
              <w:adjustRightInd w:val="0"/>
              <w:spacing w:before="120" w:after="120"/>
              <w:jc w:val="right"/>
              <w:rPr>
                <w:rFonts w:ascii="Segoe UI Semilight" w:hAnsi="Segoe UI Semilight" w:cs="Segoe UI Semilight"/>
                <w:color w:val="FFFFFF" w:themeColor="background1"/>
                <w:sz w:val="22"/>
                <w:szCs w:val="22"/>
                <w:lang w:val="en-CA"/>
              </w:rPr>
            </w:pPr>
            <w:r w:rsidRPr="00842013">
              <w:rPr>
                <w:rFonts w:ascii="Segoe UI Semilight" w:hAnsi="Segoe UI Semilight" w:cs="Segoe UI Semilight"/>
                <w:color w:val="FFFFFF" w:themeColor="background1"/>
                <w:sz w:val="22"/>
                <w:szCs w:val="22"/>
                <w:lang w:val="en-CA"/>
              </w:rPr>
              <w:t>2018–2019</w:t>
            </w:r>
          </w:p>
        </w:tc>
        <w:tc>
          <w:tcPr>
            <w:tcW w:w="0" w:type="auto"/>
          </w:tcPr>
          <w:p w14:paraId="0A4DA25C" w14:textId="77777777" w:rsidR="00A76D5A" w:rsidRPr="00842013" w:rsidRDefault="00A76D5A" w:rsidP="00842013">
            <w:pPr>
              <w:widowControl w:val="0"/>
              <w:tabs>
                <w:tab w:val="left" w:pos="-1440"/>
              </w:tabs>
              <w:autoSpaceDE w:val="0"/>
              <w:autoSpaceDN w:val="0"/>
              <w:adjustRightInd w:val="0"/>
              <w:spacing w:before="120" w:after="120"/>
              <w:jc w:val="center"/>
              <w:rPr>
                <w:rFonts w:ascii="Segoe UI Semilight" w:hAnsi="Segoe UI Semilight" w:cs="Segoe UI Semilight"/>
                <w:sz w:val="22"/>
                <w:szCs w:val="22"/>
                <w:lang w:val="en-CA"/>
              </w:rPr>
            </w:pPr>
            <w:r w:rsidRPr="00842013">
              <w:rPr>
                <w:rFonts w:ascii="Segoe UI Semilight" w:hAnsi="Segoe UI Semilight" w:cs="Segoe UI Semilight"/>
                <w:sz w:val="22"/>
                <w:szCs w:val="22"/>
                <w:lang w:val="en-CA"/>
              </w:rPr>
              <w:t>1</w:t>
            </w:r>
          </w:p>
        </w:tc>
        <w:tc>
          <w:tcPr>
            <w:tcW w:w="2977" w:type="dxa"/>
          </w:tcPr>
          <w:p w14:paraId="5F5A50E7" w14:textId="77777777" w:rsidR="00A76D5A" w:rsidRPr="00842013" w:rsidRDefault="00A76D5A" w:rsidP="00842013">
            <w:pPr>
              <w:widowControl w:val="0"/>
              <w:tabs>
                <w:tab w:val="left" w:pos="-1440"/>
              </w:tabs>
              <w:autoSpaceDE w:val="0"/>
              <w:autoSpaceDN w:val="0"/>
              <w:adjustRightInd w:val="0"/>
              <w:spacing w:before="120" w:after="120"/>
              <w:jc w:val="center"/>
              <w:rPr>
                <w:rFonts w:ascii="Segoe UI Semilight" w:hAnsi="Segoe UI Semilight" w:cs="Segoe UI Semilight"/>
                <w:sz w:val="22"/>
                <w:szCs w:val="22"/>
                <w:lang w:val="en-CA"/>
              </w:rPr>
            </w:pPr>
            <w:r w:rsidRPr="00842013">
              <w:rPr>
                <w:rFonts w:ascii="Segoe UI Semilight" w:hAnsi="Segoe UI Semilight" w:cs="Segoe UI Semilight"/>
                <w:sz w:val="22"/>
                <w:szCs w:val="22"/>
                <w:lang w:val="en-CA"/>
              </w:rPr>
              <w:t>0</w:t>
            </w:r>
          </w:p>
        </w:tc>
        <w:tc>
          <w:tcPr>
            <w:tcW w:w="1995" w:type="dxa"/>
          </w:tcPr>
          <w:p w14:paraId="26DE9193" w14:textId="77777777" w:rsidR="00A76D5A" w:rsidRPr="00842013" w:rsidRDefault="00A76D5A" w:rsidP="00842013">
            <w:pPr>
              <w:widowControl w:val="0"/>
              <w:tabs>
                <w:tab w:val="left" w:pos="-1440"/>
              </w:tabs>
              <w:autoSpaceDE w:val="0"/>
              <w:autoSpaceDN w:val="0"/>
              <w:adjustRightInd w:val="0"/>
              <w:spacing w:before="120" w:after="120"/>
              <w:jc w:val="center"/>
              <w:rPr>
                <w:rFonts w:ascii="Segoe UI Semilight" w:hAnsi="Segoe UI Semilight" w:cs="Segoe UI Semilight"/>
                <w:sz w:val="22"/>
                <w:szCs w:val="22"/>
                <w:lang w:val="en-CA"/>
              </w:rPr>
            </w:pPr>
            <w:r w:rsidRPr="00842013">
              <w:rPr>
                <w:rFonts w:ascii="Segoe UI Semilight" w:hAnsi="Segoe UI Semilight" w:cs="Segoe UI Semilight"/>
                <w:sz w:val="22"/>
                <w:szCs w:val="22"/>
                <w:lang w:val="en-CA"/>
              </w:rPr>
              <w:t>1</w:t>
            </w:r>
          </w:p>
        </w:tc>
      </w:tr>
      <w:tr w:rsidR="00D868DD" w:rsidRPr="00842013" w14:paraId="61443E6C" w14:textId="77777777" w:rsidTr="007E54E2">
        <w:trPr>
          <w:cantSplit/>
          <w:tblHeader/>
          <w:jc w:val="center"/>
        </w:trPr>
        <w:tc>
          <w:tcPr>
            <w:tcW w:w="0" w:type="auto"/>
            <w:shd w:val="clear" w:color="auto" w:fill="BAF8FF" w:themeFill="accent3" w:themeFillTint="33"/>
          </w:tcPr>
          <w:p w14:paraId="268D8DDF" w14:textId="77777777" w:rsidR="00A76D5A" w:rsidRPr="00842013" w:rsidRDefault="00A76D5A" w:rsidP="00D868DD">
            <w:pPr>
              <w:widowControl w:val="0"/>
              <w:tabs>
                <w:tab w:val="left" w:pos="-1440"/>
              </w:tabs>
              <w:autoSpaceDE w:val="0"/>
              <w:autoSpaceDN w:val="0"/>
              <w:adjustRightInd w:val="0"/>
              <w:spacing w:before="120" w:after="120"/>
              <w:jc w:val="center"/>
              <w:rPr>
                <w:rFonts w:ascii="Segoe UI Semilight" w:hAnsi="Segoe UI Semilight" w:cs="Segoe UI Semilight"/>
                <w:sz w:val="22"/>
                <w:szCs w:val="22"/>
                <w:lang w:val="en-CA"/>
              </w:rPr>
            </w:pPr>
            <w:r w:rsidRPr="00842013">
              <w:rPr>
                <w:rFonts w:ascii="Segoe UI Semilight" w:hAnsi="Segoe UI Semilight" w:cs="Segoe UI Semilight"/>
                <w:sz w:val="22"/>
                <w:szCs w:val="22"/>
                <w:lang w:val="en-CA"/>
              </w:rPr>
              <w:t>Total</w:t>
            </w:r>
          </w:p>
        </w:tc>
        <w:tc>
          <w:tcPr>
            <w:tcW w:w="0" w:type="auto"/>
            <w:shd w:val="clear" w:color="auto" w:fill="BAF8FF" w:themeFill="accent3" w:themeFillTint="33"/>
            <w:vAlign w:val="center"/>
          </w:tcPr>
          <w:p w14:paraId="1F887CF4" w14:textId="77777777" w:rsidR="00A76D5A" w:rsidRPr="00842013" w:rsidRDefault="00A76D5A" w:rsidP="00842013">
            <w:pPr>
              <w:widowControl w:val="0"/>
              <w:tabs>
                <w:tab w:val="left" w:pos="-1440"/>
              </w:tabs>
              <w:autoSpaceDE w:val="0"/>
              <w:autoSpaceDN w:val="0"/>
              <w:adjustRightInd w:val="0"/>
              <w:spacing w:before="120" w:after="120"/>
              <w:jc w:val="center"/>
              <w:rPr>
                <w:rFonts w:ascii="Segoe UI Semilight" w:hAnsi="Segoe UI Semilight" w:cs="Segoe UI Semilight"/>
                <w:sz w:val="22"/>
                <w:szCs w:val="22"/>
                <w:lang w:val="en-CA"/>
              </w:rPr>
            </w:pPr>
            <w:r w:rsidRPr="00842013">
              <w:rPr>
                <w:rFonts w:ascii="Segoe UI Semilight" w:hAnsi="Segoe UI Semilight" w:cs="Segoe UI Semilight"/>
                <w:sz w:val="22"/>
                <w:szCs w:val="22"/>
                <w:lang w:val="en-CA"/>
              </w:rPr>
              <w:t>6</w:t>
            </w:r>
          </w:p>
        </w:tc>
        <w:tc>
          <w:tcPr>
            <w:tcW w:w="2977" w:type="dxa"/>
            <w:shd w:val="clear" w:color="auto" w:fill="BAF8FF" w:themeFill="accent3" w:themeFillTint="33"/>
            <w:vAlign w:val="center"/>
          </w:tcPr>
          <w:p w14:paraId="522E676B" w14:textId="77777777" w:rsidR="00A76D5A" w:rsidRPr="00842013" w:rsidRDefault="00A76D5A" w:rsidP="00842013">
            <w:pPr>
              <w:widowControl w:val="0"/>
              <w:tabs>
                <w:tab w:val="left" w:pos="-1440"/>
              </w:tabs>
              <w:autoSpaceDE w:val="0"/>
              <w:autoSpaceDN w:val="0"/>
              <w:adjustRightInd w:val="0"/>
              <w:spacing w:before="120" w:after="120"/>
              <w:jc w:val="center"/>
              <w:rPr>
                <w:rFonts w:ascii="Segoe UI Semilight" w:hAnsi="Segoe UI Semilight" w:cs="Segoe UI Semilight"/>
                <w:sz w:val="22"/>
                <w:szCs w:val="22"/>
                <w:lang w:val="en-CA"/>
              </w:rPr>
            </w:pPr>
            <w:r w:rsidRPr="00842013">
              <w:rPr>
                <w:rFonts w:ascii="Segoe UI Semilight" w:hAnsi="Segoe UI Semilight" w:cs="Segoe UI Semilight"/>
                <w:sz w:val="22"/>
                <w:szCs w:val="22"/>
                <w:lang w:val="en-CA"/>
              </w:rPr>
              <w:t>7</w:t>
            </w:r>
          </w:p>
        </w:tc>
        <w:tc>
          <w:tcPr>
            <w:tcW w:w="1995" w:type="dxa"/>
            <w:shd w:val="clear" w:color="auto" w:fill="BAF8FF" w:themeFill="accent3" w:themeFillTint="33"/>
          </w:tcPr>
          <w:p w14:paraId="59425859" w14:textId="77777777" w:rsidR="00A76D5A" w:rsidRPr="00842013" w:rsidRDefault="00A76D5A" w:rsidP="00842013">
            <w:pPr>
              <w:widowControl w:val="0"/>
              <w:tabs>
                <w:tab w:val="left" w:pos="-1440"/>
              </w:tabs>
              <w:autoSpaceDE w:val="0"/>
              <w:autoSpaceDN w:val="0"/>
              <w:adjustRightInd w:val="0"/>
              <w:spacing w:before="120" w:after="120"/>
              <w:jc w:val="center"/>
              <w:rPr>
                <w:rFonts w:ascii="Segoe UI Semilight" w:hAnsi="Segoe UI Semilight" w:cs="Segoe UI Semilight"/>
                <w:sz w:val="22"/>
                <w:szCs w:val="22"/>
                <w:lang w:val="en-CA"/>
              </w:rPr>
            </w:pPr>
            <w:r w:rsidRPr="00842013">
              <w:rPr>
                <w:rFonts w:ascii="Segoe UI Semilight" w:hAnsi="Segoe UI Semilight" w:cs="Segoe UI Semilight"/>
                <w:sz w:val="22"/>
                <w:szCs w:val="22"/>
                <w:lang w:val="en-CA"/>
              </w:rPr>
              <w:t>13</w:t>
            </w:r>
          </w:p>
        </w:tc>
      </w:tr>
    </w:tbl>
    <w:p w14:paraId="121BAB40" w14:textId="77777777" w:rsidR="00A76D5A" w:rsidRPr="00446697" w:rsidRDefault="00A76D5A" w:rsidP="00842013">
      <w:pPr>
        <w:spacing w:before="120" w:after="120"/>
        <w:rPr>
          <w:rFonts w:asciiTheme="minorHAnsi" w:hAnsiTheme="minorHAnsi" w:cstheme="minorHAnsi"/>
          <w:sz w:val="22"/>
          <w:szCs w:val="22"/>
          <w:lang w:val="en-CA"/>
        </w:rPr>
      </w:pPr>
      <w:r w:rsidRPr="00446697">
        <w:rPr>
          <w:rStyle w:val="lev"/>
          <w:rFonts w:cstheme="minorHAnsi"/>
          <w:b w:val="0"/>
          <w:szCs w:val="22"/>
          <w:lang w:val="en-CA"/>
        </w:rPr>
        <w:t>Source</w:t>
      </w:r>
      <w:r w:rsidRPr="00446697">
        <w:rPr>
          <w:rFonts w:asciiTheme="minorHAnsi" w:hAnsiTheme="minorHAnsi" w:cstheme="minorHAnsi"/>
          <w:sz w:val="22"/>
          <w:szCs w:val="22"/>
          <w:lang w:val="en-CA"/>
        </w:rPr>
        <w:t>: PSC Priority Information Management System</w:t>
      </w:r>
    </w:p>
    <w:p w14:paraId="0E271DD6" w14:textId="77777777" w:rsidR="00282ABD" w:rsidRPr="00842013" w:rsidRDefault="00282ABD" w:rsidP="00842013">
      <w:pPr>
        <w:pStyle w:val="Titre1"/>
        <w:spacing w:before="120" w:after="120"/>
        <w:rPr>
          <w:lang w:val="en-CA"/>
        </w:rPr>
      </w:pPr>
      <w:r w:rsidRPr="00842013">
        <w:rPr>
          <w:lang w:val="en-CA"/>
        </w:rPr>
        <w:t>Non-Partisanship in the Public Service</w:t>
      </w:r>
    </w:p>
    <w:p w14:paraId="3E8FFE8C" w14:textId="4854E801"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The HC Designated Political Activities Repre</w:t>
      </w:r>
      <w:r w:rsidR="00B33018" w:rsidRPr="00842013">
        <w:rPr>
          <w:rFonts w:ascii="Segoe UI Semilight" w:hAnsi="Segoe UI Semilight" w:cs="Segoe UI Semilight"/>
          <w:sz w:val="22"/>
          <w:szCs w:val="22"/>
          <w:lang w:val="en-CA" w:eastAsia="en-CA"/>
        </w:rPr>
        <w:t xml:space="preserve">sentative is Candice </w:t>
      </w:r>
      <w:proofErr w:type="spellStart"/>
      <w:r w:rsidR="00B33018" w:rsidRPr="00842013">
        <w:rPr>
          <w:rFonts w:ascii="Segoe UI Semilight" w:hAnsi="Segoe UI Semilight" w:cs="Segoe UI Semilight"/>
          <w:sz w:val="22"/>
          <w:szCs w:val="22"/>
          <w:lang w:val="en-CA" w:eastAsia="en-CA"/>
        </w:rPr>
        <w:t>Lidstone</w:t>
      </w:r>
      <w:proofErr w:type="spellEnd"/>
      <w:r w:rsidR="00B33018" w:rsidRPr="00842013">
        <w:rPr>
          <w:rFonts w:ascii="Segoe UI Semilight" w:hAnsi="Segoe UI Semilight" w:cs="Segoe UI Semilight"/>
          <w:sz w:val="22"/>
          <w:szCs w:val="22"/>
          <w:lang w:val="en-CA" w:eastAsia="en-CA"/>
        </w:rPr>
        <w:t xml:space="preserve">. </w:t>
      </w:r>
    </w:p>
    <w:p w14:paraId="6AEE5D2A" w14:textId="6E8C06E3"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Since April 2015, the PSC has received six requests for permission to be a candidate in an election from HC employees: one federal and five municipal. Currently, one employee received permission and is running in the 2019 federal election; two (2) HC employees are part-tim</w:t>
      </w:r>
      <w:r w:rsidR="00B33018" w:rsidRPr="00842013">
        <w:rPr>
          <w:rFonts w:ascii="Segoe UI Semilight" w:hAnsi="Segoe UI Semilight" w:cs="Segoe UI Semilight"/>
          <w:sz w:val="22"/>
          <w:szCs w:val="22"/>
          <w:lang w:val="en-CA" w:eastAsia="en-CA"/>
        </w:rPr>
        <w:t xml:space="preserve">e elected municipal officials. </w:t>
      </w:r>
    </w:p>
    <w:p w14:paraId="5578FBE2" w14:textId="77777777"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The 2018 Staffing and Non-partisanship Survey results indicate that HC employees' level of awareness regarding their rights and responsibilities for engaging in political activities is 76.5%, which is lower than the 80.1% for the public service as a whole.</w:t>
      </w:r>
    </w:p>
    <w:p w14:paraId="1D63EF09" w14:textId="7D485A04" w:rsidR="00282ABD" w:rsidRPr="00842013" w:rsidRDefault="00282ABD" w:rsidP="00842013">
      <w:pPr>
        <w:pStyle w:val="Titre1"/>
        <w:spacing w:before="120" w:after="120"/>
        <w:rPr>
          <w:lang w:val="en-CA"/>
        </w:rPr>
      </w:pPr>
      <w:r w:rsidRPr="00842013">
        <w:rPr>
          <w:lang w:val="en-CA"/>
        </w:rPr>
        <w:t>P</w:t>
      </w:r>
      <w:r w:rsidR="00AB5620" w:rsidRPr="00842013">
        <w:rPr>
          <w:lang w:val="en-CA"/>
        </w:rPr>
        <w:t xml:space="preserve">ublic </w:t>
      </w:r>
      <w:r w:rsidRPr="00842013">
        <w:rPr>
          <w:lang w:val="en-CA"/>
        </w:rPr>
        <w:t>S</w:t>
      </w:r>
      <w:r w:rsidR="00AB5620" w:rsidRPr="00842013">
        <w:rPr>
          <w:lang w:val="en-CA"/>
        </w:rPr>
        <w:t xml:space="preserve">ervice </w:t>
      </w:r>
      <w:r w:rsidRPr="00842013">
        <w:rPr>
          <w:lang w:val="en-CA"/>
        </w:rPr>
        <w:t>C</w:t>
      </w:r>
      <w:r w:rsidR="00AB5620" w:rsidRPr="00842013">
        <w:rPr>
          <w:lang w:val="en-CA"/>
        </w:rPr>
        <w:t>ommission</w:t>
      </w:r>
      <w:r w:rsidRPr="00842013">
        <w:rPr>
          <w:lang w:val="en-CA"/>
        </w:rPr>
        <w:t xml:space="preserve"> Initiatives</w:t>
      </w:r>
    </w:p>
    <w:p w14:paraId="7E61DC34" w14:textId="1BBEA10B"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The organization participated in the following PSC</w:t>
      </w:r>
      <w:r w:rsidR="00B33018" w:rsidRPr="00842013">
        <w:rPr>
          <w:rFonts w:ascii="Segoe UI Semilight" w:hAnsi="Segoe UI Semilight" w:cs="Segoe UI Semilight"/>
          <w:sz w:val="22"/>
          <w:szCs w:val="22"/>
          <w:lang w:val="en-CA" w:eastAsia="en-CA"/>
        </w:rPr>
        <w:t>-led initiative:</w:t>
      </w:r>
    </w:p>
    <w:p w14:paraId="45817F11" w14:textId="77777777" w:rsidR="00994800" w:rsidRDefault="00282ABD" w:rsidP="00842013">
      <w:pPr>
        <w:pStyle w:val="Sansinterligne"/>
        <w:numPr>
          <w:ilvl w:val="0"/>
          <w:numId w:val="16"/>
        </w:numPr>
        <w:spacing w:before="120" w:after="120"/>
        <w:rPr>
          <w:rFonts w:ascii="Segoe UI Semilight" w:hAnsi="Segoe UI Semilight" w:cs="Segoe UI Semilight"/>
          <w:sz w:val="22"/>
          <w:szCs w:val="22"/>
          <w:lang w:val="en-CA" w:eastAsia="en-CA"/>
        </w:rPr>
        <w:sectPr w:rsidR="00994800" w:rsidSect="00934B32">
          <w:pgSz w:w="12240" w:h="15840"/>
          <w:pgMar w:top="1440" w:right="1080" w:bottom="1440" w:left="1080" w:header="709" w:footer="284" w:gutter="0"/>
          <w:cols w:space="708"/>
          <w:titlePg/>
          <w:docGrid w:linePitch="360"/>
        </w:sectPr>
      </w:pPr>
      <w:r w:rsidRPr="00842013">
        <w:rPr>
          <w:rFonts w:ascii="Segoe UI Semilight" w:hAnsi="Segoe UI Semilight" w:cs="Segoe UI Semilight"/>
          <w:sz w:val="22"/>
          <w:szCs w:val="22"/>
          <w:lang w:val="en-CA" w:eastAsia="en-CA"/>
        </w:rPr>
        <w:t>Position-Specific Assessment for Oral Proficiency at the B Level.</w:t>
      </w:r>
    </w:p>
    <w:p w14:paraId="2A315656" w14:textId="77777777" w:rsidR="00282ABD" w:rsidRPr="00842013" w:rsidRDefault="00282ABD" w:rsidP="00842013">
      <w:pPr>
        <w:pStyle w:val="Titre1"/>
        <w:spacing w:before="120" w:after="120"/>
        <w:rPr>
          <w:lang w:val="en-CA"/>
        </w:rPr>
      </w:pPr>
      <w:r w:rsidRPr="00842013">
        <w:rPr>
          <w:lang w:val="en-CA"/>
        </w:rPr>
        <w:lastRenderedPageBreak/>
        <w:t>Staffing Support</w:t>
      </w:r>
    </w:p>
    <w:p w14:paraId="41C9DBC3" w14:textId="684AD3E5" w:rsidR="00282ABD" w:rsidRPr="00842013" w:rsidRDefault="00113EFA" w:rsidP="00842013">
      <w:pPr>
        <w:pStyle w:val="Titre2"/>
        <w:spacing w:before="120" w:after="120"/>
        <w:rPr>
          <w:u w:val="single"/>
          <w:lang w:val="en-CA"/>
        </w:rPr>
      </w:pPr>
      <w:r>
        <w:rPr>
          <w:lang w:val="en-CA"/>
        </w:rPr>
        <w:t>Public Service</w:t>
      </w:r>
      <w:r w:rsidR="00282ABD" w:rsidRPr="00842013">
        <w:rPr>
          <w:lang w:val="en-CA"/>
        </w:rPr>
        <w:t xml:space="preserve"> Commission Representatives and Organizational Contacts</w:t>
      </w:r>
    </w:p>
    <w:p w14:paraId="76FB9653" w14:textId="37C3B2B9"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 xml:space="preserve">The Staffing Support Advisor assigned to this organization is Yannick Fortin. The Head of HR is Daryl Gauthier, Director General, Human Resources Services Directorate and the primary organizational contact is Tammy </w:t>
      </w:r>
      <w:proofErr w:type="spellStart"/>
      <w:r w:rsidRPr="00842013">
        <w:rPr>
          <w:rFonts w:ascii="Segoe UI Semilight" w:hAnsi="Segoe UI Semilight" w:cs="Segoe UI Semilight"/>
          <w:sz w:val="22"/>
          <w:szCs w:val="22"/>
          <w:lang w:val="en-CA" w:eastAsia="en-CA"/>
        </w:rPr>
        <w:t>Kardoes</w:t>
      </w:r>
      <w:proofErr w:type="spellEnd"/>
      <w:r w:rsidRPr="00842013">
        <w:rPr>
          <w:rFonts w:ascii="Segoe UI Semilight" w:hAnsi="Segoe UI Semilight" w:cs="Segoe UI Semilight"/>
          <w:sz w:val="22"/>
          <w:szCs w:val="22"/>
          <w:lang w:val="en-CA" w:eastAsia="en-CA"/>
        </w:rPr>
        <w:t>, Director, Staffing an</w:t>
      </w:r>
      <w:r w:rsidR="00B33018" w:rsidRPr="00842013">
        <w:rPr>
          <w:rFonts w:ascii="Segoe UI Semilight" w:hAnsi="Segoe UI Semilight" w:cs="Segoe UI Semilight"/>
          <w:sz w:val="22"/>
          <w:szCs w:val="22"/>
          <w:lang w:val="en-CA" w:eastAsia="en-CA"/>
        </w:rPr>
        <w:t>d Classification Policy Center.</w:t>
      </w:r>
    </w:p>
    <w:p w14:paraId="2CC2F579" w14:textId="7B5A83B6" w:rsidR="00EB1B98"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HC and the PSC work in close collaboration with regards to staffing policies, practices and activities. The organization is very active and volunteers regularly for PSC led initiatives and consultation, such as the study on Performance Reviews in the Appointment Process.</w:t>
      </w:r>
      <w:r w:rsidR="00EB1B98" w:rsidRPr="00842013">
        <w:rPr>
          <w:rFonts w:ascii="Segoe UI Semilight" w:hAnsi="Segoe UI Semilight" w:cs="Segoe UI Semilight"/>
          <w:sz w:val="22"/>
          <w:szCs w:val="22"/>
          <w:lang w:val="en-CA" w:eastAsia="en-CA"/>
        </w:rPr>
        <w:br w:type="page"/>
      </w:r>
    </w:p>
    <w:p w14:paraId="7CEED5F8" w14:textId="69AC22D2" w:rsidR="00282ABD" w:rsidRPr="00842013" w:rsidRDefault="00B33018" w:rsidP="00842013">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Style w:val="lev"/>
          <w:rFonts w:eastAsiaTheme="minorHAnsi"/>
          <w:lang w:val="en-CA"/>
        </w:rPr>
      </w:pPr>
      <w:r w:rsidRPr="00842013">
        <w:rPr>
          <w:rStyle w:val="lev"/>
          <w:rFonts w:eastAsiaTheme="minorHAnsi"/>
          <w:lang w:val="en-CA"/>
        </w:rPr>
        <w:lastRenderedPageBreak/>
        <w:t>PREPARED BY:</w:t>
      </w:r>
    </w:p>
    <w:p w14:paraId="71937D82" w14:textId="77777777"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Yannick Fortin</w:t>
      </w:r>
    </w:p>
    <w:p w14:paraId="4242CC27" w14:textId="77777777" w:rsidR="00282ABD" w:rsidRPr="00842013" w:rsidRDefault="00282ABD" w:rsidP="00842013">
      <w:pPr>
        <w:pStyle w:val="Sansinterligne"/>
        <w:spacing w:before="120" w:after="120"/>
        <w:rPr>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Staffing Support Advisor</w:t>
      </w:r>
    </w:p>
    <w:p w14:paraId="57F38B78" w14:textId="0E328AAB" w:rsidR="00282ABD" w:rsidRPr="00842013" w:rsidRDefault="00282ABD" w:rsidP="00676CEB">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Segoe UI Semilight" w:hAnsi="Segoe UI Semilight" w:cs="Segoe UI Semilight"/>
          <w:sz w:val="22"/>
          <w:szCs w:val="22"/>
          <w:lang w:val="en-CA" w:eastAsia="en-CA"/>
        </w:rPr>
      </w:pPr>
      <w:r w:rsidRPr="00842013">
        <w:rPr>
          <w:rFonts w:ascii="Arial" w:hAnsi="Arial" w:cs="Arial"/>
          <w:sz w:val="22"/>
          <w:szCs w:val="22"/>
          <w:lang w:val="en-CA"/>
        </w:rPr>
        <w:br/>
      </w:r>
    </w:p>
    <w:p w14:paraId="19B1D8E7" w14:textId="40DA0209" w:rsidR="00282ABD" w:rsidRPr="002C0B94" w:rsidRDefault="005715C9" w:rsidP="00842013">
      <w:pPr>
        <w:pStyle w:val="Sansinterligne"/>
        <w:spacing w:before="120" w:after="120"/>
        <w:rPr>
          <w:rStyle w:val="Lienhypertexte"/>
          <w:rFonts w:ascii="Segoe UI Semilight" w:hAnsi="Segoe UI Semilight" w:cs="Segoe UI Semilight"/>
          <w:sz w:val="22"/>
          <w:szCs w:val="22"/>
          <w:lang w:val="en-CA" w:eastAsia="en-CA"/>
        </w:rPr>
      </w:pPr>
      <w:r w:rsidRPr="00842013">
        <w:rPr>
          <w:rFonts w:ascii="Segoe UI Semilight" w:hAnsi="Segoe UI Semilight" w:cs="Segoe UI Semilight"/>
          <w:sz w:val="22"/>
          <w:szCs w:val="22"/>
          <w:lang w:val="en-CA" w:eastAsia="en-CA"/>
        </w:rPr>
        <w:t>Annexe</w:t>
      </w:r>
      <w:r w:rsidR="00E366F8">
        <w:rPr>
          <w:rFonts w:ascii="Segoe UI Semilight" w:hAnsi="Segoe UI Semilight" w:cs="Segoe UI Semilight"/>
          <w:sz w:val="22"/>
          <w:szCs w:val="22"/>
          <w:lang w:val="en-CA" w:eastAsia="en-CA"/>
        </w:rPr>
        <w:t>s</w:t>
      </w:r>
      <w:r w:rsidR="00B33018" w:rsidRPr="00842013">
        <w:rPr>
          <w:rFonts w:ascii="Segoe UI Semilight" w:hAnsi="Segoe UI Semilight" w:cs="Segoe UI Semilight"/>
          <w:sz w:val="22"/>
          <w:szCs w:val="22"/>
          <w:lang w:val="en-CA" w:eastAsia="en-CA"/>
        </w:rPr>
        <w:t>:</w:t>
      </w:r>
      <w:r w:rsidR="002C0B94">
        <w:rPr>
          <w:rStyle w:val="Lienhypertexte"/>
          <w:rFonts w:asciiTheme="minorHAnsi" w:hAnsiTheme="minorHAnsi" w:cstheme="minorHAnsi"/>
          <w:sz w:val="22"/>
          <w:szCs w:val="22"/>
          <w:lang w:val="en-CA"/>
        </w:rPr>
        <w:fldChar w:fldCharType="begin"/>
      </w:r>
      <w:r w:rsidR="002C0B94">
        <w:rPr>
          <w:rStyle w:val="Lienhypertexte"/>
          <w:rFonts w:asciiTheme="minorHAnsi" w:hAnsiTheme="minorHAnsi" w:cstheme="minorHAnsi"/>
          <w:sz w:val="22"/>
          <w:szCs w:val="22"/>
          <w:lang w:val="en-CA"/>
        </w:rPr>
        <w:instrText>HYPERLINK  \l "AnnexA"</w:instrText>
      </w:r>
      <w:r w:rsidR="002C0B94">
        <w:rPr>
          <w:rStyle w:val="Lienhypertexte"/>
          <w:rFonts w:asciiTheme="minorHAnsi" w:hAnsiTheme="minorHAnsi" w:cstheme="minorHAnsi"/>
          <w:sz w:val="22"/>
          <w:szCs w:val="22"/>
          <w:lang w:val="en-CA"/>
        </w:rPr>
        <w:fldChar w:fldCharType="separate"/>
      </w:r>
    </w:p>
    <w:p w14:paraId="45976DFA" w14:textId="6668240E" w:rsidR="002C0B94" w:rsidRPr="002C0B94" w:rsidRDefault="002C0B94" w:rsidP="002C0B94">
      <w:pPr>
        <w:numPr>
          <w:ilvl w:val="0"/>
          <w:numId w:val="3"/>
        </w:numPr>
        <w:rPr>
          <w:rStyle w:val="Lienhypertexte"/>
          <w:rFonts w:asciiTheme="minorHAnsi" w:hAnsiTheme="minorHAnsi" w:cstheme="minorHAnsi"/>
          <w:bCs/>
          <w:sz w:val="22"/>
          <w:szCs w:val="22"/>
          <w:lang w:val="en-CA"/>
        </w:rPr>
      </w:pPr>
      <w:r w:rsidRPr="002C0B94">
        <w:rPr>
          <w:rStyle w:val="Lienhypertexte"/>
          <w:rFonts w:asciiTheme="minorHAnsi" w:hAnsiTheme="minorHAnsi" w:cstheme="minorHAnsi"/>
          <w:sz w:val="22"/>
          <w:szCs w:val="22"/>
          <w:lang w:val="en-CA"/>
        </w:rPr>
        <w:t>Annex A – A New Direction in Staffing, highlights for deputy heads Placemat</w:t>
      </w:r>
    </w:p>
    <w:p w14:paraId="5D62DC3F" w14:textId="127A37F8" w:rsidR="002C0B94" w:rsidRPr="00744827" w:rsidRDefault="002C0B94" w:rsidP="002C0B94">
      <w:pPr>
        <w:numPr>
          <w:ilvl w:val="0"/>
          <w:numId w:val="3"/>
        </w:numPr>
        <w:rPr>
          <w:rStyle w:val="Lienhypertexte"/>
          <w:rFonts w:asciiTheme="minorHAnsi" w:hAnsiTheme="minorHAnsi" w:cstheme="minorHAnsi"/>
          <w:bCs/>
          <w:strike/>
          <w:sz w:val="22"/>
          <w:szCs w:val="22"/>
          <w:lang w:val="en-CA"/>
        </w:rPr>
      </w:pPr>
      <w:r>
        <w:rPr>
          <w:rStyle w:val="Lienhypertexte"/>
          <w:rFonts w:asciiTheme="minorHAnsi" w:hAnsiTheme="minorHAnsi" w:cstheme="minorHAnsi"/>
          <w:sz w:val="22"/>
          <w:szCs w:val="22"/>
          <w:lang w:val="en-CA"/>
        </w:rPr>
        <w:fldChar w:fldCharType="end"/>
      </w:r>
      <w:r>
        <w:rPr>
          <w:rStyle w:val="Lienhypertexte"/>
          <w:rFonts w:asciiTheme="minorHAnsi" w:hAnsiTheme="minorHAnsi" w:cstheme="minorHAnsi"/>
          <w:sz w:val="22"/>
          <w:szCs w:val="22"/>
          <w:lang w:val="en-CA"/>
        </w:rPr>
        <w:fldChar w:fldCharType="begin"/>
      </w:r>
      <w:r>
        <w:rPr>
          <w:rStyle w:val="Lienhypertexte"/>
          <w:rFonts w:asciiTheme="minorHAnsi" w:hAnsiTheme="minorHAnsi" w:cstheme="minorHAnsi"/>
          <w:sz w:val="22"/>
          <w:szCs w:val="22"/>
          <w:lang w:val="en-CA"/>
        </w:rPr>
        <w:instrText>HYPERLINK  \l "AnnexB"</w:instrText>
      </w:r>
      <w:r>
        <w:rPr>
          <w:rStyle w:val="Lienhypertexte"/>
          <w:rFonts w:asciiTheme="minorHAnsi" w:hAnsiTheme="minorHAnsi" w:cstheme="minorHAnsi"/>
          <w:sz w:val="22"/>
          <w:szCs w:val="22"/>
          <w:lang w:val="en-CA"/>
        </w:rPr>
        <w:fldChar w:fldCharType="separate"/>
      </w:r>
      <w:r w:rsidRPr="00744827">
        <w:rPr>
          <w:rStyle w:val="Lienhypertexte"/>
          <w:rFonts w:asciiTheme="minorHAnsi" w:hAnsiTheme="minorHAnsi" w:cstheme="minorHAnsi"/>
          <w:sz w:val="22"/>
          <w:szCs w:val="22"/>
          <w:lang w:val="en-CA"/>
        </w:rPr>
        <w:t>Annex B - Data on Population and Staffing Activities</w:t>
      </w:r>
    </w:p>
    <w:p w14:paraId="58E0DC45" w14:textId="34A84137" w:rsidR="002C0B94" w:rsidRPr="00F162C5" w:rsidRDefault="002C0B94" w:rsidP="002C0B94">
      <w:pPr>
        <w:pStyle w:val="Titre3"/>
        <w:jc w:val="right"/>
        <w:rPr>
          <w:lang w:val="en-CA"/>
        </w:rPr>
      </w:pPr>
      <w:r w:rsidRPr="00744827">
        <w:rPr>
          <w:rStyle w:val="Lienhypertexte"/>
          <w:lang w:val="en-CA"/>
        </w:rPr>
        <w:br w:type="page"/>
      </w:r>
      <w:r>
        <w:rPr>
          <w:rStyle w:val="Lienhypertexte"/>
          <w:rFonts w:asciiTheme="minorHAnsi" w:eastAsia="Times New Roman" w:hAnsiTheme="minorHAnsi" w:cstheme="minorHAnsi"/>
          <w:sz w:val="22"/>
          <w:szCs w:val="22"/>
          <w:lang w:val="en-CA"/>
        </w:rPr>
        <w:lastRenderedPageBreak/>
        <w:fldChar w:fldCharType="end"/>
      </w:r>
      <w:bookmarkStart w:id="0" w:name="AnnexA"/>
      <w:r>
        <w:rPr>
          <w:lang w:val="en-CA"/>
        </w:rPr>
        <w:t>Annex A</w:t>
      </w:r>
      <w:bookmarkEnd w:id="0"/>
    </w:p>
    <w:p w14:paraId="456F32DC" w14:textId="77777777" w:rsidR="002C0B94" w:rsidRPr="00374A6E" w:rsidRDefault="002C0B94" w:rsidP="002C0B94">
      <w:pPr>
        <w:keepNext/>
        <w:keepLines/>
        <w:spacing w:before="120" w:after="120" w:line="259" w:lineRule="auto"/>
        <w:jc w:val="center"/>
        <w:outlineLvl w:val="1"/>
        <w:rPr>
          <w:rFonts w:ascii="Segoe UI" w:eastAsiaTheme="majorEastAsia" w:hAnsi="Segoe UI" w:cs="Segoe UI"/>
          <w:b/>
          <w:color w:val="5B315E" w:themeColor="accent2"/>
          <w:sz w:val="32"/>
          <w:szCs w:val="32"/>
          <w:lang w:val="en-CA"/>
        </w:rPr>
      </w:pPr>
      <w:r w:rsidRPr="00374A6E">
        <w:rPr>
          <w:rFonts w:ascii="Segoe UI" w:eastAsiaTheme="majorEastAsia" w:hAnsi="Segoe UI" w:cs="Segoe UI"/>
          <w:b/>
          <w:color w:val="5B315E" w:themeColor="accent2"/>
          <w:sz w:val="32"/>
          <w:szCs w:val="32"/>
          <w:lang w:val="en-CA"/>
        </w:rPr>
        <w:t>A New direction in Staffing – A merit-based system that is effective, efficient and fair</w:t>
      </w:r>
    </w:p>
    <w:p w14:paraId="55FEFC0F" w14:textId="77777777" w:rsidR="002C0B94" w:rsidRPr="00374A6E" w:rsidRDefault="002C0B94" w:rsidP="002C0B94">
      <w:pPr>
        <w:pStyle w:val="Titre3"/>
        <w:spacing w:after="120"/>
        <w:rPr>
          <w:lang w:val="en-CA"/>
        </w:rPr>
      </w:pPr>
      <w:r w:rsidRPr="00374A6E">
        <w:rPr>
          <w:lang w:val="en-CA"/>
        </w:rPr>
        <w:t>Appointment Policy</w:t>
      </w:r>
    </w:p>
    <w:p w14:paraId="3218B8FF" w14:textId="77777777" w:rsidR="002C0B94" w:rsidRPr="00374A6E" w:rsidRDefault="002C0B94" w:rsidP="002C0B94">
      <w:pPr>
        <w:keepLines/>
        <w:tabs>
          <w:tab w:val="center" w:pos="4680"/>
          <w:tab w:val="right" w:pos="9360"/>
        </w:tabs>
        <w:rPr>
          <w:rFonts w:asciiTheme="minorHAnsi" w:eastAsiaTheme="minorHAnsi" w:hAnsiTheme="minorHAnsi" w:cstheme="minorHAnsi"/>
          <w:noProof/>
          <w:sz w:val="22"/>
          <w:szCs w:val="22"/>
          <w:lang w:val="en-CA" w:eastAsia="en-CA"/>
        </w:rPr>
      </w:pPr>
      <w:r w:rsidRPr="00374A6E">
        <w:rPr>
          <w:rStyle w:val="lev"/>
          <w:rFonts w:eastAsiaTheme="minorHAnsi" w:cstheme="minorHAnsi"/>
          <w:szCs w:val="22"/>
          <w:lang w:val="en-CA"/>
        </w:rPr>
        <w:t>New focus on core requirements</w:t>
      </w:r>
      <w:r w:rsidRPr="00374A6E">
        <w:rPr>
          <w:rFonts w:asciiTheme="minorHAnsi" w:eastAsiaTheme="minorHAnsi" w:hAnsiTheme="minorHAnsi" w:cstheme="minorHAnsi"/>
          <w:noProof/>
          <w:sz w:val="22"/>
          <w:szCs w:val="22"/>
          <w:lang w:val="en-CA" w:eastAsia="en-CA"/>
        </w:rPr>
        <w:t xml:space="preserve"> to provide sub-delegated persons greater discretion in making an appointment</w:t>
      </w:r>
    </w:p>
    <w:p w14:paraId="797DD78A" w14:textId="77777777" w:rsidR="002C0B94" w:rsidRPr="00374A6E" w:rsidRDefault="002C0B94" w:rsidP="002C0B94">
      <w:pPr>
        <w:keepLines/>
        <w:numPr>
          <w:ilvl w:val="0"/>
          <w:numId w:val="19"/>
        </w:numPr>
        <w:tabs>
          <w:tab w:val="center" w:pos="4680"/>
          <w:tab w:val="right" w:pos="9360"/>
        </w:tabs>
        <w:rPr>
          <w:rFonts w:asciiTheme="minorHAnsi" w:eastAsiaTheme="minorHAnsi" w:hAnsiTheme="minorHAnsi" w:cstheme="minorHAnsi"/>
          <w:sz w:val="22"/>
          <w:szCs w:val="22"/>
          <w:lang w:val="en-CA"/>
        </w:rPr>
      </w:pPr>
      <w:r w:rsidRPr="00374A6E">
        <w:rPr>
          <w:rStyle w:val="lev"/>
          <w:rFonts w:eastAsiaTheme="minorHAnsi" w:cstheme="minorHAnsi"/>
          <w:szCs w:val="22"/>
          <w:lang w:val="en-CA"/>
        </w:rPr>
        <w:t>One Appointment Policy</w:t>
      </w:r>
      <w:r w:rsidRPr="00374A6E">
        <w:rPr>
          <w:rFonts w:asciiTheme="minorHAnsi" w:eastAsiaTheme="minorHAnsi" w:hAnsiTheme="minorHAnsi" w:cstheme="minorHAnsi"/>
          <w:sz w:val="22"/>
          <w:szCs w:val="22"/>
          <w:lang w:val="en-CA"/>
        </w:rPr>
        <w:t>, no duplication with legal requirements</w:t>
      </w:r>
    </w:p>
    <w:p w14:paraId="6BC2BF38" w14:textId="77777777" w:rsidR="002C0B94" w:rsidRPr="00374A6E" w:rsidRDefault="002C0B94" w:rsidP="002C0B94">
      <w:pPr>
        <w:keepLines/>
        <w:numPr>
          <w:ilvl w:val="0"/>
          <w:numId w:val="19"/>
        </w:numPr>
        <w:tabs>
          <w:tab w:val="center" w:pos="4680"/>
          <w:tab w:val="right" w:pos="9360"/>
        </w:tabs>
        <w:rPr>
          <w:rFonts w:asciiTheme="minorHAnsi" w:eastAsiaTheme="minorHAnsi" w:hAnsiTheme="minorHAnsi" w:cstheme="minorHAnsi"/>
          <w:sz w:val="22"/>
          <w:szCs w:val="22"/>
          <w:lang w:val="en-CA"/>
        </w:rPr>
      </w:pPr>
      <w:r w:rsidRPr="00374A6E">
        <w:rPr>
          <w:rStyle w:val="lev"/>
          <w:rFonts w:eastAsiaTheme="minorHAnsi" w:cstheme="minorHAnsi"/>
          <w:szCs w:val="22"/>
          <w:lang w:val="en-CA"/>
        </w:rPr>
        <w:t>Broader focus on values-based system</w:t>
      </w:r>
      <w:r w:rsidRPr="00374A6E">
        <w:rPr>
          <w:rFonts w:asciiTheme="minorHAnsi" w:eastAsiaTheme="minorHAnsi" w:hAnsiTheme="minorHAnsi" w:cstheme="minorBidi"/>
          <w:bCs/>
          <w:sz w:val="22"/>
          <w:szCs w:val="22"/>
          <w:lang w:val="en-CA"/>
        </w:rPr>
        <w:t>,</w:t>
      </w:r>
      <w:r w:rsidRPr="00374A6E">
        <w:rPr>
          <w:rFonts w:asciiTheme="minorHAnsi" w:eastAsiaTheme="minorHAnsi" w:hAnsiTheme="minorHAnsi" w:cstheme="minorHAnsi"/>
          <w:sz w:val="22"/>
          <w:szCs w:val="22"/>
          <w:lang w:val="en-CA"/>
        </w:rPr>
        <w:t xml:space="preserve"> away from rules-based system</w:t>
      </w:r>
    </w:p>
    <w:p w14:paraId="292EAB60" w14:textId="77777777" w:rsidR="002C0B94" w:rsidRPr="00374A6E" w:rsidRDefault="002C0B94" w:rsidP="002C0B94">
      <w:pPr>
        <w:keepLines/>
        <w:numPr>
          <w:ilvl w:val="0"/>
          <w:numId w:val="19"/>
        </w:numPr>
        <w:tabs>
          <w:tab w:val="center" w:pos="4680"/>
          <w:tab w:val="right" w:pos="9360"/>
        </w:tabs>
        <w:rPr>
          <w:rFonts w:asciiTheme="minorHAnsi" w:eastAsiaTheme="minorHAnsi" w:hAnsiTheme="minorHAnsi" w:cstheme="minorHAnsi"/>
          <w:sz w:val="22"/>
          <w:szCs w:val="22"/>
          <w:lang w:val="en-CA"/>
        </w:rPr>
      </w:pPr>
      <w:r w:rsidRPr="00374A6E">
        <w:rPr>
          <w:rFonts w:asciiTheme="minorHAnsi" w:eastAsiaTheme="minorHAnsi" w:hAnsiTheme="minorHAnsi" w:cstheme="minorHAnsi"/>
          <w:sz w:val="22"/>
          <w:szCs w:val="22"/>
          <w:lang w:val="en-CA"/>
        </w:rPr>
        <w:t xml:space="preserve">Appointments Policy supported by </w:t>
      </w:r>
      <w:r w:rsidRPr="00374A6E">
        <w:rPr>
          <w:rStyle w:val="lev"/>
          <w:rFonts w:eastAsiaTheme="minorHAnsi" w:cstheme="minorHAnsi"/>
          <w:szCs w:val="22"/>
          <w:lang w:val="en-CA"/>
        </w:rPr>
        <w:t>streamlined guidance:</w:t>
      </w:r>
    </w:p>
    <w:p w14:paraId="7E71483B" w14:textId="77777777" w:rsidR="002C0B94" w:rsidRPr="00374A6E" w:rsidRDefault="002C0B94" w:rsidP="002C0B94">
      <w:pPr>
        <w:keepLines/>
        <w:numPr>
          <w:ilvl w:val="1"/>
          <w:numId w:val="26"/>
        </w:numPr>
        <w:tabs>
          <w:tab w:val="center" w:pos="4680"/>
          <w:tab w:val="right" w:pos="9360"/>
        </w:tabs>
        <w:rPr>
          <w:rFonts w:asciiTheme="minorHAnsi" w:eastAsiaTheme="minorHAnsi" w:hAnsiTheme="minorHAnsi" w:cstheme="minorHAnsi"/>
          <w:sz w:val="22"/>
          <w:szCs w:val="22"/>
          <w:lang w:val="en-CA"/>
        </w:rPr>
      </w:pPr>
      <w:r w:rsidRPr="00374A6E">
        <w:rPr>
          <w:rFonts w:asciiTheme="minorHAnsi" w:eastAsiaTheme="minorHAnsi" w:hAnsiTheme="minorHAnsi" w:cstheme="minorHAnsi"/>
          <w:sz w:val="22"/>
          <w:szCs w:val="22"/>
          <w:lang w:val="en-CA"/>
        </w:rPr>
        <w:t>A roadmap to the requirements in legislation, regulations and policy</w:t>
      </w:r>
    </w:p>
    <w:p w14:paraId="5AECEEC7" w14:textId="77777777" w:rsidR="002C0B94" w:rsidRPr="00374A6E" w:rsidRDefault="002C0B94" w:rsidP="002C0B94">
      <w:pPr>
        <w:keepLines/>
        <w:numPr>
          <w:ilvl w:val="1"/>
          <w:numId w:val="26"/>
        </w:numPr>
        <w:tabs>
          <w:tab w:val="center" w:pos="4680"/>
          <w:tab w:val="right" w:pos="9360"/>
        </w:tabs>
        <w:rPr>
          <w:rFonts w:asciiTheme="minorHAnsi" w:eastAsiaTheme="minorHAnsi" w:hAnsiTheme="minorHAnsi" w:cstheme="minorHAnsi"/>
          <w:sz w:val="22"/>
          <w:szCs w:val="22"/>
          <w:lang w:val="en-CA"/>
        </w:rPr>
      </w:pPr>
      <w:r w:rsidRPr="00374A6E">
        <w:rPr>
          <w:rFonts w:asciiTheme="minorHAnsi" w:eastAsiaTheme="minorHAnsi" w:hAnsiTheme="minorHAnsi" w:cstheme="minorHAnsi"/>
          <w:sz w:val="22"/>
          <w:szCs w:val="22"/>
          <w:lang w:val="en-CA"/>
        </w:rPr>
        <w:t>Options and considerations for decision-making where there is discretion</w:t>
      </w:r>
    </w:p>
    <w:p w14:paraId="4E911F22" w14:textId="77777777" w:rsidR="002C0B94" w:rsidRPr="00374A6E" w:rsidRDefault="002C0B94" w:rsidP="002C0B94">
      <w:pPr>
        <w:keepLines/>
        <w:numPr>
          <w:ilvl w:val="0"/>
          <w:numId w:val="20"/>
        </w:numPr>
        <w:tabs>
          <w:tab w:val="center" w:pos="4680"/>
          <w:tab w:val="right" w:pos="9360"/>
        </w:tabs>
        <w:rPr>
          <w:rFonts w:asciiTheme="minorHAnsi" w:eastAsiaTheme="minorHAnsi" w:hAnsiTheme="minorHAnsi" w:cstheme="minorHAnsi"/>
          <w:sz w:val="22"/>
          <w:szCs w:val="22"/>
          <w:lang w:val="en-CA"/>
        </w:rPr>
      </w:pPr>
      <w:r w:rsidRPr="00374A6E">
        <w:rPr>
          <w:rStyle w:val="lev"/>
          <w:rFonts w:eastAsiaTheme="minorHAnsi" w:cstheme="minorHAnsi"/>
          <w:szCs w:val="22"/>
          <w:lang w:val="en-CA"/>
        </w:rPr>
        <w:t>Clear expectations</w:t>
      </w:r>
      <w:r w:rsidRPr="00374A6E">
        <w:rPr>
          <w:rFonts w:asciiTheme="minorHAnsi" w:eastAsiaTheme="minorHAnsi" w:hAnsiTheme="minorHAnsi" w:cstheme="minorHAnsi"/>
          <w:sz w:val="22"/>
          <w:szCs w:val="22"/>
          <w:lang w:val="en-CA"/>
        </w:rPr>
        <w:t xml:space="preserve"> for priority entitlements</w:t>
      </w:r>
    </w:p>
    <w:p w14:paraId="30644933" w14:textId="77777777" w:rsidR="002C0B94" w:rsidRPr="00374A6E" w:rsidRDefault="002C0B94" w:rsidP="002C0B94">
      <w:pPr>
        <w:keepLines/>
        <w:numPr>
          <w:ilvl w:val="0"/>
          <w:numId w:val="20"/>
        </w:numPr>
        <w:tabs>
          <w:tab w:val="center" w:pos="4680"/>
          <w:tab w:val="right" w:pos="9360"/>
        </w:tabs>
        <w:rPr>
          <w:rFonts w:asciiTheme="minorHAnsi" w:eastAsiaTheme="minorHAnsi" w:hAnsiTheme="minorHAnsi" w:cstheme="minorHAnsi"/>
          <w:sz w:val="22"/>
          <w:szCs w:val="22"/>
          <w:lang w:val="en-CA"/>
        </w:rPr>
      </w:pPr>
      <w:r w:rsidRPr="00374A6E">
        <w:rPr>
          <w:rFonts w:asciiTheme="minorHAnsi" w:eastAsiaTheme="minorHAnsi" w:hAnsiTheme="minorHAnsi" w:cstheme="minorHAnsi"/>
          <w:sz w:val="22"/>
          <w:szCs w:val="22"/>
          <w:lang w:val="en-CA"/>
        </w:rPr>
        <w:t>No restrictions to assessment methods for EX appointments</w:t>
      </w:r>
    </w:p>
    <w:p w14:paraId="1258E7F2" w14:textId="77777777" w:rsidR="002C0B94" w:rsidRPr="00374A6E" w:rsidRDefault="002C0B94" w:rsidP="002C0B94">
      <w:pPr>
        <w:keepLines/>
        <w:numPr>
          <w:ilvl w:val="0"/>
          <w:numId w:val="20"/>
        </w:numPr>
        <w:tabs>
          <w:tab w:val="center" w:pos="4680"/>
          <w:tab w:val="right" w:pos="9360"/>
        </w:tabs>
        <w:spacing w:after="240"/>
        <w:ind w:left="714" w:hanging="357"/>
        <w:rPr>
          <w:rFonts w:asciiTheme="minorHAnsi" w:eastAsiaTheme="minorHAnsi" w:hAnsiTheme="minorHAnsi" w:cstheme="minorHAnsi"/>
          <w:sz w:val="22"/>
          <w:szCs w:val="22"/>
          <w:lang w:val="en-CA"/>
        </w:rPr>
      </w:pPr>
      <w:r w:rsidRPr="00374A6E">
        <w:rPr>
          <w:rFonts w:asciiTheme="minorHAnsi" w:eastAsiaTheme="minorHAnsi" w:hAnsiTheme="minorHAnsi" w:cstheme="minorHAnsi"/>
          <w:sz w:val="22"/>
          <w:szCs w:val="22"/>
          <w:lang w:val="en-CA"/>
        </w:rPr>
        <w:t>Exceptions to National Area of Selection approved by deputy head</w:t>
      </w:r>
    </w:p>
    <w:p w14:paraId="77C6EE27" w14:textId="77777777" w:rsidR="002C0B94" w:rsidRPr="00374A6E" w:rsidRDefault="002C0B94" w:rsidP="002C0B94">
      <w:pPr>
        <w:pStyle w:val="Titre3"/>
        <w:spacing w:after="120"/>
        <w:rPr>
          <w:lang w:val="en-CA"/>
        </w:rPr>
      </w:pPr>
      <w:r w:rsidRPr="00374A6E">
        <w:rPr>
          <w:lang w:val="en-CA"/>
        </w:rPr>
        <w:t>Delegation</w:t>
      </w:r>
    </w:p>
    <w:p w14:paraId="25AB33B3" w14:textId="77777777" w:rsidR="002C0B94" w:rsidRPr="00374A6E" w:rsidRDefault="002C0B94" w:rsidP="002C0B94">
      <w:pPr>
        <w:keepLines/>
        <w:numPr>
          <w:ilvl w:val="0"/>
          <w:numId w:val="22"/>
        </w:numPr>
        <w:spacing w:after="320" w:line="259" w:lineRule="auto"/>
        <w:contextualSpacing/>
        <w:rPr>
          <w:rFonts w:asciiTheme="minorHAnsi" w:eastAsiaTheme="minorHAnsi" w:hAnsiTheme="minorHAnsi" w:cstheme="minorBidi"/>
          <w:sz w:val="22"/>
          <w:szCs w:val="22"/>
          <w:lang w:val="en-CA"/>
        </w:rPr>
      </w:pPr>
      <w:r w:rsidRPr="00374A6E">
        <w:rPr>
          <w:rStyle w:val="lev"/>
          <w:rFonts w:eastAsiaTheme="minorHAnsi" w:cstheme="minorHAnsi"/>
          <w:lang w:val="en-CA"/>
        </w:rPr>
        <w:t>New ability to customize organizational staffing system</w:t>
      </w:r>
      <w:r w:rsidRPr="00374A6E">
        <w:rPr>
          <w:rFonts w:asciiTheme="minorHAnsi" w:eastAsiaTheme="minorHAnsi" w:hAnsiTheme="minorHAnsi" w:cstheme="minorBidi"/>
          <w:sz w:val="22"/>
          <w:szCs w:val="22"/>
          <w:lang w:val="en-CA"/>
        </w:rPr>
        <w:t xml:space="preserve"> based on unique context and evolving business needs</w:t>
      </w:r>
    </w:p>
    <w:p w14:paraId="33EB124D" w14:textId="77777777" w:rsidR="002C0B94" w:rsidRPr="00374A6E" w:rsidRDefault="002C0B94" w:rsidP="002C0B94">
      <w:pPr>
        <w:keepLines/>
        <w:numPr>
          <w:ilvl w:val="0"/>
          <w:numId w:val="21"/>
        </w:numPr>
        <w:spacing w:after="320" w:line="259" w:lineRule="auto"/>
        <w:contextualSpacing/>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 xml:space="preserve">Deputy head establish a direction on the </w:t>
      </w:r>
      <w:r w:rsidRPr="00374A6E">
        <w:rPr>
          <w:rStyle w:val="lev"/>
          <w:rFonts w:eastAsiaTheme="minorHAnsi" w:cstheme="minorHAnsi"/>
          <w:lang w:val="en-CA"/>
        </w:rPr>
        <w:t>use of advertised and non-advertised</w:t>
      </w:r>
      <w:r w:rsidRPr="00374A6E">
        <w:rPr>
          <w:rFonts w:asciiTheme="minorHAnsi" w:eastAsiaTheme="minorHAnsi" w:hAnsiTheme="minorHAnsi" w:cstheme="minorBidi"/>
          <w:sz w:val="20"/>
          <w:szCs w:val="22"/>
          <w:lang w:val="en-CA"/>
        </w:rPr>
        <w:t xml:space="preserve"> </w:t>
      </w:r>
      <w:r w:rsidRPr="00374A6E">
        <w:rPr>
          <w:rFonts w:asciiTheme="minorHAnsi" w:eastAsiaTheme="minorHAnsi" w:hAnsiTheme="minorHAnsi" w:cstheme="minorBidi"/>
          <w:sz w:val="22"/>
          <w:szCs w:val="22"/>
          <w:lang w:val="en-CA"/>
        </w:rPr>
        <w:t>appointment processes</w:t>
      </w:r>
    </w:p>
    <w:p w14:paraId="5C29D742" w14:textId="77777777" w:rsidR="002C0B94" w:rsidRPr="00374A6E" w:rsidRDefault="002C0B94" w:rsidP="002C0B94">
      <w:pPr>
        <w:keepLines/>
        <w:numPr>
          <w:ilvl w:val="0"/>
          <w:numId w:val="21"/>
        </w:numPr>
        <w:spacing w:after="320" w:line="259" w:lineRule="auto"/>
        <w:contextualSpacing/>
        <w:rPr>
          <w:rStyle w:val="lev"/>
          <w:rFonts w:eastAsiaTheme="minorHAnsi" w:cstheme="minorHAnsi"/>
          <w:lang w:val="en-CA"/>
        </w:rPr>
      </w:pPr>
      <w:r w:rsidRPr="00374A6E">
        <w:rPr>
          <w:rFonts w:asciiTheme="minorHAnsi" w:eastAsiaTheme="minorHAnsi" w:hAnsiTheme="minorHAnsi" w:cstheme="minorBidi"/>
          <w:sz w:val="22"/>
          <w:szCs w:val="22"/>
          <w:lang w:val="en-CA"/>
        </w:rPr>
        <w:t xml:space="preserve">Deputy heads to establish requirement(s) for sub-delegated persons to </w:t>
      </w:r>
      <w:r w:rsidRPr="00374A6E">
        <w:rPr>
          <w:rStyle w:val="lev"/>
          <w:rFonts w:eastAsiaTheme="minorHAnsi" w:cstheme="minorHAnsi"/>
          <w:lang w:val="en-CA"/>
        </w:rPr>
        <w:t>articulate, in writing, their selection decision</w:t>
      </w:r>
    </w:p>
    <w:p w14:paraId="4C33DD29" w14:textId="77777777" w:rsidR="002C0B94" w:rsidRPr="00374A6E" w:rsidRDefault="002C0B94" w:rsidP="002C0B94">
      <w:pPr>
        <w:keepLines/>
        <w:numPr>
          <w:ilvl w:val="0"/>
          <w:numId w:val="21"/>
        </w:numPr>
        <w:spacing w:after="320" w:line="259" w:lineRule="auto"/>
        <w:contextualSpacing/>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Clarity on requirements related to investigations</w:t>
      </w:r>
    </w:p>
    <w:p w14:paraId="7CB85418" w14:textId="77777777" w:rsidR="002C0B94" w:rsidRPr="00374A6E" w:rsidRDefault="002C0B94" w:rsidP="002C0B94">
      <w:pPr>
        <w:keepLines/>
        <w:numPr>
          <w:ilvl w:val="0"/>
          <w:numId w:val="21"/>
        </w:numPr>
        <w:spacing w:after="320" w:line="259" w:lineRule="auto"/>
        <w:contextualSpacing/>
        <w:rPr>
          <w:rFonts w:asciiTheme="minorHAnsi" w:eastAsiaTheme="minorHAnsi" w:hAnsiTheme="minorHAnsi" w:cstheme="minorBidi"/>
          <w:sz w:val="22"/>
          <w:szCs w:val="22"/>
          <w:lang w:val="en-CA"/>
        </w:rPr>
      </w:pPr>
      <w:r w:rsidRPr="00374A6E">
        <w:rPr>
          <w:rStyle w:val="lev"/>
          <w:rFonts w:eastAsiaTheme="minorHAnsi" w:cstheme="minorHAnsi"/>
          <w:lang w:val="en-CA"/>
        </w:rPr>
        <w:t>Attestation form</w:t>
      </w:r>
      <w:r w:rsidRPr="00374A6E">
        <w:rPr>
          <w:rFonts w:asciiTheme="minorHAnsi" w:eastAsiaTheme="minorHAnsi" w:hAnsiTheme="minorHAnsi" w:cstheme="minorBidi"/>
          <w:sz w:val="20"/>
          <w:szCs w:val="22"/>
          <w:lang w:val="en-CA"/>
        </w:rPr>
        <w:t xml:space="preserve"> </w:t>
      </w:r>
      <w:r w:rsidRPr="00374A6E">
        <w:rPr>
          <w:rFonts w:asciiTheme="minorHAnsi" w:eastAsiaTheme="minorHAnsi" w:hAnsiTheme="minorHAnsi" w:cstheme="minorBidi"/>
          <w:sz w:val="22"/>
          <w:szCs w:val="22"/>
          <w:lang w:val="en-CA"/>
        </w:rPr>
        <w:t>to reinforce the accountabilities of sub-delegated persons</w:t>
      </w:r>
    </w:p>
    <w:p w14:paraId="467F13A1" w14:textId="77777777" w:rsidR="002C0B94" w:rsidRPr="00374A6E" w:rsidRDefault="002C0B94" w:rsidP="00CC297B">
      <w:pPr>
        <w:keepLines/>
        <w:spacing w:after="120" w:line="259" w:lineRule="auto"/>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All PSC monitoring and reporting requirements now found in the Appointment Delegation and Accountability Instrument</w:t>
      </w:r>
    </w:p>
    <w:p w14:paraId="1420EB85" w14:textId="77777777" w:rsidR="002C0B94" w:rsidRPr="00374A6E" w:rsidRDefault="002C0B94" w:rsidP="00CC297B">
      <w:pPr>
        <w:pStyle w:val="Titre3"/>
        <w:spacing w:after="240"/>
        <w:rPr>
          <w:lang w:val="en-CA"/>
        </w:rPr>
      </w:pPr>
      <w:r w:rsidRPr="00374A6E">
        <w:rPr>
          <w:lang w:val="en-CA"/>
        </w:rPr>
        <w:t>Monitoring and Reporting</w:t>
      </w:r>
    </w:p>
    <w:p w14:paraId="4DF81399" w14:textId="77777777" w:rsidR="002C0B94" w:rsidRPr="00374A6E" w:rsidRDefault="002C0B94" w:rsidP="002C0B94">
      <w:pPr>
        <w:keepLines/>
        <w:spacing w:after="120" w:line="259" w:lineRule="auto"/>
        <w:rPr>
          <w:rFonts w:asciiTheme="minorHAnsi" w:eastAsiaTheme="minorHAnsi" w:hAnsiTheme="minorHAnsi" w:cstheme="minorBidi"/>
          <w:sz w:val="22"/>
          <w:szCs w:val="22"/>
          <w:lang w:val="en-CA"/>
        </w:rPr>
      </w:pPr>
      <w:r w:rsidRPr="00374A6E">
        <w:rPr>
          <w:rStyle w:val="lev"/>
          <w:rFonts w:eastAsiaTheme="minorHAnsi" w:cstheme="minorHAnsi"/>
          <w:szCs w:val="22"/>
          <w:lang w:val="en-CA"/>
        </w:rPr>
        <w:t>Monitoring built by organizations</w:t>
      </w:r>
      <w:r w:rsidRPr="00374A6E">
        <w:rPr>
          <w:rFonts w:asciiTheme="minorHAnsi" w:eastAsiaTheme="minorHAnsi" w:hAnsiTheme="minorHAnsi" w:cstheme="minorBidi"/>
          <w:sz w:val="22"/>
          <w:szCs w:val="22"/>
          <w:lang w:val="en-CA"/>
        </w:rPr>
        <w:t>, targeted to their needs</w:t>
      </w:r>
    </w:p>
    <w:p w14:paraId="4114BCF5" w14:textId="77777777" w:rsidR="002C0B94" w:rsidRPr="00374A6E" w:rsidRDefault="002C0B94" w:rsidP="002C0B94">
      <w:pPr>
        <w:keepLines/>
        <w:numPr>
          <w:ilvl w:val="0"/>
          <w:numId w:val="23"/>
        </w:numPr>
        <w:spacing w:after="320" w:line="259" w:lineRule="auto"/>
        <w:contextualSpacing/>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Annual Departmental Staffing Accountability Report no longer required</w:t>
      </w:r>
    </w:p>
    <w:p w14:paraId="53A1DDD1" w14:textId="77777777" w:rsidR="002C0B94" w:rsidRPr="00374A6E" w:rsidRDefault="002C0B94" w:rsidP="002C0B94">
      <w:pPr>
        <w:keepLines/>
        <w:numPr>
          <w:ilvl w:val="0"/>
          <w:numId w:val="23"/>
        </w:numPr>
        <w:spacing w:after="320" w:line="259" w:lineRule="auto"/>
        <w:contextualSpacing/>
        <w:rPr>
          <w:rFonts w:asciiTheme="minorHAnsi" w:eastAsiaTheme="minorHAnsi" w:hAnsiTheme="minorHAnsi" w:cstheme="minorBidi"/>
          <w:sz w:val="22"/>
          <w:szCs w:val="22"/>
          <w:lang w:val="en-CA"/>
        </w:rPr>
      </w:pPr>
      <w:r w:rsidRPr="00374A6E">
        <w:rPr>
          <w:rStyle w:val="lev"/>
          <w:rFonts w:eastAsiaTheme="minorHAnsi" w:cstheme="minorHAnsi"/>
          <w:szCs w:val="22"/>
          <w:lang w:val="en-CA"/>
        </w:rPr>
        <w:t>Annual reporting to the PSC limited</w:t>
      </w:r>
      <w:r w:rsidRPr="00374A6E">
        <w:rPr>
          <w:rFonts w:asciiTheme="minorHAnsi" w:eastAsiaTheme="minorHAnsi" w:hAnsiTheme="minorHAnsi" w:cstheme="minorBidi"/>
          <w:sz w:val="22"/>
          <w:szCs w:val="22"/>
          <w:lang w:val="en-CA"/>
        </w:rPr>
        <w:t xml:space="preserve"> to:</w:t>
      </w:r>
    </w:p>
    <w:p w14:paraId="03C77A77" w14:textId="77777777" w:rsidR="002C0B94" w:rsidRPr="00374A6E" w:rsidRDefault="002C0B94" w:rsidP="002C0B94">
      <w:pPr>
        <w:keepLines/>
        <w:numPr>
          <w:ilvl w:val="1"/>
          <w:numId w:val="23"/>
        </w:numPr>
        <w:spacing w:after="320" w:line="259" w:lineRule="auto"/>
        <w:contextualSpacing/>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Use of Public Service Official Language Exclusion Approval Order</w:t>
      </w:r>
    </w:p>
    <w:p w14:paraId="16B1CB0D" w14:textId="77777777" w:rsidR="002C0B94" w:rsidRPr="00374A6E" w:rsidRDefault="002C0B94" w:rsidP="002C0B94">
      <w:pPr>
        <w:keepLines/>
        <w:numPr>
          <w:ilvl w:val="1"/>
          <w:numId w:val="23"/>
        </w:numPr>
        <w:spacing w:after="320" w:line="259" w:lineRule="auto"/>
        <w:contextualSpacing/>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Exceptions to the National Area of Selection approved by the deputy head</w:t>
      </w:r>
    </w:p>
    <w:p w14:paraId="3DC75E75" w14:textId="77777777" w:rsidR="002C0B94" w:rsidRPr="00374A6E" w:rsidRDefault="002C0B94" w:rsidP="002C0B94">
      <w:pPr>
        <w:keepLines/>
        <w:numPr>
          <w:ilvl w:val="1"/>
          <w:numId w:val="23"/>
        </w:numPr>
        <w:spacing w:after="320" w:line="259" w:lineRule="auto"/>
        <w:contextualSpacing/>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Results of any internal investigations</w:t>
      </w:r>
    </w:p>
    <w:p w14:paraId="247F72D7" w14:textId="77777777" w:rsidR="002C0B94" w:rsidRPr="00374A6E" w:rsidRDefault="002C0B94" w:rsidP="002C0B94">
      <w:pPr>
        <w:keepLines/>
        <w:numPr>
          <w:ilvl w:val="1"/>
          <w:numId w:val="23"/>
        </w:numPr>
        <w:spacing w:after="320" w:line="259" w:lineRule="auto"/>
        <w:contextualSpacing/>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Actions taken following any PSC investigations or audits.</w:t>
      </w:r>
    </w:p>
    <w:p w14:paraId="48656EC2" w14:textId="77777777" w:rsidR="002C0B94" w:rsidRPr="00374A6E" w:rsidRDefault="002C0B94" w:rsidP="002C0B94">
      <w:pPr>
        <w:keepLines/>
        <w:numPr>
          <w:ilvl w:val="0"/>
          <w:numId w:val="24"/>
        </w:numPr>
        <w:spacing w:after="320" w:line="259" w:lineRule="auto"/>
        <w:contextualSpacing/>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 xml:space="preserve">Deputy head responsible for </w:t>
      </w:r>
      <w:r w:rsidRPr="00374A6E">
        <w:rPr>
          <w:rStyle w:val="lev"/>
          <w:rFonts w:eastAsiaTheme="minorHAnsi" w:cstheme="minorHAnsi"/>
          <w:szCs w:val="22"/>
          <w:lang w:val="en-CA"/>
        </w:rPr>
        <w:t>ongoing monitoring of organizational staffing system</w:t>
      </w:r>
      <w:r w:rsidRPr="00374A6E">
        <w:rPr>
          <w:rFonts w:asciiTheme="minorHAnsi" w:eastAsiaTheme="minorHAnsi" w:hAnsiTheme="minorHAnsi" w:cstheme="minorBidi"/>
          <w:sz w:val="22"/>
          <w:szCs w:val="22"/>
          <w:lang w:val="en-CA"/>
        </w:rPr>
        <w:t xml:space="preserve"> based on the organization’s unique context</w:t>
      </w:r>
    </w:p>
    <w:p w14:paraId="255645DB" w14:textId="77777777" w:rsidR="00994800" w:rsidRDefault="002C0B94" w:rsidP="002C0B94">
      <w:pPr>
        <w:keepLines/>
        <w:numPr>
          <w:ilvl w:val="1"/>
          <w:numId w:val="24"/>
        </w:numPr>
        <w:spacing w:after="320" w:line="259" w:lineRule="auto"/>
        <w:contextualSpacing/>
        <w:rPr>
          <w:rFonts w:asciiTheme="minorHAnsi" w:eastAsiaTheme="minorHAnsi" w:hAnsiTheme="minorHAnsi" w:cstheme="minorBidi"/>
          <w:sz w:val="22"/>
          <w:szCs w:val="22"/>
          <w:lang w:val="en-CA"/>
        </w:rPr>
        <w:sectPr w:rsidR="00994800" w:rsidSect="00934B32">
          <w:pgSz w:w="12240" w:h="15840"/>
          <w:pgMar w:top="1440" w:right="1080" w:bottom="1440" w:left="1080" w:header="709" w:footer="284" w:gutter="0"/>
          <w:cols w:space="708"/>
          <w:titlePg/>
          <w:docGrid w:linePitch="360"/>
        </w:sectPr>
      </w:pPr>
      <w:r w:rsidRPr="00374A6E">
        <w:rPr>
          <w:rStyle w:val="lev"/>
          <w:rFonts w:eastAsiaTheme="minorHAnsi" w:cstheme="minorHAnsi"/>
          <w:szCs w:val="22"/>
          <w:lang w:val="en-CA"/>
        </w:rPr>
        <w:t>Assessment of adherence to requirements</w:t>
      </w:r>
      <w:r w:rsidRPr="00374A6E">
        <w:rPr>
          <w:rFonts w:asciiTheme="minorHAnsi" w:eastAsiaTheme="minorHAnsi" w:hAnsiTheme="minorHAnsi" w:cstheme="minorBidi"/>
          <w:sz w:val="22"/>
          <w:szCs w:val="22"/>
          <w:lang w:val="en-CA"/>
        </w:rPr>
        <w:t>, based on organization’s own risks, at the minimum every five years</w:t>
      </w:r>
    </w:p>
    <w:p w14:paraId="7D29BB1F" w14:textId="77777777" w:rsidR="002C0B94" w:rsidRPr="00374A6E" w:rsidRDefault="002C0B94" w:rsidP="002C0B94">
      <w:pPr>
        <w:pStyle w:val="Titre3"/>
        <w:spacing w:after="120"/>
        <w:rPr>
          <w:lang w:val="en-CA"/>
        </w:rPr>
      </w:pPr>
      <w:r w:rsidRPr="00374A6E">
        <w:rPr>
          <w:lang w:val="en-CA"/>
        </w:rPr>
        <w:lastRenderedPageBreak/>
        <w:t>PSC Oversight</w:t>
      </w:r>
    </w:p>
    <w:p w14:paraId="44FC93B7" w14:textId="77777777" w:rsidR="002C0B94" w:rsidRPr="00374A6E" w:rsidRDefault="002C0B94" w:rsidP="002C0B94">
      <w:pPr>
        <w:keepLines/>
        <w:spacing w:after="120" w:line="259" w:lineRule="auto"/>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System wide-focus</w:t>
      </w:r>
    </w:p>
    <w:p w14:paraId="28BBAC46" w14:textId="77777777" w:rsidR="002C0B94" w:rsidRPr="00374A6E" w:rsidRDefault="002C0B94" w:rsidP="002C0B94">
      <w:pPr>
        <w:keepLines/>
        <w:numPr>
          <w:ilvl w:val="0"/>
          <w:numId w:val="25"/>
        </w:numPr>
        <w:spacing w:line="259" w:lineRule="auto"/>
        <w:rPr>
          <w:rStyle w:val="lev"/>
          <w:rFonts w:eastAsiaTheme="minorHAnsi" w:cstheme="minorHAnsi"/>
          <w:lang w:val="en-CA"/>
        </w:rPr>
      </w:pPr>
      <w:r w:rsidRPr="00374A6E">
        <w:rPr>
          <w:rStyle w:val="lev"/>
          <w:rFonts w:eastAsiaTheme="minorHAnsi" w:cstheme="minorHAnsi"/>
          <w:lang w:val="en-CA"/>
        </w:rPr>
        <w:t>Government-wide compliance audit every two years</w:t>
      </w:r>
    </w:p>
    <w:p w14:paraId="42CCB646" w14:textId="77777777" w:rsidR="002C0B94" w:rsidRPr="00374A6E" w:rsidRDefault="002C0B94" w:rsidP="002C0B94">
      <w:pPr>
        <w:keepLines/>
        <w:numPr>
          <w:ilvl w:val="0"/>
          <w:numId w:val="25"/>
        </w:numPr>
        <w:spacing w:line="259" w:lineRule="auto"/>
        <w:rPr>
          <w:rFonts w:asciiTheme="minorHAnsi" w:eastAsiaTheme="minorHAnsi" w:hAnsiTheme="minorHAnsi" w:cstheme="minorBidi"/>
          <w:sz w:val="22"/>
          <w:szCs w:val="22"/>
          <w:lang w:val="en-CA"/>
        </w:rPr>
      </w:pPr>
      <w:r w:rsidRPr="00374A6E">
        <w:rPr>
          <w:rStyle w:val="lev"/>
          <w:rFonts w:eastAsiaTheme="minorHAnsi" w:cstheme="minorHAnsi"/>
          <w:lang w:val="en-CA"/>
        </w:rPr>
        <w:t>Renewed Survey of Staffing</w:t>
      </w:r>
      <w:r w:rsidRPr="00374A6E">
        <w:rPr>
          <w:rFonts w:asciiTheme="minorHAnsi" w:eastAsiaTheme="minorHAnsi" w:hAnsiTheme="minorHAnsi" w:cstheme="minorBidi"/>
          <w:sz w:val="20"/>
          <w:szCs w:val="22"/>
          <w:lang w:val="en-CA"/>
        </w:rPr>
        <w:t xml:space="preserve"> </w:t>
      </w:r>
      <w:r w:rsidRPr="00374A6E">
        <w:rPr>
          <w:rFonts w:asciiTheme="minorHAnsi" w:eastAsiaTheme="minorHAnsi" w:hAnsiTheme="minorHAnsi" w:cstheme="minorBidi"/>
          <w:sz w:val="22"/>
          <w:szCs w:val="22"/>
          <w:lang w:val="en-CA"/>
        </w:rPr>
        <w:t>administered in alternating years with government-wide audit</w:t>
      </w:r>
    </w:p>
    <w:p w14:paraId="427961CA" w14:textId="77777777" w:rsidR="002C0B94" w:rsidRPr="00374A6E" w:rsidRDefault="002C0B94" w:rsidP="002C0B94">
      <w:pPr>
        <w:keepLines/>
        <w:numPr>
          <w:ilvl w:val="0"/>
          <w:numId w:val="25"/>
        </w:numPr>
        <w:spacing w:line="259" w:lineRule="auto"/>
        <w:rPr>
          <w:rFonts w:asciiTheme="minorHAnsi" w:eastAsiaTheme="minorHAnsi" w:hAnsiTheme="minorHAnsi" w:cstheme="minorBidi"/>
          <w:sz w:val="22"/>
          <w:szCs w:val="22"/>
          <w:lang w:val="en-CA"/>
        </w:rPr>
      </w:pPr>
      <w:r w:rsidRPr="00374A6E">
        <w:rPr>
          <w:rStyle w:val="lev"/>
          <w:rFonts w:eastAsiaTheme="minorHAnsi" w:cstheme="minorHAnsi"/>
          <w:lang w:val="en-CA"/>
        </w:rPr>
        <w:t>System-wide effectiveness and efficiency reviews</w:t>
      </w:r>
      <w:r w:rsidRPr="00374A6E">
        <w:rPr>
          <w:rFonts w:asciiTheme="minorHAnsi" w:eastAsiaTheme="minorHAnsi" w:hAnsiTheme="minorHAnsi" w:cstheme="minorBidi"/>
          <w:sz w:val="20"/>
          <w:szCs w:val="22"/>
          <w:lang w:val="en-CA"/>
        </w:rPr>
        <w:t xml:space="preserve"> </w:t>
      </w:r>
      <w:r w:rsidRPr="00374A6E">
        <w:rPr>
          <w:rFonts w:asciiTheme="minorHAnsi" w:eastAsiaTheme="minorHAnsi" w:hAnsiTheme="minorHAnsi" w:cstheme="minorBidi"/>
          <w:sz w:val="22"/>
          <w:szCs w:val="22"/>
          <w:lang w:val="en-CA"/>
        </w:rPr>
        <w:t>to support continuous improvement</w:t>
      </w:r>
    </w:p>
    <w:p w14:paraId="45A94B5D" w14:textId="77777777" w:rsidR="002C0B94" w:rsidRPr="00374A6E" w:rsidRDefault="002C0B94" w:rsidP="002C0B94">
      <w:pPr>
        <w:keepLines/>
        <w:numPr>
          <w:ilvl w:val="0"/>
          <w:numId w:val="25"/>
        </w:numPr>
        <w:spacing w:line="259" w:lineRule="auto"/>
        <w:rPr>
          <w:rFonts w:asciiTheme="minorHAnsi" w:eastAsiaTheme="minorHAnsi" w:hAnsiTheme="minorHAnsi" w:cstheme="minorBidi"/>
          <w:sz w:val="22"/>
          <w:szCs w:val="22"/>
          <w:lang w:val="en-CA"/>
        </w:rPr>
      </w:pPr>
      <w:r w:rsidRPr="00374A6E">
        <w:rPr>
          <w:rStyle w:val="lev"/>
          <w:rFonts w:eastAsiaTheme="minorHAnsi" w:cstheme="minorHAnsi"/>
          <w:lang w:val="en-CA"/>
        </w:rPr>
        <w:t>Targeted PSC audits</w:t>
      </w:r>
      <w:r w:rsidRPr="00374A6E">
        <w:rPr>
          <w:rFonts w:asciiTheme="minorHAnsi" w:eastAsiaTheme="minorHAnsi" w:hAnsiTheme="minorHAnsi" w:cstheme="minorBidi"/>
          <w:sz w:val="20"/>
          <w:szCs w:val="22"/>
          <w:lang w:val="en-CA"/>
        </w:rPr>
        <w:t xml:space="preserve"> </w:t>
      </w:r>
      <w:r w:rsidRPr="00374A6E">
        <w:rPr>
          <w:rFonts w:asciiTheme="minorHAnsi" w:eastAsiaTheme="minorHAnsi" w:hAnsiTheme="minorHAnsi" w:cstheme="minorBidi"/>
          <w:sz w:val="22"/>
          <w:szCs w:val="22"/>
          <w:lang w:val="en-CA"/>
        </w:rPr>
        <w:t>as a result of identified system-wide or organizational risks or at the deputy head request</w:t>
      </w:r>
    </w:p>
    <w:p w14:paraId="0ABD057B" w14:textId="77777777" w:rsidR="002C0B94" w:rsidRPr="00374A6E" w:rsidRDefault="002C0B94" w:rsidP="002C0B94">
      <w:pPr>
        <w:keepLines/>
        <w:numPr>
          <w:ilvl w:val="0"/>
          <w:numId w:val="25"/>
        </w:numPr>
        <w:spacing w:after="320" w:line="259" w:lineRule="auto"/>
        <w:rPr>
          <w:rFonts w:asciiTheme="minorHAnsi" w:eastAsiaTheme="minorHAnsi" w:hAnsiTheme="minorHAnsi" w:cstheme="minorBidi"/>
          <w:sz w:val="22"/>
          <w:szCs w:val="22"/>
          <w:lang w:val="en-CA"/>
        </w:rPr>
      </w:pPr>
      <w:r w:rsidRPr="00374A6E">
        <w:rPr>
          <w:rStyle w:val="lev"/>
          <w:rFonts w:eastAsiaTheme="minorHAnsi" w:cstheme="minorHAnsi"/>
          <w:lang w:val="en-CA"/>
        </w:rPr>
        <w:t>Investigations conducted</w:t>
      </w:r>
      <w:r w:rsidRPr="00374A6E">
        <w:rPr>
          <w:rFonts w:asciiTheme="minorHAnsi" w:eastAsiaTheme="minorHAnsi" w:hAnsiTheme="minorHAnsi" w:cstheme="minorBidi"/>
          <w:sz w:val="20"/>
          <w:szCs w:val="22"/>
          <w:lang w:val="en-CA"/>
        </w:rPr>
        <w:t xml:space="preserve"> </w:t>
      </w:r>
      <w:r w:rsidRPr="00374A6E">
        <w:rPr>
          <w:rFonts w:asciiTheme="minorHAnsi" w:eastAsiaTheme="minorHAnsi" w:hAnsiTheme="minorHAnsi" w:cstheme="minorBidi"/>
          <w:sz w:val="22"/>
          <w:szCs w:val="22"/>
          <w:lang w:val="en-CA"/>
        </w:rPr>
        <w:t>when there is a reason to believe there was political influence, fraud or improper conduct in an appointment process</w:t>
      </w:r>
    </w:p>
    <w:p w14:paraId="346DF501" w14:textId="77777777" w:rsidR="00190A3D" w:rsidRPr="002D1AB2" w:rsidRDefault="00190A3D" w:rsidP="002D1AB2">
      <w:pPr>
        <w:keepLines/>
        <w:tabs>
          <w:tab w:val="center" w:pos="4680"/>
          <w:tab w:val="right" w:pos="9360"/>
        </w:tabs>
        <w:ind w:left="360"/>
        <w:rPr>
          <w:rStyle w:val="lev"/>
          <w:rFonts w:eastAsiaTheme="minorHAnsi" w:cstheme="minorHAnsi"/>
          <w:b w:val="0"/>
          <w:szCs w:val="22"/>
          <w:lang w:val="en-CA"/>
        </w:rPr>
        <w:sectPr w:rsidR="00190A3D" w:rsidRPr="002D1AB2" w:rsidSect="00934B32">
          <w:pgSz w:w="12240" w:h="15840"/>
          <w:pgMar w:top="1440" w:right="1080" w:bottom="1440" w:left="1080" w:header="709" w:footer="284" w:gutter="0"/>
          <w:cols w:space="708"/>
          <w:titlePg/>
          <w:docGrid w:linePitch="360"/>
        </w:sectPr>
      </w:pPr>
      <w:r w:rsidRPr="002D1AB2">
        <w:rPr>
          <w:rStyle w:val="lev"/>
          <w:rFonts w:eastAsiaTheme="minorHAnsi" w:cstheme="minorHAnsi"/>
          <w:b w:val="0"/>
          <w:szCs w:val="22"/>
          <w:lang w:val="en-CA"/>
        </w:rPr>
        <w:t>This document should be read in conjunction with the Public Service Employment Act, the Public Service Employment Regulations, the PSC Appointment Policy and the PSC Appointment Delegation and Accountability Instrument.</w:t>
      </w:r>
    </w:p>
    <w:p w14:paraId="2AC7477C" w14:textId="0E967D8B" w:rsidR="00D459A3" w:rsidRDefault="002C0B94" w:rsidP="00842013">
      <w:pPr>
        <w:pStyle w:val="Titre3"/>
        <w:spacing w:before="120" w:after="120"/>
        <w:jc w:val="right"/>
        <w:rPr>
          <w:lang w:val="en-CA"/>
        </w:rPr>
      </w:pPr>
      <w:bookmarkStart w:id="1" w:name="AnnexB"/>
      <w:r>
        <w:rPr>
          <w:lang w:val="en-CA"/>
        </w:rPr>
        <w:lastRenderedPageBreak/>
        <w:t>Annex B</w:t>
      </w:r>
    </w:p>
    <w:p w14:paraId="16DCBCE3" w14:textId="77777777" w:rsidR="00311252" w:rsidRPr="00311252" w:rsidRDefault="00311252" w:rsidP="00311252">
      <w:pPr>
        <w:pStyle w:val="Titre1"/>
        <w:spacing w:before="120" w:after="120"/>
        <w:rPr>
          <w:sz w:val="40"/>
          <w:szCs w:val="40"/>
          <w:lang w:val="en-CA" w:eastAsia="en-CA"/>
        </w:rPr>
      </w:pPr>
      <w:r w:rsidRPr="00311252">
        <w:rPr>
          <w:sz w:val="40"/>
          <w:szCs w:val="40"/>
          <w:lang w:val="en-CA" w:eastAsia="en-CA"/>
        </w:rPr>
        <w:t>Population by tenure as of March 31</w:t>
      </w:r>
    </w:p>
    <w:bookmarkEnd w:id="1"/>
    <w:p w14:paraId="7756DD11" w14:textId="77777777" w:rsidR="008A7CCD" w:rsidRPr="00842013" w:rsidRDefault="00282ABD" w:rsidP="00842013">
      <w:pPr>
        <w:pStyle w:val="Titre3"/>
        <w:spacing w:before="120" w:after="120"/>
        <w:jc w:val="center"/>
        <w:rPr>
          <w:lang w:val="en-CA"/>
        </w:rPr>
      </w:pPr>
      <w:r w:rsidRPr="00842013">
        <w:rPr>
          <w:rStyle w:val="lev"/>
          <w:noProof/>
          <w:lang w:val="en-CA" w:eastAsia="en-CA"/>
        </w:rPr>
        <w:drawing>
          <wp:inline distT="0" distB="0" distL="0" distR="0" wp14:anchorId="7CD2D33D" wp14:editId="5B15A473">
            <wp:extent cx="5648400" cy="3049200"/>
            <wp:effectExtent l="0" t="0" r="9525" b="18415"/>
            <wp:docPr id="13" name="Chart 13" descr="Figure 1 - Population by tenure as of March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009253" w14:textId="3A2D609B" w:rsidR="00AB5620" w:rsidRPr="00842013" w:rsidRDefault="008A7CCD" w:rsidP="006E3518">
      <w:pPr>
        <w:pStyle w:val="Lgende"/>
        <w:contextualSpacing/>
        <w:jc w:val="center"/>
        <w:rPr>
          <w:rFonts w:cstheme="minorHAnsi"/>
          <w:sz w:val="22"/>
          <w:szCs w:val="22"/>
        </w:rPr>
      </w:pPr>
      <w:r w:rsidRPr="00842013">
        <w:rPr>
          <w:rFonts w:cstheme="minorHAnsi"/>
        </w:rPr>
        <w:t xml:space="preserve">Figure </w:t>
      </w:r>
      <w:r w:rsidRPr="00842013">
        <w:rPr>
          <w:rFonts w:cstheme="minorHAnsi"/>
        </w:rPr>
        <w:fldChar w:fldCharType="begin"/>
      </w:r>
      <w:r w:rsidRPr="00842013">
        <w:rPr>
          <w:rFonts w:cstheme="minorHAnsi"/>
        </w:rPr>
        <w:instrText xml:space="preserve"> SEQ Figure \* ARABIC </w:instrText>
      </w:r>
      <w:r w:rsidRPr="00842013">
        <w:rPr>
          <w:rFonts w:cstheme="minorHAnsi"/>
        </w:rPr>
        <w:fldChar w:fldCharType="separate"/>
      </w:r>
      <w:r w:rsidR="00200978" w:rsidRPr="00842013">
        <w:rPr>
          <w:rFonts w:cstheme="minorHAnsi"/>
          <w:noProof/>
        </w:rPr>
        <w:t>1</w:t>
      </w:r>
      <w:r w:rsidRPr="00842013">
        <w:rPr>
          <w:rFonts w:cstheme="minorHAnsi"/>
        </w:rPr>
        <w:fldChar w:fldCharType="end"/>
      </w:r>
      <w:r w:rsidRPr="00842013">
        <w:rPr>
          <w:rFonts w:cstheme="minorHAnsi"/>
        </w:rPr>
        <w:t xml:space="preserve"> - Population by tenure as of March 31</w:t>
      </w:r>
    </w:p>
    <w:p w14:paraId="64BD2134" w14:textId="3D49D430" w:rsidR="00731AD9" w:rsidRPr="00842013" w:rsidRDefault="00731AD9" w:rsidP="006E3518">
      <w:pPr>
        <w:pStyle w:val="Lgende"/>
        <w:keepNext/>
        <w:spacing w:before="120"/>
        <w:jc w:val="center"/>
      </w:pPr>
      <w:r w:rsidRPr="00842013">
        <w:t xml:space="preserve">Table </w:t>
      </w:r>
      <w:r w:rsidR="00177890" w:rsidRPr="00842013">
        <w:rPr>
          <w:noProof/>
        </w:rPr>
        <w:fldChar w:fldCharType="begin"/>
      </w:r>
      <w:r w:rsidR="00177890" w:rsidRPr="00842013">
        <w:rPr>
          <w:noProof/>
        </w:rPr>
        <w:instrText xml:space="preserve"> SEQ Table \* ARABIC </w:instrText>
      </w:r>
      <w:r w:rsidR="00177890" w:rsidRPr="00842013">
        <w:rPr>
          <w:noProof/>
        </w:rPr>
        <w:fldChar w:fldCharType="separate"/>
      </w:r>
      <w:r w:rsidR="002A0977">
        <w:rPr>
          <w:noProof/>
        </w:rPr>
        <w:t>4</w:t>
      </w:r>
      <w:r w:rsidR="00177890" w:rsidRPr="00842013">
        <w:rPr>
          <w:noProof/>
        </w:rPr>
        <w:fldChar w:fldCharType="end"/>
      </w:r>
      <w:r w:rsidRPr="00842013">
        <w:t xml:space="preserve"> -Public Service Employment Act population by tenure as of March 31</w:t>
      </w:r>
    </w:p>
    <w:tbl>
      <w:tblPr>
        <w:tblStyle w:val="Grilledutableau"/>
        <w:tblW w:w="0" w:type="auto"/>
        <w:jc w:val="center"/>
        <w:tblLook w:val="0020" w:firstRow="1" w:lastRow="0" w:firstColumn="0" w:lastColumn="0" w:noHBand="0" w:noVBand="0"/>
        <w:tblDescription w:val="Population by tenure as of March 31 from 2014 to 2019"/>
      </w:tblPr>
      <w:tblGrid>
        <w:gridCol w:w="2155"/>
        <w:gridCol w:w="2782"/>
        <w:gridCol w:w="1885"/>
        <w:gridCol w:w="2018"/>
        <w:gridCol w:w="2156"/>
        <w:gridCol w:w="1875"/>
      </w:tblGrid>
      <w:tr w:rsidR="00586DB9" w:rsidRPr="00842013" w14:paraId="0824A9F3" w14:textId="77777777" w:rsidTr="00AD4BF3">
        <w:trPr>
          <w:cantSplit/>
          <w:trHeight w:val="20"/>
          <w:tblHeader/>
          <w:jc w:val="center"/>
        </w:trPr>
        <w:tc>
          <w:tcPr>
            <w:tcW w:w="0" w:type="auto"/>
          </w:tcPr>
          <w:p w14:paraId="3BBB5FF3" w14:textId="1AE4E603" w:rsidR="00190BA5" w:rsidRPr="00842013" w:rsidRDefault="00190BA5" w:rsidP="00586DB9">
            <w:pPr>
              <w:pStyle w:val="TableTitle"/>
              <w:spacing w:before="0"/>
              <w:contextualSpacing/>
              <w:rPr>
                <w:rFonts w:eastAsiaTheme="minorHAnsi"/>
                <w:lang w:val="en-CA"/>
              </w:rPr>
            </w:pPr>
            <w:r w:rsidRPr="00842013">
              <w:rPr>
                <w:rFonts w:eastAsiaTheme="minorHAnsi"/>
                <w:lang w:val="en-CA"/>
              </w:rPr>
              <w:t>Year</w:t>
            </w:r>
          </w:p>
        </w:tc>
        <w:tc>
          <w:tcPr>
            <w:tcW w:w="0" w:type="auto"/>
          </w:tcPr>
          <w:p w14:paraId="690A7329" w14:textId="5E60D413" w:rsidR="00190BA5" w:rsidRPr="00842013" w:rsidRDefault="00190BA5" w:rsidP="00586DB9">
            <w:pPr>
              <w:pStyle w:val="TableTitle"/>
              <w:spacing w:before="0"/>
              <w:contextualSpacing/>
              <w:rPr>
                <w:rFonts w:eastAsiaTheme="minorHAnsi"/>
                <w:lang w:val="en-CA"/>
              </w:rPr>
            </w:pPr>
            <w:r w:rsidRPr="00842013">
              <w:rPr>
                <w:rFonts w:eastAsiaTheme="minorHAnsi"/>
                <w:lang w:val="en-CA"/>
              </w:rPr>
              <w:t>Indeterminate</w:t>
            </w:r>
            <w:r w:rsidR="00586DB9">
              <w:rPr>
                <w:rFonts w:eastAsiaTheme="minorHAnsi"/>
                <w:lang w:val="en-CA"/>
              </w:rPr>
              <w:t xml:space="preserve"> </w:t>
            </w:r>
            <w:r w:rsidRPr="00842013">
              <w:rPr>
                <w:rFonts w:eastAsiaTheme="minorHAnsi"/>
                <w:lang w:val="en-CA"/>
              </w:rPr>
              <w:t>population</w:t>
            </w:r>
          </w:p>
        </w:tc>
        <w:tc>
          <w:tcPr>
            <w:tcW w:w="0" w:type="auto"/>
          </w:tcPr>
          <w:p w14:paraId="45A6EC5E" w14:textId="07BEE230" w:rsidR="00190BA5" w:rsidRPr="00842013" w:rsidRDefault="00190BA5" w:rsidP="00586DB9">
            <w:pPr>
              <w:pStyle w:val="TableTitle"/>
              <w:spacing w:before="0"/>
              <w:contextualSpacing/>
              <w:rPr>
                <w:rFonts w:eastAsiaTheme="minorHAnsi"/>
                <w:lang w:val="en-CA"/>
              </w:rPr>
            </w:pPr>
            <w:r w:rsidRPr="00842013">
              <w:rPr>
                <w:rFonts w:eastAsiaTheme="minorHAnsi"/>
                <w:lang w:val="en-CA"/>
              </w:rPr>
              <w:t>Term</w:t>
            </w:r>
            <w:r w:rsidR="00586DB9">
              <w:rPr>
                <w:rFonts w:eastAsiaTheme="minorHAnsi"/>
                <w:lang w:val="en-CA"/>
              </w:rPr>
              <w:t xml:space="preserve"> </w:t>
            </w:r>
            <w:r w:rsidRPr="00842013">
              <w:rPr>
                <w:rFonts w:eastAsiaTheme="minorHAnsi"/>
                <w:lang w:val="en-CA"/>
              </w:rPr>
              <w:t xml:space="preserve">population </w:t>
            </w:r>
          </w:p>
        </w:tc>
        <w:tc>
          <w:tcPr>
            <w:tcW w:w="0" w:type="auto"/>
          </w:tcPr>
          <w:p w14:paraId="71D550B2" w14:textId="1A239F07" w:rsidR="00190BA5" w:rsidRPr="00842013" w:rsidRDefault="00190BA5" w:rsidP="00586DB9">
            <w:pPr>
              <w:pStyle w:val="TableTitle"/>
              <w:spacing w:before="0"/>
              <w:contextualSpacing/>
              <w:rPr>
                <w:rFonts w:eastAsiaTheme="minorHAnsi"/>
                <w:lang w:val="en-CA"/>
              </w:rPr>
            </w:pPr>
            <w:r w:rsidRPr="00842013">
              <w:rPr>
                <w:rFonts w:eastAsiaTheme="minorHAnsi"/>
                <w:lang w:val="en-CA"/>
              </w:rPr>
              <w:t>Casual</w:t>
            </w:r>
            <w:r w:rsidR="00586DB9">
              <w:rPr>
                <w:rFonts w:eastAsiaTheme="minorHAnsi"/>
                <w:lang w:val="en-CA"/>
              </w:rPr>
              <w:t xml:space="preserve"> </w:t>
            </w:r>
            <w:r w:rsidRPr="00842013">
              <w:rPr>
                <w:rFonts w:eastAsiaTheme="minorHAnsi"/>
                <w:lang w:val="en-CA"/>
              </w:rPr>
              <w:t>population</w:t>
            </w:r>
          </w:p>
        </w:tc>
        <w:tc>
          <w:tcPr>
            <w:tcW w:w="0" w:type="auto"/>
          </w:tcPr>
          <w:p w14:paraId="64F9AD04" w14:textId="25D39A0D" w:rsidR="00190BA5" w:rsidRPr="00842013" w:rsidRDefault="00190BA5" w:rsidP="00586DB9">
            <w:pPr>
              <w:pStyle w:val="TableTitle"/>
              <w:spacing w:before="0"/>
              <w:contextualSpacing/>
              <w:rPr>
                <w:rFonts w:eastAsiaTheme="minorHAnsi"/>
                <w:lang w:val="en-CA"/>
              </w:rPr>
            </w:pPr>
            <w:r w:rsidRPr="00842013">
              <w:rPr>
                <w:rFonts w:eastAsiaTheme="minorHAnsi"/>
                <w:lang w:val="en-CA"/>
              </w:rPr>
              <w:t>Student</w:t>
            </w:r>
            <w:r w:rsidR="00586DB9">
              <w:rPr>
                <w:rFonts w:eastAsiaTheme="minorHAnsi"/>
                <w:lang w:val="en-CA"/>
              </w:rPr>
              <w:t xml:space="preserve"> </w:t>
            </w:r>
            <w:r w:rsidRPr="00842013">
              <w:rPr>
                <w:rFonts w:eastAsiaTheme="minorHAnsi"/>
                <w:lang w:val="en-CA"/>
              </w:rPr>
              <w:t>population</w:t>
            </w:r>
          </w:p>
        </w:tc>
        <w:tc>
          <w:tcPr>
            <w:tcW w:w="0" w:type="auto"/>
          </w:tcPr>
          <w:p w14:paraId="21CB1D02" w14:textId="171BB2CF" w:rsidR="00190BA5" w:rsidRPr="00842013" w:rsidRDefault="00190BA5" w:rsidP="00586DB9">
            <w:pPr>
              <w:pStyle w:val="TableTitle"/>
              <w:spacing w:before="0"/>
              <w:contextualSpacing/>
              <w:rPr>
                <w:rFonts w:eastAsiaTheme="minorHAnsi"/>
                <w:lang w:val="en-CA"/>
              </w:rPr>
            </w:pPr>
            <w:r w:rsidRPr="00842013">
              <w:rPr>
                <w:rFonts w:eastAsiaTheme="minorHAnsi"/>
                <w:lang w:val="en-CA"/>
              </w:rPr>
              <w:t>Total</w:t>
            </w:r>
            <w:r w:rsidR="00586DB9">
              <w:rPr>
                <w:rFonts w:eastAsiaTheme="minorHAnsi"/>
                <w:lang w:val="en-CA"/>
              </w:rPr>
              <w:t xml:space="preserve"> </w:t>
            </w:r>
            <w:r w:rsidRPr="00842013">
              <w:rPr>
                <w:rFonts w:eastAsiaTheme="minorHAnsi"/>
                <w:lang w:val="en-CA"/>
              </w:rPr>
              <w:t>population</w:t>
            </w:r>
          </w:p>
        </w:tc>
      </w:tr>
      <w:tr w:rsidR="00586DB9" w:rsidRPr="00842013" w14:paraId="53A49917" w14:textId="77777777" w:rsidTr="00AD4BF3">
        <w:trPr>
          <w:cantSplit/>
          <w:trHeight w:val="20"/>
          <w:tblHeader/>
          <w:jc w:val="center"/>
        </w:trPr>
        <w:tc>
          <w:tcPr>
            <w:tcW w:w="0" w:type="auto"/>
          </w:tcPr>
          <w:p w14:paraId="0198890D"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As of March 31, 2014</w:t>
            </w:r>
          </w:p>
        </w:tc>
        <w:tc>
          <w:tcPr>
            <w:tcW w:w="0" w:type="auto"/>
          </w:tcPr>
          <w:p w14:paraId="53CE6CEC"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8 178</w:t>
            </w:r>
          </w:p>
        </w:tc>
        <w:tc>
          <w:tcPr>
            <w:tcW w:w="0" w:type="auto"/>
          </w:tcPr>
          <w:p w14:paraId="3135723A"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590</w:t>
            </w:r>
          </w:p>
        </w:tc>
        <w:tc>
          <w:tcPr>
            <w:tcW w:w="0" w:type="auto"/>
          </w:tcPr>
          <w:p w14:paraId="6A6BEDDD"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394</w:t>
            </w:r>
          </w:p>
        </w:tc>
        <w:tc>
          <w:tcPr>
            <w:tcW w:w="0" w:type="auto"/>
          </w:tcPr>
          <w:p w14:paraId="49912C79"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177</w:t>
            </w:r>
          </w:p>
        </w:tc>
        <w:tc>
          <w:tcPr>
            <w:tcW w:w="0" w:type="auto"/>
          </w:tcPr>
          <w:p w14:paraId="6163FB17"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9 339</w:t>
            </w:r>
          </w:p>
        </w:tc>
      </w:tr>
      <w:tr w:rsidR="00586DB9" w:rsidRPr="00842013" w14:paraId="6D6E0E9B" w14:textId="77777777" w:rsidTr="00AD4BF3">
        <w:trPr>
          <w:cantSplit/>
          <w:trHeight w:val="20"/>
          <w:tblHeader/>
          <w:jc w:val="center"/>
        </w:trPr>
        <w:tc>
          <w:tcPr>
            <w:tcW w:w="0" w:type="auto"/>
          </w:tcPr>
          <w:p w14:paraId="6C91EB3C"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As of March 31, 2015</w:t>
            </w:r>
          </w:p>
        </w:tc>
        <w:tc>
          <w:tcPr>
            <w:tcW w:w="0" w:type="auto"/>
          </w:tcPr>
          <w:p w14:paraId="34FA3B82"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8 105</w:t>
            </w:r>
          </w:p>
        </w:tc>
        <w:tc>
          <w:tcPr>
            <w:tcW w:w="0" w:type="auto"/>
          </w:tcPr>
          <w:p w14:paraId="7EC9B47A"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558</w:t>
            </w:r>
          </w:p>
        </w:tc>
        <w:tc>
          <w:tcPr>
            <w:tcW w:w="0" w:type="auto"/>
          </w:tcPr>
          <w:p w14:paraId="1B1DACC0"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257</w:t>
            </w:r>
          </w:p>
        </w:tc>
        <w:tc>
          <w:tcPr>
            <w:tcW w:w="0" w:type="auto"/>
          </w:tcPr>
          <w:p w14:paraId="5C79021D"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157</w:t>
            </w:r>
          </w:p>
        </w:tc>
        <w:tc>
          <w:tcPr>
            <w:tcW w:w="0" w:type="auto"/>
          </w:tcPr>
          <w:p w14:paraId="2952ED80"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9 077</w:t>
            </w:r>
          </w:p>
        </w:tc>
      </w:tr>
      <w:tr w:rsidR="00586DB9" w:rsidRPr="00842013" w14:paraId="240C842D" w14:textId="77777777" w:rsidTr="00AD4BF3">
        <w:trPr>
          <w:cantSplit/>
          <w:trHeight w:val="20"/>
          <w:tblHeader/>
          <w:jc w:val="center"/>
        </w:trPr>
        <w:tc>
          <w:tcPr>
            <w:tcW w:w="0" w:type="auto"/>
          </w:tcPr>
          <w:p w14:paraId="3233389C"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As of March 31, 2016</w:t>
            </w:r>
          </w:p>
        </w:tc>
        <w:tc>
          <w:tcPr>
            <w:tcW w:w="0" w:type="auto"/>
          </w:tcPr>
          <w:p w14:paraId="720F8C84"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8 078</w:t>
            </w:r>
          </w:p>
        </w:tc>
        <w:tc>
          <w:tcPr>
            <w:tcW w:w="0" w:type="auto"/>
          </w:tcPr>
          <w:p w14:paraId="598E879B"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540</w:t>
            </w:r>
          </w:p>
        </w:tc>
        <w:tc>
          <w:tcPr>
            <w:tcW w:w="0" w:type="auto"/>
          </w:tcPr>
          <w:p w14:paraId="4BF535A0"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344</w:t>
            </w:r>
          </w:p>
        </w:tc>
        <w:tc>
          <w:tcPr>
            <w:tcW w:w="0" w:type="auto"/>
          </w:tcPr>
          <w:p w14:paraId="19171FAE"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225</w:t>
            </w:r>
          </w:p>
        </w:tc>
        <w:tc>
          <w:tcPr>
            <w:tcW w:w="0" w:type="auto"/>
          </w:tcPr>
          <w:p w14:paraId="272726E9"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9 187</w:t>
            </w:r>
          </w:p>
        </w:tc>
      </w:tr>
      <w:tr w:rsidR="00586DB9" w:rsidRPr="00842013" w14:paraId="497A7144" w14:textId="77777777" w:rsidTr="00AD4BF3">
        <w:trPr>
          <w:cantSplit/>
          <w:trHeight w:val="20"/>
          <w:tblHeader/>
          <w:jc w:val="center"/>
        </w:trPr>
        <w:tc>
          <w:tcPr>
            <w:tcW w:w="0" w:type="auto"/>
          </w:tcPr>
          <w:p w14:paraId="0F37696C"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As of March 31, 2017</w:t>
            </w:r>
          </w:p>
        </w:tc>
        <w:tc>
          <w:tcPr>
            <w:tcW w:w="0" w:type="auto"/>
          </w:tcPr>
          <w:p w14:paraId="5BD41B1D"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8 390</w:t>
            </w:r>
          </w:p>
        </w:tc>
        <w:tc>
          <w:tcPr>
            <w:tcW w:w="0" w:type="auto"/>
          </w:tcPr>
          <w:p w14:paraId="7321214A"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540</w:t>
            </w:r>
          </w:p>
        </w:tc>
        <w:tc>
          <w:tcPr>
            <w:tcW w:w="0" w:type="auto"/>
          </w:tcPr>
          <w:p w14:paraId="59071A74"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319</w:t>
            </w:r>
          </w:p>
        </w:tc>
        <w:tc>
          <w:tcPr>
            <w:tcW w:w="0" w:type="auto"/>
          </w:tcPr>
          <w:p w14:paraId="008EB6AD"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214</w:t>
            </w:r>
          </w:p>
        </w:tc>
        <w:tc>
          <w:tcPr>
            <w:tcW w:w="0" w:type="auto"/>
          </w:tcPr>
          <w:p w14:paraId="7E02B8DA"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9 463</w:t>
            </w:r>
          </w:p>
        </w:tc>
      </w:tr>
      <w:tr w:rsidR="00586DB9" w:rsidRPr="00842013" w14:paraId="5689FE10" w14:textId="77777777" w:rsidTr="00AD4BF3">
        <w:trPr>
          <w:cantSplit/>
          <w:trHeight w:val="20"/>
          <w:tblHeader/>
          <w:jc w:val="center"/>
        </w:trPr>
        <w:tc>
          <w:tcPr>
            <w:tcW w:w="0" w:type="auto"/>
          </w:tcPr>
          <w:p w14:paraId="79581CA2"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As of March 31, 2018</w:t>
            </w:r>
          </w:p>
        </w:tc>
        <w:tc>
          <w:tcPr>
            <w:tcW w:w="0" w:type="auto"/>
          </w:tcPr>
          <w:p w14:paraId="444F7860"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8 653</w:t>
            </w:r>
          </w:p>
        </w:tc>
        <w:tc>
          <w:tcPr>
            <w:tcW w:w="0" w:type="auto"/>
          </w:tcPr>
          <w:p w14:paraId="37C9C8BA"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636</w:t>
            </w:r>
          </w:p>
        </w:tc>
        <w:tc>
          <w:tcPr>
            <w:tcW w:w="0" w:type="auto"/>
          </w:tcPr>
          <w:p w14:paraId="532656D8"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364</w:t>
            </w:r>
          </w:p>
        </w:tc>
        <w:tc>
          <w:tcPr>
            <w:tcW w:w="0" w:type="auto"/>
          </w:tcPr>
          <w:p w14:paraId="00DE7D0E"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273</w:t>
            </w:r>
          </w:p>
        </w:tc>
        <w:tc>
          <w:tcPr>
            <w:tcW w:w="0" w:type="auto"/>
          </w:tcPr>
          <w:p w14:paraId="72703ABB"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9 926</w:t>
            </w:r>
          </w:p>
        </w:tc>
      </w:tr>
      <w:tr w:rsidR="00586DB9" w:rsidRPr="00842013" w14:paraId="39783BFB" w14:textId="77777777" w:rsidTr="00AD4BF3">
        <w:trPr>
          <w:cantSplit/>
          <w:trHeight w:val="87"/>
          <w:tblHeader/>
          <w:jc w:val="center"/>
        </w:trPr>
        <w:tc>
          <w:tcPr>
            <w:tcW w:w="0" w:type="auto"/>
          </w:tcPr>
          <w:p w14:paraId="06E48103"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As of March 31, 2019</w:t>
            </w:r>
          </w:p>
        </w:tc>
        <w:tc>
          <w:tcPr>
            <w:tcW w:w="0" w:type="auto"/>
          </w:tcPr>
          <w:p w14:paraId="0735F15D"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9 333</w:t>
            </w:r>
          </w:p>
        </w:tc>
        <w:tc>
          <w:tcPr>
            <w:tcW w:w="0" w:type="auto"/>
          </w:tcPr>
          <w:p w14:paraId="3B7922C6"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830</w:t>
            </w:r>
          </w:p>
        </w:tc>
        <w:tc>
          <w:tcPr>
            <w:tcW w:w="0" w:type="auto"/>
          </w:tcPr>
          <w:p w14:paraId="3137E34B"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358</w:t>
            </w:r>
          </w:p>
        </w:tc>
        <w:tc>
          <w:tcPr>
            <w:tcW w:w="0" w:type="auto"/>
          </w:tcPr>
          <w:p w14:paraId="48177429"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329</w:t>
            </w:r>
          </w:p>
        </w:tc>
        <w:tc>
          <w:tcPr>
            <w:tcW w:w="0" w:type="auto"/>
          </w:tcPr>
          <w:p w14:paraId="46D02069" w14:textId="77777777" w:rsidR="00190BA5" w:rsidRPr="00842013" w:rsidRDefault="00190BA5" w:rsidP="00586DB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10 850</w:t>
            </w:r>
          </w:p>
        </w:tc>
      </w:tr>
    </w:tbl>
    <w:p w14:paraId="3B48BEAE" w14:textId="33467982" w:rsidR="00802052" w:rsidRDefault="00802052" w:rsidP="00802052">
      <w:pPr>
        <w:keepNext/>
        <w:spacing w:before="120" w:after="120"/>
        <w:rPr>
          <w:lang w:val="en-CA"/>
        </w:rPr>
      </w:pPr>
      <w:r w:rsidRPr="00802052">
        <w:rPr>
          <w:rStyle w:val="Titre1Car"/>
          <w:sz w:val="40"/>
          <w:szCs w:val="40"/>
          <w:lang w:val="en-CA"/>
        </w:rPr>
        <w:lastRenderedPageBreak/>
        <w:t>Population by language requirements as of March 31, 2019</w:t>
      </w:r>
      <w:r>
        <w:rPr>
          <w:color w:val="000000"/>
        </w:rPr>
        <w:t xml:space="preserve"> </w:t>
      </w:r>
      <w:r w:rsidRPr="00232375">
        <w:rPr>
          <w:color w:val="2A2B2D" w:themeColor="text1" w:themeShade="80"/>
        </w:rPr>
        <w:t>(</w:t>
      </w:r>
    </w:p>
    <w:p w14:paraId="622B1329" w14:textId="77777777" w:rsidR="00583F59" w:rsidRPr="00842013" w:rsidRDefault="00AB5620" w:rsidP="00842013">
      <w:pPr>
        <w:keepNext/>
        <w:spacing w:before="120" w:after="120"/>
        <w:jc w:val="center"/>
        <w:rPr>
          <w:lang w:val="en-CA"/>
        </w:rPr>
      </w:pPr>
      <w:r w:rsidRPr="00842013">
        <w:rPr>
          <w:rStyle w:val="lev"/>
          <w:noProof/>
          <w:lang w:val="en-CA" w:eastAsia="en-CA"/>
        </w:rPr>
        <w:drawing>
          <wp:inline distT="0" distB="0" distL="0" distR="0" wp14:anchorId="2DB1719D" wp14:editId="30827E09">
            <wp:extent cx="1980000" cy="3020400"/>
            <wp:effectExtent l="0" t="0" r="1270" b="8890"/>
            <wp:docPr id="8" name="Chart 8" descr="Figure 2 - Population by language requirements as of March 31,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8A0CE9" w14:textId="5BC51854" w:rsidR="00AB5620" w:rsidRPr="00842013" w:rsidRDefault="00583F59" w:rsidP="00920412">
      <w:pPr>
        <w:pStyle w:val="Lgende"/>
        <w:spacing w:after="120"/>
        <w:jc w:val="center"/>
        <w:rPr>
          <w:rFonts w:cstheme="minorHAnsi"/>
        </w:rPr>
      </w:pPr>
      <w:r w:rsidRPr="00842013">
        <w:rPr>
          <w:rFonts w:cstheme="minorHAnsi"/>
        </w:rPr>
        <w:t xml:space="preserve">Figure </w:t>
      </w:r>
      <w:r w:rsidRPr="00842013">
        <w:rPr>
          <w:rFonts w:cstheme="minorHAnsi"/>
        </w:rPr>
        <w:fldChar w:fldCharType="begin"/>
      </w:r>
      <w:r w:rsidRPr="00842013">
        <w:rPr>
          <w:rFonts w:cstheme="minorHAnsi"/>
        </w:rPr>
        <w:instrText xml:space="preserve"> SEQ Figure \* ARABIC </w:instrText>
      </w:r>
      <w:r w:rsidRPr="00842013">
        <w:rPr>
          <w:rFonts w:cstheme="minorHAnsi"/>
        </w:rPr>
        <w:fldChar w:fldCharType="separate"/>
      </w:r>
      <w:r w:rsidR="00200978" w:rsidRPr="00842013">
        <w:rPr>
          <w:rFonts w:cstheme="minorHAnsi"/>
          <w:noProof/>
        </w:rPr>
        <w:t>2</w:t>
      </w:r>
      <w:r w:rsidRPr="00842013">
        <w:rPr>
          <w:rFonts w:cstheme="minorHAnsi"/>
        </w:rPr>
        <w:fldChar w:fldCharType="end"/>
      </w:r>
      <w:r w:rsidRPr="00842013">
        <w:rPr>
          <w:rFonts w:cstheme="minorHAnsi"/>
        </w:rPr>
        <w:t xml:space="preserve"> - Population by language requirements as of March 31, 2019</w:t>
      </w:r>
    </w:p>
    <w:p w14:paraId="09B13435" w14:textId="7187FBF2" w:rsidR="00583F59" w:rsidRPr="00842013" w:rsidRDefault="00583F59" w:rsidP="00920412">
      <w:pPr>
        <w:pStyle w:val="Lgende"/>
        <w:keepNext/>
        <w:spacing w:before="120"/>
        <w:jc w:val="center"/>
        <w:rPr>
          <w:rFonts w:cstheme="minorHAnsi"/>
        </w:rPr>
      </w:pPr>
      <w:r w:rsidRPr="00842013">
        <w:rPr>
          <w:rFonts w:cstheme="minorHAnsi"/>
        </w:rPr>
        <w:t xml:space="preserve">Table </w:t>
      </w:r>
      <w:r w:rsidRPr="00842013">
        <w:rPr>
          <w:rFonts w:cstheme="minorHAnsi"/>
        </w:rPr>
        <w:fldChar w:fldCharType="begin"/>
      </w:r>
      <w:r w:rsidRPr="00842013">
        <w:rPr>
          <w:rFonts w:cstheme="minorHAnsi"/>
        </w:rPr>
        <w:instrText xml:space="preserve"> SEQ Table \* ARABIC </w:instrText>
      </w:r>
      <w:r w:rsidRPr="00842013">
        <w:rPr>
          <w:rFonts w:cstheme="minorHAnsi"/>
        </w:rPr>
        <w:fldChar w:fldCharType="separate"/>
      </w:r>
      <w:r w:rsidR="002A0977">
        <w:rPr>
          <w:rFonts w:cstheme="minorHAnsi"/>
          <w:noProof/>
        </w:rPr>
        <w:t>5</w:t>
      </w:r>
      <w:r w:rsidRPr="00842013">
        <w:rPr>
          <w:rFonts w:cstheme="minorHAnsi"/>
        </w:rPr>
        <w:fldChar w:fldCharType="end"/>
      </w:r>
      <w:r w:rsidRPr="00842013">
        <w:rPr>
          <w:rFonts w:cstheme="minorHAnsi"/>
        </w:rPr>
        <w:t xml:space="preserve"> - Public Service Employment Act population by language requirements of the position for fiscal year 2018 to 2019</w:t>
      </w:r>
    </w:p>
    <w:tbl>
      <w:tblPr>
        <w:tblStyle w:val="Grilledutableau"/>
        <w:tblW w:w="0" w:type="auto"/>
        <w:jc w:val="center"/>
        <w:tblLook w:val="0020" w:firstRow="1" w:lastRow="0" w:firstColumn="0" w:lastColumn="0" w:noHBand="0" w:noVBand="0"/>
        <w:tblDescription w:val="Population by language requirements as of March 31, 2019"/>
      </w:tblPr>
      <w:tblGrid>
        <w:gridCol w:w="4079"/>
        <w:gridCol w:w="3376"/>
        <w:gridCol w:w="4828"/>
      </w:tblGrid>
      <w:tr w:rsidR="00583F59" w:rsidRPr="00842013" w14:paraId="38D25A93" w14:textId="77777777" w:rsidTr="007B68FE">
        <w:trPr>
          <w:cantSplit/>
          <w:trHeight w:val="290"/>
          <w:tblHeader/>
          <w:jc w:val="center"/>
        </w:trPr>
        <w:tc>
          <w:tcPr>
            <w:tcW w:w="0" w:type="auto"/>
          </w:tcPr>
          <w:p w14:paraId="6447633E" w14:textId="77777777" w:rsidR="00583F59" w:rsidRPr="00842013" w:rsidRDefault="00583F59" w:rsidP="007B0FA8">
            <w:pPr>
              <w:pStyle w:val="TableTitle"/>
              <w:spacing w:before="0"/>
              <w:rPr>
                <w:lang w:val="en-CA"/>
              </w:rPr>
            </w:pPr>
            <w:r w:rsidRPr="00842013">
              <w:rPr>
                <w:lang w:val="en-CA"/>
              </w:rPr>
              <w:t>Linguistic requirements of the position</w:t>
            </w:r>
          </w:p>
        </w:tc>
        <w:tc>
          <w:tcPr>
            <w:tcW w:w="0" w:type="auto"/>
          </w:tcPr>
          <w:p w14:paraId="21B729FA" w14:textId="77777777" w:rsidR="00583F59" w:rsidRPr="00842013" w:rsidRDefault="00583F59" w:rsidP="007B0FA8">
            <w:pPr>
              <w:pStyle w:val="TableTitle"/>
              <w:spacing w:before="0"/>
              <w:rPr>
                <w:lang w:val="en-CA"/>
              </w:rPr>
            </w:pPr>
            <w:r w:rsidRPr="00842013">
              <w:rPr>
                <w:lang w:val="en-CA"/>
              </w:rPr>
              <w:t>Population as of March 31, 2019</w:t>
            </w:r>
          </w:p>
        </w:tc>
        <w:tc>
          <w:tcPr>
            <w:tcW w:w="0" w:type="auto"/>
          </w:tcPr>
          <w:p w14:paraId="0AD2173E" w14:textId="77777777" w:rsidR="00583F59" w:rsidRPr="00842013" w:rsidRDefault="00583F59" w:rsidP="007B0FA8">
            <w:pPr>
              <w:pStyle w:val="TableTitle"/>
              <w:spacing w:before="0"/>
              <w:rPr>
                <w:lang w:val="en-CA"/>
              </w:rPr>
            </w:pPr>
            <w:r w:rsidRPr="00842013">
              <w:rPr>
                <w:lang w:val="en-CA"/>
              </w:rPr>
              <w:t>Percentage of population as of March 31, 2019</w:t>
            </w:r>
          </w:p>
        </w:tc>
      </w:tr>
      <w:tr w:rsidR="00583F59" w:rsidRPr="00842013" w14:paraId="51156230" w14:textId="77777777" w:rsidTr="007B68FE">
        <w:trPr>
          <w:cantSplit/>
          <w:trHeight w:val="290"/>
          <w:tblHeader/>
          <w:jc w:val="center"/>
        </w:trPr>
        <w:tc>
          <w:tcPr>
            <w:tcW w:w="0" w:type="auto"/>
          </w:tcPr>
          <w:p w14:paraId="78E983F4" w14:textId="77777777" w:rsidR="00583F59" w:rsidRPr="00842013" w:rsidRDefault="00583F59" w:rsidP="007B0FA8">
            <w:pPr>
              <w:autoSpaceDE w:val="0"/>
              <w:autoSpaceDN w:val="0"/>
              <w:adjustRightInd w:val="0"/>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 xml:space="preserve">Bilingual </w:t>
            </w:r>
          </w:p>
        </w:tc>
        <w:tc>
          <w:tcPr>
            <w:tcW w:w="0" w:type="auto"/>
          </w:tcPr>
          <w:p w14:paraId="31781D94" w14:textId="77777777" w:rsidR="00583F59" w:rsidRPr="00842013" w:rsidRDefault="00583F59" w:rsidP="007B0FA8">
            <w:pPr>
              <w:autoSpaceDE w:val="0"/>
              <w:autoSpaceDN w:val="0"/>
              <w:adjustRightInd w:val="0"/>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3552</w:t>
            </w:r>
          </w:p>
        </w:tc>
        <w:tc>
          <w:tcPr>
            <w:tcW w:w="0" w:type="auto"/>
          </w:tcPr>
          <w:p w14:paraId="68138D02" w14:textId="77777777" w:rsidR="00583F59" w:rsidRPr="00842013" w:rsidRDefault="00583F59" w:rsidP="007B0FA8">
            <w:pPr>
              <w:autoSpaceDE w:val="0"/>
              <w:autoSpaceDN w:val="0"/>
              <w:adjustRightInd w:val="0"/>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36%</w:t>
            </w:r>
          </w:p>
        </w:tc>
      </w:tr>
      <w:tr w:rsidR="00583F59" w:rsidRPr="00842013" w14:paraId="26D81D12" w14:textId="77777777" w:rsidTr="007B68FE">
        <w:trPr>
          <w:cantSplit/>
          <w:trHeight w:val="290"/>
          <w:tblHeader/>
          <w:jc w:val="center"/>
        </w:trPr>
        <w:tc>
          <w:tcPr>
            <w:tcW w:w="0" w:type="auto"/>
          </w:tcPr>
          <w:p w14:paraId="3C64AAD2" w14:textId="77777777" w:rsidR="00583F59" w:rsidRPr="00842013" w:rsidRDefault="00583F59" w:rsidP="007B0FA8">
            <w:pPr>
              <w:autoSpaceDE w:val="0"/>
              <w:autoSpaceDN w:val="0"/>
              <w:adjustRightInd w:val="0"/>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Unilingual</w:t>
            </w:r>
          </w:p>
        </w:tc>
        <w:tc>
          <w:tcPr>
            <w:tcW w:w="0" w:type="auto"/>
          </w:tcPr>
          <w:p w14:paraId="7CFA1CE4" w14:textId="77777777" w:rsidR="00583F59" w:rsidRPr="00842013" w:rsidRDefault="00583F59" w:rsidP="007B0FA8">
            <w:pPr>
              <w:autoSpaceDE w:val="0"/>
              <w:autoSpaceDN w:val="0"/>
              <w:adjustRightInd w:val="0"/>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6 241</w:t>
            </w:r>
          </w:p>
        </w:tc>
        <w:tc>
          <w:tcPr>
            <w:tcW w:w="0" w:type="auto"/>
          </w:tcPr>
          <w:p w14:paraId="22335888" w14:textId="77777777" w:rsidR="00583F59" w:rsidRPr="00842013" w:rsidRDefault="00583F59" w:rsidP="007B0FA8">
            <w:pPr>
              <w:autoSpaceDE w:val="0"/>
              <w:autoSpaceDN w:val="0"/>
              <w:adjustRightInd w:val="0"/>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64%</w:t>
            </w:r>
          </w:p>
        </w:tc>
      </w:tr>
      <w:tr w:rsidR="00583F59" w:rsidRPr="00842013" w14:paraId="18DB78E9" w14:textId="77777777" w:rsidTr="007B68FE">
        <w:trPr>
          <w:cantSplit/>
          <w:trHeight w:val="290"/>
          <w:tblHeader/>
          <w:jc w:val="center"/>
        </w:trPr>
        <w:tc>
          <w:tcPr>
            <w:tcW w:w="0" w:type="auto"/>
          </w:tcPr>
          <w:p w14:paraId="4BDFEFD7" w14:textId="77777777" w:rsidR="00583F59" w:rsidRPr="00842013" w:rsidRDefault="00583F59" w:rsidP="007B0FA8">
            <w:pPr>
              <w:autoSpaceDE w:val="0"/>
              <w:autoSpaceDN w:val="0"/>
              <w:adjustRightInd w:val="0"/>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Unknown</w:t>
            </w:r>
          </w:p>
        </w:tc>
        <w:tc>
          <w:tcPr>
            <w:tcW w:w="0" w:type="auto"/>
          </w:tcPr>
          <w:p w14:paraId="6900DCB3" w14:textId="77777777" w:rsidR="00583F59" w:rsidRPr="00842013" w:rsidRDefault="00583F59" w:rsidP="007B0FA8">
            <w:pPr>
              <w:autoSpaceDE w:val="0"/>
              <w:autoSpaceDN w:val="0"/>
              <w:adjustRightInd w:val="0"/>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1 057</w:t>
            </w:r>
          </w:p>
        </w:tc>
        <w:tc>
          <w:tcPr>
            <w:tcW w:w="0" w:type="auto"/>
          </w:tcPr>
          <w:p w14:paraId="611FB7CF" w14:textId="77777777" w:rsidR="00583F59" w:rsidRPr="00842013" w:rsidRDefault="00583F59" w:rsidP="007B0FA8">
            <w:pPr>
              <w:autoSpaceDE w:val="0"/>
              <w:autoSpaceDN w:val="0"/>
              <w:adjustRightInd w:val="0"/>
              <w:jc w:val="center"/>
              <w:rPr>
                <w:rFonts w:asciiTheme="minorHAnsi" w:eastAsiaTheme="minorHAnsi" w:hAnsiTheme="minorHAnsi" w:cstheme="minorHAnsi"/>
                <w:color w:val="000000"/>
                <w:sz w:val="22"/>
                <w:szCs w:val="22"/>
                <w:lang w:val="en-CA"/>
              </w:rPr>
            </w:pPr>
          </w:p>
        </w:tc>
      </w:tr>
    </w:tbl>
    <w:p w14:paraId="1B6881D0" w14:textId="77777777" w:rsidR="00984CDF" w:rsidRPr="00984CDF" w:rsidRDefault="00984CDF" w:rsidP="00984CDF">
      <w:pPr>
        <w:pStyle w:val="Titre1"/>
        <w:spacing w:before="120" w:after="120"/>
        <w:rPr>
          <w:sz w:val="40"/>
          <w:szCs w:val="40"/>
          <w:lang w:val="en-CA" w:eastAsia="en-CA"/>
        </w:rPr>
      </w:pPr>
      <w:r w:rsidRPr="00984CDF">
        <w:rPr>
          <w:sz w:val="40"/>
          <w:szCs w:val="40"/>
          <w:lang w:eastAsia="en-CA"/>
        </w:rPr>
        <w:lastRenderedPageBreak/>
        <w:t>Population by occupational group as of March 31, 2019</w:t>
      </w:r>
    </w:p>
    <w:p w14:paraId="28E953C4" w14:textId="46E9B8B2" w:rsidR="00826BE2" w:rsidRPr="00842013" w:rsidRDefault="00AB5620" w:rsidP="00192FAE">
      <w:pPr>
        <w:keepNext/>
        <w:spacing w:before="120" w:after="120"/>
        <w:jc w:val="center"/>
        <w:rPr>
          <w:lang w:val="en-CA"/>
        </w:rPr>
      </w:pPr>
      <w:r w:rsidRPr="00842013">
        <w:rPr>
          <w:rStyle w:val="lev"/>
          <w:noProof/>
          <w:lang w:val="en-CA" w:eastAsia="en-CA"/>
        </w:rPr>
        <w:drawing>
          <wp:inline distT="0" distB="0" distL="0" distR="0" wp14:anchorId="4595A81D" wp14:editId="195F4517">
            <wp:extent cx="1980000" cy="3020400"/>
            <wp:effectExtent l="0" t="0" r="1270" b="8890"/>
            <wp:docPr id="5" name="Chart 5" descr="Figure 3 - Population by occupational group as of March 31,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984CDF">
        <w:rPr>
          <w:lang w:val="en-CA"/>
        </w:rPr>
        <w:br w:type="textWrapping" w:clear="all"/>
      </w:r>
    </w:p>
    <w:p w14:paraId="62CE70E8" w14:textId="45140DF1" w:rsidR="00AB5620" w:rsidRPr="00842013" w:rsidRDefault="00826BE2" w:rsidP="00920412">
      <w:pPr>
        <w:pStyle w:val="Lgende"/>
        <w:spacing w:before="120" w:after="120"/>
        <w:jc w:val="center"/>
        <w:rPr>
          <w:rFonts w:cstheme="minorHAnsi"/>
        </w:rPr>
      </w:pPr>
      <w:r w:rsidRPr="00842013">
        <w:rPr>
          <w:rFonts w:cstheme="minorHAnsi"/>
        </w:rPr>
        <w:t xml:space="preserve">Figure </w:t>
      </w:r>
      <w:r w:rsidRPr="00842013">
        <w:rPr>
          <w:rFonts w:cstheme="minorHAnsi"/>
        </w:rPr>
        <w:fldChar w:fldCharType="begin"/>
      </w:r>
      <w:r w:rsidRPr="00842013">
        <w:rPr>
          <w:rFonts w:cstheme="minorHAnsi"/>
        </w:rPr>
        <w:instrText xml:space="preserve"> SEQ Figure \* ARABIC </w:instrText>
      </w:r>
      <w:r w:rsidRPr="00842013">
        <w:rPr>
          <w:rFonts w:cstheme="minorHAnsi"/>
        </w:rPr>
        <w:fldChar w:fldCharType="separate"/>
      </w:r>
      <w:r w:rsidR="00200978" w:rsidRPr="00842013">
        <w:rPr>
          <w:rFonts w:cstheme="minorHAnsi"/>
          <w:noProof/>
        </w:rPr>
        <w:t>3</w:t>
      </w:r>
      <w:r w:rsidRPr="00842013">
        <w:rPr>
          <w:rFonts w:cstheme="minorHAnsi"/>
        </w:rPr>
        <w:fldChar w:fldCharType="end"/>
      </w:r>
      <w:r w:rsidRPr="00842013">
        <w:rPr>
          <w:rFonts w:cstheme="minorHAnsi"/>
        </w:rPr>
        <w:t xml:space="preserve"> - Population by occupational group as of March 31, 2019</w:t>
      </w:r>
    </w:p>
    <w:p w14:paraId="4EB64D68" w14:textId="4BA5F014" w:rsidR="00826BE2" w:rsidRPr="00842013" w:rsidRDefault="00826BE2" w:rsidP="00920412">
      <w:pPr>
        <w:pStyle w:val="Lgende"/>
        <w:keepNext/>
        <w:spacing w:before="120"/>
        <w:jc w:val="center"/>
        <w:rPr>
          <w:rFonts w:cstheme="minorHAnsi"/>
        </w:rPr>
      </w:pPr>
      <w:r w:rsidRPr="00842013">
        <w:rPr>
          <w:rFonts w:cstheme="minorHAnsi"/>
        </w:rPr>
        <w:t xml:space="preserve">Table </w:t>
      </w:r>
      <w:r w:rsidRPr="00842013">
        <w:rPr>
          <w:rFonts w:cstheme="minorHAnsi"/>
        </w:rPr>
        <w:fldChar w:fldCharType="begin"/>
      </w:r>
      <w:r w:rsidRPr="00842013">
        <w:rPr>
          <w:rFonts w:cstheme="minorHAnsi"/>
        </w:rPr>
        <w:instrText xml:space="preserve"> SEQ Table \* ARABIC </w:instrText>
      </w:r>
      <w:r w:rsidRPr="00842013">
        <w:rPr>
          <w:rFonts w:cstheme="minorHAnsi"/>
        </w:rPr>
        <w:fldChar w:fldCharType="separate"/>
      </w:r>
      <w:r w:rsidR="002A0977">
        <w:rPr>
          <w:rFonts w:cstheme="minorHAnsi"/>
          <w:noProof/>
        </w:rPr>
        <w:t>6</w:t>
      </w:r>
      <w:r w:rsidRPr="00842013">
        <w:rPr>
          <w:rFonts w:cstheme="minorHAnsi"/>
        </w:rPr>
        <w:fldChar w:fldCharType="end"/>
      </w:r>
      <w:r w:rsidRPr="00842013">
        <w:rPr>
          <w:rFonts w:cstheme="minorHAnsi"/>
        </w:rPr>
        <w:t xml:space="preserve"> - Top occupational groups, as a percentage of the Public Service Employment Act population for fiscal year 2018 to 2019</w:t>
      </w:r>
    </w:p>
    <w:tbl>
      <w:tblPr>
        <w:tblStyle w:val="Grilledutableau"/>
        <w:tblW w:w="5000" w:type="pct"/>
        <w:jc w:val="center"/>
        <w:tblLook w:val="0020" w:firstRow="1" w:lastRow="0" w:firstColumn="0" w:lastColumn="0" w:noHBand="0" w:noVBand="0"/>
        <w:tblDescription w:val="Population by occupational group as of March 31, 2019"/>
      </w:tblPr>
      <w:tblGrid>
        <w:gridCol w:w="4956"/>
        <w:gridCol w:w="3882"/>
        <w:gridCol w:w="5552"/>
      </w:tblGrid>
      <w:tr w:rsidR="00826BE2" w:rsidRPr="00842013" w14:paraId="54680E42" w14:textId="77777777" w:rsidTr="007B68FE">
        <w:trPr>
          <w:trHeight w:val="290"/>
          <w:tblHeader/>
          <w:jc w:val="center"/>
        </w:trPr>
        <w:tc>
          <w:tcPr>
            <w:tcW w:w="1722" w:type="pct"/>
          </w:tcPr>
          <w:p w14:paraId="6830176C" w14:textId="77777777" w:rsidR="00826BE2" w:rsidRPr="00842013" w:rsidRDefault="00826BE2" w:rsidP="007B0FA8">
            <w:pPr>
              <w:pStyle w:val="TableTitle"/>
              <w:spacing w:before="0"/>
              <w:rPr>
                <w:rFonts w:eastAsiaTheme="minorHAnsi"/>
                <w:color w:val="000000"/>
                <w:lang w:val="en-CA"/>
              </w:rPr>
            </w:pPr>
            <w:r w:rsidRPr="00842013">
              <w:rPr>
                <w:rFonts w:eastAsiaTheme="minorHAnsi"/>
                <w:lang w:val="en-CA"/>
              </w:rPr>
              <w:t>Occupational group</w:t>
            </w:r>
          </w:p>
        </w:tc>
        <w:tc>
          <w:tcPr>
            <w:tcW w:w="1349" w:type="pct"/>
          </w:tcPr>
          <w:p w14:paraId="17FF8139" w14:textId="77777777" w:rsidR="00826BE2" w:rsidRPr="00842013" w:rsidRDefault="00826BE2" w:rsidP="007B0FA8">
            <w:pPr>
              <w:pStyle w:val="TableTitle"/>
              <w:spacing w:before="0"/>
              <w:rPr>
                <w:rFonts w:eastAsiaTheme="minorHAnsi"/>
                <w:color w:val="000000"/>
                <w:lang w:val="en-CA"/>
              </w:rPr>
            </w:pPr>
            <w:r w:rsidRPr="00842013">
              <w:rPr>
                <w:rFonts w:eastAsiaTheme="minorHAnsi"/>
                <w:lang w:val="en-CA"/>
              </w:rPr>
              <w:t>Population as of March 31, 2019</w:t>
            </w:r>
          </w:p>
        </w:tc>
        <w:tc>
          <w:tcPr>
            <w:tcW w:w="1929" w:type="pct"/>
          </w:tcPr>
          <w:p w14:paraId="400D2C44" w14:textId="77777777" w:rsidR="00826BE2" w:rsidRPr="00842013" w:rsidRDefault="00826BE2" w:rsidP="007B0FA8">
            <w:pPr>
              <w:pStyle w:val="TableTitle"/>
              <w:spacing w:before="0"/>
              <w:rPr>
                <w:rFonts w:eastAsiaTheme="minorHAnsi"/>
                <w:lang w:val="en-CA"/>
              </w:rPr>
            </w:pPr>
            <w:r w:rsidRPr="00842013">
              <w:rPr>
                <w:rFonts w:eastAsiaTheme="minorHAnsi"/>
                <w:lang w:val="en-CA"/>
              </w:rPr>
              <w:t>Percentage of population as of March 31, 2019</w:t>
            </w:r>
          </w:p>
        </w:tc>
      </w:tr>
      <w:tr w:rsidR="00826BE2" w:rsidRPr="00842013" w14:paraId="2D7A3A30" w14:textId="77777777" w:rsidTr="007B68FE">
        <w:trPr>
          <w:trHeight w:val="290"/>
          <w:tblHeader/>
          <w:jc w:val="center"/>
        </w:trPr>
        <w:tc>
          <w:tcPr>
            <w:tcW w:w="1722" w:type="pct"/>
          </w:tcPr>
          <w:p w14:paraId="36F7E6D9" w14:textId="77777777" w:rsidR="00826BE2" w:rsidRPr="00842013" w:rsidRDefault="00826BE2" w:rsidP="007B0FA8">
            <w:pPr>
              <w:autoSpaceDE w:val="0"/>
              <w:autoSpaceDN w:val="0"/>
              <w:adjustRightInd w:val="0"/>
              <w:rPr>
                <w:rFonts w:ascii="Segoe UI Semilight" w:eastAsiaTheme="minorHAnsi" w:hAnsi="Segoe UI Semilight" w:cs="Segoe UI Semilight"/>
                <w:color w:val="000000"/>
                <w:sz w:val="22"/>
                <w:szCs w:val="22"/>
                <w:lang w:val="en-CA"/>
              </w:rPr>
            </w:pPr>
            <w:r w:rsidRPr="00842013">
              <w:rPr>
                <w:rFonts w:ascii="Segoe UI Semilight" w:eastAsiaTheme="minorHAnsi" w:hAnsi="Segoe UI Semilight" w:cs="Segoe UI Semilight"/>
                <w:color w:val="000000"/>
                <w:sz w:val="22"/>
                <w:szCs w:val="22"/>
                <w:lang w:val="en-CA"/>
              </w:rPr>
              <w:t>AS – Administrative Services</w:t>
            </w:r>
          </w:p>
        </w:tc>
        <w:tc>
          <w:tcPr>
            <w:tcW w:w="1349" w:type="pct"/>
          </w:tcPr>
          <w:p w14:paraId="5F5FE9BF" w14:textId="77777777" w:rsidR="00826BE2" w:rsidRPr="00842013" w:rsidRDefault="00826BE2" w:rsidP="007B0FA8">
            <w:pPr>
              <w:autoSpaceDE w:val="0"/>
              <w:autoSpaceDN w:val="0"/>
              <w:adjustRightInd w:val="0"/>
              <w:jc w:val="center"/>
              <w:rPr>
                <w:rFonts w:ascii="Segoe UI Semilight" w:eastAsiaTheme="minorHAnsi" w:hAnsi="Segoe UI Semilight" w:cs="Segoe UI Semilight"/>
                <w:color w:val="000000"/>
                <w:sz w:val="22"/>
                <w:szCs w:val="22"/>
                <w:lang w:val="en-CA"/>
              </w:rPr>
            </w:pPr>
            <w:r w:rsidRPr="00842013">
              <w:rPr>
                <w:rFonts w:ascii="Segoe UI Semilight" w:eastAsiaTheme="minorHAnsi" w:hAnsi="Segoe UI Semilight" w:cs="Segoe UI Semilight"/>
                <w:color w:val="000000"/>
                <w:sz w:val="22"/>
                <w:szCs w:val="22"/>
                <w:lang w:val="en-CA"/>
              </w:rPr>
              <w:t>1 669</w:t>
            </w:r>
          </w:p>
        </w:tc>
        <w:tc>
          <w:tcPr>
            <w:tcW w:w="1929" w:type="pct"/>
          </w:tcPr>
          <w:p w14:paraId="7D973932" w14:textId="77777777" w:rsidR="00826BE2" w:rsidRPr="00842013" w:rsidRDefault="00826BE2" w:rsidP="007B0FA8">
            <w:pPr>
              <w:autoSpaceDE w:val="0"/>
              <w:autoSpaceDN w:val="0"/>
              <w:adjustRightInd w:val="0"/>
              <w:jc w:val="center"/>
              <w:rPr>
                <w:rFonts w:ascii="Segoe UI Semilight" w:eastAsiaTheme="minorHAnsi" w:hAnsi="Segoe UI Semilight" w:cs="Segoe UI Semilight"/>
                <w:color w:val="000000"/>
                <w:sz w:val="22"/>
                <w:szCs w:val="22"/>
                <w:lang w:val="en-CA"/>
              </w:rPr>
            </w:pPr>
            <w:r w:rsidRPr="00842013">
              <w:rPr>
                <w:rFonts w:ascii="Segoe UI Semilight" w:eastAsiaTheme="minorHAnsi" w:hAnsi="Segoe UI Semilight" w:cs="Segoe UI Semilight"/>
                <w:color w:val="000000"/>
                <w:sz w:val="22"/>
                <w:szCs w:val="22"/>
                <w:lang w:val="en-CA"/>
              </w:rPr>
              <w:t>16%</w:t>
            </w:r>
          </w:p>
        </w:tc>
      </w:tr>
      <w:tr w:rsidR="00826BE2" w:rsidRPr="00842013" w14:paraId="38483F6D" w14:textId="77777777" w:rsidTr="007B68FE">
        <w:trPr>
          <w:trHeight w:val="290"/>
          <w:tblHeader/>
          <w:jc w:val="center"/>
        </w:trPr>
        <w:tc>
          <w:tcPr>
            <w:tcW w:w="1722" w:type="pct"/>
          </w:tcPr>
          <w:p w14:paraId="45170334" w14:textId="77777777" w:rsidR="00826BE2" w:rsidRPr="00842013" w:rsidRDefault="00826BE2" w:rsidP="007B0FA8">
            <w:pPr>
              <w:autoSpaceDE w:val="0"/>
              <w:autoSpaceDN w:val="0"/>
              <w:adjustRightInd w:val="0"/>
              <w:rPr>
                <w:rFonts w:ascii="Segoe UI Semilight" w:eastAsiaTheme="minorHAnsi" w:hAnsi="Segoe UI Semilight" w:cs="Segoe UI Semilight"/>
                <w:color w:val="000000"/>
                <w:sz w:val="22"/>
                <w:szCs w:val="22"/>
                <w:lang w:val="en-CA"/>
              </w:rPr>
            </w:pPr>
            <w:r w:rsidRPr="00842013">
              <w:rPr>
                <w:rFonts w:ascii="Segoe UI Semilight" w:eastAsiaTheme="minorHAnsi" w:hAnsi="Segoe UI Semilight" w:cs="Segoe UI Semilight"/>
                <w:color w:val="000000"/>
                <w:sz w:val="22"/>
                <w:szCs w:val="22"/>
                <w:lang w:val="en-CA"/>
              </w:rPr>
              <w:t>EC – Economics and Social Science Services</w:t>
            </w:r>
          </w:p>
        </w:tc>
        <w:tc>
          <w:tcPr>
            <w:tcW w:w="1349" w:type="pct"/>
          </w:tcPr>
          <w:p w14:paraId="1EE2AB79" w14:textId="77777777" w:rsidR="00826BE2" w:rsidRPr="00842013" w:rsidRDefault="00826BE2" w:rsidP="007B0FA8">
            <w:pPr>
              <w:autoSpaceDE w:val="0"/>
              <w:autoSpaceDN w:val="0"/>
              <w:adjustRightInd w:val="0"/>
              <w:jc w:val="center"/>
              <w:rPr>
                <w:rFonts w:ascii="Segoe UI Semilight" w:eastAsiaTheme="minorHAnsi" w:hAnsi="Segoe UI Semilight" w:cs="Segoe UI Semilight"/>
                <w:color w:val="000000"/>
                <w:sz w:val="22"/>
                <w:szCs w:val="22"/>
                <w:lang w:val="en-CA"/>
              </w:rPr>
            </w:pPr>
            <w:r w:rsidRPr="00842013">
              <w:rPr>
                <w:rFonts w:ascii="Segoe UI Semilight" w:eastAsiaTheme="minorHAnsi" w:hAnsi="Segoe UI Semilight" w:cs="Segoe UI Semilight"/>
                <w:color w:val="000000"/>
                <w:sz w:val="22"/>
                <w:szCs w:val="22"/>
                <w:lang w:val="en-CA"/>
              </w:rPr>
              <w:t>1 274</w:t>
            </w:r>
          </w:p>
        </w:tc>
        <w:tc>
          <w:tcPr>
            <w:tcW w:w="1929" w:type="pct"/>
          </w:tcPr>
          <w:p w14:paraId="78D902AA" w14:textId="77777777" w:rsidR="00826BE2" w:rsidRPr="00842013" w:rsidRDefault="00826BE2" w:rsidP="007B0FA8">
            <w:pPr>
              <w:autoSpaceDE w:val="0"/>
              <w:autoSpaceDN w:val="0"/>
              <w:adjustRightInd w:val="0"/>
              <w:jc w:val="center"/>
              <w:rPr>
                <w:rFonts w:ascii="Segoe UI Semilight" w:eastAsiaTheme="minorHAnsi" w:hAnsi="Segoe UI Semilight" w:cs="Segoe UI Semilight"/>
                <w:color w:val="000000"/>
                <w:sz w:val="22"/>
                <w:szCs w:val="22"/>
                <w:lang w:val="en-CA"/>
              </w:rPr>
            </w:pPr>
            <w:r w:rsidRPr="00842013">
              <w:rPr>
                <w:rFonts w:ascii="Segoe UI Semilight" w:eastAsiaTheme="minorHAnsi" w:hAnsi="Segoe UI Semilight" w:cs="Segoe UI Semilight"/>
                <w:color w:val="000000"/>
                <w:sz w:val="22"/>
                <w:szCs w:val="22"/>
                <w:lang w:val="en-CA"/>
              </w:rPr>
              <w:t>12%</w:t>
            </w:r>
          </w:p>
        </w:tc>
      </w:tr>
      <w:tr w:rsidR="00826BE2" w:rsidRPr="00842013" w14:paraId="200F6BFE" w14:textId="77777777" w:rsidTr="007B68FE">
        <w:trPr>
          <w:trHeight w:val="290"/>
          <w:tblHeader/>
          <w:jc w:val="center"/>
        </w:trPr>
        <w:tc>
          <w:tcPr>
            <w:tcW w:w="1722" w:type="pct"/>
          </w:tcPr>
          <w:p w14:paraId="46B60241" w14:textId="77777777" w:rsidR="00826BE2" w:rsidRPr="00842013" w:rsidRDefault="00826BE2" w:rsidP="007B0FA8">
            <w:pPr>
              <w:autoSpaceDE w:val="0"/>
              <w:autoSpaceDN w:val="0"/>
              <w:adjustRightInd w:val="0"/>
              <w:rPr>
                <w:rFonts w:ascii="Segoe UI Semilight" w:eastAsiaTheme="minorHAnsi" w:hAnsi="Segoe UI Semilight" w:cs="Segoe UI Semilight"/>
                <w:color w:val="000000"/>
                <w:sz w:val="22"/>
                <w:szCs w:val="22"/>
                <w:lang w:val="en-CA"/>
              </w:rPr>
            </w:pPr>
            <w:r w:rsidRPr="00842013">
              <w:rPr>
                <w:rFonts w:ascii="Segoe UI Semilight" w:eastAsiaTheme="minorHAnsi" w:hAnsi="Segoe UI Semilight" w:cs="Segoe UI Semilight"/>
                <w:color w:val="000000"/>
                <w:sz w:val="22"/>
                <w:szCs w:val="22"/>
                <w:lang w:val="en-CA"/>
              </w:rPr>
              <w:t>SG – Scientific Regulation</w:t>
            </w:r>
          </w:p>
        </w:tc>
        <w:tc>
          <w:tcPr>
            <w:tcW w:w="1349" w:type="pct"/>
          </w:tcPr>
          <w:p w14:paraId="4F81404B" w14:textId="77777777" w:rsidR="00826BE2" w:rsidRPr="00842013" w:rsidRDefault="00826BE2" w:rsidP="007B0FA8">
            <w:pPr>
              <w:autoSpaceDE w:val="0"/>
              <w:autoSpaceDN w:val="0"/>
              <w:adjustRightInd w:val="0"/>
              <w:jc w:val="center"/>
              <w:rPr>
                <w:rFonts w:ascii="Segoe UI Semilight" w:eastAsiaTheme="minorHAnsi" w:hAnsi="Segoe UI Semilight" w:cs="Segoe UI Semilight"/>
                <w:color w:val="000000"/>
                <w:sz w:val="22"/>
                <w:szCs w:val="22"/>
                <w:lang w:val="en-CA"/>
              </w:rPr>
            </w:pPr>
            <w:r w:rsidRPr="00842013">
              <w:rPr>
                <w:rFonts w:ascii="Segoe UI Semilight" w:eastAsiaTheme="minorHAnsi" w:hAnsi="Segoe UI Semilight" w:cs="Segoe UI Semilight"/>
                <w:color w:val="000000"/>
                <w:sz w:val="22"/>
                <w:szCs w:val="22"/>
                <w:lang w:val="en-CA"/>
              </w:rPr>
              <w:t>1 130</w:t>
            </w:r>
          </w:p>
        </w:tc>
        <w:tc>
          <w:tcPr>
            <w:tcW w:w="1929" w:type="pct"/>
          </w:tcPr>
          <w:p w14:paraId="2C8C5E6E" w14:textId="77777777" w:rsidR="00826BE2" w:rsidRPr="00842013" w:rsidRDefault="00826BE2" w:rsidP="007B0FA8">
            <w:pPr>
              <w:autoSpaceDE w:val="0"/>
              <w:autoSpaceDN w:val="0"/>
              <w:adjustRightInd w:val="0"/>
              <w:jc w:val="center"/>
              <w:rPr>
                <w:rFonts w:ascii="Segoe UI Semilight" w:eastAsiaTheme="minorHAnsi" w:hAnsi="Segoe UI Semilight" w:cs="Segoe UI Semilight"/>
                <w:color w:val="000000"/>
                <w:sz w:val="22"/>
                <w:szCs w:val="22"/>
                <w:lang w:val="en-CA"/>
              </w:rPr>
            </w:pPr>
            <w:r w:rsidRPr="00842013">
              <w:rPr>
                <w:rFonts w:ascii="Segoe UI Semilight" w:eastAsiaTheme="minorHAnsi" w:hAnsi="Segoe UI Semilight" w:cs="Segoe UI Semilight"/>
                <w:color w:val="000000"/>
                <w:sz w:val="22"/>
                <w:szCs w:val="22"/>
                <w:lang w:val="en-CA"/>
              </w:rPr>
              <w:t>11%</w:t>
            </w:r>
          </w:p>
        </w:tc>
      </w:tr>
      <w:tr w:rsidR="00826BE2" w:rsidRPr="00842013" w14:paraId="29565948" w14:textId="77777777" w:rsidTr="007B68FE">
        <w:trPr>
          <w:trHeight w:val="290"/>
          <w:tblHeader/>
          <w:jc w:val="center"/>
        </w:trPr>
        <w:tc>
          <w:tcPr>
            <w:tcW w:w="1722" w:type="pct"/>
          </w:tcPr>
          <w:p w14:paraId="0AAEB470" w14:textId="77777777" w:rsidR="00826BE2" w:rsidRPr="00842013" w:rsidRDefault="00826BE2" w:rsidP="007B0FA8">
            <w:pPr>
              <w:autoSpaceDE w:val="0"/>
              <w:autoSpaceDN w:val="0"/>
              <w:adjustRightInd w:val="0"/>
              <w:rPr>
                <w:rFonts w:ascii="Segoe UI Semilight" w:eastAsiaTheme="minorHAnsi" w:hAnsi="Segoe UI Semilight" w:cs="Segoe UI Semilight"/>
                <w:color w:val="000000"/>
                <w:sz w:val="22"/>
                <w:szCs w:val="22"/>
                <w:lang w:val="en-CA"/>
              </w:rPr>
            </w:pPr>
            <w:r w:rsidRPr="00842013">
              <w:rPr>
                <w:rFonts w:ascii="Segoe UI Semilight" w:eastAsiaTheme="minorHAnsi" w:hAnsi="Segoe UI Semilight" w:cs="Segoe UI Semilight"/>
                <w:color w:val="000000"/>
                <w:sz w:val="22"/>
                <w:szCs w:val="22"/>
                <w:lang w:val="en-CA"/>
              </w:rPr>
              <w:t>BI – Biological Sciences</w:t>
            </w:r>
          </w:p>
        </w:tc>
        <w:tc>
          <w:tcPr>
            <w:tcW w:w="1349" w:type="pct"/>
          </w:tcPr>
          <w:p w14:paraId="6B4CD2E6" w14:textId="77777777" w:rsidR="00826BE2" w:rsidRPr="00842013" w:rsidRDefault="00826BE2" w:rsidP="007B0FA8">
            <w:pPr>
              <w:autoSpaceDE w:val="0"/>
              <w:autoSpaceDN w:val="0"/>
              <w:adjustRightInd w:val="0"/>
              <w:jc w:val="center"/>
              <w:rPr>
                <w:rFonts w:ascii="Segoe UI Semilight" w:eastAsiaTheme="minorHAnsi" w:hAnsi="Segoe UI Semilight" w:cs="Segoe UI Semilight"/>
                <w:color w:val="000000"/>
                <w:sz w:val="22"/>
                <w:szCs w:val="22"/>
                <w:lang w:val="en-CA"/>
              </w:rPr>
            </w:pPr>
            <w:r w:rsidRPr="00842013">
              <w:rPr>
                <w:rFonts w:ascii="Segoe UI Semilight" w:eastAsiaTheme="minorHAnsi" w:hAnsi="Segoe UI Semilight" w:cs="Segoe UI Semilight"/>
                <w:color w:val="000000"/>
                <w:sz w:val="22"/>
                <w:szCs w:val="22"/>
                <w:lang w:val="en-CA"/>
              </w:rPr>
              <w:t>1 113</w:t>
            </w:r>
          </w:p>
        </w:tc>
        <w:tc>
          <w:tcPr>
            <w:tcW w:w="1929" w:type="pct"/>
          </w:tcPr>
          <w:p w14:paraId="7D43B3D1" w14:textId="77777777" w:rsidR="00826BE2" w:rsidRPr="00842013" w:rsidRDefault="00826BE2" w:rsidP="007B0FA8">
            <w:pPr>
              <w:autoSpaceDE w:val="0"/>
              <w:autoSpaceDN w:val="0"/>
              <w:adjustRightInd w:val="0"/>
              <w:jc w:val="center"/>
              <w:rPr>
                <w:rFonts w:ascii="Segoe UI Semilight" w:eastAsiaTheme="minorHAnsi" w:hAnsi="Segoe UI Semilight" w:cs="Segoe UI Semilight"/>
                <w:color w:val="000000"/>
                <w:sz w:val="22"/>
                <w:szCs w:val="22"/>
                <w:lang w:val="en-CA"/>
              </w:rPr>
            </w:pPr>
            <w:r w:rsidRPr="00842013">
              <w:rPr>
                <w:rFonts w:ascii="Segoe UI Semilight" w:eastAsiaTheme="minorHAnsi" w:hAnsi="Segoe UI Semilight" w:cs="Segoe UI Semilight"/>
                <w:color w:val="000000"/>
                <w:sz w:val="22"/>
                <w:szCs w:val="22"/>
                <w:lang w:val="en-CA"/>
              </w:rPr>
              <w:t>11%</w:t>
            </w:r>
          </w:p>
        </w:tc>
      </w:tr>
      <w:tr w:rsidR="00826BE2" w:rsidRPr="00842013" w14:paraId="7ADD5894" w14:textId="77777777" w:rsidTr="007B68FE">
        <w:trPr>
          <w:trHeight w:val="290"/>
          <w:tblHeader/>
          <w:jc w:val="center"/>
        </w:trPr>
        <w:tc>
          <w:tcPr>
            <w:tcW w:w="1722" w:type="pct"/>
          </w:tcPr>
          <w:p w14:paraId="70ABD879" w14:textId="77777777" w:rsidR="00826BE2" w:rsidRPr="00842013" w:rsidRDefault="00826BE2" w:rsidP="007B0FA8">
            <w:pPr>
              <w:autoSpaceDE w:val="0"/>
              <w:autoSpaceDN w:val="0"/>
              <w:adjustRightInd w:val="0"/>
              <w:rPr>
                <w:rFonts w:ascii="Segoe UI Semilight" w:eastAsiaTheme="minorHAnsi" w:hAnsi="Segoe UI Semilight" w:cs="Segoe UI Semilight"/>
                <w:color w:val="000000"/>
                <w:sz w:val="22"/>
                <w:szCs w:val="22"/>
                <w:lang w:val="en-CA"/>
              </w:rPr>
            </w:pPr>
            <w:r w:rsidRPr="00842013">
              <w:rPr>
                <w:rFonts w:ascii="Segoe UI Semilight" w:eastAsiaTheme="minorHAnsi" w:hAnsi="Segoe UI Semilight" w:cs="Segoe UI Semilight"/>
                <w:color w:val="000000"/>
                <w:sz w:val="22"/>
                <w:szCs w:val="22"/>
                <w:lang w:val="en-CA"/>
              </w:rPr>
              <w:t>CR – Clerical and Regulatory</w:t>
            </w:r>
          </w:p>
        </w:tc>
        <w:tc>
          <w:tcPr>
            <w:tcW w:w="1349" w:type="pct"/>
          </w:tcPr>
          <w:p w14:paraId="0B9C9871" w14:textId="77777777" w:rsidR="00826BE2" w:rsidRPr="00842013" w:rsidRDefault="00826BE2" w:rsidP="007B0FA8">
            <w:pPr>
              <w:autoSpaceDE w:val="0"/>
              <w:autoSpaceDN w:val="0"/>
              <w:adjustRightInd w:val="0"/>
              <w:jc w:val="center"/>
              <w:rPr>
                <w:rFonts w:ascii="Segoe UI Semilight" w:eastAsiaTheme="minorHAnsi" w:hAnsi="Segoe UI Semilight" w:cs="Segoe UI Semilight"/>
                <w:color w:val="000000"/>
                <w:sz w:val="22"/>
                <w:szCs w:val="22"/>
                <w:lang w:val="en-CA"/>
              </w:rPr>
            </w:pPr>
            <w:r w:rsidRPr="00842013">
              <w:rPr>
                <w:rFonts w:ascii="Segoe UI Semilight" w:eastAsiaTheme="minorHAnsi" w:hAnsi="Segoe UI Semilight" w:cs="Segoe UI Semilight"/>
                <w:color w:val="000000"/>
                <w:sz w:val="22"/>
                <w:szCs w:val="22"/>
                <w:lang w:val="en-CA"/>
              </w:rPr>
              <w:t>1 023</w:t>
            </w:r>
          </w:p>
        </w:tc>
        <w:tc>
          <w:tcPr>
            <w:tcW w:w="1929" w:type="pct"/>
          </w:tcPr>
          <w:p w14:paraId="1190CB8B" w14:textId="77777777" w:rsidR="00826BE2" w:rsidRPr="00842013" w:rsidRDefault="00826BE2" w:rsidP="007B0FA8">
            <w:pPr>
              <w:autoSpaceDE w:val="0"/>
              <w:autoSpaceDN w:val="0"/>
              <w:adjustRightInd w:val="0"/>
              <w:jc w:val="center"/>
              <w:rPr>
                <w:rFonts w:ascii="Segoe UI Semilight" w:eastAsiaTheme="minorHAnsi" w:hAnsi="Segoe UI Semilight" w:cs="Segoe UI Semilight"/>
                <w:color w:val="000000"/>
                <w:sz w:val="22"/>
                <w:szCs w:val="22"/>
                <w:lang w:val="en-CA"/>
              </w:rPr>
            </w:pPr>
            <w:r w:rsidRPr="00842013">
              <w:rPr>
                <w:rFonts w:ascii="Segoe UI Semilight" w:eastAsiaTheme="minorHAnsi" w:hAnsi="Segoe UI Semilight" w:cs="Segoe UI Semilight"/>
                <w:color w:val="000000"/>
                <w:sz w:val="22"/>
                <w:szCs w:val="22"/>
                <w:lang w:val="en-CA"/>
              </w:rPr>
              <w:t>10%</w:t>
            </w:r>
          </w:p>
        </w:tc>
      </w:tr>
      <w:tr w:rsidR="00826BE2" w:rsidRPr="00842013" w14:paraId="2E158C97" w14:textId="77777777" w:rsidTr="007B68FE">
        <w:trPr>
          <w:trHeight w:val="290"/>
          <w:tblHeader/>
          <w:jc w:val="center"/>
        </w:trPr>
        <w:tc>
          <w:tcPr>
            <w:tcW w:w="1722" w:type="pct"/>
          </w:tcPr>
          <w:p w14:paraId="189C11BD" w14:textId="77777777" w:rsidR="00826BE2" w:rsidRPr="00842013" w:rsidRDefault="00826BE2" w:rsidP="007B0FA8">
            <w:pPr>
              <w:autoSpaceDE w:val="0"/>
              <w:autoSpaceDN w:val="0"/>
              <w:adjustRightInd w:val="0"/>
              <w:rPr>
                <w:rFonts w:ascii="Segoe UI Semilight" w:eastAsiaTheme="minorHAnsi" w:hAnsi="Segoe UI Semilight" w:cs="Segoe UI Semilight"/>
                <w:color w:val="000000"/>
                <w:sz w:val="22"/>
                <w:szCs w:val="22"/>
                <w:lang w:val="en-CA"/>
              </w:rPr>
            </w:pPr>
            <w:r w:rsidRPr="00842013">
              <w:rPr>
                <w:rFonts w:ascii="Segoe UI Semilight" w:eastAsiaTheme="minorHAnsi" w:hAnsi="Segoe UI Semilight" w:cs="Segoe UI Semilight"/>
                <w:color w:val="000000"/>
                <w:sz w:val="22"/>
                <w:szCs w:val="22"/>
                <w:lang w:val="en-CA"/>
              </w:rPr>
              <w:t>Other</w:t>
            </w:r>
          </w:p>
        </w:tc>
        <w:tc>
          <w:tcPr>
            <w:tcW w:w="1349" w:type="pct"/>
          </w:tcPr>
          <w:p w14:paraId="36614FC2" w14:textId="77777777" w:rsidR="00826BE2" w:rsidRPr="00842013" w:rsidRDefault="00826BE2" w:rsidP="007B0FA8">
            <w:pPr>
              <w:autoSpaceDE w:val="0"/>
              <w:autoSpaceDN w:val="0"/>
              <w:adjustRightInd w:val="0"/>
              <w:jc w:val="center"/>
              <w:rPr>
                <w:rFonts w:ascii="Segoe UI Semilight" w:eastAsiaTheme="minorHAnsi" w:hAnsi="Segoe UI Semilight" w:cs="Segoe UI Semilight"/>
                <w:color w:val="000000"/>
                <w:sz w:val="22"/>
                <w:szCs w:val="22"/>
                <w:lang w:val="en-CA"/>
              </w:rPr>
            </w:pPr>
            <w:r w:rsidRPr="00842013">
              <w:rPr>
                <w:rFonts w:ascii="Segoe UI Semilight" w:eastAsiaTheme="minorHAnsi" w:hAnsi="Segoe UI Semilight" w:cs="Segoe UI Semilight"/>
                <w:color w:val="000000"/>
                <w:sz w:val="22"/>
                <w:szCs w:val="22"/>
                <w:lang w:val="en-CA"/>
              </w:rPr>
              <w:t>4 312</w:t>
            </w:r>
          </w:p>
        </w:tc>
        <w:tc>
          <w:tcPr>
            <w:tcW w:w="1929" w:type="pct"/>
          </w:tcPr>
          <w:p w14:paraId="4E3DA5FC" w14:textId="77777777" w:rsidR="00826BE2" w:rsidRPr="00842013" w:rsidRDefault="00826BE2" w:rsidP="007B0FA8">
            <w:pPr>
              <w:autoSpaceDE w:val="0"/>
              <w:autoSpaceDN w:val="0"/>
              <w:adjustRightInd w:val="0"/>
              <w:jc w:val="center"/>
              <w:rPr>
                <w:rFonts w:ascii="Segoe UI Semilight" w:eastAsiaTheme="minorHAnsi" w:hAnsi="Segoe UI Semilight" w:cs="Segoe UI Semilight"/>
                <w:color w:val="000000"/>
                <w:sz w:val="22"/>
                <w:szCs w:val="22"/>
                <w:lang w:val="en-CA"/>
              </w:rPr>
            </w:pPr>
            <w:r w:rsidRPr="00842013">
              <w:rPr>
                <w:rFonts w:ascii="Segoe UI Semilight" w:eastAsiaTheme="minorHAnsi" w:hAnsi="Segoe UI Semilight" w:cs="Segoe UI Semilight"/>
                <w:color w:val="000000"/>
                <w:sz w:val="22"/>
                <w:szCs w:val="22"/>
                <w:lang w:val="en-CA"/>
              </w:rPr>
              <w:t>41%</w:t>
            </w:r>
          </w:p>
        </w:tc>
      </w:tr>
    </w:tbl>
    <w:p w14:paraId="7EB9289B" w14:textId="267BA6D8" w:rsidR="00742A3D" w:rsidRPr="00742A3D" w:rsidRDefault="00742A3D" w:rsidP="00742A3D">
      <w:pPr>
        <w:pStyle w:val="Titre1"/>
        <w:spacing w:before="120" w:after="120"/>
        <w:rPr>
          <w:sz w:val="40"/>
          <w:szCs w:val="40"/>
          <w:lang w:val="en-CA"/>
        </w:rPr>
      </w:pPr>
      <w:r w:rsidRPr="00742A3D">
        <w:rPr>
          <w:sz w:val="40"/>
          <w:szCs w:val="40"/>
        </w:rPr>
        <w:lastRenderedPageBreak/>
        <w:t>Population by region as of March 31, 2019</w:t>
      </w:r>
    </w:p>
    <w:p w14:paraId="012FC375" w14:textId="77777777" w:rsidR="00607BA3" w:rsidRPr="00842013" w:rsidRDefault="00AB5620" w:rsidP="00842013">
      <w:pPr>
        <w:keepNext/>
        <w:spacing w:before="120" w:after="120"/>
        <w:jc w:val="center"/>
        <w:rPr>
          <w:lang w:val="en-CA"/>
        </w:rPr>
      </w:pPr>
      <w:r w:rsidRPr="00842013">
        <w:rPr>
          <w:rStyle w:val="lev"/>
          <w:noProof/>
          <w:lang w:val="en-CA" w:eastAsia="en-CA"/>
        </w:rPr>
        <w:drawing>
          <wp:inline distT="0" distB="0" distL="0" distR="0" wp14:anchorId="4245DDA2" wp14:editId="7E5F0B78">
            <wp:extent cx="1980000" cy="3020400"/>
            <wp:effectExtent l="0" t="0" r="1270" b="8890"/>
            <wp:docPr id="12" name="Chart 12" descr="Figure 4 - Population by region as of March 31,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80BF9A" w14:textId="72285122" w:rsidR="00607BA3" w:rsidRPr="00842013" w:rsidRDefault="00607BA3" w:rsidP="00842013">
      <w:pPr>
        <w:pStyle w:val="Lgende"/>
        <w:spacing w:before="120" w:after="120"/>
        <w:jc w:val="center"/>
      </w:pPr>
      <w:r w:rsidRPr="00842013">
        <w:t xml:space="preserve">Figure </w:t>
      </w:r>
      <w:r w:rsidR="00177890" w:rsidRPr="00842013">
        <w:rPr>
          <w:noProof/>
        </w:rPr>
        <w:fldChar w:fldCharType="begin"/>
      </w:r>
      <w:r w:rsidR="00177890" w:rsidRPr="00842013">
        <w:rPr>
          <w:noProof/>
        </w:rPr>
        <w:instrText xml:space="preserve"> SEQ Figure \* ARABIC </w:instrText>
      </w:r>
      <w:r w:rsidR="00177890" w:rsidRPr="00842013">
        <w:rPr>
          <w:noProof/>
        </w:rPr>
        <w:fldChar w:fldCharType="separate"/>
      </w:r>
      <w:r w:rsidR="00200978" w:rsidRPr="00842013">
        <w:rPr>
          <w:noProof/>
        </w:rPr>
        <w:t>4</w:t>
      </w:r>
      <w:r w:rsidR="00177890" w:rsidRPr="00842013">
        <w:rPr>
          <w:noProof/>
        </w:rPr>
        <w:fldChar w:fldCharType="end"/>
      </w:r>
      <w:r w:rsidRPr="00842013">
        <w:t xml:space="preserve"> - Population by region as of March 31, 2019</w:t>
      </w:r>
    </w:p>
    <w:p w14:paraId="0EE604E1" w14:textId="37484124" w:rsidR="00607BA3" w:rsidRPr="00842013" w:rsidRDefault="00607BA3" w:rsidP="00920412">
      <w:pPr>
        <w:pStyle w:val="Lgende"/>
        <w:keepNext/>
        <w:spacing w:before="120"/>
        <w:jc w:val="center"/>
      </w:pPr>
      <w:r w:rsidRPr="00842013">
        <w:t xml:space="preserve">Table </w:t>
      </w:r>
      <w:r w:rsidR="00177890" w:rsidRPr="00842013">
        <w:rPr>
          <w:noProof/>
        </w:rPr>
        <w:fldChar w:fldCharType="begin"/>
      </w:r>
      <w:r w:rsidR="00177890" w:rsidRPr="00842013">
        <w:rPr>
          <w:noProof/>
        </w:rPr>
        <w:instrText xml:space="preserve"> SEQ Table \* ARABIC </w:instrText>
      </w:r>
      <w:r w:rsidR="00177890" w:rsidRPr="00842013">
        <w:rPr>
          <w:noProof/>
        </w:rPr>
        <w:fldChar w:fldCharType="separate"/>
      </w:r>
      <w:r w:rsidR="002A0977">
        <w:rPr>
          <w:noProof/>
        </w:rPr>
        <w:t>7</w:t>
      </w:r>
      <w:r w:rsidR="00177890" w:rsidRPr="00842013">
        <w:rPr>
          <w:noProof/>
        </w:rPr>
        <w:fldChar w:fldCharType="end"/>
      </w:r>
      <w:r w:rsidRPr="00842013">
        <w:t xml:space="preserve"> - Distribution by region, as a percentage of the Public Service Employment Act population for fiscal year 2018 to 2019</w:t>
      </w:r>
    </w:p>
    <w:tbl>
      <w:tblPr>
        <w:tblStyle w:val="Grilledutableau"/>
        <w:tblW w:w="5000" w:type="pct"/>
        <w:jc w:val="center"/>
        <w:tblLook w:val="0020" w:firstRow="1" w:lastRow="0" w:firstColumn="0" w:lastColumn="0" w:noHBand="0" w:noVBand="0"/>
        <w:tblDescription w:val="Population by region as of March 31, 2019"/>
      </w:tblPr>
      <w:tblGrid>
        <w:gridCol w:w="3908"/>
        <w:gridCol w:w="4314"/>
        <w:gridCol w:w="6168"/>
      </w:tblGrid>
      <w:tr w:rsidR="00607BA3" w:rsidRPr="00842013" w14:paraId="10A0E4FA" w14:textId="77777777" w:rsidTr="007B68FE">
        <w:trPr>
          <w:cantSplit/>
          <w:trHeight w:val="290"/>
          <w:tblHeader/>
          <w:jc w:val="center"/>
        </w:trPr>
        <w:tc>
          <w:tcPr>
            <w:tcW w:w="1358" w:type="pct"/>
          </w:tcPr>
          <w:p w14:paraId="386A71CB" w14:textId="77777777" w:rsidR="00607BA3" w:rsidRPr="00842013" w:rsidRDefault="00607BA3" w:rsidP="00842013">
            <w:pPr>
              <w:pStyle w:val="TableTitle"/>
              <w:spacing w:before="120" w:after="120"/>
              <w:contextualSpacing/>
              <w:rPr>
                <w:rFonts w:eastAsiaTheme="minorHAnsi"/>
                <w:lang w:val="en-CA"/>
              </w:rPr>
            </w:pPr>
            <w:r w:rsidRPr="00842013">
              <w:rPr>
                <w:rFonts w:eastAsiaTheme="minorHAnsi"/>
                <w:lang w:val="en-CA"/>
              </w:rPr>
              <w:t>Region</w:t>
            </w:r>
          </w:p>
        </w:tc>
        <w:tc>
          <w:tcPr>
            <w:tcW w:w="1499" w:type="pct"/>
          </w:tcPr>
          <w:p w14:paraId="669C525C" w14:textId="77777777" w:rsidR="00607BA3" w:rsidRPr="00842013" w:rsidRDefault="00607BA3" w:rsidP="00842013">
            <w:pPr>
              <w:pStyle w:val="TableTitle"/>
              <w:spacing w:before="120" w:after="120"/>
              <w:contextualSpacing/>
              <w:rPr>
                <w:rFonts w:eastAsiaTheme="minorHAnsi"/>
                <w:lang w:val="en-CA"/>
              </w:rPr>
            </w:pPr>
            <w:r w:rsidRPr="00842013">
              <w:rPr>
                <w:rFonts w:eastAsiaTheme="minorHAnsi"/>
                <w:lang w:val="en-CA"/>
              </w:rPr>
              <w:t>Population as of March 31, 2019</w:t>
            </w:r>
          </w:p>
        </w:tc>
        <w:tc>
          <w:tcPr>
            <w:tcW w:w="2143" w:type="pct"/>
          </w:tcPr>
          <w:p w14:paraId="1610768E" w14:textId="77777777" w:rsidR="00607BA3" w:rsidRPr="00842013" w:rsidRDefault="00607BA3" w:rsidP="00842013">
            <w:pPr>
              <w:pStyle w:val="TableTitle"/>
              <w:spacing w:before="120" w:after="120"/>
              <w:contextualSpacing/>
              <w:rPr>
                <w:rFonts w:eastAsiaTheme="minorHAnsi"/>
                <w:lang w:val="en-CA"/>
              </w:rPr>
            </w:pPr>
            <w:r w:rsidRPr="00842013">
              <w:rPr>
                <w:rFonts w:eastAsiaTheme="minorHAnsi"/>
                <w:lang w:val="en-CA"/>
              </w:rPr>
              <w:t>Percentage of population as of March 31, 2019</w:t>
            </w:r>
          </w:p>
        </w:tc>
      </w:tr>
      <w:tr w:rsidR="00607BA3" w:rsidRPr="00842013" w14:paraId="32E0B86F" w14:textId="77777777" w:rsidTr="007B68FE">
        <w:trPr>
          <w:cantSplit/>
          <w:trHeight w:val="290"/>
          <w:tblHeader/>
          <w:jc w:val="center"/>
        </w:trPr>
        <w:tc>
          <w:tcPr>
            <w:tcW w:w="1358" w:type="pct"/>
          </w:tcPr>
          <w:p w14:paraId="077D17ED" w14:textId="77777777" w:rsidR="00607BA3" w:rsidRPr="00842013" w:rsidRDefault="00607BA3"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National Capital Region (NCR)</w:t>
            </w:r>
          </w:p>
        </w:tc>
        <w:tc>
          <w:tcPr>
            <w:tcW w:w="1499" w:type="pct"/>
          </w:tcPr>
          <w:p w14:paraId="650B8F0D" w14:textId="77777777" w:rsidR="00607BA3" w:rsidRPr="00842013" w:rsidRDefault="00607BA3"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3 222</w:t>
            </w:r>
          </w:p>
        </w:tc>
        <w:tc>
          <w:tcPr>
            <w:tcW w:w="2143" w:type="pct"/>
          </w:tcPr>
          <w:p w14:paraId="077BC928" w14:textId="77777777" w:rsidR="00607BA3" w:rsidRPr="00842013" w:rsidRDefault="00607BA3"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30%</w:t>
            </w:r>
          </w:p>
        </w:tc>
      </w:tr>
      <w:tr w:rsidR="00607BA3" w:rsidRPr="00842013" w14:paraId="229B816B" w14:textId="77777777" w:rsidTr="007B68FE">
        <w:trPr>
          <w:cantSplit/>
          <w:trHeight w:val="290"/>
          <w:tblHeader/>
          <w:jc w:val="center"/>
        </w:trPr>
        <w:tc>
          <w:tcPr>
            <w:tcW w:w="1358" w:type="pct"/>
          </w:tcPr>
          <w:p w14:paraId="721036F0" w14:textId="77777777" w:rsidR="00607BA3" w:rsidRPr="00842013" w:rsidRDefault="00607BA3"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Non-NCR</w:t>
            </w:r>
          </w:p>
        </w:tc>
        <w:tc>
          <w:tcPr>
            <w:tcW w:w="1499" w:type="pct"/>
          </w:tcPr>
          <w:p w14:paraId="7318935D" w14:textId="77777777" w:rsidR="00607BA3" w:rsidRPr="00842013" w:rsidRDefault="00607BA3"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7 614</w:t>
            </w:r>
          </w:p>
        </w:tc>
        <w:tc>
          <w:tcPr>
            <w:tcW w:w="2143" w:type="pct"/>
          </w:tcPr>
          <w:p w14:paraId="10DA527F" w14:textId="77777777" w:rsidR="00607BA3" w:rsidRPr="00842013" w:rsidRDefault="00607BA3"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70%</w:t>
            </w:r>
          </w:p>
        </w:tc>
      </w:tr>
      <w:tr w:rsidR="00607BA3" w:rsidRPr="00842013" w14:paraId="3AFF7236" w14:textId="77777777" w:rsidTr="007B68FE">
        <w:trPr>
          <w:cantSplit/>
          <w:trHeight w:val="290"/>
          <w:tblHeader/>
          <w:jc w:val="center"/>
        </w:trPr>
        <w:tc>
          <w:tcPr>
            <w:tcW w:w="1358" w:type="pct"/>
          </w:tcPr>
          <w:p w14:paraId="42C0B0F3" w14:textId="77777777" w:rsidR="00607BA3" w:rsidRPr="00842013" w:rsidRDefault="00607BA3"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Unknown</w:t>
            </w:r>
          </w:p>
        </w:tc>
        <w:tc>
          <w:tcPr>
            <w:tcW w:w="1499" w:type="pct"/>
          </w:tcPr>
          <w:p w14:paraId="75513443" w14:textId="77777777" w:rsidR="00607BA3" w:rsidRPr="00842013" w:rsidRDefault="00607BA3"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14</w:t>
            </w:r>
          </w:p>
        </w:tc>
        <w:tc>
          <w:tcPr>
            <w:tcW w:w="2143" w:type="pct"/>
          </w:tcPr>
          <w:p w14:paraId="474EF450" w14:textId="77777777" w:rsidR="00607BA3" w:rsidRPr="00842013" w:rsidRDefault="00607BA3"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p>
        </w:tc>
      </w:tr>
    </w:tbl>
    <w:p w14:paraId="43FE0C58" w14:textId="76EA540D" w:rsidR="00742A3D" w:rsidRPr="00742A3D" w:rsidRDefault="00742A3D" w:rsidP="00742A3D">
      <w:pPr>
        <w:pStyle w:val="Titre1"/>
        <w:spacing w:before="120" w:after="120"/>
        <w:rPr>
          <w:sz w:val="40"/>
          <w:szCs w:val="40"/>
          <w:lang w:val="en-CA"/>
        </w:rPr>
      </w:pPr>
      <w:r w:rsidRPr="00742A3D">
        <w:rPr>
          <w:sz w:val="40"/>
          <w:szCs w:val="40"/>
          <w:lang w:eastAsia="en-CA"/>
        </w:rPr>
        <w:lastRenderedPageBreak/>
        <w:t>External indeterminate hires by occupational group,</w:t>
      </w:r>
      <w:r w:rsidR="00192FAE">
        <w:rPr>
          <w:sz w:val="40"/>
          <w:szCs w:val="40"/>
          <w:lang w:eastAsia="en-CA"/>
        </w:rPr>
        <w:t xml:space="preserve"> </w:t>
      </w:r>
      <w:r w:rsidRPr="00742A3D">
        <w:rPr>
          <w:sz w:val="40"/>
          <w:szCs w:val="40"/>
          <w:lang w:eastAsia="en-CA"/>
        </w:rPr>
        <w:t>2018-19</w:t>
      </w:r>
    </w:p>
    <w:p w14:paraId="08B3E2EA" w14:textId="77777777" w:rsidR="00202421" w:rsidRPr="00842013" w:rsidRDefault="00607BA3" w:rsidP="00842013">
      <w:pPr>
        <w:keepNext/>
        <w:spacing w:before="120" w:after="120"/>
        <w:jc w:val="center"/>
        <w:rPr>
          <w:lang w:val="en-CA"/>
        </w:rPr>
      </w:pPr>
      <w:r w:rsidRPr="00842013">
        <w:rPr>
          <w:rStyle w:val="lev"/>
          <w:noProof/>
          <w:lang w:val="en-CA" w:eastAsia="en-CA"/>
        </w:rPr>
        <w:drawing>
          <wp:inline distT="0" distB="0" distL="0" distR="0" wp14:anchorId="10EFA9E5" wp14:editId="04A6B9D5">
            <wp:extent cx="1980000" cy="3020400"/>
            <wp:effectExtent l="0" t="0" r="1270" b="8890"/>
            <wp:docPr id="2" name="Chart 2" descr="Figure 5 - External indeterminate hires by occupational group 2018-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2E63D2" w14:textId="7008BC17" w:rsidR="00607BA3" w:rsidRPr="00842013" w:rsidRDefault="00202421" w:rsidP="00842013">
      <w:pPr>
        <w:pStyle w:val="Lgende"/>
        <w:spacing w:before="120" w:after="120"/>
        <w:jc w:val="center"/>
        <w:rPr>
          <w:rFonts w:cstheme="minorHAnsi"/>
        </w:rPr>
      </w:pPr>
      <w:r w:rsidRPr="00842013">
        <w:rPr>
          <w:rFonts w:cstheme="minorHAnsi"/>
        </w:rPr>
        <w:t xml:space="preserve">Figure </w:t>
      </w:r>
      <w:r w:rsidRPr="00842013">
        <w:rPr>
          <w:rFonts w:cstheme="minorHAnsi"/>
        </w:rPr>
        <w:fldChar w:fldCharType="begin"/>
      </w:r>
      <w:r w:rsidRPr="00842013">
        <w:rPr>
          <w:rFonts w:cstheme="minorHAnsi"/>
        </w:rPr>
        <w:instrText xml:space="preserve"> SEQ Figure \* ARABIC </w:instrText>
      </w:r>
      <w:r w:rsidRPr="00842013">
        <w:rPr>
          <w:rFonts w:cstheme="minorHAnsi"/>
        </w:rPr>
        <w:fldChar w:fldCharType="separate"/>
      </w:r>
      <w:r w:rsidR="00200978" w:rsidRPr="00842013">
        <w:rPr>
          <w:rFonts w:cstheme="minorHAnsi"/>
          <w:noProof/>
        </w:rPr>
        <w:t>5</w:t>
      </w:r>
      <w:r w:rsidRPr="00842013">
        <w:rPr>
          <w:rFonts w:cstheme="minorHAnsi"/>
        </w:rPr>
        <w:fldChar w:fldCharType="end"/>
      </w:r>
      <w:r w:rsidRPr="00842013">
        <w:rPr>
          <w:rFonts w:cstheme="minorHAnsi"/>
        </w:rPr>
        <w:t xml:space="preserve"> - External indeterminate hires by occupational group 2018-19</w:t>
      </w:r>
    </w:p>
    <w:p w14:paraId="7150E3E8" w14:textId="696DBB5E" w:rsidR="00202421" w:rsidRPr="00842013" w:rsidRDefault="00202421" w:rsidP="00920412">
      <w:pPr>
        <w:pStyle w:val="Lgende"/>
        <w:keepNext/>
        <w:spacing w:before="120"/>
        <w:jc w:val="center"/>
        <w:rPr>
          <w:rFonts w:cstheme="minorHAnsi"/>
        </w:rPr>
      </w:pPr>
      <w:r w:rsidRPr="00842013">
        <w:rPr>
          <w:rFonts w:cstheme="minorHAnsi"/>
        </w:rPr>
        <w:t xml:space="preserve">Table </w:t>
      </w:r>
      <w:r w:rsidRPr="00842013">
        <w:rPr>
          <w:rFonts w:cstheme="minorHAnsi"/>
        </w:rPr>
        <w:fldChar w:fldCharType="begin"/>
      </w:r>
      <w:r w:rsidRPr="00842013">
        <w:rPr>
          <w:rFonts w:cstheme="minorHAnsi"/>
        </w:rPr>
        <w:instrText xml:space="preserve"> SEQ Table \* ARABIC </w:instrText>
      </w:r>
      <w:r w:rsidRPr="00842013">
        <w:rPr>
          <w:rFonts w:cstheme="minorHAnsi"/>
        </w:rPr>
        <w:fldChar w:fldCharType="separate"/>
      </w:r>
      <w:r w:rsidR="002A0977">
        <w:rPr>
          <w:rFonts w:cstheme="minorHAnsi"/>
          <w:noProof/>
        </w:rPr>
        <w:t>8</w:t>
      </w:r>
      <w:r w:rsidRPr="00842013">
        <w:rPr>
          <w:rFonts w:cstheme="minorHAnsi"/>
        </w:rPr>
        <w:fldChar w:fldCharType="end"/>
      </w:r>
      <w:r w:rsidRPr="00842013">
        <w:rPr>
          <w:rFonts w:cstheme="minorHAnsi"/>
        </w:rPr>
        <w:t xml:space="preserve"> - External indeterminate hires by top occupational groups, for fiscal year 2018 to 2019</w:t>
      </w:r>
    </w:p>
    <w:tbl>
      <w:tblPr>
        <w:tblStyle w:val="Grilledutableau"/>
        <w:tblW w:w="5000" w:type="pct"/>
        <w:jc w:val="center"/>
        <w:tblLook w:val="0020" w:firstRow="1" w:lastRow="0" w:firstColumn="0" w:lastColumn="0" w:noHBand="0" w:noVBand="0"/>
        <w:tblDescription w:val="External indeterminate hires by occupational group, 2018-19"/>
      </w:tblPr>
      <w:tblGrid>
        <w:gridCol w:w="4769"/>
        <w:gridCol w:w="4841"/>
        <w:gridCol w:w="4780"/>
      </w:tblGrid>
      <w:tr w:rsidR="00202421" w:rsidRPr="00842013" w14:paraId="38FBD108" w14:textId="77777777" w:rsidTr="007B68FE">
        <w:trPr>
          <w:trHeight w:val="290"/>
          <w:tblHeader/>
          <w:jc w:val="center"/>
        </w:trPr>
        <w:tc>
          <w:tcPr>
            <w:tcW w:w="1657" w:type="pct"/>
          </w:tcPr>
          <w:p w14:paraId="72B8D5F1" w14:textId="77777777" w:rsidR="00202421" w:rsidRPr="00842013" w:rsidRDefault="00202421" w:rsidP="00842013">
            <w:pPr>
              <w:pStyle w:val="TableTitle"/>
              <w:spacing w:before="120" w:after="120"/>
              <w:contextualSpacing/>
              <w:rPr>
                <w:rFonts w:eastAsiaTheme="minorHAnsi"/>
                <w:color w:val="000000"/>
                <w:lang w:val="en-CA"/>
              </w:rPr>
            </w:pPr>
            <w:r w:rsidRPr="00842013">
              <w:rPr>
                <w:rFonts w:eastAsiaTheme="minorHAnsi"/>
                <w:lang w:val="en-CA"/>
              </w:rPr>
              <w:t>Occupational group</w:t>
            </w:r>
          </w:p>
        </w:tc>
        <w:tc>
          <w:tcPr>
            <w:tcW w:w="1682" w:type="pct"/>
          </w:tcPr>
          <w:p w14:paraId="37F47D8E" w14:textId="77777777" w:rsidR="00202421" w:rsidRPr="00842013" w:rsidRDefault="00202421" w:rsidP="00842013">
            <w:pPr>
              <w:pStyle w:val="TableTitle"/>
              <w:spacing w:before="120" w:after="120"/>
              <w:contextualSpacing/>
              <w:rPr>
                <w:rFonts w:eastAsiaTheme="minorHAnsi"/>
                <w:color w:val="000000"/>
                <w:lang w:val="en-CA"/>
              </w:rPr>
            </w:pPr>
            <w:r w:rsidRPr="00842013">
              <w:rPr>
                <w:rFonts w:eastAsiaTheme="minorHAnsi"/>
                <w:color w:val="000000"/>
                <w:lang w:val="en-CA"/>
              </w:rPr>
              <w:t xml:space="preserve">Number of indeterminate hiring activities </w:t>
            </w:r>
          </w:p>
        </w:tc>
        <w:tc>
          <w:tcPr>
            <w:tcW w:w="1661" w:type="pct"/>
          </w:tcPr>
          <w:p w14:paraId="398185EE" w14:textId="77777777" w:rsidR="00202421" w:rsidRPr="00842013" w:rsidRDefault="00202421" w:rsidP="00842013">
            <w:pPr>
              <w:pStyle w:val="TableTitle"/>
              <w:spacing w:before="120" w:after="120"/>
              <w:contextualSpacing/>
              <w:rPr>
                <w:rFonts w:eastAsiaTheme="minorHAnsi"/>
                <w:color w:val="000000"/>
                <w:lang w:val="en-CA"/>
              </w:rPr>
            </w:pPr>
            <w:r w:rsidRPr="00842013">
              <w:rPr>
                <w:rFonts w:eastAsiaTheme="minorHAnsi"/>
                <w:color w:val="000000"/>
                <w:lang w:val="en-CA"/>
              </w:rPr>
              <w:t>Percentage of all indeterminate hiring activities</w:t>
            </w:r>
          </w:p>
        </w:tc>
      </w:tr>
      <w:tr w:rsidR="00202421" w:rsidRPr="00842013" w14:paraId="070F7988" w14:textId="77777777" w:rsidTr="007B68FE">
        <w:trPr>
          <w:trHeight w:val="290"/>
          <w:tblHeader/>
          <w:jc w:val="center"/>
        </w:trPr>
        <w:tc>
          <w:tcPr>
            <w:tcW w:w="1657" w:type="pct"/>
          </w:tcPr>
          <w:p w14:paraId="2F8EE404" w14:textId="77777777" w:rsidR="00202421" w:rsidRPr="00842013" w:rsidRDefault="00202421" w:rsidP="00842013">
            <w:pPr>
              <w:autoSpaceDE w:val="0"/>
              <w:autoSpaceDN w:val="0"/>
              <w:adjustRightInd w:val="0"/>
              <w:spacing w:before="120" w:after="120"/>
              <w:contextualSpacing/>
              <w:rPr>
                <w:rFonts w:asciiTheme="minorHAnsi" w:eastAsiaTheme="minorHAnsi" w:hAnsiTheme="minorHAnsi" w:cstheme="minorHAnsi"/>
                <w:color w:val="000000"/>
                <w:sz w:val="22"/>
                <w:szCs w:val="22"/>
                <w:highlight w:val="yellow"/>
                <w:lang w:val="en-CA"/>
              </w:rPr>
            </w:pPr>
            <w:r w:rsidRPr="00842013">
              <w:rPr>
                <w:rFonts w:asciiTheme="minorHAnsi" w:eastAsiaTheme="minorHAnsi" w:hAnsiTheme="minorHAnsi" w:cstheme="minorHAnsi"/>
                <w:color w:val="000000"/>
                <w:sz w:val="22"/>
                <w:szCs w:val="22"/>
                <w:lang w:val="en-CA"/>
              </w:rPr>
              <w:t>CR – Clerical and Regulatory</w:t>
            </w:r>
          </w:p>
        </w:tc>
        <w:tc>
          <w:tcPr>
            <w:tcW w:w="1682" w:type="pct"/>
          </w:tcPr>
          <w:p w14:paraId="17CE4B91" w14:textId="77777777" w:rsidR="00202421" w:rsidRPr="00842013" w:rsidRDefault="00202421"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98</w:t>
            </w:r>
          </w:p>
        </w:tc>
        <w:tc>
          <w:tcPr>
            <w:tcW w:w="1661" w:type="pct"/>
          </w:tcPr>
          <w:p w14:paraId="6035B28B" w14:textId="77777777" w:rsidR="00202421" w:rsidRPr="00842013" w:rsidRDefault="00202421"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17%</w:t>
            </w:r>
          </w:p>
        </w:tc>
      </w:tr>
      <w:tr w:rsidR="00202421" w:rsidRPr="00842013" w14:paraId="4E7AB760" w14:textId="77777777" w:rsidTr="007B68FE">
        <w:trPr>
          <w:trHeight w:val="290"/>
          <w:tblHeader/>
          <w:jc w:val="center"/>
        </w:trPr>
        <w:tc>
          <w:tcPr>
            <w:tcW w:w="1657" w:type="pct"/>
          </w:tcPr>
          <w:p w14:paraId="77B6139F" w14:textId="77777777" w:rsidR="00202421" w:rsidRPr="00842013" w:rsidRDefault="00202421"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AS – Administrative Services</w:t>
            </w:r>
          </w:p>
        </w:tc>
        <w:tc>
          <w:tcPr>
            <w:tcW w:w="1682" w:type="pct"/>
          </w:tcPr>
          <w:p w14:paraId="1F1BA3F7" w14:textId="77777777" w:rsidR="00202421" w:rsidRPr="00842013" w:rsidRDefault="00202421"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83</w:t>
            </w:r>
          </w:p>
        </w:tc>
        <w:tc>
          <w:tcPr>
            <w:tcW w:w="1661" w:type="pct"/>
          </w:tcPr>
          <w:p w14:paraId="026DEF1C" w14:textId="77777777" w:rsidR="00202421" w:rsidRPr="00842013" w:rsidRDefault="00202421"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14%</w:t>
            </w:r>
          </w:p>
        </w:tc>
      </w:tr>
      <w:tr w:rsidR="00202421" w:rsidRPr="00842013" w14:paraId="58528761" w14:textId="77777777" w:rsidTr="007B68FE">
        <w:trPr>
          <w:trHeight w:val="290"/>
          <w:tblHeader/>
          <w:jc w:val="center"/>
        </w:trPr>
        <w:tc>
          <w:tcPr>
            <w:tcW w:w="1657" w:type="pct"/>
          </w:tcPr>
          <w:p w14:paraId="54D9AC2D" w14:textId="77777777" w:rsidR="00202421" w:rsidRPr="00842013" w:rsidRDefault="00202421"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EC – Economics and Social Science Services</w:t>
            </w:r>
          </w:p>
        </w:tc>
        <w:tc>
          <w:tcPr>
            <w:tcW w:w="1682" w:type="pct"/>
          </w:tcPr>
          <w:p w14:paraId="3DAF2412" w14:textId="77777777" w:rsidR="00202421" w:rsidRPr="00842013" w:rsidRDefault="00202421"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65</w:t>
            </w:r>
          </w:p>
        </w:tc>
        <w:tc>
          <w:tcPr>
            <w:tcW w:w="1661" w:type="pct"/>
          </w:tcPr>
          <w:p w14:paraId="0307ABB2" w14:textId="77777777" w:rsidR="00202421" w:rsidRPr="00842013" w:rsidRDefault="00202421"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11%</w:t>
            </w:r>
          </w:p>
        </w:tc>
      </w:tr>
      <w:tr w:rsidR="00202421" w:rsidRPr="00842013" w14:paraId="5AE8DDDA" w14:textId="77777777" w:rsidTr="007B68FE">
        <w:trPr>
          <w:trHeight w:val="290"/>
          <w:tblHeader/>
          <w:jc w:val="center"/>
        </w:trPr>
        <w:tc>
          <w:tcPr>
            <w:tcW w:w="1657" w:type="pct"/>
          </w:tcPr>
          <w:p w14:paraId="71208B86" w14:textId="77777777" w:rsidR="00202421" w:rsidRPr="00842013" w:rsidRDefault="00202421"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SG – Scientific Regulation</w:t>
            </w:r>
          </w:p>
        </w:tc>
        <w:tc>
          <w:tcPr>
            <w:tcW w:w="1682" w:type="pct"/>
          </w:tcPr>
          <w:p w14:paraId="08958B1E" w14:textId="77777777" w:rsidR="00202421" w:rsidRPr="00842013" w:rsidRDefault="00202421"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64</w:t>
            </w:r>
          </w:p>
        </w:tc>
        <w:tc>
          <w:tcPr>
            <w:tcW w:w="1661" w:type="pct"/>
          </w:tcPr>
          <w:p w14:paraId="6C06C60D" w14:textId="77777777" w:rsidR="00202421" w:rsidRPr="00842013" w:rsidRDefault="00202421"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11%</w:t>
            </w:r>
          </w:p>
        </w:tc>
      </w:tr>
      <w:tr w:rsidR="00202421" w:rsidRPr="00842013" w14:paraId="4DE96D8A" w14:textId="77777777" w:rsidTr="007B68FE">
        <w:trPr>
          <w:trHeight w:val="290"/>
          <w:tblHeader/>
          <w:jc w:val="center"/>
        </w:trPr>
        <w:tc>
          <w:tcPr>
            <w:tcW w:w="1657" w:type="pct"/>
          </w:tcPr>
          <w:p w14:paraId="3293DB39" w14:textId="77777777" w:rsidR="00202421" w:rsidRPr="00842013" w:rsidRDefault="00202421"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NU – Nursing</w:t>
            </w:r>
          </w:p>
        </w:tc>
        <w:tc>
          <w:tcPr>
            <w:tcW w:w="1682" w:type="pct"/>
          </w:tcPr>
          <w:p w14:paraId="6D4DEA2D" w14:textId="77777777" w:rsidR="00202421" w:rsidRPr="00842013" w:rsidRDefault="00202421"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63</w:t>
            </w:r>
          </w:p>
        </w:tc>
        <w:tc>
          <w:tcPr>
            <w:tcW w:w="1661" w:type="pct"/>
          </w:tcPr>
          <w:p w14:paraId="611DC3B2" w14:textId="77777777" w:rsidR="00202421" w:rsidRPr="00842013" w:rsidRDefault="00202421"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11%</w:t>
            </w:r>
          </w:p>
        </w:tc>
      </w:tr>
      <w:tr w:rsidR="00202421" w:rsidRPr="00842013" w14:paraId="338C94FB" w14:textId="77777777" w:rsidTr="007B68FE">
        <w:trPr>
          <w:trHeight w:val="290"/>
          <w:tblHeader/>
          <w:jc w:val="center"/>
        </w:trPr>
        <w:tc>
          <w:tcPr>
            <w:tcW w:w="1657" w:type="pct"/>
          </w:tcPr>
          <w:p w14:paraId="0F1C13DD" w14:textId="77777777" w:rsidR="00202421" w:rsidRPr="00842013" w:rsidRDefault="00202421"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Other</w:t>
            </w:r>
          </w:p>
        </w:tc>
        <w:tc>
          <w:tcPr>
            <w:tcW w:w="1682" w:type="pct"/>
          </w:tcPr>
          <w:p w14:paraId="4332B8C3" w14:textId="77777777" w:rsidR="00202421" w:rsidRPr="00842013" w:rsidRDefault="00202421"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216</w:t>
            </w:r>
          </w:p>
        </w:tc>
        <w:tc>
          <w:tcPr>
            <w:tcW w:w="1661" w:type="pct"/>
          </w:tcPr>
          <w:p w14:paraId="0BE6E284" w14:textId="77777777" w:rsidR="00202421" w:rsidRPr="00842013" w:rsidRDefault="00202421"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37%</w:t>
            </w:r>
          </w:p>
        </w:tc>
      </w:tr>
      <w:tr w:rsidR="00202421" w:rsidRPr="00842013" w14:paraId="5334834A" w14:textId="77777777" w:rsidTr="007B68FE">
        <w:trPr>
          <w:trHeight w:val="290"/>
          <w:tblHeader/>
          <w:jc w:val="center"/>
        </w:trPr>
        <w:tc>
          <w:tcPr>
            <w:tcW w:w="1657" w:type="pct"/>
          </w:tcPr>
          <w:p w14:paraId="333C2F69" w14:textId="77777777" w:rsidR="00202421" w:rsidRPr="00842013" w:rsidRDefault="00202421"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Total</w:t>
            </w:r>
          </w:p>
        </w:tc>
        <w:tc>
          <w:tcPr>
            <w:tcW w:w="1682" w:type="pct"/>
          </w:tcPr>
          <w:p w14:paraId="26F39AE6" w14:textId="77777777" w:rsidR="00202421" w:rsidRPr="00842013" w:rsidRDefault="00202421"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589</w:t>
            </w:r>
          </w:p>
        </w:tc>
        <w:tc>
          <w:tcPr>
            <w:tcW w:w="1661" w:type="pct"/>
          </w:tcPr>
          <w:p w14:paraId="6A8A3588" w14:textId="77777777" w:rsidR="00202421" w:rsidRPr="00842013" w:rsidRDefault="00202421"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100%</w:t>
            </w:r>
          </w:p>
        </w:tc>
      </w:tr>
    </w:tbl>
    <w:p w14:paraId="087FB2FF" w14:textId="77777777" w:rsidR="00845FEA" w:rsidRPr="00845FEA" w:rsidRDefault="00845FEA" w:rsidP="00845FEA">
      <w:pPr>
        <w:pStyle w:val="Titre1"/>
        <w:spacing w:before="120" w:after="120"/>
        <w:rPr>
          <w:sz w:val="40"/>
          <w:szCs w:val="40"/>
          <w:lang w:val="en-CA" w:eastAsia="en-CA"/>
        </w:rPr>
      </w:pPr>
      <w:r w:rsidRPr="00845FEA">
        <w:rPr>
          <w:sz w:val="40"/>
          <w:szCs w:val="40"/>
          <w:lang w:val="en-CA" w:eastAsia="en-CA"/>
        </w:rPr>
        <w:lastRenderedPageBreak/>
        <w:t>Staffing by region</w:t>
      </w:r>
    </w:p>
    <w:p w14:paraId="37A10CDC" w14:textId="77777777" w:rsidR="00C01050" w:rsidRPr="00842013" w:rsidRDefault="00607BA3" w:rsidP="00842013">
      <w:pPr>
        <w:keepNext/>
        <w:spacing w:before="120" w:after="120"/>
        <w:jc w:val="center"/>
        <w:rPr>
          <w:lang w:val="en-CA"/>
        </w:rPr>
      </w:pPr>
      <w:r w:rsidRPr="00842013">
        <w:rPr>
          <w:rStyle w:val="lev"/>
          <w:noProof/>
          <w:lang w:val="en-CA" w:eastAsia="en-CA"/>
        </w:rPr>
        <w:drawing>
          <wp:inline distT="0" distB="0" distL="0" distR="0" wp14:anchorId="0D6D02D9" wp14:editId="31AF4280">
            <wp:extent cx="5648400" cy="3049200"/>
            <wp:effectExtent l="0" t="0" r="9525" b="18415"/>
            <wp:docPr id="3" name="Chart 3" descr="Figure 6 - Staffing by reg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6A73EE1" w14:textId="7CE751B4" w:rsidR="00607BA3" w:rsidRPr="00842013" w:rsidRDefault="00C01050" w:rsidP="00920412">
      <w:pPr>
        <w:pStyle w:val="Lgende"/>
        <w:spacing w:before="120"/>
        <w:contextualSpacing/>
        <w:jc w:val="center"/>
        <w:rPr>
          <w:rFonts w:cstheme="minorHAnsi"/>
        </w:rPr>
      </w:pPr>
      <w:r w:rsidRPr="00842013">
        <w:rPr>
          <w:rFonts w:cstheme="minorHAnsi"/>
        </w:rPr>
        <w:t xml:space="preserve">Figure </w:t>
      </w:r>
      <w:r w:rsidRPr="00842013">
        <w:rPr>
          <w:rFonts w:cstheme="minorHAnsi"/>
        </w:rPr>
        <w:fldChar w:fldCharType="begin"/>
      </w:r>
      <w:r w:rsidRPr="00842013">
        <w:rPr>
          <w:rFonts w:cstheme="minorHAnsi"/>
        </w:rPr>
        <w:instrText xml:space="preserve"> SEQ Figure \* ARABIC </w:instrText>
      </w:r>
      <w:r w:rsidRPr="00842013">
        <w:rPr>
          <w:rFonts w:cstheme="minorHAnsi"/>
        </w:rPr>
        <w:fldChar w:fldCharType="separate"/>
      </w:r>
      <w:r w:rsidR="00200978" w:rsidRPr="00842013">
        <w:rPr>
          <w:rFonts w:cstheme="minorHAnsi"/>
          <w:noProof/>
        </w:rPr>
        <w:t>6</w:t>
      </w:r>
      <w:r w:rsidRPr="00842013">
        <w:rPr>
          <w:rFonts w:cstheme="minorHAnsi"/>
        </w:rPr>
        <w:fldChar w:fldCharType="end"/>
      </w:r>
      <w:r w:rsidRPr="00842013">
        <w:rPr>
          <w:rFonts w:cstheme="minorHAnsi"/>
        </w:rPr>
        <w:t xml:space="preserve"> - Staffing by region</w:t>
      </w:r>
    </w:p>
    <w:p w14:paraId="50FE3582" w14:textId="2CF1DE07" w:rsidR="00C01050" w:rsidRPr="00842013" w:rsidRDefault="00C01050" w:rsidP="00920412">
      <w:pPr>
        <w:pStyle w:val="Lgende"/>
        <w:keepNext/>
        <w:spacing w:before="120"/>
        <w:jc w:val="center"/>
        <w:rPr>
          <w:rFonts w:cstheme="minorHAnsi"/>
        </w:rPr>
      </w:pPr>
      <w:r w:rsidRPr="00842013">
        <w:rPr>
          <w:rFonts w:cstheme="minorHAnsi"/>
        </w:rPr>
        <w:t xml:space="preserve">Table </w:t>
      </w:r>
      <w:r w:rsidRPr="00842013">
        <w:rPr>
          <w:rFonts w:cstheme="minorHAnsi"/>
        </w:rPr>
        <w:fldChar w:fldCharType="begin"/>
      </w:r>
      <w:r w:rsidRPr="00842013">
        <w:rPr>
          <w:rFonts w:cstheme="minorHAnsi"/>
        </w:rPr>
        <w:instrText xml:space="preserve"> SEQ Table \* ARABIC </w:instrText>
      </w:r>
      <w:r w:rsidRPr="00842013">
        <w:rPr>
          <w:rFonts w:cstheme="minorHAnsi"/>
        </w:rPr>
        <w:fldChar w:fldCharType="separate"/>
      </w:r>
      <w:r w:rsidR="002A0977">
        <w:rPr>
          <w:rFonts w:cstheme="minorHAnsi"/>
          <w:noProof/>
        </w:rPr>
        <w:t>9</w:t>
      </w:r>
      <w:r w:rsidRPr="00842013">
        <w:rPr>
          <w:rFonts w:cstheme="minorHAnsi"/>
        </w:rPr>
        <w:fldChar w:fldCharType="end"/>
      </w:r>
      <w:r w:rsidRPr="00842013">
        <w:rPr>
          <w:rFonts w:cstheme="minorHAnsi"/>
        </w:rPr>
        <w:t xml:space="preserve"> - Percentage of staffing activities in the National Capital Region compared with all other regions by fiscal year</w:t>
      </w:r>
    </w:p>
    <w:tbl>
      <w:tblPr>
        <w:tblStyle w:val="Grilledutableau"/>
        <w:tblW w:w="5000" w:type="pct"/>
        <w:jc w:val="center"/>
        <w:tblLook w:val="0020" w:firstRow="1" w:lastRow="0" w:firstColumn="0" w:lastColumn="0" w:noHBand="0" w:noVBand="0"/>
        <w:tblDescription w:val="Staffing by region from 2014 to 2019"/>
      </w:tblPr>
      <w:tblGrid>
        <w:gridCol w:w="2190"/>
        <w:gridCol w:w="6821"/>
        <w:gridCol w:w="5379"/>
      </w:tblGrid>
      <w:tr w:rsidR="00C01050" w:rsidRPr="00842013" w14:paraId="6FAA3B8E" w14:textId="77777777" w:rsidTr="007B68FE">
        <w:trPr>
          <w:trHeight w:val="290"/>
          <w:tblHeader/>
          <w:jc w:val="center"/>
        </w:trPr>
        <w:tc>
          <w:tcPr>
            <w:tcW w:w="761" w:type="pct"/>
          </w:tcPr>
          <w:p w14:paraId="4B33321A" w14:textId="77777777" w:rsidR="00C01050" w:rsidRPr="00842013" w:rsidRDefault="00C01050" w:rsidP="00842013">
            <w:pPr>
              <w:pStyle w:val="TableTitle"/>
              <w:spacing w:before="120" w:after="120"/>
              <w:contextualSpacing/>
              <w:rPr>
                <w:rFonts w:eastAsiaTheme="minorHAnsi"/>
                <w:lang w:val="en-CA"/>
              </w:rPr>
            </w:pPr>
            <w:r w:rsidRPr="00842013">
              <w:rPr>
                <w:rFonts w:eastAsiaTheme="minorHAnsi"/>
                <w:lang w:val="en-CA"/>
              </w:rPr>
              <w:t>Fiscal year</w:t>
            </w:r>
          </w:p>
        </w:tc>
        <w:tc>
          <w:tcPr>
            <w:tcW w:w="2370" w:type="pct"/>
          </w:tcPr>
          <w:p w14:paraId="0615F8CC" w14:textId="77777777" w:rsidR="00C01050" w:rsidRPr="00842013" w:rsidRDefault="00C01050" w:rsidP="00842013">
            <w:pPr>
              <w:pStyle w:val="TableTitle"/>
              <w:spacing w:before="120" w:after="120"/>
              <w:contextualSpacing/>
              <w:rPr>
                <w:rFonts w:eastAsiaTheme="minorHAnsi"/>
                <w:lang w:val="en-CA"/>
              </w:rPr>
            </w:pPr>
            <w:r w:rsidRPr="00842013">
              <w:rPr>
                <w:rFonts w:eastAsiaTheme="minorHAnsi"/>
                <w:lang w:val="en-CA"/>
              </w:rPr>
              <w:t>Percentage of staffing activities in the National Capital Region (NCR)</w:t>
            </w:r>
          </w:p>
        </w:tc>
        <w:tc>
          <w:tcPr>
            <w:tcW w:w="1869" w:type="pct"/>
          </w:tcPr>
          <w:p w14:paraId="13F66C6D" w14:textId="77777777" w:rsidR="00C01050" w:rsidRPr="00842013" w:rsidRDefault="00C01050" w:rsidP="00842013">
            <w:pPr>
              <w:pStyle w:val="TableTitle"/>
              <w:spacing w:before="120" w:after="120"/>
              <w:contextualSpacing/>
              <w:rPr>
                <w:rFonts w:eastAsiaTheme="minorHAnsi"/>
                <w:lang w:val="en-CA"/>
              </w:rPr>
            </w:pPr>
            <w:r w:rsidRPr="00842013">
              <w:rPr>
                <w:rFonts w:eastAsiaTheme="minorHAnsi"/>
                <w:lang w:val="en-CA"/>
              </w:rPr>
              <w:t>Percentage of staffing activities in all other regions (Non-NCR)</w:t>
            </w:r>
          </w:p>
        </w:tc>
      </w:tr>
      <w:tr w:rsidR="00C01050" w:rsidRPr="00842013" w14:paraId="647FCA1B" w14:textId="77777777" w:rsidTr="007B68FE">
        <w:trPr>
          <w:trHeight w:val="290"/>
          <w:tblHeader/>
          <w:jc w:val="center"/>
        </w:trPr>
        <w:tc>
          <w:tcPr>
            <w:tcW w:w="761" w:type="pct"/>
          </w:tcPr>
          <w:p w14:paraId="70BBABFF" w14:textId="77777777" w:rsidR="00C01050" w:rsidRPr="00842013" w:rsidRDefault="00C01050"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2014 to 2015</w:t>
            </w:r>
          </w:p>
        </w:tc>
        <w:tc>
          <w:tcPr>
            <w:tcW w:w="2370" w:type="pct"/>
          </w:tcPr>
          <w:p w14:paraId="6AC247C0" w14:textId="77777777" w:rsidR="00C01050" w:rsidRPr="00842013" w:rsidRDefault="00C01050"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66%</w:t>
            </w:r>
          </w:p>
        </w:tc>
        <w:tc>
          <w:tcPr>
            <w:tcW w:w="1869" w:type="pct"/>
          </w:tcPr>
          <w:p w14:paraId="3A47832B" w14:textId="77777777" w:rsidR="00C01050" w:rsidRPr="00842013" w:rsidRDefault="00C01050"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34%</w:t>
            </w:r>
          </w:p>
        </w:tc>
      </w:tr>
      <w:tr w:rsidR="00C01050" w:rsidRPr="00842013" w14:paraId="5068402F" w14:textId="77777777" w:rsidTr="007B68FE">
        <w:trPr>
          <w:trHeight w:val="290"/>
          <w:tblHeader/>
          <w:jc w:val="center"/>
        </w:trPr>
        <w:tc>
          <w:tcPr>
            <w:tcW w:w="761" w:type="pct"/>
          </w:tcPr>
          <w:p w14:paraId="15796493" w14:textId="77777777" w:rsidR="00C01050" w:rsidRPr="00842013" w:rsidRDefault="00C01050"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2015 to 2016</w:t>
            </w:r>
          </w:p>
        </w:tc>
        <w:tc>
          <w:tcPr>
            <w:tcW w:w="2370" w:type="pct"/>
          </w:tcPr>
          <w:p w14:paraId="6D140B0E" w14:textId="77777777" w:rsidR="00C01050" w:rsidRPr="00842013" w:rsidRDefault="00C01050"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69%</w:t>
            </w:r>
          </w:p>
        </w:tc>
        <w:tc>
          <w:tcPr>
            <w:tcW w:w="1869" w:type="pct"/>
          </w:tcPr>
          <w:p w14:paraId="34F90602" w14:textId="77777777" w:rsidR="00C01050" w:rsidRPr="00842013" w:rsidRDefault="00C01050"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31%</w:t>
            </w:r>
          </w:p>
        </w:tc>
      </w:tr>
      <w:tr w:rsidR="00C01050" w:rsidRPr="00842013" w14:paraId="2742DBB6" w14:textId="77777777" w:rsidTr="007B68FE">
        <w:trPr>
          <w:trHeight w:val="290"/>
          <w:tblHeader/>
          <w:jc w:val="center"/>
        </w:trPr>
        <w:tc>
          <w:tcPr>
            <w:tcW w:w="761" w:type="pct"/>
          </w:tcPr>
          <w:p w14:paraId="4A733386" w14:textId="77777777" w:rsidR="00C01050" w:rsidRPr="00842013" w:rsidRDefault="00C01050"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2016 to 2017</w:t>
            </w:r>
          </w:p>
        </w:tc>
        <w:tc>
          <w:tcPr>
            <w:tcW w:w="2370" w:type="pct"/>
          </w:tcPr>
          <w:p w14:paraId="408C7D76" w14:textId="77777777" w:rsidR="00C01050" w:rsidRPr="00842013" w:rsidRDefault="00C01050"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70%</w:t>
            </w:r>
          </w:p>
        </w:tc>
        <w:tc>
          <w:tcPr>
            <w:tcW w:w="1869" w:type="pct"/>
          </w:tcPr>
          <w:p w14:paraId="68B5F347" w14:textId="77777777" w:rsidR="00C01050" w:rsidRPr="00842013" w:rsidRDefault="00C01050"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30%</w:t>
            </w:r>
          </w:p>
        </w:tc>
      </w:tr>
      <w:tr w:rsidR="00C01050" w:rsidRPr="00842013" w14:paraId="19B7229C" w14:textId="77777777" w:rsidTr="007B68FE">
        <w:trPr>
          <w:trHeight w:val="290"/>
          <w:tblHeader/>
          <w:jc w:val="center"/>
        </w:trPr>
        <w:tc>
          <w:tcPr>
            <w:tcW w:w="761" w:type="pct"/>
          </w:tcPr>
          <w:p w14:paraId="4AF3A4B1" w14:textId="77777777" w:rsidR="00C01050" w:rsidRPr="00842013" w:rsidRDefault="00C01050"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2017 to 2018</w:t>
            </w:r>
          </w:p>
        </w:tc>
        <w:tc>
          <w:tcPr>
            <w:tcW w:w="2370" w:type="pct"/>
          </w:tcPr>
          <w:p w14:paraId="0001F066" w14:textId="77777777" w:rsidR="00C01050" w:rsidRPr="00842013" w:rsidRDefault="00C01050"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74%</w:t>
            </w:r>
          </w:p>
        </w:tc>
        <w:tc>
          <w:tcPr>
            <w:tcW w:w="1869" w:type="pct"/>
          </w:tcPr>
          <w:p w14:paraId="65702137" w14:textId="77777777" w:rsidR="00C01050" w:rsidRPr="00842013" w:rsidRDefault="00C01050"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26%</w:t>
            </w:r>
          </w:p>
        </w:tc>
      </w:tr>
      <w:tr w:rsidR="00C01050" w:rsidRPr="00842013" w14:paraId="212D8D8D" w14:textId="77777777" w:rsidTr="007B68FE">
        <w:trPr>
          <w:trHeight w:val="290"/>
          <w:tblHeader/>
          <w:jc w:val="center"/>
        </w:trPr>
        <w:tc>
          <w:tcPr>
            <w:tcW w:w="761" w:type="pct"/>
          </w:tcPr>
          <w:p w14:paraId="21B78407" w14:textId="77777777" w:rsidR="00C01050" w:rsidRPr="00842013" w:rsidRDefault="00C01050"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2018 to 2019</w:t>
            </w:r>
          </w:p>
        </w:tc>
        <w:tc>
          <w:tcPr>
            <w:tcW w:w="2370" w:type="pct"/>
          </w:tcPr>
          <w:p w14:paraId="1850D3B7" w14:textId="77777777" w:rsidR="00C01050" w:rsidRPr="00842013" w:rsidRDefault="00C01050"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74%</w:t>
            </w:r>
          </w:p>
        </w:tc>
        <w:tc>
          <w:tcPr>
            <w:tcW w:w="1869" w:type="pct"/>
          </w:tcPr>
          <w:p w14:paraId="6FD6DEC8" w14:textId="77777777" w:rsidR="00C01050" w:rsidRPr="00842013" w:rsidRDefault="00C01050"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26%</w:t>
            </w:r>
          </w:p>
        </w:tc>
      </w:tr>
    </w:tbl>
    <w:p w14:paraId="5C9B0E37" w14:textId="77777777" w:rsidR="0076559F" w:rsidRPr="00842013" w:rsidRDefault="00282ABD" w:rsidP="00842013">
      <w:pPr>
        <w:keepNext/>
        <w:spacing w:before="120" w:after="120"/>
        <w:jc w:val="center"/>
        <w:rPr>
          <w:lang w:val="en-CA"/>
        </w:rPr>
      </w:pPr>
      <w:r w:rsidRPr="00842013">
        <w:rPr>
          <w:rStyle w:val="lev"/>
          <w:noProof/>
          <w:lang w:val="en-CA" w:eastAsia="en-CA"/>
        </w:rPr>
        <w:lastRenderedPageBreak/>
        <w:drawing>
          <wp:inline distT="0" distB="0" distL="0" distR="0" wp14:anchorId="60C04A8B" wp14:editId="30D5B45B">
            <wp:extent cx="5648400" cy="3049200"/>
            <wp:effectExtent l="0" t="0" r="9525" b="18415"/>
            <wp:docPr id="1" name="Chart 1" descr="Figure 7 - Staffing by process type"/>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416E2BA" w14:textId="7CCE8308" w:rsidR="00282ABD" w:rsidRPr="00842013" w:rsidRDefault="0076559F" w:rsidP="00842013">
      <w:pPr>
        <w:pStyle w:val="Lgende"/>
        <w:spacing w:before="120" w:after="120"/>
        <w:jc w:val="center"/>
        <w:rPr>
          <w:rFonts w:cstheme="minorHAnsi"/>
          <w:sz w:val="22"/>
          <w:szCs w:val="22"/>
        </w:rPr>
      </w:pPr>
      <w:r w:rsidRPr="00842013">
        <w:rPr>
          <w:rFonts w:cstheme="minorHAnsi"/>
        </w:rPr>
        <w:t xml:space="preserve">Figure </w:t>
      </w:r>
      <w:r w:rsidRPr="00842013">
        <w:rPr>
          <w:rFonts w:cstheme="minorHAnsi"/>
        </w:rPr>
        <w:fldChar w:fldCharType="begin"/>
      </w:r>
      <w:r w:rsidRPr="00842013">
        <w:rPr>
          <w:rFonts w:cstheme="minorHAnsi"/>
        </w:rPr>
        <w:instrText xml:space="preserve"> SEQ Figure \* ARABIC </w:instrText>
      </w:r>
      <w:r w:rsidRPr="00842013">
        <w:rPr>
          <w:rFonts w:cstheme="minorHAnsi"/>
        </w:rPr>
        <w:fldChar w:fldCharType="separate"/>
      </w:r>
      <w:r w:rsidR="00200978" w:rsidRPr="00842013">
        <w:rPr>
          <w:rFonts w:cstheme="minorHAnsi"/>
          <w:noProof/>
        </w:rPr>
        <w:t>7</w:t>
      </w:r>
      <w:r w:rsidRPr="00842013">
        <w:rPr>
          <w:rFonts w:cstheme="minorHAnsi"/>
        </w:rPr>
        <w:fldChar w:fldCharType="end"/>
      </w:r>
      <w:r w:rsidRPr="00842013">
        <w:rPr>
          <w:rFonts w:cstheme="minorHAnsi"/>
        </w:rPr>
        <w:t xml:space="preserve"> - Staffing by process type</w:t>
      </w:r>
    </w:p>
    <w:p w14:paraId="7A6A0C1C" w14:textId="771706A8" w:rsidR="0076559F" w:rsidRPr="00842013" w:rsidRDefault="0076559F" w:rsidP="00920412">
      <w:pPr>
        <w:pStyle w:val="Lgende"/>
        <w:keepNext/>
        <w:spacing w:before="120"/>
        <w:jc w:val="center"/>
        <w:rPr>
          <w:rFonts w:cstheme="minorHAnsi"/>
        </w:rPr>
      </w:pPr>
      <w:r w:rsidRPr="00842013">
        <w:rPr>
          <w:rFonts w:cstheme="minorHAnsi"/>
        </w:rPr>
        <w:t xml:space="preserve">Table </w:t>
      </w:r>
      <w:r w:rsidRPr="00842013">
        <w:rPr>
          <w:rFonts w:cstheme="minorHAnsi"/>
        </w:rPr>
        <w:fldChar w:fldCharType="begin"/>
      </w:r>
      <w:r w:rsidRPr="00842013">
        <w:rPr>
          <w:rFonts w:cstheme="minorHAnsi"/>
        </w:rPr>
        <w:instrText xml:space="preserve"> SEQ Table \* ARABIC </w:instrText>
      </w:r>
      <w:r w:rsidRPr="00842013">
        <w:rPr>
          <w:rFonts w:cstheme="minorHAnsi"/>
        </w:rPr>
        <w:fldChar w:fldCharType="separate"/>
      </w:r>
      <w:r w:rsidR="002A0977">
        <w:rPr>
          <w:rFonts w:cstheme="minorHAnsi"/>
          <w:noProof/>
        </w:rPr>
        <w:t>10</w:t>
      </w:r>
      <w:r w:rsidRPr="00842013">
        <w:rPr>
          <w:rFonts w:cstheme="minorHAnsi"/>
        </w:rPr>
        <w:fldChar w:fldCharType="end"/>
      </w:r>
      <w:r w:rsidRPr="00842013">
        <w:rPr>
          <w:rFonts w:cstheme="minorHAnsi"/>
        </w:rPr>
        <w:t xml:space="preserve"> - Number and percentage of staffing activities by type of process and fiscal year</w:t>
      </w:r>
    </w:p>
    <w:tbl>
      <w:tblPr>
        <w:tblStyle w:val="Grilledutableau"/>
        <w:tblW w:w="5000" w:type="pct"/>
        <w:jc w:val="center"/>
        <w:tblLook w:val="0020" w:firstRow="1" w:lastRow="0" w:firstColumn="0" w:lastColumn="0" w:noHBand="0" w:noVBand="0"/>
        <w:tblDescription w:val="Staffing by process type from 2014 to 2019"/>
      </w:tblPr>
      <w:tblGrid>
        <w:gridCol w:w="2533"/>
        <w:gridCol w:w="5221"/>
        <w:gridCol w:w="2984"/>
        <w:gridCol w:w="3652"/>
      </w:tblGrid>
      <w:tr w:rsidR="00D16434" w:rsidRPr="00842013" w14:paraId="1341C26E" w14:textId="77777777" w:rsidTr="007B68FE">
        <w:trPr>
          <w:trHeight w:val="290"/>
          <w:tblHeader/>
          <w:jc w:val="center"/>
        </w:trPr>
        <w:tc>
          <w:tcPr>
            <w:tcW w:w="880" w:type="pct"/>
          </w:tcPr>
          <w:p w14:paraId="2EF962F5" w14:textId="77777777" w:rsidR="00D16434" w:rsidRPr="00842013" w:rsidRDefault="00D16434" w:rsidP="00E4578D">
            <w:pPr>
              <w:pStyle w:val="TableTitle"/>
              <w:spacing w:before="0" w:after="120"/>
              <w:contextualSpacing/>
              <w:rPr>
                <w:rFonts w:eastAsiaTheme="minorHAnsi"/>
                <w:lang w:val="en-CA"/>
              </w:rPr>
            </w:pPr>
            <w:r w:rsidRPr="00842013">
              <w:rPr>
                <w:rFonts w:eastAsiaTheme="minorHAnsi"/>
                <w:lang w:val="en-CA"/>
              </w:rPr>
              <w:t>Fiscal year</w:t>
            </w:r>
          </w:p>
        </w:tc>
        <w:tc>
          <w:tcPr>
            <w:tcW w:w="1814" w:type="pct"/>
          </w:tcPr>
          <w:p w14:paraId="30562B12" w14:textId="77777777" w:rsidR="00D16434" w:rsidRPr="00842013" w:rsidRDefault="00D16434" w:rsidP="00842013">
            <w:pPr>
              <w:pStyle w:val="TableTitle"/>
              <w:spacing w:before="120" w:after="120"/>
              <w:contextualSpacing/>
              <w:rPr>
                <w:rFonts w:eastAsiaTheme="minorHAnsi"/>
                <w:lang w:val="en-CA"/>
              </w:rPr>
            </w:pPr>
            <w:r w:rsidRPr="00842013">
              <w:rPr>
                <w:rFonts w:eastAsiaTheme="minorHAnsi"/>
                <w:lang w:val="en-CA"/>
              </w:rPr>
              <w:t>Non-advertised processes (excludes unknowns)</w:t>
            </w:r>
          </w:p>
        </w:tc>
        <w:tc>
          <w:tcPr>
            <w:tcW w:w="1037" w:type="pct"/>
          </w:tcPr>
          <w:p w14:paraId="74BF11C0" w14:textId="77777777" w:rsidR="00D16434" w:rsidRPr="00842013" w:rsidRDefault="00D16434" w:rsidP="00842013">
            <w:pPr>
              <w:pStyle w:val="TableTitle"/>
              <w:spacing w:before="120" w:after="120"/>
              <w:contextualSpacing/>
              <w:rPr>
                <w:rFonts w:eastAsiaTheme="minorHAnsi"/>
                <w:lang w:val="en-CA"/>
              </w:rPr>
            </w:pPr>
            <w:r w:rsidRPr="00842013">
              <w:rPr>
                <w:rFonts w:eastAsiaTheme="minorHAnsi"/>
                <w:lang w:val="en-CA"/>
              </w:rPr>
              <w:t>Advertised processes</w:t>
            </w:r>
          </w:p>
        </w:tc>
        <w:tc>
          <w:tcPr>
            <w:tcW w:w="1269" w:type="pct"/>
          </w:tcPr>
          <w:p w14:paraId="6118E623" w14:textId="77777777" w:rsidR="00D16434" w:rsidRPr="00842013" w:rsidRDefault="00D16434" w:rsidP="00842013">
            <w:pPr>
              <w:pStyle w:val="TableTitle"/>
              <w:spacing w:before="120" w:after="120"/>
              <w:contextualSpacing/>
              <w:rPr>
                <w:rFonts w:eastAsiaTheme="minorHAnsi"/>
                <w:lang w:val="en-CA"/>
              </w:rPr>
            </w:pPr>
            <w:r w:rsidRPr="00842013">
              <w:rPr>
                <w:rFonts w:eastAsiaTheme="minorHAnsi"/>
                <w:lang w:val="en-CA"/>
              </w:rPr>
              <w:t>% of Non- advertised processes</w:t>
            </w:r>
          </w:p>
        </w:tc>
      </w:tr>
      <w:tr w:rsidR="00D16434" w:rsidRPr="00842013" w14:paraId="5E90A7A9" w14:textId="77777777" w:rsidTr="007B68FE">
        <w:trPr>
          <w:trHeight w:val="290"/>
          <w:tblHeader/>
          <w:jc w:val="center"/>
        </w:trPr>
        <w:tc>
          <w:tcPr>
            <w:tcW w:w="880" w:type="pct"/>
          </w:tcPr>
          <w:p w14:paraId="5CCCB726" w14:textId="77777777" w:rsidR="00D16434" w:rsidRPr="00842013" w:rsidRDefault="00D16434"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 xml:space="preserve">2014 to 2015 </w:t>
            </w:r>
          </w:p>
        </w:tc>
        <w:tc>
          <w:tcPr>
            <w:tcW w:w="1814" w:type="pct"/>
          </w:tcPr>
          <w:p w14:paraId="349B07B2"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430</w:t>
            </w:r>
          </w:p>
        </w:tc>
        <w:tc>
          <w:tcPr>
            <w:tcW w:w="1037" w:type="pct"/>
          </w:tcPr>
          <w:p w14:paraId="3A82F7CE"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825</w:t>
            </w:r>
          </w:p>
        </w:tc>
        <w:tc>
          <w:tcPr>
            <w:tcW w:w="1269" w:type="pct"/>
          </w:tcPr>
          <w:p w14:paraId="4D695FE5"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34%</w:t>
            </w:r>
          </w:p>
        </w:tc>
      </w:tr>
      <w:tr w:rsidR="00D16434" w:rsidRPr="00842013" w14:paraId="7096BB83" w14:textId="77777777" w:rsidTr="007B68FE">
        <w:trPr>
          <w:trHeight w:val="290"/>
          <w:tblHeader/>
          <w:jc w:val="center"/>
        </w:trPr>
        <w:tc>
          <w:tcPr>
            <w:tcW w:w="880" w:type="pct"/>
          </w:tcPr>
          <w:p w14:paraId="6E7CE591" w14:textId="77777777" w:rsidR="00D16434" w:rsidRPr="00842013" w:rsidRDefault="00D16434"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 xml:space="preserve">2015 to 2016 </w:t>
            </w:r>
          </w:p>
        </w:tc>
        <w:tc>
          <w:tcPr>
            <w:tcW w:w="1814" w:type="pct"/>
          </w:tcPr>
          <w:p w14:paraId="487FF073"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347</w:t>
            </w:r>
          </w:p>
        </w:tc>
        <w:tc>
          <w:tcPr>
            <w:tcW w:w="1037" w:type="pct"/>
          </w:tcPr>
          <w:p w14:paraId="6F384085"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790</w:t>
            </w:r>
          </w:p>
        </w:tc>
        <w:tc>
          <w:tcPr>
            <w:tcW w:w="1269" w:type="pct"/>
          </w:tcPr>
          <w:p w14:paraId="5C1018DD"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31%</w:t>
            </w:r>
          </w:p>
        </w:tc>
      </w:tr>
      <w:tr w:rsidR="00D16434" w:rsidRPr="00842013" w14:paraId="1B4A9C8F" w14:textId="77777777" w:rsidTr="007B68FE">
        <w:trPr>
          <w:trHeight w:val="290"/>
          <w:tblHeader/>
          <w:jc w:val="center"/>
        </w:trPr>
        <w:tc>
          <w:tcPr>
            <w:tcW w:w="880" w:type="pct"/>
          </w:tcPr>
          <w:p w14:paraId="61A479A3" w14:textId="77777777" w:rsidR="00D16434" w:rsidRPr="00842013" w:rsidRDefault="00D16434"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2016 to 2017</w:t>
            </w:r>
          </w:p>
        </w:tc>
        <w:tc>
          <w:tcPr>
            <w:tcW w:w="1814" w:type="pct"/>
          </w:tcPr>
          <w:p w14:paraId="7DDB5587"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483</w:t>
            </w:r>
          </w:p>
        </w:tc>
        <w:tc>
          <w:tcPr>
            <w:tcW w:w="1037" w:type="pct"/>
          </w:tcPr>
          <w:p w14:paraId="626D0AC9"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1 040</w:t>
            </w:r>
          </w:p>
        </w:tc>
        <w:tc>
          <w:tcPr>
            <w:tcW w:w="1269" w:type="pct"/>
          </w:tcPr>
          <w:p w14:paraId="0C43ACD8"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32%</w:t>
            </w:r>
          </w:p>
        </w:tc>
      </w:tr>
      <w:tr w:rsidR="00D16434" w:rsidRPr="00842013" w14:paraId="7402ECBE" w14:textId="77777777" w:rsidTr="007B68FE">
        <w:trPr>
          <w:trHeight w:val="290"/>
          <w:tblHeader/>
          <w:jc w:val="center"/>
        </w:trPr>
        <w:tc>
          <w:tcPr>
            <w:tcW w:w="880" w:type="pct"/>
          </w:tcPr>
          <w:p w14:paraId="1864D55F" w14:textId="77777777" w:rsidR="00D16434" w:rsidRPr="00842013" w:rsidRDefault="00D16434"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2017 to 2018</w:t>
            </w:r>
          </w:p>
        </w:tc>
        <w:tc>
          <w:tcPr>
            <w:tcW w:w="1814" w:type="pct"/>
          </w:tcPr>
          <w:p w14:paraId="6F5A528F"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985</w:t>
            </w:r>
          </w:p>
        </w:tc>
        <w:tc>
          <w:tcPr>
            <w:tcW w:w="1037" w:type="pct"/>
          </w:tcPr>
          <w:p w14:paraId="771E28DD"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1 196</w:t>
            </w:r>
          </w:p>
        </w:tc>
        <w:tc>
          <w:tcPr>
            <w:tcW w:w="1269" w:type="pct"/>
          </w:tcPr>
          <w:p w14:paraId="5B129C4C"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45%</w:t>
            </w:r>
          </w:p>
        </w:tc>
      </w:tr>
      <w:tr w:rsidR="00D16434" w:rsidRPr="00842013" w14:paraId="3EDA6880" w14:textId="77777777" w:rsidTr="007B68FE">
        <w:trPr>
          <w:trHeight w:val="290"/>
          <w:tblHeader/>
          <w:jc w:val="center"/>
        </w:trPr>
        <w:tc>
          <w:tcPr>
            <w:tcW w:w="880" w:type="pct"/>
          </w:tcPr>
          <w:p w14:paraId="2F412CC3" w14:textId="77777777" w:rsidR="00D16434" w:rsidRPr="00842013" w:rsidRDefault="00D16434"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2018 to 2019</w:t>
            </w:r>
          </w:p>
        </w:tc>
        <w:tc>
          <w:tcPr>
            <w:tcW w:w="1814" w:type="pct"/>
          </w:tcPr>
          <w:p w14:paraId="725EF281"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1 457</w:t>
            </w:r>
          </w:p>
        </w:tc>
        <w:tc>
          <w:tcPr>
            <w:tcW w:w="1037" w:type="pct"/>
          </w:tcPr>
          <w:p w14:paraId="3F8A2B82"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1 386</w:t>
            </w:r>
          </w:p>
        </w:tc>
        <w:tc>
          <w:tcPr>
            <w:tcW w:w="1269" w:type="pct"/>
          </w:tcPr>
          <w:p w14:paraId="32B402C1"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51%</w:t>
            </w:r>
          </w:p>
        </w:tc>
      </w:tr>
    </w:tbl>
    <w:p w14:paraId="3657DAE6" w14:textId="77777777" w:rsidR="00D16434" w:rsidRPr="00842013" w:rsidRDefault="00D16434" w:rsidP="00842013">
      <w:pPr>
        <w:spacing w:before="120" w:after="120"/>
        <w:rPr>
          <w:rFonts w:ascii="Segoe UI Semilight" w:hAnsi="Segoe UI Semilight" w:cs="Segoe UI Semilight"/>
          <w:b/>
          <w:bCs/>
          <w:color w:val="A7AAAD" w:themeColor="text1" w:themeTint="80"/>
          <w:sz w:val="22"/>
          <w:szCs w:val="22"/>
          <w:lang w:val="en-CA"/>
        </w:rPr>
      </w:pPr>
    </w:p>
    <w:p w14:paraId="4C6D7096" w14:textId="77777777" w:rsidR="008366F5" w:rsidRPr="008366F5" w:rsidRDefault="008366F5" w:rsidP="008366F5">
      <w:pPr>
        <w:pStyle w:val="Titre1"/>
        <w:spacing w:before="120" w:after="120"/>
        <w:rPr>
          <w:rFonts w:ascii="Times New Roman"/>
          <w:sz w:val="40"/>
          <w:szCs w:val="40"/>
          <w:lang w:val="en-CA" w:eastAsia="en-CA"/>
        </w:rPr>
      </w:pPr>
      <w:r>
        <w:rPr>
          <w:lang w:val="en-CA"/>
        </w:rPr>
        <w:lastRenderedPageBreak/>
        <w:tab/>
      </w:r>
      <w:r w:rsidRPr="008366F5">
        <w:rPr>
          <w:sz w:val="40"/>
          <w:szCs w:val="40"/>
          <w:lang w:val="en-CA" w:eastAsia="en-CA"/>
        </w:rPr>
        <w:t>Staffing by appointment type</w:t>
      </w:r>
    </w:p>
    <w:p w14:paraId="694C7337" w14:textId="16A7689E" w:rsidR="0076559F" w:rsidRPr="00842013" w:rsidRDefault="00282ABD" w:rsidP="00192FAE">
      <w:pPr>
        <w:pStyle w:val="Pieddepage"/>
        <w:keepNext/>
        <w:tabs>
          <w:tab w:val="left" w:pos="576"/>
        </w:tabs>
        <w:spacing w:before="120" w:after="120"/>
        <w:jc w:val="center"/>
        <w:rPr>
          <w:lang w:val="en-CA"/>
        </w:rPr>
      </w:pPr>
      <w:r w:rsidRPr="00842013">
        <w:rPr>
          <w:rStyle w:val="lev"/>
          <w:noProof/>
          <w:lang w:val="en-CA" w:eastAsia="en-CA"/>
        </w:rPr>
        <w:drawing>
          <wp:inline distT="0" distB="0" distL="0" distR="0" wp14:anchorId="1DD3B63B" wp14:editId="07B0BD83">
            <wp:extent cx="5648400" cy="3049200"/>
            <wp:effectExtent l="0" t="0" r="9525" b="18415"/>
            <wp:docPr id="9" name="Chart 9" descr="Figure 8 - Staffing by appointment type"/>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0A9E68" w14:textId="3CAC1F11" w:rsidR="00D16434" w:rsidRPr="00842013" w:rsidRDefault="0076559F" w:rsidP="00920412">
      <w:pPr>
        <w:pStyle w:val="Lgende"/>
        <w:jc w:val="center"/>
        <w:rPr>
          <w:rFonts w:cstheme="minorHAnsi"/>
          <w:sz w:val="22"/>
          <w:szCs w:val="22"/>
        </w:rPr>
      </w:pPr>
      <w:r w:rsidRPr="00842013">
        <w:rPr>
          <w:rFonts w:cstheme="minorHAnsi"/>
        </w:rPr>
        <w:t xml:space="preserve">Figure </w:t>
      </w:r>
      <w:r w:rsidRPr="00842013">
        <w:rPr>
          <w:rFonts w:cstheme="minorHAnsi"/>
        </w:rPr>
        <w:fldChar w:fldCharType="begin"/>
      </w:r>
      <w:r w:rsidRPr="00842013">
        <w:rPr>
          <w:rFonts w:cstheme="minorHAnsi"/>
        </w:rPr>
        <w:instrText xml:space="preserve"> SEQ Figure \* ARABIC </w:instrText>
      </w:r>
      <w:r w:rsidRPr="00842013">
        <w:rPr>
          <w:rFonts w:cstheme="minorHAnsi"/>
        </w:rPr>
        <w:fldChar w:fldCharType="separate"/>
      </w:r>
      <w:r w:rsidR="00200978" w:rsidRPr="00842013">
        <w:rPr>
          <w:rFonts w:cstheme="minorHAnsi"/>
          <w:noProof/>
        </w:rPr>
        <w:t>8</w:t>
      </w:r>
      <w:r w:rsidRPr="00842013">
        <w:rPr>
          <w:rFonts w:cstheme="minorHAnsi"/>
        </w:rPr>
        <w:fldChar w:fldCharType="end"/>
      </w:r>
      <w:r w:rsidRPr="00842013">
        <w:rPr>
          <w:rFonts w:cstheme="minorHAnsi"/>
        </w:rPr>
        <w:t xml:space="preserve"> - Staffing by appointment type</w:t>
      </w:r>
    </w:p>
    <w:p w14:paraId="311B9028" w14:textId="5A6930F0" w:rsidR="0076559F" w:rsidRPr="00842013" w:rsidRDefault="0076559F" w:rsidP="00920412">
      <w:pPr>
        <w:pStyle w:val="Lgende"/>
        <w:keepNext/>
        <w:spacing w:before="120"/>
        <w:jc w:val="center"/>
        <w:rPr>
          <w:rFonts w:cstheme="minorHAnsi"/>
        </w:rPr>
      </w:pPr>
      <w:r w:rsidRPr="00842013">
        <w:rPr>
          <w:rFonts w:cstheme="minorHAnsi"/>
        </w:rPr>
        <w:t xml:space="preserve">Table </w:t>
      </w:r>
      <w:r w:rsidRPr="00842013">
        <w:rPr>
          <w:rFonts w:cstheme="minorHAnsi"/>
        </w:rPr>
        <w:fldChar w:fldCharType="begin"/>
      </w:r>
      <w:r w:rsidRPr="00842013">
        <w:rPr>
          <w:rFonts w:cstheme="minorHAnsi"/>
        </w:rPr>
        <w:instrText xml:space="preserve"> SEQ Table \* ARABIC </w:instrText>
      </w:r>
      <w:r w:rsidRPr="00842013">
        <w:rPr>
          <w:rFonts w:cstheme="minorHAnsi"/>
        </w:rPr>
        <w:fldChar w:fldCharType="separate"/>
      </w:r>
      <w:r w:rsidR="002A0977">
        <w:rPr>
          <w:rFonts w:cstheme="minorHAnsi"/>
          <w:noProof/>
        </w:rPr>
        <w:t>11</w:t>
      </w:r>
      <w:r w:rsidRPr="00842013">
        <w:rPr>
          <w:rFonts w:cstheme="minorHAnsi"/>
        </w:rPr>
        <w:fldChar w:fldCharType="end"/>
      </w:r>
      <w:r w:rsidRPr="00842013">
        <w:rPr>
          <w:rFonts w:cstheme="minorHAnsi"/>
        </w:rPr>
        <w:t xml:space="preserve"> - Staffing activities by appointment type and fiscal year</w:t>
      </w:r>
    </w:p>
    <w:tbl>
      <w:tblPr>
        <w:tblStyle w:val="Grilledutableau"/>
        <w:tblW w:w="5000" w:type="pct"/>
        <w:jc w:val="center"/>
        <w:tblLook w:val="0020" w:firstRow="1" w:lastRow="0" w:firstColumn="0" w:lastColumn="0" w:noHBand="0" w:noVBand="0"/>
        <w:tblDescription w:val="Staffing by appointment type from 2014 to 2019"/>
      </w:tblPr>
      <w:tblGrid>
        <w:gridCol w:w="1639"/>
        <w:gridCol w:w="1938"/>
        <w:gridCol w:w="2387"/>
        <w:gridCol w:w="3580"/>
        <w:gridCol w:w="3655"/>
        <w:gridCol w:w="1191"/>
      </w:tblGrid>
      <w:tr w:rsidR="00D504CF" w:rsidRPr="00D504CF" w14:paraId="0520B137" w14:textId="77777777" w:rsidTr="007B68FE">
        <w:trPr>
          <w:tblHeader/>
          <w:jc w:val="center"/>
        </w:trPr>
        <w:tc>
          <w:tcPr>
            <w:tcW w:w="569" w:type="pct"/>
          </w:tcPr>
          <w:p w14:paraId="19A69458" w14:textId="77777777" w:rsidR="00D16434" w:rsidRPr="00D504CF" w:rsidRDefault="00D16434" w:rsidP="00D504CF">
            <w:pPr>
              <w:pStyle w:val="TableTitle"/>
            </w:pPr>
            <w:r w:rsidRPr="00D504CF">
              <w:t>Fiscal year</w:t>
            </w:r>
          </w:p>
        </w:tc>
        <w:tc>
          <w:tcPr>
            <w:tcW w:w="673" w:type="pct"/>
          </w:tcPr>
          <w:p w14:paraId="2695AD37" w14:textId="77777777" w:rsidR="00D16434" w:rsidRPr="00D504CF" w:rsidRDefault="00D16434" w:rsidP="00D504CF">
            <w:pPr>
              <w:pStyle w:val="TableTitle"/>
            </w:pPr>
            <w:r w:rsidRPr="00D504CF">
              <w:t>Promotions</w:t>
            </w:r>
          </w:p>
        </w:tc>
        <w:tc>
          <w:tcPr>
            <w:tcW w:w="829" w:type="pct"/>
          </w:tcPr>
          <w:p w14:paraId="5722E820" w14:textId="77777777" w:rsidR="00D16434" w:rsidRPr="00D504CF" w:rsidRDefault="00D16434" w:rsidP="00D504CF">
            <w:pPr>
              <w:pStyle w:val="TableTitle"/>
            </w:pPr>
            <w:r w:rsidRPr="00D504CF">
              <w:t>Lateral and downward movements</w:t>
            </w:r>
          </w:p>
        </w:tc>
        <w:tc>
          <w:tcPr>
            <w:tcW w:w="1244" w:type="pct"/>
          </w:tcPr>
          <w:p w14:paraId="713008F6" w14:textId="3B346216" w:rsidR="00D16434" w:rsidRPr="00D504CF" w:rsidRDefault="00D16434" w:rsidP="00D504CF">
            <w:pPr>
              <w:pStyle w:val="TableTitle"/>
            </w:pPr>
            <w:r w:rsidRPr="00D504CF">
              <w:t>Appointments to the public service (includes casuals and students)</w:t>
            </w:r>
          </w:p>
        </w:tc>
        <w:tc>
          <w:tcPr>
            <w:tcW w:w="1270" w:type="pct"/>
          </w:tcPr>
          <w:p w14:paraId="5AD4B070" w14:textId="77777777" w:rsidR="00D16434" w:rsidRPr="00D504CF" w:rsidRDefault="00D16434" w:rsidP="00D504CF">
            <w:pPr>
              <w:pStyle w:val="TableTitle"/>
            </w:pPr>
            <w:r w:rsidRPr="00D504CF">
              <w:t>Acting appointments (excludes appointments of less than 4 months)</w:t>
            </w:r>
          </w:p>
        </w:tc>
        <w:tc>
          <w:tcPr>
            <w:tcW w:w="414" w:type="pct"/>
          </w:tcPr>
          <w:p w14:paraId="2C81A842" w14:textId="77777777" w:rsidR="00D16434" w:rsidRPr="00D504CF" w:rsidRDefault="00D16434" w:rsidP="00D504CF">
            <w:pPr>
              <w:pStyle w:val="TableTitle"/>
            </w:pPr>
            <w:r w:rsidRPr="00D504CF">
              <w:t>Total</w:t>
            </w:r>
          </w:p>
        </w:tc>
      </w:tr>
      <w:tr w:rsidR="0009595B" w:rsidRPr="00842013" w14:paraId="225524D9" w14:textId="77777777" w:rsidTr="007B68FE">
        <w:trPr>
          <w:tblHeader/>
          <w:jc w:val="center"/>
        </w:trPr>
        <w:tc>
          <w:tcPr>
            <w:tcW w:w="569" w:type="pct"/>
          </w:tcPr>
          <w:p w14:paraId="523B3829" w14:textId="77777777" w:rsidR="00D16434" w:rsidRPr="00842013" w:rsidRDefault="00D16434"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 xml:space="preserve">2014 to 2015 </w:t>
            </w:r>
          </w:p>
        </w:tc>
        <w:tc>
          <w:tcPr>
            <w:tcW w:w="673" w:type="pct"/>
          </w:tcPr>
          <w:p w14:paraId="44E66B0A"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509</w:t>
            </w:r>
          </w:p>
        </w:tc>
        <w:tc>
          <w:tcPr>
            <w:tcW w:w="829" w:type="pct"/>
          </w:tcPr>
          <w:p w14:paraId="56A538EC"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674</w:t>
            </w:r>
          </w:p>
        </w:tc>
        <w:tc>
          <w:tcPr>
            <w:tcW w:w="1244" w:type="pct"/>
          </w:tcPr>
          <w:p w14:paraId="1B858ADB"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1 334</w:t>
            </w:r>
          </w:p>
        </w:tc>
        <w:tc>
          <w:tcPr>
            <w:tcW w:w="1270" w:type="pct"/>
          </w:tcPr>
          <w:p w14:paraId="6D2CB438"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812</w:t>
            </w:r>
          </w:p>
        </w:tc>
        <w:tc>
          <w:tcPr>
            <w:tcW w:w="414" w:type="pct"/>
          </w:tcPr>
          <w:p w14:paraId="670ABF2E"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3 329</w:t>
            </w:r>
          </w:p>
        </w:tc>
      </w:tr>
      <w:tr w:rsidR="0009595B" w:rsidRPr="00842013" w14:paraId="32782997" w14:textId="77777777" w:rsidTr="007B68FE">
        <w:trPr>
          <w:tblHeader/>
          <w:jc w:val="center"/>
        </w:trPr>
        <w:tc>
          <w:tcPr>
            <w:tcW w:w="569" w:type="pct"/>
          </w:tcPr>
          <w:p w14:paraId="37736A34" w14:textId="77777777" w:rsidR="00D16434" w:rsidRPr="00842013" w:rsidRDefault="00D16434"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2015 to 2016</w:t>
            </w:r>
          </w:p>
        </w:tc>
        <w:tc>
          <w:tcPr>
            <w:tcW w:w="673" w:type="pct"/>
          </w:tcPr>
          <w:p w14:paraId="61BE30C5"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525</w:t>
            </w:r>
          </w:p>
        </w:tc>
        <w:tc>
          <w:tcPr>
            <w:tcW w:w="829" w:type="pct"/>
          </w:tcPr>
          <w:p w14:paraId="5861D446"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714</w:t>
            </w:r>
          </w:p>
        </w:tc>
        <w:tc>
          <w:tcPr>
            <w:tcW w:w="1244" w:type="pct"/>
          </w:tcPr>
          <w:p w14:paraId="3C19720C"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1 703</w:t>
            </w:r>
          </w:p>
        </w:tc>
        <w:tc>
          <w:tcPr>
            <w:tcW w:w="1270" w:type="pct"/>
          </w:tcPr>
          <w:p w14:paraId="3739106D"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801</w:t>
            </w:r>
          </w:p>
        </w:tc>
        <w:tc>
          <w:tcPr>
            <w:tcW w:w="414" w:type="pct"/>
          </w:tcPr>
          <w:p w14:paraId="2337E5D0"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3 743</w:t>
            </w:r>
          </w:p>
        </w:tc>
      </w:tr>
      <w:tr w:rsidR="0009595B" w:rsidRPr="00842013" w14:paraId="25A0CAE1" w14:textId="77777777" w:rsidTr="007B68FE">
        <w:trPr>
          <w:tblHeader/>
          <w:jc w:val="center"/>
        </w:trPr>
        <w:tc>
          <w:tcPr>
            <w:tcW w:w="569" w:type="pct"/>
          </w:tcPr>
          <w:p w14:paraId="46E05534" w14:textId="77777777" w:rsidR="00D16434" w:rsidRPr="00842013" w:rsidRDefault="00D16434"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 xml:space="preserve">2016 to 2017 </w:t>
            </w:r>
          </w:p>
        </w:tc>
        <w:tc>
          <w:tcPr>
            <w:tcW w:w="673" w:type="pct"/>
          </w:tcPr>
          <w:p w14:paraId="27319372"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858</w:t>
            </w:r>
          </w:p>
        </w:tc>
        <w:tc>
          <w:tcPr>
            <w:tcW w:w="829" w:type="pct"/>
          </w:tcPr>
          <w:p w14:paraId="33F230F1"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1 070</w:t>
            </w:r>
          </w:p>
        </w:tc>
        <w:tc>
          <w:tcPr>
            <w:tcW w:w="1244" w:type="pct"/>
          </w:tcPr>
          <w:p w14:paraId="6D4C4DB0"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1 855</w:t>
            </w:r>
          </w:p>
        </w:tc>
        <w:tc>
          <w:tcPr>
            <w:tcW w:w="1270" w:type="pct"/>
          </w:tcPr>
          <w:p w14:paraId="234D455C"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638</w:t>
            </w:r>
          </w:p>
        </w:tc>
        <w:tc>
          <w:tcPr>
            <w:tcW w:w="414" w:type="pct"/>
          </w:tcPr>
          <w:p w14:paraId="666AADF7"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4 421</w:t>
            </w:r>
          </w:p>
        </w:tc>
      </w:tr>
      <w:tr w:rsidR="0009595B" w:rsidRPr="00842013" w14:paraId="059B1754" w14:textId="77777777" w:rsidTr="007B68FE">
        <w:trPr>
          <w:tblHeader/>
          <w:jc w:val="center"/>
        </w:trPr>
        <w:tc>
          <w:tcPr>
            <w:tcW w:w="569" w:type="pct"/>
          </w:tcPr>
          <w:p w14:paraId="2493CDAA" w14:textId="77777777" w:rsidR="00D16434" w:rsidRPr="00842013" w:rsidRDefault="00D16434"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2017 to 2018</w:t>
            </w:r>
          </w:p>
        </w:tc>
        <w:tc>
          <w:tcPr>
            <w:tcW w:w="673" w:type="pct"/>
          </w:tcPr>
          <w:p w14:paraId="5545C7E0"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1 065</w:t>
            </w:r>
          </w:p>
        </w:tc>
        <w:tc>
          <w:tcPr>
            <w:tcW w:w="829" w:type="pct"/>
          </w:tcPr>
          <w:p w14:paraId="7111C366"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1 179</w:t>
            </w:r>
          </w:p>
        </w:tc>
        <w:tc>
          <w:tcPr>
            <w:tcW w:w="1244" w:type="pct"/>
          </w:tcPr>
          <w:p w14:paraId="518216E4"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2 266</w:t>
            </w:r>
          </w:p>
        </w:tc>
        <w:tc>
          <w:tcPr>
            <w:tcW w:w="1270" w:type="pct"/>
          </w:tcPr>
          <w:p w14:paraId="06B505F8"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614</w:t>
            </w:r>
          </w:p>
        </w:tc>
        <w:tc>
          <w:tcPr>
            <w:tcW w:w="414" w:type="pct"/>
          </w:tcPr>
          <w:p w14:paraId="69B2A61A"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5 124</w:t>
            </w:r>
          </w:p>
        </w:tc>
      </w:tr>
      <w:tr w:rsidR="0009595B" w:rsidRPr="00842013" w14:paraId="48764F17" w14:textId="77777777" w:rsidTr="007B68FE">
        <w:trPr>
          <w:tblHeader/>
          <w:jc w:val="center"/>
        </w:trPr>
        <w:tc>
          <w:tcPr>
            <w:tcW w:w="569" w:type="pct"/>
          </w:tcPr>
          <w:p w14:paraId="29DAA9DD" w14:textId="77777777" w:rsidR="00D16434" w:rsidRPr="00842013" w:rsidRDefault="00D16434"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2018 to 2019</w:t>
            </w:r>
          </w:p>
        </w:tc>
        <w:tc>
          <w:tcPr>
            <w:tcW w:w="673" w:type="pct"/>
          </w:tcPr>
          <w:p w14:paraId="44B34D8A"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1 356</w:t>
            </w:r>
          </w:p>
        </w:tc>
        <w:tc>
          <w:tcPr>
            <w:tcW w:w="829" w:type="pct"/>
          </w:tcPr>
          <w:p w14:paraId="2DB28133"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1 423</w:t>
            </w:r>
          </w:p>
        </w:tc>
        <w:tc>
          <w:tcPr>
            <w:tcW w:w="1244" w:type="pct"/>
          </w:tcPr>
          <w:p w14:paraId="341341BE"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2 783</w:t>
            </w:r>
          </w:p>
        </w:tc>
        <w:tc>
          <w:tcPr>
            <w:tcW w:w="1270" w:type="pct"/>
          </w:tcPr>
          <w:p w14:paraId="61CDE30C"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797</w:t>
            </w:r>
          </w:p>
        </w:tc>
        <w:tc>
          <w:tcPr>
            <w:tcW w:w="414" w:type="pct"/>
          </w:tcPr>
          <w:p w14:paraId="328C3913"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6 359</w:t>
            </w:r>
          </w:p>
        </w:tc>
      </w:tr>
    </w:tbl>
    <w:p w14:paraId="0815C997" w14:textId="77777777" w:rsidR="008366F5" w:rsidRPr="008366F5" w:rsidRDefault="008366F5" w:rsidP="008366F5">
      <w:pPr>
        <w:pStyle w:val="Titre1"/>
        <w:spacing w:before="120" w:after="120"/>
        <w:rPr>
          <w:sz w:val="40"/>
          <w:szCs w:val="40"/>
          <w:lang w:val="en-CA" w:eastAsia="en-CA"/>
        </w:rPr>
      </w:pPr>
      <w:r w:rsidRPr="008366F5">
        <w:rPr>
          <w:sz w:val="40"/>
          <w:szCs w:val="40"/>
          <w:lang w:val="en-CA" w:eastAsia="en-CA"/>
        </w:rPr>
        <w:lastRenderedPageBreak/>
        <w:t>Staffing by tenure</w:t>
      </w:r>
    </w:p>
    <w:p w14:paraId="795B90E9" w14:textId="77777777" w:rsidR="00DC5438" w:rsidRPr="00842013" w:rsidRDefault="00D16434" w:rsidP="003C0199">
      <w:pPr>
        <w:pStyle w:val="Pieddepage"/>
        <w:keepNext/>
        <w:jc w:val="center"/>
        <w:rPr>
          <w:lang w:val="en-CA"/>
        </w:rPr>
      </w:pPr>
      <w:r w:rsidRPr="00842013">
        <w:rPr>
          <w:rStyle w:val="lev"/>
          <w:noProof/>
          <w:lang w:val="en-CA" w:eastAsia="en-CA"/>
        </w:rPr>
        <w:drawing>
          <wp:inline distT="0" distB="0" distL="0" distR="0" wp14:anchorId="7F758AEA" wp14:editId="379BC6CA">
            <wp:extent cx="5648325" cy="3049200"/>
            <wp:effectExtent l="0" t="0" r="9525" b="18415"/>
            <wp:docPr id="4" name="Chart 4" descr="Figure 9 - Staffing by tenure"/>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484D6BB" w14:textId="7ED8BA8D" w:rsidR="00D16434" w:rsidRPr="00842013" w:rsidRDefault="00DC5438" w:rsidP="003C0199">
      <w:pPr>
        <w:pStyle w:val="Lgende"/>
        <w:contextualSpacing/>
        <w:jc w:val="center"/>
        <w:rPr>
          <w:rFonts w:cstheme="minorHAnsi"/>
          <w:sz w:val="22"/>
          <w:szCs w:val="22"/>
        </w:rPr>
      </w:pPr>
      <w:r w:rsidRPr="00842013">
        <w:rPr>
          <w:rFonts w:cstheme="minorHAnsi"/>
        </w:rPr>
        <w:t xml:space="preserve">Figure </w:t>
      </w:r>
      <w:r w:rsidRPr="00842013">
        <w:rPr>
          <w:rFonts w:cstheme="minorHAnsi"/>
        </w:rPr>
        <w:fldChar w:fldCharType="begin"/>
      </w:r>
      <w:r w:rsidRPr="00842013">
        <w:rPr>
          <w:rFonts w:cstheme="minorHAnsi"/>
        </w:rPr>
        <w:instrText xml:space="preserve"> SEQ Figure \* ARABIC </w:instrText>
      </w:r>
      <w:r w:rsidRPr="00842013">
        <w:rPr>
          <w:rFonts w:cstheme="minorHAnsi"/>
        </w:rPr>
        <w:fldChar w:fldCharType="separate"/>
      </w:r>
      <w:r w:rsidR="00200978" w:rsidRPr="00842013">
        <w:rPr>
          <w:rFonts w:cstheme="minorHAnsi"/>
          <w:noProof/>
        </w:rPr>
        <w:t>9</w:t>
      </w:r>
      <w:r w:rsidRPr="00842013">
        <w:rPr>
          <w:rFonts w:cstheme="minorHAnsi"/>
        </w:rPr>
        <w:fldChar w:fldCharType="end"/>
      </w:r>
      <w:r w:rsidRPr="00842013">
        <w:rPr>
          <w:rFonts w:cstheme="minorHAnsi"/>
        </w:rPr>
        <w:t xml:space="preserve"> - Staffing by tenure</w:t>
      </w:r>
    </w:p>
    <w:p w14:paraId="58E8789D" w14:textId="4766D5D0" w:rsidR="00DC5438" w:rsidRPr="00842013" w:rsidRDefault="00DC5438" w:rsidP="003C0199">
      <w:pPr>
        <w:pStyle w:val="Lgende"/>
        <w:keepNext/>
        <w:jc w:val="center"/>
        <w:rPr>
          <w:rFonts w:cstheme="minorHAnsi"/>
        </w:rPr>
      </w:pPr>
      <w:r w:rsidRPr="00842013">
        <w:rPr>
          <w:rFonts w:cstheme="minorHAnsi"/>
        </w:rPr>
        <w:t xml:space="preserve">Table </w:t>
      </w:r>
      <w:r w:rsidRPr="00842013">
        <w:rPr>
          <w:rFonts w:cstheme="minorHAnsi"/>
        </w:rPr>
        <w:fldChar w:fldCharType="begin"/>
      </w:r>
      <w:r w:rsidRPr="00842013">
        <w:rPr>
          <w:rFonts w:cstheme="minorHAnsi"/>
        </w:rPr>
        <w:instrText xml:space="preserve"> SEQ Table \* ARABIC </w:instrText>
      </w:r>
      <w:r w:rsidRPr="00842013">
        <w:rPr>
          <w:rFonts w:cstheme="minorHAnsi"/>
        </w:rPr>
        <w:fldChar w:fldCharType="separate"/>
      </w:r>
      <w:r w:rsidR="002A0977">
        <w:rPr>
          <w:rFonts w:cstheme="minorHAnsi"/>
          <w:noProof/>
        </w:rPr>
        <w:t>12</w:t>
      </w:r>
      <w:r w:rsidRPr="00842013">
        <w:rPr>
          <w:rFonts w:cstheme="minorHAnsi"/>
        </w:rPr>
        <w:fldChar w:fldCharType="end"/>
      </w:r>
      <w:r w:rsidRPr="00842013">
        <w:rPr>
          <w:rFonts w:cstheme="minorHAnsi"/>
        </w:rPr>
        <w:t xml:space="preserve"> - Staffing activities by tenure and fiscal year</w:t>
      </w:r>
    </w:p>
    <w:tbl>
      <w:tblPr>
        <w:tblStyle w:val="TableGrid1"/>
        <w:tblW w:w="5158" w:type="pct"/>
        <w:tblInd w:w="-431" w:type="dxa"/>
        <w:tblLook w:val="0020" w:firstRow="1" w:lastRow="0" w:firstColumn="0" w:lastColumn="0" w:noHBand="0" w:noVBand="0"/>
        <w:tblDescription w:val="Staffing by tenure from 2014 to 2019"/>
      </w:tblPr>
      <w:tblGrid>
        <w:gridCol w:w="2094"/>
        <w:gridCol w:w="2534"/>
        <w:gridCol w:w="2536"/>
        <w:gridCol w:w="2536"/>
        <w:gridCol w:w="2687"/>
        <w:gridCol w:w="2458"/>
      </w:tblGrid>
      <w:tr w:rsidR="0009595B" w:rsidRPr="00842013" w14:paraId="3B9A784B" w14:textId="77777777" w:rsidTr="007B68FE">
        <w:trPr>
          <w:trHeight w:val="507"/>
          <w:tblHeader/>
        </w:trPr>
        <w:tc>
          <w:tcPr>
            <w:tcW w:w="705" w:type="pct"/>
          </w:tcPr>
          <w:p w14:paraId="6C694D5C" w14:textId="77777777" w:rsidR="00D16434" w:rsidRPr="00842013" w:rsidRDefault="00D16434" w:rsidP="0009595B">
            <w:pPr>
              <w:pStyle w:val="TableTitle"/>
              <w:spacing w:before="0"/>
              <w:contextualSpacing/>
              <w:rPr>
                <w:rFonts w:eastAsiaTheme="minorHAnsi"/>
                <w:lang w:val="en-CA"/>
              </w:rPr>
            </w:pPr>
            <w:r w:rsidRPr="00842013">
              <w:rPr>
                <w:rFonts w:eastAsiaTheme="minorHAnsi"/>
                <w:lang w:val="en-CA"/>
              </w:rPr>
              <w:t>Fiscal year</w:t>
            </w:r>
          </w:p>
        </w:tc>
        <w:tc>
          <w:tcPr>
            <w:tcW w:w="853" w:type="pct"/>
          </w:tcPr>
          <w:p w14:paraId="1EC9B178" w14:textId="5143000C" w:rsidR="00D16434" w:rsidRPr="00842013" w:rsidRDefault="00D16434" w:rsidP="0009595B">
            <w:pPr>
              <w:pStyle w:val="TableTitle"/>
              <w:spacing w:before="0"/>
              <w:contextualSpacing/>
              <w:rPr>
                <w:rFonts w:eastAsiaTheme="minorHAnsi"/>
                <w:lang w:val="en-CA"/>
              </w:rPr>
            </w:pPr>
            <w:r w:rsidRPr="00842013">
              <w:rPr>
                <w:rFonts w:eastAsiaTheme="minorHAnsi"/>
                <w:lang w:val="en-CA"/>
              </w:rPr>
              <w:t>Indeterminate staffing activities</w:t>
            </w:r>
          </w:p>
        </w:tc>
        <w:tc>
          <w:tcPr>
            <w:tcW w:w="854" w:type="pct"/>
          </w:tcPr>
          <w:p w14:paraId="3AAA0390" w14:textId="77777777" w:rsidR="00D16434" w:rsidRPr="00842013" w:rsidRDefault="00D16434" w:rsidP="003C0199">
            <w:pPr>
              <w:pStyle w:val="TableTitle"/>
              <w:spacing w:before="120"/>
              <w:contextualSpacing/>
              <w:rPr>
                <w:rFonts w:eastAsiaTheme="minorHAnsi"/>
                <w:lang w:val="en-CA"/>
              </w:rPr>
            </w:pPr>
            <w:r w:rsidRPr="00842013">
              <w:rPr>
                <w:rFonts w:eastAsiaTheme="minorHAnsi"/>
                <w:lang w:val="en-CA"/>
              </w:rPr>
              <w:t>Term staffing activities</w:t>
            </w:r>
          </w:p>
        </w:tc>
        <w:tc>
          <w:tcPr>
            <w:tcW w:w="854" w:type="pct"/>
          </w:tcPr>
          <w:p w14:paraId="27578348" w14:textId="77777777" w:rsidR="00D16434" w:rsidRPr="00842013" w:rsidRDefault="00D16434" w:rsidP="003C0199">
            <w:pPr>
              <w:pStyle w:val="TableTitle"/>
              <w:spacing w:before="120"/>
              <w:contextualSpacing/>
              <w:rPr>
                <w:rFonts w:eastAsiaTheme="minorHAnsi"/>
                <w:lang w:val="en-CA"/>
              </w:rPr>
            </w:pPr>
            <w:r w:rsidRPr="00842013">
              <w:rPr>
                <w:rFonts w:eastAsiaTheme="minorHAnsi"/>
                <w:lang w:val="en-CA"/>
              </w:rPr>
              <w:t>Casual staffing activities</w:t>
            </w:r>
          </w:p>
        </w:tc>
        <w:tc>
          <w:tcPr>
            <w:tcW w:w="905" w:type="pct"/>
          </w:tcPr>
          <w:p w14:paraId="63541E12" w14:textId="77777777" w:rsidR="00D16434" w:rsidRPr="00842013" w:rsidRDefault="00D16434" w:rsidP="003C0199">
            <w:pPr>
              <w:pStyle w:val="TableTitle"/>
              <w:spacing w:before="120"/>
              <w:contextualSpacing/>
              <w:rPr>
                <w:rFonts w:eastAsiaTheme="minorHAnsi"/>
                <w:lang w:val="en-CA"/>
              </w:rPr>
            </w:pPr>
            <w:r w:rsidRPr="00842013">
              <w:rPr>
                <w:rFonts w:eastAsiaTheme="minorHAnsi"/>
                <w:lang w:val="en-CA"/>
              </w:rPr>
              <w:t>Student staffing activities</w:t>
            </w:r>
          </w:p>
        </w:tc>
        <w:tc>
          <w:tcPr>
            <w:tcW w:w="828" w:type="pct"/>
          </w:tcPr>
          <w:p w14:paraId="2D128C3B" w14:textId="77777777" w:rsidR="00D16434" w:rsidRPr="00842013" w:rsidRDefault="00D16434" w:rsidP="003C0199">
            <w:pPr>
              <w:pStyle w:val="TableTitle"/>
              <w:spacing w:before="120"/>
              <w:contextualSpacing/>
              <w:rPr>
                <w:rFonts w:eastAsiaTheme="minorHAnsi"/>
                <w:lang w:val="en-CA"/>
              </w:rPr>
            </w:pPr>
            <w:r w:rsidRPr="00842013">
              <w:rPr>
                <w:rFonts w:eastAsiaTheme="minorHAnsi"/>
                <w:lang w:val="en-CA"/>
              </w:rPr>
              <w:t>Total staffing activities</w:t>
            </w:r>
          </w:p>
        </w:tc>
      </w:tr>
      <w:tr w:rsidR="0009595B" w:rsidRPr="00842013" w14:paraId="2F113BAE" w14:textId="77777777" w:rsidTr="007B68FE">
        <w:trPr>
          <w:tblHeader/>
        </w:trPr>
        <w:tc>
          <w:tcPr>
            <w:tcW w:w="705" w:type="pct"/>
          </w:tcPr>
          <w:p w14:paraId="3005AC50" w14:textId="77777777" w:rsidR="00D16434" w:rsidRPr="00842013" w:rsidRDefault="00D16434" w:rsidP="003C0199">
            <w:pPr>
              <w:autoSpaceDE w:val="0"/>
              <w:autoSpaceDN w:val="0"/>
              <w:adjustRightInd w:val="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2014 to 2015</w:t>
            </w:r>
          </w:p>
        </w:tc>
        <w:tc>
          <w:tcPr>
            <w:tcW w:w="853" w:type="pct"/>
          </w:tcPr>
          <w:p w14:paraId="64B05572" w14:textId="77777777" w:rsidR="00D16434" w:rsidRPr="00842013" w:rsidRDefault="00D16434" w:rsidP="003C019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2 004</w:t>
            </w:r>
          </w:p>
        </w:tc>
        <w:tc>
          <w:tcPr>
            <w:tcW w:w="854" w:type="pct"/>
          </w:tcPr>
          <w:p w14:paraId="5BCAF531" w14:textId="77777777" w:rsidR="00D16434" w:rsidRPr="00842013" w:rsidRDefault="00D16434" w:rsidP="003C019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409</w:t>
            </w:r>
          </w:p>
        </w:tc>
        <w:tc>
          <w:tcPr>
            <w:tcW w:w="854" w:type="pct"/>
          </w:tcPr>
          <w:p w14:paraId="142D3F88" w14:textId="77777777" w:rsidR="00D16434" w:rsidRPr="00842013" w:rsidRDefault="00D16434" w:rsidP="003C019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498</w:t>
            </w:r>
          </w:p>
        </w:tc>
        <w:tc>
          <w:tcPr>
            <w:tcW w:w="905" w:type="pct"/>
          </w:tcPr>
          <w:p w14:paraId="26EAF902" w14:textId="77777777" w:rsidR="00D16434" w:rsidRPr="00842013" w:rsidRDefault="00D16434" w:rsidP="003C019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418</w:t>
            </w:r>
          </w:p>
        </w:tc>
        <w:tc>
          <w:tcPr>
            <w:tcW w:w="828" w:type="pct"/>
          </w:tcPr>
          <w:p w14:paraId="1F5F88D6" w14:textId="77777777" w:rsidR="00D16434" w:rsidRPr="00842013" w:rsidRDefault="00D16434" w:rsidP="003C019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3 329</w:t>
            </w:r>
          </w:p>
        </w:tc>
      </w:tr>
      <w:tr w:rsidR="0009595B" w:rsidRPr="00842013" w14:paraId="316AD95D" w14:textId="77777777" w:rsidTr="007B68FE">
        <w:trPr>
          <w:tblHeader/>
        </w:trPr>
        <w:tc>
          <w:tcPr>
            <w:tcW w:w="705" w:type="pct"/>
          </w:tcPr>
          <w:p w14:paraId="432B560E" w14:textId="77777777" w:rsidR="00D16434" w:rsidRPr="00842013" w:rsidRDefault="00D16434" w:rsidP="003C0199">
            <w:pPr>
              <w:autoSpaceDE w:val="0"/>
              <w:autoSpaceDN w:val="0"/>
              <w:adjustRightInd w:val="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2015 to 2016</w:t>
            </w:r>
          </w:p>
        </w:tc>
        <w:tc>
          <w:tcPr>
            <w:tcW w:w="853" w:type="pct"/>
          </w:tcPr>
          <w:p w14:paraId="70913ABD" w14:textId="77777777" w:rsidR="00D16434" w:rsidRPr="00842013" w:rsidRDefault="00D16434" w:rsidP="003C019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2 130</w:t>
            </w:r>
          </w:p>
        </w:tc>
        <w:tc>
          <w:tcPr>
            <w:tcW w:w="854" w:type="pct"/>
          </w:tcPr>
          <w:p w14:paraId="0E8754D5" w14:textId="77777777" w:rsidR="00D16434" w:rsidRPr="00842013" w:rsidRDefault="00D16434" w:rsidP="003C019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382</w:t>
            </w:r>
          </w:p>
        </w:tc>
        <w:tc>
          <w:tcPr>
            <w:tcW w:w="854" w:type="pct"/>
          </w:tcPr>
          <w:p w14:paraId="78CE1FB4" w14:textId="77777777" w:rsidR="00D16434" w:rsidRPr="00842013" w:rsidRDefault="00D16434" w:rsidP="003C019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669</w:t>
            </w:r>
          </w:p>
        </w:tc>
        <w:tc>
          <w:tcPr>
            <w:tcW w:w="905" w:type="pct"/>
          </w:tcPr>
          <w:p w14:paraId="16A342AA" w14:textId="77777777" w:rsidR="00D16434" w:rsidRPr="00842013" w:rsidRDefault="00D16434" w:rsidP="003C019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562</w:t>
            </w:r>
          </w:p>
        </w:tc>
        <w:tc>
          <w:tcPr>
            <w:tcW w:w="828" w:type="pct"/>
          </w:tcPr>
          <w:p w14:paraId="10413A6B" w14:textId="77777777" w:rsidR="00D16434" w:rsidRPr="00842013" w:rsidRDefault="00D16434" w:rsidP="003C019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3 743</w:t>
            </w:r>
          </w:p>
        </w:tc>
      </w:tr>
      <w:tr w:rsidR="0009595B" w:rsidRPr="00842013" w14:paraId="4CF626C0" w14:textId="77777777" w:rsidTr="007B68FE">
        <w:trPr>
          <w:tblHeader/>
        </w:trPr>
        <w:tc>
          <w:tcPr>
            <w:tcW w:w="705" w:type="pct"/>
          </w:tcPr>
          <w:p w14:paraId="6B218AFE" w14:textId="77777777" w:rsidR="00D16434" w:rsidRPr="00842013" w:rsidRDefault="00D16434" w:rsidP="003C0199">
            <w:pPr>
              <w:autoSpaceDE w:val="0"/>
              <w:autoSpaceDN w:val="0"/>
              <w:adjustRightInd w:val="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2016 to 2017</w:t>
            </w:r>
          </w:p>
        </w:tc>
        <w:tc>
          <w:tcPr>
            <w:tcW w:w="853" w:type="pct"/>
          </w:tcPr>
          <w:p w14:paraId="00DE13AF" w14:textId="77777777" w:rsidR="00D16434" w:rsidRPr="00842013" w:rsidRDefault="00D16434" w:rsidP="003C019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2 760</w:t>
            </w:r>
          </w:p>
        </w:tc>
        <w:tc>
          <w:tcPr>
            <w:tcW w:w="854" w:type="pct"/>
          </w:tcPr>
          <w:p w14:paraId="62A5D925" w14:textId="77777777" w:rsidR="00D16434" w:rsidRPr="00842013" w:rsidRDefault="00D16434" w:rsidP="003C019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512</w:t>
            </w:r>
          </w:p>
        </w:tc>
        <w:tc>
          <w:tcPr>
            <w:tcW w:w="854" w:type="pct"/>
          </w:tcPr>
          <w:p w14:paraId="0F883F9B" w14:textId="77777777" w:rsidR="00D16434" w:rsidRPr="00842013" w:rsidRDefault="00D16434" w:rsidP="003C019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579</w:t>
            </w:r>
          </w:p>
        </w:tc>
        <w:tc>
          <w:tcPr>
            <w:tcW w:w="905" w:type="pct"/>
          </w:tcPr>
          <w:p w14:paraId="78FCD01B" w14:textId="77777777" w:rsidR="00D16434" w:rsidRPr="00842013" w:rsidRDefault="00D16434" w:rsidP="003C019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570</w:t>
            </w:r>
          </w:p>
        </w:tc>
        <w:tc>
          <w:tcPr>
            <w:tcW w:w="828" w:type="pct"/>
          </w:tcPr>
          <w:p w14:paraId="15C8A1DC" w14:textId="77777777" w:rsidR="00D16434" w:rsidRPr="00842013" w:rsidRDefault="00D16434" w:rsidP="003C019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4 421</w:t>
            </w:r>
          </w:p>
        </w:tc>
      </w:tr>
      <w:tr w:rsidR="0009595B" w:rsidRPr="00842013" w14:paraId="2486855B" w14:textId="77777777" w:rsidTr="007B68FE">
        <w:trPr>
          <w:tblHeader/>
        </w:trPr>
        <w:tc>
          <w:tcPr>
            <w:tcW w:w="705" w:type="pct"/>
          </w:tcPr>
          <w:p w14:paraId="1A396593" w14:textId="77777777" w:rsidR="00D16434" w:rsidRPr="00842013" w:rsidRDefault="00D16434" w:rsidP="003C0199">
            <w:pPr>
              <w:autoSpaceDE w:val="0"/>
              <w:autoSpaceDN w:val="0"/>
              <w:adjustRightInd w:val="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2017 to 2018</w:t>
            </w:r>
          </w:p>
        </w:tc>
        <w:tc>
          <w:tcPr>
            <w:tcW w:w="853" w:type="pct"/>
          </w:tcPr>
          <w:p w14:paraId="26FA795E" w14:textId="77777777" w:rsidR="00D16434" w:rsidRPr="00842013" w:rsidRDefault="00D16434" w:rsidP="003C019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3 169</w:t>
            </w:r>
          </w:p>
        </w:tc>
        <w:tc>
          <w:tcPr>
            <w:tcW w:w="854" w:type="pct"/>
          </w:tcPr>
          <w:p w14:paraId="720ED121" w14:textId="77777777" w:rsidR="00D16434" w:rsidRPr="00842013" w:rsidRDefault="00D16434" w:rsidP="003C019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606</w:t>
            </w:r>
          </w:p>
        </w:tc>
        <w:tc>
          <w:tcPr>
            <w:tcW w:w="854" w:type="pct"/>
          </w:tcPr>
          <w:p w14:paraId="3D79D1DB" w14:textId="77777777" w:rsidR="00D16434" w:rsidRPr="00842013" w:rsidRDefault="00D16434" w:rsidP="003C019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756</w:t>
            </w:r>
          </w:p>
        </w:tc>
        <w:tc>
          <w:tcPr>
            <w:tcW w:w="905" w:type="pct"/>
          </w:tcPr>
          <w:p w14:paraId="05748392" w14:textId="77777777" w:rsidR="00D16434" w:rsidRPr="00842013" w:rsidRDefault="00D16434" w:rsidP="003C019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593</w:t>
            </w:r>
          </w:p>
        </w:tc>
        <w:tc>
          <w:tcPr>
            <w:tcW w:w="828" w:type="pct"/>
          </w:tcPr>
          <w:p w14:paraId="61E836AD" w14:textId="77777777" w:rsidR="00D16434" w:rsidRPr="00842013" w:rsidRDefault="00D16434" w:rsidP="003C019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5 124</w:t>
            </w:r>
          </w:p>
        </w:tc>
      </w:tr>
      <w:tr w:rsidR="0009595B" w:rsidRPr="00842013" w14:paraId="30BB4251" w14:textId="77777777" w:rsidTr="007B68FE">
        <w:trPr>
          <w:tblHeader/>
        </w:trPr>
        <w:tc>
          <w:tcPr>
            <w:tcW w:w="705" w:type="pct"/>
          </w:tcPr>
          <w:p w14:paraId="57B6CD39" w14:textId="77777777" w:rsidR="00D16434" w:rsidRPr="00842013" w:rsidRDefault="00D16434" w:rsidP="003C0199">
            <w:pPr>
              <w:autoSpaceDE w:val="0"/>
              <w:autoSpaceDN w:val="0"/>
              <w:adjustRightInd w:val="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2018 to 2019</w:t>
            </w:r>
          </w:p>
        </w:tc>
        <w:tc>
          <w:tcPr>
            <w:tcW w:w="853" w:type="pct"/>
          </w:tcPr>
          <w:p w14:paraId="1AEBE365" w14:textId="77777777" w:rsidR="00D16434" w:rsidRPr="00842013" w:rsidRDefault="00D16434" w:rsidP="003C019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4 068</w:t>
            </w:r>
          </w:p>
        </w:tc>
        <w:tc>
          <w:tcPr>
            <w:tcW w:w="854" w:type="pct"/>
          </w:tcPr>
          <w:p w14:paraId="667F4B71" w14:textId="77777777" w:rsidR="00D16434" w:rsidRPr="00842013" w:rsidRDefault="00D16434" w:rsidP="003C019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809</w:t>
            </w:r>
          </w:p>
        </w:tc>
        <w:tc>
          <w:tcPr>
            <w:tcW w:w="854" w:type="pct"/>
          </w:tcPr>
          <w:p w14:paraId="3C7E1F45" w14:textId="77777777" w:rsidR="00D16434" w:rsidRPr="00842013" w:rsidRDefault="00D16434" w:rsidP="003C019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804</w:t>
            </w:r>
          </w:p>
        </w:tc>
        <w:tc>
          <w:tcPr>
            <w:tcW w:w="905" w:type="pct"/>
          </w:tcPr>
          <w:p w14:paraId="4D825F26" w14:textId="77777777" w:rsidR="00D16434" w:rsidRPr="00842013" w:rsidRDefault="00D16434" w:rsidP="003C019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678</w:t>
            </w:r>
          </w:p>
        </w:tc>
        <w:tc>
          <w:tcPr>
            <w:tcW w:w="828" w:type="pct"/>
          </w:tcPr>
          <w:p w14:paraId="1D8920C7" w14:textId="77777777" w:rsidR="00D16434" w:rsidRPr="00842013" w:rsidRDefault="00D16434" w:rsidP="003C0199">
            <w:pPr>
              <w:autoSpaceDE w:val="0"/>
              <w:autoSpaceDN w:val="0"/>
              <w:adjustRightInd w:val="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6 359</w:t>
            </w:r>
          </w:p>
        </w:tc>
      </w:tr>
    </w:tbl>
    <w:p w14:paraId="45493DB4" w14:textId="33CCD3A5" w:rsidR="00D16434" w:rsidRPr="0009595B" w:rsidRDefault="00DC5438" w:rsidP="003C0199">
      <w:pPr>
        <w:contextualSpacing/>
        <w:rPr>
          <w:rStyle w:val="lev"/>
          <w:rFonts w:eastAsiaTheme="minorHAnsi" w:cstheme="minorHAnsi"/>
          <w:szCs w:val="22"/>
          <w:lang w:val="en-CA"/>
        </w:rPr>
      </w:pPr>
      <w:r w:rsidRPr="0009595B">
        <w:rPr>
          <w:rStyle w:val="lev"/>
          <w:rFonts w:eastAsiaTheme="minorHAnsi" w:cstheme="minorHAnsi"/>
          <w:szCs w:val="22"/>
          <w:lang w:val="en-CA"/>
        </w:rPr>
        <w:t>K</w:t>
      </w:r>
      <w:r w:rsidR="00D16434" w:rsidRPr="0009595B">
        <w:rPr>
          <w:rStyle w:val="lev"/>
          <w:rFonts w:eastAsiaTheme="minorHAnsi" w:cstheme="minorHAnsi"/>
          <w:szCs w:val="22"/>
          <w:lang w:val="en-CA"/>
        </w:rPr>
        <w:t>ey findings - Staffing and non-partisanship survey (2018)</w:t>
      </w:r>
    </w:p>
    <w:p w14:paraId="25D0EF1E" w14:textId="77777777" w:rsidR="00D16434" w:rsidRPr="0009595B" w:rsidRDefault="00D16434" w:rsidP="003C0199">
      <w:pPr>
        <w:numPr>
          <w:ilvl w:val="0"/>
          <w:numId w:val="7"/>
        </w:numPr>
        <w:contextualSpacing/>
        <w:rPr>
          <w:rFonts w:asciiTheme="minorHAnsi" w:hAnsiTheme="minorHAnsi" w:cstheme="minorHAnsi"/>
          <w:sz w:val="22"/>
          <w:szCs w:val="22"/>
          <w:lang w:val="en-CA" w:eastAsia="en-CA"/>
        </w:rPr>
      </w:pPr>
      <w:r w:rsidRPr="0009595B">
        <w:rPr>
          <w:rFonts w:asciiTheme="minorHAnsi" w:hAnsiTheme="minorHAnsi" w:cstheme="minorHAnsi"/>
          <w:sz w:val="22"/>
          <w:szCs w:val="22"/>
          <w:lang w:val="en-CA" w:eastAsia="en-CA"/>
        </w:rPr>
        <w:t xml:space="preserve">58.0% of </w:t>
      </w:r>
      <w:r w:rsidRPr="0009595B">
        <w:rPr>
          <w:rStyle w:val="lev"/>
          <w:rFonts w:cstheme="minorHAnsi"/>
          <w:szCs w:val="22"/>
          <w:lang w:val="en-CA"/>
        </w:rPr>
        <w:t>employees</w:t>
      </w:r>
      <w:r w:rsidRPr="0009595B">
        <w:rPr>
          <w:rFonts w:asciiTheme="minorHAnsi" w:hAnsiTheme="minorHAnsi" w:cstheme="minorHAnsi"/>
          <w:sz w:val="22"/>
          <w:szCs w:val="22"/>
          <w:lang w:val="en-CA" w:eastAsia="en-CA"/>
        </w:rPr>
        <w:t xml:space="preserve"> agreed that people hired can do the job, compared to 52.3% in organizations of similar size, and 53.8% in the federal public service</w:t>
      </w:r>
    </w:p>
    <w:p w14:paraId="5B722BBC" w14:textId="77777777" w:rsidR="00D16434" w:rsidRPr="0009595B" w:rsidRDefault="00D16434" w:rsidP="003C0199">
      <w:pPr>
        <w:numPr>
          <w:ilvl w:val="0"/>
          <w:numId w:val="7"/>
        </w:numPr>
        <w:contextualSpacing/>
        <w:rPr>
          <w:rFonts w:asciiTheme="minorHAnsi" w:hAnsiTheme="minorHAnsi" w:cstheme="minorHAnsi"/>
          <w:sz w:val="22"/>
          <w:szCs w:val="22"/>
          <w:lang w:val="en-CA" w:eastAsia="en-CA"/>
        </w:rPr>
      </w:pPr>
      <w:r w:rsidRPr="0009595B">
        <w:rPr>
          <w:rFonts w:asciiTheme="minorHAnsi" w:hAnsiTheme="minorHAnsi" w:cstheme="minorHAnsi"/>
          <w:sz w:val="22"/>
          <w:szCs w:val="22"/>
          <w:lang w:val="en-CA" w:eastAsia="en-CA"/>
        </w:rPr>
        <w:t xml:space="preserve">62.7% of </w:t>
      </w:r>
      <w:r w:rsidRPr="0009595B">
        <w:rPr>
          <w:rStyle w:val="lev"/>
          <w:rFonts w:cstheme="minorHAnsi"/>
          <w:szCs w:val="22"/>
          <w:lang w:val="en-CA"/>
        </w:rPr>
        <w:t>managers</w:t>
      </w:r>
      <w:r w:rsidRPr="0009595B">
        <w:rPr>
          <w:rFonts w:asciiTheme="minorHAnsi" w:hAnsiTheme="minorHAnsi" w:cstheme="minorHAnsi"/>
          <w:sz w:val="22"/>
          <w:szCs w:val="22"/>
          <w:lang w:val="en-CA" w:eastAsia="en-CA"/>
        </w:rPr>
        <w:t xml:space="preserve"> agreed that the New Direction in Staffing has improved the way they hire and appoint persons to and within their organization, compared to 54.4% in organizations of similar size, and 56.1% in the federal public service</w:t>
      </w:r>
    </w:p>
    <w:p w14:paraId="2DB73988" w14:textId="77777777" w:rsidR="00994800" w:rsidRDefault="00D16434" w:rsidP="003C0199">
      <w:pPr>
        <w:numPr>
          <w:ilvl w:val="0"/>
          <w:numId w:val="7"/>
        </w:numPr>
        <w:contextualSpacing/>
        <w:rPr>
          <w:rFonts w:asciiTheme="minorHAnsi" w:hAnsiTheme="minorHAnsi" w:cstheme="minorHAnsi"/>
          <w:sz w:val="22"/>
          <w:szCs w:val="22"/>
          <w:lang w:val="en-CA" w:eastAsia="en-CA"/>
        </w:rPr>
        <w:sectPr w:rsidR="00994800" w:rsidSect="0009595B">
          <w:footnotePr>
            <w:numFmt w:val="lowerLetter"/>
          </w:footnotePr>
          <w:endnotePr>
            <w:numFmt w:val="lowerLetter"/>
          </w:endnotePr>
          <w:pgSz w:w="15840" w:h="12240" w:orient="landscape" w:code="1"/>
          <w:pgMar w:top="1026" w:right="720" w:bottom="720" w:left="720" w:header="284" w:footer="284" w:gutter="0"/>
          <w:cols w:space="720"/>
          <w:docGrid w:linePitch="326"/>
        </w:sectPr>
      </w:pPr>
      <w:r w:rsidRPr="0009595B">
        <w:rPr>
          <w:rFonts w:asciiTheme="minorHAnsi" w:hAnsiTheme="minorHAnsi" w:cstheme="minorHAnsi"/>
          <w:sz w:val="22"/>
          <w:szCs w:val="22"/>
          <w:lang w:val="en-CA" w:eastAsia="en-CA"/>
        </w:rPr>
        <w:t xml:space="preserve">88.8% of </w:t>
      </w:r>
      <w:r w:rsidRPr="0009595B">
        <w:rPr>
          <w:rStyle w:val="lev"/>
          <w:rFonts w:cstheme="minorHAnsi"/>
          <w:szCs w:val="22"/>
          <w:lang w:val="en-CA"/>
        </w:rPr>
        <w:t xml:space="preserve">managers </w:t>
      </w:r>
      <w:r w:rsidRPr="0009595B">
        <w:rPr>
          <w:rFonts w:asciiTheme="minorHAnsi" w:hAnsiTheme="minorHAnsi" w:cstheme="minorHAnsi"/>
          <w:sz w:val="22"/>
          <w:szCs w:val="22"/>
          <w:lang w:val="en-CA" w:eastAsia="en-CA"/>
        </w:rPr>
        <w:t xml:space="preserve">agreed that within their organization, the administrative to staff a position is </w:t>
      </w:r>
      <w:r w:rsidRPr="0009595B">
        <w:rPr>
          <w:rStyle w:val="lev"/>
          <w:rFonts w:cstheme="minorHAnsi"/>
          <w:szCs w:val="22"/>
          <w:lang w:val="en-CA"/>
        </w:rPr>
        <w:t>burdensome</w:t>
      </w:r>
      <w:r w:rsidRPr="0009595B">
        <w:rPr>
          <w:rFonts w:asciiTheme="minorHAnsi" w:hAnsiTheme="minorHAnsi" w:cstheme="minorHAnsi"/>
          <w:sz w:val="22"/>
          <w:szCs w:val="22"/>
          <w:lang w:val="en-CA" w:eastAsia="en-CA"/>
        </w:rPr>
        <w:t>, compared to 88.6% in organizations of similar size, and 87.9% in the federal public service</w:t>
      </w:r>
      <w:r w:rsidR="00994800">
        <w:rPr>
          <w:rFonts w:asciiTheme="minorHAnsi" w:hAnsiTheme="minorHAnsi" w:cstheme="minorHAnsi"/>
          <w:sz w:val="22"/>
          <w:szCs w:val="22"/>
          <w:lang w:val="en-CA" w:eastAsia="en-CA"/>
        </w:rPr>
        <w:t>.</w:t>
      </w:r>
    </w:p>
    <w:p w14:paraId="5CB3EE5C" w14:textId="77777777" w:rsidR="00FC1B82" w:rsidRPr="00FC1B82" w:rsidRDefault="00FC1B82" w:rsidP="00FC1B82">
      <w:pPr>
        <w:pStyle w:val="Titre1"/>
        <w:spacing w:before="120" w:after="120"/>
        <w:rPr>
          <w:sz w:val="40"/>
          <w:szCs w:val="40"/>
          <w:lang w:val="en-CA"/>
        </w:rPr>
      </w:pPr>
      <w:r w:rsidRPr="00FC1B82">
        <w:rPr>
          <w:rFonts w:eastAsia="Times New Roman"/>
          <w:sz w:val="40"/>
          <w:szCs w:val="40"/>
          <w:lang w:val="en-CA"/>
        </w:rPr>
        <w:lastRenderedPageBreak/>
        <w:t>Student program hires</w:t>
      </w:r>
    </w:p>
    <w:p w14:paraId="6D6B1095" w14:textId="77777777" w:rsidR="00DC5438" w:rsidRPr="00842013" w:rsidRDefault="00282ABD" w:rsidP="00842013">
      <w:pPr>
        <w:pStyle w:val="Pieddepage"/>
        <w:keepNext/>
        <w:spacing w:before="120" w:after="120"/>
        <w:jc w:val="center"/>
        <w:rPr>
          <w:lang w:val="en-CA"/>
        </w:rPr>
      </w:pPr>
      <w:r w:rsidRPr="00DC0FAA">
        <w:rPr>
          <w:rStyle w:val="lev"/>
          <w:noProof/>
          <w:lang w:val="en-CA" w:eastAsia="en-CA"/>
        </w:rPr>
        <w:drawing>
          <wp:inline distT="0" distB="0" distL="0" distR="0" wp14:anchorId="13F967B4" wp14:editId="7E0E7CFB">
            <wp:extent cx="5648400" cy="3049200"/>
            <wp:effectExtent l="0" t="0" r="9525" b="18415"/>
            <wp:docPr id="17" name="Chart 17" descr="Figure 10 - Student program hi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F6828E7" w14:textId="5AED97B0" w:rsidR="00DC5438" w:rsidRPr="00842013" w:rsidRDefault="00DC5438" w:rsidP="0009595B">
      <w:pPr>
        <w:pStyle w:val="Lgende"/>
        <w:jc w:val="center"/>
        <w:rPr>
          <w:rFonts w:cstheme="minorHAnsi"/>
        </w:rPr>
      </w:pPr>
      <w:r w:rsidRPr="00842013">
        <w:rPr>
          <w:rFonts w:cstheme="minorHAnsi"/>
        </w:rPr>
        <w:t xml:space="preserve">Figure </w:t>
      </w:r>
      <w:r w:rsidRPr="00842013">
        <w:rPr>
          <w:rFonts w:cstheme="minorHAnsi"/>
        </w:rPr>
        <w:fldChar w:fldCharType="begin"/>
      </w:r>
      <w:r w:rsidRPr="00842013">
        <w:rPr>
          <w:rFonts w:cstheme="minorHAnsi"/>
        </w:rPr>
        <w:instrText xml:space="preserve"> SEQ Figure \* ARABIC </w:instrText>
      </w:r>
      <w:r w:rsidRPr="00842013">
        <w:rPr>
          <w:rFonts w:cstheme="minorHAnsi"/>
        </w:rPr>
        <w:fldChar w:fldCharType="separate"/>
      </w:r>
      <w:r w:rsidR="00200978" w:rsidRPr="00842013">
        <w:rPr>
          <w:rFonts w:cstheme="minorHAnsi"/>
          <w:noProof/>
        </w:rPr>
        <w:t>10</w:t>
      </w:r>
      <w:r w:rsidRPr="00842013">
        <w:rPr>
          <w:rFonts w:cstheme="minorHAnsi"/>
        </w:rPr>
        <w:fldChar w:fldCharType="end"/>
      </w:r>
      <w:r w:rsidRPr="00842013">
        <w:rPr>
          <w:rFonts w:cstheme="minorHAnsi"/>
        </w:rPr>
        <w:t xml:space="preserve"> - Student program hires</w:t>
      </w:r>
    </w:p>
    <w:p w14:paraId="71E51A2F" w14:textId="23E7E0CB" w:rsidR="00DC5438" w:rsidRPr="00842013" w:rsidRDefault="00282ABD" w:rsidP="00920412">
      <w:pPr>
        <w:pStyle w:val="Pieddepage"/>
        <w:spacing w:before="120"/>
        <w:jc w:val="center"/>
        <w:rPr>
          <w:rFonts w:asciiTheme="minorHAnsi" w:hAnsiTheme="minorHAnsi" w:cstheme="minorHAnsi"/>
          <w:sz w:val="18"/>
          <w:szCs w:val="18"/>
          <w:lang w:val="en-CA"/>
        </w:rPr>
      </w:pPr>
      <w:r w:rsidRPr="00842013">
        <w:rPr>
          <w:rFonts w:ascii="Arial" w:eastAsiaTheme="minorHAnsi" w:hAnsi="Arial" w:cstheme="minorBidi"/>
          <w:sz w:val="18"/>
          <w:szCs w:val="18"/>
          <w:lang w:val="en-CA"/>
        </w:rPr>
        <w:t xml:space="preserve"> </w:t>
      </w:r>
      <w:r w:rsidR="00DC5438" w:rsidRPr="00842013">
        <w:rPr>
          <w:rFonts w:asciiTheme="minorHAnsi" w:hAnsiTheme="minorHAnsi" w:cstheme="minorHAnsi"/>
          <w:sz w:val="18"/>
          <w:szCs w:val="18"/>
          <w:lang w:val="en-CA"/>
        </w:rPr>
        <w:t xml:space="preserve">Table </w:t>
      </w:r>
      <w:r w:rsidR="00DC5438" w:rsidRPr="00842013">
        <w:rPr>
          <w:rFonts w:asciiTheme="minorHAnsi" w:hAnsiTheme="minorHAnsi" w:cstheme="minorHAnsi"/>
          <w:sz w:val="18"/>
          <w:szCs w:val="18"/>
          <w:lang w:val="en-CA"/>
        </w:rPr>
        <w:fldChar w:fldCharType="begin"/>
      </w:r>
      <w:r w:rsidR="00DC5438" w:rsidRPr="00842013">
        <w:rPr>
          <w:rFonts w:asciiTheme="minorHAnsi" w:hAnsiTheme="minorHAnsi" w:cstheme="minorHAnsi"/>
          <w:sz w:val="18"/>
          <w:szCs w:val="18"/>
          <w:lang w:val="en-CA"/>
        </w:rPr>
        <w:instrText xml:space="preserve"> SEQ Table \* ARABIC </w:instrText>
      </w:r>
      <w:r w:rsidR="00DC5438" w:rsidRPr="00842013">
        <w:rPr>
          <w:rFonts w:asciiTheme="minorHAnsi" w:hAnsiTheme="minorHAnsi" w:cstheme="minorHAnsi"/>
          <w:sz w:val="18"/>
          <w:szCs w:val="18"/>
          <w:lang w:val="en-CA"/>
        </w:rPr>
        <w:fldChar w:fldCharType="separate"/>
      </w:r>
      <w:r w:rsidR="002A0977">
        <w:rPr>
          <w:rFonts w:asciiTheme="minorHAnsi" w:hAnsiTheme="minorHAnsi" w:cstheme="minorHAnsi"/>
          <w:noProof/>
          <w:sz w:val="18"/>
          <w:szCs w:val="18"/>
          <w:lang w:val="en-CA"/>
        </w:rPr>
        <w:t>13</w:t>
      </w:r>
      <w:r w:rsidR="00DC5438" w:rsidRPr="00842013">
        <w:rPr>
          <w:rFonts w:asciiTheme="minorHAnsi" w:hAnsiTheme="minorHAnsi" w:cstheme="minorHAnsi"/>
          <w:sz w:val="18"/>
          <w:szCs w:val="18"/>
          <w:lang w:val="en-CA"/>
        </w:rPr>
        <w:fldChar w:fldCharType="end"/>
      </w:r>
      <w:r w:rsidR="00DC5438" w:rsidRPr="00842013">
        <w:rPr>
          <w:rFonts w:asciiTheme="minorHAnsi" w:hAnsiTheme="minorHAnsi" w:cstheme="minorHAnsi"/>
          <w:sz w:val="18"/>
          <w:szCs w:val="18"/>
          <w:lang w:val="en-CA"/>
        </w:rPr>
        <w:t xml:space="preserve"> - Student staffing activities by recruitment program and fiscal year</w:t>
      </w:r>
    </w:p>
    <w:tbl>
      <w:tblPr>
        <w:tblStyle w:val="Grilledutableau"/>
        <w:tblW w:w="5000" w:type="pct"/>
        <w:jc w:val="center"/>
        <w:tblLook w:val="0020" w:firstRow="1" w:lastRow="0" w:firstColumn="0" w:lastColumn="0" w:noHBand="0" w:noVBand="0"/>
        <w:tblDescription w:val="Student program hires from 2014 to 2019"/>
      </w:tblPr>
      <w:tblGrid>
        <w:gridCol w:w="1413"/>
        <w:gridCol w:w="4536"/>
        <w:gridCol w:w="4570"/>
        <w:gridCol w:w="2944"/>
        <w:gridCol w:w="927"/>
      </w:tblGrid>
      <w:tr w:rsidR="00D16434" w:rsidRPr="00842013" w14:paraId="15B50734" w14:textId="77777777" w:rsidTr="007B68FE">
        <w:trPr>
          <w:tblHeader/>
          <w:jc w:val="center"/>
        </w:trPr>
        <w:tc>
          <w:tcPr>
            <w:tcW w:w="491" w:type="pct"/>
          </w:tcPr>
          <w:p w14:paraId="3B122327" w14:textId="77777777" w:rsidR="00D16434" w:rsidRPr="00842013" w:rsidRDefault="00D16434" w:rsidP="00484E0E">
            <w:pPr>
              <w:pStyle w:val="TableTitle"/>
              <w:spacing w:before="0" w:after="120"/>
              <w:contextualSpacing/>
              <w:rPr>
                <w:rFonts w:eastAsiaTheme="minorHAnsi"/>
                <w:lang w:val="en-CA"/>
              </w:rPr>
            </w:pPr>
            <w:r w:rsidRPr="00842013">
              <w:rPr>
                <w:rFonts w:eastAsiaTheme="minorHAnsi"/>
                <w:lang w:val="en-CA"/>
              </w:rPr>
              <w:t>Fiscal year</w:t>
            </w:r>
          </w:p>
        </w:tc>
        <w:tc>
          <w:tcPr>
            <w:tcW w:w="1576" w:type="pct"/>
          </w:tcPr>
          <w:p w14:paraId="41DB57EC" w14:textId="77777777" w:rsidR="00D16434" w:rsidRPr="00842013" w:rsidRDefault="00D16434" w:rsidP="00842013">
            <w:pPr>
              <w:pStyle w:val="TableTitle"/>
              <w:spacing w:before="120" w:after="120"/>
              <w:contextualSpacing/>
              <w:rPr>
                <w:rFonts w:eastAsiaTheme="minorHAnsi"/>
                <w:lang w:val="en-CA"/>
              </w:rPr>
            </w:pPr>
            <w:r w:rsidRPr="00842013">
              <w:rPr>
                <w:rFonts w:eastAsiaTheme="minorHAnsi"/>
                <w:lang w:val="en-CA"/>
              </w:rPr>
              <w:t>Federal Student Work Experience Program</w:t>
            </w:r>
          </w:p>
        </w:tc>
        <w:tc>
          <w:tcPr>
            <w:tcW w:w="1588" w:type="pct"/>
          </w:tcPr>
          <w:p w14:paraId="16C8E0E3" w14:textId="77777777" w:rsidR="00D16434" w:rsidRPr="00842013" w:rsidRDefault="00D16434" w:rsidP="00842013">
            <w:pPr>
              <w:pStyle w:val="TableTitle"/>
              <w:spacing w:before="120" w:after="120"/>
              <w:contextualSpacing/>
              <w:rPr>
                <w:rFonts w:eastAsiaTheme="minorHAnsi"/>
                <w:lang w:val="en-CA"/>
              </w:rPr>
            </w:pPr>
            <w:r w:rsidRPr="00842013">
              <w:rPr>
                <w:rFonts w:eastAsiaTheme="minorHAnsi"/>
                <w:lang w:val="en-CA"/>
              </w:rPr>
              <w:t>Post-Secondary Co-op/Internship Program</w:t>
            </w:r>
          </w:p>
        </w:tc>
        <w:tc>
          <w:tcPr>
            <w:tcW w:w="1023" w:type="pct"/>
          </w:tcPr>
          <w:p w14:paraId="33682A60" w14:textId="77777777" w:rsidR="00D16434" w:rsidRPr="00842013" w:rsidRDefault="00D16434" w:rsidP="00842013">
            <w:pPr>
              <w:pStyle w:val="TableTitle"/>
              <w:spacing w:before="120" w:after="120"/>
              <w:contextualSpacing/>
              <w:rPr>
                <w:rFonts w:eastAsiaTheme="minorHAnsi"/>
                <w:lang w:val="en-CA"/>
              </w:rPr>
            </w:pPr>
            <w:r w:rsidRPr="00842013">
              <w:rPr>
                <w:rFonts w:eastAsiaTheme="minorHAnsi"/>
                <w:lang w:val="en-CA"/>
              </w:rPr>
              <w:t>Research Affiliate Program</w:t>
            </w:r>
          </w:p>
        </w:tc>
        <w:tc>
          <w:tcPr>
            <w:tcW w:w="322" w:type="pct"/>
          </w:tcPr>
          <w:p w14:paraId="3E2E6A69" w14:textId="77777777" w:rsidR="00D16434" w:rsidRPr="00842013" w:rsidRDefault="00D16434" w:rsidP="00842013">
            <w:pPr>
              <w:pStyle w:val="TableTitle"/>
              <w:spacing w:before="120" w:after="120"/>
              <w:contextualSpacing/>
              <w:rPr>
                <w:rFonts w:eastAsiaTheme="minorHAnsi"/>
                <w:lang w:val="en-CA"/>
              </w:rPr>
            </w:pPr>
            <w:r w:rsidRPr="00842013">
              <w:rPr>
                <w:rFonts w:eastAsiaTheme="minorHAnsi"/>
                <w:lang w:val="en-CA"/>
              </w:rPr>
              <w:t>Total</w:t>
            </w:r>
          </w:p>
        </w:tc>
      </w:tr>
      <w:tr w:rsidR="00D16434" w:rsidRPr="00842013" w14:paraId="01C5DD22" w14:textId="77777777" w:rsidTr="007B68FE">
        <w:trPr>
          <w:tblHeader/>
          <w:jc w:val="center"/>
        </w:trPr>
        <w:tc>
          <w:tcPr>
            <w:tcW w:w="491" w:type="pct"/>
          </w:tcPr>
          <w:p w14:paraId="5CE20D30" w14:textId="77777777" w:rsidR="00D16434" w:rsidRPr="00842013" w:rsidRDefault="00D16434"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2014 to 2015</w:t>
            </w:r>
          </w:p>
        </w:tc>
        <w:tc>
          <w:tcPr>
            <w:tcW w:w="1576" w:type="pct"/>
          </w:tcPr>
          <w:p w14:paraId="6720C639"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182</w:t>
            </w:r>
          </w:p>
        </w:tc>
        <w:tc>
          <w:tcPr>
            <w:tcW w:w="1588" w:type="pct"/>
          </w:tcPr>
          <w:p w14:paraId="6F61661A"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228</w:t>
            </w:r>
          </w:p>
        </w:tc>
        <w:tc>
          <w:tcPr>
            <w:tcW w:w="1023" w:type="pct"/>
          </w:tcPr>
          <w:p w14:paraId="0696D4C8"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8</w:t>
            </w:r>
          </w:p>
        </w:tc>
        <w:tc>
          <w:tcPr>
            <w:tcW w:w="322" w:type="pct"/>
          </w:tcPr>
          <w:p w14:paraId="636DAE55"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418</w:t>
            </w:r>
          </w:p>
        </w:tc>
      </w:tr>
      <w:tr w:rsidR="00D16434" w:rsidRPr="00842013" w14:paraId="25E2EA13" w14:textId="77777777" w:rsidTr="007B68FE">
        <w:trPr>
          <w:tblHeader/>
          <w:jc w:val="center"/>
        </w:trPr>
        <w:tc>
          <w:tcPr>
            <w:tcW w:w="491" w:type="pct"/>
          </w:tcPr>
          <w:p w14:paraId="1EC10432" w14:textId="77777777" w:rsidR="00D16434" w:rsidRPr="00842013" w:rsidRDefault="00D16434"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2015 to 2016</w:t>
            </w:r>
          </w:p>
        </w:tc>
        <w:tc>
          <w:tcPr>
            <w:tcW w:w="1576" w:type="pct"/>
          </w:tcPr>
          <w:p w14:paraId="6DCAB766"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291</w:t>
            </w:r>
          </w:p>
        </w:tc>
        <w:tc>
          <w:tcPr>
            <w:tcW w:w="1588" w:type="pct"/>
          </w:tcPr>
          <w:p w14:paraId="14EAAE9B"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266</w:t>
            </w:r>
          </w:p>
        </w:tc>
        <w:tc>
          <w:tcPr>
            <w:tcW w:w="1023" w:type="pct"/>
          </w:tcPr>
          <w:p w14:paraId="0A392F2D"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w:t>
            </w:r>
          </w:p>
        </w:tc>
        <w:tc>
          <w:tcPr>
            <w:tcW w:w="322" w:type="pct"/>
          </w:tcPr>
          <w:p w14:paraId="4ED39409"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562</w:t>
            </w:r>
          </w:p>
        </w:tc>
      </w:tr>
      <w:tr w:rsidR="00D16434" w:rsidRPr="00842013" w14:paraId="51354F1B" w14:textId="77777777" w:rsidTr="007B68FE">
        <w:trPr>
          <w:tblHeader/>
          <w:jc w:val="center"/>
        </w:trPr>
        <w:tc>
          <w:tcPr>
            <w:tcW w:w="491" w:type="pct"/>
          </w:tcPr>
          <w:p w14:paraId="0D3A955A" w14:textId="77777777" w:rsidR="00D16434" w:rsidRPr="00842013" w:rsidRDefault="00D16434"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2016 to 2017</w:t>
            </w:r>
          </w:p>
        </w:tc>
        <w:tc>
          <w:tcPr>
            <w:tcW w:w="1576" w:type="pct"/>
          </w:tcPr>
          <w:p w14:paraId="1B8044E3"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283</w:t>
            </w:r>
          </w:p>
        </w:tc>
        <w:tc>
          <w:tcPr>
            <w:tcW w:w="1588" w:type="pct"/>
          </w:tcPr>
          <w:p w14:paraId="22DF6BDE"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279</w:t>
            </w:r>
          </w:p>
        </w:tc>
        <w:tc>
          <w:tcPr>
            <w:tcW w:w="1023" w:type="pct"/>
          </w:tcPr>
          <w:p w14:paraId="7039EE59"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8</w:t>
            </w:r>
          </w:p>
        </w:tc>
        <w:tc>
          <w:tcPr>
            <w:tcW w:w="322" w:type="pct"/>
          </w:tcPr>
          <w:p w14:paraId="7979D034"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570</w:t>
            </w:r>
          </w:p>
        </w:tc>
      </w:tr>
      <w:tr w:rsidR="00D16434" w:rsidRPr="00842013" w14:paraId="313901AD" w14:textId="77777777" w:rsidTr="007B68FE">
        <w:trPr>
          <w:tblHeader/>
          <w:jc w:val="center"/>
        </w:trPr>
        <w:tc>
          <w:tcPr>
            <w:tcW w:w="491" w:type="pct"/>
          </w:tcPr>
          <w:p w14:paraId="05288E29" w14:textId="77777777" w:rsidR="00D16434" w:rsidRPr="00842013" w:rsidRDefault="00D16434"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2017 to 2018</w:t>
            </w:r>
          </w:p>
        </w:tc>
        <w:tc>
          <w:tcPr>
            <w:tcW w:w="1576" w:type="pct"/>
          </w:tcPr>
          <w:p w14:paraId="7FE27C14"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243</w:t>
            </w:r>
          </w:p>
        </w:tc>
        <w:tc>
          <w:tcPr>
            <w:tcW w:w="1588" w:type="pct"/>
          </w:tcPr>
          <w:p w14:paraId="2EBF0C85"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343</w:t>
            </w:r>
          </w:p>
        </w:tc>
        <w:tc>
          <w:tcPr>
            <w:tcW w:w="1023" w:type="pct"/>
          </w:tcPr>
          <w:p w14:paraId="72500A87"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7</w:t>
            </w:r>
          </w:p>
        </w:tc>
        <w:tc>
          <w:tcPr>
            <w:tcW w:w="322" w:type="pct"/>
          </w:tcPr>
          <w:p w14:paraId="03B0D070"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593</w:t>
            </w:r>
          </w:p>
        </w:tc>
      </w:tr>
      <w:tr w:rsidR="00D16434" w:rsidRPr="00842013" w14:paraId="520C92ED" w14:textId="77777777" w:rsidTr="007B68FE">
        <w:trPr>
          <w:tblHeader/>
          <w:jc w:val="center"/>
        </w:trPr>
        <w:tc>
          <w:tcPr>
            <w:tcW w:w="491" w:type="pct"/>
          </w:tcPr>
          <w:p w14:paraId="73020B08" w14:textId="77777777" w:rsidR="00D16434" w:rsidRPr="00842013" w:rsidRDefault="00D16434"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2018 to 2019</w:t>
            </w:r>
          </w:p>
        </w:tc>
        <w:tc>
          <w:tcPr>
            <w:tcW w:w="1576" w:type="pct"/>
          </w:tcPr>
          <w:p w14:paraId="306E3329"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302</w:t>
            </w:r>
          </w:p>
        </w:tc>
        <w:tc>
          <w:tcPr>
            <w:tcW w:w="1588" w:type="pct"/>
          </w:tcPr>
          <w:p w14:paraId="0EAD6C1D"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363</w:t>
            </w:r>
          </w:p>
        </w:tc>
        <w:tc>
          <w:tcPr>
            <w:tcW w:w="1023" w:type="pct"/>
          </w:tcPr>
          <w:p w14:paraId="2E193B33"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13</w:t>
            </w:r>
          </w:p>
        </w:tc>
        <w:tc>
          <w:tcPr>
            <w:tcW w:w="322" w:type="pct"/>
          </w:tcPr>
          <w:p w14:paraId="1900E2E1"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678</w:t>
            </w:r>
          </w:p>
        </w:tc>
      </w:tr>
    </w:tbl>
    <w:p w14:paraId="3D129D35" w14:textId="619CCE89" w:rsidR="002F7513" w:rsidRPr="002F7513" w:rsidRDefault="002F7513" w:rsidP="002F7513">
      <w:pPr>
        <w:pStyle w:val="Titre1"/>
        <w:spacing w:before="120" w:after="120"/>
        <w:rPr>
          <w:sz w:val="40"/>
          <w:szCs w:val="40"/>
          <w:lang w:val="en-CA"/>
        </w:rPr>
      </w:pPr>
      <w:r w:rsidRPr="002F7513">
        <w:rPr>
          <w:rFonts w:eastAsia="Times New Roman"/>
          <w:sz w:val="40"/>
          <w:szCs w:val="40"/>
          <w:lang w:val="en-CA"/>
        </w:rPr>
        <w:lastRenderedPageBreak/>
        <w:t>External indeterminate and term hiring activities: Post-Secondary Recruitment Program and former student hires</w:t>
      </w:r>
    </w:p>
    <w:p w14:paraId="1A5CC3B0" w14:textId="77777777" w:rsidR="007D601B" w:rsidRPr="00842013" w:rsidRDefault="00D16434" w:rsidP="00842013">
      <w:pPr>
        <w:pStyle w:val="Pieddepage"/>
        <w:keepNext/>
        <w:spacing w:before="120" w:after="120"/>
        <w:jc w:val="center"/>
        <w:rPr>
          <w:lang w:val="en-CA"/>
        </w:rPr>
      </w:pPr>
      <w:r w:rsidRPr="00842013">
        <w:rPr>
          <w:rStyle w:val="lev"/>
          <w:noProof/>
          <w:lang w:val="en-CA" w:eastAsia="en-CA"/>
        </w:rPr>
        <w:drawing>
          <wp:inline distT="0" distB="0" distL="0" distR="0" wp14:anchorId="1A208557" wp14:editId="0E25DA64">
            <wp:extent cx="5648400" cy="3049200"/>
            <wp:effectExtent l="0" t="0" r="9525" b="18415"/>
            <wp:docPr id="10" name="Chart 10" descr="Figure 11 - External indeterminate and term hiring activities: Post-Secondary Recruitment Program and former student hi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4F5C6BF" w14:textId="0122D82C" w:rsidR="00D16434" w:rsidRPr="00842013" w:rsidRDefault="007D601B" w:rsidP="00842013">
      <w:pPr>
        <w:pStyle w:val="Lgende"/>
        <w:spacing w:before="120" w:after="120"/>
        <w:jc w:val="center"/>
        <w:rPr>
          <w:rFonts w:cstheme="minorHAnsi"/>
          <w:sz w:val="22"/>
          <w:szCs w:val="22"/>
        </w:rPr>
      </w:pPr>
      <w:r w:rsidRPr="00842013">
        <w:rPr>
          <w:rFonts w:cstheme="minorHAnsi"/>
        </w:rPr>
        <w:t xml:space="preserve">Figure </w:t>
      </w:r>
      <w:r w:rsidRPr="00842013">
        <w:rPr>
          <w:rFonts w:cstheme="minorHAnsi"/>
        </w:rPr>
        <w:fldChar w:fldCharType="begin"/>
      </w:r>
      <w:r w:rsidRPr="00842013">
        <w:rPr>
          <w:rFonts w:cstheme="minorHAnsi"/>
        </w:rPr>
        <w:instrText xml:space="preserve"> SEQ Figure \* ARABIC </w:instrText>
      </w:r>
      <w:r w:rsidRPr="00842013">
        <w:rPr>
          <w:rFonts w:cstheme="minorHAnsi"/>
        </w:rPr>
        <w:fldChar w:fldCharType="separate"/>
      </w:r>
      <w:r w:rsidR="00200978" w:rsidRPr="00842013">
        <w:rPr>
          <w:rFonts w:cstheme="minorHAnsi"/>
          <w:noProof/>
        </w:rPr>
        <w:t>11</w:t>
      </w:r>
      <w:r w:rsidRPr="00842013">
        <w:rPr>
          <w:rFonts w:cstheme="minorHAnsi"/>
        </w:rPr>
        <w:fldChar w:fldCharType="end"/>
      </w:r>
      <w:r w:rsidRPr="00842013">
        <w:rPr>
          <w:rFonts w:cstheme="minorHAnsi"/>
        </w:rPr>
        <w:t xml:space="preserve"> - External indeterminate and term hiring activities: Post-Secondary Recruitment Program and former student hires</w:t>
      </w:r>
    </w:p>
    <w:p w14:paraId="2F311E81" w14:textId="5E577456" w:rsidR="007D601B" w:rsidRPr="00842013" w:rsidRDefault="007D601B" w:rsidP="00920412">
      <w:pPr>
        <w:pStyle w:val="Lgende"/>
        <w:keepNext/>
        <w:spacing w:before="120"/>
        <w:jc w:val="center"/>
        <w:rPr>
          <w:rFonts w:cstheme="minorHAnsi"/>
        </w:rPr>
      </w:pPr>
      <w:r w:rsidRPr="00842013">
        <w:rPr>
          <w:rFonts w:cstheme="minorHAnsi"/>
        </w:rPr>
        <w:t xml:space="preserve">Table </w:t>
      </w:r>
      <w:r w:rsidRPr="00842013">
        <w:rPr>
          <w:rFonts w:cstheme="minorHAnsi"/>
        </w:rPr>
        <w:fldChar w:fldCharType="begin"/>
      </w:r>
      <w:r w:rsidRPr="00842013">
        <w:rPr>
          <w:rFonts w:cstheme="minorHAnsi"/>
        </w:rPr>
        <w:instrText xml:space="preserve"> SEQ Table \* ARABIC </w:instrText>
      </w:r>
      <w:r w:rsidRPr="00842013">
        <w:rPr>
          <w:rFonts w:cstheme="minorHAnsi"/>
        </w:rPr>
        <w:fldChar w:fldCharType="separate"/>
      </w:r>
      <w:r w:rsidR="002A0977">
        <w:rPr>
          <w:rFonts w:cstheme="minorHAnsi"/>
          <w:noProof/>
        </w:rPr>
        <w:t>14</w:t>
      </w:r>
      <w:r w:rsidRPr="00842013">
        <w:rPr>
          <w:rFonts w:cstheme="minorHAnsi"/>
        </w:rPr>
        <w:fldChar w:fldCharType="end"/>
      </w:r>
      <w:r w:rsidRPr="00842013">
        <w:rPr>
          <w:rFonts w:cstheme="minorHAnsi"/>
        </w:rPr>
        <w:t xml:space="preserve"> - External indeterminate and term hiring activities: Post-Secondary Recruitment Program and former student hires by fiscal year</w:t>
      </w:r>
    </w:p>
    <w:tbl>
      <w:tblPr>
        <w:tblStyle w:val="Grilledutableau"/>
        <w:tblW w:w="5000" w:type="pct"/>
        <w:jc w:val="center"/>
        <w:tblLook w:val="0020" w:firstRow="1" w:lastRow="0" w:firstColumn="0" w:lastColumn="0" w:noHBand="0" w:noVBand="0"/>
        <w:tblDescription w:val="External indeterminate and term hiring activities&#10;"/>
      </w:tblPr>
      <w:tblGrid>
        <w:gridCol w:w="2426"/>
        <w:gridCol w:w="7448"/>
        <w:gridCol w:w="4516"/>
      </w:tblGrid>
      <w:tr w:rsidR="00D16434" w:rsidRPr="00484E0E" w14:paraId="020D6255" w14:textId="77777777" w:rsidTr="007B68FE">
        <w:trPr>
          <w:tblHeader/>
          <w:jc w:val="center"/>
        </w:trPr>
        <w:tc>
          <w:tcPr>
            <w:tcW w:w="843" w:type="pct"/>
          </w:tcPr>
          <w:p w14:paraId="1150F65B" w14:textId="77777777" w:rsidR="00D16434" w:rsidRPr="00484E0E" w:rsidRDefault="00D16434" w:rsidP="00484E0E">
            <w:pPr>
              <w:pStyle w:val="TableTitle"/>
            </w:pPr>
            <w:r w:rsidRPr="00484E0E">
              <w:t>Fiscal year</w:t>
            </w:r>
          </w:p>
        </w:tc>
        <w:tc>
          <w:tcPr>
            <w:tcW w:w="2588" w:type="pct"/>
          </w:tcPr>
          <w:p w14:paraId="6A07AFD0" w14:textId="77777777" w:rsidR="00D16434" w:rsidRPr="00484E0E" w:rsidRDefault="00D16434" w:rsidP="00484E0E">
            <w:pPr>
              <w:pStyle w:val="TableTitle"/>
            </w:pPr>
            <w:r w:rsidRPr="00484E0E">
              <w:t>Post-Secondary Recruitment Program hires</w:t>
            </w:r>
          </w:p>
        </w:tc>
        <w:tc>
          <w:tcPr>
            <w:tcW w:w="1569" w:type="pct"/>
          </w:tcPr>
          <w:p w14:paraId="43F0A597" w14:textId="77777777" w:rsidR="00D16434" w:rsidRPr="00484E0E" w:rsidRDefault="00D16434" w:rsidP="00484E0E">
            <w:pPr>
              <w:pStyle w:val="TableTitle"/>
            </w:pPr>
            <w:r w:rsidRPr="00484E0E">
              <w:t>Hiring of former students</w:t>
            </w:r>
          </w:p>
        </w:tc>
      </w:tr>
      <w:tr w:rsidR="00D16434" w:rsidRPr="00842013" w14:paraId="79C72830" w14:textId="77777777" w:rsidTr="007B68FE">
        <w:trPr>
          <w:tblHeader/>
          <w:jc w:val="center"/>
        </w:trPr>
        <w:tc>
          <w:tcPr>
            <w:tcW w:w="843" w:type="pct"/>
          </w:tcPr>
          <w:p w14:paraId="56820D80" w14:textId="77777777" w:rsidR="00D16434" w:rsidRPr="00842013" w:rsidRDefault="00D16434"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2014 to 2015</w:t>
            </w:r>
          </w:p>
        </w:tc>
        <w:tc>
          <w:tcPr>
            <w:tcW w:w="2588" w:type="pct"/>
          </w:tcPr>
          <w:p w14:paraId="564CD14D"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10</w:t>
            </w:r>
          </w:p>
        </w:tc>
        <w:tc>
          <w:tcPr>
            <w:tcW w:w="1569" w:type="pct"/>
          </w:tcPr>
          <w:p w14:paraId="5C0653BC"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64</w:t>
            </w:r>
          </w:p>
        </w:tc>
      </w:tr>
      <w:tr w:rsidR="00D16434" w:rsidRPr="00842013" w14:paraId="7781B711" w14:textId="77777777" w:rsidTr="007B68FE">
        <w:trPr>
          <w:tblHeader/>
          <w:jc w:val="center"/>
        </w:trPr>
        <w:tc>
          <w:tcPr>
            <w:tcW w:w="843" w:type="pct"/>
          </w:tcPr>
          <w:p w14:paraId="685DB1EC" w14:textId="77777777" w:rsidR="00D16434" w:rsidRPr="00842013" w:rsidRDefault="00D16434"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2015 to 2016</w:t>
            </w:r>
          </w:p>
        </w:tc>
        <w:tc>
          <w:tcPr>
            <w:tcW w:w="2588" w:type="pct"/>
          </w:tcPr>
          <w:p w14:paraId="6D7F8791"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9</w:t>
            </w:r>
          </w:p>
        </w:tc>
        <w:tc>
          <w:tcPr>
            <w:tcW w:w="1569" w:type="pct"/>
          </w:tcPr>
          <w:p w14:paraId="5080C7E7"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106</w:t>
            </w:r>
          </w:p>
        </w:tc>
      </w:tr>
      <w:tr w:rsidR="00D16434" w:rsidRPr="00842013" w14:paraId="2269F34D" w14:textId="77777777" w:rsidTr="007B68FE">
        <w:trPr>
          <w:tblHeader/>
          <w:jc w:val="center"/>
        </w:trPr>
        <w:tc>
          <w:tcPr>
            <w:tcW w:w="843" w:type="pct"/>
          </w:tcPr>
          <w:p w14:paraId="4658F253" w14:textId="77777777" w:rsidR="00D16434" w:rsidRPr="00842013" w:rsidRDefault="00D16434"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2016 to 2017</w:t>
            </w:r>
          </w:p>
        </w:tc>
        <w:tc>
          <w:tcPr>
            <w:tcW w:w="2588" w:type="pct"/>
          </w:tcPr>
          <w:p w14:paraId="5D552A66"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39</w:t>
            </w:r>
          </w:p>
        </w:tc>
        <w:tc>
          <w:tcPr>
            <w:tcW w:w="1569" w:type="pct"/>
          </w:tcPr>
          <w:p w14:paraId="27487980"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181</w:t>
            </w:r>
          </w:p>
        </w:tc>
      </w:tr>
      <w:tr w:rsidR="00D16434" w:rsidRPr="00842013" w14:paraId="63F96847" w14:textId="77777777" w:rsidTr="007B68FE">
        <w:trPr>
          <w:tblHeader/>
          <w:jc w:val="center"/>
        </w:trPr>
        <w:tc>
          <w:tcPr>
            <w:tcW w:w="843" w:type="pct"/>
          </w:tcPr>
          <w:p w14:paraId="55A7959B" w14:textId="77777777" w:rsidR="00D16434" w:rsidRPr="00842013" w:rsidRDefault="00D16434"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2017 to 2018</w:t>
            </w:r>
          </w:p>
        </w:tc>
        <w:tc>
          <w:tcPr>
            <w:tcW w:w="2588" w:type="pct"/>
          </w:tcPr>
          <w:p w14:paraId="192343D6"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55</w:t>
            </w:r>
          </w:p>
        </w:tc>
        <w:tc>
          <w:tcPr>
            <w:tcW w:w="1569" w:type="pct"/>
          </w:tcPr>
          <w:p w14:paraId="78EE2B20"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224</w:t>
            </w:r>
          </w:p>
        </w:tc>
      </w:tr>
      <w:tr w:rsidR="00D16434" w:rsidRPr="00842013" w14:paraId="5F5F876E" w14:textId="77777777" w:rsidTr="007B68FE">
        <w:trPr>
          <w:tblHeader/>
          <w:jc w:val="center"/>
        </w:trPr>
        <w:tc>
          <w:tcPr>
            <w:tcW w:w="843" w:type="pct"/>
          </w:tcPr>
          <w:p w14:paraId="72225D28" w14:textId="77777777" w:rsidR="00D16434" w:rsidRPr="00842013" w:rsidRDefault="00D16434" w:rsidP="00842013">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2018 to 2019</w:t>
            </w:r>
          </w:p>
        </w:tc>
        <w:tc>
          <w:tcPr>
            <w:tcW w:w="2588" w:type="pct"/>
          </w:tcPr>
          <w:p w14:paraId="2B5CC0EB"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92</w:t>
            </w:r>
          </w:p>
        </w:tc>
        <w:tc>
          <w:tcPr>
            <w:tcW w:w="1569" w:type="pct"/>
          </w:tcPr>
          <w:p w14:paraId="2061B4BD" w14:textId="77777777" w:rsidR="00D16434" w:rsidRPr="00842013" w:rsidRDefault="00D16434" w:rsidP="00842013">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294</w:t>
            </w:r>
          </w:p>
        </w:tc>
      </w:tr>
    </w:tbl>
    <w:p w14:paraId="383C66F7" w14:textId="77777777" w:rsidR="00731AD9" w:rsidRPr="00842013" w:rsidRDefault="00731AD9" w:rsidP="00842013">
      <w:pPr>
        <w:keepNext/>
        <w:spacing w:before="120" w:after="120"/>
        <w:rPr>
          <w:lang w:val="en-CA"/>
        </w:rPr>
        <w:sectPr w:rsidR="00731AD9" w:rsidRPr="00842013" w:rsidSect="0009595B">
          <w:footnotePr>
            <w:numFmt w:val="lowerLetter"/>
          </w:footnotePr>
          <w:endnotePr>
            <w:numFmt w:val="lowerLetter"/>
          </w:endnotePr>
          <w:pgSz w:w="15840" w:h="12240" w:orient="landscape" w:code="1"/>
          <w:pgMar w:top="1026" w:right="720" w:bottom="720" w:left="720" w:header="284" w:footer="284" w:gutter="0"/>
          <w:cols w:space="720"/>
          <w:docGrid w:linePitch="326"/>
        </w:sectPr>
      </w:pPr>
    </w:p>
    <w:p w14:paraId="5DB1C4D8" w14:textId="77777777" w:rsidR="006239D6" w:rsidRPr="006239D6" w:rsidRDefault="006239D6" w:rsidP="006239D6">
      <w:pPr>
        <w:pStyle w:val="Titre1"/>
        <w:spacing w:before="120" w:after="120"/>
        <w:rPr>
          <w:sz w:val="40"/>
          <w:szCs w:val="40"/>
          <w:lang w:val="en-CA"/>
        </w:rPr>
      </w:pPr>
      <w:r w:rsidRPr="006239D6">
        <w:rPr>
          <w:rFonts w:eastAsia="Times New Roman"/>
          <w:sz w:val="40"/>
          <w:szCs w:val="40"/>
          <w:lang w:val="en-CA"/>
        </w:rPr>
        <w:lastRenderedPageBreak/>
        <w:t>Internal time to staff</w:t>
      </w:r>
    </w:p>
    <w:p w14:paraId="6990184F" w14:textId="5C54B1F8" w:rsidR="003008DE" w:rsidRPr="00842013" w:rsidRDefault="00282ABD" w:rsidP="00842013">
      <w:pPr>
        <w:keepNext/>
        <w:spacing w:before="120" w:after="120"/>
        <w:rPr>
          <w:lang w:val="en-CA"/>
        </w:rPr>
      </w:pPr>
      <w:r w:rsidRPr="00842013">
        <w:rPr>
          <w:rStyle w:val="lev"/>
          <w:noProof/>
          <w:lang w:val="en-CA" w:eastAsia="en-CA"/>
        </w:rPr>
        <w:drawing>
          <wp:inline distT="0" distB="0" distL="0" distR="0" wp14:anchorId="78569D50" wp14:editId="51D6884B">
            <wp:extent cx="5648400" cy="3049200"/>
            <wp:effectExtent l="0" t="0" r="9525" b="18415"/>
            <wp:docPr id="22" name="Chart 22" descr="Figure 12 - Internal time to staff"/>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3008DE" w:rsidRPr="00842013">
        <w:rPr>
          <w:rStyle w:val="lev"/>
          <w:noProof/>
          <w:lang w:val="en-CA" w:eastAsia="en-CA"/>
        </w:rPr>
        <w:drawing>
          <wp:inline distT="0" distB="0" distL="0" distR="0" wp14:anchorId="2C98F72E" wp14:editId="280D5FE8">
            <wp:extent cx="5648400" cy="3049200"/>
            <wp:effectExtent l="0" t="0" r="9525" b="18415"/>
            <wp:docPr id="23" name="Chart 23" descr="Figure 13 - Internal time to staff"/>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1E312BE" w14:textId="648D4D0F" w:rsidR="00282ABD" w:rsidRPr="00842013" w:rsidRDefault="003008DE" w:rsidP="00920412">
      <w:pPr>
        <w:pStyle w:val="Lgende"/>
        <w:tabs>
          <w:tab w:val="left" w:pos="8931"/>
        </w:tabs>
        <w:rPr>
          <w:rFonts w:cstheme="minorHAnsi"/>
        </w:rPr>
      </w:pPr>
      <w:r w:rsidRPr="00842013">
        <w:rPr>
          <w:rFonts w:cstheme="minorHAnsi"/>
        </w:rPr>
        <w:t xml:space="preserve">Figure </w:t>
      </w:r>
      <w:r w:rsidRPr="00842013">
        <w:rPr>
          <w:rFonts w:cstheme="minorHAnsi"/>
        </w:rPr>
        <w:fldChar w:fldCharType="begin"/>
      </w:r>
      <w:r w:rsidRPr="00842013">
        <w:rPr>
          <w:rFonts w:cstheme="minorHAnsi"/>
        </w:rPr>
        <w:instrText xml:space="preserve"> SEQ Figure \* ARABIC </w:instrText>
      </w:r>
      <w:r w:rsidRPr="00842013">
        <w:rPr>
          <w:rFonts w:cstheme="minorHAnsi"/>
        </w:rPr>
        <w:fldChar w:fldCharType="separate"/>
      </w:r>
      <w:r w:rsidR="00200978" w:rsidRPr="00842013">
        <w:rPr>
          <w:rFonts w:cstheme="minorHAnsi"/>
          <w:noProof/>
        </w:rPr>
        <w:t>12</w:t>
      </w:r>
      <w:r w:rsidRPr="00842013">
        <w:rPr>
          <w:rFonts w:cstheme="minorHAnsi"/>
        </w:rPr>
        <w:fldChar w:fldCharType="end"/>
      </w:r>
      <w:r w:rsidRPr="00842013">
        <w:rPr>
          <w:rFonts w:cstheme="minorHAnsi"/>
        </w:rPr>
        <w:t xml:space="preserve"> - Internal time to staff</w:t>
      </w:r>
      <w:r w:rsidRPr="00842013">
        <w:rPr>
          <w:rFonts w:cstheme="minorHAnsi"/>
        </w:rPr>
        <w:tab/>
        <w:t xml:space="preserve">Figure </w:t>
      </w:r>
      <w:r w:rsidRPr="00842013">
        <w:rPr>
          <w:rFonts w:cstheme="minorHAnsi"/>
        </w:rPr>
        <w:fldChar w:fldCharType="begin"/>
      </w:r>
      <w:r w:rsidRPr="00842013">
        <w:rPr>
          <w:rFonts w:cstheme="minorHAnsi"/>
        </w:rPr>
        <w:instrText xml:space="preserve"> SEQ Figure \* ARABIC </w:instrText>
      </w:r>
      <w:r w:rsidRPr="00842013">
        <w:rPr>
          <w:rFonts w:cstheme="minorHAnsi"/>
        </w:rPr>
        <w:fldChar w:fldCharType="separate"/>
      </w:r>
      <w:r w:rsidR="00200978" w:rsidRPr="00842013">
        <w:rPr>
          <w:rFonts w:cstheme="minorHAnsi"/>
          <w:noProof/>
        </w:rPr>
        <w:t>13</w:t>
      </w:r>
      <w:r w:rsidRPr="00842013">
        <w:rPr>
          <w:rFonts w:cstheme="minorHAnsi"/>
        </w:rPr>
        <w:fldChar w:fldCharType="end"/>
      </w:r>
      <w:r w:rsidRPr="00842013">
        <w:rPr>
          <w:rFonts w:cstheme="minorHAnsi"/>
        </w:rPr>
        <w:t xml:space="preserve"> - Internal time to staff</w:t>
      </w:r>
    </w:p>
    <w:p w14:paraId="4C88AF0B" w14:textId="77777777" w:rsidR="00042792" w:rsidRDefault="00484E0E" w:rsidP="00842013">
      <w:pPr>
        <w:spacing w:before="120" w:after="120"/>
        <w:rPr>
          <w:rStyle w:val="Lienhypertexte"/>
          <w:rFonts w:asciiTheme="minorHAnsi" w:hAnsiTheme="minorHAnsi" w:cstheme="minorHAnsi"/>
          <w:sz w:val="22"/>
          <w:szCs w:val="22"/>
          <w:lang w:val="en-CA"/>
        </w:rPr>
        <w:sectPr w:rsidR="00042792" w:rsidSect="00934B32">
          <w:footnotePr>
            <w:numFmt w:val="lowerLetter"/>
          </w:footnotePr>
          <w:endnotePr>
            <w:numFmt w:val="lowerLetter"/>
          </w:endnotePr>
          <w:pgSz w:w="20160" w:h="12240" w:orient="landscape" w:code="5"/>
          <w:pgMar w:top="1440" w:right="1080" w:bottom="1440" w:left="1080" w:header="284" w:footer="284" w:gutter="0"/>
          <w:cols w:space="720"/>
          <w:docGrid w:linePitch="326"/>
        </w:sectPr>
      </w:pPr>
      <w:r>
        <w:rPr>
          <w:rFonts w:asciiTheme="minorHAnsi" w:hAnsiTheme="minorHAnsi" w:cstheme="minorHAnsi"/>
          <w:sz w:val="22"/>
          <w:szCs w:val="22"/>
          <w:lang w:val="en-CA"/>
        </w:rPr>
        <w:fldChar w:fldCharType="begin"/>
      </w:r>
      <w:r>
        <w:rPr>
          <w:rFonts w:asciiTheme="minorHAnsi" w:hAnsiTheme="minorHAnsi" w:cstheme="minorHAnsi"/>
          <w:sz w:val="22"/>
          <w:szCs w:val="22"/>
          <w:lang w:val="en-CA"/>
        </w:rPr>
        <w:instrText xml:space="preserve"> HYPERLINK  \l "Internal_time_to_staff" </w:instrText>
      </w:r>
      <w:r>
        <w:rPr>
          <w:rFonts w:asciiTheme="minorHAnsi" w:hAnsiTheme="minorHAnsi" w:cstheme="minorHAnsi"/>
          <w:sz w:val="22"/>
          <w:szCs w:val="22"/>
          <w:lang w:val="en-CA"/>
        </w:rPr>
        <w:fldChar w:fldCharType="separate"/>
      </w:r>
      <w:r w:rsidRPr="00484E0E">
        <w:rPr>
          <w:rStyle w:val="Lienhypertexte"/>
          <w:rFonts w:asciiTheme="minorHAnsi" w:hAnsiTheme="minorHAnsi" w:cstheme="minorHAnsi"/>
          <w:sz w:val="22"/>
          <w:szCs w:val="22"/>
          <w:lang w:val="en-CA"/>
        </w:rPr>
        <w:t>Internal time to staff data table ava</w:t>
      </w:r>
      <w:r w:rsidR="00042792">
        <w:rPr>
          <w:rStyle w:val="Lienhypertexte"/>
          <w:rFonts w:asciiTheme="minorHAnsi" w:hAnsiTheme="minorHAnsi" w:cstheme="minorHAnsi"/>
          <w:sz w:val="22"/>
          <w:szCs w:val="22"/>
          <w:lang w:val="en-CA"/>
        </w:rPr>
        <w:t>i</w:t>
      </w:r>
      <w:r w:rsidRPr="00484E0E">
        <w:rPr>
          <w:rStyle w:val="Lienhypertexte"/>
          <w:rFonts w:asciiTheme="minorHAnsi" w:hAnsiTheme="minorHAnsi" w:cstheme="minorHAnsi"/>
          <w:sz w:val="22"/>
          <w:szCs w:val="22"/>
          <w:lang w:val="en-CA"/>
        </w:rPr>
        <w:t xml:space="preserve">lable </w:t>
      </w:r>
      <w:r w:rsidR="003008DE" w:rsidRPr="00484E0E">
        <w:rPr>
          <w:rStyle w:val="Lienhypertexte"/>
          <w:rFonts w:asciiTheme="minorHAnsi" w:hAnsiTheme="minorHAnsi" w:cstheme="minorHAnsi"/>
          <w:sz w:val="22"/>
          <w:szCs w:val="22"/>
          <w:lang w:val="en-CA"/>
        </w:rPr>
        <w:t>here</w:t>
      </w:r>
    </w:p>
    <w:p w14:paraId="7EE5900D" w14:textId="5387DDA9" w:rsidR="00042792" w:rsidRPr="00842013" w:rsidRDefault="00484E0E" w:rsidP="00042792">
      <w:pPr>
        <w:spacing w:before="120" w:after="120"/>
        <w:rPr>
          <w:rFonts w:asciiTheme="minorHAnsi" w:eastAsiaTheme="minorHAnsi" w:hAnsiTheme="minorHAnsi" w:cstheme="minorHAnsi"/>
          <w:sz w:val="22"/>
          <w:szCs w:val="22"/>
          <w:lang w:val="en-CA"/>
        </w:rPr>
      </w:pPr>
      <w:r>
        <w:rPr>
          <w:rFonts w:asciiTheme="minorHAnsi" w:hAnsiTheme="minorHAnsi" w:cstheme="minorHAnsi"/>
          <w:sz w:val="22"/>
          <w:szCs w:val="22"/>
          <w:lang w:val="en-CA"/>
        </w:rPr>
        <w:fldChar w:fldCharType="end"/>
      </w:r>
      <w:r w:rsidR="00042792" w:rsidRPr="00842013">
        <w:rPr>
          <w:rFonts w:asciiTheme="minorHAnsi" w:eastAsiaTheme="minorHAnsi" w:hAnsiTheme="minorHAnsi" w:cstheme="minorHAnsi"/>
          <w:sz w:val="22"/>
          <w:szCs w:val="22"/>
          <w:lang w:val="en-CA"/>
        </w:rPr>
        <w:t>The median internal time to staff for the public service (organizations subject to the Public Service Employment Act) for fiscal year 2018 to 2019 is 176 days.</w:t>
      </w:r>
    </w:p>
    <w:p w14:paraId="3992F8DC" w14:textId="37CCB859" w:rsidR="00731AD9" w:rsidRPr="00842013" w:rsidRDefault="00042792" w:rsidP="00842013">
      <w:pPr>
        <w:spacing w:before="120" w:after="120"/>
        <w:rPr>
          <w:rStyle w:val="lev"/>
          <w:rFonts w:eastAsiaTheme="minorHAnsi"/>
          <w:lang w:val="en-CA"/>
        </w:rPr>
      </w:pPr>
      <w:r>
        <w:rPr>
          <w:rStyle w:val="lev"/>
          <w:rFonts w:eastAsiaTheme="minorHAnsi"/>
          <w:lang w:val="en-CA"/>
        </w:rPr>
        <w:br w:type="column"/>
      </w:r>
      <w:r w:rsidR="00731AD9" w:rsidRPr="00842013">
        <w:rPr>
          <w:rStyle w:val="lev"/>
          <w:rFonts w:eastAsiaTheme="minorHAnsi"/>
          <w:lang w:val="en-CA"/>
        </w:rPr>
        <w:t>Internal time to staff for fiscal year 2018 to 2019</w:t>
      </w:r>
    </w:p>
    <w:p w14:paraId="3E694941" w14:textId="3B6AEAC0" w:rsidR="00C342AC" w:rsidRPr="00261EBB" w:rsidRDefault="00731AD9" w:rsidP="00842013">
      <w:pPr>
        <w:spacing w:before="120" w:after="120"/>
        <w:rPr>
          <w:rFonts w:asciiTheme="minorHAnsi" w:hAnsiTheme="minorHAnsi" w:cstheme="minorHAnsi"/>
          <w:sz w:val="22"/>
          <w:szCs w:val="22"/>
          <w:lang w:val="en-CA"/>
        </w:rPr>
        <w:sectPr w:rsidR="00C342AC" w:rsidRPr="00261EBB" w:rsidSect="00042792">
          <w:footnotePr>
            <w:numFmt w:val="lowerLetter"/>
          </w:footnotePr>
          <w:endnotePr>
            <w:numFmt w:val="lowerLetter"/>
          </w:endnotePr>
          <w:type w:val="continuous"/>
          <w:pgSz w:w="20160" w:h="12240" w:orient="landscape" w:code="5"/>
          <w:pgMar w:top="1440" w:right="1080" w:bottom="1440" w:left="1080" w:header="284" w:footer="284" w:gutter="0"/>
          <w:cols w:num="2" w:space="720"/>
          <w:docGrid w:linePitch="326"/>
        </w:sectPr>
      </w:pPr>
      <w:r w:rsidRPr="00842013">
        <w:rPr>
          <w:rFonts w:asciiTheme="minorHAnsi" w:eastAsiaTheme="minorHAnsi" w:hAnsiTheme="minorHAnsi" w:cstheme="minorHAnsi"/>
          <w:sz w:val="22"/>
          <w:szCs w:val="22"/>
          <w:lang w:val="en-CA"/>
        </w:rPr>
        <w:t>Health Canada’s median internal time to staff for fiscal year 2018 to 2019 is 201 days</w:t>
      </w:r>
    </w:p>
    <w:p w14:paraId="7B540E09" w14:textId="532D417B" w:rsidR="006239D6" w:rsidRPr="006239D6" w:rsidRDefault="006239D6" w:rsidP="006239D6">
      <w:pPr>
        <w:pStyle w:val="Titre1"/>
        <w:spacing w:before="120" w:after="120"/>
        <w:rPr>
          <w:sz w:val="40"/>
          <w:szCs w:val="40"/>
        </w:rPr>
      </w:pPr>
      <w:bookmarkStart w:id="2" w:name="Internal_time_to_staff"/>
      <w:r w:rsidRPr="006239D6">
        <w:rPr>
          <w:sz w:val="40"/>
          <w:szCs w:val="40"/>
        </w:rPr>
        <w:lastRenderedPageBreak/>
        <w:t>Internal time to staff</w:t>
      </w:r>
    </w:p>
    <w:p w14:paraId="70281E01" w14:textId="2D189F40" w:rsidR="00261EBB" w:rsidRDefault="00261EBB" w:rsidP="00261EBB">
      <w:pPr>
        <w:pStyle w:val="Lgende"/>
        <w:keepNext/>
      </w:pPr>
      <w:r>
        <w:t xml:space="preserve">Table </w:t>
      </w:r>
      <w:r w:rsidR="00934B32">
        <w:rPr>
          <w:noProof/>
        </w:rPr>
        <w:fldChar w:fldCharType="begin"/>
      </w:r>
      <w:r w:rsidR="00934B32">
        <w:rPr>
          <w:noProof/>
        </w:rPr>
        <w:instrText xml:space="preserve"> SEQ Table \* ARABIC </w:instrText>
      </w:r>
      <w:r w:rsidR="00934B32">
        <w:rPr>
          <w:noProof/>
        </w:rPr>
        <w:fldChar w:fldCharType="separate"/>
      </w:r>
      <w:r w:rsidR="002A0977">
        <w:rPr>
          <w:noProof/>
        </w:rPr>
        <w:t>15</w:t>
      </w:r>
      <w:r w:rsidR="00934B32">
        <w:rPr>
          <w:noProof/>
        </w:rPr>
        <w:fldChar w:fldCharType="end"/>
      </w:r>
      <w:r>
        <w:t xml:space="preserve"> - Internal time to staff</w:t>
      </w:r>
    </w:p>
    <w:tbl>
      <w:tblPr>
        <w:tblStyle w:val="TableGrid3"/>
        <w:tblW w:w="5000" w:type="pct"/>
        <w:jc w:val="center"/>
        <w:tblLook w:val="0020" w:firstRow="1" w:lastRow="0" w:firstColumn="0" w:lastColumn="0" w:noHBand="0" w:noVBand="0"/>
        <w:tblDescription w:val="Internal time to staff"/>
      </w:tblPr>
      <w:tblGrid>
        <w:gridCol w:w="5698"/>
        <w:gridCol w:w="8308"/>
        <w:gridCol w:w="8304"/>
      </w:tblGrid>
      <w:tr w:rsidR="00C342AC" w:rsidRPr="00842013" w14:paraId="2D5127D3" w14:textId="77777777" w:rsidTr="007B68FE">
        <w:trPr>
          <w:cantSplit/>
          <w:trHeight w:val="290"/>
          <w:tblHeader/>
          <w:jc w:val="center"/>
        </w:trPr>
        <w:tc>
          <w:tcPr>
            <w:tcW w:w="1277" w:type="pct"/>
          </w:tcPr>
          <w:bookmarkEnd w:id="2"/>
          <w:p w14:paraId="6AF46558" w14:textId="77777777" w:rsidR="00C342AC" w:rsidRPr="00842013" w:rsidRDefault="00C342AC" w:rsidP="00261EBB">
            <w:pPr>
              <w:pStyle w:val="TableTitle"/>
              <w:spacing w:before="120" w:after="120"/>
              <w:contextualSpacing/>
              <w:rPr>
                <w:rFonts w:eastAsiaTheme="minorHAnsi"/>
                <w:lang w:val="en-CA"/>
              </w:rPr>
            </w:pPr>
            <w:r w:rsidRPr="00842013">
              <w:rPr>
                <w:rFonts w:eastAsiaTheme="minorHAnsi"/>
                <w:lang w:val="en-CA"/>
              </w:rPr>
              <w:t>Number of calendar days</w:t>
            </w:r>
          </w:p>
        </w:tc>
        <w:tc>
          <w:tcPr>
            <w:tcW w:w="1862" w:type="pct"/>
          </w:tcPr>
          <w:p w14:paraId="3CE0E12C" w14:textId="77777777" w:rsidR="00C342AC" w:rsidRPr="00842013" w:rsidRDefault="00C342AC" w:rsidP="00261EBB">
            <w:pPr>
              <w:pStyle w:val="TableTitle"/>
              <w:spacing w:before="120" w:after="120"/>
              <w:contextualSpacing/>
              <w:rPr>
                <w:rFonts w:eastAsiaTheme="minorHAnsi"/>
                <w:lang w:val="en-CA"/>
              </w:rPr>
            </w:pPr>
            <w:r w:rsidRPr="00842013">
              <w:rPr>
                <w:rFonts w:eastAsiaTheme="minorHAnsi"/>
                <w:lang w:val="en-CA"/>
              </w:rPr>
              <w:t xml:space="preserve">The number of internal appointments for which the TTS-IA was within the specified number of calendar days  for organizations subject to the </w:t>
            </w:r>
            <w:r w:rsidRPr="00842013">
              <w:rPr>
                <w:rFonts w:eastAsiaTheme="minorHAnsi"/>
                <w:i/>
                <w:lang w:val="en-CA"/>
              </w:rPr>
              <w:t>Public Service Employment Act</w:t>
            </w:r>
          </w:p>
        </w:tc>
        <w:tc>
          <w:tcPr>
            <w:tcW w:w="1861" w:type="pct"/>
          </w:tcPr>
          <w:p w14:paraId="1A2B26BC" w14:textId="77777777" w:rsidR="00C342AC" w:rsidRPr="00842013" w:rsidRDefault="00C342AC" w:rsidP="00261EBB">
            <w:pPr>
              <w:pStyle w:val="TableTitle"/>
              <w:spacing w:before="120" w:after="120"/>
              <w:contextualSpacing/>
              <w:rPr>
                <w:rFonts w:eastAsiaTheme="minorHAnsi"/>
                <w:lang w:val="en-CA"/>
              </w:rPr>
            </w:pPr>
            <w:r w:rsidRPr="00842013">
              <w:rPr>
                <w:rFonts w:eastAsiaTheme="minorHAnsi"/>
                <w:lang w:val="en-CA"/>
              </w:rPr>
              <w:t>The number of internal appointments for which the TTS-IA was within the specified number of calendar days for the specified organization</w:t>
            </w:r>
          </w:p>
        </w:tc>
      </w:tr>
      <w:tr w:rsidR="00C342AC" w:rsidRPr="00842013" w14:paraId="1498365D" w14:textId="77777777" w:rsidTr="007B68FE">
        <w:trPr>
          <w:cantSplit/>
          <w:trHeight w:val="290"/>
          <w:tblHeader/>
          <w:jc w:val="center"/>
        </w:trPr>
        <w:tc>
          <w:tcPr>
            <w:tcW w:w="1277" w:type="pct"/>
          </w:tcPr>
          <w:p w14:paraId="1D71921C"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 calendar days</w:t>
            </w:r>
          </w:p>
        </w:tc>
        <w:tc>
          <w:tcPr>
            <w:tcW w:w="1862" w:type="pct"/>
          </w:tcPr>
          <w:p w14:paraId="28FF0873"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c>
          <w:tcPr>
            <w:tcW w:w="1861" w:type="pct"/>
          </w:tcPr>
          <w:p w14:paraId="5AF3FA2B"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r>
      <w:tr w:rsidR="00C342AC" w:rsidRPr="00842013" w14:paraId="4EA23CF4" w14:textId="77777777" w:rsidTr="007B68FE">
        <w:trPr>
          <w:cantSplit/>
          <w:trHeight w:val="290"/>
          <w:tblHeader/>
          <w:jc w:val="center"/>
        </w:trPr>
        <w:tc>
          <w:tcPr>
            <w:tcW w:w="1277" w:type="pct"/>
          </w:tcPr>
          <w:p w14:paraId="2E6A3BB8"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 to 29 calendar days</w:t>
            </w:r>
          </w:p>
        </w:tc>
        <w:tc>
          <w:tcPr>
            <w:tcW w:w="1862" w:type="pct"/>
          </w:tcPr>
          <w:p w14:paraId="3C81C295"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15</w:t>
            </w:r>
          </w:p>
        </w:tc>
        <w:tc>
          <w:tcPr>
            <w:tcW w:w="1861" w:type="pct"/>
          </w:tcPr>
          <w:p w14:paraId="5912A592"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r>
      <w:tr w:rsidR="00C342AC" w:rsidRPr="00842013" w14:paraId="2E24098F" w14:textId="77777777" w:rsidTr="007B68FE">
        <w:trPr>
          <w:cantSplit/>
          <w:trHeight w:val="290"/>
          <w:tblHeader/>
          <w:jc w:val="center"/>
        </w:trPr>
        <w:tc>
          <w:tcPr>
            <w:tcW w:w="1277" w:type="pct"/>
          </w:tcPr>
          <w:p w14:paraId="41094C5C"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30 to 59 calendar days</w:t>
            </w:r>
          </w:p>
        </w:tc>
        <w:tc>
          <w:tcPr>
            <w:tcW w:w="1862" w:type="pct"/>
          </w:tcPr>
          <w:p w14:paraId="1CC33898"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130</w:t>
            </w:r>
          </w:p>
        </w:tc>
        <w:tc>
          <w:tcPr>
            <w:tcW w:w="1861" w:type="pct"/>
          </w:tcPr>
          <w:p w14:paraId="085EEA87"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w:t>
            </w:r>
          </w:p>
        </w:tc>
      </w:tr>
      <w:tr w:rsidR="00C342AC" w:rsidRPr="00842013" w14:paraId="51B2E4C5" w14:textId="77777777" w:rsidTr="007B68FE">
        <w:trPr>
          <w:cantSplit/>
          <w:trHeight w:val="290"/>
          <w:tblHeader/>
          <w:jc w:val="center"/>
        </w:trPr>
        <w:tc>
          <w:tcPr>
            <w:tcW w:w="1277" w:type="pct"/>
          </w:tcPr>
          <w:p w14:paraId="378F775C"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60 to 89 calendar days</w:t>
            </w:r>
          </w:p>
        </w:tc>
        <w:tc>
          <w:tcPr>
            <w:tcW w:w="1862" w:type="pct"/>
          </w:tcPr>
          <w:p w14:paraId="15E2D80B"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277</w:t>
            </w:r>
          </w:p>
        </w:tc>
        <w:tc>
          <w:tcPr>
            <w:tcW w:w="1861" w:type="pct"/>
          </w:tcPr>
          <w:p w14:paraId="3A86ECBF"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12</w:t>
            </w:r>
          </w:p>
        </w:tc>
      </w:tr>
      <w:tr w:rsidR="00C342AC" w:rsidRPr="00842013" w14:paraId="56CC31CE" w14:textId="77777777" w:rsidTr="007B68FE">
        <w:trPr>
          <w:cantSplit/>
          <w:trHeight w:val="290"/>
          <w:tblHeader/>
          <w:jc w:val="center"/>
        </w:trPr>
        <w:tc>
          <w:tcPr>
            <w:tcW w:w="1277" w:type="pct"/>
          </w:tcPr>
          <w:p w14:paraId="56FF3BCC"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90 to 119 calendar days</w:t>
            </w:r>
          </w:p>
        </w:tc>
        <w:tc>
          <w:tcPr>
            <w:tcW w:w="1862" w:type="pct"/>
          </w:tcPr>
          <w:p w14:paraId="18A5DFF9"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391</w:t>
            </w:r>
          </w:p>
        </w:tc>
        <w:tc>
          <w:tcPr>
            <w:tcW w:w="1861" w:type="pct"/>
          </w:tcPr>
          <w:p w14:paraId="2E8E0549"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21</w:t>
            </w:r>
          </w:p>
        </w:tc>
      </w:tr>
      <w:tr w:rsidR="00C342AC" w:rsidRPr="00842013" w14:paraId="4D7D76CE" w14:textId="77777777" w:rsidTr="007B68FE">
        <w:trPr>
          <w:cantSplit/>
          <w:trHeight w:val="290"/>
          <w:tblHeader/>
          <w:jc w:val="center"/>
        </w:trPr>
        <w:tc>
          <w:tcPr>
            <w:tcW w:w="1277" w:type="pct"/>
          </w:tcPr>
          <w:p w14:paraId="729F9EB3"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120 to 149 calendar days</w:t>
            </w:r>
          </w:p>
        </w:tc>
        <w:tc>
          <w:tcPr>
            <w:tcW w:w="1862" w:type="pct"/>
          </w:tcPr>
          <w:p w14:paraId="70982452"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367</w:t>
            </w:r>
          </w:p>
        </w:tc>
        <w:tc>
          <w:tcPr>
            <w:tcW w:w="1861" w:type="pct"/>
          </w:tcPr>
          <w:p w14:paraId="17B66231"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17</w:t>
            </w:r>
          </w:p>
        </w:tc>
      </w:tr>
      <w:tr w:rsidR="00C342AC" w:rsidRPr="00842013" w14:paraId="6D617DE6" w14:textId="77777777" w:rsidTr="007B68FE">
        <w:trPr>
          <w:cantSplit/>
          <w:trHeight w:val="290"/>
          <w:tblHeader/>
          <w:jc w:val="center"/>
        </w:trPr>
        <w:tc>
          <w:tcPr>
            <w:tcW w:w="1277" w:type="pct"/>
          </w:tcPr>
          <w:p w14:paraId="6143A9EE"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150 to 179 calendar days</w:t>
            </w:r>
          </w:p>
        </w:tc>
        <w:tc>
          <w:tcPr>
            <w:tcW w:w="1862" w:type="pct"/>
          </w:tcPr>
          <w:p w14:paraId="7BDAFB48"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322</w:t>
            </w:r>
          </w:p>
        </w:tc>
        <w:tc>
          <w:tcPr>
            <w:tcW w:w="1861" w:type="pct"/>
          </w:tcPr>
          <w:p w14:paraId="1AE6E19C"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15</w:t>
            </w:r>
          </w:p>
        </w:tc>
      </w:tr>
      <w:tr w:rsidR="00C342AC" w:rsidRPr="00842013" w14:paraId="76792F5B" w14:textId="77777777" w:rsidTr="007B68FE">
        <w:trPr>
          <w:cantSplit/>
          <w:trHeight w:val="290"/>
          <w:tblHeader/>
          <w:jc w:val="center"/>
        </w:trPr>
        <w:tc>
          <w:tcPr>
            <w:tcW w:w="1277" w:type="pct"/>
          </w:tcPr>
          <w:p w14:paraId="5027D73E"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180 to 209 calendar days</w:t>
            </w:r>
          </w:p>
        </w:tc>
        <w:tc>
          <w:tcPr>
            <w:tcW w:w="1862" w:type="pct"/>
          </w:tcPr>
          <w:p w14:paraId="23793493"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278</w:t>
            </w:r>
          </w:p>
        </w:tc>
        <w:tc>
          <w:tcPr>
            <w:tcW w:w="1861" w:type="pct"/>
          </w:tcPr>
          <w:p w14:paraId="7BE2B714"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13</w:t>
            </w:r>
          </w:p>
        </w:tc>
      </w:tr>
      <w:tr w:rsidR="00C342AC" w:rsidRPr="00842013" w14:paraId="3C16D62C" w14:textId="77777777" w:rsidTr="007B68FE">
        <w:trPr>
          <w:cantSplit/>
          <w:trHeight w:val="290"/>
          <w:tblHeader/>
          <w:jc w:val="center"/>
        </w:trPr>
        <w:tc>
          <w:tcPr>
            <w:tcW w:w="1277" w:type="pct"/>
          </w:tcPr>
          <w:p w14:paraId="221AB178"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210 to 239 calendar days</w:t>
            </w:r>
          </w:p>
        </w:tc>
        <w:tc>
          <w:tcPr>
            <w:tcW w:w="1862" w:type="pct"/>
          </w:tcPr>
          <w:p w14:paraId="7517025C"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241</w:t>
            </w:r>
          </w:p>
        </w:tc>
        <w:tc>
          <w:tcPr>
            <w:tcW w:w="1861" w:type="pct"/>
          </w:tcPr>
          <w:p w14:paraId="0EC2855A"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19</w:t>
            </w:r>
          </w:p>
        </w:tc>
      </w:tr>
      <w:tr w:rsidR="00C342AC" w:rsidRPr="00842013" w14:paraId="4A98C455" w14:textId="77777777" w:rsidTr="007B68FE">
        <w:trPr>
          <w:cantSplit/>
          <w:trHeight w:val="290"/>
          <w:tblHeader/>
          <w:jc w:val="center"/>
        </w:trPr>
        <w:tc>
          <w:tcPr>
            <w:tcW w:w="1277" w:type="pct"/>
          </w:tcPr>
          <w:p w14:paraId="53231E37"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240 to 269 calendar days</w:t>
            </w:r>
          </w:p>
        </w:tc>
        <w:tc>
          <w:tcPr>
            <w:tcW w:w="1862" w:type="pct"/>
          </w:tcPr>
          <w:p w14:paraId="054B01B8"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165</w:t>
            </w:r>
          </w:p>
        </w:tc>
        <w:tc>
          <w:tcPr>
            <w:tcW w:w="1861" w:type="pct"/>
          </w:tcPr>
          <w:p w14:paraId="298DAC3D"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8</w:t>
            </w:r>
          </w:p>
        </w:tc>
      </w:tr>
      <w:tr w:rsidR="00C342AC" w:rsidRPr="00842013" w14:paraId="0071D04B" w14:textId="77777777" w:rsidTr="007B68FE">
        <w:trPr>
          <w:cantSplit/>
          <w:trHeight w:val="290"/>
          <w:tblHeader/>
          <w:jc w:val="center"/>
        </w:trPr>
        <w:tc>
          <w:tcPr>
            <w:tcW w:w="1277" w:type="pct"/>
          </w:tcPr>
          <w:p w14:paraId="61B0BF8D"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270 to 299 calendar days</w:t>
            </w:r>
          </w:p>
        </w:tc>
        <w:tc>
          <w:tcPr>
            <w:tcW w:w="1862" w:type="pct"/>
          </w:tcPr>
          <w:p w14:paraId="54B179C9"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134</w:t>
            </w:r>
          </w:p>
        </w:tc>
        <w:tc>
          <w:tcPr>
            <w:tcW w:w="1861" w:type="pct"/>
          </w:tcPr>
          <w:p w14:paraId="3799EDA2"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9</w:t>
            </w:r>
          </w:p>
        </w:tc>
      </w:tr>
      <w:tr w:rsidR="00C342AC" w:rsidRPr="00842013" w14:paraId="21A4CACC" w14:textId="77777777" w:rsidTr="007B68FE">
        <w:trPr>
          <w:cantSplit/>
          <w:trHeight w:val="290"/>
          <w:tblHeader/>
          <w:jc w:val="center"/>
        </w:trPr>
        <w:tc>
          <w:tcPr>
            <w:tcW w:w="1277" w:type="pct"/>
          </w:tcPr>
          <w:p w14:paraId="29507D34"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300 to 329 calendar days</w:t>
            </w:r>
          </w:p>
        </w:tc>
        <w:tc>
          <w:tcPr>
            <w:tcW w:w="1862" w:type="pct"/>
          </w:tcPr>
          <w:p w14:paraId="0FDFF0F6"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107</w:t>
            </w:r>
          </w:p>
        </w:tc>
        <w:tc>
          <w:tcPr>
            <w:tcW w:w="1861" w:type="pct"/>
          </w:tcPr>
          <w:p w14:paraId="1D2BCDC5"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8</w:t>
            </w:r>
          </w:p>
        </w:tc>
      </w:tr>
      <w:tr w:rsidR="00C342AC" w:rsidRPr="00842013" w14:paraId="407E2A41" w14:textId="77777777" w:rsidTr="007B68FE">
        <w:trPr>
          <w:cantSplit/>
          <w:trHeight w:val="290"/>
          <w:tblHeader/>
          <w:jc w:val="center"/>
        </w:trPr>
        <w:tc>
          <w:tcPr>
            <w:tcW w:w="1277" w:type="pct"/>
          </w:tcPr>
          <w:p w14:paraId="4A04C64E"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330 to 359 calendar days</w:t>
            </w:r>
          </w:p>
        </w:tc>
        <w:tc>
          <w:tcPr>
            <w:tcW w:w="1862" w:type="pct"/>
          </w:tcPr>
          <w:p w14:paraId="34388224"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77</w:t>
            </w:r>
          </w:p>
        </w:tc>
        <w:tc>
          <w:tcPr>
            <w:tcW w:w="1861" w:type="pct"/>
          </w:tcPr>
          <w:p w14:paraId="76E576D1"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4</w:t>
            </w:r>
          </w:p>
        </w:tc>
      </w:tr>
      <w:tr w:rsidR="00C342AC" w:rsidRPr="00842013" w14:paraId="5B63E3F5" w14:textId="77777777" w:rsidTr="007B68FE">
        <w:trPr>
          <w:cantSplit/>
          <w:trHeight w:val="290"/>
          <w:tblHeader/>
          <w:jc w:val="center"/>
        </w:trPr>
        <w:tc>
          <w:tcPr>
            <w:tcW w:w="1277" w:type="pct"/>
          </w:tcPr>
          <w:p w14:paraId="4327D901"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360 to 389 calendar days</w:t>
            </w:r>
          </w:p>
        </w:tc>
        <w:tc>
          <w:tcPr>
            <w:tcW w:w="1862" w:type="pct"/>
          </w:tcPr>
          <w:p w14:paraId="6ABCC996"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61</w:t>
            </w:r>
          </w:p>
        </w:tc>
        <w:tc>
          <w:tcPr>
            <w:tcW w:w="1861" w:type="pct"/>
          </w:tcPr>
          <w:p w14:paraId="678E719B"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w:t>
            </w:r>
          </w:p>
        </w:tc>
      </w:tr>
      <w:tr w:rsidR="00C342AC" w:rsidRPr="00842013" w14:paraId="69403536" w14:textId="77777777" w:rsidTr="007B68FE">
        <w:trPr>
          <w:cantSplit/>
          <w:trHeight w:val="290"/>
          <w:tblHeader/>
          <w:jc w:val="center"/>
        </w:trPr>
        <w:tc>
          <w:tcPr>
            <w:tcW w:w="1277" w:type="pct"/>
          </w:tcPr>
          <w:p w14:paraId="222D03A6"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390 to 419 calendar days</w:t>
            </w:r>
          </w:p>
        </w:tc>
        <w:tc>
          <w:tcPr>
            <w:tcW w:w="1862" w:type="pct"/>
          </w:tcPr>
          <w:p w14:paraId="33F1C262"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53</w:t>
            </w:r>
          </w:p>
        </w:tc>
        <w:tc>
          <w:tcPr>
            <w:tcW w:w="1861" w:type="pct"/>
          </w:tcPr>
          <w:p w14:paraId="5CBB0397"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w:t>
            </w:r>
          </w:p>
        </w:tc>
      </w:tr>
      <w:tr w:rsidR="00C342AC" w:rsidRPr="00842013" w14:paraId="2AD2738C" w14:textId="77777777" w:rsidTr="007B68FE">
        <w:trPr>
          <w:cantSplit/>
          <w:trHeight w:val="290"/>
          <w:tblHeader/>
          <w:jc w:val="center"/>
        </w:trPr>
        <w:tc>
          <w:tcPr>
            <w:tcW w:w="1277" w:type="pct"/>
          </w:tcPr>
          <w:p w14:paraId="5F4643B0"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420 to 449 calendar days</w:t>
            </w:r>
          </w:p>
        </w:tc>
        <w:tc>
          <w:tcPr>
            <w:tcW w:w="1862" w:type="pct"/>
          </w:tcPr>
          <w:p w14:paraId="259FA66F"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51</w:t>
            </w:r>
          </w:p>
        </w:tc>
        <w:tc>
          <w:tcPr>
            <w:tcW w:w="1861" w:type="pct"/>
          </w:tcPr>
          <w:p w14:paraId="78C0AE96"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r>
      <w:tr w:rsidR="00C342AC" w:rsidRPr="00842013" w14:paraId="4FC16614" w14:textId="77777777" w:rsidTr="007B68FE">
        <w:trPr>
          <w:cantSplit/>
          <w:trHeight w:val="290"/>
          <w:tblHeader/>
          <w:jc w:val="center"/>
        </w:trPr>
        <w:tc>
          <w:tcPr>
            <w:tcW w:w="1277" w:type="pct"/>
          </w:tcPr>
          <w:p w14:paraId="66A77CFA"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450 to 479 calendar days</w:t>
            </w:r>
          </w:p>
        </w:tc>
        <w:tc>
          <w:tcPr>
            <w:tcW w:w="1862" w:type="pct"/>
          </w:tcPr>
          <w:p w14:paraId="427268B9"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42</w:t>
            </w:r>
          </w:p>
        </w:tc>
        <w:tc>
          <w:tcPr>
            <w:tcW w:w="1861" w:type="pct"/>
          </w:tcPr>
          <w:p w14:paraId="3A285C3F"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w:t>
            </w:r>
          </w:p>
        </w:tc>
      </w:tr>
      <w:tr w:rsidR="00C342AC" w:rsidRPr="00842013" w14:paraId="2622B125" w14:textId="77777777" w:rsidTr="007B68FE">
        <w:trPr>
          <w:cantSplit/>
          <w:trHeight w:val="290"/>
          <w:tblHeader/>
          <w:jc w:val="center"/>
        </w:trPr>
        <w:tc>
          <w:tcPr>
            <w:tcW w:w="1277" w:type="pct"/>
          </w:tcPr>
          <w:p w14:paraId="4975ED66"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480 to 509 calendar days</w:t>
            </w:r>
          </w:p>
        </w:tc>
        <w:tc>
          <w:tcPr>
            <w:tcW w:w="1862" w:type="pct"/>
          </w:tcPr>
          <w:p w14:paraId="4C213D9E"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40</w:t>
            </w:r>
          </w:p>
        </w:tc>
        <w:tc>
          <w:tcPr>
            <w:tcW w:w="1861" w:type="pct"/>
          </w:tcPr>
          <w:p w14:paraId="3245AEE4"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w:t>
            </w:r>
          </w:p>
        </w:tc>
      </w:tr>
      <w:tr w:rsidR="00C342AC" w:rsidRPr="00842013" w14:paraId="6AB439E7" w14:textId="77777777" w:rsidTr="007B68FE">
        <w:trPr>
          <w:cantSplit/>
          <w:trHeight w:val="290"/>
          <w:tblHeader/>
          <w:jc w:val="center"/>
        </w:trPr>
        <w:tc>
          <w:tcPr>
            <w:tcW w:w="1277" w:type="pct"/>
          </w:tcPr>
          <w:p w14:paraId="1BF296DC"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510 to 539 calendar days</w:t>
            </w:r>
          </w:p>
        </w:tc>
        <w:tc>
          <w:tcPr>
            <w:tcW w:w="1862" w:type="pct"/>
          </w:tcPr>
          <w:p w14:paraId="44923529"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32</w:t>
            </w:r>
          </w:p>
        </w:tc>
        <w:tc>
          <w:tcPr>
            <w:tcW w:w="1861" w:type="pct"/>
          </w:tcPr>
          <w:p w14:paraId="380E4B6C"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w:t>
            </w:r>
          </w:p>
        </w:tc>
      </w:tr>
      <w:tr w:rsidR="00C342AC" w:rsidRPr="00842013" w14:paraId="42EFADA3" w14:textId="77777777" w:rsidTr="007B68FE">
        <w:trPr>
          <w:cantSplit/>
          <w:trHeight w:val="290"/>
          <w:tblHeader/>
          <w:jc w:val="center"/>
        </w:trPr>
        <w:tc>
          <w:tcPr>
            <w:tcW w:w="1277" w:type="pct"/>
          </w:tcPr>
          <w:p w14:paraId="1F1E38BF"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540 to 569 calendar days</w:t>
            </w:r>
          </w:p>
        </w:tc>
        <w:tc>
          <w:tcPr>
            <w:tcW w:w="1862" w:type="pct"/>
          </w:tcPr>
          <w:p w14:paraId="6573CB74"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24</w:t>
            </w:r>
          </w:p>
        </w:tc>
        <w:tc>
          <w:tcPr>
            <w:tcW w:w="1861" w:type="pct"/>
          </w:tcPr>
          <w:p w14:paraId="265119B4"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w:t>
            </w:r>
          </w:p>
        </w:tc>
      </w:tr>
      <w:tr w:rsidR="00C342AC" w:rsidRPr="00842013" w14:paraId="66218A5E" w14:textId="77777777" w:rsidTr="007B68FE">
        <w:trPr>
          <w:cantSplit/>
          <w:trHeight w:val="290"/>
          <w:tblHeader/>
          <w:jc w:val="center"/>
        </w:trPr>
        <w:tc>
          <w:tcPr>
            <w:tcW w:w="1277" w:type="pct"/>
          </w:tcPr>
          <w:p w14:paraId="7FE5200D"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570 to 599 calendar days</w:t>
            </w:r>
          </w:p>
        </w:tc>
        <w:tc>
          <w:tcPr>
            <w:tcW w:w="1862" w:type="pct"/>
          </w:tcPr>
          <w:p w14:paraId="140B8AC3"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21</w:t>
            </w:r>
          </w:p>
        </w:tc>
        <w:tc>
          <w:tcPr>
            <w:tcW w:w="1861" w:type="pct"/>
          </w:tcPr>
          <w:p w14:paraId="19D70E05"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w:t>
            </w:r>
          </w:p>
        </w:tc>
      </w:tr>
      <w:tr w:rsidR="00C342AC" w:rsidRPr="00842013" w14:paraId="506C3853" w14:textId="77777777" w:rsidTr="007B68FE">
        <w:trPr>
          <w:cantSplit/>
          <w:trHeight w:val="290"/>
          <w:tblHeader/>
          <w:jc w:val="center"/>
        </w:trPr>
        <w:tc>
          <w:tcPr>
            <w:tcW w:w="1277" w:type="pct"/>
          </w:tcPr>
          <w:p w14:paraId="2FC6385A"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600 to 629 calendar days</w:t>
            </w:r>
          </w:p>
        </w:tc>
        <w:tc>
          <w:tcPr>
            <w:tcW w:w="1862" w:type="pct"/>
          </w:tcPr>
          <w:p w14:paraId="626CA65E"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11</w:t>
            </w:r>
          </w:p>
        </w:tc>
        <w:tc>
          <w:tcPr>
            <w:tcW w:w="1861" w:type="pct"/>
          </w:tcPr>
          <w:p w14:paraId="7D373D89"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w:t>
            </w:r>
          </w:p>
        </w:tc>
      </w:tr>
      <w:tr w:rsidR="00C342AC" w:rsidRPr="00842013" w14:paraId="445E066F" w14:textId="77777777" w:rsidTr="007B68FE">
        <w:trPr>
          <w:cantSplit/>
          <w:trHeight w:val="290"/>
          <w:tblHeader/>
          <w:jc w:val="center"/>
        </w:trPr>
        <w:tc>
          <w:tcPr>
            <w:tcW w:w="1277" w:type="pct"/>
          </w:tcPr>
          <w:p w14:paraId="62B9A908"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630 to 659 calendar days</w:t>
            </w:r>
          </w:p>
        </w:tc>
        <w:tc>
          <w:tcPr>
            <w:tcW w:w="1862" w:type="pct"/>
          </w:tcPr>
          <w:p w14:paraId="079692CB"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19</w:t>
            </w:r>
          </w:p>
        </w:tc>
        <w:tc>
          <w:tcPr>
            <w:tcW w:w="1861" w:type="pct"/>
          </w:tcPr>
          <w:p w14:paraId="368A2507"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w:t>
            </w:r>
          </w:p>
        </w:tc>
      </w:tr>
      <w:tr w:rsidR="00C342AC" w:rsidRPr="00842013" w14:paraId="5C41530A" w14:textId="77777777" w:rsidTr="007B68FE">
        <w:trPr>
          <w:cantSplit/>
          <w:trHeight w:val="290"/>
          <w:tblHeader/>
          <w:jc w:val="center"/>
        </w:trPr>
        <w:tc>
          <w:tcPr>
            <w:tcW w:w="1277" w:type="pct"/>
          </w:tcPr>
          <w:p w14:paraId="6629A870"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660 to 689 calendar days</w:t>
            </w:r>
          </w:p>
        </w:tc>
        <w:tc>
          <w:tcPr>
            <w:tcW w:w="1862" w:type="pct"/>
          </w:tcPr>
          <w:p w14:paraId="672FC1E7"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w:t>
            </w:r>
          </w:p>
        </w:tc>
        <w:tc>
          <w:tcPr>
            <w:tcW w:w="1861" w:type="pct"/>
          </w:tcPr>
          <w:p w14:paraId="2E2EA65E"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r>
      <w:tr w:rsidR="00C342AC" w:rsidRPr="00842013" w14:paraId="3E311E08" w14:textId="77777777" w:rsidTr="007B68FE">
        <w:trPr>
          <w:cantSplit/>
          <w:trHeight w:val="290"/>
          <w:tblHeader/>
          <w:jc w:val="center"/>
        </w:trPr>
        <w:tc>
          <w:tcPr>
            <w:tcW w:w="1277" w:type="pct"/>
          </w:tcPr>
          <w:p w14:paraId="511B82DE"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690 to 719 calendar days</w:t>
            </w:r>
          </w:p>
        </w:tc>
        <w:tc>
          <w:tcPr>
            <w:tcW w:w="1862" w:type="pct"/>
          </w:tcPr>
          <w:p w14:paraId="27786F7E"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13</w:t>
            </w:r>
          </w:p>
        </w:tc>
        <w:tc>
          <w:tcPr>
            <w:tcW w:w="1861" w:type="pct"/>
          </w:tcPr>
          <w:p w14:paraId="5259FD61"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w:t>
            </w:r>
          </w:p>
        </w:tc>
      </w:tr>
      <w:tr w:rsidR="00C342AC" w:rsidRPr="00842013" w14:paraId="1F106F59" w14:textId="77777777" w:rsidTr="007B68FE">
        <w:trPr>
          <w:cantSplit/>
          <w:trHeight w:val="302"/>
          <w:tblHeader/>
          <w:jc w:val="center"/>
        </w:trPr>
        <w:tc>
          <w:tcPr>
            <w:tcW w:w="1277" w:type="pct"/>
          </w:tcPr>
          <w:p w14:paraId="7D59E900"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720 to 749 calendar days</w:t>
            </w:r>
          </w:p>
        </w:tc>
        <w:tc>
          <w:tcPr>
            <w:tcW w:w="1862" w:type="pct"/>
          </w:tcPr>
          <w:p w14:paraId="7D4CABDE"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w:t>
            </w:r>
          </w:p>
        </w:tc>
        <w:tc>
          <w:tcPr>
            <w:tcW w:w="1861" w:type="pct"/>
          </w:tcPr>
          <w:p w14:paraId="016A620E"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r>
      <w:tr w:rsidR="00C342AC" w:rsidRPr="00842013" w14:paraId="0D611825" w14:textId="77777777" w:rsidTr="007B68FE">
        <w:trPr>
          <w:cantSplit/>
          <w:trHeight w:val="290"/>
          <w:tblHeader/>
          <w:jc w:val="center"/>
        </w:trPr>
        <w:tc>
          <w:tcPr>
            <w:tcW w:w="1277" w:type="pct"/>
          </w:tcPr>
          <w:p w14:paraId="548C753C"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750 to 779 calendar days</w:t>
            </w:r>
          </w:p>
        </w:tc>
        <w:tc>
          <w:tcPr>
            <w:tcW w:w="1862" w:type="pct"/>
          </w:tcPr>
          <w:p w14:paraId="2B7A58B6"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w:t>
            </w:r>
          </w:p>
        </w:tc>
        <w:tc>
          <w:tcPr>
            <w:tcW w:w="1861" w:type="pct"/>
          </w:tcPr>
          <w:p w14:paraId="0FAA16C3"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r>
      <w:tr w:rsidR="00C342AC" w:rsidRPr="00842013" w14:paraId="20EFB7B3" w14:textId="77777777" w:rsidTr="007B68FE">
        <w:trPr>
          <w:cantSplit/>
          <w:trHeight w:val="290"/>
          <w:tblHeader/>
          <w:jc w:val="center"/>
        </w:trPr>
        <w:tc>
          <w:tcPr>
            <w:tcW w:w="1277" w:type="pct"/>
          </w:tcPr>
          <w:p w14:paraId="60E7FAD0"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780 to 809 calendar days</w:t>
            </w:r>
          </w:p>
        </w:tc>
        <w:tc>
          <w:tcPr>
            <w:tcW w:w="1862" w:type="pct"/>
          </w:tcPr>
          <w:p w14:paraId="3E8DE052"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8</w:t>
            </w:r>
          </w:p>
        </w:tc>
        <w:tc>
          <w:tcPr>
            <w:tcW w:w="1861" w:type="pct"/>
          </w:tcPr>
          <w:p w14:paraId="63E36CB3"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w:t>
            </w:r>
          </w:p>
        </w:tc>
      </w:tr>
      <w:tr w:rsidR="00C342AC" w:rsidRPr="00842013" w14:paraId="674DC8D0" w14:textId="77777777" w:rsidTr="007B68FE">
        <w:trPr>
          <w:cantSplit/>
          <w:trHeight w:val="290"/>
          <w:tblHeader/>
          <w:jc w:val="center"/>
        </w:trPr>
        <w:tc>
          <w:tcPr>
            <w:tcW w:w="1277" w:type="pct"/>
          </w:tcPr>
          <w:p w14:paraId="27671D3A"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810 to 839 calendar days</w:t>
            </w:r>
          </w:p>
        </w:tc>
        <w:tc>
          <w:tcPr>
            <w:tcW w:w="1862" w:type="pct"/>
          </w:tcPr>
          <w:p w14:paraId="39D913AF"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4</w:t>
            </w:r>
          </w:p>
        </w:tc>
        <w:tc>
          <w:tcPr>
            <w:tcW w:w="1861" w:type="pct"/>
          </w:tcPr>
          <w:p w14:paraId="57D503B4"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r>
      <w:tr w:rsidR="00C342AC" w:rsidRPr="00842013" w14:paraId="10509563" w14:textId="77777777" w:rsidTr="007B68FE">
        <w:trPr>
          <w:cantSplit/>
          <w:trHeight w:val="290"/>
          <w:tblHeader/>
          <w:jc w:val="center"/>
        </w:trPr>
        <w:tc>
          <w:tcPr>
            <w:tcW w:w="1277" w:type="pct"/>
          </w:tcPr>
          <w:p w14:paraId="2E1DB6FE"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840 to 869 calendar days</w:t>
            </w:r>
          </w:p>
        </w:tc>
        <w:tc>
          <w:tcPr>
            <w:tcW w:w="1862" w:type="pct"/>
          </w:tcPr>
          <w:p w14:paraId="45020989"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10</w:t>
            </w:r>
          </w:p>
        </w:tc>
        <w:tc>
          <w:tcPr>
            <w:tcW w:w="1861" w:type="pct"/>
          </w:tcPr>
          <w:p w14:paraId="7A34AFBF"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r>
      <w:tr w:rsidR="00C342AC" w:rsidRPr="00842013" w14:paraId="0D33C0DA" w14:textId="77777777" w:rsidTr="007B68FE">
        <w:trPr>
          <w:cantSplit/>
          <w:trHeight w:val="290"/>
          <w:tblHeader/>
          <w:jc w:val="center"/>
        </w:trPr>
        <w:tc>
          <w:tcPr>
            <w:tcW w:w="1277" w:type="pct"/>
          </w:tcPr>
          <w:p w14:paraId="7E7FBB12"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870 to 899 calendar days</w:t>
            </w:r>
          </w:p>
        </w:tc>
        <w:tc>
          <w:tcPr>
            <w:tcW w:w="1862" w:type="pct"/>
          </w:tcPr>
          <w:p w14:paraId="0538A604"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4</w:t>
            </w:r>
          </w:p>
        </w:tc>
        <w:tc>
          <w:tcPr>
            <w:tcW w:w="1861" w:type="pct"/>
          </w:tcPr>
          <w:p w14:paraId="6945A052"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w:t>
            </w:r>
          </w:p>
        </w:tc>
      </w:tr>
      <w:tr w:rsidR="00C342AC" w:rsidRPr="00842013" w14:paraId="57A3CD1D" w14:textId="77777777" w:rsidTr="007B68FE">
        <w:trPr>
          <w:cantSplit/>
          <w:trHeight w:val="290"/>
          <w:tblHeader/>
          <w:jc w:val="center"/>
        </w:trPr>
        <w:tc>
          <w:tcPr>
            <w:tcW w:w="1277" w:type="pct"/>
          </w:tcPr>
          <w:p w14:paraId="157A1F93"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900 to 929 calendar days</w:t>
            </w:r>
          </w:p>
        </w:tc>
        <w:tc>
          <w:tcPr>
            <w:tcW w:w="1862" w:type="pct"/>
          </w:tcPr>
          <w:p w14:paraId="0919FC9C"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w:t>
            </w:r>
          </w:p>
        </w:tc>
        <w:tc>
          <w:tcPr>
            <w:tcW w:w="1861" w:type="pct"/>
          </w:tcPr>
          <w:p w14:paraId="44FC949C"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w:t>
            </w:r>
          </w:p>
        </w:tc>
      </w:tr>
      <w:tr w:rsidR="00C342AC" w:rsidRPr="00842013" w14:paraId="3E781618" w14:textId="77777777" w:rsidTr="007B68FE">
        <w:trPr>
          <w:cantSplit/>
          <w:trHeight w:val="290"/>
          <w:tblHeader/>
          <w:jc w:val="center"/>
        </w:trPr>
        <w:tc>
          <w:tcPr>
            <w:tcW w:w="1277" w:type="pct"/>
          </w:tcPr>
          <w:p w14:paraId="4200C8E5"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930 to 959 calendar days</w:t>
            </w:r>
          </w:p>
        </w:tc>
        <w:tc>
          <w:tcPr>
            <w:tcW w:w="1862" w:type="pct"/>
          </w:tcPr>
          <w:p w14:paraId="3327E098"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w:t>
            </w:r>
          </w:p>
        </w:tc>
        <w:tc>
          <w:tcPr>
            <w:tcW w:w="1861" w:type="pct"/>
          </w:tcPr>
          <w:p w14:paraId="1BDFF42C"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r>
      <w:tr w:rsidR="00C342AC" w:rsidRPr="00842013" w14:paraId="38F8F32A" w14:textId="77777777" w:rsidTr="007B68FE">
        <w:trPr>
          <w:cantSplit/>
          <w:trHeight w:val="290"/>
          <w:tblHeader/>
          <w:jc w:val="center"/>
        </w:trPr>
        <w:tc>
          <w:tcPr>
            <w:tcW w:w="1277" w:type="pct"/>
          </w:tcPr>
          <w:p w14:paraId="1FF4615A"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960 to 989 calendar days</w:t>
            </w:r>
          </w:p>
        </w:tc>
        <w:tc>
          <w:tcPr>
            <w:tcW w:w="1862" w:type="pct"/>
          </w:tcPr>
          <w:p w14:paraId="7D4769DF"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w:t>
            </w:r>
          </w:p>
        </w:tc>
        <w:tc>
          <w:tcPr>
            <w:tcW w:w="1861" w:type="pct"/>
          </w:tcPr>
          <w:p w14:paraId="37B58859"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r>
      <w:tr w:rsidR="00C342AC" w:rsidRPr="00842013" w14:paraId="45993514" w14:textId="77777777" w:rsidTr="007B68FE">
        <w:trPr>
          <w:cantSplit/>
          <w:trHeight w:val="290"/>
          <w:tblHeader/>
          <w:jc w:val="center"/>
        </w:trPr>
        <w:tc>
          <w:tcPr>
            <w:tcW w:w="1277" w:type="pct"/>
          </w:tcPr>
          <w:p w14:paraId="41957743" w14:textId="77777777" w:rsidR="00C342AC" w:rsidRPr="00842013" w:rsidRDefault="00C342AC"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More than 990 calendar days</w:t>
            </w:r>
          </w:p>
        </w:tc>
        <w:tc>
          <w:tcPr>
            <w:tcW w:w="1862" w:type="pct"/>
          </w:tcPr>
          <w:p w14:paraId="1E0D197D"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23</w:t>
            </w:r>
          </w:p>
        </w:tc>
        <w:tc>
          <w:tcPr>
            <w:tcW w:w="1861" w:type="pct"/>
          </w:tcPr>
          <w:p w14:paraId="77978335" w14:textId="77777777" w:rsidR="00C342AC" w:rsidRPr="00842013" w:rsidRDefault="00C342AC"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w:t>
            </w:r>
          </w:p>
        </w:tc>
      </w:tr>
    </w:tbl>
    <w:p w14:paraId="3EDFB03F" w14:textId="77777777" w:rsidR="00562F85" w:rsidRPr="00842013" w:rsidRDefault="00562F85" w:rsidP="00842013">
      <w:pPr>
        <w:spacing w:before="120" w:after="120"/>
        <w:rPr>
          <w:rFonts w:ascii="Arial" w:hAnsi="Arial" w:cs="Arial"/>
          <w:sz w:val="22"/>
          <w:szCs w:val="22"/>
          <w:lang w:val="en-CA"/>
        </w:rPr>
        <w:sectPr w:rsidR="00562F85" w:rsidRPr="00842013" w:rsidSect="00934B32">
          <w:footnotePr>
            <w:numFmt w:val="lowerLetter"/>
          </w:footnotePr>
          <w:endnotePr>
            <w:numFmt w:val="lowerLetter"/>
          </w:endnotePr>
          <w:pgSz w:w="24480" w:h="15840" w:orient="landscape" w:code="3"/>
          <w:pgMar w:top="1440" w:right="1080" w:bottom="1440" w:left="1080" w:header="284" w:footer="284" w:gutter="0"/>
          <w:cols w:space="720"/>
          <w:docGrid w:linePitch="326"/>
        </w:sectPr>
      </w:pPr>
    </w:p>
    <w:p w14:paraId="030AB83D" w14:textId="77777777" w:rsidR="00340D6C" w:rsidRPr="00340D6C" w:rsidRDefault="00340D6C" w:rsidP="00340D6C">
      <w:pPr>
        <w:pStyle w:val="Titre1"/>
        <w:spacing w:before="120" w:after="120"/>
        <w:rPr>
          <w:sz w:val="40"/>
          <w:szCs w:val="40"/>
          <w:lang w:val="en-CA" w:eastAsia="en-CA"/>
        </w:rPr>
      </w:pPr>
      <w:r w:rsidRPr="00340D6C">
        <w:rPr>
          <w:sz w:val="40"/>
          <w:szCs w:val="40"/>
          <w:lang w:val="en-CA" w:eastAsia="en-CA"/>
        </w:rPr>
        <w:lastRenderedPageBreak/>
        <w:t>External time to staff</w:t>
      </w:r>
    </w:p>
    <w:p w14:paraId="71E3AE30" w14:textId="75095DA2" w:rsidR="00EE2D8D" w:rsidRPr="00842013" w:rsidRDefault="00562F85" w:rsidP="00842013">
      <w:pPr>
        <w:keepNext/>
        <w:spacing w:before="120" w:after="120"/>
        <w:rPr>
          <w:lang w:val="en-CA"/>
        </w:rPr>
      </w:pPr>
      <w:r w:rsidRPr="00842013">
        <w:rPr>
          <w:rStyle w:val="lev"/>
          <w:noProof/>
          <w:lang w:val="en-CA" w:eastAsia="en-CA"/>
        </w:rPr>
        <w:drawing>
          <wp:inline distT="0" distB="0" distL="0" distR="0" wp14:anchorId="0993D23E" wp14:editId="2552C3E8">
            <wp:extent cx="5648400" cy="3049200"/>
            <wp:effectExtent l="0" t="0" r="9525" b="18415"/>
            <wp:docPr id="21" name="Chart 21" descr="Figure 14 - External time to staff Public service median = 186 days 2018-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EE2D8D" w:rsidRPr="00842013">
        <w:rPr>
          <w:rStyle w:val="lev"/>
          <w:noProof/>
          <w:lang w:val="en-CA" w:eastAsia="en-CA"/>
        </w:rPr>
        <w:drawing>
          <wp:inline distT="0" distB="0" distL="0" distR="0" wp14:anchorId="035A1407" wp14:editId="063B062B">
            <wp:extent cx="5648400" cy="3049200"/>
            <wp:effectExtent l="0" t="0" r="9525" b="18415"/>
            <wp:docPr id="11" name="Chart 11" descr="Figure 15 - External time to staff Health Canada = 193 days 2018-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6B9F4CF" w14:textId="38B0824D" w:rsidR="00562F85" w:rsidRPr="00842013" w:rsidRDefault="00EE2D8D" w:rsidP="00920412">
      <w:pPr>
        <w:pStyle w:val="Lgende"/>
        <w:tabs>
          <w:tab w:val="left" w:pos="8931"/>
        </w:tabs>
        <w:rPr>
          <w:rFonts w:cstheme="minorHAnsi"/>
        </w:rPr>
      </w:pPr>
      <w:r w:rsidRPr="00842013">
        <w:rPr>
          <w:rFonts w:cstheme="minorHAnsi"/>
        </w:rPr>
        <w:t xml:space="preserve">Figure </w:t>
      </w:r>
      <w:r w:rsidRPr="00842013">
        <w:rPr>
          <w:rFonts w:cstheme="minorHAnsi"/>
        </w:rPr>
        <w:fldChar w:fldCharType="begin"/>
      </w:r>
      <w:r w:rsidRPr="00842013">
        <w:rPr>
          <w:rFonts w:cstheme="minorHAnsi"/>
        </w:rPr>
        <w:instrText xml:space="preserve"> SEQ Figure \* ARABIC </w:instrText>
      </w:r>
      <w:r w:rsidRPr="00842013">
        <w:rPr>
          <w:rFonts w:cstheme="minorHAnsi"/>
        </w:rPr>
        <w:fldChar w:fldCharType="separate"/>
      </w:r>
      <w:r w:rsidR="00200978" w:rsidRPr="00842013">
        <w:rPr>
          <w:rFonts w:cstheme="minorHAnsi"/>
          <w:noProof/>
        </w:rPr>
        <w:t>14</w:t>
      </w:r>
      <w:r w:rsidRPr="00842013">
        <w:rPr>
          <w:rFonts w:cstheme="minorHAnsi"/>
        </w:rPr>
        <w:fldChar w:fldCharType="end"/>
      </w:r>
      <w:r w:rsidRPr="00842013">
        <w:rPr>
          <w:rFonts w:cstheme="minorHAnsi"/>
        </w:rPr>
        <w:t xml:space="preserve"> - External time to staff Public service median = 186 days 2018-19</w:t>
      </w:r>
      <w:r w:rsidRPr="00842013">
        <w:rPr>
          <w:rFonts w:cstheme="minorHAnsi"/>
        </w:rPr>
        <w:tab/>
        <w:t xml:space="preserve">Figure </w:t>
      </w:r>
      <w:r w:rsidRPr="00842013">
        <w:rPr>
          <w:rFonts w:cstheme="minorHAnsi"/>
        </w:rPr>
        <w:fldChar w:fldCharType="begin"/>
      </w:r>
      <w:r w:rsidRPr="00842013">
        <w:rPr>
          <w:rFonts w:cstheme="minorHAnsi"/>
        </w:rPr>
        <w:instrText xml:space="preserve"> SEQ Figure \* ARABIC </w:instrText>
      </w:r>
      <w:r w:rsidRPr="00842013">
        <w:rPr>
          <w:rFonts w:cstheme="minorHAnsi"/>
        </w:rPr>
        <w:fldChar w:fldCharType="separate"/>
      </w:r>
      <w:r w:rsidR="00200978" w:rsidRPr="00842013">
        <w:rPr>
          <w:rFonts w:cstheme="minorHAnsi"/>
          <w:noProof/>
        </w:rPr>
        <w:t>15</w:t>
      </w:r>
      <w:r w:rsidRPr="00842013">
        <w:rPr>
          <w:rFonts w:cstheme="minorHAnsi"/>
        </w:rPr>
        <w:fldChar w:fldCharType="end"/>
      </w:r>
      <w:r w:rsidRPr="00842013">
        <w:rPr>
          <w:rFonts w:cstheme="minorHAnsi"/>
        </w:rPr>
        <w:t xml:space="preserve"> - External time to staff Health Canada = 193 days 2018-19</w:t>
      </w:r>
    </w:p>
    <w:p w14:paraId="3EC41616" w14:textId="12034A9D" w:rsidR="004824BB" w:rsidRDefault="00B45CC8" w:rsidP="00842013">
      <w:pPr>
        <w:spacing w:before="120" w:after="120"/>
        <w:rPr>
          <w:rFonts w:ascii="Segoe UI Semilight" w:eastAsiaTheme="minorHAnsi" w:hAnsi="Segoe UI Semilight" w:cs="Segoe UI Semilight"/>
          <w:bCs/>
          <w:sz w:val="22"/>
          <w:szCs w:val="22"/>
          <w:lang w:val="en-CA"/>
        </w:rPr>
      </w:pPr>
      <w:hyperlink w:anchor="External_time_to_staff" w:history="1">
        <w:r w:rsidR="004824BB" w:rsidRPr="004824BB">
          <w:rPr>
            <w:rStyle w:val="Lienhypertexte"/>
            <w:rFonts w:ascii="Segoe UI Semilight" w:eastAsiaTheme="minorHAnsi" w:hAnsi="Segoe UI Semilight" w:cs="Segoe UI Semilight"/>
            <w:bCs/>
            <w:sz w:val="22"/>
            <w:szCs w:val="22"/>
            <w:lang w:val="en-CA"/>
          </w:rPr>
          <w:t>External time to staff data table available here</w:t>
        </w:r>
      </w:hyperlink>
    </w:p>
    <w:p w14:paraId="6763CE8F" w14:textId="77777777" w:rsidR="004824BB" w:rsidRDefault="004824BB" w:rsidP="004824BB">
      <w:pPr>
        <w:spacing w:before="120" w:after="120"/>
        <w:rPr>
          <w:rFonts w:asciiTheme="minorHAnsi" w:eastAsiaTheme="minorHAnsi" w:hAnsiTheme="minorHAnsi" w:cstheme="minorHAnsi"/>
          <w:sz w:val="22"/>
          <w:szCs w:val="22"/>
          <w:lang w:val="en-CA"/>
        </w:rPr>
        <w:sectPr w:rsidR="004824BB" w:rsidSect="00934B32">
          <w:footnotePr>
            <w:numFmt w:val="lowerLetter"/>
          </w:footnotePr>
          <w:endnotePr>
            <w:numFmt w:val="lowerLetter"/>
          </w:endnotePr>
          <w:pgSz w:w="20160" w:h="12240" w:orient="landscape" w:code="5"/>
          <w:pgMar w:top="1440" w:right="1080" w:bottom="1440" w:left="1080" w:header="284" w:footer="284" w:gutter="0"/>
          <w:cols w:space="720"/>
          <w:docGrid w:linePitch="326"/>
        </w:sectPr>
      </w:pPr>
    </w:p>
    <w:p w14:paraId="78AF15A9" w14:textId="17B07421" w:rsidR="004824BB" w:rsidRPr="00842013" w:rsidRDefault="004824BB" w:rsidP="004824BB">
      <w:pPr>
        <w:spacing w:before="120" w:after="120"/>
        <w:rPr>
          <w:rFonts w:asciiTheme="minorHAnsi" w:eastAsiaTheme="minorHAnsi" w:hAnsiTheme="minorHAnsi" w:cstheme="minorHAnsi"/>
          <w:sz w:val="22"/>
          <w:szCs w:val="22"/>
          <w:lang w:val="en-CA"/>
        </w:rPr>
      </w:pPr>
      <w:r w:rsidRPr="00842013">
        <w:rPr>
          <w:rFonts w:asciiTheme="minorHAnsi" w:eastAsiaTheme="minorHAnsi" w:hAnsiTheme="minorHAnsi" w:cstheme="minorHAnsi"/>
          <w:sz w:val="22"/>
          <w:szCs w:val="22"/>
          <w:lang w:val="en-CA"/>
        </w:rPr>
        <w:t>The median external time to staff for the public service (organizations subject to the Public Service Employment Act) for fiscal year 2018 to 2019 is 186 days.</w:t>
      </w:r>
    </w:p>
    <w:p w14:paraId="5376EA85" w14:textId="03902E40" w:rsidR="0044032F" w:rsidRPr="00842013" w:rsidRDefault="0044032F" w:rsidP="00842013">
      <w:pPr>
        <w:spacing w:before="120" w:after="120"/>
        <w:rPr>
          <w:rStyle w:val="lev"/>
          <w:rFonts w:eastAsiaTheme="minorHAnsi"/>
          <w:lang w:val="en-CA"/>
        </w:rPr>
      </w:pPr>
      <w:r w:rsidRPr="00842013">
        <w:rPr>
          <w:rStyle w:val="lev"/>
          <w:rFonts w:eastAsiaTheme="minorHAnsi"/>
          <w:lang w:val="en-CA"/>
        </w:rPr>
        <w:t>External time to staff for fiscal year 2018 to 2019</w:t>
      </w:r>
    </w:p>
    <w:p w14:paraId="0F75BCE7" w14:textId="21A85364" w:rsidR="0044032F" w:rsidRPr="00842013" w:rsidRDefault="0044032F" w:rsidP="00842013">
      <w:pPr>
        <w:spacing w:before="120" w:after="120"/>
        <w:rPr>
          <w:rFonts w:asciiTheme="minorHAnsi" w:eastAsiaTheme="minorHAnsi" w:hAnsiTheme="minorHAnsi" w:cstheme="minorHAnsi"/>
          <w:bCs/>
          <w:sz w:val="22"/>
          <w:szCs w:val="22"/>
          <w:lang w:val="en-CA"/>
        </w:rPr>
      </w:pPr>
      <w:r w:rsidRPr="00842013">
        <w:rPr>
          <w:rFonts w:asciiTheme="minorHAnsi" w:eastAsiaTheme="minorHAnsi" w:hAnsiTheme="minorHAnsi" w:cstheme="minorHAnsi"/>
          <w:sz w:val="22"/>
          <w:szCs w:val="22"/>
          <w:lang w:val="en-CA"/>
        </w:rPr>
        <w:t>Health Canada’s median external time to staff for fiscal year 2018 to 2019 is 193 days</w:t>
      </w:r>
    </w:p>
    <w:p w14:paraId="1D293328" w14:textId="77777777" w:rsidR="00200978" w:rsidRPr="00842013" w:rsidRDefault="00200978" w:rsidP="00842013">
      <w:pPr>
        <w:spacing w:before="120" w:after="120"/>
        <w:rPr>
          <w:rFonts w:asciiTheme="minorHAnsi" w:eastAsiaTheme="minorHAnsi" w:hAnsiTheme="minorHAnsi" w:cstheme="minorHAnsi"/>
          <w:b/>
          <w:sz w:val="22"/>
          <w:szCs w:val="22"/>
          <w:lang w:val="en-CA"/>
        </w:rPr>
        <w:sectPr w:rsidR="00200978" w:rsidRPr="00842013" w:rsidSect="004824BB">
          <w:footnotePr>
            <w:numFmt w:val="lowerLetter"/>
          </w:footnotePr>
          <w:endnotePr>
            <w:numFmt w:val="lowerLetter"/>
          </w:endnotePr>
          <w:type w:val="continuous"/>
          <w:pgSz w:w="20160" w:h="12240" w:orient="landscape" w:code="5"/>
          <w:pgMar w:top="1440" w:right="1080" w:bottom="1440" w:left="1080" w:header="284" w:footer="284" w:gutter="0"/>
          <w:cols w:num="2" w:space="720"/>
          <w:docGrid w:linePitch="326"/>
        </w:sectPr>
      </w:pPr>
    </w:p>
    <w:p w14:paraId="015DCA0A" w14:textId="77777777" w:rsidR="00200978" w:rsidRPr="00842013" w:rsidRDefault="00200978" w:rsidP="00842013">
      <w:pPr>
        <w:spacing w:before="120" w:after="120"/>
        <w:rPr>
          <w:rFonts w:ascii="Segoe UI Semilight" w:eastAsiaTheme="minorHAnsi" w:hAnsi="Segoe UI Semilight" w:cs="Segoe UI Semilight"/>
          <w:b/>
          <w:bCs/>
          <w:color w:val="A7AAAD" w:themeColor="text1" w:themeTint="80"/>
          <w:szCs w:val="24"/>
          <w:lang w:val="en-CA"/>
        </w:rPr>
        <w:sectPr w:rsidR="00200978" w:rsidRPr="00842013" w:rsidSect="00934B32">
          <w:footnotePr>
            <w:numFmt w:val="lowerLetter"/>
          </w:footnotePr>
          <w:endnotePr>
            <w:numFmt w:val="lowerLetter"/>
          </w:endnotePr>
          <w:type w:val="continuous"/>
          <w:pgSz w:w="20160" w:h="12240" w:orient="landscape" w:code="5"/>
          <w:pgMar w:top="1440" w:right="1080" w:bottom="1440" w:left="1080" w:header="284" w:footer="284" w:gutter="0"/>
          <w:cols w:num="2" w:space="720"/>
          <w:docGrid w:linePitch="326"/>
        </w:sectPr>
      </w:pPr>
    </w:p>
    <w:p w14:paraId="425C8E1B" w14:textId="767E265E" w:rsidR="00340D6C" w:rsidRPr="00340D6C" w:rsidRDefault="00340D6C" w:rsidP="00340D6C">
      <w:pPr>
        <w:pStyle w:val="Titre1"/>
        <w:spacing w:before="120" w:after="120"/>
        <w:rPr>
          <w:sz w:val="40"/>
          <w:szCs w:val="40"/>
        </w:rPr>
      </w:pPr>
      <w:bookmarkStart w:id="3" w:name="External_time_to_staff"/>
      <w:r w:rsidRPr="00340D6C">
        <w:rPr>
          <w:sz w:val="40"/>
          <w:szCs w:val="40"/>
        </w:rPr>
        <w:lastRenderedPageBreak/>
        <w:t>External time to staff</w:t>
      </w:r>
    </w:p>
    <w:p w14:paraId="01AE3E8D" w14:textId="0A631C2C" w:rsidR="002A0977" w:rsidRDefault="002A0977" w:rsidP="002A0977">
      <w:pPr>
        <w:pStyle w:val="Lgende"/>
        <w:keepNext/>
      </w:pPr>
      <w:r>
        <w:t xml:space="preserve">Table </w:t>
      </w:r>
      <w:r w:rsidR="00934B32">
        <w:rPr>
          <w:noProof/>
        </w:rPr>
        <w:fldChar w:fldCharType="begin"/>
      </w:r>
      <w:r w:rsidR="00934B32">
        <w:rPr>
          <w:noProof/>
        </w:rPr>
        <w:instrText xml:space="preserve"> SEQ Table \* ARABIC </w:instrText>
      </w:r>
      <w:r w:rsidR="00934B32">
        <w:rPr>
          <w:noProof/>
        </w:rPr>
        <w:fldChar w:fldCharType="separate"/>
      </w:r>
      <w:r>
        <w:rPr>
          <w:noProof/>
        </w:rPr>
        <w:t>16</w:t>
      </w:r>
      <w:r w:rsidR="00934B32">
        <w:rPr>
          <w:noProof/>
        </w:rPr>
        <w:fldChar w:fldCharType="end"/>
      </w:r>
      <w:r>
        <w:t xml:space="preserve"> - External time to staff</w:t>
      </w:r>
    </w:p>
    <w:tbl>
      <w:tblPr>
        <w:tblStyle w:val="TableGrid3"/>
        <w:tblW w:w="5000" w:type="pct"/>
        <w:tblLook w:val="0020" w:firstRow="1" w:lastRow="0" w:firstColumn="0" w:lastColumn="0" w:noHBand="0" w:noVBand="0"/>
        <w:tblDescription w:val="External time to staff"/>
      </w:tblPr>
      <w:tblGrid>
        <w:gridCol w:w="5876"/>
        <w:gridCol w:w="8496"/>
        <w:gridCol w:w="7938"/>
      </w:tblGrid>
      <w:tr w:rsidR="00200978" w:rsidRPr="00842013" w14:paraId="7A119C2F" w14:textId="77777777" w:rsidTr="007B68FE">
        <w:trPr>
          <w:trHeight w:val="290"/>
          <w:tblHeader/>
        </w:trPr>
        <w:tc>
          <w:tcPr>
            <w:tcW w:w="1317" w:type="pct"/>
          </w:tcPr>
          <w:bookmarkEnd w:id="3"/>
          <w:p w14:paraId="640A51D0" w14:textId="77777777" w:rsidR="00200978" w:rsidRPr="00842013" w:rsidRDefault="00200978" w:rsidP="00261EBB">
            <w:pPr>
              <w:pStyle w:val="TableTitle"/>
              <w:spacing w:before="120" w:after="120"/>
              <w:contextualSpacing/>
              <w:rPr>
                <w:rFonts w:eastAsiaTheme="minorHAnsi"/>
                <w:lang w:val="en-CA"/>
              </w:rPr>
            </w:pPr>
            <w:r w:rsidRPr="00842013">
              <w:rPr>
                <w:rFonts w:eastAsiaTheme="minorHAnsi"/>
                <w:lang w:val="en-CA"/>
              </w:rPr>
              <w:t>Number of calendar days</w:t>
            </w:r>
          </w:p>
        </w:tc>
        <w:tc>
          <w:tcPr>
            <w:tcW w:w="1904" w:type="pct"/>
          </w:tcPr>
          <w:p w14:paraId="27C52739" w14:textId="77777777" w:rsidR="00200978" w:rsidRPr="00842013" w:rsidRDefault="00200978" w:rsidP="00261EBB">
            <w:pPr>
              <w:pStyle w:val="TableTitle"/>
              <w:spacing w:before="120" w:after="120"/>
              <w:contextualSpacing/>
              <w:rPr>
                <w:rFonts w:eastAsiaTheme="minorHAnsi"/>
                <w:lang w:val="en-CA"/>
              </w:rPr>
            </w:pPr>
            <w:r w:rsidRPr="00842013">
              <w:rPr>
                <w:rFonts w:eastAsiaTheme="minorHAnsi"/>
                <w:lang w:val="en-CA"/>
              </w:rPr>
              <w:t xml:space="preserve">The number of external appointment processes for which the TTS-EA was within the specified number of calendar days for organizations subject to the </w:t>
            </w:r>
            <w:r w:rsidRPr="00842013">
              <w:rPr>
                <w:rFonts w:eastAsiaTheme="minorHAnsi"/>
                <w:i/>
                <w:lang w:val="en-CA"/>
              </w:rPr>
              <w:t>Public Service Employment Act</w:t>
            </w:r>
          </w:p>
        </w:tc>
        <w:tc>
          <w:tcPr>
            <w:tcW w:w="1779" w:type="pct"/>
          </w:tcPr>
          <w:p w14:paraId="517E6C67" w14:textId="77777777" w:rsidR="00200978" w:rsidRPr="00842013" w:rsidRDefault="00200978" w:rsidP="00261EBB">
            <w:pPr>
              <w:pStyle w:val="TableTitle"/>
              <w:spacing w:before="120" w:after="120"/>
              <w:contextualSpacing/>
              <w:rPr>
                <w:rFonts w:eastAsiaTheme="minorHAnsi"/>
                <w:lang w:val="en-CA"/>
              </w:rPr>
            </w:pPr>
            <w:r w:rsidRPr="00842013">
              <w:rPr>
                <w:rFonts w:eastAsiaTheme="minorHAnsi"/>
                <w:lang w:val="en-CA"/>
              </w:rPr>
              <w:t>The number of external appointment processes for which the TTS-EA was within the specified number of calendar days for the specified organization</w:t>
            </w:r>
          </w:p>
        </w:tc>
      </w:tr>
      <w:tr w:rsidR="00200978" w:rsidRPr="00842013" w14:paraId="45E65AF4" w14:textId="77777777" w:rsidTr="007B68FE">
        <w:trPr>
          <w:trHeight w:val="290"/>
          <w:tblHeader/>
        </w:trPr>
        <w:tc>
          <w:tcPr>
            <w:tcW w:w="1317" w:type="pct"/>
          </w:tcPr>
          <w:p w14:paraId="10A19F14"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 calendar days</w:t>
            </w:r>
          </w:p>
        </w:tc>
        <w:tc>
          <w:tcPr>
            <w:tcW w:w="1904" w:type="pct"/>
          </w:tcPr>
          <w:p w14:paraId="3AC1167E"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c>
          <w:tcPr>
            <w:tcW w:w="1779" w:type="pct"/>
          </w:tcPr>
          <w:p w14:paraId="1C88C47B"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r>
      <w:tr w:rsidR="00200978" w:rsidRPr="00842013" w14:paraId="59CFCC22" w14:textId="77777777" w:rsidTr="007B68FE">
        <w:trPr>
          <w:trHeight w:val="290"/>
          <w:tblHeader/>
        </w:trPr>
        <w:tc>
          <w:tcPr>
            <w:tcW w:w="1317" w:type="pct"/>
          </w:tcPr>
          <w:p w14:paraId="313C2C4A"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 to 29 calendar days</w:t>
            </w:r>
          </w:p>
        </w:tc>
        <w:tc>
          <w:tcPr>
            <w:tcW w:w="1904" w:type="pct"/>
          </w:tcPr>
          <w:p w14:paraId="37E0FCC9"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49</w:t>
            </w:r>
          </w:p>
        </w:tc>
        <w:tc>
          <w:tcPr>
            <w:tcW w:w="1779" w:type="pct"/>
          </w:tcPr>
          <w:p w14:paraId="4D4E8EF9"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4</w:t>
            </w:r>
          </w:p>
        </w:tc>
      </w:tr>
      <w:tr w:rsidR="00200978" w:rsidRPr="00842013" w14:paraId="2BA80805" w14:textId="77777777" w:rsidTr="007B68FE">
        <w:trPr>
          <w:trHeight w:val="290"/>
          <w:tblHeader/>
        </w:trPr>
        <w:tc>
          <w:tcPr>
            <w:tcW w:w="1317" w:type="pct"/>
          </w:tcPr>
          <w:p w14:paraId="13D720DA"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30 to 59 calendar days</w:t>
            </w:r>
          </w:p>
        </w:tc>
        <w:tc>
          <w:tcPr>
            <w:tcW w:w="1904" w:type="pct"/>
          </w:tcPr>
          <w:p w14:paraId="7013CD0B"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82</w:t>
            </w:r>
          </w:p>
        </w:tc>
        <w:tc>
          <w:tcPr>
            <w:tcW w:w="1779" w:type="pct"/>
          </w:tcPr>
          <w:p w14:paraId="42AE16A8"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w:t>
            </w:r>
          </w:p>
        </w:tc>
      </w:tr>
      <w:tr w:rsidR="00200978" w:rsidRPr="00842013" w14:paraId="60761861" w14:textId="77777777" w:rsidTr="007B68FE">
        <w:trPr>
          <w:trHeight w:val="290"/>
          <w:tblHeader/>
        </w:trPr>
        <w:tc>
          <w:tcPr>
            <w:tcW w:w="1317" w:type="pct"/>
          </w:tcPr>
          <w:p w14:paraId="68486B40"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60 to 89 calendar days</w:t>
            </w:r>
          </w:p>
        </w:tc>
        <w:tc>
          <w:tcPr>
            <w:tcW w:w="1904" w:type="pct"/>
          </w:tcPr>
          <w:p w14:paraId="68395741"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124</w:t>
            </w:r>
          </w:p>
        </w:tc>
        <w:tc>
          <w:tcPr>
            <w:tcW w:w="1779" w:type="pct"/>
          </w:tcPr>
          <w:p w14:paraId="7AD53599"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w:t>
            </w:r>
          </w:p>
        </w:tc>
      </w:tr>
      <w:tr w:rsidR="00200978" w:rsidRPr="00842013" w14:paraId="56917BB1" w14:textId="77777777" w:rsidTr="007B68FE">
        <w:trPr>
          <w:trHeight w:val="290"/>
          <w:tblHeader/>
        </w:trPr>
        <w:tc>
          <w:tcPr>
            <w:tcW w:w="1317" w:type="pct"/>
          </w:tcPr>
          <w:p w14:paraId="2D922D5C"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90 to 119 calendar days</w:t>
            </w:r>
          </w:p>
        </w:tc>
        <w:tc>
          <w:tcPr>
            <w:tcW w:w="1904" w:type="pct"/>
          </w:tcPr>
          <w:p w14:paraId="4567D477"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160</w:t>
            </w:r>
          </w:p>
        </w:tc>
        <w:tc>
          <w:tcPr>
            <w:tcW w:w="1779" w:type="pct"/>
          </w:tcPr>
          <w:p w14:paraId="3B4EBC10"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14</w:t>
            </w:r>
          </w:p>
        </w:tc>
      </w:tr>
      <w:tr w:rsidR="00200978" w:rsidRPr="00842013" w14:paraId="0949C46B" w14:textId="77777777" w:rsidTr="007B68FE">
        <w:trPr>
          <w:trHeight w:val="290"/>
          <w:tblHeader/>
        </w:trPr>
        <w:tc>
          <w:tcPr>
            <w:tcW w:w="1317" w:type="pct"/>
          </w:tcPr>
          <w:p w14:paraId="264312E3"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120 to 149 calendar days</w:t>
            </w:r>
          </w:p>
        </w:tc>
        <w:tc>
          <w:tcPr>
            <w:tcW w:w="1904" w:type="pct"/>
          </w:tcPr>
          <w:p w14:paraId="48E45184"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181</w:t>
            </w:r>
          </w:p>
        </w:tc>
        <w:tc>
          <w:tcPr>
            <w:tcW w:w="1779" w:type="pct"/>
          </w:tcPr>
          <w:p w14:paraId="7A18177B"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7</w:t>
            </w:r>
          </w:p>
        </w:tc>
      </w:tr>
      <w:tr w:rsidR="00200978" w:rsidRPr="00842013" w14:paraId="4D798A6E" w14:textId="77777777" w:rsidTr="007B68FE">
        <w:trPr>
          <w:trHeight w:val="290"/>
          <w:tblHeader/>
        </w:trPr>
        <w:tc>
          <w:tcPr>
            <w:tcW w:w="1317" w:type="pct"/>
          </w:tcPr>
          <w:p w14:paraId="6E0104BA"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150 to 179 calendar days</w:t>
            </w:r>
          </w:p>
        </w:tc>
        <w:tc>
          <w:tcPr>
            <w:tcW w:w="1904" w:type="pct"/>
          </w:tcPr>
          <w:p w14:paraId="7E6D6C3B"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179</w:t>
            </w:r>
          </w:p>
        </w:tc>
        <w:tc>
          <w:tcPr>
            <w:tcW w:w="1779" w:type="pct"/>
          </w:tcPr>
          <w:p w14:paraId="46DDFE82"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w:t>
            </w:r>
          </w:p>
        </w:tc>
      </w:tr>
      <w:tr w:rsidR="00200978" w:rsidRPr="00842013" w14:paraId="6A875A9D" w14:textId="77777777" w:rsidTr="007B68FE">
        <w:trPr>
          <w:trHeight w:val="290"/>
          <w:tblHeader/>
        </w:trPr>
        <w:tc>
          <w:tcPr>
            <w:tcW w:w="1317" w:type="pct"/>
          </w:tcPr>
          <w:p w14:paraId="4AC0898F"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180 to 209 calendar days</w:t>
            </w:r>
          </w:p>
        </w:tc>
        <w:tc>
          <w:tcPr>
            <w:tcW w:w="1904" w:type="pct"/>
          </w:tcPr>
          <w:p w14:paraId="1124FAAA"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160</w:t>
            </w:r>
          </w:p>
        </w:tc>
        <w:tc>
          <w:tcPr>
            <w:tcW w:w="1779" w:type="pct"/>
          </w:tcPr>
          <w:p w14:paraId="52B0FA83"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7</w:t>
            </w:r>
          </w:p>
        </w:tc>
      </w:tr>
      <w:tr w:rsidR="00200978" w:rsidRPr="00842013" w14:paraId="025D132D" w14:textId="77777777" w:rsidTr="007B68FE">
        <w:trPr>
          <w:trHeight w:val="290"/>
          <w:tblHeader/>
        </w:trPr>
        <w:tc>
          <w:tcPr>
            <w:tcW w:w="1317" w:type="pct"/>
          </w:tcPr>
          <w:p w14:paraId="65AC2FDF"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210 to 239 calendar days</w:t>
            </w:r>
          </w:p>
        </w:tc>
        <w:tc>
          <w:tcPr>
            <w:tcW w:w="1904" w:type="pct"/>
          </w:tcPr>
          <w:p w14:paraId="4C45D872"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139</w:t>
            </w:r>
          </w:p>
        </w:tc>
        <w:tc>
          <w:tcPr>
            <w:tcW w:w="1779" w:type="pct"/>
          </w:tcPr>
          <w:p w14:paraId="2E8D6B60"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9</w:t>
            </w:r>
          </w:p>
        </w:tc>
      </w:tr>
      <w:tr w:rsidR="00200978" w:rsidRPr="00842013" w14:paraId="6CC909C1" w14:textId="77777777" w:rsidTr="007B68FE">
        <w:trPr>
          <w:trHeight w:val="290"/>
          <w:tblHeader/>
        </w:trPr>
        <w:tc>
          <w:tcPr>
            <w:tcW w:w="1317" w:type="pct"/>
          </w:tcPr>
          <w:p w14:paraId="47B55BE5"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240 to 269 calendar days</w:t>
            </w:r>
          </w:p>
        </w:tc>
        <w:tc>
          <w:tcPr>
            <w:tcW w:w="1904" w:type="pct"/>
          </w:tcPr>
          <w:p w14:paraId="0EB12056"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84</w:t>
            </w:r>
          </w:p>
        </w:tc>
        <w:tc>
          <w:tcPr>
            <w:tcW w:w="1779" w:type="pct"/>
          </w:tcPr>
          <w:p w14:paraId="3C323286"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4</w:t>
            </w:r>
          </w:p>
        </w:tc>
      </w:tr>
      <w:tr w:rsidR="00200978" w:rsidRPr="00842013" w14:paraId="3B70C674" w14:textId="77777777" w:rsidTr="007B68FE">
        <w:trPr>
          <w:trHeight w:val="290"/>
          <w:tblHeader/>
        </w:trPr>
        <w:tc>
          <w:tcPr>
            <w:tcW w:w="1317" w:type="pct"/>
          </w:tcPr>
          <w:p w14:paraId="77883176"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270 to 299 calendar days</w:t>
            </w:r>
          </w:p>
        </w:tc>
        <w:tc>
          <w:tcPr>
            <w:tcW w:w="1904" w:type="pct"/>
          </w:tcPr>
          <w:p w14:paraId="79026459"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73</w:t>
            </w:r>
          </w:p>
        </w:tc>
        <w:tc>
          <w:tcPr>
            <w:tcW w:w="1779" w:type="pct"/>
          </w:tcPr>
          <w:p w14:paraId="6BD091A8"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w:t>
            </w:r>
          </w:p>
        </w:tc>
      </w:tr>
      <w:tr w:rsidR="00200978" w:rsidRPr="00842013" w14:paraId="3DEDD2A4" w14:textId="77777777" w:rsidTr="007B68FE">
        <w:trPr>
          <w:trHeight w:val="290"/>
          <w:tblHeader/>
        </w:trPr>
        <w:tc>
          <w:tcPr>
            <w:tcW w:w="1317" w:type="pct"/>
          </w:tcPr>
          <w:p w14:paraId="707A23AF"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300 to 329 calendar days</w:t>
            </w:r>
          </w:p>
        </w:tc>
        <w:tc>
          <w:tcPr>
            <w:tcW w:w="1904" w:type="pct"/>
          </w:tcPr>
          <w:p w14:paraId="42389436"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61</w:t>
            </w:r>
          </w:p>
        </w:tc>
        <w:tc>
          <w:tcPr>
            <w:tcW w:w="1779" w:type="pct"/>
          </w:tcPr>
          <w:p w14:paraId="0F9ABA68"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w:t>
            </w:r>
          </w:p>
        </w:tc>
      </w:tr>
      <w:tr w:rsidR="00200978" w:rsidRPr="00842013" w14:paraId="312ABFEE" w14:textId="77777777" w:rsidTr="007B68FE">
        <w:trPr>
          <w:trHeight w:val="290"/>
          <w:tblHeader/>
        </w:trPr>
        <w:tc>
          <w:tcPr>
            <w:tcW w:w="1317" w:type="pct"/>
          </w:tcPr>
          <w:p w14:paraId="67B6B385"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330 to 359 calendar days</w:t>
            </w:r>
          </w:p>
        </w:tc>
        <w:tc>
          <w:tcPr>
            <w:tcW w:w="1904" w:type="pct"/>
          </w:tcPr>
          <w:p w14:paraId="21BB1E26"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41</w:t>
            </w:r>
          </w:p>
        </w:tc>
        <w:tc>
          <w:tcPr>
            <w:tcW w:w="1779" w:type="pct"/>
          </w:tcPr>
          <w:p w14:paraId="22805ADE"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w:t>
            </w:r>
          </w:p>
        </w:tc>
      </w:tr>
      <w:tr w:rsidR="00200978" w:rsidRPr="00842013" w14:paraId="6E6E1251" w14:textId="77777777" w:rsidTr="007B68FE">
        <w:trPr>
          <w:trHeight w:val="290"/>
          <w:tblHeader/>
        </w:trPr>
        <w:tc>
          <w:tcPr>
            <w:tcW w:w="1317" w:type="pct"/>
          </w:tcPr>
          <w:p w14:paraId="5011D9AA"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360 to 389 calendar days</w:t>
            </w:r>
          </w:p>
        </w:tc>
        <w:tc>
          <w:tcPr>
            <w:tcW w:w="1904" w:type="pct"/>
          </w:tcPr>
          <w:p w14:paraId="4B70E333"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43</w:t>
            </w:r>
          </w:p>
        </w:tc>
        <w:tc>
          <w:tcPr>
            <w:tcW w:w="1779" w:type="pct"/>
          </w:tcPr>
          <w:p w14:paraId="44C90267"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r>
      <w:tr w:rsidR="00200978" w:rsidRPr="00842013" w14:paraId="4A6CB01B" w14:textId="77777777" w:rsidTr="007B68FE">
        <w:trPr>
          <w:trHeight w:val="290"/>
          <w:tblHeader/>
        </w:trPr>
        <w:tc>
          <w:tcPr>
            <w:tcW w:w="1317" w:type="pct"/>
          </w:tcPr>
          <w:p w14:paraId="0FC192A8"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390 to 419 calendar days</w:t>
            </w:r>
          </w:p>
        </w:tc>
        <w:tc>
          <w:tcPr>
            <w:tcW w:w="1904" w:type="pct"/>
          </w:tcPr>
          <w:p w14:paraId="674408A3"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49</w:t>
            </w:r>
          </w:p>
        </w:tc>
        <w:tc>
          <w:tcPr>
            <w:tcW w:w="1779" w:type="pct"/>
          </w:tcPr>
          <w:p w14:paraId="380C4981"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r>
      <w:tr w:rsidR="00200978" w:rsidRPr="00842013" w14:paraId="7B12CD68" w14:textId="77777777" w:rsidTr="007B68FE">
        <w:trPr>
          <w:trHeight w:val="290"/>
          <w:tblHeader/>
        </w:trPr>
        <w:tc>
          <w:tcPr>
            <w:tcW w:w="1317" w:type="pct"/>
          </w:tcPr>
          <w:p w14:paraId="46ACD845"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420 to 449 calendar days</w:t>
            </w:r>
          </w:p>
        </w:tc>
        <w:tc>
          <w:tcPr>
            <w:tcW w:w="1904" w:type="pct"/>
          </w:tcPr>
          <w:p w14:paraId="11B80EF1"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35</w:t>
            </w:r>
          </w:p>
        </w:tc>
        <w:tc>
          <w:tcPr>
            <w:tcW w:w="1779" w:type="pct"/>
          </w:tcPr>
          <w:p w14:paraId="5D21F722"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w:t>
            </w:r>
          </w:p>
        </w:tc>
      </w:tr>
      <w:tr w:rsidR="00200978" w:rsidRPr="00842013" w14:paraId="20AD8473" w14:textId="77777777" w:rsidTr="007B68FE">
        <w:trPr>
          <w:trHeight w:val="290"/>
          <w:tblHeader/>
        </w:trPr>
        <w:tc>
          <w:tcPr>
            <w:tcW w:w="1317" w:type="pct"/>
          </w:tcPr>
          <w:p w14:paraId="1B5F0ADD"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450 to 479 calendar days</w:t>
            </w:r>
          </w:p>
        </w:tc>
        <w:tc>
          <w:tcPr>
            <w:tcW w:w="1904" w:type="pct"/>
          </w:tcPr>
          <w:p w14:paraId="170C2B5F"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22</w:t>
            </w:r>
          </w:p>
        </w:tc>
        <w:tc>
          <w:tcPr>
            <w:tcW w:w="1779" w:type="pct"/>
          </w:tcPr>
          <w:p w14:paraId="48E8A923"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w:t>
            </w:r>
          </w:p>
        </w:tc>
      </w:tr>
      <w:tr w:rsidR="00200978" w:rsidRPr="00842013" w14:paraId="7102B952" w14:textId="77777777" w:rsidTr="007B68FE">
        <w:trPr>
          <w:trHeight w:val="290"/>
          <w:tblHeader/>
        </w:trPr>
        <w:tc>
          <w:tcPr>
            <w:tcW w:w="1317" w:type="pct"/>
          </w:tcPr>
          <w:p w14:paraId="3BBEF65C"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480 to 509 calendar days</w:t>
            </w:r>
          </w:p>
        </w:tc>
        <w:tc>
          <w:tcPr>
            <w:tcW w:w="1904" w:type="pct"/>
          </w:tcPr>
          <w:p w14:paraId="46095793"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27</w:t>
            </w:r>
          </w:p>
        </w:tc>
        <w:tc>
          <w:tcPr>
            <w:tcW w:w="1779" w:type="pct"/>
          </w:tcPr>
          <w:p w14:paraId="6F7184DB"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w:t>
            </w:r>
          </w:p>
        </w:tc>
      </w:tr>
      <w:tr w:rsidR="00200978" w:rsidRPr="00842013" w14:paraId="17A848ED" w14:textId="77777777" w:rsidTr="007B68FE">
        <w:trPr>
          <w:trHeight w:val="290"/>
          <w:tblHeader/>
        </w:trPr>
        <w:tc>
          <w:tcPr>
            <w:tcW w:w="1317" w:type="pct"/>
          </w:tcPr>
          <w:p w14:paraId="108C710F"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510 to 539 calendar days</w:t>
            </w:r>
          </w:p>
        </w:tc>
        <w:tc>
          <w:tcPr>
            <w:tcW w:w="1904" w:type="pct"/>
          </w:tcPr>
          <w:p w14:paraId="08504ABE"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17</w:t>
            </w:r>
          </w:p>
        </w:tc>
        <w:tc>
          <w:tcPr>
            <w:tcW w:w="1779" w:type="pct"/>
          </w:tcPr>
          <w:p w14:paraId="0B5003A3"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w:t>
            </w:r>
          </w:p>
        </w:tc>
      </w:tr>
      <w:tr w:rsidR="00200978" w:rsidRPr="00842013" w14:paraId="3819EC0F" w14:textId="77777777" w:rsidTr="007B68FE">
        <w:trPr>
          <w:trHeight w:val="290"/>
          <w:tblHeader/>
        </w:trPr>
        <w:tc>
          <w:tcPr>
            <w:tcW w:w="1317" w:type="pct"/>
          </w:tcPr>
          <w:p w14:paraId="2E02753B"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540 to 569 calendar days</w:t>
            </w:r>
          </w:p>
        </w:tc>
        <w:tc>
          <w:tcPr>
            <w:tcW w:w="1904" w:type="pct"/>
          </w:tcPr>
          <w:p w14:paraId="7A337C11"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15</w:t>
            </w:r>
          </w:p>
        </w:tc>
        <w:tc>
          <w:tcPr>
            <w:tcW w:w="1779" w:type="pct"/>
          </w:tcPr>
          <w:p w14:paraId="242B9C5A"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w:t>
            </w:r>
          </w:p>
        </w:tc>
      </w:tr>
      <w:tr w:rsidR="00200978" w:rsidRPr="00842013" w14:paraId="0948694A" w14:textId="77777777" w:rsidTr="007B68FE">
        <w:trPr>
          <w:trHeight w:val="290"/>
          <w:tblHeader/>
        </w:trPr>
        <w:tc>
          <w:tcPr>
            <w:tcW w:w="1317" w:type="pct"/>
          </w:tcPr>
          <w:p w14:paraId="5581BA3D"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570 to 599 calendar days</w:t>
            </w:r>
          </w:p>
        </w:tc>
        <w:tc>
          <w:tcPr>
            <w:tcW w:w="1904" w:type="pct"/>
          </w:tcPr>
          <w:p w14:paraId="0DB91CDA"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14</w:t>
            </w:r>
          </w:p>
        </w:tc>
        <w:tc>
          <w:tcPr>
            <w:tcW w:w="1779" w:type="pct"/>
          </w:tcPr>
          <w:p w14:paraId="119481E8"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w:t>
            </w:r>
          </w:p>
        </w:tc>
      </w:tr>
      <w:tr w:rsidR="00200978" w:rsidRPr="00842013" w14:paraId="35C0B084" w14:textId="77777777" w:rsidTr="007B68FE">
        <w:trPr>
          <w:trHeight w:val="290"/>
          <w:tblHeader/>
        </w:trPr>
        <w:tc>
          <w:tcPr>
            <w:tcW w:w="1317" w:type="pct"/>
          </w:tcPr>
          <w:p w14:paraId="39FC04B7"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600 to 629 calendar days</w:t>
            </w:r>
          </w:p>
        </w:tc>
        <w:tc>
          <w:tcPr>
            <w:tcW w:w="1904" w:type="pct"/>
          </w:tcPr>
          <w:p w14:paraId="0FE21230"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12</w:t>
            </w:r>
          </w:p>
        </w:tc>
        <w:tc>
          <w:tcPr>
            <w:tcW w:w="1779" w:type="pct"/>
          </w:tcPr>
          <w:p w14:paraId="6EE080F9"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w:t>
            </w:r>
          </w:p>
        </w:tc>
      </w:tr>
      <w:tr w:rsidR="00200978" w:rsidRPr="00842013" w14:paraId="78043C4C" w14:textId="77777777" w:rsidTr="007B68FE">
        <w:trPr>
          <w:trHeight w:val="290"/>
          <w:tblHeader/>
        </w:trPr>
        <w:tc>
          <w:tcPr>
            <w:tcW w:w="1317" w:type="pct"/>
          </w:tcPr>
          <w:p w14:paraId="3C408CB3"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630 to 659 calendar days</w:t>
            </w:r>
          </w:p>
        </w:tc>
        <w:tc>
          <w:tcPr>
            <w:tcW w:w="1904" w:type="pct"/>
          </w:tcPr>
          <w:p w14:paraId="43625EC7"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7</w:t>
            </w:r>
          </w:p>
        </w:tc>
        <w:tc>
          <w:tcPr>
            <w:tcW w:w="1779" w:type="pct"/>
          </w:tcPr>
          <w:p w14:paraId="2FDACD57"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r>
      <w:tr w:rsidR="00200978" w:rsidRPr="00842013" w14:paraId="1371847D" w14:textId="77777777" w:rsidTr="007B68FE">
        <w:trPr>
          <w:trHeight w:val="290"/>
          <w:tblHeader/>
        </w:trPr>
        <w:tc>
          <w:tcPr>
            <w:tcW w:w="1317" w:type="pct"/>
          </w:tcPr>
          <w:p w14:paraId="558A2A91"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660 to 689 calendar days</w:t>
            </w:r>
          </w:p>
        </w:tc>
        <w:tc>
          <w:tcPr>
            <w:tcW w:w="1904" w:type="pct"/>
          </w:tcPr>
          <w:p w14:paraId="2713265D"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5</w:t>
            </w:r>
          </w:p>
        </w:tc>
        <w:tc>
          <w:tcPr>
            <w:tcW w:w="1779" w:type="pct"/>
          </w:tcPr>
          <w:p w14:paraId="24B373E3"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r>
      <w:tr w:rsidR="00200978" w:rsidRPr="00842013" w14:paraId="5C40C936" w14:textId="77777777" w:rsidTr="007B68FE">
        <w:trPr>
          <w:trHeight w:val="290"/>
          <w:tblHeader/>
        </w:trPr>
        <w:tc>
          <w:tcPr>
            <w:tcW w:w="1317" w:type="pct"/>
          </w:tcPr>
          <w:p w14:paraId="04F46BA8"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690 to 719 calendar days</w:t>
            </w:r>
          </w:p>
        </w:tc>
        <w:tc>
          <w:tcPr>
            <w:tcW w:w="1904" w:type="pct"/>
          </w:tcPr>
          <w:p w14:paraId="032E29C3"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7</w:t>
            </w:r>
          </w:p>
        </w:tc>
        <w:tc>
          <w:tcPr>
            <w:tcW w:w="1779" w:type="pct"/>
          </w:tcPr>
          <w:p w14:paraId="1D04CD32"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r>
      <w:tr w:rsidR="00200978" w:rsidRPr="00842013" w14:paraId="0BB72D4E" w14:textId="77777777" w:rsidTr="007B68FE">
        <w:trPr>
          <w:trHeight w:val="302"/>
          <w:tblHeader/>
        </w:trPr>
        <w:tc>
          <w:tcPr>
            <w:tcW w:w="1317" w:type="pct"/>
          </w:tcPr>
          <w:p w14:paraId="3C74097D"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720 to 749 calendar days</w:t>
            </w:r>
          </w:p>
        </w:tc>
        <w:tc>
          <w:tcPr>
            <w:tcW w:w="1904" w:type="pct"/>
          </w:tcPr>
          <w:p w14:paraId="01230764"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11</w:t>
            </w:r>
          </w:p>
        </w:tc>
        <w:tc>
          <w:tcPr>
            <w:tcW w:w="1779" w:type="pct"/>
          </w:tcPr>
          <w:p w14:paraId="37DF4718"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w:t>
            </w:r>
          </w:p>
        </w:tc>
      </w:tr>
      <w:tr w:rsidR="00200978" w:rsidRPr="00842013" w14:paraId="128E5662" w14:textId="77777777" w:rsidTr="007B68FE">
        <w:trPr>
          <w:trHeight w:val="290"/>
          <w:tblHeader/>
        </w:trPr>
        <w:tc>
          <w:tcPr>
            <w:tcW w:w="1317" w:type="pct"/>
          </w:tcPr>
          <w:p w14:paraId="0D51B027"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750 to 779 calendar days</w:t>
            </w:r>
          </w:p>
        </w:tc>
        <w:tc>
          <w:tcPr>
            <w:tcW w:w="1904" w:type="pct"/>
          </w:tcPr>
          <w:p w14:paraId="26577966"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w:t>
            </w:r>
          </w:p>
        </w:tc>
        <w:tc>
          <w:tcPr>
            <w:tcW w:w="1779" w:type="pct"/>
          </w:tcPr>
          <w:p w14:paraId="04D8F727"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w:t>
            </w:r>
          </w:p>
        </w:tc>
      </w:tr>
      <w:tr w:rsidR="00200978" w:rsidRPr="00842013" w14:paraId="3F28EEFF" w14:textId="77777777" w:rsidTr="007B68FE">
        <w:trPr>
          <w:trHeight w:val="290"/>
          <w:tblHeader/>
        </w:trPr>
        <w:tc>
          <w:tcPr>
            <w:tcW w:w="1317" w:type="pct"/>
          </w:tcPr>
          <w:p w14:paraId="79949E74"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780 to 809 calendar days</w:t>
            </w:r>
          </w:p>
        </w:tc>
        <w:tc>
          <w:tcPr>
            <w:tcW w:w="1904" w:type="pct"/>
          </w:tcPr>
          <w:p w14:paraId="13FBE9C5"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7</w:t>
            </w:r>
          </w:p>
        </w:tc>
        <w:tc>
          <w:tcPr>
            <w:tcW w:w="1779" w:type="pct"/>
          </w:tcPr>
          <w:p w14:paraId="4243D400"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r>
      <w:tr w:rsidR="00200978" w:rsidRPr="00842013" w14:paraId="2798AF81" w14:textId="77777777" w:rsidTr="007B68FE">
        <w:trPr>
          <w:trHeight w:val="290"/>
          <w:tblHeader/>
        </w:trPr>
        <w:tc>
          <w:tcPr>
            <w:tcW w:w="1317" w:type="pct"/>
          </w:tcPr>
          <w:p w14:paraId="2065952A"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810 to 839 calendar days</w:t>
            </w:r>
          </w:p>
        </w:tc>
        <w:tc>
          <w:tcPr>
            <w:tcW w:w="1904" w:type="pct"/>
          </w:tcPr>
          <w:p w14:paraId="5E3393CC"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w:t>
            </w:r>
          </w:p>
        </w:tc>
        <w:tc>
          <w:tcPr>
            <w:tcW w:w="1779" w:type="pct"/>
          </w:tcPr>
          <w:p w14:paraId="7BB9F27D"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r>
      <w:tr w:rsidR="00200978" w:rsidRPr="00842013" w14:paraId="75F51BDF" w14:textId="77777777" w:rsidTr="007B68FE">
        <w:trPr>
          <w:trHeight w:val="290"/>
          <w:tblHeader/>
        </w:trPr>
        <w:tc>
          <w:tcPr>
            <w:tcW w:w="1317" w:type="pct"/>
          </w:tcPr>
          <w:p w14:paraId="2791B8B6"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840 to 869 calendar days</w:t>
            </w:r>
          </w:p>
        </w:tc>
        <w:tc>
          <w:tcPr>
            <w:tcW w:w="1904" w:type="pct"/>
          </w:tcPr>
          <w:p w14:paraId="06F10BCA"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2</w:t>
            </w:r>
          </w:p>
        </w:tc>
        <w:tc>
          <w:tcPr>
            <w:tcW w:w="1779" w:type="pct"/>
          </w:tcPr>
          <w:p w14:paraId="685DEA5F"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r>
      <w:tr w:rsidR="00200978" w:rsidRPr="00842013" w14:paraId="52BDA7AA" w14:textId="77777777" w:rsidTr="007B68FE">
        <w:trPr>
          <w:trHeight w:val="290"/>
          <w:tblHeader/>
        </w:trPr>
        <w:tc>
          <w:tcPr>
            <w:tcW w:w="1317" w:type="pct"/>
          </w:tcPr>
          <w:p w14:paraId="573B204A"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870 to 899 calendar days</w:t>
            </w:r>
          </w:p>
        </w:tc>
        <w:tc>
          <w:tcPr>
            <w:tcW w:w="1904" w:type="pct"/>
          </w:tcPr>
          <w:p w14:paraId="58475A68"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c>
          <w:tcPr>
            <w:tcW w:w="1779" w:type="pct"/>
          </w:tcPr>
          <w:p w14:paraId="44643121"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r>
      <w:tr w:rsidR="00200978" w:rsidRPr="00842013" w14:paraId="54B3D388" w14:textId="77777777" w:rsidTr="007B68FE">
        <w:trPr>
          <w:trHeight w:val="290"/>
          <w:tblHeader/>
        </w:trPr>
        <w:tc>
          <w:tcPr>
            <w:tcW w:w="1317" w:type="pct"/>
          </w:tcPr>
          <w:p w14:paraId="50D5F515"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900 to 929 calendar days</w:t>
            </w:r>
          </w:p>
        </w:tc>
        <w:tc>
          <w:tcPr>
            <w:tcW w:w="1904" w:type="pct"/>
          </w:tcPr>
          <w:p w14:paraId="7A81F2D5"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3</w:t>
            </w:r>
          </w:p>
        </w:tc>
        <w:tc>
          <w:tcPr>
            <w:tcW w:w="1779" w:type="pct"/>
          </w:tcPr>
          <w:p w14:paraId="664DE0BE"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r>
      <w:tr w:rsidR="00200978" w:rsidRPr="00842013" w14:paraId="1ADB532C" w14:textId="77777777" w:rsidTr="007B68FE">
        <w:trPr>
          <w:trHeight w:val="290"/>
          <w:tblHeader/>
        </w:trPr>
        <w:tc>
          <w:tcPr>
            <w:tcW w:w="1317" w:type="pct"/>
          </w:tcPr>
          <w:p w14:paraId="11C6E193"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930 to 959 calendar days</w:t>
            </w:r>
          </w:p>
        </w:tc>
        <w:tc>
          <w:tcPr>
            <w:tcW w:w="1904" w:type="pct"/>
          </w:tcPr>
          <w:p w14:paraId="600F0D01"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1</w:t>
            </w:r>
          </w:p>
        </w:tc>
        <w:tc>
          <w:tcPr>
            <w:tcW w:w="1779" w:type="pct"/>
          </w:tcPr>
          <w:p w14:paraId="3C72CAD0"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r>
      <w:tr w:rsidR="00200978" w:rsidRPr="00842013" w14:paraId="0F3077CF" w14:textId="77777777" w:rsidTr="007B68FE">
        <w:trPr>
          <w:trHeight w:val="290"/>
          <w:tblHeader/>
        </w:trPr>
        <w:tc>
          <w:tcPr>
            <w:tcW w:w="1317" w:type="pct"/>
          </w:tcPr>
          <w:p w14:paraId="6B128F01"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960 to 989 calendar days</w:t>
            </w:r>
          </w:p>
        </w:tc>
        <w:tc>
          <w:tcPr>
            <w:tcW w:w="1904" w:type="pct"/>
          </w:tcPr>
          <w:p w14:paraId="1ECDE508"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c>
          <w:tcPr>
            <w:tcW w:w="1779" w:type="pct"/>
          </w:tcPr>
          <w:p w14:paraId="5BD82C83"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r>
      <w:tr w:rsidR="00200978" w:rsidRPr="00842013" w14:paraId="126C3CA7" w14:textId="77777777" w:rsidTr="007B68FE">
        <w:trPr>
          <w:trHeight w:val="290"/>
          <w:tblHeader/>
        </w:trPr>
        <w:tc>
          <w:tcPr>
            <w:tcW w:w="1317" w:type="pct"/>
          </w:tcPr>
          <w:p w14:paraId="5170E7FC" w14:textId="77777777" w:rsidR="00200978" w:rsidRPr="00842013" w:rsidRDefault="00200978" w:rsidP="00261EBB">
            <w:pPr>
              <w:autoSpaceDE w:val="0"/>
              <w:autoSpaceDN w:val="0"/>
              <w:adjustRightInd w:val="0"/>
              <w:spacing w:before="120" w:after="120"/>
              <w:contextualSpacing/>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More than 990 calendar days</w:t>
            </w:r>
          </w:p>
        </w:tc>
        <w:tc>
          <w:tcPr>
            <w:tcW w:w="1904" w:type="pct"/>
          </w:tcPr>
          <w:p w14:paraId="1CD7466D" w14:textId="77777777" w:rsidR="00200978" w:rsidRPr="00842013" w:rsidRDefault="00200978" w:rsidP="00261EBB">
            <w:pPr>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c>
          <w:tcPr>
            <w:tcW w:w="1779" w:type="pct"/>
          </w:tcPr>
          <w:p w14:paraId="09B57C3F" w14:textId="77777777" w:rsidR="00200978" w:rsidRPr="00842013" w:rsidRDefault="00200978" w:rsidP="00261EBB">
            <w:pPr>
              <w:keepNext/>
              <w:autoSpaceDE w:val="0"/>
              <w:autoSpaceDN w:val="0"/>
              <w:adjustRightInd w:val="0"/>
              <w:spacing w:before="120" w:after="120"/>
              <w:contextualSpacing/>
              <w:jc w:val="center"/>
              <w:rPr>
                <w:rFonts w:asciiTheme="minorHAnsi" w:eastAsiaTheme="minorHAnsi" w:hAnsiTheme="minorHAnsi" w:cstheme="minorHAnsi"/>
                <w:color w:val="000000"/>
                <w:sz w:val="22"/>
                <w:szCs w:val="22"/>
                <w:lang w:val="en-CA"/>
              </w:rPr>
            </w:pPr>
            <w:r w:rsidRPr="00842013">
              <w:rPr>
                <w:rFonts w:asciiTheme="minorHAnsi" w:eastAsiaTheme="minorHAnsi" w:hAnsiTheme="minorHAnsi" w:cstheme="minorHAnsi"/>
                <w:color w:val="000000"/>
                <w:sz w:val="22"/>
                <w:szCs w:val="22"/>
                <w:lang w:val="en-CA"/>
              </w:rPr>
              <w:t>0</w:t>
            </w:r>
          </w:p>
        </w:tc>
      </w:tr>
    </w:tbl>
    <w:p w14:paraId="7A281F5B" w14:textId="77777777" w:rsidR="00C57986" w:rsidRDefault="00C57986" w:rsidP="004F7FB8">
      <w:pPr>
        <w:spacing w:after="160" w:line="259" w:lineRule="auto"/>
        <w:rPr>
          <w:rStyle w:val="lev"/>
          <w:rFonts w:eastAsiaTheme="minorHAnsi"/>
          <w:szCs w:val="22"/>
          <w:lang w:val="en-CA"/>
        </w:rPr>
        <w:sectPr w:rsidR="00C57986" w:rsidSect="00934B32">
          <w:headerReference w:type="default" r:id="rId26"/>
          <w:footerReference w:type="default" r:id="rId27"/>
          <w:pgSz w:w="24480" w:h="15840" w:orient="landscape" w:code="3"/>
          <w:pgMar w:top="1440" w:right="1080" w:bottom="1440" w:left="1080" w:header="708" w:footer="283" w:gutter="0"/>
          <w:cols w:space="708"/>
          <w:titlePg/>
          <w:docGrid w:linePitch="360"/>
        </w:sectPr>
      </w:pPr>
    </w:p>
    <w:p w14:paraId="734C33D7" w14:textId="58259767" w:rsidR="00282ABD" w:rsidRPr="0065235B" w:rsidRDefault="00C57986" w:rsidP="00D26D99">
      <w:pPr>
        <w:pStyle w:val="Titre1"/>
        <w:spacing w:before="120" w:after="120"/>
        <w:rPr>
          <w:sz w:val="40"/>
          <w:szCs w:val="40"/>
        </w:rPr>
      </w:pPr>
      <w:r w:rsidRPr="0065235B">
        <w:rPr>
          <w:sz w:val="40"/>
          <w:szCs w:val="40"/>
        </w:rPr>
        <w:lastRenderedPageBreak/>
        <w:t>Tec</w:t>
      </w:r>
      <w:r w:rsidR="00282ABD" w:rsidRPr="0065235B">
        <w:rPr>
          <w:sz w:val="40"/>
          <w:szCs w:val="40"/>
        </w:rPr>
        <w:t>hnical notes:</w:t>
      </w:r>
    </w:p>
    <w:p w14:paraId="0440233F" w14:textId="77777777" w:rsidR="00282ABD" w:rsidRPr="00261EBB" w:rsidRDefault="00282ABD" w:rsidP="00D26D99">
      <w:pPr>
        <w:numPr>
          <w:ilvl w:val="0"/>
          <w:numId w:val="27"/>
        </w:numPr>
        <w:spacing w:before="120" w:after="120"/>
        <w:rPr>
          <w:rFonts w:ascii="Segoe UI Semilight" w:hAnsi="Segoe UI Semilight" w:cs="Segoe UI Semilight"/>
          <w:sz w:val="22"/>
          <w:szCs w:val="22"/>
          <w:lang w:val="en-CA" w:eastAsia="en-CA"/>
        </w:rPr>
      </w:pPr>
      <w:r w:rsidRPr="00261EBB">
        <w:rPr>
          <w:rFonts w:ascii="Segoe UI Semilight" w:hAnsi="Segoe UI Semilight" w:cs="Segoe UI Semilight"/>
          <w:sz w:val="22"/>
          <w:szCs w:val="22"/>
          <w:lang w:val="en-CA" w:eastAsia="en-CA"/>
        </w:rPr>
        <w:t>The Time to Staff - Internal Appointments is the median number of calendar days between the opening date of an internal advertisement and the date of the first Notice of Appointment or Proposal of Appointment (NAPA) from the Public Service Resourcing System for internal term and indeterminate positions. As NAPAs are not required for all internal staffing actions, this measure is limited to reporting on internal promotional appointments.</w:t>
      </w:r>
    </w:p>
    <w:p w14:paraId="085174BA" w14:textId="77777777" w:rsidR="00282ABD" w:rsidRPr="00261EBB" w:rsidRDefault="00282ABD" w:rsidP="00D26D99">
      <w:pPr>
        <w:numPr>
          <w:ilvl w:val="0"/>
          <w:numId w:val="27"/>
        </w:numPr>
        <w:spacing w:before="120" w:after="120"/>
        <w:rPr>
          <w:rFonts w:ascii="Segoe UI Semilight" w:hAnsi="Segoe UI Semilight" w:cs="Segoe UI Semilight"/>
          <w:sz w:val="22"/>
          <w:szCs w:val="22"/>
          <w:lang w:val="en-CA" w:eastAsia="en-CA"/>
        </w:rPr>
      </w:pPr>
      <w:r w:rsidRPr="00261EBB">
        <w:rPr>
          <w:rFonts w:ascii="Segoe UI Semilight" w:hAnsi="Segoe UI Semilight" w:cs="Segoe UI Semilight"/>
          <w:sz w:val="22"/>
          <w:szCs w:val="22"/>
          <w:lang w:val="en-CA" w:eastAsia="en-CA"/>
        </w:rPr>
        <w:t xml:space="preserve">The Time to Staff - External Appointments is the median number of calendar days between the opening date of an external advertisement and the date of the first estimated appointment of an individual from outside an organization subject to the </w:t>
      </w:r>
      <w:r w:rsidRPr="00261EBB">
        <w:rPr>
          <w:rStyle w:val="Accentuation"/>
          <w:szCs w:val="22"/>
          <w:lang w:val="en-CA"/>
        </w:rPr>
        <w:t>Public Service Employment Act</w:t>
      </w:r>
      <w:r w:rsidRPr="00261EBB">
        <w:rPr>
          <w:rFonts w:ascii="Segoe UI Semilight" w:hAnsi="Segoe UI Semilight" w:cs="Segoe UI Semilight"/>
          <w:sz w:val="22"/>
          <w:szCs w:val="22"/>
          <w:lang w:val="en-CA" w:eastAsia="en-CA"/>
        </w:rPr>
        <w:t xml:space="preserve"> for term and indeterminate positions. Because data between systems is linked using a probabilistic match, errors in data linkage are a potential source of measurement error.</w:t>
      </w:r>
    </w:p>
    <w:p w14:paraId="3846D5BA" w14:textId="77777777" w:rsidR="00282ABD" w:rsidRDefault="00282ABD" w:rsidP="00D26D99">
      <w:pPr>
        <w:numPr>
          <w:ilvl w:val="0"/>
          <w:numId w:val="27"/>
        </w:numPr>
        <w:spacing w:before="120" w:after="120"/>
        <w:rPr>
          <w:rFonts w:ascii="Segoe UI Semilight" w:hAnsi="Segoe UI Semilight" w:cs="Segoe UI Semilight"/>
          <w:sz w:val="22"/>
          <w:szCs w:val="22"/>
          <w:lang w:val="en-CA" w:eastAsia="en-CA"/>
        </w:rPr>
      </w:pPr>
      <w:r w:rsidRPr="00261EBB">
        <w:rPr>
          <w:rFonts w:ascii="Segoe UI Semilight" w:hAnsi="Segoe UI Semilight" w:cs="Segoe UI Semilight"/>
          <w:sz w:val="22"/>
          <w:szCs w:val="22"/>
          <w:lang w:val="en-CA" w:eastAsia="en-CA"/>
        </w:rPr>
        <w:t xml:space="preserve">Only estimated term and indeterminate appointments/notifications are included (deployments, casual and acting appointments are excluded). </w:t>
      </w:r>
    </w:p>
    <w:p w14:paraId="684AB630" w14:textId="666334B3" w:rsidR="00282ABD" w:rsidRPr="00A77C0A" w:rsidRDefault="00A77C0A" w:rsidP="00D26D99">
      <w:pPr>
        <w:pStyle w:val="Titre1"/>
        <w:spacing w:before="120" w:after="120"/>
        <w:rPr>
          <w:sz w:val="40"/>
          <w:szCs w:val="40"/>
        </w:rPr>
      </w:pPr>
      <w:r w:rsidRPr="00A77C0A">
        <w:rPr>
          <w:sz w:val="40"/>
          <w:szCs w:val="40"/>
        </w:rPr>
        <w:t>S</w:t>
      </w:r>
      <w:r w:rsidR="00282ABD" w:rsidRPr="00A77C0A">
        <w:rPr>
          <w:sz w:val="40"/>
          <w:szCs w:val="40"/>
        </w:rPr>
        <w:t>ources:</w:t>
      </w:r>
    </w:p>
    <w:p w14:paraId="43529493" w14:textId="77777777" w:rsidR="00282ABD" w:rsidRPr="00261EBB" w:rsidRDefault="00282ABD" w:rsidP="00D26D99">
      <w:pPr>
        <w:numPr>
          <w:ilvl w:val="0"/>
          <w:numId w:val="27"/>
        </w:numPr>
        <w:spacing w:before="120" w:after="120"/>
        <w:rPr>
          <w:rFonts w:ascii="Segoe UI Semilight" w:hAnsi="Segoe UI Semilight" w:cs="Segoe UI Semilight"/>
          <w:sz w:val="22"/>
          <w:szCs w:val="22"/>
          <w:lang w:val="en-CA" w:eastAsia="en-CA"/>
        </w:rPr>
      </w:pPr>
      <w:r w:rsidRPr="00261EBB">
        <w:rPr>
          <w:rFonts w:ascii="Segoe UI Semilight" w:hAnsi="Segoe UI Semilight" w:cs="Segoe UI Semilight"/>
          <w:sz w:val="22"/>
          <w:szCs w:val="22"/>
          <w:lang w:val="en-CA" w:eastAsia="en-CA"/>
        </w:rPr>
        <w:t>Hiring and staffing activities data are derived from information received from the Treasury Board of Canada Secretariat Incumbent File.  The Incumbent File is extracted from the Public Services and Procurement Canada’s pay system.  The data constitutes an estimate of hiring and staffing activities to and within organizations.</w:t>
      </w:r>
    </w:p>
    <w:p w14:paraId="60764D65" w14:textId="77777777" w:rsidR="00282ABD" w:rsidRPr="00261EBB" w:rsidRDefault="00282ABD" w:rsidP="00D26D99">
      <w:pPr>
        <w:numPr>
          <w:ilvl w:val="0"/>
          <w:numId w:val="27"/>
        </w:numPr>
        <w:spacing w:before="120" w:after="120"/>
        <w:rPr>
          <w:rFonts w:ascii="Segoe UI Semilight" w:hAnsi="Segoe UI Semilight" w:cs="Segoe UI Semilight"/>
          <w:sz w:val="22"/>
          <w:szCs w:val="22"/>
          <w:lang w:val="en-CA" w:eastAsia="en-CA"/>
        </w:rPr>
      </w:pPr>
      <w:r w:rsidRPr="00261EBB">
        <w:rPr>
          <w:rFonts w:ascii="Segoe UI Semilight" w:hAnsi="Segoe UI Semilight" w:cs="Segoe UI Semilight"/>
          <w:sz w:val="22"/>
          <w:szCs w:val="22"/>
          <w:lang w:val="en-CA" w:eastAsia="en-CA"/>
        </w:rPr>
        <w:t>Information from the Priority Information Management System and the Public Services Resourcing System is also used to determine if staffing actions are advertised or non-advertised as well as for calculating time to staff.</w:t>
      </w:r>
    </w:p>
    <w:p w14:paraId="26AAE353" w14:textId="77777777" w:rsidR="00282ABD" w:rsidRPr="00261EBB" w:rsidRDefault="00282ABD" w:rsidP="00D26D99">
      <w:pPr>
        <w:numPr>
          <w:ilvl w:val="0"/>
          <w:numId w:val="27"/>
        </w:numPr>
        <w:spacing w:before="120" w:after="120"/>
        <w:rPr>
          <w:rFonts w:ascii="Segoe UI Semilight" w:hAnsi="Segoe UI Semilight" w:cs="Segoe UI Semilight"/>
          <w:sz w:val="22"/>
          <w:szCs w:val="22"/>
          <w:lang w:val="en-CA" w:eastAsia="en-CA"/>
        </w:rPr>
      </w:pPr>
      <w:r w:rsidRPr="00261EBB">
        <w:rPr>
          <w:rFonts w:ascii="Segoe UI Semilight" w:hAnsi="Segoe UI Semilight" w:cs="Segoe UI Semilight"/>
          <w:sz w:val="22"/>
          <w:szCs w:val="22"/>
          <w:lang w:val="en-CA" w:eastAsia="en-CA"/>
        </w:rPr>
        <w:t>The data are not expected to match an organization’s human resources data, due to methodology and timing differences.</w:t>
      </w:r>
    </w:p>
    <w:p w14:paraId="41E6A663" w14:textId="77777777" w:rsidR="00282ABD" w:rsidRPr="00261EBB" w:rsidRDefault="00282ABD" w:rsidP="00D26D99">
      <w:pPr>
        <w:numPr>
          <w:ilvl w:val="0"/>
          <w:numId w:val="27"/>
        </w:numPr>
        <w:spacing w:before="120" w:after="120"/>
        <w:rPr>
          <w:rFonts w:asciiTheme="minorHAnsi" w:hAnsiTheme="minorHAnsi" w:cstheme="minorHAnsi"/>
          <w:sz w:val="22"/>
          <w:szCs w:val="22"/>
          <w:lang w:val="en-CA" w:eastAsia="en-CA"/>
        </w:rPr>
      </w:pPr>
      <w:r w:rsidRPr="00261EBB">
        <w:rPr>
          <w:rFonts w:asciiTheme="minorHAnsi" w:hAnsiTheme="minorHAnsi" w:cstheme="minorHAnsi"/>
          <w:sz w:val="22"/>
          <w:szCs w:val="22"/>
          <w:lang w:val="en-CA" w:eastAsia="en-CA"/>
        </w:rPr>
        <w:t>The Time to Staff - Internal Appointments (TTS-IA) is the median number of calendar days between the opening date of an internal advertisement and the date of the first Notice of Appointment or Proposal of Appointment (NAPA) from the Public Service Resourcing System for internal term and indeterminate positions. As NAPAs are not required for all internal staffing actions, this measure is limited to reporting on internal promotional appointments</w:t>
      </w:r>
    </w:p>
    <w:p w14:paraId="488A0692" w14:textId="77777777" w:rsidR="00282ABD" w:rsidRPr="00261EBB" w:rsidRDefault="00282ABD" w:rsidP="00D26D99">
      <w:pPr>
        <w:numPr>
          <w:ilvl w:val="0"/>
          <w:numId w:val="27"/>
        </w:numPr>
        <w:spacing w:before="120" w:after="120"/>
        <w:rPr>
          <w:rFonts w:asciiTheme="minorHAnsi" w:hAnsiTheme="minorHAnsi" w:cstheme="minorHAnsi"/>
          <w:sz w:val="22"/>
          <w:szCs w:val="22"/>
          <w:lang w:val="en-CA" w:eastAsia="en-CA"/>
        </w:rPr>
      </w:pPr>
      <w:r w:rsidRPr="00261EBB">
        <w:rPr>
          <w:rFonts w:asciiTheme="minorHAnsi" w:hAnsiTheme="minorHAnsi" w:cstheme="minorHAnsi"/>
          <w:sz w:val="22"/>
          <w:szCs w:val="22"/>
          <w:lang w:val="en-CA" w:eastAsia="en-CA"/>
        </w:rPr>
        <w:t>Only estimated term and indeterminate appointments/notifications are included (deployments, casual and acting appointments are excluded)</w:t>
      </w:r>
    </w:p>
    <w:p w14:paraId="722AEA60" w14:textId="77777777" w:rsidR="00282ABD" w:rsidRPr="00261EBB" w:rsidRDefault="00282ABD" w:rsidP="00D26D99">
      <w:pPr>
        <w:numPr>
          <w:ilvl w:val="0"/>
          <w:numId w:val="27"/>
        </w:numPr>
        <w:spacing w:before="120" w:after="120"/>
        <w:rPr>
          <w:rFonts w:asciiTheme="minorHAnsi" w:hAnsiTheme="minorHAnsi" w:cstheme="minorHAnsi"/>
          <w:sz w:val="22"/>
          <w:szCs w:val="22"/>
          <w:lang w:val="en-CA" w:eastAsia="en-CA"/>
        </w:rPr>
      </w:pPr>
      <w:r w:rsidRPr="00261EBB">
        <w:rPr>
          <w:rFonts w:asciiTheme="minorHAnsi" w:hAnsiTheme="minorHAnsi" w:cstheme="minorHAnsi"/>
          <w:sz w:val="22"/>
          <w:szCs w:val="22"/>
          <w:lang w:val="en-CA" w:eastAsia="en-CA"/>
        </w:rPr>
        <w:t>The Time to Staff - External Appointments (TTS-EA) is the median number of calendar days between the opening date of an external advertisement and the date of the first estimated appointment of an individual from outside an organization subject to the Public Service Employment Act for term and indeterminate positions. Only estimated term and indeterminate appointments/notifications are included (deployments, casual and acting appointments are excluded)</w:t>
      </w:r>
    </w:p>
    <w:p w14:paraId="736E4ED2" w14:textId="77777777" w:rsidR="00282ABD" w:rsidRPr="00261EBB" w:rsidRDefault="00282ABD" w:rsidP="00D26D99">
      <w:pPr>
        <w:numPr>
          <w:ilvl w:val="0"/>
          <w:numId w:val="27"/>
        </w:numPr>
        <w:spacing w:before="120" w:after="120"/>
        <w:rPr>
          <w:rFonts w:asciiTheme="minorHAnsi" w:hAnsiTheme="minorHAnsi" w:cstheme="minorHAnsi"/>
          <w:sz w:val="22"/>
          <w:szCs w:val="22"/>
          <w:lang w:val="en-CA" w:eastAsia="en-CA"/>
        </w:rPr>
      </w:pPr>
      <w:r w:rsidRPr="00261EBB">
        <w:rPr>
          <w:rFonts w:asciiTheme="minorHAnsi" w:hAnsiTheme="minorHAnsi" w:cstheme="minorHAnsi"/>
          <w:sz w:val="22"/>
          <w:szCs w:val="22"/>
          <w:lang w:val="en-CA" w:eastAsia="en-CA"/>
        </w:rPr>
        <w:t>Because data between systems is linked using a probabilistic match, errors in data linkage are a potential source of measurement error</w:t>
      </w:r>
    </w:p>
    <w:p w14:paraId="566293DD" w14:textId="77777777" w:rsidR="00282ABD" w:rsidRPr="00261EBB" w:rsidRDefault="00282ABD" w:rsidP="00D26D99">
      <w:pPr>
        <w:numPr>
          <w:ilvl w:val="0"/>
          <w:numId w:val="27"/>
        </w:numPr>
        <w:spacing w:before="120" w:after="120"/>
        <w:rPr>
          <w:rFonts w:asciiTheme="minorHAnsi" w:hAnsiTheme="minorHAnsi" w:cstheme="minorHAnsi"/>
          <w:sz w:val="22"/>
          <w:szCs w:val="22"/>
          <w:lang w:val="en-CA" w:eastAsia="en-CA"/>
        </w:rPr>
      </w:pPr>
      <w:r w:rsidRPr="00261EBB">
        <w:rPr>
          <w:rFonts w:asciiTheme="minorHAnsi" w:hAnsiTheme="minorHAnsi" w:cstheme="minorHAnsi"/>
          <w:sz w:val="22"/>
          <w:szCs w:val="22"/>
          <w:lang w:val="en-CA" w:eastAsia="en-CA"/>
        </w:rPr>
        <w:t>Hiring and staffing activities data are derived from information received from the Treasury Board of Canada Secretariat Incumbent File.  The Incumbent File is extracted from the Public Services and Procurement Canada’s pay system.  The data constitutes an estimate of hiring and staffing activities to and within organizations.</w:t>
      </w:r>
    </w:p>
    <w:p w14:paraId="1ECF7C6C" w14:textId="77777777" w:rsidR="00282ABD" w:rsidRPr="00261EBB" w:rsidRDefault="00282ABD" w:rsidP="00D26D99">
      <w:pPr>
        <w:numPr>
          <w:ilvl w:val="0"/>
          <w:numId w:val="27"/>
        </w:numPr>
        <w:spacing w:before="120" w:after="120"/>
        <w:rPr>
          <w:rFonts w:asciiTheme="minorHAnsi" w:hAnsiTheme="minorHAnsi" w:cstheme="minorHAnsi"/>
          <w:sz w:val="22"/>
          <w:szCs w:val="22"/>
          <w:lang w:val="en-CA" w:eastAsia="en-CA"/>
        </w:rPr>
      </w:pPr>
      <w:r w:rsidRPr="00261EBB">
        <w:rPr>
          <w:rFonts w:asciiTheme="minorHAnsi" w:hAnsiTheme="minorHAnsi" w:cstheme="minorHAnsi"/>
          <w:sz w:val="22"/>
          <w:szCs w:val="22"/>
          <w:lang w:val="en-CA" w:eastAsia="en-CA"/>
        </w:rPr>
        <w:t>Information from the Priority Information Management System and the Public Services Resourcing System is also used to determine if staffing actions are advertised or non-advertised as well as for calculating time to staff.</w:t>
      </w:r>
    </w:p>
    <w:p w14:paraId="18E50DBC" w14:textId="77777777" w:rsidR="00282ABD" w:rsidRPr="00261EBB" w:rsidRDefault="00282ABD" w:rsidP="00D26D99">
      <w:pPr>
        <w:numPr>
          <w:ilvl w:val="0"/>
          <w:numId w:val="27"/>
        </w:numPr>
        <w:spacing w:before="120" w:after="120"/>
        <w:rPr>
          <w:rFonts w:asciiTheme="minorHAnsi" w:hAnsiTheme="minorHAnsi" w:cstheme="minorHAnsi"/>
          <w:sz w:val="22"/>
          <w:szCs w:val="22"/>
          <w:lang w:val="en-CA" w:eastAsia="en-CA"/>
        </w:rPr>
      </w:pPr>
      <w:r w:rsidRPr="00261EBB">
        <w:rPr>
          <w:rFonts w:asciiTheme="minorHAnsi" w:hAnsiTheme="minorHAnsi" w:cstheme="minorHAnsi"/>
          <w:sz w:val="22"/>
          <w:szCs w:val="22"/>
          <w:lang w:val="en-CA" w:eastAsia="en-CA"/>
        </w:rPr>
        <w:t>The data are not expected to match an organization’s human resources data, due to methodology and timing differences.</w:t>
      </w:r>
    </w:p>
    <w:sectPr w:rsidR="00282ABD" w:rsidRPr="00261EBB" w:rsidSect="00934B32">
      <w:pgSz w:w="15840" w:h="24480" w:code="3"/>
      <w:pgMar w:top="1440" w:right="1080" w:bottom="1440" w:left="108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000A5" w14:textId="77777777" w:rsidR="00A27565" w:rsidRDefault="00A27565" w:rsidP="0051557E">
      <w:r>
        <w:separator/>
      </w:r>
    </w:p>
  </w:endnote>
  <w:endnote w:type="continuationSeparator" w:id="0">
    <w:p w14:paraId="2447E9A9" w14:textId="77777777" w:rsidR="00A27565" w:rsidRDefault="00A27565" w:rsidP="0051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FE30A" w14:textId="77777777" w:rsidR="00C04D52" w:rsidRDefault="00C04D52" w:rsidP="00282ABD">
    <w:pPr>
      <w:pBdr>
        <w:top w:val="single" w:sz="4" w:space="1" w:color="D9D9D9"/>
      </w:pBdr>
      <w:tabs>
        <w:tab w:val="center" w:pos="4680"/>
        <w:tab w:val="right" w:pos="9360"/>
      </w:tabs>
    </w:pPr>
    <w:r w:rsidRPr="006B2FDC">
      <w:rPr>
        <w:rFonts w:ascii="Calibri" w:eastAsia="Calibri" w:hAnsi="Calibri" w:cs="Arial"/>
        <w:sz w:val="16"/>
        <w:szCs w:val="22"/>
        <w:lang w:val="fr-CA"/>
      </w:rPr>
      <w:fldChar w:fldCharType="begin"/>
    </w:r>
    <w:r w:rsidRPr="006B2FDC">
      <w:rPr>
        <w:rFonts w:ascii="Calibri" w:eastAsia="Calibri" w:hAnsi="Calibri" w:cs="Arial"/>
        <w:sz w:val="16"/>
        <w:szCs w:val="22"/>
        <w:lang w:val="en-CA"/>
      </w:rPr>
      <w:instrText xml:space="preserve"> PAGE   \* MERGEFORMAT </w:instrText>
    </w:r>
    <w:r w:rsidRPr="006B2FDC">
      <w:rPr>
        <w:rFonts w:ascii="Calibri" w:eastAsia="Calibri" w:hAnsi="Calibri" w:cs="Arial"/>
        <w:sz w:val="16"/>
        <w:szCs w:val="22"/>
        <w:lang w:val="fr-CA"/>
      </w:rPr>
      <w:fldChar w:fldCharType="separate"/>
    </w:r>
    <w:r w:rsidRPr="00113EFA">
      <w:rPr>
        <w:rFonts w:ascii="Calibri" w:eastAsia="Calibri" w:hAnsi="Calibri" w:cs="Arial"/>
        <w:b/>
        <w:bCs/>
        <w:noProof/>
        <w:sz w:val="16"/>
        <w:szCs w:val="22"/>
        <w:lang w:val="en-CA"/>
      </w:rPr>
      <w:t>21</w:t>
    </w:r>
    <w:r w:rsidRPr="006B2FDC">
      <w:rPr>
        <w:rFonts w:ascii="Calibri" w:eastAsia="Calibri" w:hAnsi="Calibri" w:cs="Arial"/>
        <w:b/>
        <w:bCs/>
        <w:noProof/>
        <w:sz w:val="16"/>
        <w:szCs w:val="22"/>
        <w:lang w:val="fr-CA"/>
      </w:rPr>
      <w:fldChar w:fldCharType="end"/>
    </w:r>
    <w:r w:rsidRPr="006B2FDC">
      <w:rPr>
        <w:rFonts w:ascii="Calibri" w:eastAsia="Calibri" w:hAnsi="Calibri" w:cs="Arial"/>
        <w:b/>
        <w:bCs/>
        <w:sz w:val="16"/>
        <w:szCs w:val="22"/>
        <w:lang w:val="en-CA"/>
      </w:rPr>
      <w:t xml:space="preserve"> </w:t>
    </w:r>
    <w:r>
      <w:rPr>
        <w:rFonts w:ascii="Calibri" w:eastAsia="Calibri" w:hAnsi="Calibri" w:cs="Arial"/>
        <w:color w:val="7F7F7F"/>
        <w:spacing w:val="60"/>
        <w:sz w:val="16"/>
        <w:szCs w:val="22"/>
        <w:lang w:val="en-CA"/>
      </w:rPr>
      <w:tab/>
    </w:r>
    <w:r>
      <w:rPr>
        <w:rFonts w:ascii="Calibri" w:eastAsia="Calibri" w:hAnsi="Calibri" w:cs="Arial"/>
        <w:color w:val="7F7F7F"/>
        <w:spacing w:val="60"/>
        <w:sz w:val="16"/>
        <w:szCs w:val="22"/>
        <w:lang w:val="en-CA"/>
      </w:rPr>
      <w:tab/>
    </w:r>
    <w:r w:rsidRPr="006B2FDC">
      <w:rPr>
        <w:rFonts w:ascii="Calibri" w:eastAsia="Calibri" w:hAnsi="Calibri" w:cs="Arial"/>
        <w:sz w:val="16"/>
        <w:szCs w:val="22"/>
        <w:lang w:val="en-CA"/>
      </w:rPr>
      <w:t xml:space="preserve">GCDOCS </w:t>
    </w:r>
    <w:r w:rsidRPr="00662A72">
      <w:rPr>
        <w:rFonts w:ascii="Calibri" w:eastAsia="Calibri" w:hAnsi="Calibri" w:cs="Arial"/>
        <w:sz w:val="16"/>
        <w:szCs w:val="22"/>
        <w:lang w:val="en-CA"/>
      </w:rPr>
      <w:t>10014940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AD156" w14:textId="77777777" w:rsidR="00C04D52" w:rsidRDefault="00C04D52" w:rsidP="001437AB">
    <w:pPr>
      <w:pBdr>
        <w:top w:val="single" w:sz="4" w:space="1" w:color="D9D9D9"/>
      </w:pBdr>
      <w:tabs>
        <w:tab w:val="center" w:pos="4680"/>
        <w:tab w:val="right" w:pos="9360"/>
      </w:tabs>
    </w:pPr>
    <w:r w:rsidRPr="006B2FDC">
      <w:rPr>
        <w:rFonts w:ascii="Calibri" w:eastAsia="Calibri" w:hAnsi="Calibri" w:cs="Arial"/>
        <w:sz w:val="16"/>
        <w:szCs w:val="22"/>
        <w:lang w:val="fr-CA"/>
      </w:rPr>
      <w:fldChar w:fldCharType="begin"/>
    </w:r>
    <w:r w:rsidRPr="006B2FDC">
      <w:rPr>
        <w:rFonts w:ascii="Calibri" w:eastAsia="Calibri" w:hAnsi="Calibri" w:cs="Arial"/>
        <w:sz w:val="16"/>
        <w:szCs w:val="22"/>
        <w:lang w:val="en-CA"/>
      </w:rPr>
      <w:instrText xml:space="preserve"> PAGE   \* MERGEFORMAT </w:instrText>
    </w:r>
    <w:r w:rsidRPr="006B2FDC">
      <w:rPr>
        <w:rFonts w:ascii="Calibri" w:eastAsia="Calibri" w:hAnsi="Calibri" w:cs="Arial"/>
        <w:sz w:val="16"/>
        <w:szCs w:val="22"/>
        <w:lang w:val="fr-CA"/>
      </w:rPr>
      <w:fldChar w:fldCharType="separate"/>
    </w:r>
    <w:r w:rsidRPr="00113EFA">
      <w:rPr>
        <w:rFonts w:ascii="Calibri" w:eastAsia="Calibri" w:hAnsi="Calibri" w:cs="Arial"/>
        <w:b/>
        <w:bCs/>
        <w:noProof/>
        <w:sz w:val="16"/>
        <w:szCs w:val="22"/>
        <w:lang w:val="en-CA"/>
      </w:rPr>
      <w:t>8</w:t>
    </w:r>
    <w:r w:rsidRPr="006B2FDC">
      <w:rPr>
        <w:rFonts w:ascii="Calibri" w:eastAsia="Calibri" w:hAnsi="Calibri" w:cs="Arial"/>
        <w:b/>
        <w:bCs/>
        <w:noProof/>
        <w:sz w:val="16"/>
        <w:szCs w:val="22"/>
        <w:lang w:val="fr-CA"/>
      </w:rPr>
      <w:fldChar w:fldCharType="end"/>
    </w:r>
    <w:r w:rsidRPr="006B2FDC">
      <w:rPr>
        <w:rFonts w:ascii="Calibri" w:eastAsia="Calibri" w:hAnsi="Calibri" w:cs="Arial"/>
        <w:b/>
        <w:bCs/>
        <w:sz w:val="16"/>
        <w:szCs w:val="22"/>
        <w:lang w:val="en-CA"/>
      </w:rPr>
      <w:t xml:space="preserve"> </w:t>
    </w:r>
    <w:r>
      <w:rPr>
        <w:rFonts w:ascii="Calibri" w:eastAsia="Calibri" w:hAnsi="Calibri" w:cs="Arial"/>
        <w:color w:val="7F7F7F"/>
        <w:spacing w:val="60"/>
        <w:sz w:val="16"/>
        <w:szCs w:val="22"/>
        <w:lang w:val="en-CA"/>
      </w:rPr>
      <w:tab/>
    </w:r>
    <w:r>
      <w:rPr>
        <w:rFonts w:ascii="Calibri" w:eastAsia="Calibri" w:hAnsi="Calibri" w:cs="Arial"/>
        <w:color w:val="7F7F7F"/>
        <w:spacing w:val="60"/>
        <w:sz w:val="16"/>
        <w:szCs w:val="22"/>
        <w:lang w:val="en-CA"/>
      </w:rPr>
      <w:tab/>
    </w:r>
    <w:r w:rsidRPr="006B2FDC">
      <w:rPr>
        <w:rFonts w:ascii="Calibri" w:eastAsia="Calibri" w:hAnsi="Calibri" w:cs="Arial"/>
        <w:sz w:val="16"/>
        <w:szCs w:val="22"/>
        <w:lang w:val="en-CA"/>
      </w:rPr>
      <w:t xml:space="preserve">GCDOCS </w:t>
    </w:r>
    <w:r w:rsidRPr="00662A72">
      <w:rPr>
        <w:rFonts w:ascii="Calibri" w:eastAsia="Calibri" w:hAnsi="Calibri" w:cs="Arial"/>
        <w:sz w:val="16"/>
        <w:szCs w:val="22"/>
        <w:lang w:val="en-CA"/>
      </w:rPr>
      <w:t>10014940</w:t>
    </w:r>
  </w:p>
  <w:p w14:paraId="127DB878" w14:textId="77777777" w:rsidR="00C04D52" w:rsidRPr="001437AB" w:rsidRDefault="00C04D52" w:rsidP="001437A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2653565"/>
      <w:docPartObj>
        <w:docPartGallery w:val="Page Numbers (Bottom of Page)"/>
        <w:docPartUnique/>
      </w:docPartObj>
    </w:sdtPr>
    <w:sdtEndPr>
      <w:rPr>
        <w:noProof/>
      </w:rPr>
    </w:sdtEndPr>
    <w:sdtContent>
      <w:p w14:paraId="061F0390" w14:textId="77777777" w:rsidR="00C04D52" w:rsidRDefault="00C04D52" w:rsidP="001437AB">
        <w:pPr>
          <w:pBdr>
            <w:top w:val="single" w:sz="4" w:space="1" w:color="D9D9D9"/>
          </w:pBdr>
          <w:tabs>
            <w:tab w:val="center" w:pos="4680"/>
            <w:tab w:val="right" w:pos="9360"/>
          </w:tabs>
        </w:pPr>
        <w:r w:rsidRPr="006B2FDC">
          <w:rPr>
            <w:rFonts w:ascii="Calibri" w:eastAsia="Calibri" w:hAnsi="Calibri" w:cs="Arial"/>
            <w:sz w:val="16"/>
            <w:szCs w:val="22"/>
            <w:lang w:val="fr-CA"/>
          </w:rPr>
          <w:fldChar w:fldCharType="begin"/>
        </w:r>
        <w:r w:rsidRPr="006B2FDC">
          <w:rPr>
            <w:rFonts w:ascii="Calibri" w:eastAsia="Calibri" w:hAnsi="Calibri" w:cs="Arial"/>
            <w:sz w:val="16"/>
            <w:szCs w:val="22"/>
            <w:lang w:val="en-CA"/>
          </w:rPr>
          <w:instrText xml:space="preserve"> PAGE   \* MERGEFORMAT </w:instrText>
        </w:r>
        <w:r w:rsidRPr="006B2FDC">
          <w:rPr>
            <w:rFonts w:ascii="Calibri" w:eastAsia="Calibri" w:hAnsi="Calibri" w:cs="Arial"/>
            <w:sz w:val="16"/>
            <w:szCs w:val="22"/>
            <w:lang w:val="fr-CA"/>
          </w:rPr>
          <w:fldChar w:fldCharType="separate"/>
        </w:r>
        <w:r w:rsidRPr="00C57986">
          <w:rPr>
            <w:rFonts w:ascii="Calibri" w:eastAsia="Calibri" w:hAnsi="Calibri" w:cs="Arial"/>
            <w:b/>
            <w:bCs/>
            <w:noProof/>
            <w:sz w:val="16"/>
            <w:szCs w:val="22"/>
            <w:lang w:val="en-CA"/>
          </w:rPr>
          <w:t>27</w:t>
        </w:r>
        <w:r w:rsidRPr="006B2FDC">
          <w:rPr>
            <w:rFonts w:ascii="Calibri" w:eastAsia="Calibri" w:hAnsi="Calibri" w:cs="Arial"/>
            <w:b/>
            <w:bCs/>
            <w:noProof/>
            <w:sz w:val="16"/>
            <w:szCs w:val="22"/>
            <w:lang w:val="fr-CA"/>
          </w:rPr>
          <w:fldChar w:fldCharType="end"/>
        </w:r>
        <w:r w:rsidRPr="006B2FDC">
          <w:rPr>
            <w:rFonts w:ascii="Calibri" w:eastAsia="Calibri" w:hAnsi="Calibri" w:cs="Arial"/>
            <w:b/>
            <w:bCs/>
            <w:sz w:val="16"/>
            <w:szCs w:val="22"/>
            <w:lang w:val="en-CA"/>
          </w:rPr>
          <w:t xml:space="preserve"> </w:t>
        </w:r>
        <w:r>
          <w:rPr>
            <w:rFonts w:ascii="Calibri" w:eastAsia="Calibri" w:hAnsi="Calibri" w:cs="Arial"/>
            <w:color w:val="7F7F7F"/>
            <w:spacing w:val="60"/>
            <w:sz w:val="16"/>
            <w:szCs w:val="22"/>
            <w:lang w:val="en-CA"/>
          </w:rPr>
          <w:tab/>
        </w:r>
        <w:r>
          <w:rPr>
            <w:rFonts w:ascii="Calibri" w:eastAsia="Calibri" w:hAnsi="Calibri" w:cs="Arial"/>
            <w:color w:val="7F7F7F"/>
            <w:spacing w:val="60"/>
            <w:sz w:val="16"/>
            <w:szCs w:val="22"/>
            <w:lang w:val="en-CA"/>
          </w:rPr>
          <w:tab/>
        </w:r>
        <w:r w:rsidRPr="006B2FDC">
          <w:rPr>
            <w:rFonts w:ascii="Calibri" w:eastAsia="Calibri" w:hAnsi="Calibri" w:cs="Arial"/>
            <w:sz w:val="16"/>
            <w:szCs w:val="22"/>
            <w:lang w:val="en-CA"/>
          </w:rPr>
          <w:t xml:space="preserve">GCDOCS </w:t>
        </w:r>
        <w:r w:rsidRPr="00662A72">
          <w:rPr>
            <w:rFonts w:ascii="Calibri" w:eastAsia="Calibri" w:hAnsi="Calibri" w:cs="Arial"/>
            <w:sz w:val="16"/>
            <w:szCs w:val="22"/>
            <w:lang w:val="en-CA"/>
          </w:rPr>
          <w:t>10014940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64678" w14:textId="77777777" w:rsidR="00A27565" w:rsidRDefault="00A27565" w:rsidP="0051557E">
      <w:r>
        <w:separator/>
      </w:r>
    </w:p>
  </w:footnote>
  <w:footnote w:type="continuationSeparator" w:id="0">
    <w:p w14:paraId="71179F50" w14:textId="77777777" w:rsidR="00A27565" w:rsidRDefault="00A27565" w:rsidP="00515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B035F" w14:textId="77777777" w:rsidR="00C04D52" w:rsidRDefault="00C04D52" w:rsidP="0051557E">
    <w:pPr>
      <w:pStyle w:val="En-tte"/>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71DDF"/>
    <w:multiLevelType w:val="hybridMultilevel"/>
    <w:tmpl w:val="D29ADE6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1A7EEB"/>
    <w:multiLevelType w:val="hybridMultilevel"/>
    <w:tmpl w:val="14847B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4F3ECA"/>
    <w:multiLevelType w:val="hybridMultilevel"/>
    <w:tmpl w:val="1E8C56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BE710FF"/>
    <w:multiLevelType w:val="hybridMultilevel"/>
    <w:tmpl w:val="6F5211AC"/>
    <w:lvl w:ilvl="0" w:tplc="309E786C">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2C6BF6"/>
    <w:multiLevelType w:val="hybridMultilevel"/>
    <w:tmpl w:val="56FA14D2"/>
    <w:lvl w:ilvl="0" w:tplc="3FAE77F8">
      <w:numFmt w:val="bullet"/>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47966E7"/>
    <w:multiLevelType w:val="hybridMultilevel"/>
    <w:tmpl w:val="F76C962E"/>
    <w:lvl w:ilvl="0" w:tplc="CE5C5B68">
      <w:start w:val="1"/>
      <w:numFmt w:val="bullet"/>
      <w:lvlText w:val="•"/>
      <w:lvlJc w:val="left"/>
      <w:pPr>
        <w:tabs>
          <w:tab w:val="num" w:pos="720"/>
        </w:tabs>
        <w:ind w:left="720" w:hanging="360"/>
      </w:pPr>
      <w:rPr>
        <w:rFonts w:ascii="Arial" w:hAnsi="Arial" w:hint="default"/>
      </w:rPr>
    </w:lvl>
    <w:lvl w:ilvl="1" w:tplc="F7F66436">
      <w:start w:val="76"/>
      <w:numFmt w:val="bullet"/>
      <w:lvlText w:val="•"/>
      <w:lvlJc w:val="left"/>
      <w:pPr>
        <w:tabs>
          <w:tab w:val="num" w:pos="1440"/>
        </w:tabs>
        <w:ind w:left="1440" w:hanging="360"/>
      </w:pPr>
      <w:rPr>
        <w:rFonts w:ascii="Arial" w:hAnsi="Arial" w:hint="default"/>
      </w:rPr>
    </w:lvl>
    <w:lvl w:ilvl="2" w:tplc="CEF41514" w:tentative="1">
      <w:start w:val="1"/>
      <w:numFmt w:val="bullet"/>
      <w:lvlText w:val="•"/>
      <w:lvlJc w:val="left"/>
      <w:pPr>
        <w:tabs>
          <w:tab w:val="num" w:pos="2160"/>
        </w:tabs>
        <w:ind w:left="2160" w:hanging="360"/>
      </w:pPr>
      <w:rPr>
        <w:rFonts w:ascii="Arial" w:hAnsi="Arial" w:hint="default"/>
      </w:rPr>
    </w:lvl>
    <w:lvl w:ilvl="3" w:tplc="F482A62E" w:tentative="1">
      <w:start w:val="1"/>
      <w:numFmt w:val="bullet"/>
      <w:lvlText w:val="•"/>
      <w:lvlJc w:val="left"/>
      <w:pPr>
        <w:tabs>
          <w:tab w:val="num" w:pos="2880"/>
        </w:tabs>
        <w:ind w:left="2880" w:hanging="360"/>
      </w:pPr>
      <w:rPr>
        <w:rFonts w:ascii="Arial" w:hAnsi="Arial" w:hint="default"/>
      </w:rPr>
    </w:lvl>
    <w:lvl w:ilvl="4" w:tplc="9AFC614C" w:tentative="1">
      <w:start w:val="1"/>
      <w:numFmt w:val="bullet"/>
      <w:lvlText w:val="•"/>
      <w:lvlJc w:val="left"/>
      <w:pPr>
        <w:tabs>
          <w:tab w:val="num" w:pos="3600"/>
        </w:tabs>
        <w:ind w:left="3600" w:hanging="360"/>
      </w:pPr>
      <w:rPr>
        <w:rFonts w:ascii="Arial" w:hAnsi="Arial" w:hint="default"/>
      </w:rPr>
    </w:lvl>
    <w:lvl w:ilvl="5" w:tplc="2CF65ECC" w:tentative="1">
      <w:start w:val="1"/>
      <w:numFmt w:val="bullet"/>
      <w:lvlText w:val="•"/>
      <w:lvlJc w:val="left"/>
      <w:pPr>
        <w:tabs>
          <w:tab w:val="num" w:pos="4320"/>
        </w:tabs>
        <w:ind w:left="4320" w:hanging="360"/>
      </w:pPr>
      <w:rPr>
        <w:rFonts w:ascii="Arial" w:hAnsi="Arial" w:hint="default"/>
      </w:rPr>
    </w:lvl>
    <w:lvl w:ilvl="6" w:tplc="41D4D958" w:tentative="1">
      <w:start w:val="1"/>
      <w:numFmt w:val="bullet"/>
      <w:lvlText w:val="•"/>
      <w:lvlJc w:val="left"/>
      <w:pPr>
        <w:tabs>
          <w:tab w:val="num" w:pos="5040"/>
        </w:tabs>
        <w:ind w:left="5040" w:hanging="360"/>
      </w:pPr>
      <w:rPr>
        <w:rFonts w:ascii="Arial" w:hAnsi="Arial" w:hint="default"/>
      </w:rPr>
    </w:lvl>
    <w:lvl w:ilvl="7" w:tplc="C680DA1A" w:tentative="1">
      <w:start w:val="1"/>
      <w:numFmt w:val="bullet"/>
      <w:lvlText w:val="•"/>
      <w:lvlJc w:val="left"/>
      <w:pPr>
        <w:tabs>
          <w:tab w:val="num" w:pos="5760"/>
        </w:tabs>
        <w:ind w:left="5760" w:hanging="360"/>
      </w:pPr>
      <w:rPr>
        <w:rFonts w:ascii="Arial" w:hAnsi="Arial" w:hint="default"/>
      </w:rPr>
    </w:lvl>
    <w:lvl w:ilvl="8" w:tplc="BED0E6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E721B5"/>
    <w:multiLevelType w:val="hybridMultilevel"/>
    <w:tmpl w:val="C4F459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05B4CB3"/>
    <w:multiLevelType w:val="hybridMultilevel"/>
    <w:tmpl w:val="4B383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13B5FCF"/>
    <w:multiLevelType w:val="hybridMultilevel"/>
    <w:tmpl w:val="4EC0AF72"/>
    <w:lvl w:ilvl="0" w:tplc="10090001">
      <w:start w:val="1"/>
      <w:numFmt w:val="bullet"/>
      <w:lvlText w:val=""/>
      <w:lvlJc w:val="left"/>
      <w:pPr>
        <w:ind w:left="360" w:hanging="360"/>
      </w:pPr>
      <w:rPr>
        <w:rFonts w:ascii="Symbol" w:hAnsi="Symbol" w:hint="default"/>
      </w:rPr>
    </w:lvl>
    <w:lvl w:ilvl="1" w:tplc="169E289C">
      <w:numFmt w:val="bullet"/>
      <w:lvlText w:val="-"/>
      <w:lvlJc w:val="left"/>
      <w:pPr>
        <w:ind w:left="1080" w:hanging="360"/>
      </w:pPr>
      <w:rPr>
        <w:rFonts w:ascii="Arial" w:eastAsiaTheme="minorHAnsi"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495783A"/>
    <w:multiLevelType w:val="hybridMultilevel"/>
    <w:tmpl w:val="3AAA1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F75B8D"/>
    <w:multiLevelType w:val="hybridMultilevel"/>
    <w:tmpl w:val="03345B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A5A50EF"/>
    <w:multiLevelType w:val="hybridMultilevel"/>
    <w:tmpl w:val="36CEDA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A905ECD"/>
    <w:multiLevelType w:val="hybridMultilevel"/>
    <w:tmpl w:val="34EA83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B9348AF"/>
    <w:multiLevelType w:val="hybridMultilevel"/>
    <w:tmpl w:val="C7268DCC"/>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44718C"/>
    <w:multiLevelType w:val="hybridMultilevel"/>
    <w:tmpl w:val="DF1E189A"/>
    <w:lvl w:ilvl="0" w:tplc="E084BE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4C2F55"/>
    <w:multiLevelType w:val="hybridMultilevel"/>
    <w:tmpl w:val="388A7E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8576C7"/>
    <w:multiLevelType w:val="hybridMultilevel"/>
    <w:tmpl w:val="A0EAA5E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8F242B8"/>
    <w:multiLevelType w:val="hybridMultilevel"/>
    <w:tmpl w:val="884AF698"/>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39B18DE"/>
    <w:multiLevelType w:val="hybridMultilevel"/>
    <w:tmpl w:val="30408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C9C26DB"/>
    <w:multiLevelType w:val="hybridMultilevel"/>
    <w:tmpl w:val="CC461B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BB6E69"/>
    <w:multiLevelType w:val="hybridMultilevel"/>
    <w:tmpl w:val="840E7B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80F636F"/>
    <w:multiLevelType w:val="hybridMultilevel"/>
    <w:tmpl w:val="D0EC74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99675A9"/>
    <w:multiLevelType w:val="hybridMultilevel"/>
    <w:tmpl w:val="71287D92"/>
    <w:lvl w:ilvl="0" w:tplc="10090001">
      <w:start w:val="1"/>
      <w:numFmt w:val="bullet"/>
      <w:lvlText w:val=""/>
      <w:lvlJc w:val="left"/>
      <w:pPr>
        <w:ind w:left="720" w:hanging="360"/>
      </w:pPr>
      <w:rPr>
        <w:rFonts w:ascii="Symbol" w:hAnsi="Symbol" w:hint="default"/>
      </w:rPr>
    </w:lvl>
    <w:lvl w:ilvl="1" w:tplc="DC66EDAC">
      <w:numFmt w:val="bullet"/>
      <w:lvlText w:val="•"/>
      <w:lvlJc w:val="left"/>
      <w:pPr>
        <w:ind w:left="1800" w:hanging="720"/>
      </w:pPr>
      <w:rPr>
        <w:rFonts w:ascii="Segoe UI Semilight" w:eastAsia="Times New Roman" w:hAnsi="Segoe UI Semilight" w:cs="Segoe UI Semilight"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CBA6217"/>
    <w:multiLevelType w:val="hybridMultilevel"/>
    <w:tmpl w:val="EAC4FDE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4" w15:restartNumberingAfterBreak="0">
    <w:nsid w:val="7276730E"/>
    <w:multiLevelType w:val="hybridMultilevel"/>
    <w:tmpl w:val="97562B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8E94D26"/>
    <w:multiLevelType w:val="hybridMultilevel"/>
    <w:tmpl w:val="C4C2CE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4"/>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19"/>
  </w:num>
  <w:num w:numId="8">
    <w:abstractNumId w:val="11"/>
  </w:num>
  <w:num w:numId="9">
    <w:abstractNumId w:val="7"/>
  </w:num>
  <w:num w:numId="10">
    <w:abstractNumId w:val="24"/>
  </w:num>
  <w:num w:numId="11">
    <w:abstractNumId w:val="1"/>
  </w:num>
  <w:num w:numId="12">
    <w:abstractNumId w:val="22"/>
  </w:num>
  <w:num w:numId="13">
    <w:abstractNumId w:val="10"/>
  </w:num>
  <w:num w:numId="14">
    <w:abstractNumId w:val="2"/>
  </w:num>
  <w:num w:numId="15">
    <w:abstractNumId w:val="12"/>
  </w:num>
  <w:num w:numId="16">
    <w:abstractNumId w:val="20"/>
  </w:num>
  <w:num w:numId="17">
    <w:abstractNumId w:val="23"/>
  </w:num>
  <w:num w:numId="18">
    <w:abstractNumId w:val="13"/>
  </w:num>
  <w:num w:numId="19">
    <w:abstractNumId w:val="0"/>
  </w:num>
  <w:num w:numId="20">
    <w:abstractNumId w:val="21"/>
  </w:num>
  <w:num w:numId="21">
    <w:abstractNumId w:val="18"/>
  </w:num>
  <w:num w:numId="22">
    <w:abstractNumId w:val="25"/>
  </w:num>
  <w:num w:numId="23">
    <w:abstractNumId w:val="17"/>
  </w:num>
  <w:num w:numId="24">
    <w:abstractNumId w:val="16"/>
  </w:num>
  <w:num w:numId="25">
    <w:abstractNumId w:val="9"/>
  </w:num>
  <w:num w:numId="26">
    <w:abstractNumId w:val="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defaultTabStop w:val="720"/>
  <w:hyphenationZone w:val="425"/>
  <w:characterSpacingControl w:val="doNotCompress"/>
  <w:hdrShapeDefaults>
    <o:shapedefaults v:ext="edit" spidmax="4097"/>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ABD"/>
    <w:rsid w:val="0000600B"/>
    <w:rsid w:val="00020BE4"/>
    <w:rsid w:val="00031365"/>
    <w:rsid w:val="00042792"/>
    <w:rsid w:val="0009595B"/>
    <w:rsid w:val="00113EFA"/>
    <w:rsid w:val="001205FF"/>
    <w:rsid w:val="0012284D"/>
    <w:rsid w:val="00127EE6"/>
    <w:rsid w:val="001437AB"/>
    <w:rsid w:val="00152173"/>
    <w:rsid w:val="00177890"/>
    <w:rsid w:val="00187660"/>
    <w:rsid w:val="00190A3D"/>
    <w:rsid w:val="00190BA5"/>
    <w:rsid w:val="00192FAE"/>
    <w:rsid w:val="001A6F38"/>
    <w:rsid w:val="00200978"/>
    <w:rsid w:val="00202421"/>
    <w:rsid w:val="00210749"/>
    <w:rsid w:val="00220708"/>
    <w:rsid w:val="00232375"/>
    <w:rsid w:val="00244CD0"/>
    <w:rsid w:val="00261C6B"/>
    <w:rsid w:val="00261EBB"/>
    <w:rsid w:val="00282ABD"/>
    <w:rsid w:val="002A0977"/>
    <w:rsid w:val="002A0E00"/>
    <w:rsid w:val="002A0E4F"/>
    <w:rsid w:val="002A2C35"/>
    <w:rsid w:val="002C0B94"/>
    <w:rsid w:val="002D1AB2"/>
    <w:rsid w:val="002F7513"/>
    <w:rsid w:val="003008DE"/>
    <w:rsid w:val="00311252"/>
    <w:rsid w:val="00317619"/>
    <w:rsid w:val="00324875"/>
    <w:rsid w:val="00331242"/>
    <w:rsid w:val="00340D6C"/>
    <w:rsid w:val="0034457A"/>
    <w:rsid w:val="00384573"/>
    <w:rsid w:val="003A1815"/>
    <w:rsid w:val="003A722C"/>
    <w:rsid w:val="003C0199"/>
    <w:rsid w:val="003C19AC"/>
    <w:rsid w:val="003C6378"/>
    <w:rsid w:val="003F56BB"/>
    <w:rsid w:val="004001E7"/>
    <w:rsid w:val="0040458D"/>
    <w:rsid w:val="0044032F"/>
    <w:rsid w:val="00442393"/>
    <w:rsid w:val="00446697"/>
    <w:rsid w:val="004824BB"/>
    <w:rsid w:val="00484E0E"/>
    <w:rsid w:val="0049560D"/>
    <w:rsid w:val="004A41EB"/>
    <w:rsid w:val="004A6127"/>
    <w:rsid w:val="004A6394"/>
    <w:rsid w:val="004B329D"/>
    <w:rsid w:val="004F7FB8"/>
    <w:rsid w:val="005019E5"/>
    <w:rsid w:val="0051557E"/>
    <w:rsid w:val="0054386D"/>
    <w:rsid w:val="005577B7"/>
    <w:rsid w:val="00562F85"/>
    <w:rsid w:val="005715C9"/>
    <w:rsid w:val="0057285C"/>
    <w:rsid w:val="00583F59"/>
    <w:rsid w:val="00586DB9"/>
    <w:rsid w:val="005B4A4A"/>
    <w:rsid w:val="005B5E7A"/>
    <w:rsid w:val="005E34B3"/>
    <w:rsid w:val="00607BA3"/>
    <w:rsid w:val="00607CB5"/>
    <w:rsid w:val="006239D6"/>
    <w:rsid w:val="0065235B"/>
    <w:rsid w:val="00662A72"/>
    <w:rsid w:val="00676CEB"/>
    <w:rsid w:val="00690769"/>
    <w:rsid w:val="006B37BD"/>
    <w:rsid w:val="006C10D0"/>
    <w:rsid w:val="006C1FA6"/>
    <w:rsid w:val="006E3518"/>
    <w:rsid w:val="00731AD9"/>
    <w:rsid w:val="00742A3D"/>
    <w:rsid w:val="0076559F"/>
    <w:rsid w:val="00791D32"/>
    <w:rsid w:val="007B0FA8"/>
    <w:rsid w:val="007B1877"/>
    <w:rsid w:val="007B68FE"/>
    <w:rsid w:val="007D601B"/>
    <w:rsid w:val="007E01AC"/>
    <w:rsid w:val="007E17D1"/>
    <w:rsid w:val="007E54E2"/>
    <w:rsid w:val="00802052"/>
    <w:rsid w:val="00824974"/>
    <w:rsid w:val="00826BE2"/>
    <w:rsid w:val="008366F5"/>
    <w:rsid w:val="00842013"/>
    <w:rsid w:val="00845FEA"/>
    <w:rsid w:val="00867AE2"/>
    <w:rsid w:val="008946C8"/>
    <w:rsid w:val="008A7CCD"/>
    <w:rsid w:val="008B08E4"/>
    <w:rsid w:val="008D6012"/>
    <w:rsid w:val="008D7C01"/>
    <w:rsid w:val="00903058"/>
    <w:rsid w:val="00912B51"/>
    <w:rsid w:val="00920412"/>
    <w:rsid w:val="00934B32"/>
    <w:rsid w:val="00955A3A"/>
    <w:rsid w:val="00984CDF"/>
    <w:rsid w:val="00994800"/>
    <w:rsid w:val="00997D3F"/>
    <w:rsid w:val="009C729C"/>
    <w:rsid w:val="00A27565"/>
    <w:rsid w:val="00A3677B"/>
    <w:rsid w:val="00A649C7"/>
    <w:rsid w:val="00A76D5A"/>
    <w:rsid w:val="00A77330"/>
    <w:rsid w:val="00A77C0A"/>
    <w:rsid w:val="00A901F0"/>
    <w:rsid w:val="00A9789E"/>
    <w:rsid w:val="00AA15B5"/>
    <w:rsid w:val="00AB5620"/>
    <w:rsid w:val="00AC349D"/>
    <w:rsid w:val="00AD4BF3"/>
    <w:rsid w:val="00B068EF"/>
    <w:rsid w:val="00B33018"/>
    <w:rsid w:val="00B45CC8"/>
    <w:rsid w:val="00B62C81"/>
    <w:rsid w:val="00B6345D"/>
    <w:rsid w:val="00B70786"/>
    <w:rsid w:val="00C00A4A"/>
    <w:rsid w:val="00C01050"/>
    <w:rsid w:val="00C04D52"/>
    <w:rsid w:val="00C17CCF"/>
    <w:rsid w:val="00C342AC"/>
    <w:rsid w:val="00C562F1"/>
    <w:rsid w:val="00C57986"/>
    <w:rsid w:val="00C6094A"/>
    <w:rsid w:val="00C86A9D"/>
    <w:rsid w:val="00C91FFC"/>
    <w:rsid w:val="00CA677F"/>
    <w:rsid w:val="00CA798A"/>
    <w:rsid w:val="00CC297B"/>
    <w:rsid w:val="00CC30F5"/>
    <w:rsid w:val="00CE3BFB"/>
    <w:rsid w:val="00D16434"/>
    <w:rsid w:val="00D23AD2"/>
    <w:rsid w:val="00D26D99"/>
    <w:rsid w:val="00D459A3"/>
    <w:rsid w:val="00D504CF"/>
    <w:rsid w:val="00D67FBF"/>
    <w:rsid w:val="00D736A7"/>
    <w:rsid w:val="00D73780"/>
    <w:rsid w:val="00D868DD"/>
    <w:rsid w:val="00DC0FAA"/>
    <w:rsid w:val="00DC5438"/>
    <w:rsid w:val="00DE03F6"/>
    <w:rsid w:val="00DE0541"/>
    <w:rsid w:val="00DE5B06"/>
    <w:rsid w:val="00E276E9"/>
    <w:rsid w:val="00E366F8"/>
    <w:rsid w:val="00E4578D"/>
    <w:rsid w:val="00E57238"/>
    <w:rsid w:val="00EB1B98"/>
    <w:rsid w:val="00ED7F0A"/>
    <w:rsid w:val="00EE2D8D"/>
    <w:rsid w:val="00F236D0"/>
    <w:rsid w:val="00F3473B"/>
    <w:rsid w:val="00F50508"/>
    <w:rsid w:val="00F52EF3"/>
    <w:rsid w:val="00F76F23"/>
    <w:rsid w:val="00F87B06"/>
    <w:rsid w:val="00FB0267"/>
    <w:rsid w:val="00FC1B82"/>
    <w:rsid w:val="00FC7694"/>
    <w:rsid w:val="00FD5D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38B0B4"/>
  <w15:chartTrackingRefBased/>
  <w15:docId w15:val="{58EBB24C-D6F7-418C-A612-8A3E95C7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ABD"/>
    <w:pPr>
      <w:spacing w:after="0" w:line="240" w:lineRule="auto"/>
    </w:pPr>
    <w:rPr>
      <w:rFonts w:ascii="Times New Roman" w:eastAsia="Times New Roman" w:hAnsi="Times New Roman" w:cs="Times New Roman"/>
      <w:sz w:val="24"/>
      <w:szCs w:val="20"/>
      <w:lang w:val="en-US"/>
    </w:rPr>
  </w:style>
  <w:style w:type="paragraph" w:styleId="Titre1">
    <w:name w:val="heading 1"/>
    <w:basedOn w:val="Normal"/>
    <w:next w:val="Normal"/>
    <w:link w:val="Titre1Car"/>
    <w:uiPriority w:val="9"/>
    <w:qFormat/>
    <w:rsid w:val="00210749"/>
    <w:pPr>
      <w:keepNext/>
      <w:spacing w:before="240"/>
      <w:outlineLvl w:val="0"/>
    </w:pPr>
    <w:rPr>
      <w:rFonts w:asciiTheme="majorHAnsi" w:eastAsiaTheme="majorEastAsia" w:hAnsiTheme="majorHAnsi" w:cstheme="majorBidi"/>
      <w:sz w:val="48"/>
      <w:szCs w:val="48"/>
    </w:rPr>
  </w:style>
  <w:style w:type="paragraph" w:styleId="Titre2">
    <w:name w:val="heading 2"/>
    <w:basedOn w:val="Normal"/>
    <w:next w:val="Normal"/>
    <w:link w:val="Titre2Car"/>
    <w:uiPriority w:val="9"/>
    <w:unhideWhenUsed/>
    <w:qFormat/>
    <w:rsid w:val="00210749"/>
    <w:pPr>
      <w:keepNext/>
      <w:spacing w:before="40"/>
      <w:outlineLvl w:val="1"/>
    </w:pPr>
    <w:rPr>
      <w:rFonts w:ascii="Segoe UI" w:eastAsiaTheme="majorEastAsia" w:hAnsi="Segoe UI" w:cs="Segoe UI"/>
      <w:b/>
      <w:color w:val="5B315E" w:themeColor="accent2"/>
      <w:sz w:val="32"/>
      <w:szCs w:val="32"/>
    </w:rPr>
  </w:style>
  <w:style w:type="paragraph" w:styleId="Titre3">
    <w:name w:val="heading 3"/>
    <w:basedOn w:val="Normal"/>
    <w:next w:val="Normal"/>
    <w:link w:val="Titre3Car"/>
    <w:uiPriority w:val="9"/>
    <w:unhideWhenUsed/>
    <w:qFormat/>
    <w:rsid w:val="00210749"/>
    <w:pPr>
      <w:keepNext/>
      <w:spacing w:before="40"/>
      <w:outlineLvl w:val="2"/>
    </w:pPr>
    <w:rPr>
      <w:rFonts w:ascii="Segoe UI Semibold" w:eastAsiaTheme="majorEastAsia" w:hAnsi="Segoe UI Semibold" w:cs="Segoe UI Semibold"/>
      <w:szCs w:val="24"/>
    </w:rPr>
  </w:style>
  <w:style w:type="paragraph" w:styleId="Titre4">
    <w:name w:val="heading 4"/>
    <w:basedOn w:val="Normal"/>
    <w:next w:val="Normal"/>
    <w:link w:val="Titre4Car"/>
    <w:uiPriority w:val="9"/>
    <w:unhideWhenUsed/>
    <w:qFormat/>
    <w:rsid w:val="00210749"/>
    <w:pPr>
      <w:keepNext/>
      <w:spacing w:before="40"/>
      <w:outlineLvl w:val="3"/>
    </w:pPr>
    <w:rPr>
      <w:rFonts w:asciiTheme="majorHAnsi" w:eastAsiaTheme="majorEastAsia" w:hAnsiTheme="majorHAnsi" w:cstheme="majorBidi"/>
      <w:iCs/>
      <w:color w:val="54575A" w:themeColor="text2"/>
    </w:rPr>
  </w:style>
  <w:style w:type="paragraph" w:styleId="Titre5">
    <w:name w:val="heading 5"/>
    <w:basedOn w:val="Normal"/>
    <w:next w:val="Normal"/>
    <w:link w:val="Titre5Car"/>
    <w:uiPriority w:val="9"/>
    <w:unhideWhenUsed/>
    <w:qFormat/>
    <w:rsid w:val="00210749"/>
    <w:pPr>
      <w:keepNext/>
      <w:spacing w:before="40"/>
      <w:outlineLvl w:val="4"/>
    </w:pPr>
    <w:rPr>
      <w:rFonts w:asciiTheme="majorHAnsi" w:eastAsiaTheme="majorEastAsia" w:hAnsiTheme="majorHAnsi" w:cstheme="majorBidi"/>
      <w:color w:val="9F004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0749"/>
    <w:pPr>
      <w:tabs>
        <w:tab w:val="center" w:pos="4680"/>
        <w:tab w:val="right" w:pos="9360"/>
      </w:tabs>
    </w:pPr>
  </w:style>
  <w:style w:type="character" w:customStyle="1" w:styleId="En-tteCar">
    <w:name w:val="En-tête Car"/>
    <w:basedOn w:val="Policepardfaut"/>
    <w:link w:val="En-tte"/>
    <w:uiPriority w:val="99"/>
    <w:rsid w:val="00210749"/>
    <w:rPr>
      <w:color w:val="54575A" w:themeColor="text1"/>
      <w:lang w:val="fr-CA"/>
    </w:rPr>
  </w:style>
  <w:style w:type="paragraph" w:styleId="Pieddepage">
    <w:name w:val="footer"/>
    <w:basedOn w:val="Normal"/>
    <w:link w:val="PieddepageCar"/>
    <w:uiPriority w:val="99"/>
    <w:unhideWhenUsed/>
    <w:rsid w:val="00210749"/>
    <w:pPr>
      <w:tabs>
        <w:tab w:val="center" w:pos="4680"/>
        <w:tab w:val="right" w:pos="9360"/>
      </w:tabs>
    </w:pPr>
  </w:style>
  <w:style w:type="character" w:customStyle="1" w:styleId="PieddepageCar">
    <w:name w:val="Pied de page Car"/>
    <w:basedOn w:val="Policepardfaut"/>
    <w:link w:val="Pieddepage"/>
    <w:uiPriority w:val="99"/>
    <w:rsid w:val="00210749"/>
    <w:rPr>
      <w:color w:val="54575A" w:themeColor="text1"/>
      <w:lang w:val="fr-CA"/>
    </w:rPr>
  </w:style>
  <w:style w:type="paragraph" w:styleId="Textedebulles">
    <w:name w:val="Balloon Text"/>
    <w:basedOn w:val="Normal"/>
    <w:link w:val="TextedebullesCar"/>
    <w:uiPriority w:val="99"/>
    <w:semiHidden/>
    <w:unhideWhenUsed/>
    <w:rsid w:val="00210749"/>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0749"/>
    <w:rPr>
      <w:rFonts w:ascii="Segoe UI" w:hAnsi="Segoe UI" w:cs="Segoe UI"/>
      <w:color w:val="54575A" w:themeColor="text1"/>
      <w:sz w:val="18"/>
      <w:szCs w:val="18"/>
      <w:lang w:val="fr-CA"/>
    </w:rPr>
  </w:style>
  <w:style w:type="paragraph" w:customStyle="1" w:styleId="ColumnTitle">
    <w:name w:val="Column Title"/>
    <w:basedOn w:val="Normal"/>
    <w:qFormat/>
    <w:rsid w:val="00210749"/>
    <w:rPr>
      <w:rFonts w:ascii="Segoe UI Semibold" w:hAnsi="Segoe UI Semibold" w:cs="Segoe UI Semibold"/>
      <w:color w:val="F2F2F2" w:themeColor="background2"/>
      <w:szCs w:val="24"/>
    </w:rPr>
  </w:style>
  <w:style w:type="paragraph" w:customStyle="1" w:styleId="DataText">
    <w:name w:val="Data Text"/>
    <w:basedOn w:val="Normal"/>
    <w:qFormat/>
    <w:rsid w:val="00210749"/>
  </w:style>
  <w:style w:type="character" w:styleId="Appelnotedebasdep">
    <w:name w:val="footnote reference"/>
    <w:basedOn w:val="Policepardfaut"/>
    <w:uiPriority w:val="99"/>
    <w:semiHidden/>
    <w:unhideWhenUsed/>
    <w:rsid w:val="00210749"/>
    <w:rPr>
      <w:vertAlign w:val="superscript"/>
    </w:rPr>
  </w:style>
  <w:style w:type="paragraph" w:styleId="Notedebasdepage">
    <w:name w:val="footnote text"/>
    <w:basedOn w:val="Normal"/>
    <w:link w:val="NotedebasdepageCar"/>
    <w:uiPriority w:val="99"/>
    <w:unhideWhenUsed/>
    <w:rsid w:val="00210749"/>
    <w:rPr>
      <w:sz w:val="20"/>
    </w:rPr>
  </w:style>
  <w:style w:type="character" w:customStyle="1" w:styleId="NotedebasdepageCar">
    <w:name w:val="Note de bas de page Car"/>
    <w:basedOn w:val="Policepardfaut"/>
    <w:link w:val="Notedebasdepage"/>
    <w:uiPriority w:val="99"/>
    <w:rsid w:val="00210749"/>
    <w:rPr>
      <w:color w:val="54575A" w:themeColor="text1"/>
      <w:sz w:val="20"/>
      <w:szCs w:val="20"/>
      <w:lang w:val="fr-CA"/>
    </w:rPr>
  </w:style>
  <w:style w:type="character" w:customStyle="1" w:styleId="Titre1Car">
    <w:name w:val="Titre 1 Car"/>
    <w:basedOn w:val="Policepardfaut"/>
    <w:link w:val="Titre1"/>
    <w:uiPriority w:val="9"/>
    <w:rsid w:val="00210749"/>
    <w:rPr>
      <w:rFonts w:asciiTheme="majorHAnsi" w:eastAsiaTheme="majorEastAsia" w:hAnsiTheme="majorHAnsi" w:cstheme="majorBidi"/>
      <w:color w:val="54575A" w:themeColor="text1"/>
      <w:sz w:val="48"/>
      <w:szCs w:val="48"/>
      <w:lang w:val="fr-CA"/>
    </w:rPr>
  </w:style>
  <w:style w:type="character" w:customStyle="1" w:styleId="Titre2Car">
    <w:name w:val="Titre 2 Car"/>
    <w:basedOn w:val="Policepardfaut"/>
    <w:link w:val="Titre2"/>
    <w:uiPriority w:val="9"/>
    <w:rsid w:val="00210749"/>
    <w:rPr>
      <w:rFonts w:ascii="Segoe UI" w:eastAsiaTheme="majorEastAsia" w:hAnsi="Segoe UI" w:cs="Segoe UI"/>
      <w:b/>
      <w:color w:val="5B315E" w:themeColor="accent2"/>
      <w:sz w:val="32"/>
      <w:szCs w:val="32"/>
      <w:lang w:val="fr-CA"/>
    </w:rPr>
  </w:style>
  <w:style w:type="character" w:customStyle="1" w:styleId="Titre3Car">
    <w:name w:val="Titre 3 Car"/>
    <w:basedOn w:val="Policepardfaut"/>
    <w:link w:val="Titre3"/>
    <w:uiPriority w:val="9"/>
    <w:rsid w:val="00210749"/>
    <w:rPr>
      <w:rFonts w:ascii="Segoe UI Semibold" w:eastAsiaTheme="majorEastAsia" w:hAnsi="Segoe UI Semibold" w:cs="Segoe UI Semibold"/>
      <w:color w:val="54575A" w:themeColor="text1"/>
      <w:sz w:val="24"/>
      <w:szCs w:val="24"/>
      <w:lang w:val="fr-CA"/>
    </w:rPr>
  </w:style>
  <w:style w:type="paragraph" w:customStyle="1" w:styleId="Heading3forBox">
    <w:name w:val="Heading 3 for Box"/>
    <w:basedOn w:val="Normal"/>
    <w:qFormat/>
    <w:rsid w:val="00210749"/>
    <w:rPr>
      <w:rFonts w:ascii="Segoe UI Semibold" w:eastAsiaTheme="majorEastAsia" w:hAnsi="Segoe UI Semibold" w:cs="Segoe UI Semibold"/>
      <w:color w:val="FFFFFF" w:themeColor="background1"/>
      <w:szCs w:val="24"/>
    </w:rPr>
  </w:style>
  <w:style w:type="character" w:customStyle="1" w:styleId="Titre4Car">
    <w:name w:val="Titre 4 Car"/>
    <w:basedOn w:val="Policepardfaut"/>
    <w:link w:val="Titre4"/>
    <w:uiPriority w:val="9"/>
    <w:rsid w:val="00210749"/>
    <w:rPr>
      <w:rFonts w:asciiTheme="majorHAnsi" w:eastAsiaTheme="majorEastAsia" w:hAnsiTheme="majorHAnsi" w:cstheme="majorBidi"/>
      <w:iCs/>
      <w:color w:val="54575A" w:themeColor="text2"/>
      <w:lang w:val="fr-CA"/>
    </w:rPr>
  </w:style>
  <w:style w:type="character" w:customStyle="1" w:styleId="Titre5Car">
    <w:name w:val="Titre 5 Car"/>
    <w:basedOn w:val="Policepardfaut"/>
    <w:link w:val="Titre5"/>
    <w:uiPriority w:val="9"/>
    <w:rsid w:val="00210749"/>
    <w:rPr>
      <w:rFonts w:asciiTheme="majorHAnsi" w:eastAsiaTheme="majorEastAsia" w:hAnsiTheme="majorHAnsi" w:cstheme="majorBidi"/>
      <w:color w:val="9F0040" w:themeColor="accent1" w:themeShade="BF"/>
      <w:lang w:val="fr-CA"/>
    </w:rPr>
  </w:style>
  <w:style w:type="paragraph" w:styleId="Paragraphedeliste">
    <w:name w:val="List Paragraph"/>
    <w:basedOn w:val="Normal"/>
    <w:uiPriority w:val="34"/>
    <w:qFormat/>
    <w:rsid w:val="00210749"/>
    <w:pPr>
      <w:spacing w:after="320"/>
      <w:contextualSpacing/>
    </w:pPr>
  </w:style>
  <w:style w:type="paragraph" w:customStyle="1" w:styleId="NormalWhiteforBox">
    <w:name w:val="Normal White for Box"/>
    <w:basedOn w:val="Normal"/>
    <w:qFormat/>
    <w:rsid w:val="00210749"/>
  </w:style>
  <w:style w:type="paragraph" w:customStyle="1" w:styleId="Numberedlist">
    <w:name w:val="Numbered list"/>
    <w:basedOn w:val="Paragraphedeliste"/>
    <w:qFormat/>
    <w:rsid w:val="00210749"/>
  </w:style>
  <w:style w:type="paragraph" w:styleId="Sous-titre">
    <w:name w:val="Subtitle"/>
    <w:basedOn w:val="Normal"/>
    <w:next w:val="Normal"/>
    <w:link w:val="Sous-titreCar"/>
    <w:uiPriority w:val="11"/>
    <w:qFormat/>
    <w:rsid w:val="00210749"/>
    <w:rPr>
      <w:rFonts w:ascii="Segoe UI Light" w:hAnsi="Segoe UI Light" w:cs="Segoe UI Light"/>
      <w:sz w:val="36"/>
      <w:szCs w:val="36"/>
    </w:rPr>
  </w:style>
  <w:style w:type="character" w:customStyle="1" w:styleId="Sous-titreCar">
    <w:name w:val="Sous-titre Car"/>
    <w:basedOn w:val="Policepardfaut"/>
    <w:link w:val="Sous-titre"/>
    <w:uiPriority w:val="11"/>
    <w:rsid w:val="00210749"/>
    <w:rPr>
      <w:rFonts w:ascii="Segoe UI Light" w:hAnsi="Segoe UI Light" w:cs="Segoe UI Light"/>
      <w:color w:val="54575A" w:themeColor="text1"/>
      <w:sz w:val="36"/>
      <w:szCs w:val="36"/>
      <w:lang w:val="fr-CA"/>
    </w:rPr>
  </w:style>
  <w:style w:type="table" w:styleId="Grilledutableau">
    <w:name w:val="Table Grid"/>
    <w:basedOn w:val="TableauNormal"/>
    <w:uiPriority w:val="39"/>
    <w:rsid w:val="0021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Titre2"/>
    <w:qFormat/>
    <w:rsid w:val="00583F59"/>
    <w:rPr>
      <w:rFonts w:ascii="Segoe UI Semibold" w:hAnsi="Segoe UI Semibold"/>
      <w:b w:val="0"/>
      <w:color w:val="auto"/>
      <w:sz w:val="22"/>
    </w:rPr>
  </w:style>
  <w:style w:type="paragraph" w:styleId="Titre">
    <w:name w:val="Title"/>
    <w:basedOn w:val="Normal"/>
    <w:next w:val="Normal"/>
    <w:link w:val="TitreCar"/>
    <w:autoRedefine/>
    <w:uiPriority w:val="10"/>
    <w:qFormat/>
    <w:rsid w:val="00F50508"/>
    <w:pPr>
      <w:keepLines/>
      <w:jc w:val="center"/>
    </w:pPr>
    <w:rPr>
      <w:rFonts w:asciiTheme="minorHAnsi" w:eastAsiaTheme="majorEastAsia" w:hAnsiTheme="minorHAnsi" w:cstheme="minorHAnsi"/>
      <w:spacing w:val="-10"/>
      <w:kern w:val="28"/>
      <w:sz w:val="52"/>
      <w:szCs w:val="52"/>
      <w:lang w:val="en-CA"/>
    </w:rPr>
  </w:style>
  <w:style w:type="character" w:customStyle="1" w:styleId="TitreCar">
    <w:name w:val="Titre Car"/>
    <w:basedOn w:val="Policepardfaut"/>
    <w:link w:val="Titre"/>
    <w:uiPriority w:val="10"/>
    <w:rsid w:val="00F50508"/>
    <w:rPr>
      <w:rFonts w:eastAsiaTheme="majorEastAsia" w:cstheme="minorHAnsi"/>
      <w:spacing w:val="-10"/>
      <w:kern w:val="28"/>
      <w:sz w:val="52"/>
      <w:szCs w:val="52"/>
    </w:rPr>
  </w:style>
  <w:style w:type="paragraph" w:styleId="NormalWeb">
    <w:name w:val="Normal (Web)"/>
    <w:basedOn w:val="Normal"/>
    <w:uiPriority w:val="99"/>
    <w:unhideWhenUsed/>
    <w:rsid w:val="00282ABD"/>
    <w:pPr>
      <w:spacing w:before="100" w:beforeAutospacing="1" w:after="100" w:afterAutospacing="1"/>
    </w:pPr>
    <w:rPr>
      <w:rFonts w:ascii="Verdana" w:hAnsi="Verdana"/>
      <w:szCs w:val="24"/>
    </w:rPr>
  </w:style>
  <w:style w:type="paragraph" w:customStyle="1" w:styleId="Level1">
    <w:name w:val="Level 1"/>
    <w:basedOn w:val="Normal"/>
    <w:uiPriority w:val="99"/>
    <w:rsid w:val="00282ABD"/>
    <w:pPr>
      <w:widowControl w:val="0"/>
    </w:pPr>
  </w:style>
  <w:style w:type="character" w:styleId="Lienhypertexte">
    <w:name w:val="Hyperlink"/>
    <w:uiPriority w:val="99"/>
    <w:unhideWhenUsed/>
    <w:rsid w:val="00282ABD"/>
    <w:rPr>
      <w:color w:val="0563C1"/>
      <w:u w:val="single"/>
    </w:rPr>
  </w:style>
  <w:style w:type="character" w:styleId="Marquedecommentaire">
    <w:name w:val="annotation reference"/>
    <w:uiPriority w:val="99"/>
    <w:semiHidden/>
    <w:unhideWhenUsed/>
    <w:rsid w:val="00282ABD"/>
    <w:rPr>
      <w:sz w:val="16"/>
      <w:szCs w:val="16"/>
    </w:rPr>
  </w:style>
  <w:style w:type="paragraph" w:styleId="Commentaire">
    <w:name w:val="annotation text"/>
    <w:basedOn w:val="Normal"/>
    <w:link w:val="CommentaireCar"/>
    <w:uiPriority w:val="99"/>
    <w:semiHidden/>
    <w:unhideWhenUsed/>
    <w:rsid w:val="00282ABD"/>
    <w:rPr>
      <w:sz w:val="20"/>
    </w:rPr>
  </w:style>
  <w:style w:type="character" w:customStyle="1" w:styleId="CommentaireCar">
    <w:name w:val="Commentaire Car"/>
    <w:basedOn w:val="Policepardfaut"/>
    <w:link w:val="Commentaire"/>
    <w:uiPriority w:val="99"/>
    <w:semiHidden/>
    <w:rsid w:val="00282ABD"/>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282ABD"/>
    <w:rPr>
      <w:b/>
      <w:bCs/>
    </w:rPr>
  </w:style>
  <w:style w:type="character" w:customStyle="1" w:styleId="ObjetducommentaireCar">
    <w:name w:val="Objet du commentaire Car"/>
    <w:basedOn w:val="CommentaireCar"/>
    <w:link w:val="Objetducommentaire"/>
    <w:uiPriority w:val="99"/>
    <w:semiHidden/>
    <w:rsid w:val="00282ABD"/>
    <w:rPr>
      <w:rFonts w:ascii="Times New Roman" w:eastAsia="Times New Roman" w:hAnsi="Times New Roman" w:cs="Times New Roman"/>
      <w:b/>
      <w:bCs/>
      <w:sz w:val="20"/>
      <w:szCs w:val="20"/>
      <w:lang w:val="en-US"/>
    </w:rPr>
  </w:style>
  <w:style w:type="paragraph" w:styleId="Sansinterligne">
    <w:name w:val="No Spacing"/>
    <w:uiPriority w:val="1"/>
    <w:qFormat/>
    <w:rsid w:val="00282ABD"/>
    <w:pPr>
      <w:spacing w:after="0" w:line="240" w:lineRule="auto"/>
    </w:pPr>
    <w:rPr>
      <w:rFonts w:ascii="Times New Roman" w:eastAsia="Times New Roman" w:hAnsi="Times New Roman" w:cs="Times New Roman"/>
      <w:sz w:val="24"/>
      <w:szCs w:val="20"/>
      <w:lang w:val="en-US"/>
    </w:rPr>
  </w:style>
  <w:style w:type="character" w:styleId="Lienhypertextesuivivisit">
    <w:name w:val="FollowedHyperlink"/>
    <w:uiPriority w:val="99"/>
    <w:semiHidden/>
    <w:unhideWhenUsed/>
    <w:rsid w:val="00282ABD"/>
    <w:rPr>
      <w:color w:val="954F72"/>
      <w:u w:val="single"/>
    </w:rPr>
  </w:style>
  <w:style w:type="paragraph" w:styleId="Notedefin">
    <w:name w:val="endnote text"/>
    <w:basedOn w:val="Normal"/>
    <w:link w:val="NotedefinCar"/>
    <w:unhideWhenUsed/>
    <w:rsid w:val="00282ABD"/>
    <w:rPr>
      <w:rFonts w:ascii="Arial" w:hAnsi="Arial"/>
      <w:sz w:val="20"/>
      <w:lang w:val="en-CA" w:eastAsia="en-CA"/>
    </w:rPr>
  </w:style>
  <w:style w:type="character" w:customStyle="1" w:styleId="NotedefinCar">
    <w:name w:val="Note de fin Car"/>
    <w:basedOn w:val="Policepardfaut"/>
    <w:link w:val="Notedefin"/>
    <w:rsid w:val="00282ABD"/>
    <w:rPr>
      <w:rFonts w:ascii="Arial" w:eastAsia="Times New Roman" w:hAnsi="Arial" w:cs="Times New Roman"/>
      <w:sz w:val="20"/>
      <w:szCs w:val="20"/>
      <w:lang w:eastAsia="en-CA"/>
    </w:rPr>
  </w:style>
  <w:style w:type="character" w:styleId="Appeldenotedefin">
    <w:name w:val="endnote reference"/>
    <w:uiPriority w:val="99"/>
    <w:semiHidden/>
    <w:unhideWhenUsed/>
    <w:rsid w:val="00282ABD"/>
    <w:rPr>
      <w:vertAlign w:val="superscript"/>
    </w:rPr>
  </w:style>
  <w:style w:type="paragraph" w:customStyle="1" w:styleId="Style1">
    <w:name w:val="Style1"/>
    <w:basedOn w:val="Normal"/>
    <w:link w:val="Style1Char"/>
    <w:qFormat/>
    <w:rsid w:val="00282ABD"/>
    <w:pPr>
      <w:pBdr>
        <w:bottom w:val="single" w:sz="4" w:space="1" w:color="92D050"/>
      </w:pBdr>
      <w:autoSpaceDE w:val="0"/>
      <w:autoSpaceDN w:val="0"/>
      <w:adjustRightInd w:val="0"/>
      <w:ind w:right="50"/>
    </w:pPr>
    <w:rPr>
      <w:rFonts w:ascii="Arial" w:hAnsi="Arial" w:cs="Arial"/>
      <w:b/>
      <w:caps/>
      <w:color w:val="92D050"/>
      <w:sz w:val="22"/>
      <w:szCs w:val="22"/>
      <w:lang w:val="en-CA"/>
    </w:rPr>
  </w:style>
  <w:style w:type="paragraph" w:customStyle="1" w:styleId="Style2">
    <w:name w:val="Style2"/>
    <w:basedOn w:val="Normal"/>
    <w:link w:val="Style2Char"/>
    <w:qFormat/>
    <w:rsid w:val="00282ABD"/>
    <w:pPr>
      <w:shd w:val="clear" w:color="auto" w:fill="F2F2F2"/>
    </w:pPr>
    <w:rPr>
      <w:rFonts w:ascii="Arial" w:hAnsi="Arial" w:cs="Arial"/>
      <w:b/>
      <w:color w:val="009999"/>
      <w:spacing w:val="-10"/>
      <w:sz w:val="22"/>
      <w:szCs w:val="22"/>
      <w:lang w:val="en-CA"/>
    </w:rPr>
  </w:style>
  <w:style w:type="character" w:customStyle="1" w:styleId="Style1Char">
    <w:name w:val="Style1 Char"/>
    <w:basedOn w:val="Policepardfaut"/>
    <w:link w:val="Style1"/>
    <w:rsid w:val="00282ABD"/>
    <w:rPr>
      <w:rFonts w:ascii="Arial" w:eastAsia="Times New Roman" w:hAnsi="Arial" w:cs="Arial"/>
      <w:b/>
      <w:caps/>
      <w:color w:val="92D050"/>
    </w:rPr>
  </w:style>
  <w:style w:type="character" w:customStyle="1" w:styleId="Style2Char">
    <w:name w:val="Style2 Char"/>
    <w:basedOn w:val="Policepardfaut"/>
    <w:link w:val="Style2"/>
    <w:rsid w:val="00282ABD"/>
    <w:rPr>
      <w:rFonts w:ascii="Arial" w:eastAsia="Times New Roman" w:hAnsi="Arial" w:cs="Arial"/>
      <w:b/>
      <w:color w:val="009999"/>
      <w:spacing w:val="-10"/>
      <w:shd w:val="clear" w:color="auto" w:fill="F2F2F2"/>
    </w:rPr>
  </w:style>
  <w:style w:type="paragraph" w:customStyle="1" w:styleId="Style3">
    <w:name w:val="Style3"/>
    <w:basedOn w:val="Normal"/>
    <w:link w:val="Style3Char"/>
    <w:qFormat/>
    <w:rsid w:val="00282ABD"/>
    <w:pPr>
      <w:jc w:val="center"/>
    </w:pPr>
    <w:rPr>
      <w:rFonts w:ascii="Arial" w:hAnsi="Arial" w:cs="Arial"/>
      <w:b/>
      <w:sz w:val="22"/>
      <w:szCs w:val="22"/>
      <w:u w:val="single"/>
    </w:rPr>
  </w:style>
  <w:style w:type="paragraph" w:customStyle="1" w:styleId="Style4">
    <w:name w:val="Style4"/>
    <w:basedOn w:val="Normal"/>
    <w:link w:val="Style4Char"/>
    <w:qFormat/>
    <w:rsid w:val="00282ABD"/>
    <w:rPr>
      <w:rFonts w:ascii="Arial" w:hAnsi="Arial" w:cs="Arial"/>
      <w:sz w:val="22"/>
      <w:szCs w:val="22"/>
      <w:u w:val="single"/>
      <w:lang w:val="en-CA" w:eastAsia="en-CA"/>
    </w:rPr>
  </w:style>
  <w:style w:type="character" w:customStyle="1" w:styleId="Style3Char">
    <w:name w:val="Style3 Char"/>
    <w:basedOn w:val="Policepardfaut"/>
    <w:link w:val="Style3"/>
    <w:rsid w:val="00282ABD"/>
    <w:rPr>
      <w:rFonts w:ascii="Arial" w:eastAsia="Times New Roman" w:hAnsi="Arial" w:cs="Arial"/>
      <w:b/>
      <w:u w:val="single"/>
      <w:lang w:val="en-US"/>
    </w:rPr>
  </w:style>
  <w:style w:type="paragraph" w:customStyle="1" w:styleId="Style5">
    <w:name w:val="Style5"/>
    <w:basedOn w:val="Normal"/>
    <w:link w:val="Style5Char"/>
    <w:qFormat/>
    <w:rsid w:val="00282ABD"/>
    <w:pPr>
      <w:jc w:val="center"/>
    </w:pPr>
    <w:rPr>
      <w:rFonts w:ascii="Arial" w:hAnsi="Arial" w:cs="Arial"/>
      <w:b/>
      <w:bCs/>
      <w:sz w:val="22"/>
      <w:szCs w:val="22"/>
      <w:lang w:val="en"/>
    </w:rPr>
  </w:style>
  <w:style w:type="character" w:customStyle="1" w:styleId="Style4Char">
    <w:name w:val="Style4 Char"/>
    <w:basedOn w:val="Policepardfaut"/>
    <w:link w:val="Style4"/>
    <w:rsid w:val="00282ABD"/>
    <w:rPr>
      <w:rFonts w:ascii="Arial" w:eastAsia="Times New Roman" w:hAnsi="Arial" w:cs="Arial"/>
      <w:u w:val="single"/>
      <w:lang w:eastAsia="en-CA"/>
    </w:rPr>
  </w:style>
  <w:style w:type="paragraph" w:customStyle="1" w:styleId="Style6">
    <w:name w:val="Style6"/>
    <w:basedOn w:val="Normal"/>
    <w:link w:val="Style6Char"/>
    <w:qFormat/>
    <w:rsid w:val="00282ABD"/>
    <w:pPr>
      <w:jc w:val="center"/>
    </w:pPr>
    <w:rPr>
      <w:rFonts w:ascii="Arial" w:hAnsi="Arial" w:cs="Arial"/>
      <w:b/>
      <w:color w:val="54575A" w:themeColor="text1"/>
      <w:szCs w:val="24"/>
    </w:rPr>
  </w:style>
  <w:style w:type="character" w:customStyle="1" w:styleId="Style5Char">
    <w:name w:val="Style5 Char"/>
    <w:basedOn w:val="Policepardfaut"/>
    <w:link w:val="Style5"/>
    <w:rsid w:val="00282ABD"/>
    <w:rPr>
      <w:rFonts w:ascii="Arial" w:eastAsia="Times New Roman" w:hAnsi="Arial" w:cs="Arial"/>
      <w:b/>
      <w:bCs/>
      <w:lang w:val="en"/>
    </w:rPr>
  </w:style>
  <w:style w:type="paragraph" w:customStyle="1" w:styleId="Style7">
    <w:name w:val="Style7"/>
    <w:basedOn w:val="Normal"/>
    <w:link w:val="Style7Char"/>
    <w:qFormat/>
    <w:rsid w:val="00282ABD"/>
    <w:pPr>
      <w:jc w:val="center"/>
    </w:pPr>
    <w:rPr>
      <w:rFonts w:ascii="Arial" w:hAnsi="Arial" w:cs="Arial"/>
      <w:color w:val="54575A" w:themeColor="text1"/>
      <w:sz w:val="22"/>
      <w:szCs w:val="32"/>
    </w:rPr>
  </w:style>
  <w:style w:type="character" w:customStyle="1" w:styleId="Style6Char">
    <w:name w:val="Style6 Char"/>
    <w:basedOn w:val="Policepardfaut"/>
    <w:link w:val="Style6"/>
    <w:rsid w:val="00282ABD"/>
    <w:rPr>
      <w:rFonts w:ascii="Arial" w:eastAsia="Times New Roman" w:hAnsi="Arial" w:cs="Arial"/>
      <w:b/>
      <w:color w:val="54575A" w:themeColor="text1"/>
      <w:sz w:val="24"/>
      <w:szCs w:val="24"/>
      <w:lang w:val="en-US"/>
    </w:rPr>
  </w:style>
  <w:style w:type="paragraph" w:customStyle="1" w:styleId="Style8">
    <w:name w:val="Style8"/>
    <w:basedOn w:val="Normal"/>
    <w:link w:val="Style8Char"/>
    <w:qFormat/>
    <w:rsid w:val="00282ABD"/>
    <w:rPr>
      <w:rFonts w:ascii="Arial" w:hAnsi="Arial" w:cs="Arial"/>
      <w:color w:val="767171"/>
      <w:sz w:val="16"/>
      <w:szCs w:val="22"/>
      <w:lang w:val="en-CA"/>
    </w:rPr>
  </w:style>
  <w:style w:type="character" w:customStyle="1" w:styleId="Style7Char">
    <w:name w:val="Style7 Char"/>
    <w:basedOn w:val="Policepardfaut"/>
    <w:link w:val="Style7"/>
    <w:rsid w:val="00282ABD"/>
    <w:rPr>
      <w:rFonts w:ascii="Arial" w:eastAsia="Times New Roman" w:hAnsi="Arial" w:cs="Arial"/>
      <w:color w:val="54575A" w:themeColor="text1"/>
      <w:szCs w:val="32"/>
      <w:lang w:val="en-US"/>
    </w:rPr>
  </w:style>
  <w:style w:type="paragraph" w:customStyle="1" w:styleId="Style9">
    <w:name w:val="Style9"/>
    <w:basedOn w:val="Normal"/>
    <w:link w:val="Style9Char"/>
    <w:qFormat/>
    <w:rsid w:val="00282ABD"/>
    <w:rPr>
      <w:rFonts w:ascii="Arial" w:hAnsi="Arial" w:cs="Arial"/>
      <w:b/>
      <w:color w:val="009999"/>
      <w:spacing w:val="-10"/>
      <w:sz w:val="22"/>
      <w:szCs w:val="22"/>
      <w:lang w:val="en-CA"/>
    </w:rPr>
  </w:style>
  <w:style w:type="character" w:customStyle="1" w:styleId="Style8Char">
    <w:name w:val="Style8 Char"/>
    <w:basedOn w:val="Policepardfaut"/>
    <w:link w:val="Style8"/>
    <w:rsid w:val="00282ABD"/>
    <w:rPr>
      <w:rFonts w:ascii="Arial" w:eastAsia="Times New Roman" w:hAnsi="Arial" w:cs="Arial"/>
      <w:color w:val="767171"/>
      <w:sz w:val="16"/>
    </w:rPr>
  </w:style>
  <w:style w:type="character" w:customStyle="1" w:styleId="Style9Char">
    <w:name w:val="Style9 Char"/>
    <w:basedOn w:val="Policepardfaut"/>
    <w:link w:val="Style9"/>
    <w:rsid w:val="00282ABD"/>
    <w:rPr>
      <w:rFonts w:ascii="Arial" w:eastAsia="Times New Roman" w:hAnsi="Arial" w:cs="Arial"/>
      <w:b/>
      <w:color w:val="009999"/>
      <w:spacing w:val="-10"/>
    </w:rPr>
  </w:style>
  <w:style w:type="character" w:styleId="Accentuationlgre">
    <w:name w:val="Subtle Emphasis"/>
    <w:basedOn w:val="Policepardfaut"/>
    <w:uiPriority w:val="19"/>
    <w:qFormat/>
    <w:rsid w:val="00282ABD"/>
    <w:rPr>
      <w:i/>
      <w:iCs/>
      <w:color w:val="A8ABAE" w:themeColor="text1" w:themeTint="7F"/>
    </w:rPr>
  </w:style>
  <w:style w:type="table" w:customStyle="1" w:styleId="TableGrid1">
    <w:name w:val="Table Grid1"/>
    <w:basedOn w:val="TableauNormal"/>
    <w:next w:val="Grilledutableau"/>
    <w:uiPriority w:val="39"/>
    <w:rsid w:val="00282ABD"/>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39"/>
    <w:rsid w:val="00282A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5">
    <w:name w:val="Grid Table 5 Dark Accent 5"/>
    <w:basedOn w:val="TableauNormal"/>
    <w:uiPriority w:val="50"/>
    <w:rsid w:val="00282ABD"/>
    <w:pPr>
      <w:spacing w:after="0" w:line="240" w:lineRule="auto"/>
    </w:pPr>
    <w:rPr>
      <w:rFonts w:ascii="Calibri" w:eastAsia="Calibri" w:hAnsi="Calibri" w:cs="Times New Roman"/>
      <w:sz w:val="20"/>
      <w:szCs w:val="20"/>
      <w:lang w:eastAsia="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5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5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5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500" w:themeFill="accent5"/>
      </w:tcPr>
    </w:tblStylePr>
    <w:tblStylePr w:type="band1Vert">
      <w:tblPr/>
      <w:tcPr>
        <w:shd w:val="clear" w:color="auto" w:fill="F4FF88" w:themeFill="accent5" w:themeFillTint="66"/>
      </w:tcPr>
    </w:tblStylePr>
    <w:tblStylePr w:type="band1Horz">
      <w:tblPr/>
      <w:tcPr>
        <w:shd w:val="clear" w:color="auto" w:fill="F4FF88" w:themeFill="accent5" w:themeFillTint="66"/>
      </w:tcPr>
    </w:tblStylePr>
  </w:style>
  <w:style w:type="numbering" w:customStyle="1" w:styleId="NoList1">
    <w:name w:val="No List1"/>
    <w:next w:val="Aucuneliste"/>
    <w:uiPriority w:val="99"/>
    <w:semiHidden/>
    <w:unhideWhenUsed/>
    <w:rsid w:val="00282ABD"/>
  </w:style>
  <w:style w:type="paragraph" w:styleId="Lgende">
    <w:name w:val="caption"/>
    <w:basedOn w:val="Normal"/>
    <w:next w:val="Normal"/>
    <w:uiPriority w:val="35"/>
    <w:unhideWhenUsed/>
    <w:qFormat/>
    <w:rsid w:val="00731AD9"/>
    <w:rPr>
      <w:rFonts w:asciiTheme="minorHAnsi" w:eastAsiaTheme="minorHAnsi" w:hAnsiTheme="minorHAnsi" w:cstheme="minorBidi"/>
      <w:iCs/>
      <w:sz w:val="18"/>
      <w:szCs w:val="18"/>
      <w:lang w:val="en-CA"/>
    </w:rPr>
  </w:style>
  <w:style w:type="table" w:styleId="Tableausimple1">
    <w:name w:val="Plain Table 1"/>
    <w:basedOn w:val="TableauNormal"/>
    <w:uiPriority w:val="41"/>
    <w:rsid w:val="00282ABD"/>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3">
    <w:name w:val="Table Grid3"/>
    <w:basedOn w:val="TableauNormal"/>
    <w:next w:val="Grilledutableau"/>
    <w:uiPriority w:val="39"/>
    <w:rsid w:val="00282ABD"/>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82ABD"/>
    <w:pPr>
      <w:spacing w:after="0" w:line="240" w:lineRule="auto"/>
    </w:pPr>
    <w:rPr>
      <w:rFonts w:ascii="Arial" w:hAnsi="Arial"/>
    </w:rPr>
  </w:style>
  <w:style w:type="table" w:customStyle="1" w:styleId="TableGrid11">
    <w:name w:val="Table Grid11"/>
    <w:basedOn w:val="TableauNormal"/>
    <w:next w:val="Grilledutableau"/>
    <w:uiPriority w:val="39"/>
    <w:rsid w:val="00282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39"/>
    <w:rsid w:val="00282A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DC0FAA"/>
    <w:rPr>
      <w:rFonts w:asciiTheme="minorHAnsi" w:hAnsiTheme="minorHAnsi"/>
      <w:b/>
      <w:bCs/>
      <w:sz w:val="22"/>
    </w:rPr>
  </w:style>
  <w:style w:type="character" w:styleId="Accentuation">
    <w:name w:val="Emphasis"/>
    <w:basedOn w:val="Policepardfaut"/>
    <w:uiPriority w:val="20"/>
    <w:qFormat/>
    <w:rsid w:val="00934B32"/>
    <w:rPr>
      <w:rFonts w:ascii="Segoe UI Semilight" w:hAnsi="Segoe UI Semilight"/>
      <w:b w:val="0"/>
      <w:i/>
      <w:iCs/>
      <w:sz w:val="22"/>
    </w:rPr>
  </w:style>
  <w:style w:type="character" w:styleId="Accentuationintense">
    <w:name w:val="Intense Emphasis"/>
    <w:basedOn w:val="Policepardfaut"/>
    <w:uiPriority w:val="21"/>
    <w:qFormat/>
    <w:rsid w:val="00CC297B"/>
    <w:rPr>
      <w:rFonts w:ascii="Segoe UI Semilight" w:hAnsi="Segoe UI Semilight"/>
      <w:i/>
      <w:iCs/>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916885">
      <w:bodyDiv w:val="1"/>
      <w:marLeft w:val="0"/>
      <w:marRight w:val="0"/>
      <w:marTop w:val="0"/>
      <w:marBottom w:val="0"/>
      <w:divBdr>
        <w:top w:val="none" w:sz="0" w:space="0" w:color="auto"/>
        <w:left w:val="none" w:sz="0" w:space="0" w:color="auto"/>
        <w:bottom w:val="none" w:sz="0" w:space="0" w:color="auto"/>
        <w:right w:val="none" w:sz="0" w:space="0" w:color="auto"/>
      </w:divBdr>
    </w:div>
    <w:div w:id="380599981">
      <w:bodyDiv w:val="1"/>
      <w:marLeft w:val="0"/>
      <w:marRight w:val="0"/>
      <w:marTop w:val="0"/>
      <w:marBottom w:val="0"/>
      <w:divBdr>
        <w:top w:val="none" w:sz="0" w:space="0" w:color="auto"/>
        <w:left w:val="none" w:sz="0" w:space="0" w:color="auto"/>
        <w:bottom w:val="none" w:sz="0" w:space="0" w:color="auto"/>
        <w:right w:val="none" w:sz="0" w:space="0" w:color="auto"/>
      </w:divBdr>
    </w:div>
    <w:div w:id="596519611">
      <w:bodyDiv w:val="1"/>
      <w:marLeft w:val="0"/>
      <w:marRight w:val="0"/>
      <w:marTop w:val="0"/>
      <w:marBottom w:val="0"/>
      <w:divBdr>
        <w:top w:val="none" w:sz="0" w:space="0" w:color="auto"/>
        <w:left w:val="none" w:sz="0" w:space="0" w:color="auto"/>
        <w:bottom w:val="none" w:sz="0" w:space="0" w:color="auto"/>
        <w:right w:val="none" w:sz="0" w:space="0" w:color="auto"/>
      </w:divBdr>
      <w:divsChild>
        <w:div w:id="117530655">
          <w:marLeft w:val="0"/>
          <w:marRight w:val="0"/>
          <w:marTop w:val="0"/>
          <w:marBottom w:val="0"/>
          <w:divBdr>
            <w:top w:val="none" w:sz="0" w:space="0" w:color="auto"/>
            <w:left w:val="none" w:sz="0" w:space="0" w:color="auto"/>
            <w:bottom w:val="none" w:sz="0" w:space="0" w:color="auto"/>
            <w:right w:val="none" w:sz="0" w:space="0" w:color="auto"/>
          </w:divBdr>
        </w:div>
      </w:divsChild>
    </w:div>
    <w:div w:id="610212604">
      <w:bodyDiv w:val="1"/>
      <w:marLeft w:val="0"/>
      <w:marRight w:val="0"/>
      <w:marTop w:val="0"/>
      <w:marBottom w:val="0"/>
      <w:divBdr>
        <w:top w:val="none" w:sz="0" w:space="0" w:color="auto"/>
        <w:left w:val="none" w:sz="0" w:space="0" w:color="auto"/>
        <w:bottom w:val="none" w:sz="0" w:space="0" w:color="auto"/>
        <w:right w:val="none" w:sz="0" w:space="0" w:color="auto"/>
      </w:divBdr>
    </w:div>
    <w:div w:id="630867312">
      <w:bodyDiv w:val="1"/>
      <w:marLeft w:val="0"/>
      <w:marRight w:val="0"/>
      <w:marTop w:val="0"/>
      <w:marBottom w:val="0"/>
      <w:divBdr>
        <w:top w:val="none" w:sz="0" w:space="0" w:color="auto"/>
        <w:left w:val="none" w:sz="0" w:space="0" w:color="auto"/>
        <w:bottom w:val="none" w:sz="0" w:space="0" w:color="auto"/>
        <w:right w:val="none" w:sz="0" w:space="0" w:color="auto"/>
      </w:divBdr>
    </w:div>
    <w:div w:id="795828563">
      <w:bodyDiv w:val="1"/>
      <w:marLeft w:val="0"/>
      <w:marRight w:val="0"/>
      <w:marTop w:val="0"/>
      <w:marBottom w:val="0"/>
      <w:divBdr>
        <w:top w:val="none" w:sz="0" w:space="0" w:color="auto"/>
        <w:left w:val="none" w:sz="0" w:space="0" w:color="auto"/>
        <w:bottom w:val="none" w:sz="0" w:space="0" w:color="auto"/>
        <w:right w:val="none" w:sz="0" w:space="0" w:color="auto"/>
      </w:divBdr>
    </w:div>
    <w:div w:id="1275553881">
      <w:bodyDiv w:val="1"/>
      <w:marLeft w:val="0"/>
      <w:marRight w:val="0"/>
      <w:marTop w:val="0"/>
      <w:marBottom w:val="0"/>
      <w:divBdr>
        <w:top w:val="none" w:sz="0" w:space="0" w:color="auto"/>
        <w:left w:val="none" w:sz="0" w:space="0" w:color="auto"/>
        <w:bottom w:val="none" w:sz="0" w:space="0" w:color="auto"/>
        <w:right w:val="none" w:sz="0" w:space="0" w:color="auto"/>
      </w:divBdr>
    </w:div>
    <w:div w:id="1476681530">
      <w:bodyDiv w:val="1"/>
      <w:marLeft w:val="0"/>
      <w:marRight w:val="0"/>
      <w:marTop w:val="0"/>
      <w:marBottom w:val="0"/>
      <w:divBdr>
        <w:top w:val="none" w:sz="0" w:space="0" w:color="auto"/>
        <w:left w:val="none" w:sz="0" w:space="0" w:color="auto"/>
        <w:bottom w:val="none" w:sz="0" w:space="0" w:color="auto"/>
        <w:right w:val="none" w:sz="0" w:space="0" w:color="auto"/>
      </w:divBdr>
    </w:div>
    <w:div w:id="1761944370">
      <w:bodyDiv w:val="1"/>
      <w:marLeft w:val="0"/>
      <w:marRight w:val="0"/>
      <w:marTop w:val="0"/>
      <w:marBottom w:val="0"/>
      <w:divBdr>
        <w:top w:val="none" w:sz="0" w:space="0" w:color="auto"/>
        <w:left w:val="none" w:sz="0" w:space="0" w:color="auto"/>
        <w:bottom w:val="none" w:sz="0" w:space="0" w:color="auto"/>
        <w:right w:val="none" w:sz="0" w:space="0" w:color="auto"/>
      </w:divBdr>
    </w:div>
    <w:div w:id="1763723798">
      <w:bodyDiv w:val="1"/>
      <w:marLeft w:val="0"/>
      <w:marRight w:val="0"/>
      <w:marTop w:val="0"/>
      <w:marBottom w:val="0"/>
      <w:divBdr>
        <w:top w:val="none" w:sz="0" w:space="0" w:color="auto"/>
        <w:left w:val="none" w:sz="0" w:space="0" w:color="auto"/>
        <w:bottom w:val="none" w:sz="0" w:space="0" w:color="auto"/>
        <w:right w:val="none" w:sz="0" w:space="0" w:color="auto"/>
      </w:divBdr>
    </w:div>
    <w:div w:id="18385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fontTable" Target="fontTable.xml"/><Relationship Id="rId10" Type="http://schemas.openxmlformats.org/officeDocument/2006/relationships/hyperlink" Target="https://www.canada.ca/en/government/publicservice/wellness-inclusion-diversity-public-service/diversity-inclusion-public-service/employment-equity-annual-reports/employment-equity-public-service-canada-2017-2018.html" TargetMode="Externa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CFP-Entete-Corpo2019.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5.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6.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7.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8.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100" b="1" i="0" baseline="0">
                <a:solidFill>
                  <a:sysClr val="windowText" lastClr="000000"/>
                </a:solidFill>
                <a:effectLst/>
              </a:rPr>
              <a:t>Population by tenure as of March 31</a:t>
            </a:r>
            <a:endParaRPr lang="en-CA" sz="1100">
              <a:solidFill>
                <a:sysClr val="windowText" lastClr="000000"/>
              </a:solidFill>
              <a:effectLst/>
            </a:endParaRPr>
          </a:p>
        </c:rich>
      </c:tx>
      <c:layout>
        <c:manualLayout>
          <c:xMode val="edge"/>
          <c:yMode val="edge"/>
          <c:x val="0.303670557200586"/>
          <c:y val="2.4994792751510102E-2"/>
        </c:manualLayout>
      </c:layout>
      <c:overlay val="1"/>
      <c:spPr>
        <a:noFill/>
        <a:ln>
          <a:noFill/>
        </a:ln>
        <a:effectLst/>
      </c:spPr>
    </c:title>
    <c:autoTitleDeleted val="0"/>
    <c:plotArea>
      <c:layout>
        <c:manualLayout>
          <c:layoutTarget val="inner"/>
          <c:xMode val="edge"/>
          <c:yMode val="edge"/>
          <c:x val="0.10820755769669271"/>
          <c:y val="0.11428571428571428"/>
          <c:w val="0.85790458031932704"/>
          <c:h val="0.63086532365272519"/>
        </c:manualLayout>
      </c:layout>
      <c:barChart>
        <c:barDir val="col"/>
        <c:grouping val="stacked"/>
        <c:varyColors val="0"/>
        <c:ser>
          <c:idx val="0"/>
          <c:order val="0"/>
          <c:tx>
            <c:strRef>
              <c:f>Sheet1!$B$1</c:f>
              <c:strCache>
                <c:ptCount val="1"/>
                <c:pt idx="0">
                  <c:v> Indeterminate </c:v>
                </c:pt>
              </c:strCache>
            </c:strRef>
          </c:tx>
          <c:spPr>
            <a:solidFill>
              <a:schemeClr val="accent1"/>
            </a:solidFill>
            <a:ln>
              <a:noFill/>
            </a:ln>
            <a:effectLst/>
          </c:spPr>
          <c:invertIfNegative val="0"/>
          <c:dLbls>
            <c:dLbl>
              <c:idx val="5"/>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550B-41E9-9BDA-954D379ED9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(N=9 339)</c:v>
                </c:pt>
                <c:pt idx="1">
                  <c:v> 2015 
(N=9 077) </c:v>
                </c:pt>
                <c:pt idx="2">
                  <c:v> 2016 
(N=9 187) </c:v>
                </c:pt>
                <c:pt idx="3">
                  <c:v> 2017 
(N=9 463) </c:v>
                </c:pt>
                <c:pt idx="4">
                  <c:v> 2018 
(N=9 926) </c:v>
                </c:pt>
                <c:pt idx="5">
                  <c:v> 2019
(N=10 850) </c:v>
                </c:pt>
              </c:strCache>
            </c:strRef>
          </c:cat>
          <c:val>
            <c:numRef>
              <c:f>Sheet1!$B$2:$B$7</c:f>
              <c:numCache>
                <c:formatCode>#\ ###</c:formatCode>
                <c:ptCount val="6"/>
                <c:pt idx="0">
                  <c:v>8178</c:v>
                </c:pt>
                <c:pt idx="1">
                  <c:v>8105</c:v>
                </c:pt>
                <c:pt idx="2">
                  <c:v>8078</c:v>
                </c:pt>
                <c:pt idx="3">
                  <c:v>8390</c:v>
                </c:pt>
                <c:pt idx="4">
                  <c:v>8653</c:v>
                </c:pt>
                <c:pt idx="5">
                  <c:v>9333</c:v>
                </c:pt>
              </c:numCache>
            </c:numRef>
          </c:val>
          <c:extLst>
            <c:ext xmlns:c16="http://schemas.microsoft.com/office/drawing/2014/chart" uri="{C3380CC4-5D6E-409C-BE32-E72D297353CC}">
              <c16:uniqueId val="{00000001-550B-41E9-9BDA-954D379ED949}"/>
            </c:ext>
          </c:extLst>
        </c:ser>
        <c:ser>
          <c:idx val="1"/>
          <c:order val="1"/>
          <c:tx>
            <c:strRef>
              <c:f>Sheet1!$C$1</c:f>
              <c:strCache>
                <c:ptCount val="1"/>
                <c:pt idx="0">
                  <c:v> Term </c:v>
                </c:pt>
              </c:strCache>
            </c:strRef>
          </c:tx>
          <c:spPr>
            <a:solidFill>
              <a:schemeClr val="accent2"/>
            </a:solidFill>
            <a:ln>
              <a:noFill/>
            </a:ln>
            <a:effectLst/>
          </c:spPr>
          <c:invertIfNegative val="0"/>
          <c:dLbls>
            <c:dLbl>
              <c:idx val="0"/>
              <c:layout>
                <c:manualLayout>
                  <c:x val="-2.8239558760857657E-17"/>
                  <c:y val="4.675324675324670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0B-41E9-9BDA-954D379ED949}"/>
                </c:ext>
              </c:extLst>
            </c:dLbl>
            <c:dLbl>
              <c:idx val="1"/>
              <c:layout>
                <c:manualLayout>
                  <c:x val="0"/>
                  <c:y val="3.11688311688311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0B-41E9-9BDA-954D379ED949}"/>
                </c:ext>
              </c:extLst>
            </c:dLbl>
            <c:dLbl>
              <c:idx val="2"/>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0B-41E9-9BDA-954D379ED949}"/>
                </c:ext>
              </c:extLst>
            </c:dLbl>
            <c:dLbl>
              <c:idx val="3"/>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50B-41E9-9BDA-954D379ED949}"/>
                </c:ext>
              </c:extLst>
            </c:dLbl>
            <c:dLbl>
              <c:idx val="4"/>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50B-41E9-9BDA-954D379ED949}"/>
                </c:ext>
              </c:extLst>
            </c:dLbl>
            <c:dLbl>
              <c:idx val="5"/>
              <c:layout>
                <c:manualLayout>
                  <c:x val="-1.1295823504343063E-16"/>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50B-41E9-9BDA-954D379ED9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(N=9 339)</c:v>
                </c:pt>
                <c:pt idx="1">
                  <c:v> 2015 
(N=9 077) </c:v>
                </c:pt>
                <c:pt idx="2">
                  <c:v> 2016 
(N=9 187) </c:v>
                </c:pt>
                <c:pt idx="3">
                  <c:v> 2017 
(N=9 463) </c:v>
                </c:pt>
                <c:pt idx="4">
                  <c:v> 2018 
(N=9 926) </c:v>
                </c:pt>
                <c:pt idx="5">
                  <c:v> 2019
(N=10 850) </c:v>
                </c:pt>
              </c:strCache>
            </c:strRef>
          </c:cat>
          <c:val>
            <c:numRef>
              <c:f>Sheet1!$C$2:$C$7</c:f>
              <c:numCache>
                <c:formatCode>#\ ###</c:formatCode>
                <c:ptCount val="6"/>
                <c:pt idx="0">
                  <c:v>590</c:v>
                </c:pt>
                <c:pt idx="1">
                  <c:v>558</c:v>
                </c:pt>
                <c:pt idx="2">
                  <c:v>540</c:v>
                </c:pt>
                <c:pt idx="3">
                  <c:v>540</c:v>
                </c:pt>
                <c:pt idx="4">
                  <c:v>636</c:v>
                </c:pt>
                <c:pt idx="5">
                  <c:v>830</c:v>
                </c:pt>
              </c:numCache>
            </c:numRef>
          </c:val>
          <c:extLst>
            <c:ext xmlns:c16="http://schemas.microsoft.com/office/drawing/2014/chart" uri="{C3380CC4-5D6E-409C-BE32-E72D297353CC}">
              <c16:uniqueId val="{00000008-550B-41E9-9BDA-954D379ED949}"/>
            </c:ext>
          </c:extLst>
        </c:ser>
        <c:ser>
          <c:idx val="2"/>
          <c:order val="2"/>
          <c:tx>
            <c:strRef>
              <c:f>Sheet1!$D$1</c:f>
              <c:strCache>
                <c:ptCount val="1"/>
                <c:pt idx="0">
                  <c:v> Casual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(N=9 339)</c:v>
                </c:pt>
                <c:pt idx="1">
                  <c:v> 2015 
(N=9 077) </c:v>
                </c:pt>
                <c:pt idx="2">
                  <c:v> 2016 
(N=9 187) </c:v>
                </c:pt>
                <c:pt idx="3">
                  <c:v> 2017 
(N=9 463) </c:v>
                </c:pt>
                <c:pt idx="4">
                  <c:v> 2018 
(N=9 926) </c:v>
                </c:pt>
                <c:pt idx="5">
                  <c:v> 2019
(N=10 850) </c:v>
                </c:pt>
              </c:strCache>
            </c:strRef>
          </c:cat>
          <c:val>
            <c:numRef>
              <c:f>Sheet1!$D$2:$D$7</c:f>
              <c:numCache>
                <c:formatCode>#\ ###</c:formatCode>
                <c:ptCount val="6"/>
                <c:pt idx="0">
                  <c:v>394</c:v>
                </c:pt>
                <c:pt idx="1">
                  <c:v>257</c:v>
                </c:pt>
                <c:pt idx="2">
                  <c:v>344</c:v>
                </c:pt>
                <c:pt idx="3">
                  <c:v>319</c:v>
                </c:pt>
                <c:pt idx="4">
                  <c:v>364</c:v>
                </c:pt>
                <c:pt idx="5">
                  <c:v>358</c:v>
                </c:pt>
              </c:numCache>
            </c:numRef>
          </c:val>
          <c:extLst>
            <c:ext xmlns:c16="http://schemas.microsoft.com/office/drawing/2014/chart" uri="{C3380CC4-5D6E-409C-BE32-E72D297353CC}">
              <c16:uniqueId val="{00000009-550B-41E9-9BDA-954D379ED949}"/>
            </c:ext>
          </c:extLst>
        </c:ser>
        <c:ser>
          <c:idx val="3"/>
          <c:order val="3"/>
          <c:tx>
            <c:strRef>
              <c:f>Sheet1!$E$1</c:f>
              <c:strCache>
                <c:ptCount val="1"/>
                <c:pt idx="0">
                  <c:v> Student </c:v>
                </c:pt>
              </c:strCache>
            </c:strRef>
          </c:tx>
          <c:spPr>
            <a:solidFill>
              <a:schemeClr val="accent4"/>
            </a:solidFill>
            <a:ln>
              <a:noFill/>
            </a:ln>
            <a:effectLst/>
          </c:spPr>
          <c:invertIfNegative val="0"/>
          <c:dLbls>
            <c:dLbl>
              <c:idx val="0"/>
              <c:layout>
                <c:manualLayout>
                  <c:x val="2.8239558760857657E-17"/>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50B-41E9-9BDA-954D379ED949}"/>
                </c:ext>
              </c:extLst>
            </c:dLbl>
            <c:dLbl>
              <c:idx val="1"/>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50B-41E9-9BDA-954D379ED949}"/>
                </c:ext>
              </c:extLst>
            </c:dLbl>
            <c:dLbl>
              <c:idx val="2"/>
              <c:layout>
                <c:manualLayout>
                  <c:x val="-5.6479117521715313E-17"/>
                  <c:y val="-4.15584415584415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50B-41E9-9BDA-954D379ED949}"/>
                </c:ext>
              </c:extLst>
            </c:dLbl>
            <c:dLbl>
              <c:idx val="3"/>
              <c:layout>
                <c:manualLayout>
                  <c:x val="0"/>
                  <c:y val="-3.63636363636364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50B-41E9-9BDA-954D379ED949}"/>
                </c:ext>
              </c:extLst>
            </c:dLbl>
            <c:dLbl>
              <c:idx val="4"/>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50B-41E9-9BDA-954D379ED949}"/>
                </c:ext>
              </c:extLst>
            </c:dLbl>
            <c:dLbl>
              <c:idx val="5"/>
              <c:layout>
                <c:manualLayout>
                  <c:x val="-1.1295823504343063E-16"/>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50B-41E9-9BDA-954D379ED9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(N=9 339)</c:v>
                </c:pt>
                <c:pt idx="1">
                  <c:v> 2015 
(N=9 077) </c:v>
                </c:pt>
                <c:pt idx="2">
                  <c:v> 2016 
(N=9 187) </c:v>
                </c:pt>
                <c:pt idx="3">
                  <c:v> 2017 
(N=9 463) </c:v>
                </c:pt>
                <c:pt idx="4">
                  <c:v> 2018 
(N=9 926) </c:v>
                </c:pt>
                <c:pt idx="5">
                  <c:v> 2019
(N=10 850) </c:v>
                </c:pt>
              </c:strCache>
            </c:strRef>
          </c:cat>
          <c:val>
            <c:numRef>
              <c:f>Sheet1!$E$2:$E$7</c:f>
              <c:numCache>
                <c:formatCode>#\ ###</c:formatCode>
                <c:ptCount val="6"/>
                <c:pt idx="0">
                  <c:v>177</c:v>
                </c:pt>
                <c:pt idx="1">
                  <c:v>157</c:v>
                </c:pt>
                <c:pt idx="2">
                  <c:v>225</c:v>
                </c:pt>
                <c:pt idx="3">
                  <c:v>214</c:v>
                </c:pt>
                <c:pt idx="4">
                  <c:v>273</c:v>
                </c:pt>
                <c:pt idx="5">
                  <c:v>329</c:v>
                </c:pt>
              </c:numCache>
            </c:numRef>
          </c:val>
          <c:extLst>
            <c:ext xmlns:c16="http://schemas.microsoft.com/office/drawing/2014/chart" uri="{C3380CC4-5D6E-409C-BE32-E72D297353CC}">
              <c16:uniqueId val="{00000010-550B-41E9-9BDA-954D379ED949}"/>
            </c:ext>
          </c:extLst>
        </c:ser>
        <c:dLbls>
          <c:dLblPos val="ctr"/>
          <c:showLegendKey val="0"/>
          <c:showVal val="1"/>
          <c:showCatName val="0"/>
          <c:showSerName val="0"/>
          <c:showPercent val="0"/>
          <c:showBubbleSize val="0"/>
        </c:dLbls>
        <c:gapWidth val="150"/>
        <c:overlap val="100"/>
        <c:axId val="361529400"/>
        <c:axId val="360245208"/>
      </c:barChart>
      <c:catAx>
        <c:axId val="361529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0245208"/>
        <c:crosses val="autoZero"/>
        <c:auto val="1"/>
        <c:lblAlgn val="ctr"/>
        <c:lblOffset val="100"/>
        <c:noMultiLvlLbl val="0"/>
      </c:catAx>
      <c:valAx>
        <c:axId val="360245208"/>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1529400"/>
        <c:crosses val="autoZero"/>
        <c:crossBetween val="between"/>
      </c:valAx>
      <c:spPr>
        <a:noFill/>
        <a:ln>
          <a:noFill/>
        </a:ln>
        <a:effectLst/>
      </c:spPr>
    </c:plotArea>
    <c:legend>
      <c:legendPos val="b"/>
      <c:layout>
        <c:manualLayout>
          <c:xMode val="edge"/>
          <c:yMode val="edge"/>
          <c:x val="0.11985233947373207"/>
          <c:y val="0.86597226063235488"/>
          <c:w val="0.75699582009523625"/>
          <c:h val="0.1340277393676450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latin typeface="+mn-lt"/>
              </a:rPr>
              <a:t>Student program hires</a:t>
            </a:r>
          </a:p>
        </c:rich>
      </c:tx>
      <c:layout>
        <c:manualLayout>
          <c:xMode val="edge"/>
          <c:yMode val="edge"/>
          <c:x val="0.40701517706576729"/>
          <c:y val="2.4994792751510102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fr-FR"/>
        </a:p>
      </c:txPr>
    </c:title>
    <c:autoTitleDeleted val="0"/>
    <c:plotArea>
      <c:layout>
        <c:manualLayout>
          <c:layoutTarget val="inner"/>
          <c:xMode val="edge"/>
          <c:yMode val="edge"/>
          <c:x val="0.13588966676906661"/>
          <c:y val="0.12358035061426992"/>
          <c:w val="0.81893579524325377"/>
          <c:h val="0.59127513128395404"/>
        </c:manualLayout>
      </c:layout>
      <c:barChart>
        <c:barDir val="col"/>
        <c:grouping val="stacked"/>
        <c:varyColors val="0"/>
        <c:ser>
          <c:idx val="0"/>
          <c:order val="0"/>
          <c:tx>
            <c:strRef>
              <c:f>Sheet1!$B$1</c:f>
              <c:strCache>
                <c:ptCount val="1"/>
                <c:pt idx="0">
                  <c:v>Federal Student Work Experience Program (FSWEP)</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(N=418)</c:v>
                </c:pt>
                <c:pt idx="1">
                  <c:v>2015-16
 (N=562)</c:v>
                </c:pt>
                <c:pt idx="2">
                  <c:v>2016-17
 (N=570)</c:v>
                </c:pt>
                <c:pt idx="3">
                  <c:v>2017-18
 (N=593)</c:v>
                </c:pt>
                <c:pt idx="4">
                  <c:v>2018-19
 (N=678)</c:v>
                </c:pt>
              </c:strCache>
            </c:strRef>
          </c:cat>
          <c:val>
            <c:numRef>
              <c:f>Sheet1!$B$2:$B$6</c:f>
              <c:numCache>
                <c:formatCode>General</c:formatCode>
                <c:ptCount val="5"/>
                <c:pt idx="0">
                  <c:v>182</c:v>
                </c:pt>
                <c:pt idx="1">
                  <c:v>291</c:v>
                </c:pt>
                <c:pt idx="2">
                  <c:v>283</c:v>
                </c:pt>
                <c:pt idx="3">
                  <c:v>243</c:v>
                </c:pt>
                <c:pt idx="4">
                  <c:v>302</c:v>
                </c:pt>
              </c:numCache>
            </c:numRef>
          </c:val>
          <c:extLst>
            <c:ext xmlns:c16="http://schemas.microsoft.com/office/drawing/2014/chart" uri="{C3380CC4-5D6E-409C-BE32-E72D297353CC}">
              <c16:uniqueId val="{00000000-CE8C-42EF-ABA6-BBFDBC8BF221}"/>
            </c:ext>
          </c:extLst>
        </c:ser>
        <c:ser>
          <c:idx val="1"/>
          <c:order val="1"/>
          <c:tx>
            <c:strRef>
              <c:f>Sheet1!$C$1</c:f>
              <c:strCache>
                <c:ptCount val="1"/>
                <c:pt idx="0">
                  <c:v>Post-Secondary CO-OP/Internship Program (COOP)</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(N=418)</c:v>
                </c:pt>
                <c:pt idx="1">
                  <c:v>2015-16
 (N=562)</c:v>
                </c:pt>
                <c:pt idx="2">
                  <c:v>2016-17
 (N=570)</c:v>
                </c:pt>
                <c:pt idx="3">
                  <c:v>2017-18
 (N=593)</c:v>
                </c:pt>
                <c:pt idx="4">
                  <c:v>2018-19
 (N=678)</c:v>
                </c:pt>
              </c:strCache>
            </c:strRef>
          </c:cat>
          <c:val>
            <c:numRef>
              <c:f>Sheet1!$C$2:$C$6</c:f>
              <c:numCache>
                <c:formatCode>General</c:formatCode>
                <c:ptCount val="5"/>
                <c:pt idx="0">
                  <c:v>228</c:v>
                </c:pt>
                <c:pt idx="1">
                  <c:v>266</c:v>
                </c:pt>
                <c:pt idx="2">
                  <c:v>279</c:v>
                </c:pt>
                <c:pt idx="3">
                  <c:v>343</c:v>
                </c:pt>
                <c:pt idx="4">
                  <c:v>363</c:v>
                </c:pt>
              </c:numCache>
            </c:numRef>
          </c:val>
          <c:extLst>
            <c:ext xmlns:c16="http://schemas.microsoft.com/office/drawing/2014/chart" uri="{C3380CC4-5D6E-409C-BE32-E72D297353CC}">
              <c16:uniqueId val="{00000001-CE8C-42EF-ABA6-BBFDBC8BF221}"/>
            </c:ext>
          </c:extLst>
        </c:ser>
        <c:ser>
          <c:idx val="2"/>
          <c:order val="2"/>
          <c:tx>
            <c:strRef>
              <c:f>Sheet1!$D$1</c:f>
              <c:strCache>
                <c:ptCount val="1"/>
                <c:pt idx="0">
                  <c:v>Research Affiliate Program (RAP)</c:v>
                </c:pt>
              </c:strCache>
            </c:strRef>
          </c:tx>
          <c:spPr>
            <a:solidFill>
              <a:schemeClr val="accent3"/>
            </a:solidFill>
            <a:ln>
              <a:noFill/>
            </a:ln>
            <a:effectLst/>
          </c:spPr>
          <c:invertIfNegative val="0"/>
          <c:dLbls>
            <c:dLbl>
              <c:idx val="0"/>
              <c:layout>
                <c:manualLayout>
                  <c:x val="0"/>
                  <c:y val="-2.302379125095932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E8C-42EF-ABA6-BBFDBC8BF221}"/>
                </c:ext>
              </c:extLst>
            </c:dLbl>
            <c:dLbl>
              <c:idx val="1"/>
              <c:layout>
                <c:manualLayout>
                  <c:x val="-7.5290026889317413E-17"/>
                  <c:y val="-2.302379125095932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E8C-42EF-ABA6-BBFDBC8BF221}"/>
                </c:ext>
              </c:extLst>
            </c:dLbl>
            <c:dLbl>
              <c:idx val="2"/>
              <c:layout>
                <c:manualLayout>
                  <c:x val="0"/>
                  <c:y val="-2.302379125095935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E8C-42EF-ABA6-BBFDBC8BF221}"/>
                </c:ext>
              </c:extLst>
            </c:dLbl>
            <c:dLbl>
              <c:idx val="3"/>
              <c:layout>
                <c:manualLayout>
                  <c:x val="-1.5058005377863483E-16"/>
                  <c:y val="-2.302379125095932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E8C-42EF-ABA6-BBFDBC8BF221}"/>
                </c:ext>
              </c:extLst>
            </c:dLbl>
            <c:dLbl>
              <c:idx val="4"/>
              <c:layout>
                <c:manualLayout>
                  <c:x val="-1.5058005377863483E-16"/>
                  <c:y val="-2.686108979278591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E8C-42EF-ABA6-BBFDBC8BF22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(N=418)</c:v>
                </c:pt>
                <c:pt idx="1">
                  <c:v>2015-16
 (N=562)</c:v>
                </c:pt>
                <c:pt idx="2">
                  <c:v>2016-17
 (N=570)</c:v>
                </c:pt>
                <c:pt idx="3">
                  <c:v>2017-18
 (N=593)</c:v>
                </c:pt>
                <c:pt idx="4">
                  <c:v>2018-19
 (N=678)</c:v>
                </c:pt>
              </c:strCache>
            </c:strRef>
          </c:cat>
          <c:val>
            <c:numRef>
              <c:f>Sheet1!$D$2:$D$6</c:f>
              <c:numCache>
                <c:formatCode>General</c:formatCode>
                <c:ptCount val="5"/>
                <c:pt idx="0">
                  <c:v>8</c:v>
                </c:pt>
                <c:pt idx="1">
                  <c:v>5</c:v>
                </c:pt>
                <c:pt idx="2">
                  <c:v>8</c:v>
                </c:pt>
                <c:pt idx="3">
                  <c:v>7</c:v>
                </c:pt>
                <c:pt idx="4">
                  <c:v>13</c:v>
                </c:pt>
              </c:numCache>
            </c:numRef>
          </c:val>
          <c:extLst>
            <c:ext xmlns:c16="http://schemas.microsoft.com/office/drawing/2014/chart" uri="{C3380CC4-5D6E-409C-BE32-E72D297353CC}">
              <c16:uniqueId val="{00000007-CE8C-42EF-ABA6-BBFDBC8BF221}"/>
            </c:ext>
          </c:extLst>
        </c:ser>
        <c:dLbls>
          <c:dLblPos val="ctr"/>
          <c:showLegendKey val="0"/>
          <c:showVal val="1"/>
          <c:showCatName val="0"/>
          <c:showSerName val="0"/>
          <c:showPercent val="0"/>
          <c:showBubbleSize val="0"/>
        </c:dLbls>
        <c:gapWidth val="150"/>
        <c:overlap val="100"/>
        <c:axId val="362902112"/>
        <c:axId val="362904072"/>
      </c:barChart>
      <c:catAx>
        <c:axId val="36290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2904072"/>
        <c:crosses val="autoZero"/>
        <c:auto val="1"/>
        <c:lblAlgn val="ctr"/>
        <c:lblOffset val="100"/>
        <c:noMultiLvlLbl val="0"/>
      </c:catAx>
      <c:valAx>
        <c:axId val="3629040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2902112"/>
        <c:crosses val="autoZero"/>
        <c:crossBetween val="between"/>
      </c:valAx>
      <c:spPr>
        <a:noFill/>
        <a:ln>
          <a:noFill/>
        </a:ln>
        <a:effectLst/>
      </c:spPr>
    </c:plotArea>
    <c:legend>
      <c:legendPos val="b"/>
      <c:layout>
        <c:manualLayout>
          <c:xMode val="edge"/>
          <c:yMode val="edge"/>
          <c:x val="4.2890265000242525E-2"/>
          <c:y val="0.83451514071101818"/>
          <c:w val="0.86904460864363209"/>
          <c:h val="0.138623769496195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fr-F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CA" sz="1200"/>
              <a:t>External indeterminate and term hiring activities: Post-Secondary Recruitment Program and former student hires</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fr-FR"/>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63032789915352E-2"/>
          <c:y val="0.19540249333760371"/>
          <c:w val="0.90621744112971792"/>
          <c:h val="0.52825822904140041"/>
        </c:manualLayout>
      </c:layout>
      <c:bar3DChart>
        <c:barDir val="col"/>
        <c:grouping val="clustered"/>
        <c:varyColors val="0"/>
        <c:ser>
          <c:idx val="0"/>
          <c:order val="0"/>
          <c:tx>
            <c:strRef>
              <c:f>Sheet1!$B$1</c:f>
              <c:strCache>
                <c:ptCount val="1"/>
                <c:pt idx="0">
                  <c:v>Post-secondary Recruitment (PSR)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1142061281337047E-2"/>
                  <c:y val="1.1511895625479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FA7-4805-9899-021723A1E2D2}"/>
                </c:ext>
              </c:extLst>
            </c:dLbl>
            <c:dLbl>
              <c:idx val="1"/>
              <c:layout>
                <c:manualLayout>
                  <c:x val="0"/>
                  <c:y val="3.83729854182655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A7-4805-9899-021723A1E2D2}"/>
                </c:ext>
              </c:extLst>
            </c:dLbl>
            <c:dLbl>
              <c:idx val="2"/>
              <c:layout>
                <c:manualLayout>
                  <c:x val="-1.1142061281337047E-2"/>
                  <c:y val="7.67459708365303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FA7-4805-9899-021723A1E2D2}"/>
                </c:ext>
              </c:extLst>
            </c:dLbl>
            <c:dLbl>
              <c:idx val="3"/>
              <c:layout>
                <c:manualLayout>
                  <c:x val="-7.4280408542248344E-3"/>
                  <c:y val="7.67459708365317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FA7-4805-9899-021723A1E2D2}"/>
                </c:ext>
              </c:extLst>
            </c:dLbl>
            <c:dLbl>
              <c:idx val="4"/>
              <c:layout>
                <c:manualLayout>
                  <c:x val="-7.4280408542248344E-3"/>
                  <c:y val="1.1511895625479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FA7-4805-9899-021723A1E2D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Sheet1!$B$2:$B$6</c:f>
              <c:numCache>
                <c:formatCode>_-* #,##0_-;\-* #,##0_-;_-* "-"??_-;_-@_-</c:formatCode>
                <c:ptCount val="5"/>
                <c:pt idx="0">
                  <c:v>10</c:v>
                </c:pt>
                <c:pt idx="1">
                  <c:v>9</c:v>
                </c:pt>
                <c:pt idx="2">
                  <c:v>39</c:v>
                </c:pt>
                <c:pt idx="3">
                  <c:v>55</c:v>
                </c:pt>
                <c:pt idx="4">
                  <c:v>92</c:v>
                </c:pt>
              </c:numCache>
            </c:numRef>
          </c:val>
          <c:extLst>
            <c:ext xmlns:c16="http://schemas.microsoft.com/office/drawing/2014/chart" uri="{C3380CC4-5D6E-409C-BE32-E72D297353CC}">
              <c16:uniqueId val="{00000005-BFA7-4805-9899-021723A1E2D2}"/>
            </c:ext>
          </c:extLst>
        </c:ser>
        <c:ser>
          <c:idx val="1"/>
          <c:order val="1"/>
          <c:tx>
            <c:strRef>
              <c:f>Sheet1!$C$1</c:f>
              <c:strCache>
                <c:ptCount val="1"/>
                <c:pt idx="0">
                  <c:v>Former student hires*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1.15118956254796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FA7-4805-9899-021723A1E2D2}"/>
                </c:ext>
              </c:extLst>
            </c:dLbl>
            <c:dLbl>
              <c:idx val="1"/>
              <c:layout>
                <c:manualLayout>
                  <c:x val="0"/>
                  <c:y val="7.67459708365303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FA7-4805-9899-021723A1E2D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Sheet1!$C$2:$C$6</c:f>
              <c:numCache>
                <c:formatCode>_-* #,##0_-;\-* #,##0_-;_-* "-"??_-;_-@_-</c:formatCode>
                <c:ptCount val="5"/>
                <c:pt idx="0">
                  <c:v>64</c:v>
                </c:pt>
                <c:pt idx="1">
                  <c:v>106</c:v>
                </c:pt>
                <c:pt idx="2">
                  <c:v>181</c:v>
                </c:pt>
                <c:pt idx="3">
                  <c:v>224</c:v>
                </c:pt>
                <c:pt idx="4">
                  <c:v>294</c:v>
                </c:pt>
              </c:numCache>
            </c:numRef>
          </c:val>
          <c:extLst>
            <c:ext xmlns:c16="http://schemas.microsoft.com/office/drawing/2014/chart" uri="{C3380CC4-5D6E-409C-BE32-E72D297353CC}">
              <c16:uniqueId val="{00000008-BFA7-4805-9899-021723A1E2D2}"/>
            </c:ext>
          </c:extLst>
        </c:ser>
        <c:dLbls>
          <c:showLegendKey val="0"/>
          <c:showVal val="1"/>
          <c:showCatName val="0"/>
          <c:showSerName val="0"/>
          <c:showPercent val="0"/>
          <c:showBubbleSize val="0"/>
        </c:dLbls>
        <c:gapWidth val="150"/>
        <c:shape val="box"/>
        <c:axId val="362904464"/>
        <c:axId val="362904856"/>
        <c:axId val="0"/>
      </c:bar3DChart>
      <c:catAx>
        <c:axId val="3629044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2904856"/>
        <c:crosses val="autoZero"/>
        <c:auto val="1"/>
        <c:lblAlgn val="ctr"/>
        <c:lblOffset val="100"/>
        <c:noMultiLvlLbl val="0"/>
      </c:catAx>
      <c:valAx>
        <c:axId val="362904856"/>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2904464"/>
        <c:crosses val="autoZero"/>
        <c:crossBetween val="between"/>
        <c:minorUnit val="1"/>
      </c:valAx>
      <c:spPr>
        <a:noFill/>
        <a:ln>
          <a:noFill/>
        </a:ln>
        <a:effectLst/>
      </c:spPr>
    </c:plotArea>
    <c:legend>
      <c:legendPos val="r"/>
      <c:layout>
        <c:manualLayout>
          <c:xMode val="edge"/>
          <c:yMode val="edge"/>
          <c:x val="2.8456707535513492E-2"/>
          <c:y val="0.7903145980505315"/>
          <c:w val="0.94572119989179626"/>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fr-FR"/>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CA" sz="1100" baseline="0">
                <a:solidFill>
                  <a:sysClr val="windowText" lastClr="000000"/>
                </a:solidFill>
              </a:rPr>
              <a:t>Internal time to staff</a:t>
            </a:r>
          </a:p>
          <a:p>
            <a:pPr>
              <a:defRPr sz="1100"/>
            </a:pPr>
            <a:r>
              <a:rPr lang="en-CA" sz="1100" b="1" i="0" baseline="0">
                <a:solidFill>
                  <a:sysClr val="windowText" lastClr="000000"/>
                </a:solidFill>
                <a:effectLst/>
              </a:rPr>
              <a:t>Public service median = 176 days</a:t>
            </a:r>
            <a:endParaRPr lang="en-CA" sz="1100" b="1">
              <a:solidFill>
                <a:sysClr val="windowText" lastClr="000000"/>
              </a:solidFill>
              <a:effectLst/>
            </a:endParaRPr>
          </a:p>
          <a:p>
            <a:pPr>
              <a:defRPr sz="1100"/>
            </a:pPr>
            <a:r>
              <a:rPr lang="en-CA" sz="1100" b="1" i="0" baseline="0">
                <a:solidFill>
                  <a:sysClr val="windowText" lastClr="000000"/>
                </a:solidFill>
                <a:effectLst/>
              </a:rPr>
              <a:t> </a:t>
            </a:r>
            <a:r>
              <a:rPr lang="en-CA" sz="1100" baseline="0">
                <a:solidFill>
                  <a:sysClr val="windowText" lastClr="000000"/>
                </a:solidFill>
              </a:rPr>
              <a:t>2018-19</a:t>
            </a:r>
            <a:endParaRPr lang="en-CA" sz="1100">
              <a:solidFill>
                <a:sysClr val="windowText" lastClr="000000"/>
              </a:solidFill>
            </a:endParaRPr>
          </a:p>
        </c:rich>
      </c:tx>
      <c:layout>
        <c:manualLayout>
          <c:xMode val="edge"/>
          <c:yMode val="edge"/>
          <c:x val="0.30646464646464644"/>
          <c:y val="3.6182590578239574E-3"/>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15</c:v>
                </c:pt>
                <c:pt idx="2">
                  <c:v>130</c:v>
                </c:pt>
                <c:pt idx="3">
                  <c:v>277</c:v>
                </c:pt>
                <c:pt idx="4">
                  <c:v>391</c:v>
                </c:pt>
                <c:pt idx="5">
                  <c:v>367</c:v>
                </c:pt>
                <c:pt idx="6">
                  <c:v>322</c:v>
                </c:pt>
                <c:pt idx="7">
                  <c:v>278</c:v>
                </c:pt>
                <c:pt idx="8">
                  <c:v>241</c:v>
                </c:pt>
                <c:pt idx="9">
                  <c:v>165</c:v>
                </c:pt>
                <c:pt idx="10">
                  <c:v>134</c:v>
                </c:pt>
                <c:pt idx="11">
                  <c:v>107</c:v>
                </c:pt>
                <c:pt idx="12">
                  <c:v>77</c:v>
                </c:pt>
                <c:pt idx="13">
                  <c:v>61</c:v>
                </c:pt>
                <c:pt idx="14">
                  <c:v>53</c:v>
                </c:pt>
                <c:pt idx="15">
                  <c:v>51</c:v>
                </c:pt>
                <c:pt idx="16">
                  <c:v>42</c:v>
                </c:pt>
                <c:pt idx="17">
                  <c:v>40</c:v>
                </c:pt>
                <c:pt idx="18">
                  <c:v>32</c:v>
                </c:pt>
                <c:pt idx="19">
                  <c:v>24</c:v>
                </c:pt>
                <c:pt idx="20">
                  <c:v>21</c:v>
                </c:pt>
                <c:pt idx="21">
                  <c:v>11</c:v>
                </c:pt>
                <c:pt idx="22">
                  <c:v>19</c:v>
                </c:pt>
                <c:pt idx="23">
                  <c:v>3</c:v>
                </c:pt>
                <c:pt idx="24">
                  <c:v>13</c:v>
                </c:pt>
                <c:pt idx="25">
                  <c:v>6</c:v>
                </c:pt>
                <c:pt idx="26">
                  <c:v>5</c:v>
                </c:pt>
                <c:pt idx="27">
                  <c:v>8</c:v>
                </c:pt>
                <c:pt idx="28">
                  <c:v>4</c:v>
                </c:pt>
                <c:pt idx="29">
                  <c:v>10</c:v>
                </c:pt>
                <c:pt idx="30">
                  <c:v>4</c:v>
                </c:pt>
                <c:pt idx="31">
                  <c:v>5</c:v>
                </c:pt>
                <c:pt idx="32">
                  <c:v>5</c:v>
                </c:pt>
                <c:pt idx="33">
                  <c:v>3</c:v>
                </c:pt>
                <c:pt idx="34">
                  <c:v>23</c:v>
                </c:pt>
              </c:numCache>
            </c:numRef>
          </c:val>
          <c:extLst>
            <c:ext xmlns:c16="http://schemas.microsoft.com/office/drawing/2014/chart" uri="{C3380CC4-5D6E-409C-BE32-E72D297353CC}">
              <c16:uniqueId val="{00000000-1304-4D17-AACE-649233A49E12}"/>
            </c:ext>
          </c:extLst>
        </c:ser>
        <c:dLbls>
          <c:showLegendKey val="0"/>
          <c:showVal val="0"/>
          <c:showCatName val="0"/>
          <c:showSerName val="0"/>
          <c:showPercent val="0"/>
          <c:showBubbleSize val="0"/>
        </c:dLbls>
        <c:gapWidth val="150"/>
        <c:overlap val="100"/>
        <c:axId val="362905640"/>
        <c:axId val="362909168"/>
      </c:barChart>
      <c:catAx>
        <c:axId val="36290564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CA"/>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62909168"/>
        <c:crosses val="autoZero"/>
        <c:auto val="1"/>
        <c:lblAlgn val="ctr"/>
        <c:lblOffset val="100"/>
        <c:noMultiLvlLbl val="0"/>
      </c:catAx>
      <c:valAx>
        <c:axId val="362909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CA"/>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62905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CA" sz="1100" baseline="0">
                <a:solidFill>
                  <a:sysClr val="windowText" lastClr="000000"/>
                </a:solidFill>
                <a:latin typeface="+mn-lt"/>
              </a:rPr>
              <a:t>Internal time to staff</a:t>
            </a:r>
          </a:p>
          <a:p>
            <a:pPr>
              <a:defRPr sz="1100"/>
            </a:pPr>
            <a:r>
              <a:rPr lang="en-CA" sz="1100" b="1" i="0" baseline="0">
                <a:solidFill>
                  <a:sysClr val="windowText" lastClr="000000"/>
                </a:solidFill>
                <a:effectLst/>
                <a:latin typeface="+mn-lt"/>
              </a:rPr>
              <a:t>Health Canada = 201 days</a:t>
            </a:r>
            <a:endParaRPr lang="en-CA" sz="1100" b="1">
              <a:solidFill>
                <a:sysClr val="windowText" lastClr="000000"/>
              </a:solidFill>
              <a:effectLst/>
              <a:latin typeface="+mn-lt"/>
            </a:endParaRPr>
          </a:p>
          <a:p>
            <a:pPr>
              <a:defRPr sz="1100"/>
            </a:pPr>
            <a:r>
              <a:rPr lang="en-CA" sz="1100" b="1" i="0" baseline="0">
                <a:solidFill>
                  <a:sysClr val="windowText" lastClr="000000"/>
                </a:solidFill>
                <a:effectLst/>
                <a:latin typeface="+mn-lt"/>
              </a:rPr>
              <a:t> </a:t>
            </a:r>
            <a:r>
              <a:rPr lang="en-CA" sz="1100" baseline="0">
                <a:solidFill>
                  <a:sysClr val="windowText" lastClr="000000"/>
                </a:solidFill>
                <a:latin typeface="+mn-lt"/>
              </a:rPr>
              <a:t>2018-19</a:t>
            </a:r>
            <a:endParaRPr lang="en-CA" sz="1100">
              <a:solidFill>
                <a:sysClr val="windowText" lastClr="000000"/>
              </a:solidFill>
              <a:latin typeface="+mn-lt"/>
            </a:endParaRPr>
          </a:p>
        </c:rich>
      </c:tx>
      <c:layout>
        <c:manualLayout>
          <c:xMode val="edge"/>
          <c:yMode val="edge"/>
          <c:x val="0.31512265512265514"/>
          <c:y val="3.6182590578239574E-3"/>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9.6946745293201991E-2"/>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2">
                  <c:v>1</c:v>
                </c:pt>
                <c:pt idx="3">
                  <c:v>12</c:v>
                </c:pt>
                <c:pt idx="4">
                  <c:v>21</c:v>
                </c:pt>
                <c:pt idx="5">
                  <c:v>17</c:v>
                </c:pt>
                <c:pt idx="6">
                  <c:v>15</c:v>
                </c:pt>
                <c:pt idx="7">
                  <c:v>13</c:v>
                </c:pt>
                <c:pt idx="8">
                  <c:v>19</c:v>
                </c:pt>
                <c:pt idx="9">
                  <c:v>8</c:v>
                </c:pt>
                <c:pt idx="10">
                  <c:v>9</c:v>
                </c:pt>
                <c:pt idx="11">
                  <c:v>8</c:v>
                </c:pt>
                <c:pt idx="12">
                  <c:v>4</c:v>
                </c:pt>
                <c:pt idx="13">
                  <c:v>3</c:v>
                </c:pt>
                <c:pt idx="14">
                  <c:v>3</c:v>
                </c:pt>
                <c:pt idx="15">
                  <c:v>0</c:v>
                </c:pt>
                <c:pt idx="16">
                  <c:v>2</c:v>
                </c:pt>
                <c:pt idx="17">
                  <c:v>1</c:v>
                </c:pt>
                <c:pt idx="18">
                  <c:v>3</c:v>
                </c:pt>
                <c:pt idx="19">
                  <c:v>2</c:v>
                </c:pt>
                <c:pt idx="20">
                  <c:v>2</c:v>
                </c:pt>
                <c:pt idx="21">
                  <c:v>1</c:v>
                </c:pt>
                <c:pt idx="22">
                  <c:v>2</c:v>
                </c:pt>
                <c:pt idx="23">
                  <c:v>0</c:v>
                </c:pt>
                <c:pt idx="24">
                  <c:v>1</c:v>
                </c:pt>
                <c:pt idx="25">
                  <c:v>0</c:v>
                </c:pt>
                <c:pt idx="26">
                  <c:v>0</c:v>
                </c:pt>
                <c:pt idx="27">
                  <c:v>1</c:v>
                </c:pt>
                <c:pt idx="28">
                  <c:v>0</c:v>
                </c:pt>
                <c:pt idx="29">
                  <c:v>0</c:v>
                </c:pt>
                <c:pt idx="30">
                  <c:v>1</c:v>
                </c:pt>
                <c:pt idx="31">
                  <c:v>2</c:v>
                </c:pt>
                <c:pt idx="34">
                  <c:v>2</c:v>
                </c:pt>
              </c:numCache>
            </c:numRef>
          </c:val>
          <c:extLst>
            <c:ext xmlns:c16="http://schemas.microsoft.com/office/drawing/2014/chart" uri="{C3380CC4-5D6E-409C-BE32-E72D297353CC}">
              <c16:uniqueId val="{00000000-6BB3-44D4-82FC-8A2901D2FB78}"/>
            </c:ext>
          </c:extLst>
        </c:ser>
        <c:dLbls>
          <c:showLegendKey val="0"/>
          <c:showVal val="0"/>
          <c:showCatName val="0"/>
          <c:showSerName val="0"/>
          <c:showPercent val="0"/>
          <c:showBubbleSize val="0"/>
        </c:dLbls>
        <c:gapWidth val="150"/>
        <c:overlap val="100"/>
        <c:axId val="362906816"/>
        <c:axId val="361517528"/>
      </c:barChart>
      <c:catAx>
        <c:axId val="36290681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CA"/>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61517528"/>
        <c:crosses val="autoZero"/>
        <c:auto val="1"/>
        <c:lblAlgn val="ctr"/>
        <c:lblOffset val="100"/>
        <c:noMultiLvlLbl val="0"/>
      </c:catAx>
      <c:valAx>
        <c:axId val="361517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CA"/>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62906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CA" sz="1100" baseline="0">
                <a:solidFill>
                  <a:sysClr val="windowText" lastClr="000000"/>
                </a:solidFill>
              </a:rPr>
              <a:t>External time to staff</a:t>
            </a:r>
          </a:p>
          <a:p>
            <a:pPr>
              <a:defRPr sz="1100"/>
            </a:pPr>
            <a:r>
              <a:rPr lang="en-CA" sz="1100" b="1" i="0" baseline="0">
                <a:solidFill>
                  <a:sysClr val="windowText" lastClr="000000"/>
                </a:solidFill>
                <a:effectLst/>
              </a:rPr>
              <a:t>Public service median = 186 days</a:t>
            </a:r>
            <a:endParaRPr lang="en-CA" sz="1100">
              <a:solidFill>
                <a:sysClr val="windowText" lastClr="000000"/>
              </a:solidFill>
              <a:effectLst/>
            </a:endParaRPr>
          </a:p>
          <a:p>
            <a:pPr>
              <a:defRPr sz="1100"/>
            </a:pPr>
            <a:r>
              <a:rPr lang="en-CA" sz="1100" b="1" i="0" baseline="0">
                <a:solidFill>
                  <a:sysClr val="windowText" lastClr="000000"/>
                </a:solidFill>
                <a:effectLst/>
              </a:rPr>
              <a:t> </a:t>
            </a:r>
            <a:r>
              <a:rPr lang="en-CA" sz="1100" baseline="0">
                <a:solidFill>
                  <a:sysClr val="windowText" lastClr="000000"/>
                </a:solidFill>
              </a:rPr>
              <a:t>2018-19</a:t>
            </a:r>
            <a:endParaRPr lang="en-CA" sz="1100">
              <a:solidFill>
                <a:sysClr val="windowText" lastClr="000000"/>
              </a:solidFill>
            </a:endParaRPr>
          </a:p>
        </c:rich>
      </c:tx>
      <c:layout>
        <c:manualLayout>
          <c:xMode val="edge"/>
          <c:yMode val="edge"/>
          <c:x val="0.28931165126098374"/>
          <c:y val="1.2782228376329103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49</c:v>
                </c:pt>
                <c:pt idx="2">
                  <c:v>82</c:v>
                </c:pt>
                <c:pt idx="3">
                  <c:v>124</c:v>
                </c:pt>
                <c:pt idx="4">
                  <c:v>160</c:v>
                </c:pt>
                <c:pt idx="5">
                  <c:v>181</c:v>
                </c:pt>
                <c:pt idx="6">
                  <c:v>179</c:v>
                </c:pt>
                <c:pt idx="7">
                  <c:v>160</c:v>
                </c:pt>
                <c:pt idx="8">
                  <c:v>139</c:v>
                </c:pt>
                <c:pt idx="9">
                  <c:v>84</c:v>
                </c:pt>
                <c:pt idx="10">
                  <c:v>73</c:v>
                </c:pt>
                <c:pt idx="11">
                  <c:v>61</c:v>
                </c:pt>
                <c:pt idx="12">
                  <c:v>41</c:v>
                </c:pt>
                <c:pt idx="13">
                  <c:v>43</c:v>
                </c:pt>
                <c:pt idx="14">
                  <c:v>49</c:v>
                </c:pt>
                <c:pt idx="15">
                  <c:v>35</c:v>
                </c:pt>
                <c:pt idx="16">
                  <c:v>22</c:v>
                </c:pt>
                <c:pt idx="17">
                  <c:v>27</c:v>
                </c:pt>
                <c:pt idx="18">
                  <c:v>17</c:v>
                </c:pt>
                <c:pt idx="19">
                  <c:v>15</c:v>
                </c:pt>
                <c:pt idx="20">
                  <c:v>14</c:v>
                </c:pt>
                <c:pt idx="21">
                  <c:v>12</c:v>
                </c:pt>
                <c:pt idx="22">
                  <c:v>7</c:v>
                </c:pt>
                <c:pt idx="23">
                  <c:v>5</c:v>
                </c:pt>
                <c:pt idx="24">
                  <c:v>7</c:v>
                </c:pt>
                <c:pt idx="25">
                  <c:v>11</c:v>
                </c:pt>
                <c:pt idx="26">
                  <c:v>3</c:v>
                </c:pt>
                <c:pt idx="27">
                  <c:v>7</c:v>
                </c:pt>
                <c:pt idx="28">
                  <c:v>2</c:v>
                </c:pt>
                <c:pt idx="29">
                  <c:v>2</c:v>
                </c:pt>
                <c:pt idx="30">
                  <c:v>0</c:v>
                </c:pt>
                <c:pt idx="31">
                  <c:v>3</c:v>
                </c:pt>
                <c:pt idx="32">
                  <c:v>1</c:v>
                </c:pt>
                <c:pt idx="33">
                  <c:v>0</c:v>
                </c:pt>
                <c:pt idx="34">
                  <c:v>0</c:v>
                </c:pt>
              </c:numCache>
            </c:numRef>
          </c:val>
          <c:extLst>
            <c:ext xmlns:c16="http://schemas.microsoft.com/office/drawing/2014/chart" uri="{C3380CC4-5D6E-409C-BE32-E72D297353CC}">
              <c16:uniqueId val="{00000000-AC43-41C2-9FC1-549300FD5569}"/>
            </c:ext>
          </c:extLst>
        </c:ser>
        <c:dLbls>
          <c:showLegendKey val="0"/>
          <c:showVal val="0"/>
          <c:showCatName val="0"/>
          <c:showSerName val="0"/>
          <c:showPercent val="0"/>
          <c:showBubbleSize val="0"/>
        </c:dLbls>
        <c:gapWidth val="150"/>
        <c:overlap val="100"/>
        <c:axId val="364371048"/>
        <c:axId val="364369480"/>
      </c:barChart>
      <c:catAx>
        <c:axId val="36437104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CA"/>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64369480"/>
        <c:crosses val="autoZero"/>
        <c:auto val="1"/>
        <c:lblAlgn val="ctr"/>
        <c:lblOffset val="100"/>
        <c:noMultiLvlLbl val="0"/>
      </c:catAx>
      <c:valAx>
        <c:axId val="364369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CA"/>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64371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CA" sz="1100" baseline="0">
                <a:solidFill>
                  <a:sysClr val="windowText" lastClr="000000"/>
                </a:solidFill>
              </a:rPr>
              <a:t>External time to staff</a:t>
            </a:r>
          </a:p>
          <a:p>
            <a:pPr>
              <a:defRPr sz="1100"/>
            </a:pPr>
            <a:r>
              <a:rPr lang="en-CA" sz="1100" b="1" i="0" baseline="0">
                <a:solidFill>
                  <a:sysClr val="windowText" lastClr="000000"/>
                </a:solidFill>
                <a:effectLst/>
              </a:rPr>
              <a:t>Health Canada = 193 days</a:t>
            </a:r>
          </a:p>
          <a:p>
            <a:pPr>
              <a:defRPr sz="1100"/>
            </a:pPr>
            <a:r>
              <a:rPr lang="en-CA" sz="1100" b="1" i="0" baseline="0">
                <a:effectLst/>
              </a:rPr>
              <a:t> </a:t>
            </a:r>
            <a:r>
              <a:rPr lang="en-CA" sz="1100" baseline="0">
                <a:solidFill>
                  <a:sysClr val="windowText" lastClr="000000"/>
                </a:solidFill>
              </a:rPr>
              <a:t>2018-19</a:t>
            </a:r>
            <a:endParaRPr lang="en-CA" sz="1100">
              <a:solidFill>
                <a:sysClr val="windowText" lastClr="000000"/>
              </a:solidFill>
            </a:endParaRPr>
          </a:p>
        </c:rich>
      </c:tx>
      <c:layout>
        <c:manualLayout>
          <c:xMode val="edge"/>
          <c:yMode val="edge"/>
          <c:x val="0.36129870129870129"/>
          <c:y val="8.2001605469419411E-3"/>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11137675972321642"/>
          <c:y val="0.20517141542874157"/>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4</c:v>
                </c:pt>
                <c:pt idx="2">
                  <c:v>5</c:v>
                </c:pt>
                <c:pt idx="3">
                  <c:v>5</c:v>
                </c:pt>
                <c:pt idx="4">
                  <c:v>14</c:v>
                </c:pt>
                <c:pt idx="5">
                  <c:v>7</c:v>
                </c:pt>
                <c:pt idx="6">
                  <c:v>3</c:v>
                </c:pt>
                <c:pt idx="7">
                  <c:v>7</c:v>
                </c:pt>
                <c:pt idx="8">
                  <c:v>9</c:v>
                </c:pt>
                <c:pt idx="9">
                  <c:v>4</c:v>
                </c:pt>
                <c:pt idx="10">
                  <c:v>3</c:v>
                </c:pt>
                <c:pt idx="11">
                  <c:v>2</c:v>
                </c:pt>
                <c:pt idx="12">
                  <c:v>3</c:v>
                </c:pt>
                <c:pt idx="13">
                  <c:v>0</c:v>
                </c:pt>
                <c:pt idx="14">
                  <c:v>0</c:v>
                </c:pt>
                <c:pt idx="15">
                  <c:v>2</c:v>
                </c:pt>
                <c:pt idx="16">
                  <c:v>1</c:v>
                </c:pt>
                <c:pt idx="17">
                  <c:v>2</c:v>
                </c:pt>
                <c:pt idx="18">
                  <c:v>3</c:v>
                </c:pt>
                <c:pt idx="19">
                  <c:v>1</c:v>
                </c:pt>
                <c:pt idx="20">
                  <c:v>2</c:v>
                </c:pt>
                <c:pt idx="21">
                  <c:v>1</c:v>
                </c:pt>
                <c:pt idx="22">
                  <c:v>0</c:v>
                </c:pt>
                <c:pt idx="23">
                  <c:v>0</c:v>
                </c:pt>
                <c:pt idx="24">
                  <c:v>0</c:v>
                </c:pt>
                <c:pt idx="25">
                  <c:v>1</c:v>
                </c:pt>
                <c:pt idx="26">
                  <c:v>1</c:v>
                </c:pt>
                <c:pt idx="27">
                  <c:v>0</c:v>
                </c:pt>
                <c:pt idx="28">
                  <c:v>0</c:v>
                </c:pt>
                <c:pt idx="29">
                  <c:v>0</c:v>
                </c:pt>
                <c:pt idx="30">
                  <c:v>0</c:v>
                </c:pt>
                <c:pt idx="31">
                  <c:v>0</c:v>
                </c:pt>
                <c:pt idx="32">
                  <c:v>0</c:v>
                </c:pt>
                <c:pt idx="33">
                  <c:v>0</c:v>
                </c:pt>
                <c:pt idx="34">
                  <c:v>0</c:v>
                </c:pt>
              </c:numCache>
            </c:numRef>
          </c:val>
          <c:extLst>
            <c:ext xmlns:c16="http://schemas.microsoft.com/office/drawing/2014/chart" uri="{C3380CC4-5D6E-409C-BE32-E72D297353CC}">
              <c16:uniqueId val="{00000000-600F-4C67-81C9-D2F27186E150}"/>
            </c:ext>
          </c:extLst>
        </c:ser>
        <c:dLbls>
          <c:showLegendKey val="0"/>
          <c:showVal val="0"/>
          <c:showCatName val="0"/>
          <c:showSerName val="0"/>
          <c:showPercent val="0"/>
          <c:showBubbleSize val="0"/>
        </c:dLbls>
        <c:gapWidth val="150"/>
        <c:overlap val="100"/>
        <c:axId val="364368696"/>
        <c:axId val="364369872"/>
      </c:barChart>
      <c:catAx>
        <c:axId val="36436869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CA"/>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64369872"/>
        <c:crosses val="autoZero"/>
        <c:auto val="1"/>
        <c:lblAlgn val="ctr"/>
        <c:lblOffset val="100"/>
        <c:noMultiLvlLbl val="0"/>
      </c:catAx>
      <c:valAx>
        <c:axId val="364369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CA"/>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64368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CA" sz="1200">
                <a:solidFill>
                  <a:sysClr val="windowText" lastClr="000000"/>
                </a:solidFill>
              </a:rPr>
              <a:t>Population by language requirements</a:t>
            </a:r>
            <a:r>
              <a:rPr lang="en-CA" sz="1200" baseline="0">
                <a:solidFill>
                  <a:sysClr val="windowText" lastClr="000000"/>
                </a:solidFill>
              </a:rPr>
              <a:t> as of March 31, 2019 </a:t>
            </a:r>
            <a:r>
              <a:rPr lang="en-CA" sz="1200" baseline="0">
                <a:solidFill>
                  <a:schemeClr val="bg1"/>
                </a:solidFill>
              </a:rPr>
              <a:t>(N=10</a:t>
            </a:r>
            <a:endParaRPr lang="en-CA" sz="1000">
              <a:solidFill>
                <a:schemeClr val="bg1"/>
              </a:solidFill>
            </a:endParaRPr>
          </a:p>
        </c:rich>
      </c:tx>
      <c:layout>
        <c:manualLayout>
          <c:xMode val="edge"/>
          <c:yMode val="edge"/>
          <c:x val="0.15277358290444612"/>
          <c:y val="0"/>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4.3280593446945889E-2"/>
          <c:y val="0.29300321125920964"/>
          <c:w val="0.8981066627234976"/>
          <c:h val="0.59516739173483535"/>
        </c:manualLayout>
      </c:layout>
      <c:pieChart>
        <c:varyColors val="1"/>
        <c:ser>
          <c:idx val="0"/>
          <c:order val="0"/>
          <c:tx>
            <c:strRef>
              <c:f>Sheet1!$B$1</c:f>
              <c:strCache>
                <c:ptCount val="1"/>
                <c:pt idx="0">
                  <c:v>Population by Language Requirements as of March 31, 2016</c:v>
                </c:pt>
              </c:strCache>
            </c:strRef>
          </c:tx>
          <c:dPt>
            <c:idx val="0"/>
            <c:bubble3D val="0"/>
            <c:spPr>
              <a:solidFill>
                <a:schemeClr val="accent2"/>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7C0A-4EDC-991D-9DDE41DA44F7}"/>
              </c:ext>
            </c:extLst>
          </c:dPt>
          <c:dPt>
            <c:idx val="1"/>
            <c:bubble3D val="0"/>
            <c:spPr>
              <a:solidFill>
                <a:schemeClr val="accent1"/>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7C0A-4EDC-991D-9DDE41DA44F7}"/>
              </c:ext>
            </c:extLst>
          </c:dPt>
          <c:dLbls>
            <c:dLbl>
              <c:idx val="0"/>
              <c:layout>
                <c:manualLayout>
                  <c:x val="0.17996870109546165"/>
                  <c:y val="-0.18097293192252975"/>
                </c:manualLayout>
              </c:layout>
              <c:showLegendKey val="0"/>
              <c:showVal val="0"/>
              <c:showCatName val="1"/>
              <c:showSerName val="0"/>
              <c:showPercent val="1"/>
              <c:showBubbleSize val="0"/>
              <c:extLst>
                <c:ext xmlns:c15="http://schemas.microsoft.com/office/drawing/2012/chart" uri="{CE6537A1-D6FC-4f65-9D91-7224C49458BB}">
                  <c15:layout>
                    <c:manualLayout>
                      <c:w val="0.340414402425049"/>
                      <c:h val="0.18644044267606294"/>
                    </c:manualLayout>
                  </c15:layout>
                </c:ext>
                <c:ext xmlns:c16="http://schemas.microsoft.com/office/drawing/2014/chart" uri="{C3380CC4-5D6E-409C-BE32-E72D297353CC}">
                  <c16:uniqueId val="{00000001-7C0A-4EDC-991D-9DDE41DA44F7}"/>
                </c:ext>
              </c:extLst>
            </c:dLbl>
            <c:dLbl>
              <c:idx val="1"/>
              <c:layout>
                <c:manualLayout>
                  <c:x val="-0.14084507042253522"/>
                  <c:y val="0.23844998050379815"/>
                </c:manualLayout>
              </c:layout>
              <c:showLegendKey val="0"/>
              <c:showVal val="0"/>
              <c:showCatName val="1"/>
              <c:showSerName val="0"/>
              <c:showPercent val="1"/>
              <c:showBubbleSize val="0"/>
              <c:extLst>
                <c:ext xmlns:c15="http://schemas.microsoft.com/office/drawing/2012/chart" uri="{CE6537A1-D6FC-4f65-9D91-7224C49458BB}">
                  <c15:layout>
                    <c:manualLayout>
                      <c:w val="0.38145539906103287"/>
                      <c:h val="0.18667358050298158"/>
                    </c:manualLayout>
                  </c15:layout>
                </c:ext>
                <c:ext xmlns:c16="http://schemas.microsoft.com/office/drawing/2014/chart" uri="{C3380CC4-5D6E-409C-BE32-E72D297353CC}">
                  <c16:uniqueId val="{00000003-7C0A-4EDC-991D-9DDE41DA44F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fr-FR"/>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Bilingual </c:v>
                </c:pt>
                <c:pt idx="1">
                  <c:v>Unilingual</c:v>
                </c:pt>
              </c:strCache>
            </c:strRef>
          </c:cat>
          <c:val>
            <c:numRef>
              <c:f>Sheet1!$B$2:$B$3</c:f>
              <c:numCache>
                <c:formatCode>0</c:formatCode>
                <c:ptCount val="2"/>
                <c:pt idx="0">
                  <c:v>3552</c:v>
                </c:pt>
                <c:pt idx="1">
                  <c:v>6241</c:v>
                </c:pt>
              </c:numCache>
            </c:numRef>
          </c:val>
          <c:extLst>
            <c:ext xmlns:c16="http://schemas.microsoft.com/office/drawing/2014/chart" uri="{C3380CC4-5D6E-409C-BE32-E72D297353CC}">
              <c16:uniqueId val="{00000004-7C0A-4EDC-991D-9DDE41DA44F7}"/>
            </c:ext>
          </c:extLst>
        </c:ser>
        <c:dLbls>
          <c:showLegendKey val="0"/>
          <c:showVal val="0"/>
          <c:showCatName val="0"/>
          <c:showSerName val="0"/>
          <c:showPercent val="0"/>
          <c:showBubbleSize val="0"/>
          <c:showLeaderLines val="1"/>
        </c:dLbls>
        <c:firstSliceAng val="147"/>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000" b="1"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rPr>
              <a:t>Population by occupational</a:t>
            </a:r>
            <a:r>
              <a:rPr lang="en-US" sz="1200" baseline="0">
                <a:solidFill>
                  <a:sysClr val="windowText" lastClr="000000"/>
                </a:solidFill>
              </a:rPr>
              <a:t> group</a:t>
            </a:r>
            <a:r>
              <a:rPr lang="en-US" sz="1200">
                <a:solidFill>
                  <a:sysClr val="windowText" lastClr="000000"/>
                </a:solidFill>
              </a:rPr>
              <a:t> as of March 31, 2019</a:t>
            </a:r>
          </a:p>
        </c:rich>
      </c:tx>
      <c:layout>
        <c:manualLayout>
          <c:xMode val="edge"/>
          <c:yMode val="edge"/>
          <c:x val="0.11600531316564154"/>
          <c:y val="5.1079996323416775E-3"/>
        </c:manualLayout>
      </c:layout>
      <c:overlay val="0"/>
      <c:spPr>
        <a:noFill/>
        <a:ln>
          <a:noFill/>
        </a:ln>
        <a:effectLst/>
      </c:spPr>
      <c:txPr>
        <a:bodyPr rot="0" spcFirstLastPara="1" vertOverflow="ellipsis" vert="horz" wrap="square" anchor="ctr" anchorCtr="1"/>
        <a:lstStyle/>
        <a:p>
          <a:pPr algn="ct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3.2974677048050557E-2"/>
          <c:y val="0.30179943484886967"/>
          <c:w val="0.93955862026122472"/>
          <c:h val="0.62025549540682412"/>
        </c:manualLayout>
      </c:layout>
      <c:pieChart>
        <c:varyColors val="1"/>
        <c:ser>
          <c:idx val="0"/>
          <c:order val="0"/>
          <c:tx>
            <c:strRef>
              <c:f>Sheet1!$B$1</c:f>
              <c:strCache>
                <c:ptCount val="1"/>
                <c:pt idx="0">
                  <c:v>Population by Occupational Group as of March 31, 2016</c:v>
                </c:pt>
              </c:strCache>
            </c:strRef>
          </c:tx>
          <c:spPr>
            <a:ln w="3175"/>
          </c:spPr>
          <c:dPt>
            <c:idx val="0"/>
            <c:bubble3D val="0"/>
            <c:spPr>
              <a:solidFill>
                <a:schemeClr val="accent2"/>
              </a:solidFill>
              <a:ln w="3175">
                <a:solidFill>
                  <a:schemeClr val="lt1"/>
                </a:solidFill>
              </a:ln>
              <a:effectLst/>
            </c:spPr>
            <c:extLst>
              <c:ext xmlns:c16="http://schemas.microsoft.com/office/drawing/2014/chart" uri="{C3380CC4-5D6E-409C-BE32-E72D297353CC}">
                <c16:uniqueId val="{00000001-148A-48E9-B251-AC925FCD82DE}"/>
              </c:ext>
            </c:extLst>
          </c:dPt>
          <c:dPt>
            <c:idx val="1"/>
            <c:bubble3D val="0"/>
            <c:spPr>
              <a:solidFill>
                <a:schemeClr val="accent1"/>
              </a:solidFill>
              <a:ln w="3175">
                <a:solidFill>
                  <a:schemeClr val="lt1"/>
                </a:solidFill>
              </a:ln>
              <a:effectLst/>
            </c:spPr>
            <c:extLst>
              <c:ext xmlns:c16="http://schemas.microsoft.com/office/drawing/2014/chart" uri="{C3380CC4-5D6E-409C-BE32-E72D297353CC}">
                <c16:uniqueId val="{00000003-148A-48E9-B251-AC925FCD82DE}"/>
              </c:ext>
            </c:extLst>
          </c:dPt>
          <c:dPt>
            <c:idx val="2"/>
            <c:bubble3D val="0"/>
            <c:spPr>
              <a:solidFill>
                <a:schemeClr val="accent3"/>
              </a:solidFill>
              <a:ln w="3175">
                <a:solidFill>
                  <a:schemeClr val="lt1"/>
                </a:solidFill>
              </a:ln>
              <a:effectLst/>
            </c:spPr>
            <c:extLst>
              <c:ext xmlns:c16="http://schemas.microsoft.com/office/drawing/2014/chart" uri="{C3380CC4-5D6E-409C-BE32-E72D297353CC}">
                <c16:uniqueId val="{00000005-148A-48E9-B251-AC925FCD82DE}"/>
              </c:ext>
            </c:extLst>
          </c:dPt>
          <c:dPt>
            <c:idx val="3"/>
            <c:bubble3D val="0"/>
            <c:spPr>
              <a:solidFill>
                <a:schemeClr val="accent6">
                  <a:lumMod val="40000"/>
                  <a:lumOff val="60000"/>
                </a:schemeClr>
              </a:solidFill>
              <a:ln w="3175">
                <a:solidFill>
                  <a:schemeClr val="lt1"/>
                </a:solidFill>
              </a:ln>
              <a:effectLst/>
            </c:spPr>
            <c:extLst>
              <c:ext xmlns:c16="http://schemas.microsoft.com/office/drawing/2014/chart" uri="{C3380CC4-5D6E-409C-BE32-E72D297353CC}">
                <c16:uniqueId val="{00000007-148A-48E9-B251-AC925FCD82DE}"/>
              </c:ext>
            </c:extLst>
          </c:dPt>
          <c:dPt>
            <c:idx val="4"/>
            <c:bubble3D val="0"/>
            <c:spPr>
              <a:solidFill>
                <a:schemeClr val="accent4">
                  <a:lumMod val="60000"/>
                  <a:lumOff val="40000"/>
                </a:schemeClr>
              </a:solidFill>
              <a:ln w="3175">
                <a:solidFill>
                  <a:schemeClr val="lt1"/>
                </a:solidFill>
              </a:ln>
              <a:effectLst/>
            </c:spPr>
            <c:extLst>
              <c:ext xmlns:c16="http://schemas.microsoft.com/office/drawing/2014/chart" uri="{C3380CC4-5D6E-409C-BE32-E72D297353CC}">
                <c16:uniqueId val="{00000009-148A-48E9-B251-AC925FCD82DE}"/>
              </c:ext>
            </c:extLst>
          </c:dPt>
          <c:dPt>
            <c:idx val="5"/>
            <c:bubble3D val="0"/>
            <c:spPr>
              <a:solidFill>
                <a:schemeClr val="accent6"/>
              </a:solidFill>
              <a:ln w="3175">
                <a:solidFill>
                  <a:schemeClr val="lt1"/>
                </a:solidFill>
              </a:ln>
              <a:effectLst/>
            </c:spPr>
            <c:extLst>
              <c:ext xmlns:c16="http://schemas.microsoft.com/office/drawing/2014/chart" uri="{C3380CC4-5D6E-409C-BE32-E72D297353CC}">
                <c16:uniqueId val="{0000000B-148A-48E9-B251-AC925FCD82DE}"/>
              </c:ext>
            </c:extLst>
          </c:dPt>
          <c:dLbls>
            <c:dLbl>
              <c:idx val="0"/>
              <c:layout>
                <c:manualLayout>
                  <c:x val="-7.2294854652602464E-2"/>
                  <c:y val="-0.10521400778210117"/>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148A-48E9-B251-AC925FCD82DE}"/>
                </c:ext>
              </c:extLst>
            </c:dLbl>
            <c:dLbl>
              <c:idx val="1"/>
              <c:layout>
                <c:manualLayout>
                  <c:x val="0.17687503095131976"/>
                  <c:y val="-0.12920575589529917"/>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148A-48E9-B251-AC925FCD82DE}"/>
                </c:ext>
              </c:extLst>
            </c:dLbl>
            <c:dLbl>
              <c:idx val="2"/>
              <c:layout>
                <c:manualLayout>
                  <c:x val="4.2964455504382687E-2"/>
                  <c:y val="-3.7829590367351944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705897135198526"/>
                      <c:h val="0.18653716923516855"/>
                    </c:manualLayout>
                  </c15:layout>
                </c:ext>
                <c:ext xmlns:c16="http://schemas.microsoft.com/office/drawing/2014/chart" uri="{C3380CC4-5D6E-409C-BE32-E72D297353CC}">
                  <c16:uniqueId val="{00000005-148A-48E9-B251-AC925FCD82DE}"/>
                </c:ext>
              </c:extLst>
            </c:dLbl>
            <c:dLbl>
              <c:idx val="3"/>
              <c:layout>
                <c:manualLayout>
                  <c:x val="4.7810498703163437E-2"/>
                  <c:y val="8.313259399369953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fr-F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205166185909932"/>
                      <c:h val="0.16174585018088955"/>
                    </c:manualLayout>
                  </c15:layout>
                </c:ext>
                <c:ext xmlns:c16="http://schemas.microsoft.com/office/drawing/2014/chart" uri="{C3380CC4-5D6E-409C-BE32-E72D297353CC}">
                  <c16:uniqueId val="{00000007-148A-48E9-B251-AC925FCD82DE}"/>
                </c:ext>
              </c:extLst>
            </c:dLbl>
            <c:dLbl>
              <c:idx val="4"/>
              <c:layout>
                <c:manualLayout>
                  <c:x val="0.18602981231119695"/>
                  <c:y val="0.15876099145194394"/>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fr-F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707547169811323"/>
                      <c:h val="0.17898832684824903"/>
                    </c:manualLayout>
                  </c15:layout>
                </c:ext>
                <c:ext xmlns:c16="http://schemas.microsoft.com/office/drawing/2014/chart" uri="{C3380CC4-5D6E-409C-BE32-E72D297353CC}">
                  <c16:uniqueId val="{00000009-148A-48E9-B251-AC925FCD82DE}"/>
                </c:ext>
              </c:extLst>
            </c:dLbl>
            <c:dLbl>
              <c:idx val="5"/>
              <c:layout>
                <c:manualLayout>
                  <c:x val="-7.4490850789877605E-2"/>
                  <c:y val="0.11188151337633169"/>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fr-F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8930446194225723"/>
                      <c:h val="0.20071779456621977"/>
                    </c:manualLayout>
                  </c15:layout>
                </c:ext>
                <c:ext xmlns:c16="http://schemas.microsoft.com/office/drawing/2014/chart" uri="{C3380CC4-5D6E-409C-BE32-E72D297353CC}">
                  <c16:uniqueId val="{0000000B-148A-48E9-B251-AC925FCD82D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fr-FR"/>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AS</c:v>
                </c:pt>
                <c:pt idx="1">
                  <c:v>EC</c:v>
                </c:pt>
                <c:pt idx="2">
                  <c:v>SG</c:v>
                </c:pt>
                <c:pt idx="3">
                  <c:v>BI</c:v>
                </c:pt>
                <c:pt idx="4">
                  <c:v>CR</c:v>
                </c:pt>
                <c:pt idx="5">
                  <c:v>Other</c:v>
                </c:pt>
              </c:strCache>
            </c:strRef>
          </c:cat>
          <c:val>
            <c:numRef>
              <c:f>Sheet1!$B$2:$B$7</c:f>
              <c:numCache>
                <c:formatCode>General</c:formatCode>
                <c:ptCount val="6"/>
                <c:pt idx="0">
                  <c:v>1669</c:v>
                </c:pt>
                <c:pt idx="1">
                  <c:v>1274</c:v>
                </c:pt>
                <c:pt idx="2">
                  <c:v>1130</c:v>
                </c:pt>
                <c:pt idx="3">
                  <c:v>1113</c:v>
                </c:pt>
                <c:pt idx="4">
                  <c:v>1023</c:v>
                </c:pt>
                <c:pt idx="5">
                  <c:v>4312</c:v>
                </c:pt>
              </c:numCache>
            </c:numRef>
          </c:val>
          <c:extLst>
            <c:ext xmlns:c16="http://schemas.microsoft.com/office/drawing/2014/chart" uri="{C3380CC4-5D6E-409C-BE32-E72D297353CC}">
              <c16:uniqueId val="{0000000C-148A-48E9-B251-AC925FCD82DE}"/>
            </c:ext>
          </c:extLst>
        </c:ser>
        <c:dLbls>
          <c:dLblPos val="bestFit"/>
          <c:showLegendKey val="0"/>
          <c:showVal val="1"/>
          <c:showCatName val="0"/>
          <c:showSerName val="0"/>
          <c:showPercent val="0"/>
          <c:showBubbleSize val="0"/>
          <c:showLeaderLines val="1"/>
        </c:dLbls>
        <c:firstSliceAng val="141"/>
      </c:pie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CA" sz="1200">
                <a:solidFill>
                  <a:sysClr val="windowText" lastClr="000000"/>
                </a:solidFill>
              </a:rPr>
              <a:t>Population by region as</a:t>
            </a:r>
            <a:r>
              <a:rPr lang="en-CA" sz="1200" baseline="0">
                <a:solidFill>
                  <a:sysClr val="windowText" lastClr="000000"/>
                </a:solidFill>
              </a:rPr>
              <a:t> of March 31, 2019 (N=10 850)</a:t>
            </a:r>
            <a:endParaRPr lang="en-CA" sz="1200">
              <a:solidFill>
                <a:sysClr val="windowText" lastClr="000000"/>
              </a:solidFill>
            </a:endParaRPr>
          </a:p>
        </c:rich>
      </c:tx>
      <c:layout>
        <c:manualLayout>
          <c:xMode val="edge"/>
          <c:yMode val="edge"/>
          <c:x val="0.10058592386934292"/>
          <c:y val="0"/>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4.3280593446945889E-2"/>
          <c:y val="0.29300321125920964"/>
          <c:w val="0.8981066627234976"/>
          <c:h val="0.59516739173483535"/>
        </c:manualLayout>
      </c:layout>
      <c:pieChart>
        <c:varyColors val="1"/>
        <c:ser>
          <c:idx val="0"/>
          <c:order val="0"/>
          <c:tx>
            <c:strRef>
              <c:f>Sheet1!$B$1</c:f>
              <c:strCache>
                <c:ptCount val="1"/>
                <c:pt idx="0">
                  <c:v>Population by Language Requirements as of March 31, 2016</c:v>
                </c:pt>
              </c:strCache>
            </c:strRef>
          </c:tx>
          <c:dPt>
            <c:idx val="0"/>
            <c:bubble3D val="0"/>
            <c:spPr>
              <a:solidFill>
                <a:schemeClr val="accent2"/>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4C7A-4B33-8A56-AD7EDDA030F4}"/>
              </c:ext>
            </c:extLst>
          </c:dPt>
          <c:dPt>
            <c:idx val="1"/>
            <c:bubble3D val="0"/>
            <c:spPr>
              <a:solidFill>
                <a:schemeClr val="accent1"/>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4C7A-4B33-8A56-AD7EDDA030F4}"/>
              </c:ext>
            </c:extLst>
          </c:dPt>
          <c:dLbls>
            <c:dLbl>
              <c:idx val="0"/>
              <c:layout>
                <c:manualLayout>
                  <c:x val="0.18744041387890098"/>
                  <c:y val="-0.108762675083037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C7A-4B33-8A56-AD7EDDA030F4}"/>
                </c:ext>
              </c:extLst>
            </c:dLbl>
            <c:dLbl>
              <c:idx val="1"/>
              <c:layout>
                <c:manualLayout>
                  <c:x val="-7.7894497291884829E-2"/>
                  <c:y val="0.15405592449764105"/>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fr-FR"/>
                </a:p>
              </c:txPr>
              <c:showLegendKey val="0"/>
              <c:showVal val="0"/>
              <c:showCatName val="1"/>
              <c:showSerName val="0"/>
              <c:showPercent val="1"/>
              <c:showBubbleSize val="0"/>
              <c:extLst>
                <c:ext xmlns:c15="http://schemas.microsoft.com/office/drawing/2012/chart" uri="{CE6537A1-D6FC-4f65-9D91-7224C49458BB}">
                  <c15:layout>
                    <c:manualLayout>
                      <c:w val="0.39828076403744322"/>
                      <c:h val="0.19315530204822404"/>
                    </c:manualLayout>
                  </c15:layout>
                </c:ext>
                <c:ext xmlns:c16="http://schemas.microsoft.com/office/drawing/2014/chart" uri="{C3380CC4-5D6E-409C-BE32-E72D297353CC}">
                  <c16:uniqueId val="{00000003-4C7A-4B33-8A56-AD7EDDA030F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fr-FR"/>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NCR</c:v>
                </c:pt>
                <c:pt idx="1">
                  <c:v>Non-NCR</c:v>
                </c:pt>
              </c:strCache>
            </c:strRef>
          </c:cat>
          <c:val>
            <c:numRef>
              <c:f>Sheet1!$B$2:$B$3</c:f>
              <c:numCache>
                <c:formatCode>0</c:formatCode>
                <c:ptCount val="2"/>
                <c:pt idx="0">
                  <c:v>7614</c:v>
                </c:pt>
                <c:pt idx="1">
                  <c:v>3222</c:v>
                </c:pt>
              </c:numCache>
            </c:numRef>
          </c:val>
          <c:extLst>
            <c:ext xmlns:c16="http://schemas.microsoft.com/office/drawing/2014/chart" uri="{C3380CC4-5D6E-409C-BE32-E72D297353CC}">
              <c16:uniqueId val="{00000004-4C7A-4B33-8A56-AD7EDDA030F4}"/>
            </c:ext>
          </c:extLst>
        </c:ser>
        <c:dLbls>
          <c:showLegendKey val="0"/>
          <c:showVal val="0"/>
          <c:showCatName val="0"/>
          <c:showSerName val="0"/>
          <c:showPercent val="0"/>
          <c:showBubbleSize val="0"/>
          <c:showLeaderLines val="1"/>
        </c:dLbls>
        <c:firstSliceAng val="109"/>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rPr>
              <a:t>External</a:t>
            </a:r>
            <a:r>
              <a:rPr lang="en-US" sz="1200" baseline="0">
                <a:solidFill>
                  <a:sysClr val="windowText" lastClr="000000"/>
                </a:solidFill>
              </a:rPr>
              <a:t> indeterminate hires by </a:t>
            </a:r>
          </a:p>
          <a:p>
            <a:pPr>
              <a:defRPr sz="1000" b="1"/>
            </a:pPr>
            <a:r>
              <a:rPr lang="en-US" sz="1200" baseline="0">
                <a:solidFill>
                  <a:sysClr val="windowText" lastClr="000000"/>
                </a:solidFill>
              </a:rPr>
              <a:t>occupational</a:t>
            </a:r>
            <a:r>
              <a:rPr lang="en-US" sz="1200">
                <a:solidFill>
                  <a:sysClr val="windowText" lastClr="000000"/>
                </a:solidFill>
              </a:rPr>
              <a:t> group,</a:t>
            </a:r>
          </a:p>
          <a:p>
            <a:pPr>
              <a:defRPr sz="1000" b="1"/>
            </a:pPr>
            <a:r>
              <a:rPr lang="en-US" sz="1200">
                <a:solidFill>
                  <a:sysClr val="windowText" lastClr="000000"/>
                </a:solidFill>
              </a:rPr>
              <a:t> 2018-19 (N=589)</a:t>
            </a:r>
          </a:p>
        </c:rich>
      </c:tx>
      <c:layout>
        <c:manualLayout>
          <c:xMode val="edge"/>
          <c:yMode val="edge"/>
          <c:x val="0.16892970963619927"/>
          <c:y val="3.4156937279391793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10957508598788844"/>
          <c:y val="0.33213578538174737"/>
          <c:w val="0.8966533531134695"/>
          <c:h val="0.48715812098290862"/>
        </c:manualLayout>
      </c:layout>
      <c:doughnutChart>
        <c:varyColors val="1"/>
        <c:ser>
          <c:idx val="0"/>
          <c:order val="0"/>
          <c:tx>
            <c:strRef>
              <c:f>Sheet1!$B$1</c:f>
              <c:strCache>
                <c:ptCount val="1"/>
                <c:pt idx="0">
                  <c:v>Population by Language Requirements as of March 31, 2016</c:v>
                </c:pt>
              </c:strCache>
            </c:strRef>
          </c:tx>
          <c:spPr>
            <a:solidFill>
              <a:schemeClr val="accent1"/>
            </a:solidFill>
            <a:ln w="6350"/>
          </c:spPr>
          <c:dPt>
            <c:idx val="0"/>
            <c:bubble3D val="0"/>
            <c:spPr>
              <a:solidFill>
                <a:schemeClr val="accent4">
                  <a:lumMod val="60000"/>
                  <a:lumOff val="40000"/>
                </a:schemeClr>
              </a:solidFill>
              <a:ln w="6350">
                <a:solidFill>
                  <a:schemeClr val="lt1"/>
                </a:solidFill>
              </a:ln>
              <a:effectLst/>
            </c:spPr>
            <c:extLst>
              <c:ext xmlns:c16="http://schemas.microsoft.com/office/drawing/2014/chart" uri="{C3380CC4-5D6E-409C-BE32-E72D297353CC}">
                <c16:uniqueId val="{00000001-FD15-4939-88E7-32B6A3C214FF}"/>
              </c:ext>
            </c:extLst>
          </c:dPt>
          <c:dPt>
            <c:idx val="1"/>
            <c:bubble3D val="0"/>
            <c:spPr>
              <a:solidFill>
                <a:schemeClr val="accent2"/>
              </a:solidFill>
              <a:ln w="6350">
                <a:solidFill>
                  <a:schemeClr val="lt1"/>
                </a:solidFill>
              </a:ln>
              <a:effectLst/>
            </c:spPr>
            <c:extLst>
              <c:ext xmlns:c16="http://schemas.microsoft.com/office/drawing/2014/chart" uri="{C3380CC4-5D6E-409C-BE32-E72D297353CC}">
                <c16:uniqueId val="{00000003-FD15-4939-88E7-32B6A3C214FF}"/>
              </c:ext>
            </c:extLst>
          </c:dPt>
          <c:dPt>
            <c:idx val="2"/>
            <c:bubble3D val="0"/>
            <c:spPr>
              <a:solidFill>
                <a:schemeClr val="accent1"/>
              </a:solidFill>
              <a:ln w="6350">
                <a:solidFill>
                  <a:schemeClr val="lt1"/>
                </a:solidFill>
              </a:ln>
              <a:effectLst/>
            </c:spPr>
            <c:extLst>
              <c:ext xmlns:c16="http://schemas.microsoft.com/office/drawing/2014/chart" uri="{C3380CC4-5D6E-409C-BE32-E72D297353CC}">
                <c16:uniqueId val="{00000005-FD15-4939-88E7-32B6A3C214FF}"/>
              </c:ext>
            </c:extLst>
          </c:dPt>
          <c:dPt>
            <c:idx val="3"/>
            <c:bubble3D val="0"/>
            <c:spPr>
              <a:solidFill>
                <a:schemeClr val="bg1">
                  <a:lumMod val="65000"/>
                </a:schemeClr>
              </a:solidFill>
              <a:ln w="6350">
                <a:solidFill>
                  <a:schemeClr val="lt1"/>
                </a:solidFill>
              </a:ln>
              <a:effectLst/>
            </c:spPr>
            <c:extLst>
              <c:ext xmlns:c16="http://schemas.microsoft.com/office/drawing/2014/chart" uri="{C3380CC4-5D6E-409C-BE32-E72D297353CC}">
                <c16:uniqueId val="{00000007-FD15-4939-88E7-32B6A3C214FF}"/>
              </c:ext>
            </c:extLst>
          </c:dPt>
          <c:dPt>
            <c:idx val="4"/>
            <c:bubble3D val="0"/>
            <c:spPr>
              <a:solidFill>
                <a:schemeClr val="accent5"/>
              </a:solidFill>
              <a:ln w="6350">
                <a:solidFill>
                  <a:schemeClr val="lt1"/>
                </a:solidFill>
              </a:ln>
              <a:effectLst/>
            </c:spPr>
            <c:extLst>
              <c:ext xmlns:c16="http://schemas.microsoft.com/office/drawing/2014/chart" uri="{C3380CC4-5D6E-409C-BE32-E72D297353CC}">
                <c16:uniqueId val="{00000009-FD15-4939-88E7-32B6A3C214FF}"/>
              </c:ext>
            </c:extLst>
          </c:dPt>
          <c:dPt>
            <c:idx val="5"/>
            <c:bubble3D val="0"/>
            <c:spPr>
              <a:solidFill>
                <a:schemeClr val="accent6"/>
              </a:solidFill>
              <a:ln w="6350">
                <a:solidFill>
                  <a:schemeClr val="lt1"/>
                </a:solidFill>
              </a:ln>
              <a:effectLst/>
            </c:spPr>
            <c:extLst>
              <c:ext xmlns:c16="http://schemas.microsoft.com/office/drawing/2014/chart" uri="{C3380CC4-5D6E-409C-BE32-E72D297353CC}">
                <c16:uniqueId val="{0000000B-FD15-4939-88E7-32B6A3C214FF}"/>
              </c:ext>
            </c:extLst>
          </c:dPt>
          <c:dLbls>
            <c:dLbl>
              <c:idx val="0"/>
              <c:layout>
                <c:manualLayout>
                  <c:x val="9.6615821573028011E-3"/>
                  <c:y val="-6.9992628874147277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fr-FR"/>
                </a:p>
              </c:txPr>
              <c:showLegendKey val="0"/>
              <c:showVal val="0"/>
              <c:showCatName val="1"/>
              <c:showSerName val="0"/>
              <c:showPercent val="1"/>
              <c:showBubbleSize val="0"/>
              <c:extLst>
                <c:ext xmlns:c15="http://schemas.microsoft.com/office/drawing/2012/chart" uri="{CE6537A1-D6FC-4f65-9D91-7224C49458BB}">
                  <c15:layout>
                    <c:manualLayout>
                      <c:w val="0.24085815360036511"/>
                      <c:h val="0.13880863317282188"/>
                    </c:manualLayout>
                  </c15:layout>
                </c:ext>
                <c:ext xmlns:c16="http://schemas.microsoft.com/office/drawing/2014/chart" uri="{C3380CC4-5D6E-409C-BE32-E72D297353CC}">
                  <c16:uniqueId val="{00000001-FD15-4939-88E7-32B6A3C214FF}"/>
                </c:ext>
              </c:extLst>
            </c:dLbl>
            <c:dLbl>
              <c:idx val="1"/>
              <c:layout>
                <c:manualLayout>
                  <c:x val="1.0830385332268265E-2"/>
                  <c:y val="-3.0510949910789354E-3"/>
                </c:manualLayout>
              </c:layout>
              <c:showLegendKey val="0"/>
              <c:showVal val="0"/>
              <c:showCatName val="1"/>
              <c:showSerName val="0"/>
              <c:showPercent val="1"/>
              <c:showBubbleSize val="0"/>
              <c:extLst>
                <c:ext xmlns:c15="http://schemas.microsoft.com/office/drawing/2012/chart" uri="{CE6537A1-D6FC-4f65-9D91-7224C49458BB}">
                  <c15:layout>
                    <c:manualLayout>
                      <c:w val="0.23123446393897562"/>
                      <c:h val="0.16763557277114552"/>
                    </c:manualLayout>
                  </c15:layout>
                </c:ext>
                <c:ext xmlns:c16="http://schemas.microsoft.com/office/drawing/2014/chart" uri="{C3380CC4-5D6E-409C-BE32-E72D297353CC}">
                  <c16:uniqueId val="{00000003-FD15-4939-88E7-32B6A3C214FF}"/>
                </c:ext>
              </c:extLst>
            </c:dLbl>
            <c:dLbl>
              <c:idx val="2"/>
              <c:layout>
                <c:manualLayout>
                  <c:x val="-5.4542457555124598E-3"/>
                  <c:y val="-3.937696764282482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D15-4939-88E7-32B6A3C214FF}"/>
                </c:ext>
              </c:extLst>
            </c:dLbl>
            <c:dLbl>
              <c:idx val="3"/>
              <c:tx>
                <c:rich>
                  <a:bodyPr/>
                  <a:lstStyle/>
                  <a:p>
                    <a:fld id="{879E756C-17D2-4C61-918C-12B1879D7EB8}" type="CATEGORYNAME">
                      <a:rPr lang="en-US"/>
                      <a:pPr/>
                      <a:t>[NOM DE CATÉGORIE]</a:t>
                    </a:fld>
                    <a:r>
                      <a:rPr lang="en-US" baseline="0"/>
                      <a:t>
10%</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D15-4939-88E7-32B6A3C214FF}"/>
                </c:ext>
              </c:extLst>
            </c:dLbl>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fr-FR"/>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Sheet1!$A$2:$A$7</c:f>
              <c:strCache>
                <c:ptCount val="6"/>
                <c:pt idx="0">
                  <c:v>CR</c:v>
                </c:pt>
                <c:pt idx="1">
                  <c:v>AS</c:v>
                </c:pt>
                <c:pt idx="2">
                  <c:v>EC</c:v>
                </c:pt>
                <c:pt idx="3">
                  <c:v>SG</c:v>
                </c:pt>
                <c:pt idx="4">
                  <c:v>NU</c:v>
                </c:pt>
                <c:pt idx="5">
                  <c:v>Other</c:v>
                </c:pt>
              </c:strCache>
            </c:strRef>
          </c:cat>
          <c:val>
            <c:numRef>
              <c:f>Sheet1!$B$2:$B$7</c:f>
              <c:numCache>
                <c:formatCode>General</c:formatCode>
                <c:ptCount val="6"/>
                <c:pt idx="0">
                  <c:v>98</c:v>
                </c:pt>
                <c:pt idx="1">
                  <c:v>83</c:v>
                </c:pt>
                <c:pt idx="2">
                  <c:v>65</c:v>
                </c:pt>
                <c:pt idx="3">
                  <c:v>64</c:v>
                </c:pt>
                <c:pt idx="4">
                  <c:v>63</c:v>
                </c:pt>
                <c:pt idx="5">
                  <c:v>216</c:v>
                </c:pt>
              </c:numCache>
            </c:numRef>
          </c:val>
          <c:extLst>
            <c:ext xmlns:c16="http://schemas.microsoft.com/office/drawing/2014/chart" uri="{C3380CC4-5D6E-409C-BE32-E72D297353CC}">
              <c16:uniqueId val="{0000000C-FD15-4939-88E7-32B6A3C214FF}"/>
            </c:ext>
          </c:extLst>
        </c:ser>
        <c:dLbls>
          <c:showLegendKey val="0"/>
          <c:showVal val="0"/>
          <c:showCatName val="0"/>
          <c:showSerName val="0"/>
          <c:showPercent val="0"/>
          <c:showBubbleSize val="0"/>
          <c:showLeaderLines val="0"/>
        </c:dLbls>
        <c:firstSliceAng val="120"/>
        <c:holeSize val="50"/>
      </c:doughnut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CA" sz="1200"/>
              <a:t>Staffing by region</a:t>
            </a:r>
          </a:p>
        </c:rich>
      </c:tx>
      <c:layout>
        <c:manualLayout>
          <c:xMode val="edge"/>
          <c:yMode val="edge"/>
          <c:x val="0.39303280175981375"/>
          <c:y val="2.082899395959175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fr-FR"/>
        </a:p>
      </c:txPr>
    </c:title>
    <c:autoTitleDeleted val="0"/>
    <c:plotArea>
      <c:layout>
        <c:manualLayout>
          <c:layoutTarget val="inner"/>
          <c:xMode val="edge"/>
          <c:yMode val="edge"/>
          <c:x val="0.10587844058759671"/>
          <c:y val="9.4894492045412282E-2"/>
          <c:w val="0.84333349635643373"/>
          <c:h val="0.55474858103818014"/>
        </c:manualLayout>
      </c:layout>
      <c:barChart>
        <c:barDir val="col"/>
        <c:grouping val="clustered"/>
        <c:varyColors val="0"/>
        <c:ser>
          <c:idx val="0"/>
          <c:order val="0"/>
          <c:tx>
            <c:strRef>
              <c:f>Sheet1!$B$1</c:f>
              <c:strCache>
                <c:ptCount val="1"/>
                <c:pt idx="0">
                  <c:v>National Capital Region (NCR)</c:v>
                </c:pt>
              </c:strCache>
            </c:strRef>
          </c:tx>
          <c:spPr>
            <a:solidFill>
              <a:schemeClr val="accent2"/>
            </a:solidFill>
            <a:ln>
              <a:noFill/>
            </a:ln>
            <a:effectLst>
              <a:outerShdw blurRad="57150" dist="19050" dir="5400000" algn="ctr" rotWithShape="0">
                <a:srgbClr val="000000">
                  <a:alpha val="63000"/>
                </a:srgbClr>
              </a:outerShdw>
            </a:effectLst>
          </c:spPr>
          <c:invertIfNegative val="0"/>
          <c:dLbls>
            <c:dLbl>
              <c:idx val="0"/>
              <c:layout>
                <c:manualLayout>
                  <c:x val="-8.3332646246444333E-3"/>
                  <c:y val="1.0495014867937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29-49F4-84D2-C64B39D5B29D}"/>
                </c:ext>
              </c:extLst>
            </c:dLbl>
            <c:dLbl>
              <c:idx val="1"/>
              <c:layout>
                <c:manualLayout>
                  <c:x val="-3.3957784101821655E-3"/>
                  <c:y val="6.99667657862515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29-49F4-84D2-C64B39D5B29D}"/>
                </c:ext>
              </c:extLst>
            </c:dLbl>
            <c:dLbl>
              <c:idx val="2"/>
              <c:layout>
                <c:manualLayout>
                  <c:x val="-4.8428632284838744E-3"/>
                  <c:y val="1.3993353157250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C29-49F4-84D2-C64B39D5B29D}"/>
                </c:ext>
              </c:extLst>
            </c:dLbl>
            <c:dLbl>
              <c:idx val="3"/>
              <c:layout>
                <c:manualLayout>
                  <c:x val="-1.6548236348506572E-3"/>
                  <c:y val="1.0495014867937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C29-49F4-84D2-C64B39D5B29D}"/>
                </c:ext>
              </c:extLst>
            </c:dLbl>
            <c:dLbl>
              <c:idx val="4"/>
              <c:layout>
                <c:manualLayout>
                  <c:x val="-3.2706554696184043E-4"/>
                  <c:y val="1.44150819699225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C29-49F4-84D2-C64B39D5B2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Sheet1!$B$2:$B$6</c:f>
              <c:numCache>
                <c:formatCode>0%</c:formatCode>
                <c:ptCount val="5"/>
                <c:pt idx="0">
                  <c:v>0.66</c:v>
                </c:pt>
                <c:pt idx="1">
                  <c:v>0.69</c:v>
                </c:pt>
                <c:pt idx="2">
                  <c:v>0.7</c:v>
                </c:pt>
                <c:pt idx="3">
                  <c:v>0.74</c:v>
                </c:pt>
                <c:pt idx="4">
                  <c:v>0.74</c:v>
                </c:pt>
              </c:numCache>
            </c:numRef>
          </c:val>
          <c:extLst>
            <c:ext xmlns:c16="http://schemas.microsoft.com/office/drawing/2014/chart" uri="{C3380CC4-5D6E-409C-BE32-E72D297353CC}">
              <c16:uniqueId val="{00000005-DC29-49F4-84D2-C64B39D5B29D}"/>
            </c:ext>
          </c:extLst>
        </c:ser>
        <c:ser>
          <c:idx val="1"/>
          <c:order val="1"/>
          <c:tx>
            <c:strRef>
              <c:f>Sheet1!$C$1</c:f>
              <c:strCache>
                <c:ptCount val="1"/>
                <c:pt idx="0">
                  <c:v>Outside the National Capital Region (Non-NCR)</c:v>
                </c:pt>
              </c:strCache>
            </c:strRef>
          </c:tx>
          <c:spPr>
            <a:solidFill>
              <a:schemeClr val="accent1"/>
            </a:solidFill>
            <a:ln>
              <a:noFill/>
            </a:ln>
            <a:effectLst>
              <a:outerShdw blurRad="57150" dist="19050" dir="5400000" algn="ctr" rotWithShape="0">
                <a:srgbClr val="000000">
                  <a:alpha val="63000"/>
                </a:srgbClr>
              </a:outerShdw>
            </a:effectLst>
          </c:spPr>
          <c:invertIfNegative val="0"/>
          <c:dLbls>
            <c:dLbl>
              <c:idx val="0"/>
              <c:layout>
                <c:manualLayout>
                  <c:x val="1.1496761352724479E-2"/>
                  <c:y val="9.9958818773680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C29-49F4-84D2-C64B39D5B29D}"/>
                </c:ext>
              </c:extLst>
            </c:dLbl>
            <c:dLbl>
              <c:idx val="1"/>
              <c:layout>
                <c:manualLayout>
                  <c:x val="1.0881331075300664E-2"/>
                  <c:y val="1.13384724932822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C29-49F4-84D2-C64B39D5B29D}"/>
                </c:ext>
              </c:extLst>
            </c:dLbl>
            <c:dLbl>
              <c:idx val="2"/>
              <c:layout>
                <c:manualLayout>
                  <c:x val="1.2004236720964203E-2"/>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C29-49F4-84D2-C64B39D5B29D}"/>
                </c:ext>
              </c:extLst>
            </c:dLbl>
            <c:dLbl>
              <c:idx val="3"/>
              <c:layout>
                <c:manualLayout>
                  <c:x val="1.8477457501847747E-2"/>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C29-49F4-84D2-C64B39D5B29D}"/>
                </c:ext>
              </c:extLst>
            </c:dLbl>
            <c:dLbl>
              <c:idx val="4"/>
              <c:layout>
                <c:manualLayout>
                  <c:x val="1.4987109427286113E-2"/>
                  <c:y val="1.399335315725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C29-49F4-84D2-C64B39D5B2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Sheet1!$C$2:$C$6</c:f>
              <c:numCache>
                <c:formatCode>0%</c:formatCode>
                <c:ptCount val="5"/>
                <c:pt idx="0">
                  <c:v>0.34</c:v>
                </c:pt>
                <c:pt idx="1">
                  <c:v>0.31</c:v>
                </c:pt>
                <c:pt idx="2">
                  <c:v>0.3</c:v>
                </c:pt>
                <c:pt idx="3">
                  <c:v>0.26</c:v>
                </c:pt>
                <c:pt idx="4">
                  <c:v>0.26</c:v>
                </c:pt>
              </c:numCache>
            </c:numRef>
          </c:val>
          <c:extLst>
            <c:ext xmlns:c16="http://schemas.microsoft.com/office/drawing/2014/chart" uri="{C3380CC4-5D6E-409C-BE32-E72D297353CC}">
              <c16:uniqueId val="{0000000B-DC29-49F4-84D2-C64B39D5B29D}"/>
            </c:ext>
          </c:extLst>
        </c:ser>
        <c:dLbls>
          <c:showLegendKey val="0"/>
          <c:showVal val="0"/>
          <c:showCatName val="0"/>
          <c:showSerName val="0"/>
          <c:showPercent val="0"/>
          <c:showBubbleSize val="0"/>
        </c:dLbls>
        <c:gapWidth val="150"/>
        <c:axId val="361517136"/>
        <c:axId val="361520272"/>
      </c:barChart>
      <c:catAx>
        <c:axId val="3615171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186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1520272"/>
        <c:crosses val="autoZero"/>
        <c:auto val="1"/>
        <c:lblAlgn val="ctr"/>
        <c:lblOffset val="100"/>
        <c:noMultiLvlLbl val="0"/>
      </c:catAx>
      <c:valAx>
        <c:axId val="361520272"/>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1517136"/>
        <c:crosses val="autoZero"/>
        <c:crossBetween val="between"/>
      </c:valAx>
      <c:spPr>
        <a:noFill/>
        <a:ln>
          <a:noFill/>
        </a:ln>
        <a:effectLst/>
      </c:spPr>
    </c:plotArea>
    <c:legend>
      <c:legendPos val="b"/>
      <c:layout>
        <c:manualLayout>
          <c:xMode val="edge"/>
          <c:yMode val="edge"/>
          <c:x val="0.15808585179624168"/>
          <c:y val="0.7746207952797225"/>
          <c:w val="0.71052254831782391"/>
          <c:h val="0.1163205744987666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fr-FR"/>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CA" sz="1200"/>
              <a:t>Staffing by process type</a:t>
            </a:r>
          </a:p>
        </c:rich>
      </c:tx>
      <c:layout>
        <c:manualLayout>
          <c:xMode val="edge"/>
          <c:yMode val="edge"/>
          <c:x val="0.34581522859380798"/>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fr-FR"/>
        </a:p>
      </c:txPr>
    </c:title>
    <c:autoTitleDeleted val="0"/>
    <c:plotArea>
      <c:layout>
        <c:manualLayout>
          <c:layoutTarget val="inner"/>
          <c:xMode val="edge"/>
          <c:yMode val="edge"/>
          <c:x val="0.10587844058759671"/>
          <c:y val="5.2914432573661359E-2"/>
          <c:w val="0.84333349635643373"/>
          <c:h val="0.59672864050993113"/>
        </c:manualLayout>
      </c:layout>
      <c:barChart>
        <c:barDir val="col"/>
        <c:grouping val="clustered"/>
        <c:varyColors val="0"/>
        <c:ser>
          <c:idx val="0"/>
          <c:order val="0"/>
          <c:tx>
            <c:strRef>
              <c:f>Sheet1!$B$1</c:f>
              <c:strCache>
                <c:ptCount val="1"/>
                <c:pt idx="0">
                  <c:v>Non-advertised (excludes unknowns)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1.1805555555555555E-2"/>
                  <c:y val="1.399335315725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979-4C90-BB3B-5D2216E77A5C}"/>
                </c:ext>
              </c:extLst>
            </c:dLbl>
            <c:dLbl>
              <c:idx val="1"/>
              <c:layout>
                <c:manualLayout>
                  <c:x val="-7.0912620297463131E-3"/>
                  <c:y val="1.0495014867937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979-4C90-BB3B-5D2216E77A5C}"/>
                </c:ext>
              </c:extLst>
            </c:dLbl>
            <c:dLbl>
              <c:idx val="2"/>
              <c:layout>
                <c:manualLayout>
                  <c:x val="-4.8428632284838744E-3"/>
                  <c:y val="1.3993353157250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979-4C90-BB3B-5D2216E77A5C}"/>
                </c:ext>
              </c:extLst>
            </c:dLbl>
            <c:dLbl>
              <c:idx val="3"/>
              <c:layout>
                <c:manualLayout>
                  <c:x val="-9.0458223972003492E-3"/>
                  <c:y val="1.399335315725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979-4C90-BB3B-5D2216E77A5C}"/>
                </c:ext>
              </c:extLst>
            </c:dLbl>
            <c:dLbl>
              <c:idx val="4"/>
              <c:layout>
                <c:manualLayout>
                  <c:x val="-8.3877405949257609E-3"/>
                  <c:y val="1.79134202592351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979-4C90-BB3B-5D2216E77A5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c:v>
                </c:pt>
                <c:pt idx="1">
                  <c:v>2015-16 </c:v>
                </c:pt>
                <c:pt idx="2">
                  <c:v>2016-17</c:v>
                </c:pt>
                <c:pt idx="3">
                  <c:v>2017-18</c:v>
                </c:pt>
                <c:pt idx="4">
                  <c:v>2018-19</c:v>
                </c:pt>
              </c:strCache>
            </c:strRef>
          </c:cat>
          <c:val>
            <c:numRef>
              <c:f>Sheet1!$B$2:$B$6</c:f>
              <c:numCache>
                <c:formatCode>#\ ###</c:formatCode>
                <c:ptCount val="5"/>
                <c:pt idx="0">
                  <c:v>430</c:v>
                </c:pt>
                <c:pt idx="1">
                  <c:v>347</c:v>
                </c:pt>
                <c:pt idx="2">
                  <c:v>483</c:v>
                </c:pt>
                <c:pt idx="3">
                  <c:v>985</c:v>
                </c:pt>
                <c:pt idx="4">
                  <c:v>1457</c:v>
                </c:pt>
              </c:numCache>
            </c:numRef>
          </c:val>
          <c:extLst>
            <c:ext xmlns:c16="http://schemas.microsoft.com/office/drawing/2014/chart" uri="{C3380CC4-5D6E-409C-BE32-E72D297353CC}">
              <c16:uniqueId val="{00000005-4979-4C90-BB3B-5D2216E77A5C}"/>
            </c:ext>
          </c:extLst>
        </c:ser>
        <c:ser>
          <c:idx val="1"/>
          <c:order val="1"/>
          <c:tx>
            <c:strRef>
              <c:f>Sheet1!$C$1</c:f>
              <c:strCache>
                <c:ptCount val="1"/>
                <c:pt idx="0">
                  <c:v>Advertised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1.0453029308836428E-2"/>
                  <c:y val="1.34942201666806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979-4C90-BB3B-5D2216E77A5C}"/>
                </c:ext>
              </c:extLst>
            </c:dLbl>
            <c:dLbl>
              <c:idx val="1"/>
              <c:layout>
                <c:manualLayout>
                  <c:x val="3.4902668416447943E-3"/>
                  <c:y val="1.48368107825948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979-4C90-BB3B-5D2216E77A5C}"/>
                </c:ext>
              </c:extLst>
            </c:dLbl>
            <c:dLbl>
              <c:idx val="2"/>
              <c:layout>
                <c:manualLayout>
                  <c:x val="-2.7777548748815417E-3"/>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979-4C90-BB3B-5D2216E77A5C}"/>
                </c:ext>
              </c:extLst>
            </c:dLbl>
            <c:dLbl>
              <c:idx val="3"/>
              <c:layout>
                <c:manualLayout>
                  <c:x val="0"/>
                  <c:y val="1.525853959526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979-4C90-BB3B-5D2216E77A5C}"/>
                </c:ext>
              </c:extLst>
            </c:dLbl>
            <c:dLbl>
              <c:idx val="4"/>
              <c:layout>
                <c:manualLayout>
                  <c:x val="2.0815288713910762E-2"/>
                  <c:y val="1.74916914465628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979-4C90-BB3B-5D2216E77A5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c:v>
                </c:pt>
                <c:pt idx="1">
                  <c:v>2015-16 </c:v>
                </c:pt>
                <c:pt idx="2">
                  <c:v>2016-17</c:v>
                </c:pt>
                <c:pt idx="3">
                  <c:v>2017-18</c:v>
                </c:pt>
                <c:pt idx="4">
                  <c:v>2018-19</c:v>
                </c:pt>
              </c:strCache>
            </c:strRef>
          </c:cat>
          <c:val>
            <c:numRef>
              <c:f>Sheet1!$C$2:$C$6</c:f>
              <c:numCache>
                <c:formatCode>#\ ###</c:formatCode>
                <c:ptCount val="5"/>
                <c:pt idx="0">
                  <c:v>825</c:v>
                </c:pt>
                <c:pt idx="1">
                  <c:v>790</c:v>
                </c:pt>
                <c:pt idx="2">
                  <c:v>1040</c:v>
                </c:pt>
                <c:pt idx="3">
                  <c:v>1196</c:v>
                </c:pt>
                <c:pt idx="4">
                  <c:v>1386</c:v>
                </c:pt>
              </c:numCache>
            </c:numRef>
          </c:val>
          <c:extLst>
            <c:ext xmlns:c16="http://schemas.microsoft.com/office/drawing/2014/chart" uri="{C3380CC4-5D6E-409C-BE32-E72D297353CC}">
              <c16:uniqueId val="{0000000B-4979-4C90-BB3B-5D2216E77A5C}"/>
            </c:ext>
          </c:extLst>
        </c:ser>
        <c:dLbls>
          <c:showLegendKey val="0"/>
          <c:showVal val="0"/>
          <c:showCatName val="0"/>
          <c:showSerName val="0"/>
          <c:showPercent val="0"/>
          <c:showBubbleSize val="0"/>
        </c:dLbls>
        <c:gapWidth val="150"/>
        <c:axId val="361518312"/>
        <c:axId val="361518704"/>
      </c:barChart>
      <c:lineChart>
        <c:grouping val="standard"/>
        <c:varyColors val="0"/>
        <c:ser>
          <c:idx val="2"/>
          <c:order val="2"/>
          <c:tx>
            <c:strRef>
              <c:f>Sheet1!$D$1</c:f>
              <c:strCache>
                <c:ptCount val="1"/>
                <c:pt idx="0">
                  <c:v>% of Non- advertised</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6.6024175308609184E-2"/>
                  <c:y val="-2.96732800089221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979-4C90-BB3B-5D2216E77A5C}"/>
                </c:ext>
              </c:extLst>
            </c:dLbl>
            <c:dLbl>
              <c:idx val="1"/>
              <c:layout>
                <c:manualLayout>
                  <c:x val="-6.0147211784024511E-2"/>
                  <c:y val="-3.79353382743425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979-4C90-BB3B-5D2216E77A5C}"/>
                </c:ext>
              </c:extLst>
            </c:dLbl>
            <c:dLbl>
              <c:idx val="2"/>
              <c:layout>
                <c:manualLayout>
                  <c:x val="-7.0083144117946528E-2"/>
                  <c:y val="-4.4911099308087531E-2"/>
                </c:manualLayout>
              </c:layout>
              <c:showLegendKey val="0"/>
              <c:showVal val="1"/>
              <c:showCatName val="0"/>
              <c:showSerName val="0"/>
              <c:showPercent val="0"/>
              <c:showBubbleSize val="0"/>
              <c:extLst>
                <c:ext xmlns:c15="http://schemas.microsoft.com/office/drawing/2012/chart" uri="{CE6537A1-D6FC-4f65-9D91-7224C49458BB}">
                  <c15:layout>
                    <c:manualLayout>
                      <c:w val="6.0011242270938729E-2"/>
                      <c:h val="5.8196209123099356E-2"/>
                    </c:manualLayout>
                  </c15:layout>
                </c:ext>
                <c:ext xmlns:c16="http://schemas.microsoft.com/office/drawing/2014/chart" uri="{C3380CC4-5D6E-409C-BE32-E72D297353CC}">
                  <c16:uniqueId val="{0000000E-4979-4C90-BB3B-5D2216E77A5C}"/>
                </c:ext>
              </c:extLst>
            </c:dLbl>
            <c:dLbl>
              <c:idx val="3"/>
              <c:layout>
                <c:manualLayout>
                  <c:x val="-6.4467784697233257E-2"/>
                  <c:y val="-3.46863432322990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979-4C90-BB3B-5D2216E77A5C}"/>
                </c:ext>
              </c:extLst>
            </c:dLbl>
            <c:dLbl>
              <c:idx val="4"/>
              <c:layout>
                <c:manualLayout>
                  <c:x val="-6.3090739289966488E-2"/>
                  <c:y val="-1.94752733600447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979-4C90-BB3B-5D2216E77A5C}"/>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c:v>
                </c:pt>
                <c:pt idx="1">
                  <c:v>2015-16 </c:v>
                </c:pt>
                <c:pt idx="2">
                  <c:v>2016-17</c:v>
                </c:pt>
                <c:pt idx="3">
                  <c:v>2017-18</c:v>
                </c:pt>
                <c:pt idx="4">
                  <c:v>2018-19</c:v>
                </c:pt>
              </c:strCache>
            </c:strRef>
          </c:cat>
          <c:val>
            <c:numRef>
              <c:f>Sheet1!$D$2:$D$6</c:f>
              <c:numCache>
                <c:formatCode>0%</c:formatCode>
                <c:ptCount val="5"/>
                <c:pt idx="0">
                  <c:v>0.34</c:v>
                </c:pt>
                <c:pt idx="1">
                  <c:v>0.31</c:v>
                </c:pt>
                <c:pt idx="2">
                  <c:v>0.32</c:v>
                </c:pt>
                <c:pt idx="3">
                  <c:v>0.45</c:v>
                </c:pt>
                <c:pt idx="4">
                  <c:v>0.51</c:v>
                </c:pt>
              </c:numCache>
            </c:numRef>
          </c:val>
          <c:smooth val="0"/>
          <c:extLst>
            <c:ext xmlns:c16="http://schemas.microsoft.com/office/drawing/2014/chart" uri="{C3380CC4-5D6E-409C-BE32-E72D297353CC}">
              <c16:uniqueId val="{00000011-4979-4C90-BB3B-5D2216E77A5C}"/>
            </c:ext>
          </c:extLst>
        </c:ser>
        <c:dLbls>
          <c:showLegendKey val="0"/>
          <c:showVal val="0"/>
          <c:showCatName val="0"/>
          <c:showSerName val="0"/>
          <c:showPercent val="0"/>
          <c:showBubbleSize val="0"/>
        </c:dLbls>
        <c:marker val="1"/>
        <c:smooth val="0"/>
        <c:axId val="362907208"/>
        <c:axId val="362903680"/>
      </c:lineChart>
      <c:catAx>
        <c:axId val="3615183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1518704"/>
        <c:crosses val="autoZero"/>
        <c:auto val="1"/>
        <c:lblAlgn val="ctr"/>
        <c:lblOffset val="100"/>
        <c:noMultiLvlLbl val="0"/>
      </c:catAx>
      <c:valAx>
        <c:axId val="361518704"/>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1518312"/>
        <c:crosses val="autoZero"/>
        <c:crossBetween val="between"/>
      </c:valAx>
      <c:valAx>
        <c:axId val="362903680"/>
        <c:scaling>
          <c:orientation val="minMax"/>
          <c:max val="1"/>
          <c:min val="0.25"/>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2907208"/>
        <c:crosses val="max"/>
        <c:crossBetween val="between"/>
      </c:valAx>
      <c:catAx>
        <c:axId val="362907208"/>
        <c:scaling>
          <c:orientation val="minMax"/>
        </c:scaling>
        <c:delete val="1"/>
        <c:axPos val="b"/>
        <c:numFmt formatCode="General" sourceLinked="1"/>
        <c:majorTickMark val="out"/>
        <c:minorTickMark val="none"/>
        <c:tickLblPos val="nextTo"/>
        <c:crossAx val="362903680"/>
        <c:crosses val="autoZero"/>
        <c:auto val="1"/>
        <c:lblAlgn val="ctr"/>
        <c:lblOffset val="100"/>
        <c:noMultiLvlLbl val="0"/>
      </c:catAx>
      <c:spPr>
        <a:noFill/>
        <a:ln>
          <a:noFill/>
        </a:ln>
        <a:effectLst/>
      </c:spPr>
    </c:plotArea>
    <c:legend>
      <c:legendPos val="b"/>
      <c:layout>
        <c:manualLayout>
          <c:xMode val="edge"/>
          <c:yMode val="edge"/>
          <c:x val="1.3961605584642234E-2"/>
          <c:y val="0.70815236778278368"/>
          <c:w val="0.98603839441535779"/>
          <c:h val="0.111629495674593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fr-FR"/>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CA" sz="1200"/>
              <a:t>Staffing by appointment type</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fr-FR"/>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39700040434969"/>
          <c:w val="0.84333349635643373"/>
          <c:h val="0.5659525943872401"/>
        </c:manualLayout>
      </c:layout>
      <c:bar3DChart>
        <c:barDir val="col"/>
        <c:grouping val="clustered"/>
        <c:varyColors val="0"/>
        <c:ser>
          <c:idx val="0"/>
          <c:order val="0"/>
          <c:tx>
            <c:strRef>
              <c:f>Sheet1!$B$1</c:f>
              <c:strCache>
                <c:ptCount val="1"/>
                <c:pt idx="0">
                  <c:v>Promotions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9.62729658792651E-3"/>
                  <c:y val="2.58878255602665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34-4BC5-97DC-9B5B6100BF1D}"/>
                </c:ext>
              </c:extLst>
            </c:dLbl>
            <c:dLbl>
              <c:idx val="1"/>
              <c:layout>
                <c:manualLayout>
                  <c:x val="-1.1111111111111112E-2"/>
                  <c:y val="2.3702806379971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34-4BC5-97DC-9B5B6100BF1D}"/>
                </c:ext>
              </c:extLst>
            </c:dLbl>
            <c:dLbl>
              <c:idx val="2"/>
              <c:layout>
                <c:manualLayout>
                  <c:x val="-8.3333333333334356E-3"/>
                  <c:y val="2.3885322027054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34-4BC5-97DC-9B5B6100BF1D}"/>
                </c:ext>
              </c:extLst>
            </c:dLbl>
            <c:dLbl>
              <c:idx val="3"/>
              <c:layout>
                <c:manualLayout>
                  <c:x val="-1.3888888888888888E-2"/>
                  <c:y val="2.3520290732889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34-4BC5-97DC-9B5B6100BF1D}"/>
                </c:ext>
              </c:extLst>
            </c:dLbl>
            <c:dLbl>
              <c:idx val="4"/>
              <c:layout>
                <c:manualLayout>
                  <c:x val="-1.6666666666666767E-2"/>
                  <c:y val="2.3885322027054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634-4BC5-97DC-9B5B6100BF1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(N=3 329)</c:v>
                </c:pt>
                <c:pt idx="1">
                  <c:v>2015-16
(N=3 743)</c:v>
                </c:pt>
                <c:pt idx="2">
                  <c:v>2016-17 
(N=4 421)</c:v>
                </c:pt>
                <c:pt idx="3">
                  <c:v>2017-18
(N=5 124)</c:v>
                </c:pt>
                <c:pt idx="4">
                  <c:v>2018-19
(N=6 359)</c:v>
                </c:pt>
              </c:strCache>
            </c:strRef>
          </c:cat>
          <c:val>
            <c:numRef>
              <c:f>Sheet1!$B$3:$B$7</c:f>
              <c:numCache>
                <c:formatCode>#\ ###</c:formatCode>
                <c:ptCount val="5"/>
                <c:pt idx="0">
                  <c:v>509</c:v>
                </c:pt>
                <c:pt idx="1">
                  <c:v>525</c:v>
                </c:pt>
                <c:pt idx="2">
                  <c:v>858</c:v>
                </c:pt>
                <c:pt idx="3">
                  <c:v>1065</c:v>
                </c:pt>
                <c:pt idx="4">
                  <c:v>1356</c:v>
                </c:pt>
              </c:numCache>
            </c:numRef>
          </c:val>
          <c:extLst>
            <c:ext xmlns:c16="http://schemas.microsoft.com/office/drawing/2014/chart" uri="{C3380CC4-5D6E-409C-BE32-E72D297353CC}">
              <c16:uniqueId val="{00000005-C634-4BC5-97DC-9B5B6100BF1D}"/>
            </c:ext>
          </c:extLst>
        </c:ser>
        <c:ser>
          <c:idx val="1"/>
          <c:order val="1"/>
          <c:tx>
            <c:strRef>
              <c:f>Sheet1!$C$1</c:f>
              <c:strCache>
                <c:ptCount val="1"/>
                <c:pt idx="0">
                  <c:v>Lateral and downward movements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2.3885322027054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634-4BC5-97DC-9B5B6100BF1D}"/>
                </c:ext>
              </c:extLst>
            </c:dLbl>
            <c:dLbl>
              <c:idx val="1"/>
              <c:layout>
                <c:manualLayout>
                  <c:x val="-8.3333333333333332E-3"/>
                  <c:y val="1.12125984251967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634-4BC5-97DC-9B5B6100BF1D}"/>
                </c:ext>
              </c:extLst>
            </c:dLbl>
            <c:dLbl>
              <c:idx val="2"/>
              <c:layout>
                <c:manualLayout>
                  <c:x val="-1.3888888888888888E-2"/>
                  <c:y val="1.58627094690086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634-4BC5-97DC-9B5B6100BF1D}"/>
                </c:ext>
              </c:extLst>
            </c:dLbl>
            <c:dLbl>
              <c:idx val="3"/>
              <c:layout>
                <c:manualLayout>
                  <c:x val="-1.3888888888888888E-2"/>
                  <c:y val="1.1760145366444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634-4BC5-97DC-9B5B6100BF1D}"/>
                </c:ext>
              </c:extLst>
            </c:dLbl>
            <c:dLbl>
              <c:idx val="4"/>
              <c:layout>
                <c:manualLayout>
                  <c:x val="-1.3888888888888888E-2"/>
                  <c:y val="7.29254996971532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634-4BC5-97DC-9B5B6100BF1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(N=3 329)</c:v>
                </c:pt>
                <c:pt idx="1">
                  <c:v>2015-16
(N=3 743)</c:v>
                </c:pt>
                <c:pt idx="2">
                  <c:v>2016-17 
(N=4 421)</c:v>
                </c:pt>
                <c:pt idx="3">
                  <c:v>2017-18
(N=5 124)</c:v>
                </c:pt>
                <c:pt idx="4">
                  <c:v>2018-19
(N=6 359)</c:v>
                </c:pt>
              </c:strCache>
            </c:strRef>
          </c:cat>
          <c:val>
            <c:numRef>
              <c:f>Sheet1!$C$3:$C$7</c:f>
              <c:numCache>
                <c:formatCode>#\ ###</c:formatCode>
                <c:ptCount val="5"/>
                <c:pt idx="0">
                  <c:v>674</c:v>
                </c:pt>
                <c:pt idx="1">
                  <c:v>714</c:v>
                </c:pt>
                <c:pt idx="2">
                  <c:v>1070</c:v>
                </c:pt>
                <c:pt idx="3">
                  <c:v>1179</c:v>
                </c:pt>
                <c:pt idx="4">
                  <c:v>1423</c:v>
                </c:pt>
              </c:numCache>
            </c:numRef>
          </c:val>
          <c:extLst>
            <c:ext xmlns:c16="http://schemas.microsoft.com/office/drawing/2014/chart" uri="{C3380CC4-5D6E-409C-BE32-E72D297353CC}">
              <c16:uniqueId val="{0000000B-C634-4BC5-97DC-9B5B6100BF1D}"/>
            </c:ext>
          </c:extLst>
        </c:ser>
        <c:ser>
          <c:idx val="2"/>
          <c:order val="2"/>
          <c:tx>
            <c:strRef>
              <c:f>Sheet1!$D$1</c:f>
              <c:strCache>
                <c:ptCount val="1"/>
                <c:pt idx="0">
                  <c:v>Appointments to the public service  (includes casuals and students)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0147789218655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634-4BC5-97DC-9B5B6100BF1D}"/>
                </c:ext>
              </c:extLst>
            </c:dLbl>
            <c:dLbl>
              <c:idx val="1"/>
              <c:layout>
                <c:manualLayout>
                  <c:x val="8.2852143482059644E-4"/>
                  <c:y val="1.200500706642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634-4BC5-97DC-9B5B6100BF1D}"/>
                </c:ext>
              </c:extLst>
            </c:dLbl>
            <c:dLbl>
              <c:idx val="2"/>
              <c:layout>
                <c:manualLayout>
                  <c:x val="-2.7777777777777779E-3"/>
                  <c:y val="2.38853220270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634-4BC5-97DC-9B5B6100BF1D}"/>
                </c:ext>
              </c:extLst>
            </c:dLbl>
            <c:dLbl>
              <c:idx val="3"/>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634-4BC5-97DC-9B5B6100BF1D}"/>
                </c:ext>
              </c:extLst>
            </c:dLbl>
            <c:dLbl>
              <c:idx val="4"/>
              <c:layout>
                <c:manualLayout>
                  <c:x val="3.6062992125984253E-3"/>
                  <c:y val="2.38853220270542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634-4BC5-97DC-9B5B6100BF1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(N=3 329)</c:v>
                </c:pt>
                <c:pt idx="1">
                  <c:v>2015-16
(N=3 743)</c:v>
                </c:pt>
                <c:pt idx="2">
                  <c:v>2016-17 
(N=4 421)</c:v>
                </c:pt>
                <c:pt idx="3">
                  <c:v>2017-18
(N=5 124)</c:v>
                </c:pt>
                <c:pt idx="4">
                  <c:v>2018-19
(N=6 359)</c:v>
                </c:pt>
              </c:strCache>
            </c:strRef>
          </c:cat>
          <c:val>
            <c:numRef>
              <c:f>Sheet1!$D$3:$D$7</c:f>
              <c:numCache>
                <c:formatCode>#\ ###</c:formatCode>
                <c:ptCount val="5"/>
                <c:pt idx="0">
                  <c:v>1334</c:v>
                </c:pt>
                <c:pt idx="1">
                  <c:v>1703</c:v>
                </c:pt>
                <c:pt idx="2">
                  <c:v>1855</c:v>
                </c:pt>
                <c:pt idx="3">
                  <c:v>2266</c:v>
                </c:pt>
                <c:pt idx="4">
                  <c:v>2783</c:v>
                </c:pt>
              </c:numCache>
            </c:numRef>
          </c:val>
          <c:extLst>
            <c:ext xmlns:c16="http://schemas.microsoft.com/office/drawing/2014/chart" uri="{C3380CC4-5D6E-409C-BE32-E72D297353CC}">
              <c16:uniqueId val="{00000011-C634-4BC5-97DC-9B5B6100BF1D}"/>
            </c:ext>
          </c:extLst>
        </c:ser>
        <c:ser>
          <c:idx val="3"/>
          <c:order val="3"/>
          <c:tx>
            <c:strRef>
              <c:f>Sheet1!$E$1</c:f>
              <c:strCache>
                <c:ptCount val="1"/>
                <c:pt idx="0">
                  <c:v>Acting appointments (excludes appointments of less than 4 months)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046E-3"/>
                  <c:y val="1.9600242277407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634-4BC5-97DC-9B5B6100BF1D}"/>
                </c:ext>
              </c:extLst>
            </c:dLbl>
            <c:dLbl>
              <c:idx val="1"/>
              <c:layout>
                <c:manualLayout>
                  <c:x val="5.5555555555556061E-3"/>
                  <c:y val="2.0330304865737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634-4BC5-97DC-9B5B6100BF1D}"/>
                </c:ext>
              </c:extLst>
            </c:dLbl>
            <c:dLbl>
              <c:idx val="2"/>
              <c:layout>
                <c:manualLayout>
                  <c:x val="8.3333333333333332E-3"/>
                  <c:y val="2.0695336159903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634-4BC5-97DC-9B5B6100BF1D}"/>
                </c:ext>
              </c:extLst>
            </c:dLbl>
            <c:dLbl>
              <c:idx val="3"/>
              <c:layout>
                <c:manualLayout>
                  <c:x val="3.6062992125984253E-3"/>
                  <c:y val="2.039265091863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634-4BC5-97DC-9B5B6100BF1D}"/>
                </c:ext>
              </c:extLst>
            </c:dLbl>
            <c:dLbl>
              <c:idx val="4"/>
              <c:layout>
                <c:manualLayout>
                  <c:x val="9.1618547681539802E-3"/>
                  <c:y val="2.38853220270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634-4BC5-97DC-9B5B6100BF1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(N=3 329)</c:v>
                </c:pt>
                <c:pt idx="1">
                  <c:v>2015-16
(N=3 743)</c:v>
                </c:pt>
                <c:pt idx="2">
                  <c:v>2016-17 
(N=4 421)</c:v>
                </c:pt>
                <c:pt idx="3">
                  <c:v>2017-18
(N=5 124)</c:v>
                </c:pt>
                <c:pt idx="4">
                  <c:v>2018-19
(N=6 359)</c:v>
                </c:pt>
              </c:strCache>
            </c:strRef>
          </c:cat>
          <c:val>
            <c:numRef>
              <c:f>Sheet1!$E$3:$E$7</c:f>
              <c:numCache>
                <c:formatCode>#\ ###</c:formatCode>
                <c:ptCount val="5"/>
                <c:pt idx="0">
                  <c:v>812</c:v>
                </c:pt>
                <c:pt idx="1">
                  <c:v>801</c:v>
                </c:pt>
                <c:pt idx="2">
                  <c:v>638</c:v>
                </c:pt>
                <c:pt idx="3">
                  <c:v>614</c:v>
                </c:pt>
                <c:pt idx="4">
                  <c:v>797</c:v>
                </c:pt>
              </c:numCache>
            </c:numRef>
          </c:val>
          <c:extLst>
            <c:ext xmlns:c16="http://schemas.microsoft.com/office/drawing/2014/chart" uri="{C3380CC4-5D6E-409C-BE32-E72D297353CC}">
              <c16:uniqueId val="{00000017-C634-4BC5-97DC-9B5B6100BF1D}"/>
            </c:ext>
          </c:extLst>
        </c:ser>
        <c:dLbls>
          <c:showLegendKey val="0"/>
          <c:showVal val="0"/>
          <c:showCatName val="0"/>
          <c:showSerName val="0"/>
          <c:showPercent val="0"/>
          <c:showBubbleSize val="0"/>
        </c:dLbls>
        <c:gapWidth val="150"/>
        <c:shape val="box"/>
        <c:axId val="362902896"/>
        <c:axId val="362902504"/>
        <c:axId val="0"/>
      </c:bar3DChart>
      <c:catAx>
        <c:axId val="3629028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2902504"/>
        <c:crosses val="autoZero"/>
        <c:auto val="0"/>
        <c:lblAlgn val="ctr"/>
        <c:lblOffset val="100"/>
        <c:noMultiLvlLbl val="0"/>
      </c:catAx>
      <c:valAx>
        <c:axId val="362902504"/>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2902896"/>
        <c:crosses val="autoZero"/>
        <c:crossBetween val="between"/>
      </c:valAx>
      <c:spPr>
        <a:noFill/>
        <a:ln>
          <a:noFill/>
        </a:ln>
        <a:effectLst/>
      </c:spPr>
    </c:plotArea>
    <c:legend>
      <c:legendPos val="r"/>
      <c:layout>
        <c:manualLayout>
          <c:xMode val="edge"/>
          <c:yMode val="edge"/>
          <c:x val="0"/>
          <c:y val="0.80998182919442763"/>
          <c:w val="1"/>
          <c:h val="0.190018170805572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CA" sz="1200"/>
              <a:t>Staffing by tenure</a:t>
            </a:r>
          </a:p>
        </c:rich>
      </c:tx>
      <c:layout>
        <c:manualLayout>
          <c:xMode val="edge"/>
          <c:yMode val="edge"/>
          <c:x val="0.34208542962809951"/>
          <c:y val="4.7192071731949031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fr-FR"/>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132759943468605"/>
          <c:w val="0.86277799650043729"/>
          <c:h val="0.57944227740763177"/>
        </c:manualLayout>
      </c:layout>
      <c:bar3DChart>
        <c:barDir val="col"/>
        <c:grouping val="clustered"/>
        <c:varyColors val="0"/>
        <c:ser>
          <c:idx val="0"/>
          <c:order val="0"/>
          <c:tx>
            <c:strRef>
              <c:f>Sheet1!$B$1</c:f>
              <c:strCache>
                <c:ptCount val="1"/>
                <c:pt idx="0">
                  <c:v>Indeterminate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0C5-44E8-B9AA-08C7CEB0473B}"/>
                </c:ext>
              </c:extLst>
            </c:dLbl>
            <c:dLbl>
              <c:idx val="1"/>
              <c:layout>
                <c:manualLayout>
                  <c:x val="0"/>
                  <c:y val="1.96001568012544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0C5-44E8-B9AA-08C7CEB0473B}"/>
                </c:ext>
              </c:extLst>
            </c:dLbl>
            <c:dLbl>
              <c:idx val="2"/>
              <c:layout>
                <c:manualLayout>
                  <c:x val="-2.7777777777778798E-3"/>
                  <c:y val="1.9600156801254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0C5-44E8-B9AA-08C7CEB0473B}"/>
                </c:ext>
              </c:extLst>
            </c:dLbl>
            <c:dLbl>
              <c:idx val="3"/>
              <c:layout>
                <c:manualLayout>
                  <c:x val="-2.7777777777778798E-3"/>
                  <c:y val="1.9782757924490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0C5-44E8-B9AA-08C7CEB0473B}"/>
                </c:ext>
              </c:extLst>
            </c:dLbl>
            <c:dLbl>
              <c:idx val="4"/>
              <c:layout>
                <c:manualLayout>
                  <c:x val="-5.5555555555555558E-3"/>
                  <c:y val="1.96002422774075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0C5-44E8-B9AA-08C7CEB047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(N=3 329)</c:v>
                </c:pt>
                <c:pt idx="1">
                  <c:v>2015-16
 (N=3 743)</c:v>
                </c:pt>
                <c:pt idx="2">
                  <c:v>2016-17
 (N=4 421)</c:v>
                </c:pt>
                <c:pt idx="3">
                  <c:v>2017-18
 (N=5 124)</c:v>
                </c:pt>
                <c:pt idx="4">
                  <c:v>2018-19
 (N=6 359)</c:v>
                </c:pt>
              </c:strCache>
            </c:strRef>
          </c:cat>
          <c:val>
            <c:numRef>
              <c:f>Sheet1!$B$2:$B$6</c:f>
              <c:numCache>
                <c:formatCode>#\ ###</c:formatCode>
                <c:ptCount val="5"/>
                <c:pt idx="0">
                  <c:v>2004</c:v>
                </c:pt>
                <c:pt idx="1">
                  <c:v>2130</c:v>
                </c:pt>
                <c:pt idx="2">
                  <c:v>2760</c:v>
                </c:pt>
                <c:pt idx="3">
                  <c:v>3169</c:v>
                </c:pt>
                <c:pt idx="4">
                  <c:v>4068</c:v>
                </c:pt>
              </c:numCache>
            </c:numRef>
          </c:val>
          <c:extLst>
            <c:ext xmlns:c16="http://schemas.microsoft.com/office/drawing/2014/chart" uri="{C3380CC4-5D6E-409C-BE32-E72D297353CC}">
              <c16:uniqueId val="{00000005-60C5-44E8-B9AA-08C7CEB0473B}"/>
            </c:ext>
          </c:extLst>
        </c:ser>
        <c:ser>
          <c:idx val="1"/>
          <c:order val="1"/>
          <c:tx>
            <c:strRef>
              <c:f>Sheet1!$C$1</c:f>
              <c:strCache>
                <c:ptCount val="1"/>
                <c:pt idx="0">
                  <c:v>Term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2.3520290732889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0C5-44E8-B9AA-08C7CEB0473B}"/>
                </c:ext>
              </c:extLst>
            </c:dLbl>
            <c:dLbl>
              <c:idx val="1"/>
              <c:layout>
                <c:manualLayout>
                  <c:x val="-5.0925337632079971E-17"/>
                  <c:y val="2.42503533212193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0C5-44E8-B9AA-08C7CEB0473B}"/>
                </c:ext>
              </c:extLst>
            </c:dLbl>
            <c:dLbl>
              <c:idx val="2"/>
              <c:layout>
                <c:manualLayout>
                  <c:x val="-2.7777777777777779E-3"/>
                  <c:y val="2.3702806379971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0C5-44E8-B9AA-08C7CEB0473B}"/>
                </c:ext>
              </c:extLst>
            </c:dLbl>
            <c:dLbl>
              <c:idx val="3"/>
              <c:layout>
                <c:manualLayout>
                  <c:x val="0"/>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0C5-44E8-B9AA-08C7CEB0473B}"/>
                </c:ext>
              </c:extLst>
            </c:dLbl>
            <c:dLbl>
              <c:idx val="4"/>
              <c:layout>
                <c:manualLayout>
                  <c:x val="2.7777777777778798E-3"/>
                  <c:y val="-9.125782354129563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0C5-44E8-B9AA-08C7CEB047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(N=3 329)</c:v>
                </c:pt>
                <c:pt idx="1">
                  <c:v>2015-16
 (N=3 743)</c:v>
                </c:pt>
                <c:pt idx="2">
                  <c:v>2016-17
 (N=4 421)</c:v>
                </c:pt>
                <c:pt idx="3">
                  <c:v>2017-18
 (N=5 124)</c:v>
                </c:pt>
                <c:pt idx="4">
                  <c:v>2018-19
 (N=6 359)</c:v>
                </c:pt>
              </c:strCache>
            </c:strRef>
          </c:cat>
          <c:val>
            <c:numRef>
              <c:f>Sheet1!$C$2:$C$6</c:f>
              <c:numCache>
                <c:formatCode>#\ ###</c:formatCode>
                <c:ptCount val="5"/>
                <c:pt idx="0">
                  <c:v>409</c:v>
                </c:pt>
                <c:pt idx="1">
                  <c:v>382</c:v>
                </c:pt>
                <c:pt idx="2">
                  <c:v>512</c:v>
                </c:pt>
                <c:pt idx="3">
                  <c:v>606</c:v>
                </c:pt>
                <c:pt idx="4">
                  <c:v>809</c:v>
                </c:pt>
              </c:numCache>
            </c:numRef>
          </c:val>
          <c:extLst>
            <c:ext xmlns:c16="http://schemas.microsoft.com/office/drawing/2014/chart" uri="{C3380CC4-5D6E-409C-BE32-E72D297353CC}">
              <c16:uniqueId val="{0000000B-60C5-44E8-B9AA-08C7CEB0473B}"/>
            </c:ext>
          </c:extLst>
        </c:ser>
        <c:ser>
          <c:idx val="2"/>
          <c:order val="2"/>
          <c:tx>
            <c:strRef>
              <c:f>Sheet1!$D$1</c:f>
              <c:strCache>
                <c:ptCount val="1"/>
                <c:pt idx="0">
                  <c:v>Casual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1.2125176660609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0C5-44E8-B9AA-08C7CEB0473B}"/>
                </c:ext>
              </c:extLst>
            </c:dLbl>
            <c:dLbl>
              <c:idx val="1"/>
              <c:layout>
                <c:manualLayout>
                  <c:x val="-5.5555555555555558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0C5-44E8-B9AA-08C7CEB0473B}"/>
                </c:ext>
              </c:extLst>
            </c:dLbl>
            <c:dLbl>
              <c:idx val="2"/>
              <c:layout>
                <c:manualLayout>
                  <c:x val="-5.5555555555555558E-3"/>
                  <c:y val="7.29254996971532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0C5-44E8-B9AA-08C7CEB0473B}"/>
                </c:ext>
              </c:extLst>
            </c:dLbl>
            <c:dLbl>
              <c:idx val="3"/>
              <c:layout>
                <c:manualLayout>
                  <c:x val="0"/>
                  <c:y val="1.5497678174843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0C5-44E8-B9AA-08C7CEB0473B}"/>
                </c:ext>
              </c:extLst>
            </c:dLbl>
            <c:dLbl>
              <c:idx val="4"/>
              <c:layout>
                <c:manualLayout>
                  <c:x val="-5.5555555555555558E-3"/>
                  <c:y val="2.3885322027054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0C5-44E8-B9AA-08C7CEB047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(N=3 329)</c:v>
                </c:pt>
                <c:pt idx="1">
                  <c:v>2015-16
 (N=3 743)</c:v>
                </c:pt>
                <c:pt idx="2">
                  <c:v>2016-17
 (N=4 421)</c:v>
                </c:pt>
                <c:pt idx="3">
                  <c:v>2017-18
 (N=5 124)</c:v>
                </c:pt>
                <c:pt idx="4">
                  <c:v>2018-19
 (N=6 359)</c:v>
                </c:pt>
              </c:strCache>
            </c:strRef>
          </c:cat>
          <c:val>
            <c:numRef>
              <c:f>Sheet1!$D$2:$D$6</c:f>
              <c:numCache>
                <c:formatCode>#\ ###</c:formatCode>
                <c:ptCount val="5"/>
                <c:pt idx="0">
                  <c:v>498</c:v>
                </c:pt>
                <c:pt idx="1">
                  <c:v>669</c:v>
                </c:pt>
                <c:pt idx="2">
                  <c:v>579</c:v>
                </c:pt>
                <c:pt idx="3">
                  <c:v>756</c:v>
                </c:pt>
                <c:pt idx="4">
                  <c:v>804</c:v>
                </c:pt>
              </c:numCache>
            </c:numRef>
          </c:val>
          <c:extLst>
            <c:ext xmlns:c16="http://schemas.microsoft.com/office/drawing/2014/chart" uri="{C3380CC4-5D6E-409C-BE32-E72D297353CC}">
              <c16:uniqueId val="{00000011-60C5-44E8-B9AA-08C7CEB0473B}"/>
            </c:ext>
          </c:extLst>
        </c:ser>
        <c:ser>
          <c:idx val="3"/>
          <c:order val="3"/>
          <c:tx>
            <c:strRef>
              <c:f>Sheet1!$E$1</c:f>
              <c:strCache>
                <c:ptCount val="1"/>
                <c:pt idx="0">
                  <c:v>Student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4250353321219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0C5-44E8-B9AA-08C7CEB0473B}"/>
                </c:ext>
              </c:extLst>
            </c:dLbl>
            <c:dLbl>
              <c:idx val="1"/>
              <c:layout>
                <c:manualLayout>
                  <c:x val="5.5555555555555558E-3"/>
                  <c:y val="2.76228548354532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0C5-44E8-B9AA-08C7CEB0473B}"/>
                </c:ext>
              </c:extLst>
            </c:dLbl>
            <c:dLbl>
              <c:idx val="2"/>
              <c:layout>
                <c:manualLayout>
                  <c:x val="2.777777777777676E-3"/>
                  <c:y val="2.76228548354531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0C5-44E8-B9AA-08C7CEB0473B}"/>
                </c:ext>
              </c:extLst>
            </c:dLbl>
            <c:dLbl>
              <c:idx val="3"/>
              <c:layout>
                <c:manualLayout>
                  <c:x val="8.3333333333334356E-3"/>
                  <c:y val="2.40678376741368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0C5-44E8-B9AA-08C7CEB0473B}"/>
                </c:ext>
              </c:extLst>
            </c:dLbl>
            <c:dLbl>
              <c:idx val="4"/>
              <c:layout>
                <c:manualLayout>
                  <c:x val="2.7777777777778798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0C5-44E8-B9AA-08C7CEB047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(N=3 329)</c:v>
                </c:pt>
                <c:pt idx="1">
                  <c:v>2015-16
 (N=3 743)</c:v>
                </c:pt>
                <c:pt idx="2">
                  <c:v>2016-17
 (N=4 421)</c:v>
                </c:pt>
                <c:pt idx="3">
                  <c:v>2017-18
 (N=5 124)</c:v>
                </c:pt>
                <c:pt idx="4">
                  <c:v>2018-19
 (N=6 359)</c:v>
                </c:pt>
              </c:strCache>
            </c:strRef>
          </c:cat>
          <c:val>
            <c:numRef>
              <c:f>Sheet1!$E$2:$E$6</c:f>
              <c:numCache>
                <c:formatCode>#\ ###</c:formatCode>
                <c:ptCount val="5"/>
                <c:pt idx="0">
                  <c:v>418</c:v>
                </c:pt>
                <c:pt idx="1">
                  <c:v>562</c:v>
                </c:pt>
                <c:pt idx="2">
                  <c:v>570</c:v>
                </c:pt>
                <c:pt idx="3">
                  <c:v>593</c:v>
                </c:pt>
                <c:pt idx="4">
                  <c:v>678</c:v>
                </c:pt>
              </c:numCache>
            </c:numRef>
          </c:val>
          <c:extLst>
            <c:ext xmlns:c16="http://schemas.microsoft.com/office/drawing/2014/chart" uri="{C3380CC4-5D6E-409C-BE32-E72D297353CC}">
              <c16:uniqueId val="{00000017-60C5-44E8-B9AA-08C7CEB0473B}"/>
            </c:ext>
          </c:extLst>
        </c:ser>
        <c:dLbls>
          <c:showLegendKey val="0"/>
          <c:showVal val="1"/>
          <c:showCatName val="0"/>
          <c:showSerName val="0"/>
          <c:showPercent val="0"/>
          <c:showBubbleSize val="0"/>
        </c:dLbls>
        <c:gapWidth val="150"/>
        <c:shape val="box"/>
        <c:axId val="362903288"/>
        <c:axId val="362907600"/>
        <c:axId val="0"/>
      </c:bar3DChart>
      <c:catAx>
        <c:axId val="3629032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2907600"/>
        <c:crosses val="autoZero"/>
        <c:auto val="1"/>
        <c:lblAlgn val="ctr"/>
        <c:lblOffset val="100"/>
        <c:noMultiLvlLbl val="0"/>
      </c:catAx>
      <c:valAx>
        <c:axId val="362907600"/>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62903288"/>
        <c:crosses val="autoZero"/>
        <c:crossBetween val="between"/>
      </c:valAx>
      <c:spPr>
        <a:noFill/>
        <a:ln>
          <a:noFill/>
        </a:ln>
        <a:effectLst/>
      </c:spPr>
    </c:plotArea>
    <c:legend>
      <c:legendPos val="r"/>
      <c:layout>
        <c:manualLayout>
          <c:xMode val="edge"/>
          <c:yMode val="edge"/>
          <c:x val="8.3333333333333329E-2"/>
          <c:y val="0.81526638400969109"/>
          <c:w val="0.84867125984251957"/>
          <c:h val="0.1437079749646678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850"/>
            <a:t>Unknowns= 1 057</a:t>
          </a:r>
        </a:p>
      </cdr:txBody>
    </cdr:sp>
  </cdr:relSizeAnchor>
</c:userShapes>
</file>

<file path=word/drawings/drawing2.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850"/>
            <a:t>Unknowns= 14</a:t>
          </a:r>
        </a:p>
      </cdr:txBody>
    </cdr:sp>
  </cdr:relSizeAnchor>
</c:userShapes>
</file>

<file path=word/drawings/drawing3.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r>
            <a:rPr lang="en-CA" sz="850"/>
            <a:t>-Regional distribution excludes unknowns</a:t>
          </a:r>
        </a:p>
      </cdr:txBody>
    </cdr:sp>
  </cdr:relSizeAnchor>
</c:userShapes>
</file>

<file path=word/drawings/drawing4.xml><?xml version="1.0" encoding="utf-8"?>
<c:userShapes xmlns:c="http://schemas.openxmlformats.org/drawingml/2006/chart">
  <cdr:relSizeAnchor xmlns:cdr="http://schemas.openxmlformats.org/drawingml/2006/chartDrawing">
    <cdr:from>
      <cdr:x>0.01772</cdr:x>
      <cdr:y>0.81861</cdr:y>
    </cdr:from>
    <cdr:to>
      <cdr:x>0.9823</cdr:x>
      <cdr:y>1</cdr:y>
    </cdr:to>
    <cdr:sp macro="" textlink="">
      <cdr:nvSpPr>
        <cdr:cNvPr id="2" name="Text Box 1"/>
        <cdr:cNvSpPr txBox="1"/>
      </cdr:nvSpPr>
      <cdr:spPr>
        <a:xfrm xmlns:a="http://schemas.openxmlformats.org/drawingml/2006/main">
          <a:off x="64475" y="2971800"/>
          <a:ext cx="3509673" cy="6584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r>
            <a:rPr lang="en-CA" sz="850"/>
            <a:t>-</a:t>
          </a:r>
          <a:r>
            <a:rPr lang="en-CA" sz="850" baseline="0"/>
            <a:t>Includes indeterminate and specified term appointments</a:t>
          </a:r>
        </a:p>
        <a:p xmlns:a="http://schemas.openxmlformats.org/drawingml/2006/main">
          <a:pPr>
            <a:lnSpc>
              <a:spcPts val="900"/>
            </a:lnSpc>
          </a:pPr>
          <a:r>
            <a:rPr lang="en-CA" sz="850" baseline="0"/>
            <a:t>-Excludes lateral and downward movements, deployments and acting appointments  of less than 4 months</a:t>
          </a:r>
        </a:p>
        <a:p xmlns:a="http://schemas.openxmlformats.org/drawingml/2006/main">
          <a:pPr>
            <a:lnSpc>
              <a:spcPts val="900"/>
            </a:lnSpc>
          </a:pPr>
          <a:r>
            <a:rPr lang="en-CA" sz="850" baseline="0"/>
            <a:t>- Includes only appointments where the staffing process type is known </a:t>
          </a:r>
          <a:r>
            <a:rPr lang="en-CA" sz="850" baseline="0">
              <a:solidFill>
                <a:sysClr val="windowText" lastClr="000000"/>
              </a:solidFill>
            </a:rPr>
            <a:t>(63% to 84</a:t>
          </a:r>
          <a:r>
            <a:rPr lang="en-CA" sz="850" baseline="0"/>
            <a:t>% of appointments)</a:t>
          </a:r>
          <a:endParaRPr lang="en-CA" sz="850"/>
        </a:p>
      </cdr:txBody>
    </cdr:sp>
  </cdr:relSizeAnchor>
</c:userShapes>
</file>

<file path=word/drawings/drawing5.xml><?xml version="1.0" encoding="utf-8"?>
<c:userShapes xmlns:c="http://schemas.openxmlformats.org/drawingml/2006/chart">
  <cdr:relSizeAnchor xmlns:cdr="http://schemas.openxmlformats.org/drawingml/2006/chartDrawing">
    <cdr:from>
      <cdr:x>0.00086</cdr:x>
      <cdr:y>0.85764</cdr:y>
    </cdr:from>
    <cdr:to>
      <cdr:x>0.89136</cdr:x>
      <cdr:y>1</cdr:y>
    </cdr:to>
    <cdr:sp macro="" textlink="">
      <cdr:nvSpPr>
        <cdr:cNvPr id="2" name="Text Box 1" descr="* Indeterminate and term hires with experience in a federal student recruitment program within the last 10 years.&#10;"/>
        <cdr:cNvSpPr txBox="1"/>
      </cdr:nvSpPr>
      <cdr:spPr>
        <a:xfrm xmlns:a="http://schemas.openxmlformats.org/drawingml/2006/main">
          <a:off x="2941" y="2838450"/>
          <a:ext cx="3045042" cy="4711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CA" sz="1100"/>
            <a:t>* </a:t>
          </a:r>
          <a:r>
            <a:rPr lang="en-CA" sz="800"/>
            <a:t>Hires with experience in a federal student recruitment program within the last 10 years</a:t>
          </a:r>
        </a:p>
      </cdr:txBody>
    </cdr:sp>
  </cdr:relSizeAnchor>
</c:userShapes>
</file>

<file path=word/drawings/drawing6.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0.26312</cdr:x>
      <cdr:y>0.20322</cdr:y>
    </cdr:from>
    <cdr:to>
      <cdr:x>0.26451</cdr:x>
      <cdr:y>0.75324</cdr:y>
    </cdr:to>
    <cdr:cxnSp macro="">
      <cdr:nvCxnSpPr>
        <cdr:cNvPr id="5" name="Straight Connector 4" descr="Median line fof the specified organization's internal time to staff graphic"/>
        <cdr:cNvCxnSpPr/>
      </cdr:nvCxnSpPr>
      <cdr:spPr>
        <a:xfrm xmlns:a="http://schemas.openxmlformats.org/drawingml/2006/main" flipV="1">
          <a:off x="1157875" y="576818"/>
          <a:ext cx="6117" cy="1561204"/>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0.27925</cdr:x>
      <cdr:y>0.20301</cdr:y>
    </cdr:from>
    <cdr:to>
      <cdr:x>0.28064</cdr:x>
      <cdr:y>0.75303</cdr:y>
    </cdr:to>
    <cdr:cxnSp macro="">
      <cdr:nvCxnSpPr>
        <cdr:cNvPr id="5" name="Straight Connector 4" descr="Median line fof the specified organization's internal time to staff graphic"/>
        <cdr:cNvCxnSpPr/>
      </cdr:nvCxnSpPr>
      <cdr:spPr>
        <a:xfrm xmlns:a="http://schemas.openxmlformats.org/drawingml/2006/main" flipV="1">
          <a:off x="1228856" y="562706"/>
          <a:ext cx="6117" cy="152453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0.28693</cdr:x>
      <cdr:y>0.19986</cdr:y>
    </cdr:from>
    <cdr:to>
      <cdr:x>0.28832</cdr:x>
      <cdr:y>0.74988</cdr:y>
    </cdr:to>
    <cdr:cxnSp macro="">
      <cdr:nvCxnSpPr>
        <cdr:cNvPr id="5" name="Straight Connector 4" descr="Median line fof the specified organization's internal time to staff graphic"/>
        <cdr:cNvCxnSpPr/>
      </cdr:nvCxnSpPr>
      <cdr:spPr>
        <a:xfrm xmlns:a="http://schemas.openxmlformats.org/drawingml/2006/main" flipV="1">
          <a:off x="1262650" y="553968"/>
          <a:ext cx="6117" cy="152453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9.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0.28909</cdr:x>
      <cdr:y>0.19024</cdr:y>
    </cdr:from>
    <cdr:to>
      <cdr:x>0.29048</cdr:x>
      <cdr:y>0.74026</cdr:y>
    </cdr:to>
    <cdr:cxnSp macro="">
      <cdr:nvCxnSpPr>
        <cdr:cNvPr id="5" name="Straight Connector 4" descr="Median line fof the specified organization's internal time to staff graphic"/>
        <cdr:cNvCxnSpPr/>
      </cdr:nvCxnSpPr>
      <cdr:spPr>
        <a:xfrm xmlns:a="http://schemas.openxmlformats.org/drawingml/2006/main" flipV="1">
          <a:off x="1272157" y="527304"/>
          <a:ext cx="6117" cy="152453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CFP-PSC-Theme2019-fromWord">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97B62-98E5-4526-9BBA-1895C35A1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CFP-Entete-Corpo2019.dotx</Template>
  <TotalTime>0</TotalTime>
  <Pages>27</Pages>
  <Words>4657</Words>
  <Characters>25614</Characters>
  <Application>Microsoft Office Word</Application>
  <DocSecurity>4</DocSecurity>
  <Lines>213</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CFP-PSC</Company>
  <LinksUpToDate>false</LinksUpToDate>
  <CharactersWithSpaces>30211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Lefebvre</dc:creator>
  <cp:keywords/>
  <dc:description/>
  <cp:lastModifiedBy>Nancy Ladouceur</cp:lastModifiedBy>
  <cp:revision>2</cp:revision>
  <dcterms:created xsi:type="dcterms:W3CDTF">2021-07-16T18:10:00Z</dcterms:created>
  <dcterms:modified xsi:type="dcterms:W3CDTF">2021-07-16T18:10:00Z</dcterms:modified>
</cp:coreProperties>
</file>