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8.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9.xml" ContentType="application/vnd.openxmlformats-officedocument.drawingml.chartshapes+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C71EB" w14:textId="2B2C9972" w:rsidR="00ED4A93" w:rsidRPr="009B27F6" w:rsidRDefault="00ED4A93" w:rsidP="00ED4A93">
      <w:pPr>
        <w:pStyle w:val="Titre"/>
        <w:spacing w:before="0" w:line="240" w:lineRule="auto"/>
        <w:contextualSpacing w:val="0"/>
        <w:jc w:val="center"/>
        <w:rPr>
          <w:rFonts w:asciiTheme="minorHAnsi" w:hAnsiTheme="minorHAnsi" w:cstheme="minorHAnsi"/>
          <w:sz w:val="52"/>
          <w:szCs w:val="52"/>
        </w:rPr>
      </w:pPr>
      <w:r w:rsidRPr="009B27F6">
        <w:rPr>
          <w:rFonts w:asciiTheme="minorHAnsi" w:hAnsiTheme="minorHAnsi" w:cstheme="minorHAnsi"/>
          <w:sz w:val="52"/>
          <w:szCs w:val="52"/>
        </w:rPr>
        <w:t>R</w:t>
      </w:r>
      <w:r w:rsidR="008A6680">
        <w:rPr>
          <w:rFonts w:asciiTheme="minorHAnsi" w:hAnsiTheme="minorHAnsi" w:cstheme="minorHAnsi"/>
          <w:sz w:val="52"/>
          <w:szCs w:val="52"/>
        </w:rPr>
        <w:t>éunion</w:t>
      </w:r>
      <w:r w:rsidR="00AB221E">
        <w:rPr>
          <w:rFonts w:asciiTheme="minorHAnsi" w:hAnsiTheme="minorHAnsi" w:cstheme="minorHAnsi"/>
          <w:sz w:val="52"/>
          <w:szCs w:val="52"/>
        </w:rPr>
        <w:t xml:space="preserve"> entre le président et</w:t>
      </w:r>
      <w:r w:rsidRPr="009B27F6">
        <w:rPr>
          <w:rFonts w:asciiTheme="minorHAnsi" w:hAnsiTheme="minorHAnsi" w:cstheme="minorHAnsi"/>
          <w:sz w:val="52"/>
          <w:szCs w:val="52"/>
        </w:rPr>
        <w:t xml:space="preserve"> </w:t>
      </w:r>
    </w:p>
    <w:p w14:paraId="31DB2C99" w14:textId="10481C2D" w:rsidR="00ED4A93" w:rsidRPr="009B27F6" w:rsidRDefault="00ED4A93" w:rsidP="00ED4A93">
      <w:pPr>
        <w:pStyle w:val="Titre"/>
        <w:spacing w:before="0" w:line="240" w:lineRule="auto"/>
        <w:contextualSpacing w:val="0"/>
        <w:jc w:val="center"/>
        <w:rPr>
          <w:rFonts w:asciiTheme="minorHAnsi" w:hAnsiTheme="minorHAnsi" w:cstheme="minorHAnsi"/>
          <w:sz w:val="52"/>
          <w:szCs w:val="52"/>
        </w:rPr>
      </w:pPr>
      <w:r w:rsidRPr="009B27F6">
        <w:rPr>
          <w:rFonts w:asciiTheme="minorHAnsi" w:hAnsiTheme="minorHAnsi" w:cstheme="minorHAnsi"/>
          <w:sz w:val="52"/>
          <w:szCs w:val="52"/>
        </w:rPr>
        <w:t>S</w:t>
      </w:r>
      <w:r w:rsidR="00AB221E">
        <w:rPr>
          <w:rFonts w:asciiTheme="minorHAnsi" w:hAnsiTheme="minorHAnsi" w:cstheme="minorHAnsi"/>
          <w:sz w:val="52"/>
          <w:szCs w:val="52"/>
        </w:rPr>
        <w:t xml:space="preserve">tephen </w:t>
      </w:r>
      <w:r w:rsidRPr="009B27F6">
        <w:rPr>
          <w:rFonts w:asciiTheme="minorHAnsi" w:hAnsiTheme="minorHAnsi" w:cstheme="minorHAnsi"/>
          <w:sz w:val="52"/>
          <w:szCs w:val="52"/>
        </w:rPr>
        <w:t>L</w:t>
      </w:r>
      <w:r w:rsidR="00AB221E">
        <w:rPr>
          <w:rFonts w:asciiTheme="minorHAnsi" w:hAnsiTheme="minorHAnsi" w:cstheme="minorHAnsi"/>
          <w:sz w:val="52"/>
          <w:szCs w:val="52"/>
        </w:rPr>
        <w:t>ucas</w:t>
      </w:r>
      <w:r w:rsidRPr="009B27F6">
        <w:rPr>
          <w:rFonts w:asciiTheme="minorHAnsi" w:hAnsiTheme="minorHAnsi" w:cstheme="minorHAnsi"/>
          <w:sz w:val="52"/>
          <w:szCs w:val="52"/>
        </w:rPr>
        <w:t>, S</w:t>
      </w:r>
      <w:r w:rsidR="00AB221E">
        <w:rPr>
          <w:rFonts w:asciiTheme="minorHAnsi" w:hAnsiTheme="minorHAnsi" w:cstheme="minorHAnsi"/>
          <w:sz w:val="52"/>
          <w:szCs w:val="52"/>
        </w:rPr>
        <w:t>ous-ministre</w:t>
      </w:r>
      <w:r w:rsidRPr="009B27F6">
        <w:rPr>
          <w:rFonts w:asciiTheme="minorHAnsi" w:hAnsiTheme="minorHAnsi" w:cstheme="minorHAnsi"/>
          <w:sz w:val="52"/>
          <w:szCs w:val="52"/>
        </w:rPr>
        <w:t>, S</w:t>
      </w:r>
      <w:r w:rsidR="00AB221E">
        <w:rPr>
          <w:rFonts w:asciiTheme="minorHAnsi" w:hAnsiTheme="minorHAnsi" w:cstheme="minorHAnsi"/>
          <w:sz w:val="52"/>
          <w:szCs w:val="52"/>
        </w:rPr>
        <w:t>anté</w:t>
      </w:r>
      <w:r w:rsidRPr="009B27F6">
        <w:rPr>
          <w:rFonts w:asciiTheme="minorHAnsi" w:hAnsiTheme="minorHAnsi" w:cstheme="minorHAnsi"/>
          <w:sz w:val="52"/>
          <w:szCs w:val="52"/>
        </w:rPr>
        <w:t xml:space="preserve"> C</w:t>
      </w:r>
      <w:r w:rsidR="00AB221E">
        <w:rPr>
          <w:rFonts w:asciiTheme="minorHAnsi" w:hAnsiTheme="minorHAnsi" w:cstheme="minorHAnsi"/>
          <w:sz w:val="52"/>
          <w:szCs w:val="52"/>
        </w:rPr>
        <w:t>anada</w:t>
      </w:r>
    </w:p>
    <w:p w14:paraId="0D468E48" w14:textId="77777777" w:rsidR="00ED4A93" w:rsidRPr="009B27F6" w:rsidRDefault="00ED4A93" w:rsidP="00ED4A93">
      <w:pPr>
        <w:pStyle w:val="Titre"/>
        <w:spacing w:before="0" w:line="240" w:lineRule="auto"/>
        <w:contextualSpacing w:val="0"/>
        <w:jc w:val="center"/>
        <w:rPr>
          <w:rFonts w:asciiTheme="minorHAnsi" w:hAnsiTheme="minorHAnsi" w:cstheme="minorHAnsi"/>
          <w:sz w:val="52"/>
          <w:szCs w:val="52"/>
        </w:rPr>
      </w:pPr>
      <w:r w:rsidRPr="009B27F6">
        <w:rPr>
          <w:rFonts w:asciiTheme="minorHAnsi" w:hAnsiTheme="minorHAnsi" w:cstheme="minorHAnsi"/>
          <w:sz w:val="52"/>
          <w:szCs w:val="52"/>
        </w:rPr>
        <w:t>Le 11 octobre 2019</w:t>
      </w:r>
    </w:p>
    <w:p w14:paraId="66CD2995" w14:textId="77777777" w:rsidR="00ED4A93" w:rsidRPr="0014379C" w:rsidRDefault="00ED4A93" w:rsidP="00ED4A93">
      <w:pPr>
        <w:pStyle w:val="Titre1"/>
        <w:spacing w:before="120" w:after="120"/>
      </w:pPr>
      <w:r>
        <w:t>Introduction</w:t>
      </w:r>
    </w:p>
    <w:p w14:paraId="67C139A1" w14:textId="77777777" w:rsidR="00ED4A93" w:rsidRPr="00E46C1B" w:rsidRDefault="00ED4A93" w:rsidP="00ED4A93">
      <w:pPr>
        <w:pStyle w:val="Titre2"/>
      </w:pPr>
      <w:r>
        <w:t>Administrateur général</w:t>
      </w:r>
    </w:p>
    <w:p w14:paraId="7ACCC308" w14:textId="77777777" w:rsidR="00ED4A93" w:rsidRDefault="00ED4A93" w:rsidP="00ED4A93">
      <w:pPr>
        <w:pStyle w:val="Sansinterligne"/>
        <w:spacing w:before="120" w:after="120"/>
        <w:rPr>
          <w:rFonts w:asciiTheme="minorHAnsi" w:hAnsiTheme="minorHAnsi" w:cstheme="minorHAnsi"/>
          <w:sz w:val="22"/>
          <w:szCs w:val="22"/>
        </w:rPr>
      </w:pPr>
      <w:r w:rsidRPr="00ED4A93">
        <w:rPr>
          <w:rFonts w:asciiTheme="minorHAnsi" w:hAnsiTheme="minorHAnsi" w:cstheme="minorHAnsi"/>
          <w:sz w:val="22"/>
          <w:szCs w:val="22"/>
        </w:rPr>
        <w:t xml:space="preserve">M. Stephen Lucas a été nommé administrateur général (AG) de Santé Canada (SC) le 3 septembre 2019. </w:t>
      </w:r>
    </w:p>
    <w:p w14:paraId="6379EC58" w14:textId="71A6782C" w:rsidR="008F04B0" w:rsidRPr="008F04B0" w:rsidRDefault="008F04B0" w:rsidP="008F04B0">
      <w:pPr>
        <w:pStyle w:val="Sansinterligne"/>
        <w:spacing w:before="120"/>
        <w:rPr>
          <w:rFonts w:asciiTheme="minorHAnsi" w:eastAsiaTheme="minorHAnsi" w:hAnsiTheme="minorHAnsi" w:cstheme="minorHAnsi"/>
          <w:color w:val="FF0000"/>
          <w:sz w:val="22"/>
          <w:szCs w:val="22"/>
          <w:lang w:eastAsia="en-CA"/>
        </w:rPr>
      </w:pPr>
      <w:r w:rsidRPr="00ED4A93">
        <w:rPr>
          <w:rFonts w:asciiTheme="minorHAnsi" w:hAnsiTheme="minorHAnsi" w:cstheme="minorHAnsi"/>
          <w:sz w:val="22"/>
          <w:szCs w:val="22"/>
        </w:rPr>
        <w:t xml:space="preserve">M. Stephen Lucas </w:t>
      </w:r>
      <w:r>
        <w:rPr>
          <w:rFonts w:asciiTheme="minorHAnsi" w:eastAsiaTheme="minorHAnsi" w:hAnsiTheme="minorHAnsi" w:cstheme="minorHAnsi"/>
          <w:sz w:val="22"/>
          <w:szCs w:val="22"/>
          <w:lang w:eastAsia="en-CA"/>
        </w:rPr>
        <w:t xml:space="preserve">a déjà </w:t>
      </w:r>
      <w:r w:rsidRPr="00541B4F">
        <w:rPr>
          <w:rFonts w:asciiTheme="minorHAnsi" w:eastAsiaTheme="minorHAnsi" w:hAnsiTheme="minorHAnsi" w:cstheme="minorHAnsi"/>
          <w:sz w:val="22"/>
          <w:szCs w:val="22"/>
          <w:lang w:eastAsia="en-CA"/>
        </w:rPr>
        <w:t>exerc</w:t>
      </w:r>
      <w:r>
        <w:rPr>
          <w:rFonts w:asciiTheme="minorHAnsi" w:eastAsiaTheme="minorHAnsi" w:hAnsiTheme="minorHAnsi" w:cstheme="minorHAnsi"/>
          <w:sz w:val="22"/>
          <w:szCs w:val="22"/>
          <w:lang w:eastAsia="en-CA"/>
        </w:rPr>
        <w:t>é</w:t>
      </w:r>
      <w:r w:rsidRPr="00541B4F">
        <w:rPr>
          <w:rFonts w:asciiTheme="minorHAnsi" w:eastAsiaTheme="minorHAnsi" w:hAnsiTheme="minorHAnsi" w:cstheme="minorHAnsi"/>
          <w:sz w:val="22"/>
          <w:szCs w:val="22"/>
          <w:lang w:eastAsia="en-CA"/>
        </w:rPr>
        <w:t xml:space="preserve"> l’autorité de la Commission</w:t>
      </w:r>
      <w:r>
        <w:rPr>
          <w:rFonts w:asciiTheme="minorHAnsi" w:eastAsiaTheme="minorHAnsi" w:hAnsiTheme="minorHAnsi" w:cstheme="minorHAnsi"/>
          <w:sz w:val="22"/>
          <w:szCs w:val="22"/>
          <w:lang w:eastAsia="en-CA"/>
        </w:rPr>
        <w:t xml:space="preserve"> de la fonction publique (CFP) </w:t>
      </w:r>
      <w:r w:rsidRPr="00541B4F">
        <w:rPr>
          <w:rFonts w:asciiTheme="minorHAnsi" w:eastAsiaTheme="minorHAnsi" w:hAnsiTheme="minorHAnsi" w:cstheme="minorHAnsi"/>
          <w:sz w:val="22"/>
          <w:szCs w:val="22"/>
          <w:lang w:eastAsia="en-CA"/>
        </w:rPr>
        <w:t>en tant qu’AG</w:t>
      </w:r>
      <w:r>
        <w:rPr>
          <w:rFonts w:asciiTheme="minorHAnsi" w:eastAsiaTheme="minorHAnsi" w:hAnsiTheme="minorHAnsi" w:cstheme="minorHAnsi"/>
          <w:sz w:val="22"/>
          <w:szCs w:val="22"/>
          <w:lang w:eastAsia="en-CA"/>
        </w:rPr>
        <w:t>.  Une copie du d</w:t>
      </w:r>
      <w:r w:rsidRPr="00541B4F">
        <w:rPr>
          <w:rFonts w:asciiTheme="minorHAnsi" w:eastAsiaTheme="minorHAnsi" w:hAnsiTheme="minorHAnsi" w:cstheme="minorHAnsi"/>
          <w:sz w:val="22"/>
          <w:szCs w:val="22"/>
          <w:lang w:eastAsia="en-CA"/>
        </w:rPr>
        <w:t>ocument Faits Saillants de la Nouvelle orientation en dotation (NOD) pour les AG</w:t>
      </w:r>
      <w:r>
        <w:rPr>
          <w:rFonts w:asciiTheme="minorHAnsi" w:eastAsiaTheme="minorHAnsi" w:hAnsiTheme="minorHAnsi" w:cstheme="minorHAnsi"/>
          <w:sz w:val="22"/>
          <w:szCs w:val="22"/>
          <w:lang w:eastAsia="en-CA"/>
        </w:rPr>
        <w:t xml:space="preserve"> est </w:t>
      </w:r>
      <w:r w:rsidRPr="00541B4F">
        <w:rPr>
          <w:rFonts w:asciiTheme="minorHAnsi" w:eastAsiaTheme="minorHAnsi" w:hAnsiTheme="minorHAnsi" w:cstheme="minorHAnsi"/>
          <w:sz w:val="22"/>
          <w:szCs w:val="22"/>
          <w:lang w:eastAsia="en-CA"/>
        </w:rPr>
        <w:t xml:space="preserve">jointe à </w:t>
      </w:r>
      <w:hyperlink w:anchor="AnnexA" w:history="1">
        <w:r>
          <w:rPr>
            <w:rStyle w:val="Lienhypertexte"/>
            <w:rFonts w:asciiTheme="minorHAnsi" w:hAnsiTheme="minorHAnsi" w:cstheme="minorHAnsi"/>
            <w:sz w:val="22"/>
            <w:szCs w:val="22"/>
          </w:rPr>
          <w:t>l’a</w:t>
        </w:r>
        <w:r w:rsidRPr="000F5BC5">
          <w:rPr>
            <w:rStyle w:val="Lienhypertexte"/>
            <w:rFonts w:asciiTheme="minorHAnsi" w:hAnsiTheme="minorHAnsi" w:cstheme="minorHAnsi"/>
            <w:sz w:val="22"/>
            <w:szCs w:val="22"/>
          </w:rPr>
          <w:t>nnexe A.</w:t>
        </w:r>
      </w:hyperlink>
      <w:r w:rsidRPr="00541B4F">
        <w:rPr>
          <w:rFonts w:asciiTheme="minorHAnsi" w:eastAsiaTheme="minorHAnsi" w:hAnsiTheme="minorHAnsi" w:cstheme="minorHAnsi"/>
          <w:sz w:val="22"/>
          <w:szCs w:val="22"/>
          <w:lang w:eastAsia="en-CA"/>
        </w:rPr>
        <w:t xml:space="preserve"> </w:t>
      </w:r>
    </w:p>
    <w:p w14:paraId="7ACB8D70" w14:textId="77777777" w:rsidR="00ED4A93" w:rsidRPr="00E46C1B" w:rsidRDefault="00ED4A93" w:rsidP="00ED4A93">
      <w:pPr>
        <w:pStyle w:val="Titre1"/>
      </w:pPr>
      <w:r>
        <w:t>Contexte organisationnel</w:t>
      </w:r>
    </w:p>
    <w:p w14:paraId="6DFDEA36" w14:textId="77777777" w:rsidR="00ED4A93" w:rsidRPr="00E46C1B" w:rsidRDefault="00ED4A93" w:rsidP="00ED4A93">
      <w:pPr>
        <w:pStyle w:val="Titre2"/>
        <w:rPr>
          <w:u w:val="single"/>
        </w:rPr>
      </w:pPr>
      <w:r>
        <w:t>Mandat</w:t>
      </w:r>
    </w:p>
    <w:p w14:paraId="410F0271" w14:textId="77777777" w:rsidR="00ED4A93" w:rsidRPr="00C90B5F" w:rsidRDefault="00ED4A93" w:rsidP="00ED4A93">
      <w:pPr>
        <w:autoSpaceDE w:val="0"/>
        <w:autoSpaceDN w:val="0"/>
        <w:adjustRightInd w:val="0"/>
        <w:spacing w:before="120" w:after="120"/>
        <w:ind w:right="50"/>
        <w:rPr>
          <w:rFonts w:asciiTheme="minorHAnsi" w:hAnsiTheme="minorHAnsi" w:cstheme="minorHAnsi"/>
          <w:sz w:val="22"/>
          <w:szCs w:val="22"/>
        </w:rPr>
      </w:pPr>
      <w:r w:rsidRPr="00C90B5F">
        <w:rPr>
          <w:rFonts w:asciiTheme="minorHAnsi" w:hAnsiTheme="minorHAnsi" w:cstheme="minorHAnsi"/>
          <w:sz w:val="22"/>
          <w:szCs w:val="22"/>
        </w:rPr>
        <w:t>Santé Canada a pour mandat d’aider les Canadiens à préserver et à améliorer leur santé. Le ministère assure que des services de santé de grande qualité sont accessibles et cherche à réduire les risques pour la santé.</w:t>
      </w:r>
    </w:p>
    <w:p w14:paraId="77DD8762" w14:textId="77777777" w:rsidR="00ED4A93" w:rsidRPr="00C90B5F" w:rsidRDefault="00ED4A93" w:rsidP="00ED4A93">
      <w:pPr>
        <w:autoSpaceDE w:val="0"/>
        <w:autoSpaceDN w:val="0"/>
        <w:adjustRightInd w:val="0"/>
        <w:spacing w:before="120" w:after="120"/>
        <w:ind w:right="50"/>
        <w:rPr>
          <w:rFonts w:asciiTheme="minorHAnsi" w:hAnsiTheme="minorHAnsi" w:cstheme="minorHAnsi"/>
          <w:sz w:val="22"/>
          <w:szCs w:val="22"/>
        </w:rPr>
      </w:pPr>
      <w:r w:rsidRPr="00C90B5F">
        <w:rPr>
          <w:rFonts w:asciiTheme="minorHAnsi" w:hAnsiTheme="minorHAnsi" w:cstheme="minorHAnsi"/>
          <w:sz w:val="22"/>
          <w:szCs w:val="22"/>
        </w:rPr>
        <w:t xml:space="preserve">Le ministère est responsable de la réglementation d’aspects comme les médicaments et les produits de santé, les produits alimentaires, la santé environnementale et la santé au travail. Il fait la promotion d’un mode de vie sain, assure l’innocuité des produits de consommation, et effectue des recherches et des essais. </w:t>
      </w:r>
    </w:p>
    <w:p w14:paraId="089FAEBE" w14:textId="77777777" w:rsidR="00ED4A93" w:rsidRPr="00C90B5F" w:rsidRDefault="00ED4A93" w:rsidP="00ED4A93">
      <w:pPr>
        <w:autoSpaceDE w:val="0"/>
        <w:autoSpaceDN w:val="0"/>
        <w:adjustRightInd w:val="0"/>
        <w:spacing w:before="120" w:after="120"/>
        <w:ind w:right="50"/>
        <w:rPr>
          <w:rFonts w:asciiTheme="minorHAnsi" w:hAnsiTheme="minorHAnsi" w:cstheme="minorHAnsi"/>
          <w:sz w:val="22"/>
          <w:szCs w:val="22"/>
        </w:rPr>
      </w:pPr>
      <w:r w:rsidRPr="00C90B5F">
        <w:rPr>
          <w:rFonts w:asciiTheme="minorHAnsi" w:hAnsiTheme="minorHAnsi" w:cstheme="minorHAnsi"/>
          <w:sz w:val="22"/>
          <w:szCs w:val="22"/>
        </w:rPr>
        <w:t>En août 2017, le gouvernement a créé Services aux Autochtones Canada, un nouveau ministère dont le mandat principal est d’améliorer la qualité des services offerts aux membres des Premières Nations, aux Inuits et aux Métis. Cela a entraîné le transfert de la Direction générale de la santé des Premières nations et des Inuits de SC, ainsi que des ressources ministérielles internes, vers le nouveau ministère.</w:t>
      </w:r>
    </w:p>
    <w:p w14:paraId="70FF777A" w14:textId="77777777" w:rsidR="00ED4A93" w:rsidRPr="00C90B5F" w:rsidRDefault="00ED4A93" w:rsidP="00ED4A93">
      <w:pPr>
        <w:autoSpaceDE w:val="0"/>
        <w:autoSpaceDN w:val="0"/>
        <w:adjustRightInd w:val="0"/>
        <w:spacing w:before="120" w:after="120"/>
        <w:ind w:right="50"/>
        <w:rPr>
          <w:rFonts w:asciiTheme="minorHAnsi" w:hAnsiTheme="minorHAnsi" w:cstheme="minorHAnsi"/>
          <w:sz w:val="22"/>
          <w:szCs w:val="22"/>
        </w:rPr>
      </w:pPr>
      <w:r w:rsidRPr="00C90B5F">
        <w:rPr>
          <w:rFonts w:asciiTheme="minorHAnsi" w:hAnsiTheme="minorHAnsi" w:cstheme="minorHAnsi"/>
          <w:sz w:val="22"/>
          <w:szCs w:val="22"/>
        </w:rPr>
        <w:t>SC et l’Agence de la santé publique du Canada partagent les mêmes services de ressources humaines (RH).</w:t>
      </w:r>
    </w:p>
    <w:p w14:paraId="139775F7" w14:textId="77777777" w:rsidR="00ED4A93" w:rsidRPr="00E46C1B" w:rsidRDefault="00ED4A93" w:rsidP="00ED4A93">
      <w:pPr>
        <w:pStyle w:val="Titre2"/>
        <w:rPr>
          <w:u w:val="single"/>
        </w:rPr>
      </w:pPr>
      <w:r>
        <w:t>Défis</w:t>
      </w:r>
    </w:p>
    <w:p w14:paraId="349534E9" w14:textId="77777777" w:rsidR="00ED4A93" w:rsidRPr="00ED4A93" w:rsidRDefault="00ED4A93" w:rsidP="00ED4A93">
      <w:pPr>
        <w:pStyle w:val="Sansinterligne"/>
        <w:spacing w:before="120" w:after="120"/>
        <w:rPr>
          <w:rFonts w:asciiTheme="minorHAnsi" w:hAnsiTheme="minorHAnsi" w:cstheme="minorHAnsi"/>
          <w:color w:val="000000"/>
          <w:sz w:val="22"/>
          <w:szCs w:val="22"/>
        </w:rPr>
      </w:pPr>
      <w:r w:rsidRPr="00ED4A93">
        <w:rPr>
          <w:rFonts w:asciiTheme="minorHAnsi" w:hAnsiTheme="minorHAnsi" w:cstheme="minorHAnsi"/>
          <w:color w:val="000000"/>
          <w:sz w:val="22"/>
          <w:szCs w:val="22"/>
        </w:rPr>
        <w:t>SC prévoit une augmentation des activités de dotation et de recrutement au cours des exercices financiers 2019-2020 et 2020-2021 en raison de l’augmentation du niveau de financement pour améliorer l’accessibilité, l’abordabilité, et l’utilisation appropriée des médicaments d’ordonnance et des appareils médicaux. Le ministère veut attirer, conserver et perfectionner une main-d’œuvre talentueuse, diversifiée et représentative, et est en concurrence avec les industries scientifiques et médicales pour le même bassin de candidats.</w:t>
      </w:r>
    </w:p>
    <w:p w14:paraId="5B1BA09D" w14:textId="77777777" w:rsidR="00ED4A93" w:rsidRPr="00ED4A93" w:rsidRDefault="00ED4A93" w:rsidP="00ED4A93">
      <w:pPr>
        <w:pStyle w:val="Sansinterligne"/>
        <w:spacing w:before="120" w:after="120"/>
        <w:rPr>
          <w:rFonts w:asciiTheme="minorHAnsi" w:hAnsiTheme="minorHAnsi" w:cstheme="minorHAnsi"/>
          <w:color w:val="000000"/>
          <w:sz w:val="22"/>
          <w:szCs w:val="22"/>
        </w:rPr>
      </w:pPr>
      <w:r w:rsidRPr="00ED4A93">
        <w:rPr>
          <w:rFonts w:asciiTheme="minorHAnsi" w:hAnsiTheme="minorHAnsi" w:cstheme="minorHAnsi"/>
          <w:color w:val="000000"/>
          <w:sz w:val="22"/>
          <w:szCs w:val="22"/>
        </w:rPr>
        <w:lastRenderedPageBreak/>
        <w:t>Pour relever ce défi, il continuera de moderniser les pratiques de recrutement et les pratiques en milieu de travail afin de favoriser une plus grande efficacité. En conséquence, SC se concentrera sur la planification de la relève et continuera de veiller à ce que des bassins de candidats soient disponibles pour :</w:t>
      </w:r>
    </w:p>
    <w:p w14:paraId="4DED9C4C" w14:textId="77777777" w:rsidR="00ED4A93" w:rsidRPr="00ED4A93" w:rsidRDefault="00ED4A93" w:rsidP="00ED4A93">
      <w:pPr>
        <w:pStyle w:val="Sansinterligne"/>
        <w:numPr>
          <w:ilvl w:val="0"/>
          <w:numId w:val="9"/>
        </w:numPr>
        <w:rPr>
          <w:rFonts w:asciiTheme="minorHAnsi" w:hAnsiTheme="minorHAnsi" w:cstheme="minorHAnsi"/>
          <w:sz w:val="22"/>
          <w:szCs w:val="22"/>
        </w:rPr>
      </w:pPr>
      <w:r w:rsidRPr="00ED4A93">
        <w:rPr>
          <w:rFonts w:asciiTheme="minorHAnsi" w:hAnsiTheme="minorHAnsi" w:cstheme="minorHAnsi"/>
          <w:color w:val="000000"/>
          <w:sz w:val="22"/>
          <w:szCs w:val="22"/>
        </w:rPr>
        <w:t>les postes administratifs (AS-CR) pour lesquels il y a de nombreux postes et des mouvements fréquents; et</w:t>
      </w:r>
    </w:p>
    <w:p w14:paraId="2F91F3B7" w14:textId="77777777" w:rsidR="00ED4A93" w:rsidRPr="00ED4A93" w:rsidRDefault="00ED4A93" w:rsidP="00ED4A93">
      <w:pPr>
        <w:pStyle w:val="Sansinterligne"/>
        <w:numPr>
          <w:ilvl w:val="0"/>
          <w:numId w:val="9"/>
        </w:numPr>
        <w:rPr>
          <w:rFonts w:asciiTheme="minorHAnsi" w:hAnsiTheme="minorHAnsi" w:cstheme="minorHAnsi"/>
          <w:color w:val="000000"/>
          <w:sz w:val="22"/>
          <w:szCs w:val="22"/>
        </w:rPr>
      </w:pPr>
      <w:r w:rsidRPr="00ED4A93">
        <w:rPr>
          <w:rFonts w:asciiTheme="minorHAnsi" w:hAnsiTheme="minorHAnsi" w:cstheme="minorHAnsi"/>
          <w:color w:val="000000"/>
          <w:sz w:val="22"/>
          <w:szCs w:val="22"/>
        </w:rPr>
        <w:t>les postes très spécialisés (MD, NU, CH) pour lesquels il est difficile d’attirer des candidats.</w:t>
      </w:r>
    </w:p>
    <w:p w14:paraId="0D3F80BC" w14:textId="77777777" w:rsidR="00ED4A93" w:rsidRPr="00ED4A93" w:rsidRDefault="00ED4A93" w:rsidP="00ED4A93">
      <w:pPr>
        <w:pStyle w:val="Sansinterligne"/>
        <w:spacing w:before="120" w:after="120"/>
        <w:rPr>
          <w:rFonts w:asciiTheme="minorHAnsi" w:hAnsiTheme="minorHAnsi" w:cstheme="minorHAnsi"/>
          <w:color w:val="000000"/>
          <w:sz w:val="22"/>
          <w:szCs w:val="22"/>
        </w:rPr>
      </w:pPr>
      <w:r w:rsidRPr="00ED4A93">
        <w:rPr>
          <w:rFonts w:asciiTheme="minorHAnsi" w:hAnsiTheme="minorHAnsi" w:cstheme="minorHAnsi"/>
          <w:color w:val="000000"/>
          <w:sz w:val="22"/>
          <w:szCs w:val="22"/>
        </w:rPr>
        <w:t>Il est difficile d’obtenir à temps la confirmation du bilinguisme et la reconnaissance d’études à l’étranger lors du recrutement de ces professionnels.</w:t>
      </w:r>
    </w:p>
    <w:p w14:paraId="583A6A30" w14:textId="77777777" w:rsidR="00ED4A93" w:rsidRPr="00ED4A93" w:rsidRDefault="00ED4A93" w:rsidP="00ED4A93">
      <w:pPr>
        <w:pStyle w:val="Sansinterligne"/>
        <w:spacing w:before="120" w:after="120"/>
        <w:rPr>
          <w:rFonts w:asciiTheme="minorHAnsi" w:hAnsiTheme="minorHAnsi" w:cstheme="minorHAnsi"/>
          <w:color w:val="000000"/>
          <w:sz w:val="22"/>
          <w:szCs w:val="22"/>
        </w:rPr>
      </w:pPr>
      <w:r w:rsidRPr="00ED4A93">
        <w:rPr>
          <w:rFonts w:asciiTheme="minorHAnsi" w:hAnsiTheme="minorHAnsi" w:cstheme="minorHAnsi"/>
          <w:color w:val="000000"/>
          <w:sz w:val="22"/>
          <w:szCs w:val="22"/>
        </w:rPr>
        <w:t>SC continuera d’essayer des stratégies de recrutement afin de mettre en place un système de dotation plus rapide et plus efficace.</w:t>
      </w:r>
    </w:p>
    <w:p w14:paraId="54088EA0" w14:textId="77777777" w:rsidR="00ED4A93" w:rsidRPr="00E46C1B" w:rsidRDefault="00ED4A93" w:rsidP="00ED4A93">
      <w:pPr>
        <w:pStyle w:val="Titre2"/>
        <w:rPr>
          <w:u w:val="single"/>
        </w:rPr>
      </w:pPr>
      <w:r>
        <w:t>Expérimentation</w:t>
      </w:r>
    </w:p>
    <w:p w14:paraId="67546C23" w14:textId="77777777" w:rsidR="00ED4A93" w:rsidRPr="00ED4A93" w:rsidRDefault="00ED4A93" w:rsidP="00ED4A93">
      <w:pPr>
        <w:pStyle w:val="Sansinterligne"/>
        <w:spacing w:before="120" w:after="120"/>
        <w:rPr>
          <w:rFonts w:asciiTheme="minorHAnsi" w:hAnsiTheme="minorHAnsi" w:cstheme="minorHAnsi"/>
          <w:sz w:val="22"/>
          <w:szCs w:val="22"/>
        </w:rPr>
      </w:pPr>
      <w:r w:rsidRPr="00ED4A93">
        <w:rPr>
          <w:rFonts w:asciiTheme="minorHAnsi" w:hAnsiTheme="minorHAnsi" w:cstheme="minorHAnsi"/>
          <w:sz w:val="22"/>
          <w:szCs w:val="22"/>
        </w:rPr>
        <w:t>SC a essayé des entrevues en groupe en 2018 dans ses bureaux de la côte est, et dit pouvoir utiliser cette pratique à l’avenir pour ses processus de nomination.</w:t>
      </w:r>
    </w:p>
    <w:p w14:paraId="2CC556A7" w14:textId="77777777" w:rsidR="00ED4A93" w:rsidRPr="00ED4A93" w:rsidRDefault="00ED4A93" w:rsidP="00ED4A93">
      <w:pPr>
        <w:pStyle w:val="Sansinterligne"/>
        <w:spacing w:before="120" w:after="120"/>
        <w:rPr>
          <w:rFonts w:asciiTheme="minorHAnsi" w:hAnsiTheme="minorHAnsi" w:cstheme="minorHAnsi"/>
          <w:sz w:val="22"/>
          <w:szCs w:val="22"/>
        </w:rPr>
      </w:pPr>
      <w:r w:rsidRPr="00ED4A93">
        <w:rPr>
          <w:rFonts w:asciiTheme="minorHAnsi" w:hAnsiTheme="minorHAnsi" w:cstheme="minorHAnsi"/>
          <w:sz w:val="22"/>
          <w:szCs w:val="22"/>
        </w:rPr>
        <w:t xml:space="preserve">SC cherche à rendre ses pratiques de gestion des talents et d’évaluation du rendement plus compatibles avec les processus de dotation comme renseignements utiles pour évaluer le mérite. </w:t>
      </w:r>
    </w:p>
    <w:p w14:paraId="299A19A3" w14:textId="77777777" w:rsidR="00ED4A93" w:rsidRPr="00ED4A93" w:rsidRDefault="00ED4A93" w:rsidP="00ED4A93">
      <w:pPr>
        <w:pStyle w:val="Sansinterligne"/>
        <w:spacing w:before="120" w:after="120"/>
        <w:rPr>
          <w:rFonts w:asciiTheme="minorHAnsi" w:hAnsiTheme="minorHAnsi" w:cstheme="minorHAnsi"/>
          <w:sz w:val="22"/>
          <w:szCs w:val="22"/>
        </w:rPr>
      </w:pPr>
      <w:r w:rsidRPr="00ED4A93">
        <w:rPr>
          <w:rFonts w:asciiTheme="minorHAnsi" w:hAnsiTheme="minorHAnsi" w:cstheme="minorHAnsi"/>
          <w:sz w:val="22"/>
          <w:szCs w:val="22"/>
        </w:rPr>
        <w:t>SC mène un projet pilote appelé « Grandir » (« Growth Approach »), qui consiste à ne pas éliminer les candidats qui ne respectent pas un ou plusieurs critères de mérite. Les candidats non retenus sont simplement conservés dans un bassin partiellement évalué jusqu’à ce qu’ils puissent démontrer à un comité d’évaluation qu’ils ont acquis la compétence qui leur manquait auparavant. Les résultats sont ensuite utilisés pour aider à orienter les plans de formation et de perfectionnement des employés. Cette approche tire parti de multiples ressources d’évaluation (évaluation du rendement, échantillon de travail, etc.) et facilite l’harmonisation avec la gestion des talents des employés.</w:t>
      </w:r>
    </w:p>
    <w:p w14:paraId="17D65B4F" w14:textId="77777777" w:rsidR="00ED4A93" w:rsidRPr="00ED4A93" w:rsidRDefault="00ED4A93" w:rsidP="00ED4A93">
      <w:pPr>
        <w:pStyle w:val="Sansinterligne"/>
        <w:spacing w:before="120" w:after="120"/>
        <w:rPr>
          <w:rFonts w:asciiTheme="minorHAnsi" w:hAnsiTheme="minorHAnsi" w:cstheme="minorHAnsi"/>
          <w:sz w:val="22"/>
          <w:szCs w:val="22"/>
        </w:rPr>
      </w:pPr>
      <w:r w:rsidRPr="00ED4A93">
        <w:rPr>
          <w:rFonts w:asciiTheme="minorHAnsi" w:hAnsiTheme="minorHAnsi" w:cstheme="minorHAnsi"/>
          <w:sz w:val="22"/>
          <w:szCs w:val="22"/>
        </w:rPr>
        <w:t>Pour l’embauche de médecins (groupe MD), SC a adapté son approche d’annonce. Le ministère demande maintenant simplement aux candidats de soumettre leur curriculum vitae, et le responsable de l’embauche communique avec eux pour leur demander tout renseignement supplémentaire pertinent. Ce processus de postulation simplifié, combiné avec des stratégies de sensibilisation personnalisées utilisant les médias sociaux et d’autres forums, a permis d’augmenter le nombre de candidats pour le groupe MD. Cette approche a été un succès, car elle recrute plus de candidats que les anciennes méthodes traditionnelles.</w:t>
      </w:r>
    </w:p>
    <w:p w14:paraId="22DF03B6" w14:textId="77777777" w:rsidR="0094261A" w:rsidRDefault="0094261A">
      <w:pPr>
        <w:spacing w:after="160" w:line="259" w:lineRule="auto"/>
        <w:rPr>
          <w:rFonts w:asciiTheme="majorHAnsi" w:eastAsiaTheme="majorEastAsia" w:hAnsiTheme="majorHAnsi" w:cstheme="majorBidi"/>
          <w:sz w:val="48"/>
          <w:szCs w:val="48"/>
        </w:rPr>
      </w:pPr>
      <w:r>
        <w:br w:type="page"/>
      </w:r>
    </w:p>
    <w:p w14:paraId="1579980E" w14:textId="4EF18743" w:rsidR="00ED4A93" w:rsidRPr="00ED4A93" w:rsidRDefault="00ED4A93" w:rsidP="00ED4A93">
      <w:pPr>
        <w:pStyle w:val="Titre1"/>
      </w:pPr>
      <w:r w:rsidRPr="00ED4A93">
        <w:lastRenderedPageBreak/>
        <w:t>Effectif et activités de dotation</w:t>
      </w:r>
    </w:p>
    <w:p w14:paraId="74CB06F5" w14:textId="77777777" w:rsidR="00ED4A93" w:rsidRPr="00E46C1B" w:rsidRDefault="00ED4A93" w:rsidP="00ED4A93">
      <w:pPr>
        <w:pStyle w:val="Titre2"/>
        <w:rPr>
          <w:u w:val="single"/>
        </w:rPr>
      </w:pPr>
      <w:r>
        <w:t>Effectif</w:t>
      </w:r>
    </w:p>
    <w:p w14:paraId="58C73D29" w14:textId="77777777" w:rsidR="005408A9" w:rsidRDefault="00ED4A93" w:rsidP="00ED4A93">
      <w:pPr>
        <w:pStyle w:val="Sansinterligne"/>
        <w:spacing w:before="120" w:after="120"/>
        <w:rPr>
          <w:rFonts w:ascii="Arial" w:hAnsi="Arial"/>
          <w:color w:val="000000"/>
          <w:sz w:val="22"/>
          <w:szCs w:val="22"/>
        </w:rPr>
      </w:pPr>
      <w:r>
        <w:rPr>
          <w:rFonts w:ascii="Arial" w:hAnsi="Arial"/>
          <w:color w:val="000000"/>
          <w:sz w:val="22"/>
          <w:szCs w:val="22"/>
        </w:rPr>
        <w:t xml:space="preserve">SC est un grand ministère comptant 10 850 employés en date du 31 mars 2019. </w:t>
      </w:r>
    </w:p>
    <w:p w14:paraId="25F498A5" w14:textId="07285960" w:rsidR="00ED4A93" w:rsidRPr="00E46C1B" w:rsidRDefault="0094261A" w:rsidP="00ED4A93">
      <w:pPr>
        <w:pStyle w:val="Titre2"/>
        <w:rPr>
          <w:u w:val="single"/>
        </w:rPr>
      </w:pPr>
      <w:r>
        <w:t>A</w:t>
      </w:r>
      <w:r w:rsidR="00ED4A93">
        <w:t>ctivités de dotation</w:t>
      </w:r>
    </w:p>
    <w:p w14:paraId="3390B800" w14:textId="77777777" w:rsidR="00ED4A93" w:rsidRPr="00ED4A93" w:rsidRDefault="00ED4A93" w:rsidP="0094261A">
      <w:pPr>
        <w:rPr>
          <w:rFonts w:asciiTheme="minorHAnsi" w:hAnsiTheme="minorHAnsi" w:cstheme="minorHAnsi"/>
          <w:color w:val="000000"/>
          <w:sz w:val="22"/>
          <w:szCs w:val="22"/>
        </w:rPr>
      </w:pPr>
      <w:r w:rsidRPr="00ED4A93">
        <w:rPr>
          <w:rFonts w:asciiTheme="minorHAnsi" w:hAnsiTheme="minorHAnsi" w:cstheme="minorHAnsi"/>
          <w:color w:val="000000"/>
          <w:sz w:val="22"/>
          <w:szCs w:val="22"/>
        </w:rPr>
        <w:t>Durant 2018-2019, SC a traité au total 6 359 mesures de dotation :</w:t>
      </w:r>
    </w:p>
    <w:p w14:paraId="51EFAB78" w14:textId="77777777" w:rsidR="00ED4A93" w:rsidRPr="00ED4A93" w:rsidRDefault="00ED4A93" w:rsidP="00ED4A93">
      <w:pPr>
        <w:numPr>
          <w:ilvl w:val="0"/>
          <w:numId w:val="5"/>
        </w:numPr>
        <w:rPr>
          <w:rFonts w:asciiTheme="minorHAnsi" w:hAnsiTheme="minorHAnsi" w:cstheme="minorHAnsi"/>
          <w:color w:val="000000"/>
          <w:sz w:val="22"/>
          <w:szCs w:val="22"/>
        </w:rPr>
      </w:pPr>
      <w:r w:rsidRPr="00ED4A93">
        <w:rPr>
          <w:rFonts w:asciiTheme="minorHAnsi" w:hAnsiTheme="minorHAnsi" w:cstheme="minorHAnsi"/>
          <w:color w:val="000000"/>
          <w:sz w:val="22"/>
          <w:szCs w:val="22"/>
        </w:rPr>
        <w:t xml:space="preserve">2 783 nominations à la fonction publique (y compris les employés occasionnels et les étudiants); </w:t>
      </w:r>
    </w:p>
    <w:p w14:paraId="729201C4" w14:textId="77777777" w:rsidR="00ED4A93" w:rsidRPr="00ED4A93" w:rsidRDefault="00ED4A93" w:rsidP="00ED4A93">
      <w:pPr>
        <w:numPr>
          <w:ilvl w:val="0"/>
          <w:numId w:val="5"/>
        </w:numPr>
        <w:rPr>
          <w:rFonts w:asciiTheme="minorHAnsi" w:hAnsiTheme="minorHAnsi" w:cstheme="minorHAnsi"/>
          <w:color w:val="000000"/>
          <w:sz w:val="22"/>
          <w:szCs w:val="22"/>
        </w:rPr>
      </w:pPr>
      <w:r w:rsidRPr="00ED4A93">
        <w:rPr>
          <w:rFonts w:asciiTheme="minorHAnsi" w:hAnsiTheme="minorHAnsi" w:cstheme="minorHAnsi"/>
          <w:color w:val="000000"/>
          <w:sz w:val="22"/>
          <w:szCs w:val="22"/>
        </w:rPr>
        <w:t>1 356 promotions;</w:t>
      </w:r>
    </w:p>
    <w:p w14:paraId="665AC0F9" w14:textId="77777777" w:rsidR="00ED4A93" w:rsidRPr="00ED4A93" w:rsidRDefault="00ED4A93" w:rsidP="00ED4A93">
      <w:pPr>
        <w:numPr>
          <w:ilvl w:val="0"/>
          <w:numId w:val="5"/>
        </w:numPr>
        <w:rPr>
          <w:rFonts w:asciiTheme="minorHAnsi" w:hAnsiTheme="minorHAnsi" w:cstheme="minorHAnsi"/>
          <w:color w:val="000000"/>
          <w:sz w:val="22"/>
          <w:szCs w:val="22"/>
        </w:rPr>
      </w:pPr>
      <w:r w:rsidRPr="00ED4A93">
        <w:rPr>
          <w:rFonts w:asciiTheme="minorHAnsi" w:hAnsiTheme="minorHAnsi" w:cstheme="minorHAnsi"/>
          <w:color w:val="000000"/>
          <w:sz w:val="22"/>
          <w:szCs w:val="22"/>
        </w:rPr>
        <w:t>797 nominations intérimaires; et</w:t>
      </w:r>
    </w:p>
    <w:p w14:paraId="42AA0B90" w14:textId="77777777" w:rsidR="00ED4A93" w:rsidRPr="00ED4A93" w:rsidRDefault="00ED4A93" w:rsidP="00ED4A93">
      <w:pPr>
        <w:numPr>
          <w:ilvl w:val="0"/>
          <w:numId w:val="5"/>
        </w:numPr>
        <w:rPr>
          <w:rFonts w:asciiTheme="minorHAnsi" w:hAnsiTheme="minorHAnsi" w:cstheme="minorHAnsi"/>
          <w:color w:val="000000"/>
          <w:sz w:val="22"/>
          <w:szCs w:val="22"/>
        </w:rPr>
      </w:pPr>
      <w:r w:rsidRPr="00ED4A93">
        <w:rPr>
          <w:rFonts w:asciiTheme="minorHAnsi" w:hAnsiTheme="minorHAnsi" w:cstheme="minorHAnsi"/>
          <w:color w:val="000000"/>
          <w:sz w:val="22"/>
          <w:szCs w:val="22"/>
        </w:rPr>
        <w:t xml:space="preserve">1 423 mutations latérales et descendantes </w:t>
      </w:r>
    </w:p>
    <w:p w14:paraId="108A7DDD" w14:textId="77777777" w:rsidR="00ED4A93" w:rsidRPr="00ED4A93" w:rsidRDefault="00ED4A93" w:rsidP="0094261A">
      <w:pPr>
        <w:rPr>
          <w:rFonts w:asciiTheme="minorHAnsi" w:hAnsiTheme="minorHAnsi" w:cstheme="minorHAnsi"/>
          <w:color w:val="000000"/>
          <w:sz w:val="22"/>
          <w:szCs w:val="22"/>
        </w:rPr>
      </w:pPr>
      <w:r w:rsidRPr="00ED4A93">
        <w:rPr>
          <w:rFonts w:asciiTheme="minorHAnsi" w:hAnsiTheme="minorHAnsi" w:cstheme="minorHAnsi"/>
          <w:color w:val="000000"/>
          <w:sz w:val="22"/>
          <w:szCs w:val="22"/>
        </w:rPr>
        <w:t>Durée des affectations :</w:t>
      </w:r>
    </w:p>
    <w:p w14:paraId="2C0B4600" w14:textId="77777777" w:rsidR="00ED4A93" w:rsidRPr="00ED4A93" w:rsidRDefault="00ED4A93" w:rsidP="00ED4A93">
      <w:pPr>
        <w:numPr>
          <w:ilvl w:val="0"/>
          <w:numId w:val="5"/>
        </w:numPr>
        <w:rPr>
          <w:rFonts w:asciiTheme="minorHAnsi" w:hAnsiTheme="minorHAnsi" w:cstheme="minorHAnsi"/>
          <w:color w:val="000000"/>
          <w:sz w:val="22"/>
          <w:szCs w:val="22"/>
        </w:rPr>
      </w:pPr>
      <w:r w:rsidRPr="00ED4A93">
        <w:rPr>
          <w:rFonts w:asciiTheme="minorHAnsi" w:hAnsiTheme="minorHAnsi" w:cstheme="minorHAnsi"/>
          <w:color w:val="000000"/>
          <w:sz w:val="22"/>
          <w:szCs w:val="22"/>
        </w:rPr>
        <w:t>4 068 personnes nommées pour une période indéterminée;</w:t>
      </w:r>
    </w:p>
    <w:p w14:paraId="4789491D" w14:textId="77777777" w:rsidR="00ED4A93" w:rsidRPr="00ED4A93" w:rsidRDefault="00ED4A93" w:rsidP="00ED4A93">
      <w:pPr>
        <w:numPr>
          <w:ilvl w:val="0"/>
          <w:numId w:val="5"/>
        </w:numPr>
        <w:rPr>
          <w:rFonts w:asciiTheme="minorHAnsi" w:hAnsiTheme="minorHAnsi" w:cstheme="minorHAnsi"/>
          <w:color w:val="000000"/>
          <w:sz w:val="22"/>
          <w:szCs w:val="22"/>
        </w:rPr>
      </w:pPr>
      <w:r w:rsidRPr="00ED4A93">
        <w:rPr>
          <w:rFonts w:asciiTheme="minorHAnsi" w:hAnsiTheme="minorHAnsi" w:cstheme="minorHAnsi"/>
          <w:color w:val="000000"/>
          <w:sz w:val="22"/>
          <w:szCs w:val="22"/>
        </w:rPr>
        <w:t>809 personnes nommées pour une période déterminée;</w:t>
      </w:r>
    </w:p>
    <w:p w14:paraId="78C6B293" w14:textId="77777777" w:rsidR="00ED4A93" w:rsidRPr="00ED4A93" w:rsidRDefault="00ED4A93" w:rsidP="00ED4A93">
      <w:pPr>
        <w:numPr>
          <w:ilvl w:val="0"/>
          <w:numId w:val="5"/>
        </w:numPr>
        <w:rPr>
          <w:rFonts w:asciiTheme="minorHAnsi" w:hAnsiTheme="minorHAnsi" w:cstheme="minorHAnsi"/>
          <w:color w:val="000000"/>
          <w:sz w:val="22"/>
          <w:szCs w:val="22"/>
        </w:rPr>
      </w:pPr>
      <w:r w:rsidRPr="00ED4A93">
        <w:rPr>
          <w:rFonts w:asciiTheme="minorHAnsi" w:hAnsiTheme="minorHAnsi" w:cstheme="minorHAnsi"/>
          <w:color w:val="000000"/>
          <w:sz w:val="22"/>
          <w:szCs w:val="22"/>
        </w:rPr>
        <w:t>804 employés occasionnels;</w:t>
      </w:r>
    </w:p>
    <w:p w14:paraId="79BDB7D2" w14:textId="77777777" w:rsidR="00ED4A93" w:rsidRPr="00ED4A93" w:rsidRDefault="00ED4A93" w:rsidP="00ED4A93">
      <w:pPr>
        <w:numPr>
          <w:ilvl w:val="0"/>
          <w:numId w:val="5"/>
        </w:numPr>
        <w:rPr>
          <w:rFonts w:asciiTheme="minorHAnsi" w:hAnsiTheme="minorHAnsi" w:cstheme="minorHAnsi"/>
          <w:color w:val="000000"/>
          <w:sz w:val="22"/>
          <w:szCs w:val="22"/>
        </w:rPr>
      </w:pPr>
      <w:r w:rsidRPr="00ED4A93">
        <w:rPr>
          <w:rFonts w:asciiTheme="minorHAnsi" w:hAnsiTheme="minorHAnsi" w:cstheme="minorHAnsi"/>
          <w:color w:val="000000"/>
          <w:sz w:val="22"/>
          <w:szCs w:val="22"/>
        </w:rPr>
        <w:t xml:space="preserve">678 étudiants. </w:t>
      </w:r>
    </w:p>
    <w:p w14:paraId="7E41EE65" w14:textId="1A5F6E3A" w:rsidR="00ED4A93" w:rsidRPr="00ED4A93" w:rsidRDefault="00ED4A93" w:rsidP="00ED4A93">
      <w:pPr>
        <w:spacing w:before="120" w:after="120"/>
        <w:rPr>
          <w:rFonts w:asciiTheme="minorHAnsi" w:hAnsiTheme="minorHAnsi" w:cstheme="minorHAnsi"/>
          <w:color w:val="000000"/>
          <w:sz w:val="22"/>
          <w:szCs w:val="22"/>
        </w:rPr>
      </w:pPr>
      <w:r w:rsidRPr="00ED4A93">
        <w:rPr>
          <w:rFonts w:asciiTheme="minorHAnsi" w:hAnsiTheme="minorHAnsi" w:cstheme="minorHAnsi"/>
          <w:color w:val="000000"/>
          <w:sz w:val="22"/>
          <w:szCs w:val="22"/>
        </w:rPr>
        <w:t xml:space="preserve">Veuillez consulter </w:t>
      </w:r>
      <w:hyperlink w:anchor="AnnexeB" w:history="1">
        <w:r w:rsidRPr="008F04B0">
          <w:rPr>
            <w:rStyle w:val="Lienhypertexte"/>
            <w:rFonts w:asciiTheme="minorHAnsi" w:hAnsiTheme="minorHAnsi" w:cstheme="minorHAnsi"/>
            <w:sz w:val="22"/>
            <w:szCs w:val="22"/>
          </w:rPr>
          <w:t>l’</w:t>
        </w:r>
        <w:r w:rsidR="009B27F6" w:rsidRPr="008F04B0">
          <w:rPr>
            <w:rStyle w:val="Lienhypertexte"/>
            <w:rFonts w:asciiTheme="minorHAnsi" w:hAnsiTheme="minorHAnsi" w:cstheme="minorHAnsi"/>
            <w:sz w:val="22"/>
            <w:szCs w:val="22"/>
          </w:rPr>
          <w:t>annexe B</w:t>
        </w:r>
      </w:hyperlink>
      <w:r w:rsidRPr="00ED4A93">
        <w:rPr>
          <w:rFonts w:asciiTheme="minorHAnsi" w:hAnsiTheme="minorHAnsi" w:cstheme="minorHAnsi"/>
          <w:color w:val="000000"/>
          <w:sz w:val="22"/>
          <w:szCs w:val="22"/>
        </w:rPr>
        <w:t xml:space="preserve"> pour plus de détails</w:t>
      </w:r>
      <w:r w:rsidR="00DD44B5">
        <w:rPr>
          <w:rFonts w:asciiTheme="minorHAnsi" w:hAnsiTheme="minorHAnsi" w:cstheme="minorHAnsi"/>
          <w:color w:val="000000"/>
          <w:sz w:val="22"/>
          <w:szCs w:val="22"/>
        </w:rPr>
        <w:t xml:space="preserve"> sur les activités de dotation</w:t>
      </w:r>
      <w:r w:rsidRPr="00ED4A93">
        <w:rPr>
          <w:rFonts w:asciiTheme="minorHAnsi" w:hAnsiTheme="minorHAnsi" w:cstheme="minorHAnsi"/>
          <w:color w:val="000000"/>
          <w:sz w:val="22"/>
          <w:szCs w:val="22"/>
        </w:rPr>
        <w:t>.</w:t>
      </w:r>
    </w:p>
    <w:p w14:paraId="42638351" w14:textId="4EE69D26" w:rsidR="00ED4A93" w:rsidRPr="00ED4A93" w:rsidRDefault="009A349E" w:rsidP="00ED4A93">
      <w:pPr>
        <w:pStyle w:val="Titre1"/>
      </w:pPr>
      <w:r>
        <w:t>Durée des processus de dotation</w:t>
      </w:r>
    </w:p>
    <w:p w14:paraId="7EB1802E" w14:textId="1ACF9133" w:rsidR="00ED4A93" w:rsidRPr="00ED4A93" w:rsidRDefault="009A349E" w:rsidP="00ED4A93">
      <w:pPr>
        <w:pStyle w:val="Sansinterligne"/>
        <w:spacing w:before="120" w:after="120"/>
        <w:rPr>
          <w:rFonts w:asciiTheme="minorHAnsi" w:hAnsiTheme="minorHAnsi" w:cstheme="minorHAnsi"/>
          <w:sz w:val="22"/>
          <w:szCs w:val="22"/>
        </w:rPr>
      </w:pPr>
      <w:r>
        <w:rPr>
          <w:rFonts w:asciiTheme="minorHAnsi" w:hAnsiTheme="minorHAnsi" w:cstheme="minorHAnsi"/>
          <w:sz w:val="22"/>
          <w:szCs w:val="22"/>
        </w:rPr>
        <w:t>La durée</w:t>
      </w:r>
      <w:r w:rsidR="00ED4A93" w:rsidRPr="00ED4A93">
        <w:rPr>
          <w:rFonts w:asciiTheme="minorHAnsi" w:hAnsiTheme="minorHAnsi" w:cstheme="minorHAnsi"/>
          <w:sz w:val="22"/>
          <w:szCs w:val="22"/>
        </w:rPr>
        <w:t xml:space="preserve"> médian</w:t>
      </w:r>
      <w:r>
        <w:rPr>
          <w:rFonts w:asciiTheme="minorHAnsi" w:hAnsiTheme="minorHAnsi" w:cstheme="minorHAnsi"/>
          <w:sz w:val="22"/>
          <w:szCs w:val="22"/>
        </w:rPr>
        <w:t>e</w:t>
      </w:r>
      <w:r w:rsidR="00ED4A93" w:rsidRPr="00ED4A93">
        <w:rPr>
          <w:rFonts w:asciiTheme="minorHAnsi" w:hAnsiTheme="minorHAnsi" w:cstheme="minorHAnsi"/>
          <w:sz w:val="22"/>
          <w:szCs w:val="22"/>
        </w:rPr>
        <w:t xml:space="preserve"> de</w:t>
      </w:r>
      <w:r>
        <w:rPr>
          <w:rFonts w:asciiTheme="minorHAnsi" w:hAnsiTheme="minorHAnsi" w:cstheme="minorHAnsi"/>
          <w:sz w:val="22"/>
          <w:szCs w:val="22"/>
        </w:rPr>
        <w:t>s processus de</w:t>
      </w:r>
      <w:r w:rsidR="00ED4A93" w:rsidRPr="00ED4A93">
        <w:rPr>
          <w:rFonts w:asciiTheme="minorHAnsi" w:hAnsiTheme="minorHAnsi" w:cstheme="minorHAnsi"/>
          <w:sz w:val="22"/>
          <w:szCs w:val="22"/>
        </w:rPr>
        <w:t xml:space="preserve"> dotation de Santé Canada est de 201 jours pour les </w:t>
      </w:r>
      <w:r w:rsidR="00F3749E">
        <w:rPr>
          <w:rFonts w:asciiTheme="minorHAnsi" w:hAnsiTheme="minorHAnsi" w:cstheme="minorHAnsi"/>
          <w:sz w:val="22"/>
          <w:szCs w:val="22"/>
        </w:rPr>
        <w:t xml:space="preserve">processus de </w:t>
      </w:r>
      <w:r w:rsidR="00ED4A93" w:rsidRPr="00ED4A93">
        <w:rPr>
          <w:rFonts w:asciiTheme="minorHAnsi" w:hAnsiTheme="minorHAnsi" w:cstheme="minorHAnsi"/>
          <w:sz w:val="22"/>
          <w:szCs w:val="22"/>
        </w:rPr>
        <w:t xml:space="preserve">nominations internes, ce qui est supérieur à celui de la fonction publique, qui est 176 jours. </w:t>
      </w:r>
    </w:p>
    <w:p w14:paraId="7A8F6908" w14:textId="67D6F08A" w:rsidR="00ED4A93" w:rsidRPr="00ED4A93" w:rsidRDefault="00F3749E" w:rsidP="00ED4A93">
      <w:pPr>
        <w:pStyle w:val="Sansinterligne"/>
        <w:spacing w:before="120" w:after="120"/>
        <w:rPr>
          <w:rFonts w:asciiTheme="minorHAnsi" w:hAnsiTheme="minorHAnsi" w:cstheme="minorHAnsi"/>
          <w:sz w:val="22"/>
          <w:szCs w:val="22"/>
        </w:rPr>
      </w:pPr>
      <w:r>
        <w:rPr>
          <w:rFonts w:asciiTheme="minorHAnsi" w:hAnsiTheme="minorHAnsi" w:cstheme="minorHAnsi"/>
          <w:sz w:val="22"/>
          <w:szCs w:val="22"/>
        </w:rPr>
        <w:t>La durée</w:t>
      </w:r>
      <w:r w:rsidR="00ED4A93" w:rsidRPr="00ED4A93">
        <w:rPr>
          <w:rFonts w:asciiTheme="minorHAnsi" w:hAnsiTheme="minorHAnsi" w:cstheme="minorHAnsi"/>
          <w:sz w:val="22"/>
          <w:szCs w:val="22"/>
        </w:rPr>
        <w:t xml:space="preserve"> médian</w:t>
      </w:r>
      <w:r>
        <w:rPr>
          <w:rFonts w:asciiTheme="minorHAnsi" w:hAnsiTheme="minorHAnsi" w:cstheme="minorHAnsi"/>
          <w:sz w:val="22"/>
          <w:szCs w:val="22"/>
        </w:rPr>
        <w:t>e</w:t>
      </w:r>
      <w:r w:rsidR="00ED4A93" w:rsidRPr="00ED4A93">
        <w:rPr>
          <w:rFonts w:asciiTheme="minorHAnsi" w:hAnsiTheme="minorHAnsi" w:cstheme="minorHAnsi"/>
          <w:sz w:val="22"/>
          <w:szCs w:val="22"/>
        </w:rPr>
        <w:t xml:space="preserve"> de</w:t>
      </w:r>
      <w:r>
        <w:rPr>
          <w:rFonts w:asciiTheme="minorHAnsi" w:hAnsiTheme="minorHAnsi" w:cstheme="minorHAnsi"/>
          <w:sz w:val="22"/>
          <w:szCs w:val="22"/>
        </w:rPr>
        <w:t>s</w:t>
      </w:r>
      <w:r w:rsidR="00ED4A93" w:rsidRPr="00ED4A93">
        <w:rPr>
          <w:rFonts w:asciiTheme="minorHAnsi" w:hAnsiTheme="minorHAnsi" w:cstheme="minorHAnsi"/>
          <w:sz w:val="22"/>
          <w:szCs w:val="22"/>
        </w:rPr>
        <w:t xml:space="preserve"> </w:t>
      </w:r>
      <w:r>
        <w:rPr>
          <w:rFonts w:asciiTheme="minorHAnsi" w:hAnsiTheme="minorHAnsi" w:cstheme="minorHAnsi"/>
          <w:sz w:val="22"/>
          <w:szCs w:val="22"/>
        </w:rPr>
        <w:t xml:space="preserve">processus de </w:t>
      </w:r>
      <w:r w:rsidR="00ED4A93" w:rsidRPr="00ED4A93">
        <w:rPr>
          <w:rFonts w:asciiTheme="minorHAnsi" w:hAnsiTheme="minorHAnsi" w:cstheme="minorHAnsi"/>
          <w:sz w:val="22"/>
          <w:szCs w:val="22"/>
        </w:rPr>
        <w:t xml:space="preserve">dotation de SC est de 193 jours pour les nominations externes, ce qui est supérieur à celui de la fonction publique, qui est 186 jours. </w:t>
      </w:r>
    </w:p>
    <w:p w14:paraId="6ABD4FB7" w14:textId="77777777" w:rsidR="00ED4A93" w:rsidRPr="00ED4A93" w:rsidRDefault="00ED4A93" w:rsidP="00ED4A93">
      <w:pPr>
        <w:pStyle w:val="Sansinterligne"/>
        <w:spacing w:before="120" w:after="120"/>
        <w:rPr>
          <w:rFonts w:asciiTheme="minorHAnsi" w:hAnsiTheme="minorHAnsi" w:cstheme="minorHAnsi"/>
          <w:sz w:val="22"/>
          <w:szCs w:val="22"/>
        </w:rPr>
      </w:pPr>
      <w:r w:rsidRPr="00ED4A93">
        <w:rPr>
          <w:rFonts w:asciiTheme="minorHAnsi" w:hAnsiTheme="minorHAnsi" w:cstheme="minorHAnsi"/>
          <w:sz w:val="22"/>
          <w:szCs w:val="22"/>
        </w:rPr>
        <w:t>Dans le cadre de l’initiative de paiement à temps des RH, SC a mis en place divers outils et processus pour aider à améliorer la rapidité globale de la dotation.</w:t>
      </w:r>
    </w:p>
    <w:p w14:paraId="78A3F2F9" w14:textId="77777777" w:rsidR="00ED4A93" w:rsidRPr="00ED4A93" w:rsidRDefault="00ED4A93" w:rsidP="00ED4A93">
      <w:pPr>
        <w:pStyle w:val="Titre1"/>
      </w:pPr>
      <w:r w:rsidRPr="00ED4A93">
        <w:t>Cadre de dotation</w:t>
      </w:r>
    </w:p>
    <w:p w14:paraId="44AD277A" w14:textId="77777777" w:rsidR="00ED4A93" w:rsidRPr="00E46C1B" w:rsidRDefault="00ED4A93" w:rsidP="00ED4A93">
      <w:pPr>
        <w:pStyle w:val="Titre2"/>
      </w:pPr>
      <w:r>
        <w:t>Mise en œuvre de la Nouvelle orientation en dotation</w:t>
      </w:r>
    </w:p>
    <w:p w14:paraId="146E8FA0" w14:textId="77777777" w:rsidR="005408A9" w:rsidRDefault="00ED4A93" w:rsidP="00ED4A93">
      <w:pPr>
        <w:pStyle w:val="NormalWeb"/>
        <w:spacing w:before="120" w:beforeAutospacing="0" w:after="120" w:afterAutospacing="0"/>
        <w:rPr>
          <w:rFonts w:asciiTheme="minorHAnsi" w:hAnsiTheme="minorHAnsi" w:cstheme="minorHAnsi"/>
          <w:color w:val="000000"/>
          <w:sz w:val="22"/>
          <w:szCs w:val="22"/>
        </w:rPr>
        <w:sectPr w:rsidR="005408A9" w:rsidSect="005408A9">
          <w:headerReference w:type="default" r:id="rId8"/>
          <w:footerReference w:type="default" r:id="rId9"/>
          <w:footerReference w:type="first" r:id="rId10"/>
          <w:pgSz w:w="12240" w:h="15840"/>
          <w:pgMar w:top="1440" w:right="1077" w:bottom="1440" w:left="1077" w:header="709" w:footer="284" w:gutter="0"/>
          <w:cols w:space="708"/>
          <w:titlePg/>
          <w:docGrid w:linePitch="360"/>
        </w:sectPr>
      </w:pPr>
      <w:r w:rsidRPr="00ED4A93">
        <w:rPr>
          <w:rFonts w:asciiTheme="minorHAnsi" w:hAnsiTheme="minorHAnsi" w:cstheme="minorHAnsi"/>
          <w:color w:val="000000"/>
          <w:sz w:val="22"/>
          <w:szCs w:val="22"/>
        </w:rPr>
        <w:t>En février 2019, à la demande du ministère, la Commission de la fonction publique (CFP) a réexaminé les instruments de subdélégation de SC. SC a mis à jour son cadre de dotation (politique sur la zone de sélection, directives sur l’utilisation des nominations annoncées et non annoncées, formulation de la décision de sélection et instrument de subdélégation) à la suite des observations découlant de cet examen. Le cadre mis à jour a depuis été approuvé par l’AG.</w:t>
      </w:r>
    </w:p>
    <w:p w14:paraId="70D65C6C" w14:textId="77777777" w:rsidR="00ED4A93" w:rsidRPr="00ED4A93" w:rsidRDefault="00ED4A93" w:rsidP="00447167">
      <w:pPr>
        <w:pStyle w:val="Titre1"/>
        <w:spacing w:before="120" w:after="120"/>
      </w:pPr>
      <w:r w:rsidRPr="00ED4A93">
        <w:lastRenderedPageBreak/>
        <w:t>Instrument de délégation et de responsabilisation en matière de nomination, Annexe D, production de rapports</w:t>
      </w:r>
    </w:p>
    <w:p w14:paraId="6AA49EE2" w14:textId="77777777" w:rsidR="00ED4A93" w:rsidRPr="00E46C1B" w:rsidRDefault="00ED4A93" w:rsidP="00ED4A93">
      <w:pPr>
        <w:pStyle w:val="Titre2"/>
      </w:pPr>
      <w:r>
        <w:t>Utilisation du Décret d’exemption concernant les langues officielles dans la fonction publique et du Règlement sur les langues officielles – Nominations dans la fonction publique</w:t>
      </w:r>
    </w:p>
    <w:p w14:paraId="4870237C" w14:textId="77777777" w:rsidR="00ED4A93" w:rsidRPr="009B27F6" w:rsidRDefault="00ED4A93" w:rsidP="00ED4A93">
      <w:pPr>
        <w:pStyle w:val="Sansinterligne"/>
        <w:spacing w:before="120" w:after="120"/>
        <w:rPr>
          <w:rStyle w:val="Accentuation"/>
        </w:rPr>
      </w:pPr>
      <w:r w:rsidRPr="00ED4A93">
        <w:rPr>
          <w:rFonts w:asciiTheme="minorHAnsi" w:hAnsiTheme="minorHAnsi" w:cstheme="minorHAnsi"/>
          <w:color w:val="222222"/>
          <w:sz w:val="22"/>
          <w:szCs w:val="22"/>
        </w:rPr>
        <w:t xml:space="preserve">SC a signalé que le ministère n’a pas utilisé le </w:t>
      </w:r>
      <w:r w:rsidRPr="009B27F6">
        <w:rPr>
          <w:rStyle w:val="Accentuation"/>
        </w:rPr>
        <w:t xml:space="preserve">Décret d’exemption concernant les langues officielles dans la fonction publique. </w:t>
      </w:r>
    </w:p>
    <w:p w14:paraId="110E2EA8" w14:textId="77777777" w:rsidR="00ED4A93" w:rsidRPr="00ED4A93" w:rsidRDefault="00ED4A93" w:rsidP="00ED4A93">
      <w:pPr>
        <w:pStyle w:val="Sansinterligne"/>
        <w:spacing w:before="120" w:after="120"/>
        <w:rPr>
          <w:rFonts w:asciiTheme="minorHAnsi" w:hAnsiTheme="minorHAnsi" w:cstheme="minorHAnsi"/>
          <w:color w:val="222222"/>
          <w:sz w:val="22"/>
          <w:szCs w:val="22"/>
        </w:rPr>
      </w:pPr>
      <w:r w:rsidRPr="00ED4A93">
        <w:rPr>
          <w:rFonts w:asciiTheme="minorHAnsi" w:hAnsiTheme="minorHAnsi" w:cstheme="minorHAnsi"/>
          <w:color w:val="222222"/>
          <w:sz w:val="22"/>
          <w:szCs w:val="22"/>
        </w:rPr>
        <w:t xml:space="preserve">Il a signalé deux cas actifs en vertu du </w:t>
      </w:r>
      <w:r w:rsidRPr="00ED4A93">
        <w:rPr>
          <w:rStyle w:val="Accentuation"/>
        </w:rPr>
        <w:t>Règlement sur les langues officielles – Nominations dans la fonction publique</w:t>
      </w:r>
      <w:r w:rsidRPr="00ED4A93">
        <w:rPr>
          <w:rFonts w:asciiTheme="minorHAnsi" w:hAnsiTheme="minorHAnsi" w:cstheme="minorHAnsi"/>
          <w:color w:val="222222"/>
          <w:sz w:val="22"/>
          <w:szCs w:val="22"/>
        </w:rPr>
        <w:t xml:space="preserve"> pour la période du 1</w:t>
      </w:r>
      <w:r w:rsidRPr="00ED4A93">
        <w:rPr>
          <w:rFonts w:asciiTheme="minorHAnsi" w:hAnsiTheme="minorHAnsi" w:cstheme="minorHAnsi"/>
          <w:color w:val="222222"/>
          <w:sz w:val="22"/>
          <w:szCs w:val="22"/>
          <w:vertAlign w:val="superscript"/>
        </w:rPr>
        <w:t>er</w:t>
      </w:r>
      <w:r w:rsidRPr="00ED4A93">
        <w:rPr>
          <w:rFonts w:asciiTheme="minorHAnsi" w:hAnsiTheme="minorHAnsi" w:cstheme="minorHAnsi"/>
          <w:color w:val="222222"/>
          <w:sz w:val="22"/>
          <w:szCs w:val="22"/>
        </w:rPr>
        <w:t> avril 2018 au 31 mars 2019. Les deux personnes ont depuis terminé leur formation avec succès. Le ministère n’a aucun cas en suspens.</w:t>
      </w:r>
    </w:p>
    <w:p w14:paraId="68209801" w14:textId="77777777" w:rsidR="00ED4A93" w:rsidRPr="00E46C1B" w:rsidRDefault="00ED4A93" w:rsidP="00ED4A93">
      <w:pPr>
        <w:pStyle w:val="Titre2"/>
      </w:pPr>
      <w:r>
        <w:t>Exceptions approuvées par les administrateurs généraux à l’exigence d’avoir une zone nationale de sélection pour les processus de nominations externes annoncées</w:t>
      </w:r>
    </w:p>
    <w:p w14:paraId="45744850" w14:textId="77777777" w:rsidR="00ED4A93" w:rsidRPr="00ED4A93" w:rsidRDefault="00ED4A93" w:rsidP="00ED4A93">
      <w:pPr>
        <w:pStyle w:val="Sansinterligne"/>
        <w:spacing w:before="120" w:after="120"/>
        <w:rPr>
          <w:rFonts w:asciiTheme="minorHAnsi" w:hAnsiTheme="minorHAnsi" w:cstheme="minorHAnsi"/>
          <w:color w:val="000000"/>
          <w:sz w:val="22"/>
          <w:szCs w:val="22"/>
        </w:rPr>
      </w:pPr>
      <w:r w:rsidRPr="00ED4A93">
        <w:rPr>
          <w:rFonts w:asciiTheme="minorHAnsi" w:hAnsiTheme="minorHAnsi" w:cstheme="minorHAnsi"/>
          <w:color w:val="000000"/>
          <w:sz w:val="22"/>
          <w:szCs w:val="22"/>
        </w:rPr>
        <w:t>SC n’a signalé aucune exception à la zone nationale de sélection approuvée par son AG.</w:t>
      </w:r>
    </w:p>
    <w:p w14:paraId="1906F8C3" w14:textId="77777777" w:rsidR="00ED4A93" w:rsidRPr="00E46C1B" w:rsidRDefault="00ED4A93" w:rsidP="00ED4A93">
      <w:pPr>
        <w:pStyle w:val="Titre2"/>
      </w:pPr>
      <w:r>
        <w:t>Résultats de l’évaluation organisationnelle cyclique</w:t>
      </w:r>
    </w:p>
    <w:p w14:paraId="3B820032" w14:textId="77777777" w:rsidR="00ED4A93" w:rsidRPr="00ED4A93" w:rsidRDefault="00ED4A93" w:rsidP="00ED4A93">
      <w:pPr>
        <w:pStyle w:val="Sansinterligne"/>
        <w:spacing w:before="120" w:after="120"/>
        <w:rPr>
          <w:rFonts w:asciiTheme="minorHAnsi" w:hAnsiTheme="minorHAnsi" w:cstheme="minorHAnsi"/>
          <w:color w:val="222222"/>
          <w:sz w:val="22"/>
          <w:szCs w:val="22"/>
        </w:rPr>
      </w:pPr>
      <w:r w:rsidRPr="00ED4A93">
        <w:rPr>
          <w:rFonts w:asciiTheme="minorHAnsi" w:hAnsiTheme="minorHAnsi" w:cstheme="minorHAnsi"/>
          <w:color w:val="000000"/>
          <w:sz w:val="22"/>
          <w:szCs w:val="22"/>
        </w:rPr>
        <w:t>SC a confirmé qu’il soumettra son évaluation cyclique d’ici mai 2021. Le ministère espère présenter un rapport préliminaire pour voir si la CFP aurait des conseils à donner avant de soumettre le rapport final.</w:t>
      </w:r>
    </w:p>
    <w:p w14:paraId="054E5037" w14:textId="77777777" w:rsidR="00ED4A93" w:rsidRPr="00E46C1B" w:rsidRDefault="00ED4A93" w:rsidP="00ED4A93">
      <w:pPr>
        <w:pStyle w:val="Titre2"/>
      </w:pPr>
      <w:r>
        <w:t>Demandes de renseignements et tendances</w:t>
      </w:r>
    </w:p>
    <w:p w14:paraId="2867FD7D" w14:textId="77777777" w:rsidR="00ED4A93" w:rsidRPr="00ED4A93" w:rsidRDefault="00ED4A93" w:rsidP="00ED4A93">
      <w:pPr>
        <w:pStyle w:val="Sansinterligne"/>
        <w:spacing w:before="120" w:after="120"/>
        <w:rPr>
          <w:rFonts w:asciiTheme="minorHAnsi" w:hAnsiTheme="minorHAnsi" w:cstheme="minorHAnsi"/>
          <w:color w:val="000000"/>
          <w:sz w:val="22"/>
          <w:szCs w:val="22"/>
        </w:rPr>
      </w:pPr>
      <w:r w:rsidRPr="00ED4A93">
        <w:rPr>
          <w:rFonts w:asciiTheme="minorHAnsi" w:hAnsiTheme="minorHAnsi" w:cstheme="minorHAnsi"/>
          <w:color w:val="000000"/>
          <w:sz w:val="22"/>
          <w:szCs w:val="22"/>
        </w:rPr>
        <w:t xml:space="preserve">La majorité (16,1 %) des demandes de renseignements de SC concerne l’évaluation dans le cadre du processus de nomination. On compte parmi les autres sujets des demandes de renseignements sur les articles de la </w:t>
      </w:r>
      <w:r w:rsidRPr="00ED4A93">
        <w:rPr>
          <w:rStyle w:val="Accentuation"/>
        </w:rPr>
        <w:t>Loi sur l’emploi dans la fonction publique</w:t>
      </w:r>
      <w:r w:rsidRPr="00ED4A93">
        <w:rPr>
          <w:rFonts w:asciiTheme="minorHAnsi" w:hAnsiTheme="minorHAnsi" w:cstheme="minorHAnsi"/>
          <w:color w:val="000000"/>
          <w:sz w:val="22"/>
          <w:szCs w:val="22"/>
        </w:rPr>
        <w:t>, ainsi que des conseils sur les politiques de gestion des personnes du Bureau du dirigeant principal des ressources humaines, les valeurs de dotation et l’embauche d’étudiants. Cette répartition des demandes de renseignements est semblable aux activités d’organisations comparables.</w:t>
      </w:r>
    </w:p>
    <w:p w14:paraId="1BC51B70" w14:textId="77777777" w:rsidR="005408A9" w:rsidRDefault="00ED4A93" w:rsidP="00ED4A93">
      <w:pPr>
        <w:spacing w:before="120" w:after="120"/>
        <w:rPr>
          <w:rFonts w:asciiTheme="minorHAnsi" w:hAnsiTheme="minorHAnsi" w:cstheme="minorHAnsi"/>
          <w:color w:val="000000"/>
          <w:sz w:val="22"/>
          <w:szCs w:val="22"/>
        </w:rPr>
        <w:sectPr w:rsidR="005408A9" w:rsidSect="005408A9">
          <w:pgSz w:w="12240" w:h="15840"/>
          <w:pgMar w:top="1440" w:right="1077" w:bottom="1440" w:left="1077" w:header="709" w:footer="284" w:gutter="0"/>
          <w:cols w:space="708"/>
          <w:titlePg/>
          <w:docGrid w:linePitch="360"/>
        </w:sectPr>
      </w:pPr>
      <w:r w:rsidRPr="00ED4A93">
        <w:rPr>
          <w:rFonts w:asciiTheme="minorHAnsi" w:hAnsiTheme="minorHAnsi" w:cstheme="minorHAnsi"/>
          <w:color w:val="000000"/>
          <w:sz w:val="22"/>
          <w:szCs w:val="22"/>
        </w:rPr>
        <w:t xml:space="preserve">SC surveille régulièrement son système de dotation. Il utilise cette information pour appuyer son rapport d’examen cyclique. </w:t>
      </w:r>
    </w:p>
    <w:p w14:paraId="61FB1023" w14:textId="77777777" w:rsidR="00ED4A93" w:rsidRPr="00ED4A93" w:rsidRDefault="00ED4A93" w:rsidP="00ED4A93">
      <w:pPr>
        <w:pStyle w:val="Titre1"/>
      </w:pPr>
      <w:r>
        <w:lastRenderedPageBreak/>
        <w:t>Surveillance</w:t>
      </w:r>
    </w:p>
    <w:p w14:paraId="77A6FBA8" w14:textId="77777777" w:rsidR="00ED4A93" w:rsidRPr="00E46C1B" w:rsidRDefault="00ED4A93" w:rsidP="000F6C01">
      <w:pPr>
        <w:pStyle w:val="Titre2"/>
        <w:rPr>
          <w:u w:val="single"/>
        </w:rPr>
      </w:pPr>
      <w:r>
        <w:t>Vérifications</w:t>
      </w:r>
    </w:p>
    <w:p w14:paraId="5C116047" w14:textId="77777777" w:rsidR="00ED4A93" w:rsidRPr="000F6C01" w:rsidRDefault="00ED4A93" w:rsidP="00ED4A93">
      <w:pPr>
        <w:spacing w:before="120" w:after="120"/>
        <w:rPr>
          <w:rFonts w:asciiTheme="minorHAnsi" w:hAnsiTheme="minorHAnsi" w:cstheme="minorHAnsi"/>
          <w:color w:val="000000"/>
          <w:sz w:val="22"/>
          <w:szCs w:val="22"/>
        </w:rPr>
      </w:pPr>
      <w:r w:rsidRPr="000F6C01">
        <w:rPr>
          <w:rFonts w:asciiTheme="minorHAnsi" w:hAnsiTheme="minorHAnsi" w:cstheme="minorHAnsi"/>
          <w:color w:val="000000"/>
          <w:sz w:val="22"/>
          <w:szCs w:val="22"/>
        </w:rPr>
        <w:t>SC faisait partie de la vérification de la dotation pour l’ensemble du système, dont le rapport final a été publié en décembre 2018. Il faisait aussi partie des 15 organisations visées par la vérification horizontale sur la validation des compétences. Le rapport final de cette vérificati</w:t>
      </w:r>
      <w:r w:rsidR="000F6C01">
        <w:rPr>
          <w:rFonts w:asciiTheme="minorHAnsi" w:hAnsiTheme="minorHAnsi" w:cstheme="minorHAnsi"/>
          <w:color w:val="000000"/>
          <w:sz w:val="22"/>
          <w:szCs w:val="22"/>
        </w:rPr>
        <w:t>on a été publié le 29 mai 2019.</w:t>
      </w:r>
    </w:p>
    <w:p w14:paraId="21A77490" w14:textId="77777777" w:rsidR="00ED4A93" w:rsidRPr="00E46C1B" w:rsidRDefault="00ED4A93" w:rsidP="000F6C01">
      <w:pPr>
        <w:pStyle w:val="Titre2"/>
        <w:rPr>
          <w:u w:val="single"/>
        </w:rPr>
      </w:pPr>
      <w:r>
        <w:t>Enquêtes</w:t>
      </w:r>
    </w:p>
    <w:p w14:paraId="302F79F3" w14:textId="77777777" w:rsidR="00ED4A93" w:rsidRPr="000F6C01" w:rsidRDefault="00ED4A93" w:rsidP="00ED4A93">
      <w:pPr>
        <w:pStyle w:val="Sansinterligne"/>
        <w:spacing w:before="120" w:after="120"/>
        <w:rPr>
          <w:rFonts w:asciiTheme="minorHAnsi" w:hAnsiTheme="minorHAnsi" w:cstheme="minorHAnsi"/>
          <w:color w:val="000000"/>
          <w:sz w:val="22"/>
          <w:szCs w:val="22"/>
        </w:rPr>
      </w:pPr>
      <w:r w:rsidRPr="000F6C01">
        <w:rPr>
          <w:rFonts w:asciiTheme="minorHAnsi" w:hAnsiTheme="minorHAnsi" w:cstheme="minorHAnsi"/>
          <w:color w:val="000000"/>
          <w:sz w:val="22"/>
          <w:szCs w:val="22"/>
        </w:rPr>
        <w:t>Entre le 26 août 2016 et le 25 août 2019, la CFP a reçu 22 demandes d’enquête sur des mesures de dotation à SC, soit 14 sur des nominations externes et 8 sur des cas de fraude potentielle. Au début de cette période, la CFP avait aussi 4 cas provenant de l’année précédente.</w:t>
      </w:r>
    </w:p>
    <w:p w14:paraId="28663D9D" w14:textId="77777777" w:rsidR="00ED4A93" w:rsidRPr="000F6C01" w:rsidRDefault="00ED4A93" w:rsidP="000F6C01">
      <w:pPr>
        <w:pStyle w:val="Sansinterligne"/>
        <w:numPr>
          <w:ilvl w:val="0"/>
          <w:numId w:val="8"/>
        </w:numPr>
        <w:rPr>
          <w:rFonts w:asciiTheme="minorHAnsi" w:hAnsiTheme="minorHAnsi" w:cstheme="minorHAnsi"/>
          <w:color w:val="000000"/>
          <w:sz w:val="22"/>
          <w:szCs w:val="22"/>
        </w:rPr>
      </w:pPr>
      <w:r w:rsidRPr="000F6C01">
        <w:rPr>
          <w:rFonts w:asciiTheme="minorHAnsi" w:hAnsiTheme="minorHAnsi" w:cstheme="minorHAnsi"/>
          <w:color w:val="000000"/>
          <w:sz w:val="22"/>
          <w:szCs w:val="22"/>
        </w:rPr>
        <w:t>2 cas ont été renvoyés par l’organisation (un sur les processus externes et un sur un cas de fraude potentielle);</w:t>
      </w:r>
    </w:p>
    <w:p w14:paraId="75567DCF" w14:textId="77777777" w:rsidR="00ED4A93" w:rsidRPr="000F6C01" w:rsidRDefault="00ED4A93" w:rsidP="000F6C01">
      <w:pPr>
        <w:pStyle w:val="Sansinterligne"/>
        <w:numPr>
          <w:ilvl w:val="0"/>
          <w:numId w:val="8"/>
        </w:numPr>
        <w:rPr>
          <w:rFonts w:asciiTheme="minorHAnsi" w:hAnsiTheme="minorHAnsi" w:cstheme="minorHAnsi"/>
          <w:color w:val="000000"/>
          <w:sz w:val="22"/>
          <w:szCs w:val="22"/>
        </w:rPr>
      </w:pPr>
      <w:r w:rsidRPr="000F6C01">
        <w:rPr>
          <w:rFonts w:asciiTheme="minorHAnsi" w:hAnsiTheme="minorHAnsi" w:cstheme="minorHAnsi"/>
          <w:color w:val="000000"/>
          <w:sz w:val="22"/>
          <w:szCs w:val="22"/>
        </w:rPr>
        <w:t>15 cas ont été clos ou rejetés (13 sur des processus externes et 2 sur des cas de fraude potentielle);</w:t>
      </w:r>
    </w:p>
    <w:p w14:paraId="12255CDF" w14:textId="77777777" w:rsidR="00ED4A93" w:rsidRPr="000F6C01" w:rsidRDefault="00ED4A93" w:rsidP="000F6C01">
      <w:pPr>
        <w:pStyle w:val="Sansinterligne"/>
        <w:numPr>
          <w:ilvl w:val="0"/>
          <w:numId w:val="8"/>
        </w:numPr>
        <w:rPr>
          <w:rFonts w:asciiTheme="minorHAnsi" w:hAnsiTheme="minorHAnsi" w:cstheme="minorHAnsi"/>
          <w:color w:val="000000"/>
          <w:sz w:val="22"/>
          <w:szCs w:val="22"/>
        </w:rPr>
      </w:pPr>
      <w:r w:rsidRPr="000F6C01">
        <w:rPr>
          <w:rFonts w:asciiTheme="minorHAnsi" w:hAnsiTheme="minorHAnsi" w:cstheme="minorHAnsi"/>
          <w:color w:val="000000"/>
          <w:sz w:val="22"/>
          <w:szCs w:val="22"/>
        </w:rPr>
        <w:t xml:space="preserve">3 cas de fraude potentielle n’étaient pas fondés; </w:t>
      </w:r>
    </w:p>
    <w:p w14:paraId="3E68956D" w14:textId="77777777" w:rsidR="00ED4A93" w:rsidRPr="000F6C01" w:rsidRDefault="00ED4A93" w:rsidP="000F6C01">
      <w:pPr>
        <w:pStyle w:val="Sansinterligne"/>
        <w:numPr>
          <w:ilvl w:val="0"/>
          <w:numId w:val="8"/>
        </w:numPr>
        <w:rPr>
          <w:rFonts w:asciiTheme="minorHAnsi" w:hAnsiTheme="minorHAnsi" w:cstheme="minorHAnsi"/>
          <w:color w:val="000000"/>
          <w:sz w:val="22"/>
          <w:szCs w:val="22"/>
        </w:rPr>
      </w:pPr>
      <w:r w:rsidRPr="000F6C01">
        <w:rPr>
          <w:rFonts w:asciiTheme="minorHAnsi" w:hAnsiTheme="minorHAnsi" w:cstheme="minorHAnsi"/>
          <w:color w:val="000000"/>
          <w:sz w:val="22"/>
          <w:szCs w:val="22"/>
        </w:rPr>
        <w:t>3 cas de fraude potentielle étaient fondés;</w:t>
      </w:r>
    </w:p>
    <w:p w14:paraId="4D395C33" w14:textId="77777777" w:rsidR="00ED4A93" w:rsidRPr="000F6C01" w:rsidRDefault="00ED4A93" w:rsidP="000F6C01">
      <w:pPr>
        <w:pStyle w:val="Sansinterligne"/>
        <w:numPr>
          <w:ilvl w:val="0"/>
          <w:numId w:val="8"/>
        </w:numPr>
        <w:spacing w:after="240"/>
        <w:rPr>
          <w:rFonts w:asciiTheme="minorHAnsi" w:hAnsiTheme="minorHAnsi" w:cstheme="minorHAnsi"/>
          <w:color w:val="000000"/>
          <w:sz w:val="22"/>
          <w:szCs w:val="22"/>
        </w:rPr>
      </w:pPr>
      <w:r w:rsidRPr="000F6C01">
        <w:rPr>
          <w:rFonts w:asciiTheme="minorHAnsi" w:hAnsiTheme="minorHAnsi" w:cstheme="minorHAnsi"/>
          <w:color w:val="000000"/>
          <w:sz w:val="22"/>
          <w:szCs w:val="22"/>
        </w:rPr>
        <w:t>3 cas sont en cours (un sur un processus externe et un sur une fraude potentielle).</w:t>
      </w:r>
    </w:p>
    <w:p w14:paraId="2C92F60F" w14:textId="77777777" w:rsidR="000F6C01" w:rsidRDefault="000F6C01" w:rsidP="00F52433">
      <w:pPr>
        <w:pStyle w:val="Lgende"/>
        <w:keepNext/>
      </w:pPr>
      <w:r>
        <w:t xml:space="preserve">Table </w:t>
      </w:r>
      <w:r>
        <w:fldChar w:fldCharType="begin"/>
      </w:r>
      <w:r>
        <w:instrText xml:space="preserve"> SEQ Table \* ARABIC </w:instrText>
      </w:r>
      <w:r>
        <w:fldChar w:fldCharType="separate"/>
      </w:r>
      <w:r w:rsidR="00A61389">
        <w:rPr>
          <w:noProof/>
        </w:rPr>
        <w:t>1</w:t>
      </w:r>
      <w:r>
        <w:fldChar w:fldCharType="end"/>
      </w:r>
      <w:r>
        <w:t xml:space="preserve"> - Enquêtes</w:t>
      </w:r>
    </w:p>
    <w:tbl>
      <w:tblPr>
        <w:tblStyle w:val="TableGrid1"/>
        <w:tblW w:w="5000" w:type="pct"/>
        <w:jc w:val="center"/>
        <w:tblLook w:val="04A0" w:firstRow="1" w:lastRow="0" w:firstColumn="1" w:lastColumn="0" w:noHBand="0" w:noVBand="1"/>
        <w:tblDescription w:val="Table 1 - Enquêtes"/>
      </w:tblPr>
      <w:tblGrid>
        <w:gridCol w:w="3598"/>
        <w:gridCol w:w="741"/>
        <w:gridCol w:w="1819"/>
        <w:gridCol w:w="984"/>
        <w:gridCol w:w="1158"/>
        <w:gridCol w:w="1020"/>
        <w:gridCol w:w="756"/>
      </w:tblGrid>
      <w:tr w:rsidR="005B3DE7" w:rsidRPr="000F6C01" w14:paraId="7E0655C8" w14:textId="77777777" w:rsidTr="001A3E7A">
        <w:trPr>
          <w:cantSplit/>
          <w:trHeight w:val="1200"/>
          <w:tblHeader/>
          <w:jc w:val="center"/>
        </w:trPr>
        <w:tc>
          <w:tcPr>
            <w:tcW w:w="1801" w:type="pct"/>
            <w:shd w:val="clear" w:color="auto" w:fill="54575A" w:themeFill="text1"/>
            <w:hideMark/>
          </w:tcPr>
          <w:p w14:paraId="1CF655A6" w14:textId="4078FB9F" w:rsidR="000F6C01" w:rsidRPr="000F6C01" w:rsidRDefault="000F6C01" w:rsidP="00061B0F">
            <w:pPr>
              <w:pStyle w:val="TableTitle"/>
              <w:spacing w:before="120" w:after="120"/>
              <w:rPr>
                <w:rFonts w:cs="Calibri"/>
                <w:color w:val="FFFFFF" w:themeColor="background1"/>
              </w:rPr>
            </w:pPr>
            <w:r w:rsidRPr="000F6C01">
              <w:rPr>
                <w:color w:val="FFFFFF" w:themeColor="background1"/>
                <w:lang w:eastAsia="en-CA"/>
              </w:rPr>
              <w:t xml:space="preserve">Nature </w:t>
            </w:r>
            <w:r w:rsidR="00F3749E">
              <w:rPr>
                <w:color w:val="FFFFFF" w:themeColor="background1"/>
                <w:lang w:eastAsia="en-CA"/>
              </w:rPr>
              <w:t>de la question</w:t>
            </w:r>
          </w:p>
        </w:tc>
        <w:tc>
          <w:tcPr>
            <w:tcW w:w="359" w:type="pct"/>
            <w:shd w:val="clear" w:color="auto" w:fill="54575A" w:themeFill="text1"/>
            <w:hideMark/>
          </w:tcPr>
          <w:p w14:paraId="31407DA0" w14:textId="1D964826" w:rsidR="000F6C01" w:rsidRPr="000F6C01" w:rsidRDefault="004C326F" w:rsidP="00061B0F">
            <w:pPr>
              <w:pStyle w:val="TableTitle"/>
              <w:spacing w:before="120" w:after="120"/>
              <w:rPr>
                <w:rFonts w:cs="Calibri"/>
                <w:color w:val="FFFFFF" w:themeColor="background1"/>
              </w:rPr>
            </w:pPr>
            <w:r>
              <w:rPr>
                <w:color w:val="FFFFFF" w:themeColor="background1"/>
                <w:lang w:eastAsia="en-CA"/>
              </w:rPr>
              <w:t>Cas reçus</w:t>
            </w:r>
          </w:p>
        </w:tc>
        <w:tc>
          <w:tcPr>
            <w:tcW w:w="918" w:type="pct"/>
            <w:shd w:val="clear" w:color="auto" w:fill="54575A" w:themeFill="text1"/>
            <w:hideMark/>
          </w:tcPr>
          <w:p w14:paraId="12201F12" w14:textId="5E28E0F0" w:rsidR="000F6C01" w:rsidRPr="000F6C01" w:rsidRDefault="004C326F" w:rsidP="00061B0F">
            <w:pPr>
              <w:pStyle w:val="TableTitle"/>
              <w:spacing w:before="120" w:after="120"/>
              <w:rPr>
                <w:rFonts w:cs="Calibri"/>
                <w:color w:val="FFFFFF" w:themeColor="background1"/>
              </w:rPr>
            </w:pPr>
            <w:r>
              <w:rPr>
                <w:color w:val="FFFFFF" w:themeColor="background1"/>
                <w:lang w:eastAsia="en-CA"/>
              </w:rPr>
              <w:t xml:space="preserve">Cas </w:t>
            </w:r>
            <w:r w:rsidR="00F3749E">
              <w:rPr>
                <w:color w:val="FFFFFF" w:themeColor="background1"/>
                <w:lang w:eastAsia="en-CA"/>
              </w:rPr>
              <w:t>signalés</w:t>
            </w:r>
            <w:r>
              <w:rPr>
                <w:color w:val="FFFFFF" w:themeColor="background1"/>
                <w:lang w:eastAsia="en-CA"/>
              </w:rPr>
              <w:t xml:space="preserve"> par l’organisation</w:t>
            </w:r>
          </w:p>
        </w:tc>
        <w:tc>
          <w:tcPr>
            <w:tcW w:w="467" w:type="pct"/>
            <w:shd w:val="clear" w:color="auto" w:fill="54575A" w:themeFill="text1"/>
            <w:hideMark/>
          </w:tcPr>
          <w:p w14:paraId="5427B2E6" w14:textId="6B7AD8BC" w:rsidR="004C326F" w:rsidRDefault="00F3749E" w:rsidP="00061B0F">
            <w:pPr>
              <w:pStyle w:val="TableTitle"/>
              <w:spacing w:before="120" w:after="120"/>
              <w:rPr>
                <w:color w:val="FFFFFF" w:themeColor="background1"/>
                <w:lang w:eastAsia="en-CA"/>
              </w:rPr>
            </w:pPr>
            <w:r>
              <w:rPr>
                <w:color w:val="FFFFFF" w:themeColor="background1"/>
                <w:lang w:eastAsia="en-CA"/>
              </w:rPr>
              <w:t>Cas clos</w:t>
            </w:r>
            <w:r w:rsidR="004C326F">
              <w:rPr>
                <w:color w:val="FFFFFF" w:themeColor="background1"/>
                <w:lang w:eastAsia="en-CA"/>
              </w:rPr>
              <w:t xml:space="preserve"> – </w:t>
            </w:r>
          </w:p>
          <w:p w14:paraId="7554B500" w14:textId="1206FC25" w:rsidR="000F6C01" w:rsidRPr="000F6C01" w:rsidRDefault="004C326F" w:rsidP="00061B0F">
            <w:pPr>
              <w:pStyle w:val="TableTitle"/>
              <w:spacing w:before="120" w:after="120"/>
              <w:rPr>
                <w:rFonts w:cs="Calibri"/>
                <w:color w:val="FFFFFF" w:themeColor="background1"/>
              </w:rPr>
            </w:pPr>
            <w:r>
              <w:rPr>
                <w:color w:val="FFFFFF" w:themeColor="background1"/>
                <w:lang w:eastAsia="en-CA"/>
              </w:rPr>
              <w:t>Non accepté</w:t>
            </w:r>
          </w:p>
        </w:tc>
        <w:tc>
          <w:tcPr>
            <w:tcW w:w="590" w:type="pct"/>
            <w:shd w:val="clear" w:color="auto" w:fill="54575A" w:themeFill="text1"/>
            <w:hideMark/>
          </w:tcPr>
          <w:p w14:paraId="4DB0BB6F" w14:textId="03AD1AAE" w:rsidR="000F6C01" w:rsidRPr="000F6C01" w:rsidRDefault="00F3749E" w:rsidP="00061B0F">
            <w:pPr>
              <w:pStyle w:val="TableTitle"/>
              <w:spacing w:before="120" w:after="120"/>
              <w:rPr>
                <w:rFonts w:cs="Calibri"/>
                <w:color w:val="FFFFFF" w:themeColor="background1"/>
              </w:rPr>
            </w:pPr>
            <w:r>
              <w:rPr>
                <w:color w:val="FFFFFF" w:themeColor="background1"/>
                <w:lang w:eastAsia="en-CA"/>
              </w:rPr>
              <w:t>Cas traité</w:t>
            </w:r>
            <w:r w:rsidR="004C326F">
              <w:rPr>
                <w:color w:val="FFFFFF" w:themeColor="background1"/>
                <w:lang w:eastAsia="en-CA"/>
              </w:rPr>
              <w:t xml:space="preserve"> Non fondé</w:t>
            </w:r>
          </w:p>
        </w:tc>
        <w:tc>
          <w:tcPr>
            <w:tcW w:w="521" w:type="pct"/>
            <w:shd w:val="clear" w:color="auto" w:fill="54575A" w:themeFill="text1"/>
            <w:hideMark/>
          </w:tcPr>
          <w:p w14:paraId="101363AC" w14:textId="400F7B78" w:rsidR="000F6C01" w:rsidRPr="000F6C01" w:rsidRDefault="00F3749E" w:rsidP="00061B0F">
            <w:pPr>
              <w:pStyle w:val="TableTitle"/>
              <w:spacing w:before="120" w:after="120"/>
              <w:rPr>
                <w:rFonts w:cs="Calibri"/>
                <w:color w:val="FFFFFF" w:themeColor="background1"/>
              </w:rPr>
            </w:pPr>
            <w:r>
              <w:rPr>
                <w:color w:val="FFFFFF" w:themeColor="background1"/>
                <w:lang w:eastAsia="en-CA"/>
              </w:rPr>
              <w:t>Cas traités</w:t>
            </w:r>
            <w:r w:rsidR="004C326F">
              <w:rPr>
                <w:color w:val="FFFFFF" w:themeColor="background1"/>
                <w:lang w:eastAsia="en-CA"/>
              </w:rPr>
              <w:t xml:space="preserve"> fondé</w:t>
            </w:r>
          </w:p>
        </w:tc>
        <w:tc>
          <w:tcPr>
            <w:tcW w:w="345" w:type="pct"/>
            <w:shd w:val="clear" w:color="auto" w:fill="54575A" w:themeFill="text1"/>
            <w:hideMark/>
          </w:tcPr>
          <w:p w14:paraId="52E388DD" w14:textId="754BFB7A" w:rsidR="000F6C01" w:rsidRPr="000F6C01" w:rsidRDefault="004C326F" w:rsidP="00061B0F">
            <w:pPr>
              <w:pStyle w:val="TableTitle"/>
              <w:spacing w:before="120" w:after="120"/>
              <w:rPr>
                <w:rFonts w:cs="Calibri"/>
                <w:color w:val="FFFFFF" w:themeColor="background1"/>
              </w:rPr>
            </w:pPr>
            <w:r>
              <w:rPr>
                <w:color w:val="FFFFFF" w:themeColor="background1"/>
                <w:lang w:eastAsia="en-CA"/>
              </w:rPr>
              <w:t>En cours</w:t>
            </w:r>
          </w:p>
        </w:tc>
      </w:tr>
      <w:tr w:rsidR="005B3DE7" w:rsidRPr="000F6C01" w14:paraId="3A345873" w14:textId="77777777" w:rsidTr="001A3E7A">
        <w:trPr>
          <w:cantSplit/>
          <w:trHeight w:val="600"/>
          <w:tblHeader/>
          <w:jc w:val="center"/>
        </w:trPr>
        <w:tc>
          <w:tcPr>
            <w:tcW w:w="1801" w:type="pct"/>
            <w:shd w:val="clear" w:color="auto" w:fill="54575A" w:themeFill="text1"/>
            <w:hideMark/>
          </w:tcPr>
          <w:p w14:paraId="5415CF25" w14:textId="3E82B2F4" w:rsidR="000F6C01" w:rsidRPr="00F3749E" w:rsidRDefault="00F3749E" w:rsidP="008A5FB8">
            <w:pPr>
              <w:rPr>
                <w:rFonts w:asciiTheme="minorHAnsi" w:hAnsiTheme="minorHAnsi" w:cstheme="minorHAnsi"/>
                <w:color w:val="FFFFFF" w:themeColor="background1"/>
                <w:sz w:val="22"/>
                <w:szCs w:val="22"/>
              </w:rPr>
            </w:pPr>
            <w:r w:rsidRPr="00F3749E">
              <w:rPr>
                <w:rFonts w:asciiTheme="minorHAnsi" w:hAnsiTheme="minorHAnsi" w:cstheme="minorHAnsi"/>
                <w:color w:val="FFFFFF" w:themeColor="background1"/>
                <w:sz w:val="22"/>
              </w:rPr>
              <w:t>Article 66 : Nominations externes (mérite, erreur, omission ou conduite irrégulière)</w:t>
            </w:r>
          </w:p>
        </w:tc>
        <w:tc>
          <w:tcPr>
            <w:tcW w:w="359" w:type="pct"/>
            <w:noWrap/>
            <w:hideMark/>
          </w:tcPr>
          <w:p w14:paraId="63B89116"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14</w:t>
            </w:r>
          </w:p>
        </w:tc>
        <w:tc>
          <w:tcPr>
            <w:tcW w:w="918" w:type="pct"/>
            <w:noWrap/>
            <w:hideMark/>
          </w:tcPr>
          <w:p w14:paraId="3AA2E03E"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1</w:t>
            </w:r>
          </w:p>
        </w:tc>
        <w:tc>
          <w:tcPr>
            <w:tcW w:w="467" w:type="pct"/>
            <w:noWrap/>
            <w:hideMark/>
          </w:tcPr>
          <w:p w14:paraId="15818FE8"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13</w:t>
            </w:r>
          </w:p>
        </w:tc>
        <w:tc>
          <w:tcPr>
            <w:tcW w:w="590" w:type="pct"/>
            <w:noWrap/>
            <w:hideMark/>
          </w:tcPr>
          <w:p w14:paraId="267A618B"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0</w:t>
            </w:r>
          </w:p>
        </w:tc>
        <w:tc>
          <w:tcPr>
            <w:tcW w:w="521" w:type="pct"/>
            <w:noWrap/>
            <w:hideMark/>
          </w:tcPr>
          <w:p w14:paraId="3FFCD60E"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0</w:t>
            </w:r>
          </w:p>
        </w:tc>
        <w:tc>
          <w:tcPr>
            <w:tcW w:w="345" w:type="pct"/>
            <w:noWrap/>
            <w:hideMark/>
          </w:tcPr>
          <w:p w14:paraId="61ACB8A4"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1</w:t>
            </w:r>
          </w:p>
        </w:tc>
      </w:tr>
      <w:tr w:rsidR="005B3DE7" w:rsidRPr="000F6C01" w14:paraId="741D641A" w14:textId="77777777" w:rsidTr="001A3E7A">
        <w:trPr>
          <w:cantSplit/>
          <w:trHeight w:val="300"/>
          <w:tblHeader/>
          <w:jc w:val="center"/>
        </w:trPr>
        <w:tc>
          <w:tcPr>
            <w:tcW w:w="1801" w:type="pct"/>
            <w:shd w:val="clear" w:color="auto" w:fill="54575A" w:themeFill="text1"/>
            <w:hideMark/>
          </w:tcPr>
          <w:p w14:paraId="05320AB3" w14:textId="19F941B0" w:rsidR="000F6C01" w:rsidRPr="00F3749E" w:rsidRDefault="00F3749E" w:rsidP="008A5FB8">
            <w:pPr>
              <w:rPr>
                <w:rFonts w:asciiTheme="minorHAnsi" w:hAnsiTheme="minorHAnsi" w:cstheme="minorHAnsi"/>
                <w:color w:val="FFFFFF" w:themeColor="background1"/>
                <w:sz w:val="22"/>
                <w:szCs w:val="22"/>
              </w:rPr>
            </w:pPr>
            <w:r w:rsidRPr="00F3749E">
              <w:rPr>
                <w:rFonts w:asciiTheme="minorHAnsi" w:hAnsiTheme="minorHAnsi" w:cstheme="minorHAnsi"/>
                <w:color w:val="FFFFFF" w:themeColor="background1"/>
                <w:sz w:val="22"/>
              </w:rPr>
              <w:t>Article 69 : Fraude</w:t>
            </w:r>
          </w:p>
        </w:tc>
        <w:tc>
          <w:tcPr>
            <w:tcW w:w="359" w:type="pct"/>
            <w:noWrap/>
            <w:hideMark/>
          </w:tcPr>
          <w:p w14:paraId="6BD11D1D"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8</w:t>
            </w:r>
          </w:p>
        </w:tc>
        <w:tc>
          <w:tcPr>
            <w:tcW w:w="918" w:type="pct"/>
            <w:noWrap/>
            <w:hideMark/>
          </w:tcPr>
          <w:p w14:paraId="5056C231"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1</w:t>
            </w:r>
          </w:p>
        </w:tc>
        <w:tc>
          <w:tcPr>
            <w:tcW w:w="467" w:type="pct"/>
            <w:noWrap/>
            <w:hideMark/>
          </w:tcPr>
          <w:p w14:paraId="2B64B7EE"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2</w:t>
            </w:r>
          </w:p>
        </w:tc>
        <w:tc>
          <w:tcPr>
            <w:tcW w:w="590" w:type="pct"/>
            <w:noWrap/>
            <w:hideMark/>
          </w:tcPr>
          <w:p w14:paraId="51F0EF0A"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3</w:t>
            </w:r>
          </w:p>
        </w:tc>
        <w:tc>
          <w:tcPr>
            <w:tcW w:w="521" w:type="pct"/>
            <w:noWrap/>
            <w:hideMark/>
          </w:tcPr>
          <w:p w14:paraId="230F3AB6"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3</w:t>
            </w:r>
          </w:p>
        </w:tc>
        <w:tc>
          <w:tcPr>
            <w:tcW w:w="345" w:type="pct"/>
            <w:noWrap/>
            <w:hideMark/>
          </w:tcPr>
          <w:p w14:paraId="1A4C170F" w14:textId="77777777" w:rsidR="000F6C01" w:rsidRPr="000F6C01" w:rsidRDefault="000F6C01" w:rsidP="008A5FB8">
            <w:pPr>
              <w:jc w:val="center"/>
              <w:rPr>
                <w:rFonts w:asciiTheme="minorHAnsi" w:hAnsiTheme="minorHAnsi" w:cstheme="minorHAnsi"/>
                <w:color w:val="000000"/>
                <w:sz w:val="22"/>
                <w:szCs w:val="22"/>
              </w:rPr>
            </w:pPr>
            <w:r w:rsidRPr="000F6C01">
              <w:rPr>
                <w:rFonts w:asciiTheme="minorHAnsi" w:hAnsiTheme="minorHAnsi" w:cstheme="minorHAnsi"/>
                <w:color w:val="000000"/>
                <w:sz w:val="22"/>
                <w:szCs w:val="22"/>
                <w:lang w:eastAsia="en-CA"/>
              </w:rPr>
              <w:t>2</w:t>
            </w:r>
          </w:p>
        </w:tc>
      </w:tr>
      <w:tr w:rsidR="005B3DE7" w:rsidRPr="000F6C01" w14:paraId="1A30F2F2" w14:textId="77777777" w:rsidTr="001A3E7A">
        <w:trPr>
          <w:cantSplit/>
          <w:trHeight w:val="300"/>
          <w:tblHeader/>
          <w:jc w:val="center"/>
        </w:trPr>
        <w:tc>
          <w:tcPr>
            <w:tcW w:w="1801" w:type="pct"/>
            <w:shd w:val="clear" w:color="auto" w:fill="54575A" w:themeFill="text1"/>
            <w:hideMark/>
          </w:tcPr>
          <w:p w14:paraId="2696287E" w14:textId="77777777" w:rsidR="000F6C01" w:rsidRPr="000F6C01" w:rsidRDefault="000F6C01" w:rsidP="008A5FB8">
            <w:pPr>
              <w:rPr>
                <w:rFonts w:asciiTheme="minorHAnsi" w:hAnsiTheme="minorHAnsi" w:cstheme="minorHAnsi"/>
                <w:bCs/>
                <w:color w:val="FFFFFF" w:themeColor="background1"/>
                <w:sz w:val="22"/>
                <w:szCs w:val="22"/>
              </w:rPr>
            </w:pPr>
            <w:r w:rsidRPr="000F6C01">
              <w:rPr>
                <w:rFonts w:asciiTheme="minorHAnsi" w:hAnsiTheme="minorHAnsi" w:cstheme="minorHAnsi"/>
                <w:bCs/>
                <w:color w:val="FFFFFF" w:themeColor="background1"/>
                <w:sz w:val="22"/>
                <w:szCs w:val="22"/>
                <w:lang w:eastAsia="en-CA"/>
              </w:rPr>
              <w:t>Total</w:t>
            </w:r>
          </w:p>
        </w:tc>
        <w:tc>
          <w:tcPr>
            <w:tcW w:w="359" w:type="pct"/>
            <w:noWrap/>
            <w:hideMark/>
          </w:tcPr>
          <w:p w14:paraId="699C24BD" w14:textId="77777777" w:rsidR="000F6C01" w:rsidRPr="000F6C01" w:rsidRDefault="000F6C01" w:rsidP="008A5FB8">
            <w:pPr>
              <w:jc w:val="center"/>
              <w:rPr>
                <w:rFonts w:asciiTheme="minorHAnsi" w:hAnsiTheme="minorHAnsi" w:cstheme="minorHAnsi"/>
                <w:bCs/>
                <w:color w:val="000000"/>
                <w:sz w:val="22"/>
                <w:szCs w:val="22"/>
              </w:rPr>
            </w:pPr>
            <w:r w:rsidRPr="000F6C01">
              <w:rPr>
                <w:rFonts w:asciiTheme="minorHAnsi" w:hAnsiTheme="minorHAnsi" w:cstheme="minorHAnsi"/>
                <w:bCs/>
                <w:color w:val="000000"/>
                <w:sz w:val="22"/>
                <w:szCs w:val="22"/>
                <w:lang w:eastAsia="en-CA"/>
              </w:rPr>
              <w:t>22</w:t>
            </w:r>
          </w:p>
        </w:tc>
        <w:tc>
          <w:tcPr>
            <w:tcW w:w="918" w:type="pct"/>
            <w:noWrap/>
            <w:hideMark/>
          </w:tcPr>
          <w:p w14:paraId="263A64FE" w14:textId="77777777" w:rsidR="000F6C01" w:rsidRPr="000F6C01" w:rsidRDefault="000F6C01" w:rsidP="008A5FB8">
            <w:pPr>
              <w:jc w:val="center"/>
              <w:rPr>
                <w:rFonts w:asciiTheme="minorHAnsi" w:hAnsiTheme="minorHAnsi" w:cstheme="minorHAnsi"/>
                <w:bCs/>
                <w:color w:val="000000"/>
                <w:sz w:val="22"/>
                <w:szCs w:val="22"/>
              </w:rPr>
            </w:pPr>
            <w:r w:rsidRPr="000F6C01">
              <w:rPr>
                <w:rFonts w:asciiTheme="minorHAnsi" w:hAnsiTheme="minorHAnsi" w:cstheme="minorHAnsi"/>
                <w:bCs/>
                <w:color w:val="000000"/>
                <w:sz w:val="22"/>
                <w:szCs w:val="22"/>
                <w:lang w:eastAsia="en-CA"/>
              </w:rPr>
              <w:t>2</w:t>
            </w:r>
          </w:p>
        </w:tc>
        <w:tc>
          <w:tcPr>
            <w:tcW w:w="467" w:type="pct"/>
            <w:noWrap/>
            <w:hideMark/>
          </w:tcPr>
          <w:p w14:paraId="29412131" w14:textId="77777777" w:rsidR="000F6C01" w:rsidRPr="000F6C01" w:rsidRDefault="000F6C01" w:rsidP="008A5FB8">
            <w:pPr>
              <w:jc w:val="center"/>
              <w:rPr>
                <w:rFonts w:asciiTheme="minorHAnsi" w:hAnsiTheme="minorHAnsi" w:cstheme="minorHAnsi"/>
                <w:bCs/>
                <w:color w:val="000000"/>
                <w:sz w:val="22"/>
                <w:szCs w:val="22"/>
              </w:rPr>
            </w:pPr>
            <w:r w:rsidRPr="000F6C01">
              <w:rPr>
                <w:rFonts w:asciiTheme="minorHAnsi" w:hAnsiTheme="minorHAnsi" w:cstheme="minorHAnsi"/>
                <w:bCs/>
                <w:color w:val="000000"/>
                <w:sz w:val="22"/>
                <w:szCs w:val="22"/>
                <w:lang w:eastAsia="en-CA"/>
              </w:rPr>
              <w:t>15</w:t>
            </w:r>
          </w:p>
        </w:tc>
        <w:tc>
          <w:tcPr>
            <w:tcW w:w="590" w:type="pct"/>
            <w:noWrap/>
            <w:hideMark/>
          </w:tcPr>
          <w:p w14:paraId="42A32220" w14:textId="77777777" w:rsidR="000F6C01" w:rsidRPr="000F6C01" w:rsidRDefault="000F6C01" w:rsidP="008A5FB8">
            <w:pPr>
              <w:jc w:val="center"/>
              <w:rPr>
                <w:rFonts w:asciiTheme="minorHAnsi" w:hAnsiTheme="minorHAnsi" w:cstheme="minorHAnsi"/>
                <w:bCs/>
                <w:color w:val="000000"/>
                <w:sz w:val="22"/>
                <w:szCs w:val="22"/>
              </w:rPr>
            </w:pPr>
            <w:r w:rsidRPr="000F6C01">
              <w:rPr>
                <w:rFonts w:asciiTheme="minorHAnsi" w:hAnsiTheme="minorHAnsi" w:cstheme="minorHAnsi"/>
                <w:bCs/>
                <w:color w:val="000000"/>
                <w:sz w:val="22"/>
                <w:szCs w:val="22"/>
                <w:lang w:eastAsia="en-CA"/>
              </w:rPr>
              <w:t>3</w:t>
            </w:r>
          </w:p>
        </w:tc>
        <w:tc>
          <w:tcPr>
            <w:tcW w:w="521" w:type="pct"/>
            <w:noWrap/>
            <w:hideMark/>
          </w:tcPr>
          <w:p w14:paraId="076110DA" w14:textId="77777777" w:rsidR="000F6C01" w:rsidRPr="000F6C01" w:rsidRDefault="000F6C01" w:rsidP="008A5FB8">
            <w:pPr>
              <w:jc w:val="center"/>
              <w:rPr>
                <w:rFonts w:asciiTheme="minorHAnsi" w:hAnsiTheme="minorHAnsi" w:cstheme="minorHAnsi"/>
                <w:bCs/>
                <w:color w:val="000000"/>
                <w:sz w:val="22"/>
                <w:szCs w:val="22"/>
              </w:rPr>
            </w:pPr>
            <w:r w:rsidRPr="000F6C01">
              <w:rPr>
                <w:rFonts w:asciiTheme="minorHAnsi" w:hAnsiTheme="minorHAnsi" w:cstheme="minorHAnsi"/>
                <w:bCs/>
                <w:color w:val="000000"/>
                <w:sz w:val="22"/>
                <w:szCs w:val="22"/>
                <w:lang w:eastAsia="en-CA"/>
              </w:rPr>
              <w:t>3</w:t>
            </w:r>
          </w:p>
        </w:tc>
        <w:tc>
          <w:tcPr>
            <w:tcW w:w="345" w:type="pct"/>
            <w:noWrap/>
            <w:hideMark/>
          </w:tcPr>
          <w:p w14:paraId="31D02BE6" w14:textId="77777777" w:rsidR="000F6C01" w:rsidRPr="000F6C01" w:rsidRDefault="000F6C01" w:rsidP="008A5FB8">
            <w:pPr>
              <w:jc w:val="center"/>
              <w:rPr>
                <w:rFonts w:asciiTheme="minorHAnsi" w:hAnsiTheme="minorHAnsi" w:cstheme="minorHAnsi"/>
                <w:bCs/>
                <w:color w:val="000000"/>
                <w:sz w:val="22"/>
                <w:szCs w:val="22"/>
              </w:rPr>
            </w:pPr>
            <w:r w:rsidRPr="000F6C01">
              <w:rPr>
                <w:rFonts w:asciiTheme="minorHAnsi" w:hAnsiTheme="minorHAnsi" w:cstheme="minorHAnsi"/>
                <w:bCs/>
                <w:color w:val="000000"/>
                <w:sz w:val="22"/>
                <w:szCs w:val="22"/>
                <w:lang w:eastAsia="en-CA"/>
              </w:rPr>
              <w:t>3</w:t>
            </w:r>
          </w:p>
        </w:tc>
      </w:tr>
    </w:tbl>
    <w:p w14:paraId="27F4C348" w14:textId="77777777" w:rsidR="00F3749E" w:rsidRPr="00F3749E" w:rsidRDefault="00F3749E" w:rsidP="005B3DE7">
      <w:pPr>
        <w:pStyle w:val="Pieddepage"/>
        <w:spacing w:before="120" w:after="120"/>
        <w:rPr>
          <w:rStyle w:val="Accentuation"/>
          <w:rFonts w:cstheme="minorHAnsi"/>
          <w:i w:val="0"/>
        </w:rPr>
      </w:pPr>
      <w:r w:rsidRPr="00F3749E">
        <w:rPr>
          <w:rStyle w:val="Accentuation"/>
          <w:rFonts w:cstheme="minorHAnsi"/>
          <w:i w:val="0"/>
        </w:rPr>
        <w:t>Note : La somme des chiffres pourrait ne pas correspondre au total indiqué, car les cas abandonnés, les cas résolus au moyen d’une intervention précoce et les cas rares (paragraphe 67(1) et article 119) ne sont pas pris en compte dans le tableau.</w:t>
      </w:r>
    </w:p>
    <w:p w14:paraId="1E45FF0D" w14:textId="77777777" w:rsidR="005408A9" w:rsidRDefault="00F3749E" w:rsidP="00D07A61">
      <w:pPr>
        <w:pStyle w:val="Pieddepage"/>
        <w:spacing w:after="120"/>
        <w:rPr>
          <w:rStyle w:val="Accentuation"/>
          <w:rFonts w:cstheme="minorHAnsi"/>
          <w:i w:val="0"/>
        </w:rPr>
        <w:sectPr w:rsidR="005408A9" w:rsidSect="005408A9">
          <w:pgSz w:w="12240" w:h="15840"/>
          <w:pgMar w:top="1440" w:right="1077" w:bottom="1440" w:left="1077" w:header="709" w:footer="284" w:gutter="0"/>
          <w:cols w:space="708"/>
          <w:titlePg/>
          <w:docGrid w:linePitch="360"/>
        </w:sectPr>
      </w:pPr>
      <w:r w:rsidRPr="00F3749E">
        <w:rPr>
          <w:rStyle w:val="Accentuation"/>
          <w:rFonts w:cstheme="minorHAnsi"/>
          <w:i w:val="0"/>
        </w:rPr>
        <w:t>Note : Les calculs dans chacune des colonnes sont indépendants les uns des autres. Les cas reçus représentent les cas qui ont été reçus durant la période visée, et les cas traités représentent les cas qui ont été traités durant la période visée (et non pas nécessairement les cas qui ont été traité</w:t>
      </w:r>
      <w:r w:rsidR="00D07A61">
        <w:rPr>
          <w:rStyle w:val="Accentuation"/>
          <w:rFonts w:cstheme="minorHAnsi"/>
          <w:i w:val="0"/>
        </w:rPr>
        <w:t>s parmi ceux qui ont été reçus)</w:t>
      </w:r>
    </w:p>
    <w:p w14:paraId="4B7DCEB4" w14:textId="6686E62D" w:rsidR="00ED4A93" w:rsidRPr="00E46C1B" w:rsidRDefault="00D07A61" w:rsidP="000F6C01">
      <w:pPr>
        <w:pStyle w:val="Titre2"/>
        <w:rPr>
          <w:u w:val="single"/>
        </w:rPr>
      </w:pPr>
      <w:r>
        <w:lastRenderedPageBreak/>
        <w:t>R</w:t>
      </w:r>
      <w:r w:rsidR="00ED4A93">
        <w:t>ésultats du sondage sur la dotation et l’impartialité politique</w:t>
      </w:r>
    </w:p>
    <w:p w14:paraId="346F9CCB" w14:textId="77777777" w:rsidR="00ED4A93" w:rsidRPr="000F6C01" w:rsidRDefault="00ED4A93" w:rsidP="00ED4A93">
      <w:pPr>
        <w:pStyle w:val="Paragraphedeliste"/>
        <w:spacing w:before="120" w:after="120"/>
        <w:contextualSpacing w:val="0"/>
        <w:rPr>
          <w:rFonts w:asciiTheme="minorHAnsi" w:hAnsiTheme="minorHAnsi" w:cstheme="minorHAnsi"/>
          <w:sz w:val="22"/>
          <w:szCs w:val="22"/>
        </w:rPr>
      </w:pPr>
      <w:r w:rsidRPr="000F6C01">
        <w:rPr>
          <w:rFonts w:asciiTheme="minorHAnsi" w:hAnsiTheme="minorHAnsi" w:cstheme="minorHAnsi"/>
          <w:sz w:val="22"/>
          <w:szCs w:val="22"/>
        </w:rPr>
        <w:t xml:space="preserve">Voici les principales conclusions basées sur les résultats du sondage sur la dotation et l’impartialité politique de Santé Canada de 2018 : </w:t>
      </w:r>
    </w:p>
    <w:p w14:paraId="38DEE393" w14:textId="77777777" w:rsidR="00ED4A93" w:rsidRPr="000F6C01" w:rsidRDefault="00ED4A93" w:rsidP="000F6C01">
      <w:pPr>
        <w:numPr>
          <w:ilvl w:val="0"/>
          <w:numId w:val="7"/>
        </w:numPr>
        <w:rPr>
          <w:rFonts w:asciiTheme="minorHAnsi" w:hAnsiTheme="minorHAnsi" w:cstheme="minorHAnsi"/>
          <w:sz w:val="22"/>
          <w:szCs w:val="22"/>
        </w:rPr>
      </w:pPr>
      <w:r w:rsidRPr="000F6C01">
        <w:rPr>
          <w:rFonts w:asciiTheme="minorHAnsi" w:hAnsiTheme="minorHAnsi" w:cstheme="minorHAnsi"/>
          <w:sz w:val="22"/>
          <w:szCs w:val="22"/>
        </w:rPr>
        <w:t>58,0 % des employés sont d’accord que les personnes embauchées sont aptes à faire le travail, comparativement à 52,3 % dans les organisations d’envergure semblable et à 53,8 % dans la fonction publique fédérale.</w:t>
      </w:r>
    </w:p>
    <w:p w14:paraId="59CD5159" w14:textId="77777777" w:rsidR="00ED4A93" w:rsidRPr="000F6C01" w:rsidRDefault="00ED4A93" w:rsidP="000F6C01">
      <w:pPr>
        <w:numPr>
          <w:ilvl w:val="0"/>
          <w:numId w:val="7"/>
        </w:numPr>
        <w:rPr>
          <w:rFonts w:asciiTheme="minorHAnsi" w:hAnsiTheme="minorHAnsi" w:cstheme="minorHAnsi"/>
          <w:sz w:val="22"/>
          <w:szCs w:val="22"/>
        </w:rPr>
      </w:pPr>
      <w:r w:rsidRPr="000F6C01">
        <w:rPr>
          <w:rFonts w:asciiTheme="minorHAnsi" w:hAnsiTheme="minorHAnsi" w:cstheme="minorHAnsi"/>
          <w:sz w:val="22"/>
          <w:szCs w:val="22"/>
        </w:rPr>
        <w:t>62,7 % des gestionnaires sont d’accord que la Nouvelle orientation en dotation (NOD) a amélioré la façon dont ils embauchent et nomment des personnes au sein de leur organisation, comparativement à 54,4 % dans les organisations d’envergure semblable et à 56,1 % dans la fonction publique fédérale.</w:t>
      </w:r>
    </w:p>
    <w:p w14:paraId="34B6A018" w14:textId="77777777" w:rsidR="00ED4A93" w:rsidRPr="000F6C01" w:rsidRDefault="00ED4A93" w:rsidP="000F6C01">
      <w:pPr>
        <w:numPr>
          <w:ilvl w:val="0"/>
          <w:numId w:val="7"/>
        </w:numPr>
        <w:rPr>
          <w:rFonts w:asciiTheme="minorHAnsi" w:hAnsiTheme="minorHAnsi" w:cstheme="minorHAnsi"/>
          <w:sz w:val="22"/>
          <w:szCs w:val="22"/>
        </w:rPr>
      </w:pPr>
      <w:r w:rsidRPr="000F6C01">
        <w:rPr>
          <w:rFonts w:asciiTheme="minorHAnsi" w:hAnsiTheme="minorHAnsi" w:cstheme="minorHAnsi"/>
          <w:sz w:val="22"/>
          <w:szCs w:val="22"/>
        </w:rPr>
        <w:t xml:space="preserve">77,7 % des </w:t>
      </w:r>
      <w:r w:rsidRPr="000F6C01">
        <w:rPr>
          <w:rFonts w:asciiTheme="minorHAnsi" w:hAnsiTheme="minorHAnsi" w:cstheme="minorHAnsi"/>
          <w:bCs/>
          <w:sz w:val="22"/>
          <w:szCs w:val="22"/>
        </w:rPr>
        <w:t>gestionnaires</w:t>
      </w:r>
      <w:r w:rsidRPr="000F6C01">
        <w:rPr>
          <w:rFonts w:asciiTheme="minorHAnsi" w:hAnsiTheme="minorHAnsi" w:cstheme="minorHAnsi"/>
          <w:sz w:val="22"/>
          <w:szCs w:val="22"/>
        </w:rPr>
        <w:t xml:space="preserve"> ont indiqué qu’ils comprennent la NOD, comparativement à 60,1 % dans les organisations d’envergure semblable et à 61,4 % dans l’ensemble des organisations de la fonction publique fédérale.</w:t>
      </w:r>
    </w:p>
    <w:p w14:paraId="5D288D9C" w14:textId="77777777" w:rsidR="00ED4A93" w:rsidRPr="000F6C01" w:rsidRDefault="00ED4A93" w:rsidP="000F6C01">
      <w:pPr>
        <w:numPr>
          <w:ilvl w:val="0"/>
          <w:numId w:val="7"/>
        </w:numPr>
        <w:rPr>
          <w:rFonts w:asciiTheme="minorHAnsi" w:hAnsiTheme="minorHAnsi" w:cstheme="minorHAnsi"/>
          <w:color w:val="333333"/>
          <w:sz w:val="22"/>
          <w:szCs w:val="22"/>
        </w:rPr>
      </w:pPr>
      <w:r w:rsidRPr="000F6C01">
        <w:rPr>
          <w:rFonts w:asciiTheme="minorHAnsi" w:hAnsiTheme="minorHAnsi" w:cstheme="minorHAnsi"/>
          <w:sz w:val="22"/>
          <w:szCs w:val="22"/>
        </w:rPr>
        <w:t>60 % des gestionnaires estiment que la dotation n’est pas assez rapide, comparativement à 64,5 % dans les organisations d’envergure semblable et à 62,4 % dans l’ensemble des organisations de la fonction publique fédérale.</w:t>
      </w:r>
    </w:p>
    <w:p w14:paraId="246CE55F" w14:textId="678B0CBE" w:rsidR="000F6C01" w:rsidRPr="00D07A61" w:rsidRDefault="00ED4A93" w:rsidP="000F6C01">
      <w:pPr>
        <w:numPr>
          <w:ilvl w:val="0"/>
          <w:numId w:val="7"/>
        </w:numPr>
      </w:pPr>
      <w:r w:rsidRPr="009B27F6">
        <w:rPr>
          <w:rFonts w:asciiTheme="minorHAnsi" w:hAnsiTheme="minorHAnsi" w:cstheme="minorHAnsi"/>
          <w:sz w:val="22"/>
          <w:szCs w:val="22"/>
        </w:rPr>
        <w:t>88,8 % des gestionnaires sont d’accord que, dans leur organisation, le processus administratif de dotation est trop complexe, comparativement à 88,6 % dans les organisations d’envergure semblable et à 87,9 % dan</w:t>
      </w:r>
      <w:r w:rsidR="00D07A61">
        <w:rPr>
          <w:rFonts w:asciiTheme="minorHAnsi" w:hAnsiTheme="minorHAnsi" w:cstheme="minorHAnsi"/>
          <w:sz w:val="22"/>
          <w:szCs w:val="22"/>
        </w:rPr>
        <w:t>s la fonction publique fédérale.</w:t>
      </w:r>
    </w:p>
    <w:p w14:paraId="00A82317" w14:textId="77777777" w:rsidR="00ED4A93" w:rsidRPr="000F6C01" w:rsidRDefault="000F6C01" w:rsidP="00D07A61">
      <w:pPr>
        <w:pStyle w:val="Titre1"/>
        <w:spacing w:before="120" w:after="120"/>
      </w:pPr>
      <w:r w:rsidRPr="000F6C01">
        <w:t>Profil de diversité</w:t>
      </w:r>
    </w:p>
    <w:p w14:paraId="4D56D7F6" w14:textId="77777777" w:rsidR="00ED4A93" w:rsidRPr="000F6C01" w:rsidRDefault="00ED4A93" w:rsidP="00ED4A93">
      <w:pPr>
        <w:pStyle w:val="Sansinterligne"/>
        <w:spacing w:before="120" w:after="120"/>
        <w:rPr>
          <w:rFonts w:asciiTheme="minorHAnsi" w:hAnsiTheme="minorHAnsi" w:cstheme="minorHAnsi"/>
          <w:color w:val="000000"/>
          <w:sz w:val="22"/>
          <w:szCs w:val="22"/>
        </w:rPr>
      </w:pPr>
      <w:r w:rsidRPr="000F6C01">
        <w:rPr>
          <w:rFonts w:asciiTheme="minorHAnsi" w:hAnsiTheme="minorHAnsi" w:cstheme="minorHAnsi"/>
          <w:color w:val="000000"/>
          <w:sz w:val="22"/>
          <w:szCs w:val="22"/>
        </w:rPr>
        <w:t>Les estimations de disponibilité au sein de la population active dans la fonction publique pour 2019 ont été mises à jour dans le Profil de diversité même si les nouvelles estimations pour les organisations ne seront publiées qu’au cours du prochain mois. Selon les données de 2017-2018, la représentation à SC dépasse la disponibilité au sein de la population active pour les femmes, les minorités visibles et des groupes d’autochtones désignés, mais est inférieure à la disponibilité au sein de la population active pour les personnes handicapées. Cependant, ces résultats seront révisés lorsque de nouvelles estimations seront publiées plus tard ce mois-ci.</w:t>
      </w:r>
    </w:p>
    <w:p w14:paraId="17A7D176" w14:textId="77777777" w:rsidR="00434021" w:rsidRDefault="00434021" w:rsidP="00F52433">
      <w:pPr>
        <w:pStyle w:val="Lgende"/>
        <w:keepNext/>
      </w:pPr>
      <w:r>
        <w:t xml:space="preserve">Table </w:t>
      </w:r>
      <w:r>
        <w:fldChar w:fldCharType="begin"/>
      </w:r>
      <w:r>
        <w:instrText xml:space="preserve"> SEQ Table \* ARABIC </w:instrText>
      </w:r>
      <w:r>
        <w:fldChar w:fldCharType="separate"/>
      </w:r>
      <w:r w:rsidR="00A61389">
        <w:rPr>
          <w:noProof/>
        </w:rPr>
        <w:t>2</w:t>
      </w:r>
      <w:r>
        <w:fldChar w:fldCharType="end"/>
      </w:r>
      <w:r>
        <w:t xml:space="preserve"> - Profil de diversité</w:t>
      </w:r>
    </w:p>
    <w:tbl>
      <w:tblPr>
        <w:tblStyle w:val="Grilledutableau"/>
        <w:tblW w:w="0" w:type="auto"/>
        <w:jc w:val="center"/>
        <w:tblLook w:val="04A0" w:firstRow="1" w:lastRow="0" w:firstColumn="1" w:lastColumn="0" w:noHBand="0" w:noVBand="1"/>
        <w:tblDescription w:val="Table 2 - Profil de diversité"/>
      </w:tblPr>
      <w:tblGrid>
        <w:gridCol w:w="2160"/>
        <w:gridCol w:w="2872"/>
        <w:gridCol w:w="1237"/>
        <w:gridCol w:w="3807"/>
      </w:tblGrid>
      <w:tr w:rsidR="00434021" w:rsidRPr="00434021" w14:paraId="7940969C" w14:textId="77777777" w:rsidTr="00434021">
        <w:trPr>
          <w:cantSplit/>
          <w:trHeight w:val="1012"/>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1C1B59B0" w14:textId="77777777" w:rsidR="00434021" w:rsidRPr="00434021" w:rsidRDefault="00434021" w:rsidP="00434021">
            <w:pPr>
              <w:pStyle w:val="TableTitle"/>
              <w:jc w:val="center"/>
              <w:rPr>
                <w:color w:val="FFFFFF" w:themeColor="background1"/>
              </w:rPr>
            </w:pPr>
            <w:r w:rsidRPr="00434021">
              <w:rPr>
                <w:color w:val="FFFFFF" w:themeColor="background1"/>
              </w:rPr>
              <w:t>Groupes désignés</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604C62CB" w14:textId="77777777" w:rsidR="00434021" w:rsidRPr="00434021" w:rsidRDefault="00434021" w:rsidP="00434021">
            <w:pPr>
              <w:pStyle w:val="TableTitle"/>
              <w:jc w:val="center"/>
              <w:rPr>
                <w:color w:val="FFFFFF" w:themeColor="background1"/>
              </w:rPr>
            </w:pPr>
            <w:r w:rsidRPr="00434021">
              <w:rPr>
                <w:color w:val="FFFFFF" w:themeColor="background1"/>
              </w:rPr>
              <w:t>Disponibilité au sein de la population active</w:t>
            </w:r>
          </w:p>
        </w:tc>
        <w:tc>
          <w:tcPr>
            <w:tcW w:w="0" w:type="auto"/>
            <w:tcBorders>
              <w:top w:val="single" w:sz="4" w:space="0" w:color="auto"/>
              <w:left w:val="single" w:sz="4" w:space="0" w:color="auto"/>
              <w:right w:val="single" w:sz="4" w:space="0" w:color="auto"/>
            </w:tcBorders>
            <w:shd w:val="clear" w:color="auto" w:fill="BF3C00"/>
            <w:vAlign w:val="center"/>
            <w:hideMark/>
          </w:tcPr>
          <w:p w14:paraId="6D76E5E0" w14:textId="77777777" w:rsidR="00434021" w:rsidRPr="00434021" w:rsidRDefault="00434021" w:rsidP="00434021">
            <w:pPr>
              <w:pStyle w:val="TableTitle"/>
              <w:jc w:val="center"/>
              <w:rPr>
                <w:color w:val="FFFFFF" w:themeColor="background1"/>
              </w:rPr>
            </w:pPr>
            <w:r w:rsidRPr="00434021">
              <w:rPr>
                <w:color w:val="FFFFFF" w:themeColor="background1"/>
              </w:rPr>
              <w:t>Santé Canada</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hideMark/>
          </w:tcPr>
          <w:p w14:paraId="055DC44E" w14:textId="77777777" w:rsidR="00434021" w:rsidRPr="00434021" w:rsidRDefault="00434021" w:rsidP="00434021">
            <w:pPr>
              <w:pStyle w:val="TableTitle"/>
              <w:jc w:val="center"/>
              <w:rPr>
                <w:color w:val="FFFFFF" w:themeColor="background1"/>
              </w:rPr>
            </w:pPr>
            <w:r w:rsidRPr="00434021">
              <w:rPr>
                <w:color w:val="FFFFFF" w:themeColor="background1"/>
              </w:rPr>
              <w:t>Représentation à l'échelle de la fonction publique  du Canada</w:t>
            </w:r>
          </w:p>
        </w:tc>
      </w:tr>
      <w:tr w:rsidR="00434021" w:rsidRPr="00434021" w14:paraId="0D39B279" w14:textId="77777777" w:rsidTr="00434021">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3DDEDA4E" w14:textId="77777777" w:rsidR="00434021" w:rsidRPr="00434021" w:rsidRDefault="00434021" w:rsidP="008A5FB8">
            <w:pPr>
              <w:autoSpaceDE w:val="0"/>
              <w:autoSpaceDN w:val="0"/>
              <w:adjustRightInd w:val="0"/>
              <w:rPr>
                <w:rFonts w:asciiTheme="minorHAnsi" w:hAnsiTheme="minorHAnsi" w:cstheme="minorHAnsi"/>
                <w:sz w:val="22"/>
              </w:rPr>
            </w:pPr>
            <w:r w:rsidRPr="00434021">
              <w:rPr>
                <w:rFonts w:asciiTheme="minorHAnsi" w:hAnsiTheme="minorHAnsi" w:cstheme="minorHAnsi"/>
                <w:sz w:val="22"/>
              </w:rPr>
              <w:t>Femmes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69B116" w14:textId="77777777" w:rsidR="00434021" w:rsidRPr="00434021" w:rsidRDefault="00434021" w:rsidP="008A5FB8">
            <w:pPr>
              <w:autoSpaceDE w:val="0"/>
              <w:autoSpaceDN w:val="0"/>
              <w:adjustRightInd w:val="0"/>
              <w:jc w:val="center"/>
              <w:rPr>
                <w:rFonts w:asciiTheme="minorHAnsi" w:hAnsiTheme="minorHAnsi" w:cstheme="minorHAnsi"/>
                <w:sz w:val="22"/>
              </w:rPr>
            </w:pPr>
            <w:r w:rsidRPr="00434021">
              <w:rPr>
                <w:rFonts w:asciiTheme="minorHAnsi" w:hAnsiTheme="minorHAnsi" w:cstheme="minorHAnsi"/>
                <w:sz w:val="22"/>
              </w:rPr>
              <w:t>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BB6F29" w14:textId="77777777" w:rsidR="00434021" w:rsidRPr="00434021" w:rsidRDefault="00434021" w:rsidP="008A5FB8">
            <w:pPr>
              <w:autoSpaceDE w:val="0"/>
              <w:autoSpaceDN w:val="0"/>
              <w:adjustRightInd w:val="0"/>
              <w:jc w:val="center"/>
              <w:rPr>
                <w:rFonts w:asciiTheme="minorHAnsi" w:hAnsiTheme="minorHAnsi" w:cstheme="minorHAnsi"/>
                <w:sz w:val="22"/>
              </w:rPr>
            </w:pPr>
            <w:r w:rsidRPr="00434021">
              <w:rPr>
                <w:rFonts w:asciiTheme="minorHAnsi" w:hAnsiTheme="minorHAnsi" w:cstheme="minorHAnsi"/>
                <w:sz w:val="22"/>
              </w:rPr>
              <w:t>66.7%</w:t>
            </w:r>
          </w:p>
        </w:tc>
        <w:tc>
          <w:tcPr>
            <w:tcW w:w="0" w:type="auto"/>
            <w:tcBorders>
              <w:top w:val="single" w:sz="4" w:space="0" w:color="auto"/>
              <w:left w:val="single" w:sz="4" w:space="0" w:color="auto"/>
              <w:bottom w:val="single" w:sz="4" w:space="0" w:color="auto"/>
              <w:right w:val="single" w:sz="4" w:space="0" w:color="auto"/>
            </w:tcBorders>
            <w:hideMark/>
          </w:tcPr>
          <w:p w14:paraId="6FA44D63" w14:textId="77777777" w:rsidR="00434021" w:rsidRPr="00434021" w:rsidRDefault="00434021" w:rsidP="008A5FB8">
            <w:pPr>
              <w:autoSpaceDE w:val="0"/>
              <w:autoSpaceDN w:val="0"/>
              <w:adjustRightInd w:val="0"/>
              <w:jc w:val="center"/>
              <w:rPr>
                <w:rFonts w:asciiTheme="minorHAnsi" w:hAnsiTheme="minorHAnsi" w:cstheme="minorHAnsi"/>
                <w:sz w:val="22"/>
              </w:rPr>
            </w:pPr>
            <w:r w:rsidRPr="00434021">
              <w:rPr>
                <w:rFonts w:asciiTheme="minorHAnsi" w:hAnsiTheme="minorHAnsi" w:cstheme="minorHAnsi"/>
                <w:sz w:val="22"/>
              </w:rPr>
              <w:t>54.8%</w:t>
            </w:r>
          </w:p>
        </w:tc>
      </w:tr>
      <w:tr w:rsidR="00434021" w:rsidRPr="00434021" w14:paraId="55CD0E6D" w14:textId="77777777" w:rsidTr="00434021">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798087D2" w14:textId="77777777" w:rsidR="00434021" w:rsidRPr="00434021" w:rsidRDefault="00434021" w:rsidP="008A5FB8">
            <w:pPr>
              <w:autoSpaceDE w:val="0"/>
              <w:autoSpaceDN w:val="0"/>
              <w:adjustRightInd w:val="0"/>
              <w:rPr>
                <w:rFonts w:asciiTheme="minorHAnsi" w:hAnsiTheme="minorHAnsi" w:cstheme="minorHAnsi"/>
                <w:sz w:val="22"/>
              </w:rPr>
            </w:pPr>
            <w:r w:rsidRPr="00434021">
              <w:rPr>
                <w:rFonts w:asciiTheme="minorHAnsi" w:hAnsiTheme="minorHAnsi" w:cstheme="minorHAnsi"/>
                <w:sz w:val="22"/>
              </w:rPr>
              <w:t>Autochtones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E78883" w14:textId="5A6456FC" w:rsidR="00434021" w:rsidRPr="00434021" w:rsidRDefault="00085852" w:rsidP="008A5FB8">
            <w:pPr>
              <w:autoSpaceDE w:val="0"/>
              <w:autoSpaceDN w:val="0"/>
              <w:adjustRightInd w:val="0"/>
              <w:jc w:val="center"/>
              <w:rPr>
                <w:rFonts w:asciiTheme="minorHAnsi" w:hAnsiTheme="minorHAnsi" w:cstheme="minorHAnsi"/>
                <w:sz w:val="22"/>
              </w:rPr>
            </w:pPr>
            <w:r>
              <w:rPr>
                <w:rFonts w:asciiTheme="minorHAnsi" w:hAnsiTheme="minorHAnsi" w:cstheme="minorHAnsi"/>
                <w:sz w:val="22"/>
              </w:rPr>
              <w:t>4</w:t>
            </w:r>
            <w:r w:rsidR="00434021" w:rsidRPr="00434021">
              <w:rPr>
                <w:rFonts w:asciiTheme="minorHAnsi" w:hAnsiTheme="minorHAnsi" w:cstheme="minorHAnsi"/>
                <w:sz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6CE1EF" w14:textId="77777777" w:rsidR="00434021" w:rsidRPr="00434021" w:rsidRDefault="00434021" w:rsidP="008A5FB8">
            <w:pPr>
              <w:autoSpaceDE w:val="0"/>
              <w:autoSpaceDN w:val="0"/>
              <w:adjustRightInd w:val="0"/>
              <w:jc w:val="center"/>
              <w:rPr>
                <w:rFonts w:asciiTheme="minorHAnsi" w:hAnsiTheme="minorHAnsi" w:cstheme="minorHAnsi"/>
                <w:sz w:val="22"/>
              </w:rPr>
            </w:pPr>
            <w:r w:rsidRPr="00434021">
              <w:rPr>
                <w:rFonts w:asciiTheme="minorHAnsi" w:hAnsiTheme="minorHAnsi" w:cstheme="minorHAnsi"/>
                <w:sz w:val="22"/>
              </w:rPr>
              <w:t>7.6%</w:t>
            </w:r>
          </w:p>
        </w:tc>
        <w:tc>
          <w:tcPr>
            <w:tcW w:w="0" w:type="auto"/>
            <w:tcBorders>
              <w:top w:val="single" w:sz="4" w:space="0" w:color="auto"/>
              <w:left w:val="single" w:sz="4" w:space="0" w:color="auto"/>
              <w:bottom w:val="single" w:sz="4" w:space="0" w:color="auto"/>
              <w:right w:val="single" w:sz="4" w:space="0" w:color="auto"/>
            </w:tcBorders>
            <w:hideMark/>
          </w:tcPr>
          <w:p w14:paraId="47244738" w14:textId="77777777" w:rsidR="00434021" w:rsidRPr="00434021" w:rsidRDefault="00434021" w:rsidP="008A5FB8">
            <w:pPr>
              <w:autoSpaceDE w:val="0"/>
              <w:autoSpaceDN w:val="0"/>
              <w:adjustRightInd w:val="0"/>
              <w:jc w:val="center"/>
              <w:rPr>
                <w:rFonts w:asciiTheme="minorHAnsi" w:hAnsiTheme="minorHAnsi" w:cstheme="minorHAnsi"/>
                <w:sz w:val="22"/>
              </w:rPr>
            </w:pPr>
            <w:r w:rsidRPr="00434021">
              <w:rPr>
                <w:rFonts w:asciiTheme="minorHAnsi" w:hAnsiTheme="minorHAnsi" w:cstheme="minorHAnsi"/>
                <w:sz w:val="22"/>
              </w:rPr>
              <w:t>5.1%</w:t>
            </w:r>
          </w:p>
        </w:tc>
      </w:tr>
      <w:tr w:rsidR="00434021" w:rsidRPr="00434021" w14:paraId="57DA04B5" w14:textId="77777777" w:rsidTr="00061B0F">
        <w:trPr>
          <w:cantSplit/>
          <w:trHeight w:val="598"/>
          <w:tblHeader/>
          <w:jc w:val="center"/>
        </w:trPr>
        <w:tc>
          <w:tcPr>
            <w:tcW w:w="0" w:type="auto"/>
            <w:tcBorders>
              <w:top w:val="single" w:sz="4" w:space="0" w:color="auto"/>
              <w:left w:val="single" w:sz="4" w:space="0" w:color="auto"/>
              <w:bottom w:val="single" w:sz="4" w:space="0" w:color="auto"/>
              <w:right w:val="single" w:sz="4" w:space="0" w:color="auto"/>
            </w:tcBorders>
            <w:hideMark/>
          </w:tcPr>
          <w:p w14:paraId="36AF58B2" w14:textId="77777777" w:rsidR="00434021" w:rsidRPr="00434021" w:rsidRDefault="00434021" w:rsidP="008A5FB8">
            <w:pPr>
              <w:autoSpaceDE w:val="0"/>
              <w:autoSpaceDN w:val="0"/>
              <w:adjustRightInd w:val="0"/>
              <w:rPr>
                <w:rFonts w:asciiTheme="minorHAnsi" w:hAnsiTheme="minorHAnsi" w:cstheme="minorHAnsi"/>
                <w:sz w:val="22"/>
              </w:rPr>
            </w:pPr>
            <w:r w:rsidRPr="00434021">
              <w:rPr>
                <w:rFonts w:asciiTheme="minorHAnsi" w:hAnsiTheme="minorHAnsi" w:cstheme="minorHAnsi"/>
                <w:sz w:val="22"/>
              </w:rPr>
              <w:t>Personnes handicapées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FEA6A1E" w14:textId="2355624E" w:rsidR="00434021" w:rsidRPr="00434021" w:rsidRDefault="00085852" w:rsidP="008A5FB8">
            <w:pPr>
              <w:autoSpaceDE w:val="0"/>
              <w:autoSpaceDN w:val="0"/>
              <w:adjustRightInd w:val="0"/>
              <w:jc w:val="center"/>
              <w:rPr>
                <w:rFonts w:asciiTheme="minorHAnsi" w:hAnsiTheme="minorHAnsi" w:cstheme="minorHAnsi"/>
                <w:sz w:val="22"/>
              </w:rPr>
            </w:pPr>
            <w:r>
              <w:rPr>
                <w:rFonts w:asciiTheme="minorHAnsi" w:hAnsiTheme="minorHAnsi" w:cstheme="minorHAnsi"/>
                <w:sz w:val="22"/>
              </w:rPr>
              <w:t>9</w:t>
            </w:r>
            <w:r w:rsidR="00434021" w:rsidRPr="00434021">
              <w:rPr>
                <w:rFonts w:asciiTheme="minorHAnsi" w:hAnsiTheme="minorHAnsi" w:cstheme="minorHAnsi"/>
                <w:sz w:val="22"/>
              </w:rPr>
              <w:t>%</w:t>
            </w:r>
          </w:p>
        </w:tc>
        <w:tc>
          <w:tcPr>
            <w:tcW w:w="0" w:type="auto"/>
            <w:tcBorders>
              <w:top w:val="single" w:sz="4" w:space="0" w:color="auto"/>
              <w:left w:val="single" w:sz="4" w:space="0" w:color="auto"/>
              <w:bottom w:val="single" w:sz="4" w:space="0" w:color="auto"/>
              <w:right w:val="single" w:sz="4" w:space="0" w:color="auto"/>
            </w:tcBorders>
            <w:shd w:val="clear" w:color="auto" w:fill="FFB999"/>
            <w:vAlign w:val="center"/>
          </w:tcPr>
          <w:p w14:paraId="5EF60FB6" w14:textId="7C3E592D" w:rsidR="00434021" w:rsidRPr="00434021" w:rsidRDefault="00061B0F" w:rsidP="008A5FB8">
            <w:pPr>
              <w:autoSpaceDE w:val="0"/>
              <w:autoSpaceDN w:val="0"/>
              <w:adjustRightInd w:val="0"/>
              <w:jc w:val="center"/>
              <w:rPr>
                <w:rFonts w:asciiTheme="minorHAnsi" w:hAnsiTheme="minorHAnsi" w:cstheme="minorHAnsi"/>
                <w:sz w:val="22"/>
              </w:rPr>
            </w:pPr>
            <w:r w:rsidRPr="00842013">
              <w:rPr>
                <w:rFonts w:asciiTheme="minorHAnsi" w:eastAsiaTheme="minorHAnsi" w:hAnsiTheme="minorHAnsi" w:cstheme="minorHAnsi"/>
                <w:sz w:val="22"/>
                <w:lang w:val="en-CA"/>
              </w:rPr>
              <w:t>5.4%</w:t>
            </w:r>
          </w:p>
        </w:tc>
        <w:tc>
          <w:tcPr>
            <w:tcW w:w="0" w:type="auto"/>
            <w:tcBorders>
              <w:top w:val="single" w:sz="4" w:space="0" w:color="auto"/>
              <w:left w:val="single" w:sz="4" w:space="0" w:color="auto"/>
              <w:bottom w:val="single" w:sz="4" w:space="0" w:color="auto"/>
              <w:right w:val="single" w:sz="4" w:space="0" w:color="auto"/>
            </w:tcBorders>
            <w:vAlign w:val="center"/>
            <w:hideMark/>
          </w:tcPr>
          <w:p w14:paraId="20C59B0D" w14:textId="77777777" w:rsidR="00434021" w:rsidRPr="00434021" w:rsidRDefault="00434021" w:rsidP="008A5FB8">
            <w:pPr>
              <w:autoSpaceDE w:val="0"/>
              <w:autoSpaceDN w:val="0"/>
              <w:adjustRightInd w:val="0"/>
              <w:jc w:val="center"/>
              <w:rPr>
                <w:rFonts w:asciiTheme="minorHAnsi" w:hAnsiTheme="minorHAnsi" w:cstheme="minorHAnsi"/>
                <w:sz w:val="22"/>
              </w:rPr>
            </w:pPr>
            <w:r w:rsidRPr="00434021">
              <w:rPr>
                <w:rFonts w:asciiTheme="minorHAnsi" w:hAnsiTheme="minorHAnsi" w:cstheme="minorHAnsi"/>
                <w:sz w:val="22"/>
              </w:rPr>
              <w:t>5.3%</w:t>
            </w:r>
          </w:p>
        </w:tc>
      </w:tr>
      <w:tr w:rsidR="00434021" w:rsidRPr="00434021" w14:paraId="688F8300" w14:textId="77777777" w:rsidTr="00434021">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61F37C6D" w14:textId="77777777" w:rsidR="00434021" w:rsidRPr="00434021" w:rsidRDefault="00434021" w:rsidP="008A5FB8">
            <w:pPr>
              <w:autoSpaceDE w:val="0"/>
              <w:autoSpaceDN w:val="0"/>
              <w:adjustRightInd w:val="0"/>
              <w:rPr>
                <w:rFonts w:asciiTheme="minorHAnsi" w:hAnsiTheme="minorHAnsi" w:cstheme="minorHAnsi"/>
                <w:sz w:val="22"/>
              </w:rPr>
            </w:pPr>
            <w:r w:rsidRPr="00434021">
              <w:rPr>
                <w:rFonts w:asciiTheme="minorHAnsi" w:hAnsiTheme="minorHAnsi" w:cstheme="minorHAnsi"/>
                <w:sz w:val="22"/>
              </w:rPr>
              <w:t>Membres de minorités visibles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F95848" w14:textId="7BBB5114" w:rsidR="00434021" w:rsidRPr="00434021" w:rsidRDefault="00085852" w:rsidP="008A5FB8">
            <w:pPr>
              <w:autoSpaceDE w:val="0"/>
              <w:autoSpaceDN w:val="0"/>
              <w:adjustRightInd w:val="0"/>
              <w:jc w:val="center"/>
              <w:rPr>
                <w:rFonts w:asciiTheme="minorHAnsi" w:hAnsiTheme="minorHAnsi" w:cstheme="minorHAnsi"/>
                <w:sz w:val="22"/>
              </w:rPr>
            </w:pPr>
            <w:r>
              <w:rPr>
                <w:rFonts w:asciiTheme="minorHAnsi" w:hAnsiTheme="minorHAnsi" w:cstheme="minorHAnsi"/>
                <w:sz w:val="22"/>
              </w:rPr>
              <w:t>15.3</w:t>
            </w:r>
            <w:r w:rsidR="00434021" w:rsidRPr="00434021">
              <w:rPr>
                <w:rFonts w:asciiTheme="minorHAnsi" w:hAnsiTheme="minorHAnsi" w:cstheme="minorHAnsi"/>
                <w:sz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BCB791" w14:textId="77777777" w:rsidR="00434021" w:rsidRPr="00434021" w:rsidRDefault="00434021" w:rsidP="008A5FB8">
            <w:pPr>
              <w:autoSpaceDE w:val="0"/>
              <w:autoSpaceDN w:val="0"/>
              <w:adjustRightInd w:val="0"/>
              <w:jc w:val="center"/>
              <w:rPr>
                <w:rFonts w:asciiTheme="minorHAnsi" w:hAnsiTheme="minorHAnsi" w:cstheme="minorHAnsi"/>
                <w:sz w:val="22"/>
              </w:rPr>
            </w:pPr>
            <w:r w:rsidRPr="00434021">
              <w:rPr>
                <w:rFonts w:asciiTheme="minorHAnsi" w:hAnsiTheme="minorHAnsi" w:cstheme="minorHAnsi"/>
                <w:sz w:val="22"/>
              </w:rPr>
              <w:t>22.6%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B27B7" w14:textId="77777777" w:rsidR="00434021" w:rsidRPr="00434021" w:rsidRDefault="00434021" w:rsidP="008A5FB8">
            <w:pPr>
              <w:autoSpaceDE w:val="0"/>
              <w:autoSpaceDN w:val="0"/>
              <w:adjustRightInd w:val="0"/>
              <w:jc w:val="center"/>
              <w:rPr>
                <w:rFonts w:asciiTheme="minorHAnsi" w:hAnsiTheme="minorHAnsi" w:cstheme="minorHAnsi"/>
                <w:sz w:val="22"/>
              </w:rPr>
            </w:pPr>
            <w:r w:rsidRPr="00434021">
              <w:rPr>
                <w:rFonts w:asciiTheme="minorHAnsi" w:hAnsiTheme="minorHAnsi" w:cstheme="minorHAnsi"/>
                <w:sz w:val="22"/>
              </w:rPr>
              <w:t>15.7%</w:t>
            </w:r>
          </w:p>
        </w:tc>
      </w:tr>
    </w:tbl>
    <w:p w14:paraId="64DCCC54" w14:textId="77777777" w:rsidR="005408A9" w:rsidRDefault="000F6C01" w:rsidP="00D07A61">
      <w:pPr>
        <w:autoSpaceDE w:val="0"/>
        <w:autoSpaceDN w:val="0"/>
        <w:adjustRightInd w:val="0"/>
        <w:rPr>
          <w:rFonts w:asciiTheme="minorHAnsi" w:hAnsiTheme="minorHAnsi" w:cstheme="minorHAnsi"/>
          <w:sz w:val="22"/>
        </w:rPr>
        <w:sectPr w:rsidR="005408A9" w:rsidSect="005408A9">
          <w:pgSz w:w="12240" w:h="15840"/>
          <w:pgMar w:top="1440" w:right="1077" w:bottom="1440" w:left="1077" w:header="709" w:footer="284" w:gutter="0"/>
          <w:cols w:space="708"/>
          <w:titlePg/>
          <w:docGrid w:linePitch="360"/>
        </w:sectPr>
      </w:pPr>
      <w:r w:rsidRPr="00D05285">
        <w:rPr>
          <w:rFonts w:asciiTheme="minorHAnsi" w:hAnsiTheme="minorHAnsi" w:cstheme="minorHAnsi"/>
          <w:sz w:val="22"/>
        </w:rPr>
        <w:t xml:space="preserve">Source : </w:t>
      </w:r>
      <w:hyperlink r:id="rId11" w:history="1">
        <w:r w:rsidR="00D05285" w:rsidRPr="00D05285">
          <w:rPr>
            <w:rStyle w:val="Lienhypertexte"/>
            <w:rFonts w:asciiTheme="minorHAnsi" w:hAnsiTheme="minorHAnsi" w:cstheme="minorHAnsi"/>
            <w:sz w:val="22"/>
          </w:rPr>
          <w:t>L'équité en emploi dans la fonction publique du Canada 2017 - 2018</w:t>
        </w:r>
      </w:hyperlink>
      <w:r w:rsidR="00D07A61">
        <w:rPr>
          <w:rFonts w:asciiTheme="minorHAnsi" w:hAnsiTheme="minorHAnsi" w:cstheme="minorHAnsi"/>
          <w:sz w:val="22"/>
        </w:rPr>
        <w:t xml:space="preserve"> </w:t>
      </w:r>
      <w:r w:rsidR="00D05285" w:rsidRPr="00D05285">
        <w:rPr>
          <w:rFonts w:asciiTheme="minorHAnsi" w:hAnsiTheme="minorHAnsi" w:cstheme="minorHAnsi"/>
          <w:sz w:val="22"/>
        </w:rPr>
        <w:t>Secrétariat du Conseil du Trésor du Canada</w:t>
      </w:r>
    </w:p>
    <w:p w14:paraId="28B8DBF2" w14:textId="77777777" w:rsidR="00ED4A93" w:rsidRPr="001D18F3" w:rsidRDefault="001D18F3" w:rsidP="001D18F3">
      <w:pPr>
        <w:pStyle w:val="Titre1"/>
      </w:pPr>
      <w:r w:rsidRPr="001D18F3">
        <w:lastRenderedPageBreak/>
        <w:t>Droits de priorité et vétérans</w:t>
      </w:r>
    </w:p>
    <w:p w14:paraId="56DAABEE" w14:textId="77777777" w:rsidR="00ED4A93" w:rsidRPr="001D18F3" w:rsidRDefault="00ED4A93" w:rsidP="00ED4A93">
      <w:pPr>
        <w:pStyle w:val="Sansinterligne"/>
        <w:spacing w:before="120" w:after="120"/>
        <w:rPr>
          <w:rFonts w:asciiTheme="minorHAnsi" w:hAnsiTheme="minorHAnsi" w:cstheme="minorHAnsi"/>
          <w:color w:val="000000"/>
          <w:sz w:val="22"/>
          <w:szCs w:val="22"/>
        </w:rPr>
      </w:pPr>
      <w:r w:rsidRPr="001D18F3">
        <w:rPr>
          <w:rFonts w:asciiTheme="minorHAnsi" w:hAnsiTheme="minorHAnsi" w:cstheme="minorHAnsi"/>
          <w:color w:val="000000"/>
          <w:sz w:val="22"/>
          <w:szCs w:val="22"/>
        </w:rPr>
        <w:t>Du 1</w:t>
      </w:r>
      <w:r w:rsidRPr="001D18F3">
        <w:rPr>
          <w:rFonts w:asciiTheme="minorHAnsi" w:hAnsiTheme="minorHAnsi" w:cstheme="minorHAnsi"/>
          <w:color w:val="000000"/>
          <w:sz w:val="22"/>
          <w:szCs w:val="22"/>
          <w:vertAlign w:val="superscript"/>
        </w:rPr>
        <w:t>er</w:t>
      </w:r>
      <w:r w:rsidRPr="001D18F3">
        <w:rPr>
          <w:rFonts w:asciiTheme="minorHAnsi" w:hAnsiTheme="minorHAnsi" w:cstheme="minorHAnsi"/>
          <w:color w:val="000000"/>
          <w:sz w:val="22"/>
          <w:szCs w:val="22"/>
        </w:rPr>
        <w:t> avril 2018 au 26 août 2019, SC a nommé 24 personnes bénéficiant d’un droit de priorité pour une période indéterminée. Parmi ces nominations, 10 provenaient de l’interne, 14 provenaient d’autres organisations.</w:t>
      </w:r>
    </w:p>
    <w:p w14:paraId="1E029B36" w14:textId="77777777" w:rsidR="00ED4A93" w:rsidRPr="001D18F3" w:rsidRDefault="00ED4A93" w:rsidP="00ED4A93">
      <w:pPr>
        <w:pStyle w:val="Sansinterligne"/>
        <w:spacing w:before="120" w:after="120"/>
        <w:rPr>
          <w:rFonts w:asciiTheme="minorHAnsi" w:hAnsiTheme="minorHAnsi" w:cstheme="minorHAnsi"/>
          <w:color w:val="000000"/>
          <w:sz w:val="22"/>
          <w:szCs w:val="22"/>
        </w:rPr>
      </w:pPr>
      <w:r w:rsidRPr="001D18F3">
        <w:rPr>
          <w:rFonts w:asciiTheme="minorHAnsi" w:hAnsiTheme="minorHAnsi" w:cstheme="minorHAnsi"/>
          <w:color w:val="000000"/>
          <w:sz w:val="22"/>
          <w:szCs w:val="22"/>
        </w:rPr>
        <w:t>En date du 26 août 2019, SC comptait 41 personnes bénéficiant d’un droit de priorité actives dans le Système de gestion de l’information sur les priorités :</w:t>
      </w:r>
    </w:p>
    <w:p w14:paraId="6509209C" w14:textId="3BDCC36F" w:rsidR="00ED4A93" w:rsidRPr="001D18F3" w:rsidRDefault="00ED4A93" w:rsidP="004E0365">
      <w:pPr>
        <w:pStyle w:val="Sansinterligne"/>
        <w:numPr>
          <w:ilvl w:val="0"/>
          <w:numId w:val="30"/>
        </w:numPr>
        <w:rPr>
          <w:rFonts w:asciiTheme="minorHAnsi" w:hAnsiTheme="minorHAnsi" w:cstheme="minorHAnsi"/>
          <w:color w:val="000000"/>
          <w:sz w:val="22"/>
          <w:szCs w:val="22"/>
        </w:rPr>
      </w:pPr>
      <w:r w:rsidRPr="001D18F3">
        <w:rPr>
          <w:rFonts w:asciiTheme="minorHAnsi" w:hAnsiTheme="minorHAnsi" w:cstheme="minorHAnsi"/>
          <w:color w:val="000000"/>
          <w:sz w:val="22"/>
          <w:szCs w:val="22"/>
        </w:rPr>
        <w:t xml:space="preserve">31 ont droit à un congé autorisé; </w:t>
      </w:r>
    </w:p>
    <w:p w14:paraId="2A34F124" w14:textId="455A18F9" w:rsidR="00ED4A93" w:rsidRPr="001D18F3" w:rsidRDefault="00ED4A93" w:rsidP="004E0365">
      <w:pPr>
        <w:pStyle w:val="Sansinterligne"/>
        <w:numPr>
          <w:ilvl w:val="0"/>
          <w:numId w:val="30"/>
        </w:numPr>
        <w:rPr>
          <w:rFonts w:asciiTheme="minorHAnsi" w:hAnsiTheme="minorHAnsi" w:cstheme="minorHAnsi"/>
          <w:color w:val="000000"/>
          <w:sz w:val="22"/>
          <w:szCs w:val="22"/>
        </w:rPr>
      </w:pPr>
      <w:r w:rsidRPr="001D18F3">
        <w:rPr>
          <w:rFonts w:asciiTheme="minorHAnsi" w:hAnsiTheme="minorHAnsi" w:cstheme="minorHAnsi"/>
          <w:color w:val="000000"/>
          <w:sz w:val="22"/>
          <w:szCs w:val="22"/>
        </w:rPr>
        <w:t xml:space="preserve">9 ont droit </w:t>
      </w:r>
      <w:r w:rsidR="004E0365">
        <w:rPr>
          <w:rFonts w:asciiTheme="minorHAnsi" w:hAnsiTheme="minorHAnsi" w:cstheme="minorHAnsi"/>
          <w:color w:val="000000"/>
          <w:sz w:val="22"/>
          <w:szCs w:val="22"/>
        </w:rPr>
        <w:t>à la réinstallation du conjoint</w:t>
      </w:r>
      <w:r w:rsidRPr="001D18F3">
        <w:rPr>
          <w:rFonts w:asciiTheme="minorHAnsi" w:hAnsiTheme="minorHAnsi" w:cstheme="minorHAnsi"/>
          <w:color w:val="000000"/>
          <w:sz w:val="22"/>
          <w:szCs w:val="22"/>
        </w:rPr>
        <w:t xml:space="preserve"> et</w:t>
      </w:r>
    </w:p>
    <w:p w14:paraId="4C13BE34" w14:textId="4196BA80" w:rsidR="00ED4A93" w:rsidRPr="001D18F3" w:rsidRDefault="00ED4A93" w:rsidP="004E0365">
      <w:pPr>
        <w:pStyle w:val="Sansinterligne"/>
        <w:numPr>
          <w:ilvl w:val="0"/>
          <w:numId w:val="30"/>
        </w:numPr>
        <w:rPr>
          <w:rFonts w:asciiTheme="minorHAnsi" w:hAnsiTheme="minorHAnsi" w:cstheme="minorHAnsi"/>
          <w:color w:val="000000"/>
          <w:sz w:val="22"/>
          <w:szCs w:val="22"/>
        </w:rPr>
      </w:pPr>
      <w:r w:rsidRPr="001D18F3">
        <w:rPr>
          <w:rFonts w:asciiTheme="minorHAnsi" w:hAnsiTheme="minorHAnsi" w:cstheme="minorHAnsi"/>
          <w:color w:val="000000"/>
          <w:sz w:val="22"/>
          <w:szCs w:val="22"/>
        </w:rPr>
        <w:t>1 </w:t>
      </w:r>
      <w:r w:rsidR="004E0365" w:rsidRPr="001D18F3">
        <w:rPr>
          <w:rFonts w:asciiTheme="minorHAnsi" w:hAnsiTheme="minorHAnsi" w:cstheme="minorHAnsi"/>
          <w:color w:val="000000"/>
          <w:sz w:val="22"/>
          <w:szCs w:val="22"/>
        </w:rPr>
        <w:t>à</w:t>
      </w:r>
      <w:r w:rsidRPr="001D18F3">
        <w:rPr>
          <w:rFonts w:asciiTheme="minorHAnsi" w:hAnsiTheme="minorHAnsi" w:cstheme="minorHAnsi"/>
          <w:color w:val="000000"/>
          <w:sz w:val="22"/>
          <w:szCs w:val="22"/>
        </w:rPr>
        <w:t xml:space="preserve"> un droit de réintégration.</w:t>
      </w:r>
    </w:p>
    <w:p w14:paraId="2C74BFB6" w14:textId="77777777" w:rsidR="00ED4A93" w:rsidRPr="001D18F3" w:rsidRDefault="00ED4A93" w:rsidP="00ED4A93">
      <w:pPr>
        <w:pStyle w:val="Sansinterligne"/>
        <w:spacing w:before="120" w:after="120"/>
        <w:rPr>
          <w:rFonts w:asciiTheme="minorHAnsi" w:hAnsiTheme="minorHAnsi" w:cstheme="minorHAnsi"/>
          <w:sz w:val="22"/>
          <w:szCs w:val="22"/>
        </w:rPr>
      </w:pPr>
      <w:r w:rsidRPr="001D18F3">
        <w:rPr>
          <w:rFonts w:asciiTheme="minorHAnsi" w:hAnsiTheme="minorHAnsi" w:cstheme="minorHAnsi"/>
          <w:sz w:val="22"/>
          <w:szCs w:val="22"/>
        </w:rPr>
        <w:t xml:space="preserve">Depuis l’entrée en vigueur de la </w:t>
      </w:r>
      <w:r w:rsidRPr="001D18F3">
        <w:rPr>
          <w:rStyle w:val="Accentuation"/>
        </w:rPr>
        <w:t>Loi sur l’embauche des anciens combattants</w:t>
      </w:r>
      <w:r w:rsidRPr="001D18F3">
        <w:rPr>
          <w:rFonts w:asciiTheme="minorHAnsi" w:hAnsiTheme="minorHAnsi" w:cstheme="minorHAnsi"/>
          <w:sz w:val="22"/>
          <w:szCs w:val="22"/>
        </w:rPr>
        <w:t>, SC a nommé 13 personnes bénéficiant d’un droit de priorité des Forces armées canadiennes (6 avec droit prévu par la loi et 7 avec droit réglementaire) entre le 1</w:t>
      </w:r>
      <w:r w:rsidRPr="001D18F3">
        <w:rPr>
          <w:rFonts w:asciiTheme="minorHAnsi" w:hAnsiTheme="minorHAnsi" w:cstheme="minorHAnsi"/>
          <w:sz w:val="22"/>
          <w:szCs w:val="22"/>
          <w:vertAlign w:val="superscript"/>
        </w:rPr>
        <w:t>er</w:t>
      </w:r>
      <w:r w:rsidRPr="001D18F3">
        <w:rPr>
          <w:rFonts w:asciiTheme="minorHAnsi" w:hAnsiTheme="minorHAnsi" w:cstheme="minorHAnsi"/>
          <w:sz w:val="22"/>
          <w:szCs w:val="22"/>
        </w:rPr>
        <w:t> juillet 2015 et le 31 juillet 2019.</w:t>
      </w:r>
    </w:p>
    <w:p w14:paraId="5BC4C6F6" w14:textId="34477263" w:rsidR="00605184" w:rsidRDefault="00605184" w:rsidP="00F52433">
      <w:pPr>
        <w:pStyle w:val="Lgende"/>
        <w:keepNext/>
      </w:pPr>
      <w:r>
        <w:t xml:space="preserve">Table </w:t>
      </w:r>
      <w:r>
        <w:fldChar w:fldCharType="begin"/>
      </w:r>
      <w:r>
        <w:instrText xml:space="preserve"> SEQ Table \* ARABIC </w:instrText>
      </w:r>
      <w:r>
        <w:fldChar w:fldCharType="separate"/>
      </w:r>
      <w:r>
        <w:rPr>
          <w:noProof/>
        </w:rPr>
        <w:t>3</w:t>
      </w:r>
      <w:r>
        <w:fldChar w:fldCharType="end"/>
      </w:r>
      <w:r>
        <w:t xml:space="preserve"> - Droits de priorité et </w:t>
      </w:r>
      <w:r w:rsidR="001B0947">
        <w:t>vétérans</w:t>
      </w:r>
    </w:p>
    <w:tbl>
      <w:tblPr>
        <w:tblStyle w:val="Grilledutableau"/>
        <w:tblW w:w="5000" w:type="pct"/>
        <w:jc w:val="center"/>
        <w:tblLook w:val="04A0" w:firstRow="1" w:lastRow="0" w:firstColumn="1" w:lastColumn="0" w:noHBand="0" w:noVBand="1"/>
        <w:tblCaption w:val="Données sur la nomination de bénéficaires de priorité de la CFP - Membres des forces armées canadiennes libérés pour raisons médicales - Environnement et Changement climatique Canada"/>
        <w:tblDescription w:val="Table 3 - Droits de priorité et vétérans"/>
      </w:tblPr>
      <w:tblGrid>
        <w:gridCol w:w="2519"/>
        <w:gridCol w:w="2519"/>
        <w:gridCol w:w="2519"/>
        <w:gridCol w:w="2519"/>
      </w:tblGrid>
      <w:tr w:rsidR="00605184" w:rsidRPr="00D41B49" w14:paraId="6A4AF91A" w14:textId="77777777" w:rsidTr="001A3E7A">
        <w:trPr>
          <w:cantSplit/>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0070C0"/>
            <w:vAlign w:val="center"/>
          </w:tcPr>
          <w:p w14:paraId="2711BE02" w14:textId="77777777" w:rsidR="00605184" w:rsidRPr="00D41B49" w:rsidRDefault="00605184" w:rsidP="00D07A61">
            <w:pPr>
              <w:pStyle w:val="TableTitle"/>
              <w:jc w:val="center"/>
              <w:rPr>
                <w:color w:val="FFFFFF" w:themeColor="background1"/>
                <w:sz w:val="24"/>
              </w:rPr>
            </w:pPr>
            <w:r w:rsidRPr="00EF53A9">
              <w:rPr>
                <w:smallCaps/>
                <w:color w:val="FFFFFF" w:themeColor="background1"/>
                <w:sz w:val="24"/>
              </w:rPr>
              <w:t>Période</w:t>
            </w:r>
          </w:p>
        </w:tc>
        <w:tc>
          <w:tcPr>
            <w:tcW w:w="1250" w:type="pct"/>
            <w:tcBorders>
              <w:top w:val="single" w:sz="4" w:space="0" w:color="auto"/>
              <w:left w:val="single" w:sz="4" w:space="0" w:color="auto"/>
              <w:bottom w:val="single" w:sz="4" w:space="0" w:color="auto"/>
              <w:right w:val="single" w:sz="4" w:space="0" w:color="auto"/>
            </w:tcBorders>
            <w:shd w:val="clear" w:color="auto" w:fill="0070C0"/>
            <w:vAlign w:val="center"/>
          </w:tcPr>
          <w:p w14:paraId="6EB3291E" w14:textId="77777777" w:rsidR="00605184" w:rsidRPr="00D41B49" w:rsidRDefault="00605184" w:rsidP="00D07A61">
            <w:pPr>
              <w:pStyle w:val="TableTitle"/>
              <w:jc w:val="center"/>
              <w:rPr>
                <w:smallCaps/>
                <w:color w:val="FFFFFF" w:themeColor="background1"/>
                <w:sz w:val="24"/>
              </w:rPr>
            </w:pPr>
            <w:r w:rsidRPr="00D41B49">
              <w:rPr>
                <w:smallCaps/>
                <w:color w:val="FFFFFF" w:themeColor="background1"/>
                <w:sz w:val="24"/>
              </w:rPr>
              <w:t>Attribuable au service (statutaire)</w:t>
            </w:r>
          </w:p>
        </w:tc>
        <w:tc>
          <w:tcPr>
            <w:tcW w:w="1250" w:type="pct"/>
            <w:tcBorders>
              <w:top w:val="single" w:sz="4" w:space="0" w:color="auto"/>
              <w:left w:val="single" w:sz="4" w:space="0" w:color="auto"/>
              <w:bottom w:val="single" w:sz="4" w:space="0" w:color="auto"/>
              <w:right w:val="single" w:sz="4" w:space="0" w:color="auto"/>
            </w:tcBorders>
            <w:shd w:val="clear" w:color="auto" w:fill="0070C0"/>
            <w:vAlign w:val="center"/>
          </w:tcPr>
          <w:p w14:paraId="6A3D4E4B" w14:textId="77777777" w:rsidR="00605184" w:rsidRPr="00D41B49" w:rsidRDefault="00605184" w:rsidP="00D07A61">
            <w:pPr>
              <w:pStyle w:val="TableTitle"/>
              <w:jc w:val="center"/>
              <w:rPr>
                <w:smallCaps/>
                <w:color w:val="FFFFFF" w:themeColor="background1"/>
                <w:sz w:val="24"/>
              </w:rPr>
            </w:pPr>
            <w:r w:rsidRPr="00D41B49">
              <w:rPr>
                <w:smallCaps/>
                <w:color w:val="FFFFFF" w:themeColor="background1"/>
                <w:sz w:val="24"/>
              </w:rPr>
              <w:t>Non attribuable au service (réglementaire)</w:t>
            </w:r>
          </w:p>
        </w:tc>
        <w:tc>
          <w:tcPr>
            <w:tcW w:w="1250" w:type="pct"/>
            <w:tcBorders>
              <w:top w:val="single" w:sz="4" w:space="0" w:color="auto"/>
              <w:left w:val="single" w:sz="4" w:space="0" w:color="auto"/>
              <w:bottom w:val="single" w:sz="4" w:space="0" w:color="auto"/>
              <w:right w:val="single" w:sz="4" w:space="0" w:color="auto"/>
            </w:tcBorders>
            <w:shd w:val="clear" w:color="auto" w:fill="0070C0"/>
            <w:vAlign w:val="center"/>
          </w:tcPr>
          <w:p w14:paraId="4CF190C0" w14:textId="77777777" w:rsidR="00605184" w:rsidRPr="00D41B49" w:rsidRDefault="00605184" w:rsidP="00D07A61">
            <w:pPr>
              <w:pStyle w:val="TableTitle"/>
              <w:jc w:val="center"/>
              <w:rPr>
                <w:smallCaps/>
                <w:color w:val="FFFFFF" w:themeColor="background1"/>
                <w:sz w:val="24"/>
              </w:rPr>
            </w:pPr>
            <w:r w:rsidRPr="00D41B49">
              <w:rPr>
                <w:smallCaps/>
                <w:color w:val="FFFFFF" w:themeColor="background1"/>
                <w:sz w:val="24"/>
              </w:rPr>
              <w:t>Total</w:t>
            </w:r>
          </w:p>
        </w:tc>
      </w:tr>
      <w:tr w:rsidR="00605184" w:rsidRPr="00D41B49" w14:paraId="670BD8EA" w14:textId="77777777" w:rsidTr="001A3E7A">
        <w:trPr>
          <w:cantSplit/>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0070C0"/>
            <w:vAlign w:val="center"/>
          </w:tcPr>
          <w:p w14:paraId="5943551A" w14:textId="77777777" w:rsidR="00605184" w:rsidRPr="00DC52EA" w:rsidRDefault="00605184" w:rsidP="00710898">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rPr>
            </w:pPr>
            <w:r w:rsidRPr="00DC52EA">
              <w:rPr>
                <w:rFonts w:asciiTheme="minorHAnsi" w:hAnsiTheme="minorHAnsi" w:cstheme="minorHAnsi"/>
                <w:color w:val="FFFFFF" w:themeColor="background1"/>
                <w:sz w:val="22"/>
              </w:rPr>
              <w:t>2015 (1</w:t>
            </w:r>
            <w:r w:rsidRPr="00DC52EA">
              <w:rPr>
                <w:rFonts w:asciiTheme="minorHAnsi" w:hAnsiTheme="minorHAnsi" w:cstheme="minorHAnsi"/>
                <w:color w:val="FFFFFF" w:themeColor="background1"/>
                <w:sz w:val="22"/>
                <w:vertAlign w:val="superscript"/>
              </w:rPr>
              <w:t>er</w:t>
            </w:r>
            <w:r w:rsidRPr="00DC52EA">
              <w:rPr>
                <w:rFonts w:asciiTheme="minorHAnsi" w:hAnsiTheme="minorHAnsi" w:cstheme="minorHAnsi"/>
                <w:color w:val="FFFFFF" w:themeColor="background1"/>
                <w:sz w:val="22"/>
              </w:rPr>
              <w:t> juillet)-2016</w:t>
            </w:r>
          </w:p>
        </w:tc>
        <w:tc>
          <w:tcPr>
            <w:tcW w:w="1250" w:type="pct"/>
            <w:tcBorders>
              <w:top w:val="single" w:sz="4" w:space="0" w:color="auto"/>
              <w:left w:val="single" w:sz="4" w:space="0" w:color="auto"/>
              <w:bottom w:val="single" w:sz="4" w:space="0" w:color="auto"/>
              <w:right w:val="single" w:sz="4" w:space="0" w:color="auto"/>
            </w:tcBorders>
            <w:vAlign w:val="center"/>
          </w:tcPr>
          <w:p w14:paraId="0724AD8D" w14:textId="7CC59A61"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2</w:t>
            </w:r>
          </w:p>
        </w:tc>
        <w:tc>
          <w:tcPr>
            <w:tcW w:w="1250" w:type="pct"/>
            <w:tcBorders>
              <w:top w:val="single" w:sz="4" w:space="0" w:color="auto"/>
              <w:left w:val="single" w:sz="4" w:space="0" w:color="auto"/>
              <w:bottom w:val="single" w:sz="4" w:space="0" w:color="auto"/>
              <w:right w:val="single" w:sz="4" w:space="0" w:color="auto"/>
            </w:tcBorders>
            <w:vAlign w:val="center"/>
          </w:tcPr>
          <w:p w14:paraId="2522AB4D" w14:textId="77777777" w:rsidR="00605184" w:rsidRPr="00D41B49" w:rsidRDefault="00605184"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D41B49">
              <w:rPr>
                <w:rFonts w:asciiTheme="minorHAnsi" w:hAnsiTheme="minorHAnsi" w:cstheme="minorHAnsi"/>
                <w:sz w:val="22"/>
              </w:rPr>
              <w:t>1</w:t>
            </w:r>
          </w:p>
        </w:tc>
        <w:tc>
          <w:tcPr>
            <w:tcW w:w="1250" w:type="pct"/>
            <w:tcBorders>
              <w:top w:val="single" w:sz="4" w:space="0" w:color="auto"/>
              <w:left w:val="single" w:sz="4" w:space="0" w:color="auto"/>
              <w:bottom w:val="single" w:sz="4" w:space="0" w:color="auto"/>
              <w:right w:val="single" w:sz="4" w:space="0" w:color="auto"/>
            </w:tcBorders>
            <w:vAlign w:val="center"/>
          </w:tcPr>
          <w:p w14:paraId="3E1281D7" w14:textId="6CEEAABE"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3</w:t>
            </w:r>
          </w:p>
        </w:tc>
      </w:tr>
      <w:tr w:rsidR="00605184" w:rsidRPr="00D41B49" w14:paraId="3BED0C8D" w14:textId="77777777" w:rsidTr="001A3E7A">
        <w:trPr>
          <w:cantSplit/>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0070C0"/>
            <w:vAlign w:val="center"/>
          </w:tcPr>
          <w:p w14:paraId="4C8D719B" w14:textId="77777777" w:rsidR="00605184" w:rsidRPr="00DC52EA" w:rsidRDefault="00605184" w:rsidP="00710898">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rPr>
            </w:pPr>
            <w:r w:rsidRPr="00DC52EA">
              <w:rPr>
                <w:rFonts w:asciiTheme="minorHAnsi" w:hAnsiTheme="minorHAnsi" w:cstheme="minorHAnsi"/>
                <w:color w:val="FFFFFF" w:themeColor="background1"/>
                <w:sz w:val="22"/>
              </w:rPr>
              <w:t>2016-2017</w:t>
            </w:r>
          </w:p>
        </w:tc>
        <w:tc>
          <w:tcPr>
            <w:tcW w:w="1250" w:type="pct"/>
            <w:tcBorders>
              <w:top w:val="single" w:sz="4" w:space="0" w:color="auto"/>
              <w:left w:val="single" w:sz="4" w:space="0" w:color="auto"/>
              <w:bottom w:val="single" w:sz="4" w:space="0" w:color="auto"/>
              <w:right w:val="single" w:sz="4" w:space="0" w:color="auto"/>
            </w:tcBorders>
            <w:vAlign w:val="center"/>
          </w:tcPr>
          <w:p w14:paraId="694C3706" w14:textId="5CCF4ED0"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2</w:t>
            </w:r>
          </w:p>
        </w:tc>
        <w:tc>
          <w:tcPr>
            <w:tcW w:w="1250" w:type="pct"/>
            <w:tcBorders>
              <w:top w:val="single" w:sz="4" w:space="0" w:color="auto"/>
              <w:left w:val="single" w:sz="4" w:space="0" w:color="auto"/>
              <w:bottom w:val="single" w:sz="4" w:space="0" w:color="auto"/>
              <w:right w:val="single" w:sz="4" w:space="0" w:color="auto"/>
            </w:tcBorders>
            <w:vAlign w:val="center"/>
          </w:tcPr>
          <w:p w14:paraId="2BE7DAB7" w14:textId="4667F1C1"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3</w:t>
            </w:r>
          </w:p>
        </w:tc>
        <w:tc>
          <w:tcPr>
            <w:tcW w:w="1250" w:type="pct"/>
            <w:tcBorders>
              <w:top w:val="single" w:sz="4" w:space="0" w:color="auto"/>
              <w:left w:val="single" w:sz="4" w:space="0" w:color="auto"/>
              <w:bottom w:val="single" w:sz="4" w:space="0" w:color="auto"/>
              <w:right w:val="single" w:sz="4" w:space="0" w:color="auto"/>
            </w:tcBorders>
            <w:vAlign w:val="center"/>
          </w:tcPr>
          <w:p w14:paraId="78BE69C8" w14:textId="6F21802C"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5</w:t>
            </w:r>
          </w:p>
        </w:tc>
      </w:tr>
      <w:tr w:rsidR="00605184" w:rsidRPr="00D41B49" w14:paraId="4D0FCA4A" w14:textId="77777777" w:rsidTr="001A3E7A">
        <w:trPr>
          <w:cantSplit/>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0070C0"/>
            <w:vAlign w:val="center"/>
          </w:tcPr>
          <w:p w14:paraId="10075079" w14:textId="77777777" w:rsidR="00605184" w:rsidRPr="00DC52EA" w:rsidRDefault="00605184" w:rsidP="00710898">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rPr>
            </w:pPr>
            <w:r w:rsidRPr="00DC52EA">
              <w:rPr>
                <w:rFonts w:asciiTheme="minorHAnsi" w:hAnsiTheme="minorHAnsi" w:cstheme="minorHAnsi"/>
                <w:color w:val="FFFFFF" w:themeColor="background1"/>
                <w:sz w:val="22"/>
              </w:rPr>
              <w:t>2017-2018</w:t>
            </w:r>
          </w:p>
        </w:tc>
        <w:tc>
          <w:tcPr>
            <w:tcW w:w="1250" w:type="pct"/>
            <w:tcBorders>
              <w:top w:val="single" w:sz="4" w:space="0" w:color="auto"/>
              <w:left w:val="single" w:sz="4" w:space="0" w:color="auto"/>
              <w:bottom w:val="single" w:sz="4" w:space="0" w:color="auto"/>
              <w:right w:val="single" w:sz="4" w:space="0" w:color="auto"/>
            </w:tcBorders>
            <w:vAlign w:val="center"/>
          </w:tcPr>
          <w:p w14:paraId="03A6DDDE" w14:textId="414B7599"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1</w:t>
            </w:r>
          </w:p>
        </w:tc>
        <w:tc>
          <w:tcPr>
            <w:tcW w:w="1250" w:type="pct"/>
            <w:tcBorders>
              <w:top w:val="single" w:sz="4" w:space="0" w:color="auto"/>
              <w:left w:val="single" w:sz="4" w:space="0" w:color="auto"/>
              <w:bottom w:val="single" w:sz="4" w:space="0" w:color="auto"/>
              <w:right w:val="single" w:sz="4" w:space="0" w:color="auto"/>
            </w:tcBorders>
            <w:vAlign w:val="center"/>
          </w:tcPr>
          <w:p w14:paraId="339A520F" w14:textId="6AD896E7"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3</w:t>
            </w:r>
          </w:p>
        </w:tc>
        <w:tc>
          <w:tcPr>
            <w:tcW w:w="1250" w:type="pct"/>
            <w:tcBorders>
              <w:top w:val="single" w:sz="4" w:space="0" w:color="auto"/>
              <w:left w:val="single" w:sz="4" w:space="0" w:color="auto"/>
              <w:bottom w:val="single" w:sz="4" w:space="0" w:color="auto"/>
              <w:right w:val="single" w:sz="4" w:space="0" w:color="auto"/>
            </w:tcBorders>
            <w:vAlign w:val="center"/>
          </w:tcPr>
          <w:p w14:paraId="424ADD12" w14:textId="6EA0C3C8"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4</w:t>
            </w:r>
          </w:p>
        </w:tc>
      </w:tr>
      <w:tr w:rsidR="00605184" w:rsidRPr="00D41B49" w14:paraId="11CD778C" w14:textId="77777777" w:rsidTr="001A3E7A">
        <w:trPr>
          <w:cantSplit/>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0070C0"/>
            <w:vAlign w:val="center"/>
          </w:tcPr>
          <w:p w14:paraId="71D04F0C" w14:textId="77777777" w:rsidR="00605184" w:rsidRPr="00DC52EA" w:rsidRDefault="00605184" w:rsidP="00710898">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rPr>
            </w:pPr>
            <w:r w:rsidRPr="00DC52EA">
              <w:rPr>
                <w:rFonts w:asciiTheme="minorHAnsi" w:hAnsiTheme="minorHAnsi" w:cstheme="minorHAnsi"/>
                <w:color w:val="FFFFFF" w:themeColor="background1"/>
                <w:sz w:val="22"/>
              </w:rPr>
              <w:t>2018-2019</w:t>
            </w:r>
          </w:p>
        </w:tc>
        <w:tc>
          <w:tcPr>
            <w:tcW w:w="1250" w:type="pct"/>
            <w:tcBorders>
              <w:top w:val="single" w:sz="4" w:space="0" w:color="auto"/>
              <w:left w:val="single" w:sz="4" w:space="0" w:color="auto"/>
              <w:bottom w:val="single" w:sz="4" w:space="0" w:color="auto"/>
              <w:right w:val="single" w:sz="4" w:space="0" w:color="auto"/>
            </w:tcBorders>
            <w:vAlign w:val="center"/>
          </w:tcPr>
          <w:p w14:paraId="5F757B37" w14:textId="114404D7"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1</w:t>
            </w:r>
          </w:p>
        </w:tc>
        <w:tc>
          <w:tcPr>
            <w:tcW w:w="1250" w:type="pct"/>
            <w:tcBorders>
              <w:top w:val="single" w:sz="4" w:space="0" w:color="auto"/>
              <w:left w:val="single" w:sz="4" w:space="0" w:color="auto"/>
              <w:bottom w:val="single" w:sz="4" w:space="0" w:color="auto"/>
              <w:right w:val="single" w:sz="4" w:space="0" w:color="auto"/>
            </w:tcBorders>
            <w:vAlign w:val="center"/>
          </w:tcPr>
          <w:p w14:paraId="3904D090" w14:textId="33E99361"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0</w:t>
            </w:r>
          </w:p>
        </w:tc>
        <w:tc>
          <w:tcPr>
            <w:tcW w:w="1250" w:type="pct"/>
            <w:tcBorders>
              <w:top w:val="single" w:sz="4" w:space="0" w:color="auto"/>
              <w:left w:val="single" w:sz="4" w:space="0" w:color="auto"/>
              <w:bottom w:val="single" w:sz="4" w:space="0" w:color="auto"/>
              <w:right w:val="single" w:sz="4" w:space="0" w:color="auto"/>
            </w:tcBorders>
            <w:vAlign w:val="center"/>
          </w:tcPr>
          <w:p w14:paraId="08C1E727" w14:textId="00DCD77D" w:rsidR="00605184" w:rsidRPr="00D41B49"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1</w:t>
            </w:r>
          </w:p>
        </w:tc>
      </w:tr>
      <w:tr w:rsidR="00605184" w:rsidRPr="00D41B49" w14:paraId="7FF421E5" w14:textId="77777777" w:rsidTr="001A3E7A">
        <w:trPr>
          <w:cantSplit/>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BAF8FF" w:themeFill="accent3" w:themeFillTint="33"/>
            <w:vAlign w:val="center"/>
          </w:tcPr>
          <w:p w14:paraId="7BA3EF04" w14:textId="77777777" w:rsidR="00605184" w:rsidRPr="00DC52EA" w:rsidRDefault="00605184"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sidRPr="00DC52EA">
              <w:rPr>
                <w:rFonts w:asciiTheme="minorHAnsi" w:hAnsiTheme="minorHAnsi" w:cstheme="minorHAnsi"/>
                <w:sz w:val="22"/>
              </w:rPr>
              <w:t>Total</w:t>
            </w:r>
          </w:p>
        </w:tc>
        <w:tc>
          <w:tcPr>
            <w:tcW w:w="1250" w:type="pct"/>
            <w:tcBorders>
              <w:top w:val="single" w:sz="4" w:space="0" w:color="auto"/>
              <w:left w:val="single" w:sz="4" w:space="0" w:color="auto"/>
              <w:bottom w:val="single" w:sz="4" w:space="0" w:color="auto"/>
              <w:right w:val="single" w:sz="4" w:space="0" w:color="auto"/>
            </w:tcBorders>
            <w:shd w:val="clear" w:color="auto" w:fill="BAF8FF" w:themeFill="accent3" w:themeFillTint="33"/>
            <w:vAlign w:val="center"/>
          </w:tcPr>
          <w:p w14:paraId="5B155FC4" w14:textId="5F68EF1B" w:rsidR="00605184" w:rsidRPr="00DC52EA"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6</w:t>
            </w:r>
          </w:p>
        </w:tc>
        <w:tc>
          <w:tcPr>
            <w:tcW w:w="1250" w:type="pct"/>
            <w:tcBorders>
              <w:top w:val="single" w:sz="4" w:space="0" w:color="auto"/>
              <w:left w:val="single" w:sz="4" w:space="0" w:color="auto"/>
              <w:bottom w:val="single" w:sz="4" w:space="0" w:color="auto"/>
              <w:right w:val="single" w:sz="4" w:space="0" w:color="auto"/>
            </w:tcBorders>
            <w:shd w:val="clear" w:color="auto" w:fill="BAF8FF" w:themeFill="accent3" w:themeFillTint="33"/>
            <w:vAlign w:val="center"/>
          </w:tcPr>
          <w:p w14:paraId="5E07D105" w14:textId="257C65B6" w:rsidR="00605184" w:rsidRPr="00DC52EA"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7</w:t>
            </w:r>
          </w:p>
        </w:tc>
        <w:tc>
          <w:tcPr>
            <w:tcW w:w="1250" w:type="pct"/>
            <w:tcBorders>
              <w:top w:val="single" w:sz="4" w:space="0" w:color="auto"/>
              <w:left w:val="single" w:sz="4" w:space="0" w:color="auto"/>
              <w:bottom w:val="single" w:sz="4" w:space="0" w:color="auto"/>
              <w:right w:val="single" w:sz="4" w:space="0" w:color="auto"/>
            </w:tcBorders>
            <w:shd w:val="clear" w:color="auto" w:fill="BAF8FF" w:themeFill="accent3" w:themeFillTint="33"/>
            <w:vAlign w:val="center"/>
          </w:tcPr>
          <w:p w14:paraId="6CEA9F74" w14:textId="4297696C" w:rsidR="00605184" w:rsidRPr="00DC52EA" w:rsidRDefault="00DA3D5E" w:rsidP="00D07A61">
            <w:pPr>
              <w:pStyle w:val="Level1"/>
              <w:tabs>
                <w:tab w:val="left" w:pos="-1440"/>
              </w:tabs>
              <w:autoSpaceDE w:val="0"/>
              <w:autoSpaceDN w:val="0"/>
              <w:adjustRightInd w:val="0"/>
              <w:spacing w:after="120" w:line="20" w:lineRule="atLeast"/>
              <w:jc w:val="center"/>
              <w:rPr>
                <w:rFonts w:asciiTheme="minorHAnsi" w:hAnsiTheme="minorHAnsi" w:cstheme="minorHAnsi"/>
                <w:sz w:val="22"/>
              </w:rPr>
            </w:pPr>
            <w:r>
              <w:rPr>
                <w:rFonts w:asciiTheme="minorHAnsi" w:hAnsiTheme="minorHAnsi" w:cstheme="minorHAnsi"/>
                <w:sz w:val="22"/>
              </w:rPr>
              <w:t>13</w:t>
            </w:r>
          </w:p>
        </w:tc>
      </w:tr>
    </w:tbl>
    <w:p w14:paraId="53C538AA" w14:textId="77777777" w:rsidR="00605184" w:rsidRPr="00D41B49" w:rsidRDefault="00605184" w:rsidP="00605184">
      <w:pPr>
        <w:spacing w:before="120"/>
        <w:rPr>
          <w:rFonts w:asciiTheme="minorHAnsi" w:hAnsiTheme="minorHAnsi" w:cstheme="minorHAnsi"/>
          <w:sz w:val="22"/>
          <w:szCs w:val="18"/>
        </w:rPr>
      </w:pPr>
      <w:r w:rsidRPr="004E0365">
        <w:rPr>
          <w:rStyle w:val="lev"/>
          <w:rFonts w:cstheme="minorHAnsi"/>
          <w:b w:val="0"/>
        </w:rPr>
        <w:t>Source</w:t>
      </w:r>
      <w:r w:rsidRPr="004E0365">
        <w:rPr>
          <w:rFonts w:asciiTheme="minorHAnsi" w:hAnsiTheme="minorHAnsi" w:cstheme="minorHAnsi"/>
          <w:b/>
          <w:sz w:val="22"/>
          <w:szCs w:val="18"/>
        </w:rPr>
        <w:t> </w:t>
      </w:r>
      <w:r w:rsidRPr="00D41B49">
        <w:rPr>
          <w:rFonts w:asciiTheme="minorHAnsi" w:hAnsiTheme="minorHAnsi" w:cstheme="minorHAnsi"/>
          <w:b/>
          <w:sz w:val="22"/>
          <w:szCs w:val="18"/>
        </w:rPr>
        <w:t>:</w:t>
      </w:r>
      <w:r w:rsidRPr="00D41B49">
        <w:rPr>
          <w:rFonts w:asciiTheme="minorHAnsi" w:hAnsiTheme="minorHAnsi" w:cstheme="minorHAnsi"/>
          <w:sz w:val="22"/>
          <w:szCs w:val="18"/>
        </w:rPr>
        <w:t xml:space="preserve"> Système de gestion de l’information sur les priorités de la CFP</w:t>
      </w:r>
    </w:p>
    <w:p w14:paraId="05037A16" w14:textId="77777777" w:rsidR="00ED4A93" w:rsidRPr="001D18F3" w:rsidRDefault="001D18F3" w:rsidP="001D18F3">
      <w:pPr>
        <w:pStyle w:val="Titre1"/>
      </w:pPr>
      <w:r w:rsidRPr="001D18F3">
        <w:t xml:space="preserve">Impartialité politique dans la fonction publique </w:t>
      </w:r>
    </w:p>
    <w:p w14:paraId="716F6206" w14:textId="77777777" w:rsidR="00ED4A93" w:rsidRPr="001D18F3" w:rsidRDefault="00ED4A93" w:rsidP="00ED4A93">
      <w:pPr>
        <w:pStyle w:val="Sansinterligne"/>
        <w:spacing w:before="120" w:after="120"/>
        <w:rPr>
          <w:rFonts w:asciiTheme="minorHAnsi" w:hAnsiTheme="minorHAnsi" w:cstheme="minorHAnsi"/>
          <w:sz w:val="22"/>
          <w:szCs w:val="22"/>
        </w:rPr>
      </w:pPr>
      <w:r w:rsidRPr="001D18F3">
        <w:rPr>
          <w:rFonts w:asciiTheme="minorHAnsi" w:hAnsiTheme="minorHAnsi" w:cstheme="minorHAnsi"/>
          <w:sz w:val="22"/>
          <w:szCs w:val="22"/>
        </w:rPr>
        <w:t xml:space="preserve">La représentante désignée des activités politiques de SC est Candice Lidstone. </w:t>
      </w:r>
    </w:p>
    <w:p w14:paraId="59107DAF" w14:textId="77777777" w:rsidR="00ED4A93" w:rsidRPr="001D18F3" w:rsidRDefault="00ED4A93" w:rsidP="00ED4A93">
      <w:pPr>
        <w:pStyle w:val="Sansinterligne"/>
        <w:spacing w:before="120" w:after="120"/>
        <w:rPr>
          <w:rFonts w:asciiTheme="minorHAnsi" w:hAnsiTheme="minorHAnsi" w:cstheme="minorHAnsi"/>
          <w:sz w:val="22"/>
          <w:szCs w:val="22"/>
        </w:rPr>
      </w:pPr>
      <w:r w:rsidRPr="001D18F3">
        <w:rPr>
          <w:rFonts w:asciiTheme="minorHAnsi" w:hAnsiTheme="minorHAnsi" w:cstheme="minorHAnsi"/>
          <w:sz w:val="22"/>
          <w:szCs w:val="22"/>
        </w:rPr>
        <w:t xml:space="preserve">Depuis avril 2015, la CFP a reçu six demandes de permission de se porter candidat à une élection de la part de fonctionnaires de SC : une au niveau fédéral et cinq au niveau municipal. Actuellement, un employé a reçu la permission et se présente aux élections fédérales de 2019, et deux (2) employés de SC sont des élus municipaux à temps partiel. </w:t>
      </w:r>
    </w:p>
    <w:p w14:paraId="1DF772A7" w14:textId="77777777" w:rsidR="004E1EFE" w:rsidRDefault="00ED4A93" w:rsidP="00ED4A93">
      <w:pPr>
        <w:pStyle w:val="Sansinterligne"/>
        <w:spacing w:before="120" w:after="120"/>
        <w:rPr>
          <w:rFonts w:asciiTheme="minorHAnsi" w:hAnsiTheme="minorHAnsi" w:cstheme="minorHAnsi"/>
          <w:sz w:val="22"/>
          <w:szCs w:val="22"/>
        </w:rPr>
        <w:sectPr w:rsidR="004E1EFE" w:rsidSect="005408A9">
          <w:pgSz w:w="12240" w:h="15840"/>
          <w:pgMar w:top="1440" w:right="1077" w:bottom="1440" w:left="1077" w:header="709" w:footer="284" w:gutter="0"/>
          <w:cols w:space="708"/>
          <w:titlePg/>
          <w:docGrid w:linePitch="360"/>
        </w:sectPr>
      </w:pPr>
      <w:r w:rsidRPr="001D18F3">
        <w:rPr>
          <w:rFonts w:asciiTheme="minorHAnsi" w:hAnsiTheme="minorHAnsi" w:cstheme="minorHAnsi"/>
          <w:sz w:val="22"/>
          <w:szCs w:val="22"/>
        </w:rPr>
        <w:t>Les résultats du sondage sur la dotation et l’impartialité de 2018 indiquent que le niveau de sensibilisation des employés de SC à l’égard de leurs droits et de leurs responsabilités en matière d’activités politiques est 76,5 %, comparativement à 80,1 % pour l’ensemble de la fonction publique.</w:t>
      </w:r>
    </w:p>
    <w:p w14:paraId="23CBAFA1" w14:textId="1679E760" w:rsidR="00ED4A93" w:rsidRPr="001D18F3" w:rsidRDefault="00710898" w:rsidP="00C865E5">
      <w:pPr>
        <w:pStyle w:val="Titre1"/>
        <w:spacing w:before="120"/>
      </w:pPr>
      <w:r>
        <w:lastRenderedPageBreak/>
        <w:t>Initiatives de la C</w:t>
      </w:r>
      <w:r w:rsidR="001D18F3" w:rsidRPr="001D18F3">
        <w:t>ommission de la fonction publique</w:t>
      </w:r>
      <w:r>
        <w:t xml:space="preserve"> (CFP)</w:t>
      </w:r>
    </w:p>
    <w:p w14:paraId="581D701B" w14:textId="77777777" w:rsidR="00ED4A93" w:rsidRPr="001D18F3" w:rsidRDefault="00ED4A93" w:rsidP="00ED4A93">
      <w:pPr>
        <w:pStyle w:val="Sansinterligne"/>
        <w:spacing w:before="120" w:after="120"/>
        <w:rPr>
          <w:rFonts w:asciiTheme="minorHAnsi" w:hAnsiTheme="minorHAnsi" w:cstheme="minorHAnsi"/>
          <w:color w:val="000000"/>
          <w:sz w:val="22"/>
          <w:szCs w:val="22"/>
        </w:rPr>
      </w:pPr>
      <w:r w:rsidRPr="001D18F3">
        <w:rPr>
          <w:rFonts w:asciiTheme="minorHAnsi" w:hAnsiTheme="minorHAnsi" w:cstheme="minorHAnsi"/>
          <w:color w:val="000000"/>
          <w:sz w:val="22"/>
          <w:szCs w:val="22"/>
        </w:rPr>
        <w:t>Le Ministère a participé à l’initiative suivante dirigée par la CFP :</w:t>
      </w:r>
    </w:p>
    <w:p w14:paraId="7C62939F" w14:textId="77777777" w:rsidR="00ED4A93" w:rsidRPr="001D18F3" w:rsidRDefault="00ED4A93" w:rsidP="00ED4A93">
      <w:pPr>
        <w:pStyle w:val="Sansinterligne"/>
        <w:numPr>
          <w:ilvl w:val="0"/>
          <w:numId w:val="6"/>
        </w:numPr>
        <w:spacing w:before="120" w:after="120"/>
        <w:rPr>
          <w:rFonts w:asciiTheme="minorHAnsi" w:hAnsiTheme="minorHAnsi" w:cstheme="minorHAnsi"/>
          <w:color w:val="000000"/>
          <w:sz w:val="22"/>
          <w:szCs w:val="22"/>
        </w:rPr>
      </w:pPr>
      <w:r w:rsidRPr="001D18F3">
        <w:rPr>
          <w:rFonts w:asciiTheme="minorHAnsi" w:hAnsiTheme="minorHAnsi" w:cstheme="minorHAnsi"/>
          <w:color w:val="000000"/>
          <w:sz w:val="22"/>
          <w:szCs w:val="22"/>
        </w:rPr>
        <w:t>Évaluation propre au poste pour la compétence orale au niveau B.</w:t>
      </w:r>
    </w:p>
    <w:p w14:paraId="6CC63677" w14:textId="77777777" w:rsidR="00ED4A93" w:rsidRPr="001D18F3" w:rsidRDefault="001D18F3" w:rsidP="001D18F3">
      <w:pPr>
        <w:pStyle w:val="Titre1"/>
      </w:pPr>
      <w:r w:rsidRPr="001D18F3">
        <w:t>Soutien à la dotation</w:t>
      </w:r>
    </w:p>
    <w:p w14:paraId="0B246F3E" w14:textId="77777777" w:rsidR="00ED4A93" w:rsidRPr="00E46C1B" w:rsidRDefault="00ED4A93" w:rsidP="001D18F3">
      <w:pPr>
        <w:pStyle w:val="Titre2"/>
        <w:rPr>
          <w:u w:val="single"/>
        </w:rPr>
      </w:pPr>
      <w:r>
        <w:t xml:space="preserve">Représentants de la CFP et personnes-ressources au sein de l’organisation </w:t>
      </w:r>
    </w:p>
    <w:p w14:paraId="0FCC4251" w14:textId="77777777" w:rsidR="00ED4A93" w:rsidRPr="001D18F3" w:rsidRDefault="00ED4A93" w:rsidP="00ED4A93">
      <w:pPr>
        <w:spacing w:before="120" w:after="120"/>
        <w:rPr>
          <w:rFonts w:asciiTheme="minorHAnsi" w:hAnsiTheme="minorHAnsi" w:cstheme="minorHAnsi"/>
          <w:sz w:val="22"/>
          <w:szCs w:val="22"/>
        </w:rPr>
      </w:pPr>
      <w:r w:rsidRPr="001D18F3">
        <w:rPr>
          <w:rFonts w:asciiTheme="minorHAnsi" w:hAnsiTheme="minorHAnsi" w:cstheme="minorHAnsi"/>
          <w:sz w:val="22"/>
          <w:szCs w:val="22"/>
        </w:rPr>
        <w:t>Le conseiller au soutien à la dotation affecté à cette organisation est Yannick Fortin. Le chef des RH est Daryl Gauthier, directeur général, Direction des services des ressources humaines, et la principale personne-ressource de l’organisation est Tammy Kardoes, directrice, Centre des politiques de dotation et de classification.</w:t>
      </w:r>
    </w:p>
    <w:p w14:paraId="70CA0ACE" w14:textId="77777777" w:rsidR="00B43932" w:rsidRDefault="00ED4A93" w:rsidP="00ED4A93">
      <w:pPr>
        <w:spacing w:before="120" w:after="120"/>
        <w:rPr>
          <w:rFonts w:asciiTheme="minorHAnsi" w:hAnsiTheme="minorHAnsi" w:cstheme="minorHAnsi"/>
          <w:sz w:val="22"/>
          <w:szCs w:val="22"/>
        </w:rPr>
        <w:sectPr w:rsidR="00B43932" w:rsidSect="005408A9">
          <w:pgSz w:w="12240" w:h="15840"/>
          <w:pgMar w:top="1440" w:right="1077" w:bottom="1440" w:left="1077" w:header="709" w:footer="284" w:gutter="0"/>
          <w:cols w:space="708"/>
          <w:titlePg/>
          <w:docGrid w:linePitch="360"/>
        </w:sectPr>
      </w:pPr>
      <w:r w:rsidRPr="001D18F3">
        <w:rPr>
          <w:rFonts w:asciiTheme="minorHAnsi" w:hAnsiTheme="minorHAnsi" w:cstheme="minorHAnsi"/>
          <w:sz w:val="22"/>
          <w:szCs w:val="22"/>
        </w:rPr>
        <w:t>SC et la CFP collaborent étroitement sur les politiques, les pratiques et les activités de dotation. L’organisation est très active et se porte régulièrement volontaire pour les initiatives et les consultations menées par la CFP, comme l’étude sur les évaluations du rendement d</w:t>
      </w:r>
      <w:r w:rsidR="001D18F3">
        <w:rPr>
          <w:rFonts w:asciiTheme="minorHAnsi" w:hAnsiTheme="minorHAnsi" w:cstheme="minorHAnsi"/>
          <w:sz w:val="22"/>
          <w:szCs w:val="22"/>
        </w:rPr>
        <w:t>ans le processus de nomination</w:t>
      </w:r>
      <w:r w:rsidR="00B43932">
        <w:rPr>
          <w:rFonts w:asciiTheme="minorHAnsi" w:hAnsiTheme="minorHAnsi" w:cstheme="minorHAnsi"/>
          <w:sz w:val="22"/>
          <w:szCs w:val="22"/>
        </w:rPr>
        <w:t>.</w:t>
      </w:r>
    </w:p>
    <w:p w14:paraId="010568DD" w14:textId="77777777" w:rsidR="001D18F3" w:rsidRPr="00D41B49" w:rsidRDefault="001D18F3" w:rsidP="008A6680">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rPr>
      </w:pPr>
      <w:r w:rsidRPr="00365B6E">
        <w:rPr>
          <w:rStyle w:val="lev"/>
          <w:rFonts w:eastAsiaTheme="minorHAnsi"/>
        </w:rPr>
        <w:lastRenderedPageBreak/>
        <w:t>PRÉPARÉ PAR</w:t>
      </w:r>
      <w:r w:rsidRPr="00D41B49">
        <w:rPr>
          <w:rFonts w:asciiTheme="minorHAnsi" w:eastAsiaTheme="minorHAnsi" w:hAnsiTheme="minorHAnsi" w:cstheme="minorHAnsi"/>
          <w:b/>
          <w:bCs/>
          <w:sz w:val="22"/>
          <w:szCs w:val="22"/>
        </w:rPr>
        <w:t> :</w:t>
      </w:r>
    </w:p>
    <w:p w14:paraId="47948B60" w14:textId="77777777" w:rsidR="001D18F3" w:rsidRPr="00D41B49" w:rsidRDefault="001D18F3" w:rsidP="001D18F3">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heme="minorHAnsi" w:hAnsiTheme="minorHAnsi" w:cstheme="minorHAnsi"/>
          <w:sz w:val="22"/>
          <w:szCs w:val="22"/>
        </w:rPr>
      </w:pPr>
      <w:r>
        <w:rPr>
          <w:rFonts w:asciiTheme="minorHAnsi" w:eastAsiaTheme="minorHAnsi" w:hAnsiTheme="minorHAnsi" w:cstheme="minorHAnsi"/>
          <w:sz w:val="22"/>
          <w:szCs w:val="22"/>
        </w:rPr>
        <w:t>Yannick Fortin</w:t>
      </w:r>
      <w:r w:rsidRPr="00D41B49">
        <w:rPr>
          <w:rFonts w:asciiTheme="minorHAnsi" w:eastAsiaTheme="minorHAnsi" w:hAnsiTheme="minorHAnsi" w:cstheme="minorHAnsi"/>
          <w:sz w:val="22"/>
          <w:szCs w:val="22"/>
        </w:rPr>
        <w:t xml:space="preserve">, </w:t>
      </w:r>
    </w:p>
    <w:p w14:paraId="28B3B858" w14:textId="77777777" w:rsidR="001D18F3" w:rsidRDefault="001D18F3" w:rsidP="001D18F3">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eastAsiaTheme="minorHAnsi" w:hAnsiTheme="minorHAnsi" w:cstheme="minorHAnsi"/>
          <w:sz w:val="22"/>
          <w:szCs w:val="22"/>
        </w:rPr>
      </w:pPr>
      <w:r w:rsidRPr="00D41B49">
        <w:rPr>
          <w:rFonts w:asciiTheme="minorHAnsi" w:eastAsiaTheme="minorHAnsi" w:hAnsiTheme="minorHAnsi" w:cstheme="minorHAnsi"/>
          <w:sz w:val="22"/>
          <w:szCs w:val="22"/>
        </w:rPr>
        <w:t>Conseiller/Conseillère au soutien en dotation</w:t>
      </w:r>
    </w:p>
    <w:p w14:paraId="4944D84D" w14:textId="77777777" w:rsidR="00ED4A93" w:rsidRPr="00E46C1B" w:rsidRDefault="001D18F3" w:rsidP="001D1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0"/>
        <w:rPr>
          <w:rFonts w:ascii="Arial" w:hAnsi="Arial" w:cs="Arial"/>
          <w:sz w:val="22"/>
          <w:szCs w:val="22"/>
        </w:rPr>
      </w:pPr>
      <w:r w:rsidRPr="00D41B49">
        <w:rPr>
          <w:rFonts w:asciiTheme="minorHAnsi" w:hAnsiTheme="minorHAnsi" w:cstheme="minorHAnsi"/>
          <w:sz w:val="22"/>
          <w:szCs w:val="22"/>
        </w:rPr>
        <w:t>Annexes :</w:t>
      </w:r>
    </w:p>
    <w:p w14:paraId="7CDEFF30" w14:textId="77777777" w:rsidR="008F04B0" w:rsidRPr="008F04B0" w:rsidRDefault="003E35C9" w:rsidP="008F04B0">
      <w:pPr>
        <w:pStyle w:val="Paragraphedeliste"/>
        <w:numPr>
          <w:ilvl w:val="0"/>
          <w:numId w:val="28"/>
        </w:numPr>
        <w:rPr>
          <w:rStyle w:val="Lienhypertexte"/>
          <w:rFonts w:asciiTheme="minorHAnsi" w:hAnsiTheme="minorHAnsi" w:cstheme="minorHAnsi"/>
          <w:bCs/>
          <w:color w:val="auto"/>
          <w:sz w:val="22"/>
          <w:szCs w:val="22"/>
        </w:rPr>
      </w:pPr>
      <w:hyperlink w:anchor="AnnexA" w:history="1">
        <w:r w:rsidR="009D7C33" w:rsidRPr="002B4128">
          <w:rPr>
            <w:rStyle w:val="Lienhypertexte"/>
            <w:rFonts w:asciiTheme="minorHAnsi" w:hAnsiTheme="minorHAnsi" w:cstheme="minorHAnsi"/>
            <w:sz w:val="22"/>
            <w:szCs w:val="22"/>
          </w:rPr>
          <w:t xml:space="preserve">Annexe A – </w:t>
        </w:r>
        <w:r w:rsidR="009D7C33" w:rsidRPr="00532AF6">
          <w:rPr>
            <w:rStyle w:val="Lienhypertexte"/>
            <w:rFonts w:asciiTheme="minorHAnsi" w:hAnsiTheme="minorHAnsi" w:cstheme="minorHAnsi"/>
            <w:sz w:val="22"/>
            <w:szCs w:val="22"/>
          </w:rPr>
          <w:t xml:space="preserve"> Document Faits Saillants de la Nouvelle orientation en dotation (NOD) pour les AG </w:t>
        </w:r>
      </w:hyperlink>
    </w:p>
    <w:p w14:paraId="1F1787B1" w14:textId="77777777" w:rsidR="00B43932" w:rsidRDefault="003E35C9" w:rsidP="008F04B0">
      <w:pPr>
        <w:pStyle w:val="Paragraphedeliste"/>
        <w:numPr>
          <w:ilvl w:val="0"/>
          <w:numId w:val="28"/>
        </w:numPr>
        <w:rPr>
          <w:rStyle w:val="Lienhypertexte"/>
          <w:rFonts w:asciiTheme="minorHAnsi" w:hAnsiTheme="minorHAnsi" w:cstheme="minorHAnsi"/>
          <w:sz w:val="22"/>
          <w:szCs w:val="22"/>
        </w:rPr>
        <w:sectPr w:rsidR="00B43932" w:rsidSect="005408A9">
          <w:pgSz w:w="12240" w:h="15840"/>
          <w:pgMar w:top="1440" w:right="1077" w:bottom="1440" w:left="1077" w:header="709" w:footer="284" w:gutter="0"/>
          <w:cols w:space="708"/>
          <w:titlePg/>
          <w:docGrid w:linePitch="360"/>
        </w:sectPr>
      </w:pPr>
      <w:hyperlink w:anchor="AnnexeB" w:history="1">
        <w:r w:rsidR="008F04B0" w:rsidRPr="008F04B0">
          <w:rPr>
            <w:rStyle w:val="Lienhypertexte"/>
            <w:rFonts w:asciiTheme="minorHAnsi" w:hAnsiTheme="minorHAnsi" w:cstheme="minorHAnsi"/>
            <w:sz w:val="22"/>
            <w:szCs w:val="22"/>
          </w:rPr>
          <w:t>Annexe B - Données sur l’effectif et les activités de dotation</w:t>
        </w:r>
      </w:hyperlink>
    </w:p>
    <w:p w14:paraId="447FCF29" w14:textId="77777777" w:rsidR="009D7C33" w:rsidRPr="00886BD5" w:rsidRDefault="009D7C33" w:rsidP="009D7C33">
      <w:pPr>
        <w:pStyle w:val="Titre3"/>
        <w:jc w:val="right"/>
      </w:pPr>
      <w:bookmarkStart w:id="0" w:name="AnnexA"/>
      <w:r w:rsidRPr="00886BD5">
        <w:lastRenderedPageBreak/>
        <w:t>Annexe A</w:t>
      </w:r>
    </w:p>
    <w:bookmarkEnd w:id="0"/>
    <w:p w14:paraId="58C76145" w14:textId="77777777" w:rsidR="009D7C33" w:rsidRPr="00182566" w:rsidRDefault="009D7C33" w:rsidP="009D7C33">
      <w:pPr>
        <w:keepNext/>
        <w:keepLines/>
        <w:spacing w:before="40" w:after="120" w:line="259" w:lineRule="auto"/>
        <w:jc w:val="center"/>
        <w:outlineLvl w:val="1"/>
        <w:rPr>
          <w:rFonts w:ascii="Segoe UI" w:eastAsiaTheme="majorEastAsia" w:hAnsi="Segoe UI" w:cs="Segoe UI"/>
          <w:b/>
          <w:color w:val="5B315E" w:themeColor="accent2"/>
          <w:sz w:val="32"/>
          <w:szCs w:val="32"/>
        </w:rPr>
      </w:pPr>
      <w:r w:rsidRPr="00182566">
        <w:rPr>
          <w:rFonts w:ascii="Segoe UI" w:eastAsiaTheme="majorEastAsia" w:hAnsi="Segoe UI" w:cs="Segoe UI"/>
          <w:b/>
          <w:color w:val="5B315E" w:themeColor="accent2"/>
          <w:sz w:val="32"/>
          <w:szCs w:val="32"/>
        </w:rPr>
        <w:t>Une nouvelle orientation en dotation - un système fondé sur le mérite</w:t>
      </w:r>
      <w:r w:rsidRPr="00182566">
        <w:rPr>
          <w:rFonts w:asciiTheme="majorHAnsi" w:eastAsiaTheme="majorEastAsia" w:hAnsiTheme="majorHAnsi" w:cstheme="majorBidi"/>
          <w:b/>
          <w:color w:val="54575A" w:themeColor="text1"/>
          <w:sz w:val="48"/>
          <w:szCs w:val="48"/>
        </w:rPr>
        <w:t xml:space="preserve"> </w:t>
      </w:r>
      <w:r w:rsidRPr="00182566">
        <w:rPr>
          <w:rFonts w:ascii="Segoe UI" w:eastAsiaTheme="majorEastAsia" w:hAnsi="Segoe UI" w:cs="Segoe UI"/>
          <w:b/>
          <w:color w:val="5B315E" w:themeColor="accent2"/>
          <w:sz w:val="32"/>
          <w:szCs w:val="32"/>
        </w:rPr>
        <w:t>et axé sur l’efficacité, l’efficience et la justice</w:t>
      </w:r>
    </w:p>
    <w:p w14:paraId="73EB6B5B" w14:textId="77777777" w:rsidR="009D7C33" w:rsidRPr="00182566" w:rsidRDefault="009D7C33" w:rsidP="009D7C33">
      <w:pPr>
        <w:pStyle w:val="Titre3"/>
        <w:spacing w:after="120"/>
      </w:pPr>
      <w:r w:rsidRPr="00182566">
        <w:t>Politique de nomination</w:t>
      </w:r>
    </w:p>
    <w:p w14:paraId="2982735A" w14:textId="77777777" w:rsidR="009D7C33" w:rsidRPr="00182566" w:rsidRDefault="009D7C33" w:rsidP="009D7C33">
      <w:pPr>
        <w:keepLines/>
        <w:spacing w:line="259" w:lineRule="auto"/>
        <w:rPr>
          <w:rFonts w:asciiTheme="minorHAnsi" w:eastAsiaTheme="minorHAnsi" w:hAnsiTheme="minorHAnsi" w:cstheme="minorHAnsi"/>
          <w:spacing w:val="-6"/>
          <w:sz w:val="22"/>
          <w:szCs w:val="22"/>
        </w:rPr>
      </w:pPr>
      <w:r w:rsidRPr="00182566">
        <w:rPr>
          <w:rStyle w:val="lev"/>
          <w:rFonts w:eastAsiaTheme="minorHAnsi" w:cstheme="minorHAnsi"/>
          <w:szCs w:val="22"/>
        </w:rPr>
        <w:t>L’accent est davantage mis sur  les exigences de base</w:t>
      </w:r>
      <w:r w:rsidRPr="00182566">
        <w:rPr>
          <w:rFonts w:asciiTheme="minorHAnsi" w:eastAsiaTheme="minorHAnsi" w:hAnsiTheme="minorHAnsi" w:cstheme="minorHAnsi"/>
          <w:spacing w:val="-6"/>
          <w:sz w:val="22"/>
          <w:szCs w:val="22"/>
        </w:rPr>
        <w:t xml:space="preserve"> afin de fournir aux personnes subdéléguées une plus grande  latitude à l’égard des nominations</w:t>
      </w:r>
    </w:p>
    <w:p w14:paraId="0C900FC0" w14:textId="77777777" w:rsidR="009D7C33" w:rsidRPr="00182566" w:rsidRDefault="009D7C33" w:rsidP="009D7C33">
      <w:pPr>
        <w:keepLines/>
        <w:numPr>
          <w:ilvl w:val="0"/>
          <w:numId w:val="23"/>
        </w:numPr>
        <w:spacing w:line="259" w:lineRule="auto"/>
        <w:rPr>
          <w:rFonts w:asciiTheme="minorHAnsi" w:eastAsiaTheme="minorHAnsi" w:hAnsiTheme="minorHAnsi" w:cstheme="minorHAnsi"/>
          <w:spacing w:val="-6"/>
          <w:sz w:val="22"/>
          <w:szCs w:val="22"/>
        </w:rPr>
      </w:pPr>
      <w:r w:rsidRPr="00182566">
        <w:rPr>
          <w:rStyle w:val="lev"/>
          <w:rFonts w:eastAsiaTheme="minorHAnsi" w:cstheme="minorHAnsi"/>
          <w:szCs w:val="22"/>
        </w:rPr>
        <w:t>Une seule politique de nomination</w:t>
      </w:r>
      <w:r w:rsidRPr="00182566">
        <w:rPr>
          <w:rFonts w:asciiTheme="minorHAnsi" w:eastAsiaTheme="minorHAnsi" w:hAnsiTheme="minorHAnsi" w:cstheme="minorHAnsi"/>
          <w:spacing w:val="-6"/>
          <w:sz w:val="22"/>
          <w:szCs w:val="22"/>
        </w:rPr>
        <w:t xml:space="preserve">, sans chevauchement des obligations juridiques </w:t>
      </w:r>
    </w:p>
    <w:p w14:paraId="0DB8FA3E" w14:textId="77777777" w:rsidR="009D7C33" w:rsidRPr="00182566" w:rsidRDefault="009D7C33" w:rsidP="009D7C33">
      <w:pPr>
        <w:keepLines/>
        <w:numPr>
          <w:ilvl w:val="0"/>
          <w:numId w:val="23"/>
        </w:numPr>
        <w:spacing w:line="259" w:lineRule="auto"/>
        <w:rPr>
          <w:rFonts w:asciiTheme="minorHAnsi" w:eastAsiaTheme="minorHAnsi" w:hAnsiTheme="minorHAnsi" w:cstheme="minorHAnsi"/>
          <w:spacing w:val="-6"/>
          <w:sz w:val="22"/>
          <w:szCs w:val="22"/>
        </w:rPr>
      </w:pPr>
      <w:r w:rsidRPr="00182566">
        <w:rPr>
          <w:rStyle w:val="lev"/>
          <w:rFonts w:eastAsiaTheme="minorHAnsi" w:cstheme="minorHAnsi"/>
          <w:szCs w:val="22"/>
        </w:rPr>
        <w:t>Accent accru sur un système axé sur les valeurs</w:t>
      </w:r>
      <w:r w:rsidRPr="00182566">
        <w:rPr>
          <w:rFonts w:asciiTheme="minorHAnsi" w:eastAsiaTheme="minorHAnsi" w:hAnsiTheme="minorHAnsi" w:cstheme="minorHAnsi"/>
          <w:sz w:val="22"/>
          <w:szCs w:val="22"/>
        </w:rPr>
        <w:t xml:space="preserve"> plutôt que sur un </w:t>
      </w:r>
      <w:r w:rsidRPr="00182566">
        <w:rPr>
          <w:rFonts w:asciiTheme="minorHAnsi" w:eastAsiaTheme="minorHAnsi" w:hAnsiTheme="minorHAnsi" w:cstheme="minorHAnsi"/>
          <w:spacing w:val="-6"/>
          <w:sz w:val="22"/>
          <w:szCs w:val="22"/>
        </w:rPr>
        <w:t>système axé sur les règles</w:t>
      </w:r>
      <w:r w:rsidRPr="00182566">
        <w:rPr>
          <w:rFonts w:asciiTheme="minorHAnsi" w:eastAsiaTheme="minorHAnsi" w:hAnsiTheme="minorHAnsi" w:cstheme="minorHAnsi"/>
          <w:b/>
          <w:spacing w:val="-6"/>
          <w:sz w:val="22"/>
          <w:szCs w:val="22"/>
        </w:rPr>
        <w:t xml:space="preserve"> </w:t>
      </w:r>
    </w:p>
    <w:p w14:paraId="0C64C690" w14:textId="77777777" w:rsidR="009D7C33" w:rsidRPr="00182566" w:rsidRDefault="009D7C33" w:rsidP="009D7C33">
      <w:pPr>
        <w:keepLines/>
        <w:numPr>
          <w:ilvl w:val="0"/>
          <w:numId w:val="23"/>
        </w:numPr>
        <w:spacing w:line="259" w:lineRule="auto"/>
        <w:rPr>
          <w:rFonts w:asciiTheme="minorHAnsi" w:eastAsiaTheme="minorHAnsi" w:hAnsiTheme="minorHAnsi" w:cstheme="minorHAnsi"/>
          <w:spacing w:val="-6"/>
          <w:sz w:val="22"/>
          <w:szCs w:val="22"/>
        </w:rPr>
      </w:pPr>
      <w:r w:rsidRPr="00182566">
        <w:rPr>
          <w:rFonts w:asciiTheme="minorHAnsi" w:eastAsiaTheme="minorHAnsi" w:hAnsiTheme="minorHAnsi" w:cstheme="minorHAnsi"/>
          <w:spacing w:val="-6"/>
          <w:sz w:val="22"/>
          <w:szCs w:val="22"/>
        </w:rPr>
        <w:t xml:space="preserve">Politique de nomination appuyée par une </w:t>
      </w:r>
      <w:r w:rsidRPr="00182566">
        <w:rPr>
          <w:rStyle w:val="lev"/>
          <w:rFonts w:eastAsiaTheme="minorHAnsi" w:cstheme="minorHAnsi"/>
          <w:szCs w:val="22"/>
        </w:rPr>
        <w:t>orientation rationalisée</w:t>
      </w:r>
      <w:r w:rsidRPr="00182566">
        <w:rPr>
          <w:rFonts w:asciiTheme="minorHAnsi" w:eastAsiaTheme="minorHAnsi" w:hAnsiTheme="minorHAnsi" w:cstheme="minorHAnsi"/>
          <w:b/>
          <w:spacing w:val="-6"/>
          <w:sz w:val="22"/>
          <w:szCs w:val="22"/>
        </w:rPr>
        <w:t xml:space="preserve"> </w:t>
      </w:r>
      <w:r w:rsidRPr="00182566">
        <w:rPr>
          <w:rFonts w:asciiTheme="minorHAnsi" w:eastAsiaTheme="minorHAnsi" w:hAnsiTheme="minorHAnsi" w:cstheme="minorHAnsi"/>
          <w:spacing w:val="-6"/>
          <w:sz w:val="22"/>
          <w:szCs w:val="22"/>
        </w:rPr>
        <w:t>:</w:t>
      </w:r>
    </w:p>
    <w:p w14:paraId="112231F8" w14:textId="77777777" w:rsidR="009D7C33" w:rsidRPr="00182566" w:rsidRDefault="009D7C33" w:rsidP="009D7C33">
      <w:pPr>
        <w:keepLines/>
        <w:numPr>
          <w:ilvl w:val="1"/>
          <w:numId w:val="19"/>
        </w:numPr>
        <w:spacing w:line="259" w:lineRule="auto"/>
        <w:ind w:left="1508" w:hanging="425"/>
        <w:rPr>
          <w:rFonts w:asciiTheme="minorHAnsi" w:eastAsiaTheme="minorHAnsi" w:hAnsiTheme="minorHAnsi" w:cstheme="minorHAnsi"/>
          <w:spacing w:val="-6"/>
          <w:sz w:val="22"/>
          <w:szCs w:val="22"/>
        </w:rPr>
      </w:pPr>
      <w:r w:rsidRPr="00182566">
        <w:rPr>
          <w:rFonts w:asciiTheme="minorHAnsi" w:eastAsiaTheme="minorHAnsi" w:hAnsiTheme="minorHAnsi" w:cstheme="minorHAnsi"/>
          <w:spacing w:val="-6"/>
          <w:sz w:val="22"/>
          <w:szCs w:val="22"/>
        </w:rPr>
        <w:t>Feuille de route précisant les exigences relatives aux lois, règlements et politiques</w:t>
      </w:r>
    </w:p>
    <w:p w14:paraId="67E3BEA6" w14:textId="77777777" w:rsidR="009D7C33" w:rsidRPr="00182566" w:rsidRDefault="009D7C33" w:rsidP="009D7C33">
      <w:pPr>
        <w:keepLines/>
        <w:numPr>
          <w:ilvl w:val="1"/>
          <w:numId w:val="19"/>
        </w:numPr>
        <w:spacing w:line="259" w:lineRule="auto"/>
        <w:ind w:left="1508" w:hanging="425"/>
        <w:rPr>
          <w:rFonts w:asciiTheme="minorHAnsi" w:eastAsiaTheme="minorHAnsi" w:hAnsiTheme="minorHAnsi" w:cstheme="minorHAnsi"/>
          <w:spacing w:val="-6"/>
          <w:sz w:val="22"/>
          <w:szCs w:val="22"/>
        </w:rPr>
      </w:pPr>
      <w:r w:rsidRPr="00182566">
        <w:rPr>
          <w:rFonts w:asciiTheme="minorHAnsi" w:eastAsiaTheme="minorHAnsi" w:hAnsiTheme="minorHAnsi" w:cstheme="minorHAnsi"/>
          <w:spacing w:val="-6"/>
          <w:sz w:val="22"/>
          <w:szCs w:val="22"/>
        </w:rPr>
        <w:t>Options et considérations relatives à  la prise de décisions dans les cas où il existe une certaine latitude</w:t>
      </w:r>
    </w:p>
    <w:p w14:paraId="2715D20E" w14:textId="77777777" w:rsidR="009D7C33" w:rsidRPr="00182566" w:rsidRDefault="009D7C33" w:rsidP="009D7C33">
      <w:pPr>
        <w:keepLines/>
        <w:numPr>
          <w:ilvl w:val="0"/>
          <w:numId w:val="24"/>
        </w:numPr>
        <w:spacing w:line="259" w:lineRule="auto"/>
        <w:rPr>
          <w:rFonts w:asciiTheme="minorHAnsi" w:eastAsiaTheme="minorHAnsi" w:hAnsiTheme="minorHAnsi" w:cstheme="minorHAnsi"/>
          <w:spacing w:val="-6"/>
          <w:sz w:val="22"/>
          <w:szCs w:val="22"/>
        </w:rPr>
      </w:pPr>
      <w:r w:rsidRPr="00182566">
        <w:rPr>
          <w:rStyle w:val="lev"/>
          <w:rFonts w:eastAsiaTheme="minorHAnsi" w:cstheme="minorHAnsi"/>
          <w:szCs w:val="22"/>
        </w:rPr>
        <w:t>Attentes clairement définies</w:t>
      </w:r>
      <w:r w:rsidRPr="00182566">
        <w:rPr>
          <w:rFonts w:asciiTheme="minorHAnsi" w:eastAsiaTheme="minorHAnsi" w:hAnsiTheme="minorHAnsi" w:cstheme="minorHAnsi"/>
          <w:spacing w:val="-6"/>
          <w:sz w:val="22"/>
          <w:szCs w:val="22"/>
        </w:rPr>
        <w:t xml:space="preserve"> quant aux droits de priorité</w:t>
      </w:r>
    </w:p>
    <w:p w14:paraId="0B281E35" w14:textId="77777777" w:rsidR="009D7C33" w:rsidRPr="00182566" w:rsidRDefault="009D7C33" w:rsidP="009D7C33">
      <w:pPr>
        <w:keepLines/>
        <w:numPr>
          <w:ilvl w:val="0"/>
          <w:numId w:val="24"/>
        </w:numPr>
        <w:spacing w:line="259" w:lineRule="auto"/>
        <w:rPr>
          <w:rFonts w:asciiTheme="minorHAnsi" w:eastAsiaTheme="minorHAnsi" w:hAnsiTheme="minorHAnsi" w:cstheme="minorHAnsi"/>
          <w:spacing w:val="-6"/>
          <w:sz w:val="22"/>
          <w:szCs w:val="22"/>
        </w:rPr>
      </w:pPr>
      <w:r w:rsidRPr="00182566">
        <w:rPr>
          <w:rFonts w:asciiTheme="minorHAnsi" w:eastAsiaTheme="minorHAnsi" w:hAnsiTheme="minorHAnsi" w:cstheme="minorHAnsi"/>
          <w:spacing w:val="-6"/>
          <w:sz w:val="22"/>
          <w:szCs w:val="22"/>
        </w:rPr>
        <w:t>Aucune restriction quant aux méthodes d’évaluation pour la  nomination des cadres de direction (EX)</w:t>
      </w:r>
    </w:p>
    <w:p w14:paraId="1D1B96CC" w14:textId="77777777" w:rsidR="009D7C33" w:rsidRPr="00182566" w:rsidRDefault="009D7C33" w:rsidP="009D7C33">
      <w:pPr>
        <w:keepLines/>
        <w:numPr>
          <w:ilvl w:val="0"/>
          <w:numId w:val="24"/>
        </w:numPr>
        <w:spacing w:after="240" w:line="259" w:lineRule="auto"/>
        <w:rPr>
          <w:rFonts w:asciiTheme="minorHAnsi" w:eastAsiaTheme="minorHAnsi" w:hAnsiTheme="minorHAnsi" w:cstheme="minorHAnsi"/>
          <w:spacing w:val="-6"/>
          <w:sz w:val="22"/>
          <w:szCs w:val="22"/>
        </w:rPr>
      </w:pPr>
      <w:r w:rsidRPr="00182566">
        <w:rPr>
          <w:rFonts w:asciiTheme="minorHAnsi" w:eastAsiaTheme="minorHAnsi" w:hAnsiTheme="minorHAnsi" w:cstheme="minorHAnsi"/>
          <w:spacing w:val="-6"/>
          <w:sz w:val="22"/>
          <w:szCs w:val="22"/>
        </w:rPr>
        <w:t>Exceptions à la zone nationale de sélection approuvées</w:t>
      </w:r>
    </w:p>
    <w:p w14:paraId="4674C4C9" w14:textId="77777777" w:rsidR="009D7C33" w:rsidRPr="00D41B49" w:rsidRDefault="009D7C33" w:rsidP="009D7C33">
      <w:pPr>
        <w:pStyle w:val="Titre3"/>
        <w:spacing w:after="120"/>
      </w:pPr>
      <w:r w:rsidRPr="00D41B49">
        <w:t>Délégation</w:t>
      </w:r>
    </w:p>
    <w:p w14:paraId="08AE2119" w14:textId="77777777" w:rsidR="009D7C33" w:rsidRPr="00182566" w:rsidRDefault="009D7C33" w:rsidP="009D7C33">
      <w:pPr>
        <w:pStyle w:val="Paragraphedeliste"/>
        <w:keepLines/>
        <w:numPr>
          <w:ilvl w:val="0"/>
          <w:numId w:val="25"/>
        </w:numPr>
        <w:spacing w:after="0" w:line="259" w:lineRule="auto"/>
        <w:rPr>
          <w:rFonts w:asciiTheme="minorHAnsi" w:eastAsiaTheme="minorHAnsi" w:hAnsiTheme="minorHAnsi" w:cstheme="minorHAnsi"/>
          <w:spacing w:val="-8"/>
          <w:sz w:val="22"/>
          <w:szCs w:val="22"/>
        </w:rPr>
      </w:pPr>
      <w:r w:rsidRPr="00182566">
        <w:rPr>
          <w:rStyle w:val="lev"/>
          <w:rFonts w:eastAsiaTheme="minorHAnsi" w:cstheme="minorHAnsi"/>
          <w:szCs w:val="22"/>
        </w:rPr>
        <w:t>L’accent est davantage mis sur la capacité d’adapter le système de dotation  de l’organisation</w:t>
      </w:r>
      <w:r w:rsidRPr="00182566">
        <w:rPr>
          <w:rFonts w:asciiTheme="minorHAnsi" w:eastAsiaTheme="minorHAnsi" w:hAnsiTheme="minorHAnsi" w:cstheme="minorHAnsi"/>
          <w:b/>
          <w:bCs/>
          <w:spacing w:val="-8"/>
          <w:sz w:val="22"/>
          <w:szCs w:val="22"/>
        </w:rPr>
        <w:t xml:space="preserve"> </w:t>
      </w:r>
      <w:r w:rsidRPr="00182566">
        <w:rPr>
          <w:rFonts w:asciiTheme="minorHAnsi" w:eastAsiaTheme="minorHAnsi" w:hAnsiTheme="minorHAnsi" w:cstheme="minorHAnsi"/>
          <w:spacing w:val="-8"/>
          <w:sz w:val="22"/>
          <w:szCs w:val="22"/>
        </w:rPr>
        <w:t xml:space="preserve">en fonction du contexte particulier et des besoins opérationnels en évolution </w:t>
      </w:r>
    </w:p>
    <w:p w14:paraId="1B3879E7" w14:textId="77777777" w:rsidR="009D7C33" w:rsidRPr="00182566" w:rsidRDefault="009D7C33" w:rsidP="009D7C33">
      <w:pPr>
        <w:keepLines/>
        <w:numPr>
          <w:ilvl w:val="0"/>
          <w:numId w:val="25"/>
        </w:numPr>
        <w:spacing w:line="259" w:lineRule="auto"/>
        <w:rPr>
          <w:rStyle w:val="lev"/>
          <w:rFonts w:eastAsiaTheme="minorHAnsi" w:cstheme="minorHAnsi"/>
          <w:szCs w:val="22"/>
        </w:rPr>
      </w:pPr>
      <w:r w:rsidRPr="00182566">
        <w:rPr>
          <w:rFonts w:asciiTheme="minorHAnsi" w:eastAsiaTheme="minorHAnsi" w:hAnsiTheme="minorHAnsi" w:cstheme="minorHAnsi"/>
          <w:spacing w:val="-8"/>
          <w:sz w:val="22"/>
          <w:szCs w:val="22"/>
        </w:rPr>
        <w:t xml:space="preserve">L’administrateur général établit une orientation quant à </w:t>
      </w:r>
      <w:r w:rsidRPr="00182566">
        <w:rPr>
          <w:rStyle w:val="lev"/>
          <w:rFonts w:eastAsiaTheme="minorHAnsi" w:cstheme="minorHAnsi"/>
          <w:szCs w:val="22"/>
        </w:rPr>
        <w:t xml:space="preserve">l’utilisation des processus de nomination annoncés et non annoncés </w:t>
      </w:r>
    </w:p>
    <w:p w14:paraId="60A940C6" w14:textId="77777777" w:rsidR="009D7C33" w:rsidRPr="00182566" w:rsidRDefault="009D7C33" w:rsidP="009D7C33">
      <w:pPr>
        <w:keepLines/>
        <w:numPr>
          <w:ilvl w:val="0"/>
          <w:numId w:val="25"/>
        </w:numPr>
        <w:spacing w:line="259" w:lineRule="auto"/>
        <w:rPr>
          <w:rStyle w:val="lev"/>
          <w:rFonts w:eastAsiaTheme="minorHAnsi" w:cstheme="minorHAnsi"/>
          <w:szCs w:val="22"/>
        </w:rPr>
      </w:pPr>
      <w:r w:rsidRPr="00182566">
        <w:rPr>
          <w:rFonts w:asciiTheme="minorHAnsi" w:eastAsiaTheme="minorHAnsi" w:hAnsiTheme="minorHAnsi" w:cstheme="minorHAnsi"/>
          <w:spacing w:val="-8"/>
          <w:sz w:val="22"/>
          <w:szCs w:val="22"/>
        </w:rPr>
        <w:t xml:space="preserve">L’administrateur général établit les exigences pour les personnes subdéléguées </w:t>
      </w:r>
      <w:r w:rsidRPr="00182566">
        <w:rPr>
          <w:rStyle w:val="lev"/>
          <w:rFonts w:eastAsiaTheme="minorHAnsi" w:cstheme="minorHAnsi"/>
          <w:szCs w:val="22"/>
        </w:rPr>
        <w:t>de formuler, par écrit, la décision de sélection</w:t>
      </w:r>
    </w:p>
    <w:p w14:paraId="5826CC10" w14:textId="77777777" w:rsidR="009D7C33" w:rsidRPr="00182566" w:rsidRDefault="009D7C33" w:rsidP="009D7C33">
      <w:pPr>
        <w:keepLines/>
        <w:numPr>
          <w:ilvl w:val="0"/>
          <w:numId w:val="25"/>
        </w:numPr>
        <w:spacing w:line="259" w:lineRule="auto"/>
        <w:rPr>
          <w:rFonts w:asciiTheme="minorHAnsi" w:eastAsiaTheme="minorHAnsi" w:hAnsiTheme="minorHAnsi" w:cstheme="minorHAnsi"/>
          <w:spacing w:val="-8"/>
          <w:sz w:val="22"/>
          <w:szCs w:val="22"/>
        </w:rPr>
      </w:pPr>
      <w:r w:rsidRPr="00182566">
        <w:rPr>
          <w:rFonts w:asciiTheme="minorHAnsi" w:eastAsiaTheme="minorHAnsi" w:hAnsiTheme="minorHAnsi" w:cstheme="minorHAnsi"/>
          <w:spacing w:val="-8"/>
          <w:sz w:val="22"/>
          <w:szCs w:val="22"/>
        </w:rPr>
        <w:t>Exigences plus claires concernant les enquêtes</w:t>
      </w:r>
    </w:p>
    <w:p w14:paraId="636F5D5F" w14:textId="77777777" w:rsidR="009D7C33" w:rsidRPr="00182566" w:rsidRDefault="009D7C33" w:rsidP="009D7C33">
      <w:pPr>
        <w:keepLines/>
        <w:numPr>
          <w:ilvl w:val="0"/>
          <w:numId w:val="25"/>
        </w:numPr>
        <w:spacing w:line="259" w:lineRule="auto"/>
        <w:rPr>
          <w:rFonts w:asciiTheme="minorHAnsi" w:eastAsiaTheme="minorHAnsi" w:hAnsiTheme="minorHAnsi" w:cstheme="minorHAnsi"/>
          <w:spacing w:val="-8"/>
          <w:sz w:val="22"/>
          <w:szCs w:val="22"/>
        </w:rPr>
      </w:pPr>
      <w:r w:rsidRPr="00182566">
        <w:rPr>
          <w:rStyle w:val="lev"/>
          <w:rFonts w:eastAsiaTheme="minorHAnsi" w:cstheme="minorHAnsi"/>
          <w:szCs w:val="22"/>
        </w:rPr>
        <w:t>Formulaire d’attestation</w:t>
      </w:r>
      <w:r w:rsidRPr="00182566">
        <w:rPr>
          <w:rFonts w:asciiTheme="minorHAnsi" w:eastAsiaTheme="minorHAnsi" w:hAnsiTheme="minorHAnsi" w:cstheme="minorHAnsi"/>
          <w:spacing w:val="-8"/>
          <w:sz w:val="22"/>
          <w:szCs w:val="22"/>
        </w:rPr>
        <w:t xml:space="preserve"> réitérant les responsabilités des personnes subdéléguées</w:t>
      </w:r>
    </w:p>
    <w:p w14:paraId="425E045E" w14:textId="77777777" w:rsidR="009D7C33" w:rsidRPr="00182566" w:rsidRDefault="009D7C33" w:rsidP="009D7C33">
      <w:pPr>
        <w:keepLines/>
        <w:spacing w:after="160" w:line="259" w:lineRule="auto"/>
        <w:ind w:right="-202"/>
        <w:rPr>
          <w:rFonts w:asciiTheme="minorHAnsi" w:eastAsiaTheme="minorHAnsi" w:hAnsiTheme="minorHAnsi" w:cstheme="minorHAnsi"/>
          <w:spacing w:val="-8"/>
          <w:sz w:val="22"/>
          <w:szCs w:val="22"/>
        </w:rPr>
      </w:pPr>
      <w:r w:rsidRPr="00182566">
        <w:rPr>
          <w:rFonts w:asciiTheme="minorHAnsi" w:eastAsiaTheme="minorHAnsi" w:hAnsiTheme="minorHAnsi" w:cstheme="minorHAnsi"/>
          <w:spacing w:val="-8"/>
          <w:sz w:val="22"/>
          <w:szCs w:val="22"/>
        </w:rPr>
        <w:t>Toutes les exigences de la CFP en matière de surveillance et de présentation de rapports figurent maintenant dans l’Instrument de délégation et de responsabilisation en matière de nomination</w:t>
      </w:r>
    </w:p>
    <w:p w14:paraId="7174B286" w14:textId="77777777" w:rsidR="009D7C33" w:rsidRPr="00182566" w:rsidRDefault="009D7C33" w:rsidP="009D7C33">
      <w:pPr>
        <w:pStyle w:val="Titre3"/>
        <w:spacing w:after="120"/>
      </w:pPr>
      <w:r w:rsidRPr="00182566">
        <w:t>Surveillance et rapports</w:t>
      </w:r>
    </w:p>
    <w:p w14:paraId="24F1AC87" w14:textId="77777777" w:rsidR="009D7C33" w:rsidRPr="00182566" w:rsidRDefault="009D7C33" w:rsidP="009D7C33">
      <w:pPr>
        <w:spacing w:after="120"/>
        <w:rPr>
          <w:rFonts w:asciiTheme="minorHAnsi" w:eastAsiaTheme="minorHAnsi" w:hAnsiTheme="minorHAnsi" w:cstheme="minorHAnsi"/>
          <w:sz w:val="22"/>
          <w:szCs w:val="22"/>
          <w:highlight w:val="yellow"/>
        </w:rPr>
      </w:pPr>
      <w:r w:rsidRPr="00182566">
        <w:rPr>
          <w:rStyle w:val="lev"/>
          <w:rFonts w:eastAsiaTheme="minorHAnsi" w:cstheme="minorHAnsi"/>
          <w:szCs w:val="22"/>
        </w:rPr>
        <w:t>La surveillance est établie par les organisations</w:t>
      </w:r>
      <w:r w:rsidRPr="00182566">
        <w:rPr>
          <w:rFonts w:asciiTheme="minorHAnsi" w:eastAsiaTheme="minorHAnsi" w:hAnsiTheme="minorHAnsi" w:cstheme="minorHAnsi"/>
          <w:sz w:val="22"/>
          <w:szCs w:val="22"/>
        </w:rPr>
        <w:t>, ciblée à leurs besoins</w:t>
      </w:r>
    </w:p>
    <w:p w14:paraId="6674759B" w14:textId="77777777" w:rsidR="009D7C33" w:rsidRPr="00182566" w:rsidRDefault="009D7C33" w:rsidP="009D7C33">
      <w:pPr>
        <w:pStyle w:val="Paragraphedeliste"/>
        <w:numPr>
          <w:ilvl w:val="0"/>
          <w:numId w:val="26"/>
        </w:numPr>
        <w:spacing w:after="0"/>
        <w:contextualSpacing w:val="0"/>
        <w:rPr>
          <w:rFonts w:asciiTheme="minorHAnsi" w:eastAsiaTheme="minorHAnsi" w:hAnsiTheme="minorHAnsi" w:cstheme="minorHAnsi"/>
          <w:sz w:val="22"/>
          <w:szCs w:val="22"/>
        </w:rPr>
      </w:pPr>
      <w:r w:rsidRPr="00182566">
        <w:rPr>
          <w:rFonts w:asciiTheme="minorHAnsi" w:eastAsiaTheme="minorHAnsi" w:hAnsiTheme="minorHAnsi" w:cstheme="minorHAnsi"/>
          <w:sz w:val="22"/>
          <w:szCs w:val="22"/>
        </w:rPr>
        <w:t>Le Rapport ministériel sur l’obligation de rendre compte en dotation n’est plus requis</w:t>
      </w:r>
    </w:p>
    <w:p w14:paraId="1CD0AEDA" w14:textId="77777777" w:rsidR="009D7C33" w:rsidRPr="00182566" w:rsidRDefault="009D7C33" w:rsidP="009D7C33">
      <w:pPr>
        <w:pStyle w:val="Paragraphedeliste"/>
        <w:numPr>
          <w:ilvl w:val="0"/>
          <w:numId w:val="26"/>
        </w:numPr>
        <w:spacing w:after="0"/>
        <w:contextualSpacing w:val="0"/>
        <w:rPr>
          <w:rFonts w:asciiTheme="minorHAnsi" w:eastAsiaTheme="minorHAnsi" w:hAnsiTheme="minorHAnsi" w:cstheme="minorHAnsi"/>
          <w:sz w:val="22"/>
          <w:szCs w:val="22"/>
        </w:rPr>
      </w:pPr>
      <w:r w:rsidRPr="00182566">
        <w:rPr>
          <w:rStyle w:val="lev"/>
          <w:rFonts w:eastAsiaTheme="minorHAnsi" w:cstheme="minorHAnsi"/>
          <w:szCs w:val="22"/>
        </w:rPr>
        <w:t>Le rapport annuel à la CFP portera seulement</w:t>
      </w:r>
      <w:r w:rsidRPr="00182566">
        <w:rPr>
          <w:rFonts w:asciiTheme="minorHAnsi" w:eastAsiaTheme="minorHAnsi" w:hAnsiTheme="minorHAnsi" w:cstheme="minorHAnsi"/>
          <w:sz w:val="22"/>
          <w:szCs w:val="22"/>
        </w:rPr>
        <w:t xml:space="preserve"> sur :</w:t>
      </w:r>
    </w:p>
    <w:p w14:paraId="0CD0981F" w14:textId="77777777" w:rsidR="009D7C33" w:rsidRPr="00182566" w:rsidRDefault="009D7C33" w:rsidP="009D7C33">
      <w:pPr>
        <w:pStyle w:val="Paragraphedeliste"/>
        <w:numPr>
          <w:ilvl w:val="0"/>
          <w:numId w:val="20"/>
        </w:numPr>
        <w:spacing w:after="0"/>
        <w:contextualSpacing w:val="0"/>
        <w:rPr>
          <w:rFonts w:asciiTheme="minorHAnsi" w:eastAsiaTheme="minorHAnsi" w:hAnsiTheme="minorHAnsi" w:cstheme="minorHAnsi"/>
          <w:sz w:val="22"/>
          <w:szCs w:val="22"/>
        </w:rPr>
      </w:pPr>
      <w:r w:rsidRPr="00182566">
        <w:rPr>
          <w:rFonts w:asciiTheme="minorHAnsi" w:eastAsiaTheme="minorHAnsi" w:hAnsiTheme="minorHAnsi" w:cstheme="minorHAnsi"/>
          <w:sz w:val="22"/>
          <w:szCs w:val="22"/>
        </w:rPr>
        <w:t>l’utilisation du Décret d’exemption concernant les langues officielles dans la fonction publique</w:t>
      </w:r>
    </w:p>
    <w:p w14:paraId="39689635" w14:textId="77777777" w:rsidR="009D7C33" w:rsidRPr="00182566" w:rsidRDefault="009D7C33" w:rsidP="009D7C33">
      <w:pPr>
        <w:pStyle w:val="Paragraphedeliste"/>
        <w:numPr>
          <w:ilvl w:val="0"/>
          <w:numId w:val="20"/>
        </w:numPr>
        <w:spacing w:after="0"/>
        <w:contextualSpacing w:val="0"/>
        <w:rPr>
          <w:rFonts w:asciiTheme="minorHAnsi" w:eastAsiaTheme="minorHAnsi" w:hAnsiTheme="minorHAnsi" w:cstheme="minorHAnsi"/>
          <w:sz w:val="22"/>
          <w:szCs w:val="22"/>
        </w:rPr>
      </w:pPr>
      <w:r w:rsidRPr="00182566">
        <w:rPr>
          <w:rFonts w:asciiTheme="minorHAnsi" w:eastAsiaTheme="minorHAnsi" w:hAnsiTheme="minorHAnsi" w:cstheme="minorHAnsi"/>
          <w:sz w:val="22"/>
          <w:szCs w:val="22"/>
        </w:rPr>
        <w:t>les exceptions à la zone nationale de sélection approuvée par l’administrateur général</w:t>
      </w:r>
    </w:p>
    <w:p w14:paraId="7C574AE3" w14:textId="77777777" w:rsidR="009D7C33" w:rsidRPr="00182566" w:rsidRDefault="009D7C33" w:rsidP="009D7C33">
      <w:pPr>
        <w:pStyle w:val="Paragraphedeliste"/>
        <w:numPr>
          <w:ilvl w:val="0"/>
          <w:numId w:val="20"/>
        </w:numPr>
        <w:spacing w:after="0"/>
        <w:contextualSpacing w:val="0"/>
        <w:rPr>
          <w:rFonts w:asciiTheme="minorHAnsi" w:eastAsiaTheme="minorHAnsi" w:hAnsiTheme="minorHAnsi" w:cstheme="minorHAnsi"/>
          <w:sz w:val="22"/>
          <w:szCs w:val="22"/>
        </w:rPr>
      </w:pPr>
      <w:r w:rsidRPr="00182566">
        <w:rPr>
          <w:rFonts w:asciiTheme="minorHAnsi" w:eastAsiaTheme="minorHAnsi" w:hAnsiTheme="minorHAnsi" w:cstheme="minorHAnsi"/>
          <w:sz w:val="22"/>
          <w:szCs w:val="22"/>
        </w:rPr>
        <w:t xml:space="preserve">les résultats de toutes enquêtes internes </w:t>
      </w:r>
    </w:p>
    <w:p w14:paraId="3BE0EC4A" w14:textId="77777777" w:rsidR="009D7C33" w:rsidRPr="00182566" w:rsidRDefault="009D7C33" w:rsidP="009D7C33">
      <w:pPr>
        <w:pStyle w:val="Paragraphedeliste"/>
        <w:numPr>
          <w:ilvl w:val="0"/>
          <w:numId w:val="20"/>
        </w:numPr>
        <w:spacing w:after="0"/>
        <w:contextualSpacing w:val="0"/>
        <w:rPr>
          <w:rFonts w:asciiTheme="minorHAnsi" w:eastAsiaTheme="minorHAnsi" w:hAnsiTheme="minorHAnsi" w:cstheme="minorHAnsi"/>
          <w:sz w:val="22"/>
          <w:szCs w:val="22"/>
        </w:rPr>
      </w:pPr>
      <w:r w:rsidRPr="00182566">
        <w:rPr>
          <w:rFonts w:asciiTheme="minorHAnsi" w:eastAsiaTheme="minorHAnsi" w:hAnsiTheme="minorHAnsi" w:cstheme="minorHAnsi"/>
          <w:sz w:val="22"/>
          <w:szCs w:val="22"/>
        </w:rPr>
        <w:t>les mesures prises à la suite de toutes enquêtes ou vérifications menées par la CFP</w:t>
      </w:r>
    </w:p>
    <w:p w14:paraId="57E09993" w14:textId="77777777" w:rsidR="004E1EFE" w:rsidRDefault="009D7C33" w:rsidP="009D7C33">
      <w:pPr>
        <w:pStyle w:val="Paragraphedeliste"/>
        <w:numPr>
          <w:ilvl w:val="0"/>
          <w:numId w:val="21"/>
        </w:numPr>
        <w:spacing w:after="0"/>
        <w:contextualSpacing w:val="0"/>
        <w:rPr>
          <w:rFonts w:asciiTheme="minorHAnsi" w:eastAsiaTheme="minorHAnsi" w:hAnsiTheme="minorHAnsi" w:cstheme="minorHAnsi"/>
          <w:sz w:val="22"/>
          <w:szCs w:val="22"/>
        </w:rPr>
        <w:sectPr w:rsidR="004E1EFE" w:rsidSect="005408A9">
          <w:pgSz w:w="12240" w:h="15840"/>
          <w:pgMar w:top="1440" w:right="1077" w:bottom="1440" w:left="1077" w:header="709" w:footer="284" w:gutter="0"/>
          <w:cols w:space="708"/>
          <w:titlePg/>
          <w:docGrid w:linePitch="360"/>
        </w:sectPr>
      </w:pPr>
      <w:r w:rsidRPr="00182566">
        <w:rPr>
          <w:rFonts w:asciiTheme="minorHAnsi" w:eastAsiaTheme="minorHAnsi" w:hAnsiTheme="minorHAnsi" w:cstheme="minorHAnsi"/>
          <w:sz w:val="22"/>
          <w:szCs w:val="22"/>
        </w:rPr>
        <w:t xml:space="preserve">L’administrateur général est responsable </w:t>
      </w:r>
      <w:r w:rsidRPr="00182566">
        <w:rPr>
          <w:rStyle w:val="lev"/>
          <w:rFonts w:eastAsiaTheme="minorHAnsi" w:cstheme="minorHAnsi"/>
          <w:szCs w:val="22"/>
        </w:rPr>
        <w:t>de la surveillance continue du système de dotation</w:t>
      </w:r>
      <w:r w:rsidRPr="00182566">
        <w:rPr>
          <w:rFonts w:asciiTheme="minorHAnsi" w:eastAsiaTheme="minorHAnsi" w:hAnsiTheme="minorHAnsi" w:cstheme="minorHAnsi"/>
          <w:sz w:val="22"/>
          <w:szCs w:val="22"/>
        </w:rPr>
        <w:t xml:space="preserve"> de l’organisation en fonction de son contexte particulier</w:t>
      </w:r>
    </w:p>
    <w:p w14:paraId="22F1ADAE" w14:textId="77777777" w:rsidR="009D7C33" w:rsidRPr="00182566" w:rsidRDefault="009D7C33" w:rsidP="009D7C33">
      <w:pPr>
        <w:pStyle w:val="Paragraphedeliste"/>
        <w:numPr>
          <w:ilvl w:val="0"/>
          <w:numId w:val="22"/>
        </w:numPr>
        <w:contextualSpacing w:val="0"/>
        <w:rPr>
          <w:rFonts w:asciiTheme="minorHAnsi" w:eastAsiaTheme="minorHAnsi" w:hAnsiTheme="minorHAnsi" w:cstheme="minorHAnsi"/>
          <w:sz w:val="22"/>
          <w:szCs w:val="22"/>
        </w:rPr>
      </w:pPr>
      <w:r w:rsidRPr="00182566">
        <w:rPr>
          <w:rStyle w:val="lev"/>
          <w:rFonts w:eastAsiaTheme="minorHAnsi" w:cstheme="minorHAnsi"/>
          <w:szCs w:val="22"/>
        </w:rPr>
        <w:lastRenderedPageBreak/>
        <w:t>examen de la conformité aux exigences</w:t>
      </w:r>
      <w:r w:rsidRPr="00182566">
        <w:rPr>
          <w:rFonts w:asciiTheme="minorHAnsi" w:eastAsiaTheme="minorHAnsi" w:hAnsiTheme="minorHAnsi" w:cstheme="minorHAnsi"/>
          <w:sz w:val="22"/>
          <w:szCs w:val="22"/>
        </w:rPr>
        <w:t>, fondé sur les risques spécifiques de l’organisation, au moins une fois tous les cinq ans</w:t>
      </w:r>
    </w:p>
    <w:p w14:paraId="2CA0A7EE" w14:textId="77777777" w:rsidR="009D7C33" w:rsidRPr="00182566" w:rsidRDefault="009D7C33" w:rsidP="009D7C33">
      <w:pPr>
        <w:pStyle w:val="Titre3"/>
        <w:spacing w:after="120"/>
      </w:pPr>
      <w:r w:rsidRPr="00182566">
        <w:t>Surveillance de la CFP</w:t>
      </w:r>
    </w:p>
    <w:p w14:paraId="2A572663" w14:textId="77777777" w:rsidR="009D7C33" w:rsidRPr="00182566" w:rsidRDefault="009D7C33" w:rsidP="009D7C33">
      <w:pPr>
        <w:spacing w:after="120"/>
        <w:rPr>
          <w:rFonts w:asciiTheme="minorHAnsi" w:hAnsiTheme="minorHAnsi" w:cstheme="minorHAnsi"/>
          <w:sz w:val="22"/>
          <w:szCs w:val="22"/>
        </w:rPr>
      </w:pPr>
      <w:r w:rsidRPr="00182566">
        <w:rPr>
          <w:rFonts w:asciiTheme="minorHAnsi" w:hAnsiTheme="minorHAnsi" w:cstheme="minorHAnsi"/>
          <w:sz w:val="22"/>
          <w:szCs w:val="22"/>
        </w:rPr>
        <w:t>Axée sur l’ensemble du système</w:t>
      </w:r>
    </w:p>
    <w:p w14:paraId="6C685E08" w14:textId="77777777" w:rsidR="009D7C33" w:rsidRPr="00182566" w:rsidRDefault="009D7C33" w:rsidP="009D7C33">
      <w:pPr>
        <w:pStyle w:val="Paragraphedeliste"/>
        <w:numPr>
          <w:ilvl w:val="0"/>
          <w:numId w:val="27"/>
        </w:numPr>
        <w:spacing w:after="0"/>
        <w:ind w:left="723"/>
        <w:contextualSpacing w:val="0"/>
        <w:rPr>
          <w:rStyle w:val="lev"/>
          <w:rFonts w:eastAsiaTheme="minorHAnsi" w:cstheme="minorHAnsi"/>
          <w:szCs w:val="22"/>
        </w:rPr>
      </w:pPr>
      <w:r w:rsidRPr="00182566">
        <w:rPr>
          <w:rStyle w:val="lev"/>
          <w:rFonts w:eastAsiaTheme="minorHAnsi" w:cstheme="minorHAnsi"/>
          <w:szCs w:val="22"/>
        </w:rPr>
        <w:t xml:space="preserve">Vérification de la conformité pangouvernementale tous les deux ans </w:t>
      </w:r>
    </w:p>
    <w:p w14:paraId="7AEC5057" w14:textId="77777777" w:rsidR="009D7C33" w:rsidRPr="00182566" w:rsidRDefault="009D7C33" w:rsidP="009D7C33">
      <w:pPr>
        <w:pStyle w:val="Paragraphedeliste"/>
        <w:numPr>
          <w:ilvl w:val="0"/>
          <w:numId w:val="27"/>
        </w:numPr>
        <w:spacing w:after="0"/>
        <w:ind w:left="723"/>
        <w:contextualSpacing w:val="0"/>
        <w:rPr>
          <w:rFonts w:asciiTheme="minorHAnsi" w:eastAsiaTheme="minorHAnsi" w:hAnsiTheme="minorHAnsi" w:cstheme="minorHAnsi"/>
          <w:sz w:val="22"/>
          <w:szCs w:val="22"/>
        </w:rPr>
      </w:pPr>
      <w:r w:rsidRPr="00182566">
        <w:rPr>
          <w:rStyle w:val="lev"/>
          <w:rFonts w:eastAsiaTheme="minorHAnsi" w:cstheme="minorHAnsi"/>
          <w:szCs w:val="22"/>
        </w:rPr>
        <w:t>Nouveau Sondage sur la dotation</w:t>
      </w:r>
      <w:r w:rsidRPr="00182566">
        <w:rPr>
          <w:rFonts w:asciiTheme="minorHAnsi" w:eastAsiaTheme="minorHAnsi" w:hAnsiTheme="minorHAnsi" w:cstheme="minorHAnsi"/>
          <w:sz w:val="22"/>
          <w:szCs w:val="22"/>
        </w:rPr>
        <w:t xml:space="preserve"> administré en alternance avec la vérification pangouvernementale</w:t>
      </w:r>
    </w:p>
    <w:p w14:paraId="56D30820" w14:textId="77777777" w:rsidR="009D7C33" w:rsidRPr="00182566" w:rsidRDefault="009D7C33" w:rsidP="009D7C33">
      <w:pPr>
        <w:pStyle w:val="Paragraphedeliste"/>
        <w:numPr>
          <w:ilvl w:val="0"/>
          <w:numId w:val="27"/>
        </w:numPr>
        <w:spacing w:after="0"/>
        <w:ind w:left="723"/>
        <w:contextualSpacing w:val="0"/>
        <w:rPr>
          <w:rFonts w:asciiTheme="minorHAnsi" w:eastAsiaTheme="minorHAnsi" w:hAnsiTheme="minorHAnsi" w:cstheme="minorHAnsi"/>
          <w:sz w:val="22"/>
          <w:szCs w:val="22"/>
        </w:rPr>
      </w:pPr>
      <w:r w:rsidRPr="00182566">
        <w:rPr>
          <w:rStyle w:val="lev"/>
          <w:rFonts w:eastAsiaTheme="minorHAnsi" w:cstheme="minorHAnsi"/>
          <w:szCs w:val="22"/>
        </w:rPr>
        <w:t>Examens de l’efficacité et de l’efficience de l’ensemble du système</w:t>
      </w:r>
      <w:r w:rsidRPr="00182566">
        <w:rPr>
          <w:rFonts w:asciiTheme="minorHAnsi" w:eastAsiaTheme="minorHAnsi" w:hAnsiTheme="minorHAnsi" w:cstheme="minorHAnsi"/>
          <w:sz w:val="22"/>
          <w:szCs w:val="22"/>
        </w:rPr>
        <w:t xml:space="preserve"> pour appuyer l’amélioration continue</w:t>
      </w:r>
    </w:p>
    <w:p w14:paraId="78EB8A77" w14:textId="77777777" w:rsidR="009D7C33" w:rsidRPr="00182566" w:rsidRDefault="009D7C33" w:rsidP="009D7C33">
      <w:pPr>
        <w:pStyle w:val="Paragraphedeliste"/>
        <w:numPr>
          <w:ilvl w:val="0"/>
          <w:numId w:val="27"/>
        </w:numPr>
        <w:spacing w:after="0"/>
        <w:ind w:left="723"/>
        <w:contextualSpacing w:val="0"/>
        <w:rPr>
          <w:rFonts w:asciiTheme="minorHAnsi" w:eastAsiaTheme="minorHAnsi" w:hAnsiTheme="minorHAnsi" w:cstheme="minorHAnsi"/>
          <w:sz w:val="22"/>
          <w:szCs w:val="22"/>
        </w:rPr>
      </w:pPr>
      <w:r w:rsidRPr="00182566">
        <w:rPr>
          <w:rStyle w:val="lev"/>
          <w:rFonts w:eastAsiaTheme="minorHAnsi" w:cstheme="minorHAnsi"/>
          <w:szCs w:val="22"/>
        </w:rPr>
        <w:t>Vérifications ciblées de la CFP</w:t>
      </w:r>
      <w:r w:rsidRPr="00182566">
        <w:rPr>
          <w:rFonts w:asciiTheme="minorHAnsi" w:eastAsiaTheme="minorHAnsi" w:hAnsiTheme="minorHAnsi" w:cstheme="minorHAnsi"/>
          <w:sz w:val="22"/>
          <w:szCs w:val="22"/>
        </w:rPr>
        <w:t xml:space="preserve"> suite aux risques pangouvernementaux ou organisationnels identifiés, ou à la demande de l’administrateur général </w:t>
      </w:r>
    </w:p>
    <w:p w14:paraId="7F2BE512" w14:textId="77777777" w:rsidR="009D7C33" w:rsidRPr="00182566" w:rsidRDefault="009D7C33" w:rsidP="009D7C33">
      <w:pPr>
        <w:pStyle w:val="Paragraphedeliste"/>
        <w:numPr>
          <w:ilvl w:val="0"/>
          <w:numId w:val="27"/>
        </w:numPr>
        <w:ind w:left="723"/>
        <w:contextualSpacing w:val="0"/>
        <w:rPr>
          <w:rFonts w:asciiTheme="minorHAnsi" w:eastAsiaTheme="minorHAnsi" w:hAnsiTheme="minorHAnsi" w:cstheme="minorHAnsi"/>
          <w:sz w:val="22"/>
          <w:szCs w:val="22"/>
        </w:rPr>
      </w:pPr>
      <w:r w:rsidRPr="00182566">
        <w:rPr>
          <w:rStyle w:val="lev"/>
          <w:rFonts w:eastAsiaTheme="minorHAnsi" w:cstheme="minorHAnsi"/>
          <w:szCs w:val="22"/>
        </w:rPr>
        <w:t>Enquêtes menées</w:t>
      </w:r>
      <w:r w:rsidRPr="00182566">
        <w:rPr>
          <w:rFonts w:asciiTheme="minorHAnsi" w:eastAsiaTheme="minorHAnsi" w:hAnsiTheme="minorHAnsi" w:cstheme="minorHAnsi"/>
          <w:sz w:val="22"/>
          <w:szCs w:val="22"/>
        </w:rPr>
        <w:t xml:space="preserve"> lorsqu’il y a lieu de croire  qu’il pourrait y avoir ingérence politique, fraude ou conduite irrégulière dans le cadre d’un  processus de nomination</w:t>
      </w:r>
    </w:p>
    <w:p w14:paraId="2BDCE709" w14:textId="77777777" w:rsidR="00D54BE5" w:rsidRDefault="009D7C33" w:rsidP="008F04B0">
      <w:pPr>
        <w:jc w:val="both"/>
        <w:rPr>
          <w:rStyle w:val="lev"/>
          <w:rFonts w:eastAsiaTheme="minorHAnsi" w:cstheme="minorHAnsi"/>
          <w:b w:val="0"/>
        </w:rPr>
        <w:sectPr w:rsidR="00D54BE5" w:rsidSect="005408A9">
          <w:pgSz w:w="12240" w:h="15840"/>
          <w:pgMar w:top="1440" w:right="1077" w:bottom="1440" w:left="1077" w:header="709" w:footer="284" w:gutter="0"/>
          <w:cols w:space="708"/>
          <w:titlePg/>
          <w:docGrid w:linePitch="360"/>
        </w:sectPr>
      </w:pPr>
      <w:r w:rsidRPr="008F04B0">
        <w:rPr>
          <w:rStyle w:val="lev"/>
          <w:rFonts w:eastAsiaTheme="minorHAnsi" w:cstheme="minorHAnsi"/>
          <w:b w:val="0"/>
        </w:rPr>
        <w:t xml:space="preserve">Ce document doit être lu conjointement avec la </w:t>
      </w:r>
      <w:r w:rsidRPr="009C7BDE">
        <w:rPr>
          <w:rStyle w:val="Accentuation"/>
          <w:rFonts w:eastAsiaTheme="minorHAnsi"/>
        </w:rPr>
        <w:t>Loi sur l’emploi dans la fonction publique</w:t>
      </w:r>
      <w:r w:rsidRPr="008F04B0">
        <w:rPr>
          <w:rStyle w:val="lev"/>
          <w:rFonts w:eastAsiaTheme="minorHAnsi" w:cstheme="minorHAnsi"/>
          <w:b w:val="0"/>
        </w:rPr>
        <w:t xml:space="preserve">, le </w:t>
      </w:r>
      <w:r w:rsidRPr="009C7BDE">
        <w:rPr>
          <w:rStyle w:val="Accentuation"/>
          <w:rFonts w:eastAsiaTheme="minorHAnsi"/>
        </w:rPr>
        <w:t>Règlement sur l'emploi dans la fonction publique</w:t>
      </w:r>
      <w:r w:rsidRPr="008F04B0">
        <w:rPr>
          <w:rStyle w:val="lev"/>
          <w:rFonts w:eastAsiaTheme="minorHAnsi" w:cstheme="minorHAnsi"/>
          <w:b w:val="0"/>
        </w:rPr>
        <w:t xml:space="preserve">, la ligne directrice en matière de nomination de la CFP ainsi que </w:t>
      </w:r>
      <w:r w:rsidRPr="009C7BDE">
        <w:rPr>
          <w:rStyle w:val="Accentuation"/>
          <w:rFonts w:eastAsiaTheme="minorHAnsi"/>
        </w:rPr>
        <w:t>l’Instrument de délégation et de responsabilisation en</w:t>
      </w:r>
      <w:r w:rsidR="008F04B0" w:rsidRPr="009C7BDE">
        <w:rPr>
          <w:rStyle w:val="Accentuation"/>
          <w:rFonts w:eastAsiaTheme="minorHAnsi"/>
        </w:rPr>
        <w:t xml:space="preserve"> matière de nomination</w:t>
      </w:r>
      <w:r w:rsidR="008F04B0">
        <w:rPr>
          <w:rStyle w:val="lev"/>
          <w:rFonts w:eastAsiaTheme="minorHAnsi" w:cstheme="minorHAnsi"/>
          <w:b w:val="0"/>
        </w:rPr>
        <w:t xml:space="preserve"> de la CFP.</w:t>
      </w:r>
    </w:p>
    <w:p w14:paraId="5EE85F4C" w14:textId="788F4F82" w:rsidR="008A5FB8" w:rsidRDefault="008F04B0" w:rsidP="008A5FB8">
      <w:pPr>
        <w:pStyle w:val="Titre3"/>
        <w:jc w:val="right"/>
        <w:rPr>
          <w:noProof/>
          <w:lang w:eastAsia="en-CA"/>
        </w:rPr>
      </w:pPr>
      <w:bookmarkStart w:id="1" w:name="AnnexeB"/>
      <w:r>
        <w:rPr>
          <w:noProof/>
          <w:lang w:eastAsia="en-CA"/>
        </w:rPr>
        <w:lastRenderedPageBreak/>
        <w:t>Annexe B</w:t>
      </w:r>
    </w:p>
    <w:bookmarkEnd w:id="1"/>
    <w:p w14:paraId="0ACB49AF" w14:textId="77777777" w:rsidR="00442CAD" w:rsidRPr="00442CAD" w:rsidRDefault="00442CAD" w:rsidP="00442CAD">
      <w:pPr>
        <w:pStyle w:val="Titre1"/>
        <w:spacing w:before="120" w:after="120"/>
        <w:rPr>
          <w:sz w:val="40"/>
          <w:szCs w:val="40"/>
        </w:rPr>
      </w:pPr>
      <w:r w:rsidRPr="00442CAD">
        <w:rPr>
          <w:sz w:val="40"/>
          <w:szCs w:val="40"/>
        </w:rPr>
        <w:t>Population selon la durée d'emploi au 31 mars</w:t>
      </w:r>
    </w:p>
    <w:p w14:paraId="51DBBC54" w14:textId="77777777" w:rsidR="00104A68" w:rsidRDefault="008A5FB8" w:rsidP="00D4487B">
      <w:pPr>
        <w:pStyle w:val="Titre3"/>
        <w:jc w:val="center"/>
      </w:pPr>
      <w:r w:rsidRPr="00AD143D">
        <w:rPr>
          <w:rStyle w:val="lev"/>
          <w:noProof/>
          <w:lang w:val="en-CA" w:eastAsia="en-CA"/>
        </w:rPr>
        <w:drawing>
          <wp:inline distT="0" distB="0" distL="0" distR="0" wp14:anchorId="234DFDAB" wp14:editId="3F55DD7E">
            <wp:extent cx="5648400" cy="3049200"/>
            <wp:effectExtent l="0" t="0" r="9525" b="18415"/>
            <wp:docPr id="13" name="Chart 13" descr="Figure 1 - Population selon la durée d'emploi au 31 m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6C49F4" w14:textId="24222778" w:rsidR="008A5FB8" w:rsidRDefault="00104A68" w:rsidP="00F52433">
      <w:pPr>
        <w:pStyle w:val="Lgende"/>
        <w:spacing w:after="120"/>
        <w:jc w:val="center"/>
      </w:pPr>
      <w:r>
        <w:t xml:space="preserve">Figure </w:t>
      </w:r>
      <w:r>
        <w:fldChar w:fldCharType="begin"/>
      </w:r>
      <w:r>
        <w:instrText xml:space="preserve"> SEQ Figure \* ARABIC </w:instrText>
      </w:r>
      <w:r>
        <w:fldChar w:fldCharType="separate"/>
      </w:r>
      <w:r w:rsidR="00F812CC">
        <w:rPr>
          <w:noProof/>
        </w:rPr>
        <w:t>1</w:t>
      </w:r>
      <w:r>
        <w:fldChar w:fldCharType="end"/>
      </w:r>
      <w:r>
        <w:t xml:space="preserve"> - </w:t>
      </w:r>
      <w:r w:rsidRPr="00700213">
        <w:t>Population selon la durée d'emploi au 31 mars</w:t>
      </w:r>
    </w:p>
    <w:p w14:paraId="68D153B6" w14:textId="137D70BA" w:rsidR="00104A68" w:rsidRDefault="00104A68" w:rsidP="00104A68">
      <w:pPr>
        <w:pStyle w:val="Lgende"/>
        <w:keepNext/>
        <w:spacing w:before="240"/>
        <w:jc w:val="center"/>
      </w:pPr>
      <w:r>
        <w:t xml:space="preserve">Table </w:t>
      </w:r>
      <w:r w:rsidR="00971657">
        <w:t>4</w:t>
      </w:r>
      <w:r>
        <w:t xml:space="preserve"> - </w:t>
      </w:r>
      <w:r w:rsidRPr="00F40A43">
        <w:t>Effectif régi par la Loi sur l’emploi dans la fonction publique au 31 mars selon la durée d’emploi</w:t>
      </w:r>
    </w:p>
    <w:tbl>
      <w:tblPr>
        <w:tblStyle w:val="Grilledutableau"/>
        <w:tblW w:w="5000" w:type="pct"/>
        <w:jc w:val="center"/>
        <w:tblLook w:val="0020" w:firstRow="1" w:lastRow="0" w:firstColumn="0" w:lastColumn="0" w:noHBand="0" w:noVBand="0"/>
        <w:tblDescription w:val="Effectif selon la durée d’emploi en date du 31 mars 2014 à 2019"/>
      </w:tblPr>
      <w:tblGrid>
        <w:gridCol w:w="2964"/>
        <w:gridCol w:w="2629"/>
        <w:gridCol w:w="2344"/>
        <w:gridCol w:w="2566"/>
        <w:gridCol w:w="1781"/>
        <w:gridCol w:w="1392"/>
      </w:tblGrid>
      <w:tr w:rsidR="00104A68" w:rsidRPr="008A5FB8" w14:paraId="7C720DD2" w14:textId="77777777" w:rsidTr="003E35C9">
        <w:trPr>
          <w:cantSplit/>
          <w:trHeight w:val="290"/>
          <w:tblHeader/>
          <w:jc w:val="center"/>
        </w:trPr>
        <w:tc>
          <w:tcPr>
            <w:tcW w:w="1084" w:type="pct"/>
          </w:tcPr>
          <w:p w14:paraId="53327E62" w14:textId="710CE596" w:rsidR="00104A68" w:rsidRPr="008A5FB8" w:rsidRDefault="00104A68" w:rsidP="00104A68">
            <w:pPr>
              <w:pStyle w:val="TableTitle"/>
            </w:pPr>
            <w:r w:rsidRPr="008A5FB8">
              <w:t>Année</w:t>
            </w:r>
          </w:p>
        </w:tc>
        <w:tc>
          <w:tcPr>
            <w:tcW w:w="961" w:type="pct"/>
          </w:tcPr>
          <w:p w14:paraId="5327567C" w14:textId="77777777" w:rsidR="00104A68" w:rsidRPr="008A5FB8" w:rsidRDefault="00104A68" w:rsidP="00104A68">
            <w:pPr>
              <w:pStyle w:val="TableTitle"/>
            </w:pPr>
            <w:r w:rsidRPr="008A5FB8">
              <w:t>Indéterminée</w:t>
            </w:r>
          </w:p>
        </w:tc>
        <w:tc>
          <w:tcPr>
            <w:tcW w:w="857" w:type="pct"/>
          </w:tcPr>
          <w:p w14:paraId="272DA791" w14:textId="77777777" w:rsidR="00104A68" w:rsidRPr="008A5FB8" w:rsidRDefault="00104A68" w:rsidP="00104A68">
            <w:pPr>
              <w:pStyle w:val="TableTitle"/>
            </w:pPr>
            <w:r w:rsidRPr="008A5FB8">
              <w:t>Déterminée</w:t>
            </w:r>
          </w:p>
        </w:tc>
        <w:tc>
          <w:tcPr>
            <w:tcW w:w="938" w:type="pct"/>
          </w:tcPr>
          <w:p w14:paraId="1D823B52" w14:textId="77777777" w:rsidR="00104A68" w:rsidRPr="008A5FB8" w:rsidRDefault="00104A68" w:rsidP="00104A68">
            <w:pPr>
              <w:pStyle w:val="TableTitle"/>
            </w:pPr>
            <w:r w:rsidRPr="008A5FB8">
              <w:t>Occasionnels</w:t>
            </w:r>
          </w:p>
        </w:tc>
        <w:tc>
          <w:tcPr>
            <w:tcW w:w="651" w:type="pct"/>
          </w:tcPr>
          <w:p w14:paraId="282A83DE" w14:textId="77777777" w:rsidR="00104A68" w:rsidRPr="008A5FB8" w:rsidRDefault="00104A68" w:rsidP="00104A68">
            <w:pPr>
              <w:pStyle w:val="TableTitle"/>
            </w:pPr>
            <w:r w:rsidRPr="008A5FB8">
              <w:t>Étudiant</w:t>
            </w:r>
          </w:p>
        </w:tc>
        <w:tc>
          <w:tcPr>
            <w:tcW w:w="509" w:type="pct"/>
          </w:tcPr>
          <w:p w14:paraId="0211B5A4" w14:textId="77777777" w:rsidR="00104A68" w:rsidRPr="008A5FB8" w:rsidRDefault="00104A68" w:rsidP="00104A68">
            <w:pPr>
              <w:pStyle w:val="TableTitle"/>
            </w:pPr>
            <w:r w:rsidRPr="008A5FB8">
              <w:t>Total</w:t>
            </w:r>
          </w:p>
        </w:tc>
      </w:tr>
      <w:tr w:rsidR="00104A68" w:rsidRPr="008A5FB8" w14:paraId="6B2067E9" w14:textId="77777777" w:rsidTr="003E35C9">
        <w:trPr>
          <w:cantSplit/>
          <w:trHeight w:val="290"/>
          <w:tblHeader/>
          <w:jc w:val="center"/>
        </w:trPr>
        <w:tc>
          <w:tcPr>
            <w:tcW w:w="1084" w:type="pct"/>
          </w:tcPr>
          <w:p w14:paraId="3E8928CD" w14:textId="77777777" w:rsidR="00104A68" w:rsidRPr="008A5FB8" w:rsidRDefault="00104A68" w:rsidP="00330CF1">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Au 31 mars 2014</w:t>
            </w:r>
          </w:p>
        </w:tc>
        <w:tc>
          <w:tcPr>
            <w:tcW w:w="961" w:type="pct"/>
          </w:tcPr>
          <w:p w14:paraId="2EEF2674"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8 178</w:t>
            </w:r>
          </w:p>
        </w:tc>
        <w:tc>
          <w:tcPr>
            <w:tcW w:w="857" w:type="pct"/>
          </w:tcPr>
          <w:p w14:paraId="27A2EBC9"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590</w:t>
            </w:r>
          </w:p>
        </w:tc>
        <w:tc>
          <w:tcPr>
            <w:tcW w:w="938" w:type="pct"/>
          </w:tcPr>
          <w:p w14:paraId="303C47FA"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394</w:t>
            </w:r>
          </w:p>
        </w:tc>
        <w:tc>
          <w:tcPr>
            <w:tcW w:w="651" w:type="pct"/>
          </w:tcPr>
          <w:p w14:paraId="13A20004"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177</w:t>
            </w:r>
          </w:p>
        </w:tc>
        <w:tc>
          <w:tcPr>
            <w:tcW w:w="509" w:type="pct"/>
          </w:tcPr>
          <w:p w14:paraId="48E743CA"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9 339</w:t>
            </w:r>
          </w:p>
        </w:tc>
      </w:tr>
      <w:tr w:rsidR="00104A68" w:rsidRPr="008A5FB8" w14:paraId="2228BFF9" w14:textId="77777777" w:rsidTr="003E35C9">
        <w:trPr>
          <w:cantSplit/>
          <w:trHeight w:val="290"/>
          <w:tblHeader/>
          <w:jc w:val="center"/>
        </w:trPr>
        <w:tc>
          <w:tcPr>
            <w:tcW w:w="1084" w:type="pct"/>
          </w:tcPr>
          <w:p w14:paraId="553F3314" w14:textId="77777777" w:rsidR="00104A68" w:rsidRPr="008A5FB8" w:rsidRDefault="00104A68" w:rsidP="00330CF1">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Au 31 mars 2015</w:t>
            </w:r>
          </w:p>
        </w:tc>
        <w:tc>
          <w:tcPr>
            <w:tcW w:w="961" w:type="pct"/>
          </w:tcPr>
          <w:p w14:paraId="74977395"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8 105</w:t>
            </w:r>
          </w:p>
        </w:tc>
        <w:tc>
          <w:tcPr>
            <w:tcW w:w="857" w:type="pct"/>
          </w:tcPr>
          <w:p w14:paraId="713A1BDA"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558</w:t>
            </w:r>
          </w:p>
        </w:tc>
        <w:tc>
          <w:tcPr>
            <w:tcW w:w="938" w:type="pct"/>
          </w:tcPr>
          <w:p w14:paraId="5D4B7CCB"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257</w:t>
            </w:r>
          </w:p>
        </w:tc>
        <w:tc>
          <w:tcPr>
            <w:tcW w:w="651" w:type="pct"/>
          </w:tcPr>
          <w:p w14:paraId="33FF68AA"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157</w:t>
            </w:r>
          </w:p>
        </w:tc>
        <w:tc>
          <w:tcPr>
            <w:tcW w:w="509" w:type="pct"/>
          </w:tcPr>
          <w:p w14:paraId="685F1154"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9 077</w:t>
            </w:r>
          </w:p>
        </w:tc>
      </w:tr>
      <w:tr w:rsidR="00104A68" w:rsidRPr="008A5FB8" w14:paraId="669E3D58" w14:textId="77777777" w:rsidTr="003E35C9">
        <w:trPr>
          <w:cantSplit/>
          <w:trHeight w:val="290"/>
          <w:tblHeader/>
          <w:jc w:val="center"/>
        </w:trPr>
        <w:tc>
          <w:tcPr>
            <w:tcW w:w="1084" w:type="pct"/>
          </w:tcPr>
          <w:p w14:paraId="105981FC" w14:textId="77777777" w:rsidR="00104A68" w:rsidRPr="008A5FB8" w:rsidRDefault="00104A68" w:rsidP="00330CF1">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Au 31 mars 2016</w:t>
            </w:r>
          </w:p>
        </w:tc>
        <w:tc>
          <w:tcPr>
            <w:tcW w:w="961" w:type="pct"/>
          </w:tcPr>
          <w:p w14:paraId="54DC61CF"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8 078</w:t>
            </w:r>
          </w:p>
        </w:tc>
        <w:tc>
          <w:tcPr>
            <w:tcW w:w="857" w:type="pct"/>
          </w:tcPr>
          <w:p w14:paraId="25A1240F"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540</w:t>
            </w:r>
          </w:p>
        </w:tc>
        <w:tc>
          <w:tcPr>
            <w:tcW w:w="938" w:type="pct"/>
          </w:tcPr>
          <w:p w14:paraId="31F10F78"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344</w:t>
            </w:r>
          </w:p>
        </w:tc>
        <w:tc>
          <w:tcPr>
            <w:tcW w:w="651" w:type="pct"/>
          </w:tcPr>
          <w:p w14:paraId="07EB3508"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225</w:t>
            </w:r>
          </w:p>
        </w:tc>
        <w:tc>
          <w:tcPr>
            <w:tcW w:w="509" w:type="pct"/>
          </w:tcPr>
          <w:p w14:paraId="655E1D7D"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9 187</w:t>
            </w:r>
          </w:p>
        </w:tc>
      </w:tr>
      <w:tr w:rsidR="00104A68" w:rsidRPr="008A5FB8" w14:paraId="1EA7BBBF" w14:textId="77777777" w:rsidTr="003E35C9">
        <w:trPr>
          <w:cantSplit/>
          <w:trHeight w:val="290"/>
          <w:tblHeader/>
          <w:jc w:val="center"/>
        </w:trPr>
        <w:tc>
          <w:tcPr>
            <w:tcW w:w="1084" w:type="pct"/>
          </w:tcPr>
          <w:p w14:paraId="5FA43940" w14:textId="77777777" w:rsidR="00104A68" w:rsidRPr="008A5FB8" w:rsidRDefault="00104A68" w:rsidP="00330CF1">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Au 31 mars 2017</w:t>
            </w:r>
          </w:p>
        </w:tc>
        <w:tc>
          <w:tcPr>
            <w:tcW w:w="961" w:type="pct"/>
          </w:tcPr>
          <w:p w14:paraId="3A3535C0"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8 390</w:t>
            </w:r>
          </w:p>
        </w:tc>
        <w:tc>
          <w:tcPr>
            <w:tcW w:w="857" w:type="pct"/>
          </w:tcPr>
          <w:p w14:paraId="265BD700"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540</w:t>
            </w:r>
          </w:p>
        </w:tc>
        <w:tc>
          <w:tcPr>
            <w:tcW w:w="938" w:type="pct"/>
          </w:tcPr>
          <w:p w14:paraId="2C53E315"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319</w:t>
            </w:r>
          </w:p>
        </w:tc>
        <w:tc>
          <w:tcPr>
            <w:tcW w:w="651" w:type="pct"/>
          </w:tcPr>
          <w:p w14:paraId="293B6C6E"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214</w:t>
            </w:r>
          </w:p>
        </w:tc>
        <w:tc>
          <w:tcPr>
            <w:tcW w:w="509" w:type="pct"/>
          </w:tcPr>
          <w:p w14:paraId="67BB7C98"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9 463</w:t>
            </w:r>
          </w:p>
        </w:tc>
      </w:tr>
      <w:tr w:rsidR="00104A68" w:rsidRPr="008A5FB8" w14:paraId="02996592" w14:textId="77777777" w:rsidTr="003E35C9">
        <w:trPr>
          <w:cantSplit/>
          <w:trHeight w:val="290"/>
          <w:tblHeader/>
          <w:jc w:val="center"/>
        </w:trPr>
        <w:tc>
          <w:tcPr>
            <w:tcW w:w="1084" w:type="pct"/>
          </w:tcPr>
          <w:p w14:paraId="23DA50C6" w14:textId="77777777" w:rsidR="00104A68" w:rsidRPr="008A5FB8" w:rsidRDefault="00104A68" w:rsidP="00330CF1">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Au 31 mars 2018</w:t>
            </w:r>
          </w:p>
        </w:tc>
        <w:tc>
          <w:tcPr>
            <w:tcW w:w="961" w:type="pct"/>
          </w:tcPr>
          <w:p w14:paraId="0959933A"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8 653</w:t>
            </w:r>
          </w:p>
        </w:tc>
        <w:tc>
          <w:tcPr>
            <w:tcW w:w="857" w:type="pct"/>
          </w:tcPr>
          <w:p w14:paraId="4C71BCA3"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636</w:t>
            </w:r>
          </w:p>
        </w:tc>
        <w:tc>
          <w:tcPr>
            <w:tcW w:w="938" w:type="pct"/>
          </w:tcPr>
          <w:p w14:paraId="425E8544"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364</w:t>
            </w:r>
          </w:p>
        </w:tc>
        <w:tc>
          <w:tcPr>
            <w:tcW w:w="651" w:type="pct"/>
          </w:tcPr>
          <w:p w14:paraId="3F2B698E"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273</w:t>
            </w:r>
          </w:p>
        </w:tc>
        <w:tc>
          <w:tcPr>
            <w:tcW w:w="509" w:type="pct"/>
          </w:tcPr>
          <w:p w14:paraId="7F7D3CFB"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9 926</w:t>
            </w:r>
          </w:p>
        </w:tc>
      </w:tr>
      <w:tr w:rsidR="00104A68" w:rsidRPr="008A5FB8" w14:paraId="734E32BA" w14:textId="77777777" w:rsidTr="003E35C9">
        <w:trPr>
          <w:cantSplit/>
          <w:trHeight w:val="290"/>
          <w:tblHeader/>
          <w:jc w:val="center"/>
        </w:trPr>
        <w:tc>
          <w:tcPr>
            <w:tcW w:w="1084" w:type="pct"/>
          </w:tcPr>
          <w:p w14:paraId="51DA333B" w14:textId="77777777" w:rsidR="00104A68" w:rsidRPr="008A5FB8" w:rsidRDefault="00104A68" w:rsidP="00330CF1">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Au 31 mars 2019</w:t>
            </w:r>
          </w:p>
        </w:tc>
        <w:tc>
          <w:tcPr>
            <w:tcW w:w="961" w:type="pct"/>
          </w:tcPr>
          <w:p w14:paraId="3AEC4A2F"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9 333</w:t>
            </w:r>
          </w:p>
        </w:tc>
        <w:tc>
          <w:tcPr>
            <w:tcW w:w="857" w:type="pct"/>
          </w:tcPr>
          <w:p w14:paraId="15E6BF33"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830</w:t>
            </w:r>
          </w:p>
        </w:tc>
        <w:tc>
          <w:tcPr>
            <w:tcW w:w="938" w:type="pct"/>
          </w:tcPr>
          <w:p w14:paraId="5041BE00"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358</w:t>
            </w:r>
          </w:p>
        </w:tc>
        <w:tc>
          <w:tcPr>
            <w:tcW w:w="651" w:type="pct"/>
          </w:tcPr>
          <w:p w14:paraId="0522E1DE"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329</w:t>
            </w:r>
          </w:p>
        </w:tc>
        <w:tc>
          <w:tcPr>
            <w:tcW w:w="509" w:type="pct"/>
          </w:tcPr>
          <w:p w14:paraId="263FA94A"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10 850</w:t>
            </w:r>
          </w:p>
        </w:tc>
      </w:tr>
    </w:tbl>
    <w:p w14:paraId="45116A05" w14:textId="0E5EA9A0" w:rsidR="00442CAD" w:rsidRPr="00442CAD" w:rsidRDefault="00442CAD" w:rsidP="00442CAD">
      <w:pPr>
        <w:pStyle w:val="Titre1"/>
        <w:spacing w:before="120" w:after="120"/>
        <w:rPr>
          <w:sz w:val="40"/>
          <w:szCs w:val="40"/>
        </w:rPr>
      </w:pPr>
      <w:r w:rsidRPr="00442CAD">
        <w:rPr>
          <w:sz w:val="40"/>
          <w:szCs w:val="40"/>
        </w:rPr>
        <w:lastRenderedPageBreak/>
        <w:t>Population selon le profil linguistique au 31 mars 2019</w:t>
      </w:r>
    </w:p>
    <w:p w14:paraId="0E93C27F" w14:textId="77777777" w:rsidR="00104A68" w:rsidRDefault="008A5FB8" w:rsidP="00D4487B">
      <w:pPr>
        <w:pStyle w:val="Titre3"/>
        <w:jc w:val="center"/>
      </w:pPr>
      <w:r w:rsidRPr="00104A68">
        <w:rPr>
          <w:rStyle w:val="lev"/>
          <w:noProof/>
          <w:lang w:val="en-CA" w:eastAsia="en-CA"/>
        </w:rPr>
        <w:drawing>
          <wp:inline distT="0" distB="0" distL="0" distR="0" wp14:anchorId="391B7799" wp14:editId="3A2B5C6E">
            <wp:extent cx="1980000" cy="3020400"/>
            <wp:effectExtent l="0" t="0" r="1270" b="8890"/>
            <wp:docPr id="18" name="Chart 18" descr="Figure 2 - Population selon le profil linguistique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93C4B7" w14:textId="12F023F2" w:rsidR="00104A68" w:rsidRDefault="00104A68" w:rsidP="00104A68">
      <w:pPr>
        <w:pStyle w:val="Lgende"/>
        <w:jc w:val="center"/>
      </w:pPr>
      <w:r>
        <w:t xml:space="preserve">Figure </w:t>
      </w:r>
      <w:r>
        <w:fldChar w:fldCharType="begin"/>
      </w:r>
      <w:r>
        <w:instrText xml:space="preserve"> SEQ Figure \* ARABIC </w:instrText>
      </w:r>
      <w:r>
        <w:fldChar w:fldCharType="separate"/>
      </w:r>
      <w:r w:rsidR="00F812CC">
        <w:rPr>
          <w:noProof/>
        </w:rPr>
        <w:t>2</w:t>
      </w:r>
      <w:r>
        <w:fldChar w:fldCharType="end"/>
      </w:r>
      <w:r>
        <w:t xml:space="preserve"> - </w:t>
      </w:r>
      <w:r w:rsidRPr="00E767CE">
        <w:t>Population selon le profil linguistique au 31 mars 2019</w:t>
      </w:r>
    </w:p>
    <w:p w14:paraId="65E37383" w14:textId="79F2DC33" w:rsidR="00104A68" w:rsidRDefault="00104A68" w:rsidP="00104A68">
      <w:pPr>
        <w:pStyle w:val="Lgende"/>
        <w:keepNext/>
        <w:spacing w:before="240"/>
        <w:jc w:val="center"/>
      </w:pPr>
      <w:r>
        <w:t xml:space="preserve">Table </w:t>
      </w:r>
      <w:r w:rsidR="00971657">
        <w:t>5</w:t>
      </w:r>
      <w:r>
        <w:t xml:space="preserve"> - </w:t>
      </w:r>
      <w:r w:rsidRPr="003C6E48">
        <w:t>Effectif régi par la Loi sur l’emploi dans la fonction publique selon le profil linguistique au 31 mars 2019</w:t>
      </w:r>
    </w:p>
    <w:tbl>
      <w:tblPr>
        <w:tblStyle w:val="Grilledutableau"/>
        <w:tblW w:w="5000" w:type="pct"/>
        <w:jc w:val="center"/>
        <w:tblLook w:val="0020" w:firstRow="1" w:lastRow="0" w:firstColumn="0" w:lastColumn="0" w:noHBand="0" w:noVBand="0"/>
        <w:tblDescription w:val="Effectif selon les exigences linguistiques au 31 mars 2019"/>
      </w:tblPr>
      <w:tblGrid>
        <w:gridCol w:w="3066"/>
        <w:gridCol w:w="3950"/>
        <w:gridCol w:w="6660"/>
      </w:tblGrid>
      <w:tr w:rsidR="00104A68" w:rsidRPr="008A5FB8" w14:paraId="685C802C" w14:textId="77777777" w:rsidTr="003E35C9">
        <w:trPr>
          <w:cantSplit/>
          <w:trHeight w:val="290"/>
          <w:tblHeader/>
          <w:jc w:val="center"/>
        </w:trPr>
        <w:tc>
          <w:tcPr>
            <w:tcW w:w="1121" w:type="pct"/>
          </w:tcPr>
          <w:p w14:paraId="70AB1F66" w14:textId="77777777" w:rsidR="00104A68" w:rsidRPr="008A5FB8" w:rsidRDefault="00104A68" w:rsidP="00104A68">
            <w:pPr>
              <w:pStyle w:val="TableTitle"/>
            </w:pPr>
            <w:r w:rsidRPr="008A5FB8">
              <w:t xml:space="preserve">Profil linguistique  </w:t>
            </w:r>
          </w:p>
        </w:tc>
        <w:tc>
          <w:tcPr>
            <w:tcW w:w="1444" w:type="pct"/>
          </w:tcPr>
          <w:p w14:paraId="6FE0794C" w14:textId="77777777" w:rsidR="00104A68" w:rsidRPr="008A5FB8" w:rsidRDefault="00104A68" w:rsidP="00104A68">
            <w:pPr>
              <w:pStyle w:val="TableTitle"/>
            </w:pPr>
            <w:r w:rsidRPr="008A5FB8">
              <w:t>Effectif au 31 mars 2019</w:t>
            </w:r>
          </w:p>
        </w:tc>
        <w:tc>
          <w:tcPr>
            <w:tcW w:w="2435" w:type="pct"/>
          </w:tcPr>
          <w:p w14:paraId="119A5285" w14:textId="77777777" w:rsidR="00104A68" w:rsidRPr="008A5FB8" w:rsidRDefault="00104A68" w:rsidP="00104A68">
            <w:pPr>
              <w:pStyle w:val="TableTitle"/>
            </w:pPr>
            <w:r w:rsidRPr="008A5FB8">
              <w:t>Pourcentage de l'effectif au 31 mars 2019</w:t>
            </w:r>
          </w:p>
        </w:tc>
      </w:tr>
      <w:tr w:rsidR="00104A68" w:rsidRPr="008A5FB8" w14:paraId="74EBD0CB" w14:textId="77777777" w:rsidTr="003E35C9">
        <w:trPr>
          <w:cantSplit/>
          <w:trHeight w:val="290"/>
          <w:tblHeader/>
          <w:jc w:val="center"/>
        </w:trPr>
        <w:tc>
          <w:tcPr>
            <w:tcW w:w="1121" w:type="pct"/>
          </w:tcPr>
          <w:p w14:paraId="3FADF93E" w14:textId="77777777" w:rsidR="00104A68" w:rsidRPr="008A5FB8" w:rsidRDefault="00104A68"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 xml:space="preserve">Bilingue </w:t>
            </w:r>
          </w:p>
        </w:tc>
        <w:tc>
          <w:tcPr>
            <w:tcW w:w="1444" w:type="pct"/>
          </w:tcPr>
          <w:p w14:paraId="103F9086"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3552</w:t>
            </w:r>
          </w:p>
        </w:tc>
        <w:tc>
          <w:tcPr>
            <w:tcW w:w="2435" w:type="pct"/>
          </w:tcPr>
          <w:p w14:paraId="719825B7"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36%</w:t>
            </w:r>
          </w:p>
        </w:tc>
      </w:tr>
      <w:tr w:rsidR="00104A68" w:rsidRPr="008A5FB8" w14:paraId="6DF7BA58" w14:textId="77777777" w:rsidTr="003E35C9">
        <w:trPr>
          <w:cantSplit/>
          <w:trHeight w:val="290"/>
          <w:tblHeader/>
          <w:jc w:val="center"/>
        </w:trPr>
        <w:tc>
          <w:tcPr>
            <w:tcW w:w="1121" w:type="pct"/>
          </w:tcPr>
          <w:p w14:paraId="15B5EA91" w14:textId="77777777" w:rsidR="00104A68" w:rsidRPr="008A5FB8" w:rsidRDefault="00104A68"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Unilingue</w:t>
            </w:r>
          </w:p>
        </w:tc>
        <w:tc>
          <w:tcPr>
            <w:tcW w:w="1444" w:type="pct"/>
          </w:tcPr>
          <w:p w14:paraId="7EF48906"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6 241</w:t>
            </w:r>
          </w:p>
        </w:tc>
        <w:tc>
          <w:tcPr>
            <w:tcW w:w="2435" w:type="pct"/>
          </w:tcPr>
          <w:p w14:paraId="0639AEE8"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64%</w:t>
            </w:r>
          </w:p>
        </w:tc>
      </w:tr>
      <w:tr w:rsidR="00104A68" w:rsidRPr="008A5FB8" w14:paraId="0DCC61DB" w14:textId="77777777" w:rsidTr="003E35C9">
        <w:trPr>
          <w:cantSplit/>
          <w:trHeight w:val="290"/>
          <w:tblHeader/>
          <w:jc w:val="center"/>
        </w:trPr>
        <w:tc>
          <w:tcPr>
            <w:tcW w:w="1121" w:type="pct"/>
          </w:tcPr>
          <w:p w14:paraId="53B4A76C" w14:textId="77777777" w:rsidR="00104A68" w:rsidRPr="008A5FB8" w:rsidRDefault="00104A68"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Inconnus</w:t>
            </w:r>
          </w:p>
        </w:tc>
        <w:tc>
          <w:tcPr>
            <w:tcW w:w="1444" w:type="pct"/>
          </w:tcPr>
          <w:p w14:paraId="5487B1F9" w14:textId="77777777" w:rsidR="00104A68" w:rsidRPr="008A5FB8" w:rsidRDefault="00104A68"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1 057</w:t>
            </w:r>
          </w:p>
        </w:tc>
        <w:tc>
          <w:tcPr>
            <w:tcW w:w="2435" w:type="pct"/>
          </w:tcPr>
          <w:p w14:paraId="74C39231" w14:textId="77777777" w:rsidR="00104A68" w:rsidRPr="008A5FB8" w:rsidRDefault="00104A68" w:rsidP="004C326F">
            <w:pPr>
              <w:autoSpaceDE w:val="0"/>
              <w:autoSpaceDN w:val="0"/>
              <w:adjustRightInd w:val="0"/>
              <w:jc w:val="center"/>
              <w:rPr>
                <w:rFonts w:asciiTheme="minorHAnsi" w:hAnsiTheme="minorHAnsi" w:cstheme="minorHAnsi"/>
                <w:sz w:val="22"/>
                <w:szCs w:val="22"/>
              </w:rPr>
            </w:pPr>
          </w:p>
        </w:tc>
      </w:tr>
    </w:tbl>
    <w:p w14:paraId="7C53E53B" w14:textId="523CDF9A" w:rsidR="00C3103C" w:rsidRPr="00C3103C" w:rsidRDefault="00C3103C" w:rsidP="00C3103C">
      <w:pPr>
        <w:pStyle w:val="Titre1"/>
        <w:spacing w:before="120" w:after="120"/>
        <w:rPr>
          <w:sz w:val="40"/>
          <w:szCs w:val="40"/>
        </w:rPr>
      </w:pPr>
      <w:r w:rsidRPr="00C3103C">
        <w:rPr>
          <w:sz w:val="40"/>
          <w:szCs w:val="40"/>
        </w:rPr>
        <w:lastRenderedPageBreak/>
        <w:t>Population selon le groupe professionnel au 31 mars 2019</w:t>
      </w:r>
    </w:p>
    <w:p w14:paraId="63325F6E" w14:textId="77777777" w:rsidR="00BD73AC" w:rsidRDefault="00104A68" w:rsidP="00D4487B">
      <w:pPr>
        <w:pStyle w:val="Titre3"/>
        <w:jc w:val="center"/>
      </w:pPr>
      <w:r w:rsidRPr="00BD73AC">
        <w:rPr>
          <w:rStyle w:val="lev"/>
          <w:noProof/>
          <w:lang w:val="en-CA" w:eastAsia="en-CA"/>
        </w:rPr>
        <w:drawing>
          <wp:inline distT="0" distB="0" distL="0" distR="0" wp14:anchorId="1DEE749F" wp14:editId="251D2496">
            <wp:extent cx="1980000" cy="3020400"/>
            <wp:effectExtent l="0" t="0" r="1270" b="8890"/>
            <wp:docPr id="5" name="Chart 5" descr="Figure 3 - Population selon le groupe professionnel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3BF159" w14:textId="326E60FF" w:rsidR="00104A68" w:rsidRDefault="00BD73AC" w:rsidP="00BD73AC">
      <w:pPr>
        <w:pStyle w:val="Lgende"/>
        <w:jc w:val="center"/>
      </w:pPr>
      <w:r>
        <w:t xml:space="preserve">Figure </w:t>
      </w:r>
      <w:r>
        <w:fldChar w:fldCharType="begin"/>
      </w:r>
      <w:r>
        <w:instrText xml:space="preserve"> SEQ Figure \* ARABIC </w:instrText>
      </w:r>
      <w:r>
        <w:fldChar w:fldCharType="separate"/>
      </w:r>
      <w:r w:rsidR="00F812CC">
        <w:rPr>
          <w:noProof/>
        </w:rPr>
        <w:t>3</w:t>
      </w:r>
      <w:r>
        <w:fldChar w:fldCharType="end"/>
      </w:r>
      <w:r>
        <w:t xml:space="preserve"> - </w:t>
      </w:r>
      <w:r w:rsidRPr="003E30DD">
        <w:t>Population selon le groupe professionnel au 31 mars 2019</w:t>
      </w:r>
    </w:p>
    <w:p w14:paraId="56820D4B" w14:textId="63633EB8" w:rsidR="00971657" w:rsidRDefault="00971657" w:rsidP="00F52433">
      <w:pPr>
        <w:pStyle w:val="Lgende"/>
        <w:keepNext/>
        <w:spacing w:before="120"/>
        <w:jc w:val="center"/>
      </w:pPr>
      <w:r>
        <w:t xml:space="preserve">Tableau 6 - </w:t>
      </w:r>
      <w:r w:rsidRPr="007B69B6">
        <w:t>Groupes d’emploi, pourcentage de l'effectif régi par la Loi sur l’emploi dans la fonction publique au 31 mars 2019</w:t>
      </w:r>
    </w:p>
    <w:tbl>
      <w:tblPr>
        <w:tblStyle w:val="Grilledutableau"/>
        <w:tblW w:w="5000" w:type="pct"/>
        <w:jc w:val="center"/>
        <w:tblLook w:val="0020" w:firstRow="1" w:lastRow="0" w:firstColumn="0" w:lastColumn="0" w:noHBand="0" w:noVBand="0"/>
        <w:tblDescription w:val="Pourcentage de l'effectif sur l'emploi dans la FP au 31 mars 2019"/>
      </w:tblPr>
      <w:tblGrid>
        <w:gridCol w:w="5385"/>
        <w:gridCol w:w="3452"/>
        <w:gridCol w:w="4839"/>
      </w:tblGrid>
      <w:tr w:rsidR="00BD73AC" w:rsidRPr="008A5FB8" w14:paraId="3FD3EECC" w14:textId="77777777" w:rsidTr="003E35C9">
        <w:trPr>
          <w:cantSplit/>
          <w:trHeight w:val="290"/>
          <w:tblHeader/>
          <w:jc w:val="center"/>
        </w:trPr>
        <w:tc>
          <w:tcPr>
            <w:tcW w:w="1969" w:type="pct"/>
          </w:tcPr>
          <w:p w14:paraId="471862B0" w14:textId="77777777" w:rsidR="00BD73AC" w:rsidRPr="008A5FB8" w:rsidRDefault="00BD73AC" w:rsidP="00447167">
            <w:pPr>
              <w:pStyle w:val="TableTitle"/>
            </w:pPr>
            <w:r w:rsidRPr="008A5FB8">
              <w:t>Groupes professionnels</w:t>
            </w:r>
          </w:p>
        </w:tc>
        <w:tc>
          <w:tcPr>
            <w:tcW w:w="1262" w:type="pct"/>
          </w:tcPr>
          <w:p w14:paraId="0D8EDD98" w14:textId="77777777" w:rsidR="00BD73AC" w:rsidRPr="008A5FB8" w:rsidRDefault="00BD73AC" w:rsidP="00447167">
            <w:pPr>
              <w:pStyle w:val="TableTitle"/>
            </w:pPr>
            <w:r w:rsidRPr="008A5FB8">
              <w:t>Effectif au 31 mars 2019</w:t>
            </w:r>
          </w:p>
        </w:tc>
        <w:tc>
          <w:tcPr>
            <w:tcW w:w="1769" w:type="pct"/>
          </w:tcPr>
          <w:p w14:paraId="3CD7DA06" w14:textId="77777777" w:rsidR="00BD73AC" w:rsidRPr="008A5FB8" w:rsidRDefault="00BD73AC" w:rsidP="00447167">
            <w:pPr>
              <w:pStyle w:val="TableTitle"/>
            </w:pPr>
            <w:r w:rsidRPr="008A5FB8">
              <w:t>Pourcentage de l'effectif au 31 mars 2019</w:t>
            </w:r>
          </w:p>
        </w:tc>
      </w:tr>
      <w:tr w:rsidR="00BD73AC" w:rsidRPr="008A5FB8" w14:paraId="20D8BAEA" w14:textId="77777777" w:rsidTr="003E35C9">
        <w:trPr>
          <w:cantSplit/>
          <w:trHeight w:val="290"/>
          <w:tblHeader/>
          <w:jc w:val="center"/>
        </w:trPr>
        <w:tc>
          <w:tcPr>
            <w:tcW w:w="1969" w:type="pct"/>
          </w:tcPr>
          <w:p w14:paraId="407CE10D"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AS – Services administratifs</w:t>
            </w:r>
          </w:p>
        </w:tc>
        <w:tc>
          <w:tcPr>
            <w:tcW w:w="1262" w:type="pct"/>
          </w:tcPr>
          <w:p w14:paraId="11D27A81"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1 669</w:t>
            </w:r>
          </w:p>
        </w:tc>
        <w:tc>
          <w:tcPr>
            <w:tcW w:w="1769" w:type="pct"/>
          </w:tcPr>
          <w:p w14:paraId="52B264FA"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16%</w:t>
            </w:r>
          </w:p>
        </w:tc>
      </w:tr>
      <w:tr w:rsidR="00BD73AC" w:rsidRPr="008A5FB8" w14:paraId="0DAC9844" w14:textId="77777777" w:rsidTr="003E35C9">
        <w:trPr>
          <w:cantSplit/>
          <w:trHeight w:val="290"/>
          <w:tblHeader/>
          <w:jc w:val="center"/>
        </w:trPr>
        <w:tc>
          <w:tcPr>
            <w:tcW w:w="1969" w:type="pct"/>
          </w:tcPr>
          <w:p w14:paraId="358772A8"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EC – Groupe Économique et services sciences sociales</w:t>
            </w:r>
          </w:p>
        </w:tc>
        <w:tc>
          <w:tcPr>
            <w:tcW w:w="1262" w:type="pct"/>
          </w:tcPr>
          <w:p w14:paraId="28467418"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1 274</w:t>
            </w:r>
          </w:p>
        </w:tc>
        <w:tc>
          <w:tcPr>
            <w:tcW w:w="1769" w:type="pct"/>
          </w:tcPr>
          <w:p w14:paraId="31E08720"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12%</w:t>
            </w:r>
          </w:p>
        </w:tc>
      </w:tr>
      <w:tr w:rsidR="00BD73AC" w:rsidRPr="008A5FB8" w14:paraId="5AC084AA" w14:textId="77777777" w:rsidTr="003E35C9">
        <w:trPr>
          <w:cantSplit/>
          <w:trHeight w:val="290"/>
          <w:tblHeader/>
          <w:jc w:val="center"/>
        </w:trPr>
        <w:tc>
          <w:tcPr>
            <w:tcW w:w="1969" w:type="pct"/>
          </w:tcPr>
          <w:p w14:paraId="315A20AD"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SG – Règlementation scientifique</w:t>
            </w:r>
          </w:p>
        </w:tc>
        <w:tc>
          <w:tcPr>
            <w:tcW w:w="1262" w:type="pct"/>
          </w:tcPr>
          <w:p w14:paraId="69A45A9F"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1 130</w:t>
            </w:r>
          </w:p>
        </w:tc>
        <w:tc>
          <w:tcPr>
            <w:tcW w:w="1769" w:type="pct"/>
          </w:tcPr>
          <w:p w14:paraId="6135746E"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11%</w:t>
            </w:r>
          </w:p>
        </w:tc>
      </w:tr>
      <w:tr w:rsidR="00BD73AC" w:rsidRPr="008A5FB8" w14:paraId="41B33691" w14:textId="77777777" w:rsidTr="003E35C9">
        <w:trPr>
          <w:cantSplit/>
          <w:trHeight w:val="290"/>
          <w:tblHeader/>
          <w:jc w:val="center"/>
        </w:trPr>
        <w:tc>
          <w:tcPr>
            <w:tcW w:w="1969" w:type="pct"/>
          </w:tcPr>
          <w:p w14:paraId="26AE4C65"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BI – Biologie</w:t>
            </w:r>
          </w:p>
        </w:tc>
        <w:tc>
          <w:tcPr>
            <w:tcW w:w="1262" w:type="pct"/>
          </w:tcPr>
          <w:p w14:paraId="07B581FB"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1 113</w:t>
            </w:r>
          </w:p>
        </w:tc>
        <w:tc>
          <w:tcPr>
            <w:tcW w:w="1769" w:type="pct"/>
          </w:tcPr>
          <w:p w14:paraId="59483201"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11%</w:t>
            </w:r>
          </w:p>
        </w:tc>
      </w:tr>
      <w:tr w:rsidR="00BD73AC" w:rsidRPr="008A5FB8" w14:paraId="5FBF7F09" w14:textId="77777777" w:rsidTr="003E35C9">
        <w:trPr>
          <w:cantSplit/>
          <w:trHeight w:val="290"/>
          <w:tblHeader/>
          <w:jc w:val="center"/>
        </w:trPr>
        <w:tc>
          <w:tcPr>
            <w:tcW w:w="1969" w:type="pct"/>
          </w:tcPr>
          <w:p w14:paraId="1341293A"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CR – Commis aux écritures et aux règlements</w:t>
            </w:r>
          </w:p>
        </w:tc>
        <w:tc>
          <w:tcPr>
            <w:tcW w:w="1262" w:type="pct"/>
          </w:tcPr>
          <w:p w14:paraId="45D753A9"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1 023</w:t>
            </w:r>
          </w:p>
        </w:tc>
        <w:tc>
          <w:tcPr>
            <w:tcW w:w="1769" w:type="pct"/>
          </w:tcPr>
          <w:p w14:paraId="70B16012"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10%</w:t>
            </w:r>
          </w:p>
        </w:tc>
      </w:tr>
      <w:tr w:rsidR="00BD73AC" w:rsidRPr="008A5FB8" w14:paraId="17484BC6" w14:textId="77777777" w:rsidTr="003E35C9">
        <w:trPr>
          <w:cantSplit/>
          <w:trHeight w:val="290"/>
          <w:tblHeader/>
          <w:jc w:val="center"/>
        </w:trPr>
        <w:tc>
          <w:tcPr>
            <w:tcW w:w="1969" w:type="pct"/>
          </w:tcPr>
          <w:p w14:paraId="507956B5"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Autre</w:t>
            </w:r>
          </w:p>
        </w:tc>
        <w:tc>
          <w:tcPr>
            <w:tcW w:w="1262" w:type="pct"/>
          </w:tcPr>
          <w:p w14:paraId="5A0040CF"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4 312</w:t>
            </w:r>
          </w:p>
        </w:tc>
        <w:tc>
          <w:tcPr>
            <w:tcW w:w="1769" w:type="pct"/>
          </w:tcPr>
          <w:p w14:paraId="56C323FC"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41%</w:t>
            </w:r>
          </w:p>
        </w:tc>
      </w:tr>
    </w:tbl>
    <w:p w14:paraId="045AEB52" w14:textId="6CF80D48" w:rsidR="00C3103C" w:rsidRPr="00C3103C" w:rsidRDefault="00C3103C" w:rsidP="00C3103C">
      <w:pPr>
        <w:pStyle w:val="Titre1"/>
        <w:spacing w:before="120" w:after="120"/>
        <w:rPr>
          <w:sz w:val="40"/>
          <w:szCs w:val="40"/>
        </w:rPr>
      </w:pPr>
      <w:r w:rsidRPr="00C3103C">
        <w:rPr>
          <w:sz w:val="40"/>
          <w:szCs w:val="40"/>
        </w:rPr>
        <w:lastRenderedPageBreak/>
        <w:t>Population selon la région au 31 mars 2019</w:t>
      </w:r>
    </w:p>
    <w:p w14:paraId="4F6EB363" w14:textId="77777777" w:rsidR="00BD73AC" w:rsidRDefault="00104A68" w:rsidP="00D4487B">
      <w:pPr>
        <w:pStyle w:val="Titre3"/>
        <w:jc w:val="center"/>
      </w:pPr>
      <w:r w:rsidRPr="00BD73AC">
        <w:rPr>
          <w:rStyle w:val="lev"/>
          <w:noProof/>
          <w:lang w:val="en-CA" w:eastAsia="en-CA"/>
        </w:rPr>
        <w:drawing>
          <wp:inline distT="0" distB="0" distL="0" distR="0" wp14:anchorId="268D4AEC" wp14:editId="331C98C4">
            <wp:extent cx="1980000" cy="3020400"/>
            <wp:effectExtent l="0" t="0" r="1270" b="8890"/>
            <wp:docPr id="15" name="Chart 15" descr="Figure 4 - Population selon la région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B4974E" w14:textId="5277952F" w:rsidR="00104A68" w:rsidRDefault="00BD73AC" w:rsidP="001E5361">
      <w:pPr>
        <w:pStyle w:val="Lgende"/>
        <w:jc w:val="center"/>
      </w:pPr>
      <w:r>
        <w:t xml:space="preserve">Figure </w:t>
      </w:r>
      <w:r>
        <w:fldChar w:fldCharType="begin"/>
      </w:r>
      <w:r>
        <w:instrText xml:space="preserve"> SEQ Figure \* ARABIC </w:instrText>
      </w:r>
      <w:r>
        <w:fldChar w:fldCharType="separate"/>
      </w:r>
      <w:r w:rsidR="00F812CC">
        <w:rPr>
          <w:noProof/>
        </w:rPr>
        <w:t>4</w:t>
      </w:r>
      <w:r>
        <w:fldChar w:fldCharType="end"/>
      </w:r>
      <w:r>
        <w:t xml:space="preserve"> - </w:t>
      </w:r>
      <w:r w:rsidRPr="00CA6F33">
        <w:t>Population selon la région au 31 mars 2019</w:t>
      </w:r>
    </w:p>
    <w:p w14:paraId="26A6539A" w14:textId="2483C3E3" w:rsidR="00BD73AC" w:rsidRDefault="00BD73AC" w:rsidP="00F52433">
      <w:pPr>
        <w:pStyle w:val="Lgende"/>
        <w:keepNext/>
        <w:spacing w:before="120"/>
        <w:jc w:val="center"/>
      </w:pPr>
      <w:r>
        <w:t xml:space="preserve">Table </w:t>
      </w:r>
      <w:r w:rsidR="001F6BD4">
        <w:t>7</w:t>
      </w:r>
      <w:r>
        <w:t xml:space="preserve"> - </w:t>
      </w:r>
      <w:r w:rsidRPr="00452990">
        <w:t>Effectif par région, pourcentage de l'effectif régi par la Loi sur l’emploi dans la fonction publique au 31 mars 2019</w:t>
      </w:r>
    </w:p>
    <w:tbl>
      <w:tblPr>
        <w:tblStyle w:val="Grilledutableau"/>
        <w:tblW w:w="5000" w:type="pct"/>
        <w:jc w:val="center"/>
        <w:tblLook w:val="0020" w:firstRow="1" w:lastRow="0" w:firstColumn="0" w:lastColumn="0" w:noHBand="0" w:noVBand="0"/>
        <w:tblDescription w:val="Effectif selon la région en date du 31 mars 2019"/>
      </w:tblPr>
      <w:tblGrid>
        <w:gridCol w:w="4819"/>
        <w:gridCol w:w="3299"/>
        <w:gridCol w:w="5558"/>
      </w:tblGrid>
      <w:tr w:rsidR="00BD73AC" w:rsidRPr="008A5FB8" w14:paraId="2B643D1E" w14:textId="77777777" w:rsidTr="003E35C9">
        <w:trPr>
          <w:cantSplit/>
          <w:trHeight w:val="290"/>
          <w:tblHeader/>
          <w:jc w:val="center"/>
        </w:trPr>
        <w:tc>
          <w:tcPr>
            <w:tcW w:w="1762" w:type="pct"/>
          </w:tcPr>
          <w:p w14:paraId="6A7D6300" w14:textId="77777777" w:rsidR="00BD73AC" w:rsidRPr="008A5FB8" w:rsidRDefault="00BD73AC" w:rsidP="00BD73AC">
            <w:pPr>
              <w:pStyle w:val="TableTitle"/>
            </w:pPr>
            <w:r w:rsidRPr="008A5FB8">
              <w:t>Région</w:t>
            </w:r>
          </w:p>
        </w:tc>
        <w:tc>
          <w:tcPr>
            <w:tcW w:w="1206" w:type="pct"/>
          </w:tcPr>
          <w:p w14:paraId="674BE7D7" w14:textId="77777777" w:rsidR="00BD73AC" w:rsidRPr="008A5FB8" w:rsidRDefault="00BD73AC" w:rsidP="00BD73AC">
            <w:pPr>
              <w:pStyle w:val="TableTitle"/>
            </w:pPr>
            <w:r w:rsidRPr="008A5FB8">
              <w:t>Effectif au 31 mars 2019</w:t>
            </w:r>
          </w:p>
        </w:tc>
        <w:tc>
          <w:tcPr>
            <w:tcW w:w="2032" w:type="pct"/>
          </w:tcPr>
          <w:p w14:paraId="660A1213" w14:textId="77777777" w:rsidR="00BD73AC" w:rsidRPr="008A5FB8" w:rsidRDefault="00BD73AC" w:rsidP="00BD73AC">
            <w:pPr>
              <w:pStyle w:val="TableTitle"/>
            </w:pPr>
            <w:r w:rsidRPr="008A5FB8">
              <w:t>Pourcentage de l'effectif au 31 mars 2019</w:t>
            </w:r>
          </w:p>
        </w:tc>
      </w:tr>
      <w:tr w:rsidR="00BD73AC" w:rsidRPr="008A5FB8" w14:paraId="497E8CA9" w14:textId="77777777" w:rsidTr="003E35C9">
        <w:trPr>
          <w:cantSplit/>
          <w:trHeight w:val="290"/>
          <w:tblHeader/>
          <w:jc w:val="center"/>
        </w:trPr>
        <w:tc>
          <w:tcPr>
            <w:tcW w:w="1762" w:type="pct"/>
          </w:tcPr>
          <w:p w14:paraId="3F89760D"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Région de la capitale nationale (RCN)</w:t>
            </w:r>
          </w:p>
        </w:tc>
        <w:tc>
          <w:tcPr>
            <w:tcW w:w="1206" w:type="pct"/>
          </w:tcPr>
          <w:p w14:paraId="17829582"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3 222</w:t>
            </w:r>
          </w:p>
        </w:tc>
        <w:tc>
          <w:tcPr>
            <w:tcW w:w="2032" w:type="pct"/>
          </w:tcPr>
          <w:p w14:paraId="07AE6C54"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30%</w:t>
            </w:r>
          </w:p>
        </w:tc>
      </w:tr>
      <w:tr w:rsidR="00BD73AC" w:rsidRPr="008A5FB8" w14:paraId="6533C4E7" w14:textId="77777777" w:rsidTr="003E35C9">
        <w:trPr>
          <w:cantSplit/>
          <w:trHeight w:val="290"/>
          <w:tblHeader/>
          <w:jc w:val="center"/>
        </w:trPr>
        <w:tc>
          <w:tcPr>
            <w:tcW w:w="1762" w:type="pct"/>
          </w:tcPr>
          <w:p w14:paraId="16E70770"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Régions à l’extérieur de la RCN</w:t>
            </w:r>
          </w:p>
        </w:tc>
        <w:tc>
          <w:tcPr>
            <w:tcW w:w="1206" w:type="pct"/>
          </w:tcPr>
          <w:p w14:paraId="38151793"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7 614</w:t>
            </w:r>
          </w:p>
        </w:tc>
        <w:tc>
          <w:tcPr>
            <w:tcW w:w="2032" w:type="pct"/>
          </w:tcPr>
          <w:p w14:paraId="1C362B9C"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70%</w:t>
            </w:r>
          </w:p>
        </w:tc>
      </w:tr>
      <w:tr w:rsidR="00BD73AC" w:rsidRPr="008A5FB8" w14:paraId="37453D40" w14:textId="77777777" w:rsidTr="003E35C9">
        <w:trPr>
          <w:cantSplit/>
          <w:trHeight w:val="290"/>
          <w:tblHeader/>
          <w:jc w:val="center"/>
        </w:trPr>
        <w:tc>
          <w:tcPr>
            <w:tcW w:w="1762" w:type="pct"/>
          </w:tcPr>
          <w:p w14:paraId="0E15CBD4"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Inconnus</w:t>
            </w:r>
          </w:p>
        </w:tc>
        <w:tc>
          <w:tcPr>
            <w:tcW w:w="1206" w:type="pct"/>
          </w:tcPr>
          <w:p w14:paraId="75394BCB"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14</w:t>
            </w:r>
          </w:p>
        </w:tc>
        <w:tc>
          <w:tcPr>
            <w:tcW w:w="2032" w:type="pct"/>
          </w:tcPr>
          <w:p w14:paraId="321DAB66" w14:textId="77777777" w:rsidR="00BD73AC" w:rsidRPr="008A5FB8" w:rsidRDefault="00BD73AC" w:rsidP="004C326F">
            <w:pPr>
              <w:autoSpaceDE w:val="0"/>
              <w:autoSpaceDN w:val="0"/>
              <w:adjustRightInd w:val="0"/>
              <w:jc w:val="center"/>
              <w:rPr>
                <w:rFonts w:asciiTheme="minorHAnsi" w:hAnsiTheme="minorHAnsi" w:cstheme="minorHAnsi"/>
                <w:sz w:val="22"/>
                <w:szCs w:val="22"/>
              </w:rPr>
            </w:pPr>
          </w:p>
        </w:tc>
      </w:tr>
    </w:tbl>
    <w:p w14:paraId="21120C50" w14:textId="02D81A57" w:rsidR="0041748A" w:rsidRPr="0041748A" w:rsidRDefault="0041748A" w:rsidP="0041748A">
      <w:pPr>
        <w:pStyle w:val="Titre1"/>
        <w:spacing w:before="120" w:after="120"/>
        <w:rPr>
          <w:sz w:val="32"/>
          <w:szCs w:val="32"/>
        </w:rPr>
      </w:pPr>
      <w:r w:rsidRPr="0041748A">
        <w:rPr>
          <w:sz w:val="32"/>
          <w:szCs w:val="32"/>
        </w:rPr>
        <w:lastRenderedPageBreak/>
        <w:t>Embauche externe pour une période indéterminée selon le groupe professionnel, 2018-2019</w:t>
      </w:r>
    </w:p>
    <w:p w14:paraId="4BA37B9B" w14:textId="77777777" w:rsidR="00BD73AC" w:rsidRPr="0041748A" w:rsidRDefault="00104A68" w:rsidP="00D4487B">
      <w:pPr>
        <w:pStyle w:val="Titre3"/>
        <w:jc w:val="center"/>
      </w:pPr>
      <w:r w:rsidRPr="0041748A">
        <w:rPr>
          <w:rStyle w:val="lev"/>
          <w:noProof/>
          <w:lang w:val="en-CA" w:eastAsia="en-CA"/>
        </w:rPr>
        <w:drawing>
          <wp:inline distT="0" distB="0" distL="0" distR="0" wp14:anchorId="56A7D498" wp14:editId="63754571">
            <wp:extent cx="1980000" cy="3020400"/>
            <wp:effectExtent l="0" t="0" r="1270" b="8890"/>
            <wp:docPr id="7" name="Chart 7" descr="Figure 5 - Embauche externe pour une période indéterminée selon le groupe professionnel,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1F4A39" w14:textId="74DA5674" w:rsidR="00104A68" w:rsidRDefault="00BD73AC" w:rsidP="00BD73AC">
      <w:pPr>
        <w:pStyle w:val="Lgende"/>
        <w:jc w:val="center"/>
      </w:pPr>
      <w:r>
        <w:t xml:space="preserve">Figure </w:t>
      </w:r>
      <w:r>
        <w:fldChar w:fldCharType="begin"/>
      </w:r>
      <w:r>
        <w:instrText xml:space="preserve"> SEQ Figure \* ARABIC </w:instrText>
      </w:r>
      <w:r>
        <w:fldChar w:fldCharType="separate"/>
      </w:r>
      <w:r w:rsidR="00F812CC">
        <w:rPr>
          <w:noProof/>
        </w:rPr>
        <w:t>5</w:t>
      </w:r>
      <w:r>
        <w:fldChar w:fldCharType="end"/>
      </w:r>
      <w:r>
        <w:t xml:space="preserve"> - Embauche externe pour une période indéterminée selon le groupe professionnel, 2018-2019</w:t>
      </w:r>
    </w:p>
    <w:p w14:paraId="517CFE68" w14:textId="568662EA" w:rsidR="00BD73AC" w:rsidRDefault="00BD73AC" w:rsidP="001E5361">
      <w:pPr>
        <w:pStyle w:val="Lgende"/>
        <w:keepNext/>
        <w:spacing w:before="120"/>
        <w:jc w:val="center"/>
      </w:pPr>
      <w:r>
        <w:t xml:space="preserve">Table </w:t>
      </w:r>
      <w:r w:rsidR="001F6BD4">
        <w:t>8</w:t>
      </w:r>
      <w:r>
        <w:t xml:space="preserve"> - </w:t>
      </w:r>
      <w:r w:rsidRPr="001B0AA7">
        <w:t>Embauche externe à des postes pour une période indéterminée selon le groupe professionnel, de 2018 à 2019</w:t>
      </w:r>
    </w:p>
    <w:tbl>
      <w:tblPr>
        <w:tblStyle w:val="Grilledutableau"/>
        <w:tblW w:w="0" w:type="auto"/>
        <w:jc w:val="center"/>
        <w:tblLook w:val="0020" w:firstRow="1" w:lastRow="0" w:firstColumn="0" w:lastColumn="0" w:noHBand="0" w:noVBand="0"/>
        <w:tblDescription w:val="Embauche externe indéterminée - groupe professionnel 18-19"/>
      </w:tblPr>
      <w:tblGrid>
        <w:gridCol w:w="3397"/>
        <w:gridCol w:w="5529"/>
        <w:gridCol w:w="4744"/>
      </w:tblGrid>
      <w:tr w:rsidR="00BD73AC" w:rsidRPr="008A5FB8" w14:paraId="2009188A" w14:textId="77777777" w:rsidTr="003E35C9">
        <w:trPr>
          <w:cantSplit/>
          <w:trHeight w:val="290"/>
          <w:tblHeader/>
          <w:jc w:val="center"/>
        </w:trPr>
        <w:tc>
          <w:tcPr>
            <w:tcW w:w="3397" w:type="dxa"/>
          </w:tcPr>
          <w:p w14:paraId="7069C829" w14:textId="77777777" w:rsidR="00BD73AC" w:rsidRPr="008A5FB8" w:rsidRDefault="00BD73AC" w:rsidP="00971657">
            <w:pPr>
              <w:pStyle w:val="TableTitle"/>
              <w:contextualSpacing/>
            </w:pPr>
            <w:r w:rsidRPr="008A5FB8">
              <w:t>Groupes professionnels</w:t>
            </w:r>
          </w:p>
        </w:tc>
        <w:tc>
          <w:tcPr>
            <w:tcW w:w="5529" w:type="dxa"/>
          </w:tcPr>
          <w:p w14:paraId="5C69E78E" w14:textId="327ED32E" w:rsidR="00BD73AC" w:rsidRPr="008A5FB8" w:rsidRDefault="00BD73AC" w:rsidP="00330CF1">
            <w:pPr>
              <w:pStyle w:val="TableTitle"/>
              <w:contextualSpacing/>
            </w:pPr>
            <w:r w:rsidRPr="008A5FB8">
              <w:t>Nombre d'embauches pour une période indéterminée dans</w:t>
            </w:r>
            <w:r w:rsidR="00330CF1">
              <w:t xml:space="preserve"> </w:t>
            </w:r>
            <w:r w:rsidRPr="008A5FB8">
              <w:t>l’organisation</w:t>
            </w:r>
          </w:p>
        </w:tc>
        <w:tc>
          <w:tcPr>
            <w:tcW w:w="4744" w:type="dxa"/>
          </w:tcPr>
          <w:p w14:paraId="65E512A4" w14:textId="77777777" w:rsidR="00BD73AC" w:rsidRPr="008A5FB8" w:rsidRDefault="00BD73AC" w:rsidP="00971657">
            <w:pPr>
              <w:pStyle w:val="TableTitle"/>
              <w:contextualSpacing/>
            </w:pPr>
            <w:r w:rsidRPr="008A5FB8">
              <w:t>Pourcentage d'embauches pour une période indéterminée dans l’organisation</w:t>
            </w:r>
          </w:p>
        </w:tc>
      </w:tr>
      <w:tr w:rsidR="00BD73AC" w:rsidRPr="008A5FB8" w14:paraId="7FC63325" w14:textId="77777777" w:rsidTr="003E35C9">
        <w:trPr>
          <w:cantSplit/>
          <w:trHeight w:val="290"/>
          <w:tblHeader/>
          <w:jc w:val="center"/>
        </w:trPr>
        <w:tc>
          <w:tcPr>
            <w:tcW w:w="3397" w:type="dxa"/>
          </w:tcPr>
          <w:p w14:paraId="17FF1C62" w14:textId="77777777" w:rsidR="00BD73AC" w:rsidRPr="008A5FB8" w:rsidRDefault="00BD73AC" w:rsidP="00971657">
            <w:pPr>
              <w:autoSpaceDE w:val="0"/>
              <w:autoSpaceDN w:val="0"/>
              <w:adjustRightInd w:val="0"/>
              <w:contextualSpacing/>
              <w:rPr>
                <w:rFonts w:asciiTheme="minorHAnsi" w:hAnsiTheme="minorHAnsi" w:cstheme="minorHAnsi"/>
                <w:sz w:val="22"/>
                <w:szCs w:val="22"/>
              </w:rPr>
            </w:pPr>
            <w:r w:rsidRPr="008A5FB8">
              <w:rPr>
                <w:rFonts w:asciiTheme="minorHAnsi" w:hAnsiTheme="minorHAnsi" w:cstheme="minorHAnsi"/>
                <w:sz w:val="22"/>
                <w:szCs w:val="22"/>
              </w:rPr>
              <w:t>CR – Commis aux écritures et aux règlements</w:t>
            </w:r>
          </w:p>
        </w:tc>
        <w:tc>
          <w:tcPr>
            <w:tcW w:w="5529" w:type="dxa"/>
          </w:tcPr>
          <w:p w14:paraId="30F0A28F"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98</w:t>
            </w:r>
          </w:p>
        </w:tc>
        <w:tc>
          <w:tcPr>
            <w:tcW w:w="4744" w:type="dxa"/>
          </w:tcPr>
          <w:p w14:paraId="1A992251"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17%</w:t>
            </w:r>
          </w:p>
        </w:tc>
      </w:tr>
      <w:tr w:rsidR="00BD73AC" w:rsidRPr="008A5FB8" w14:paraId="2E0B493B" w14:textId="77777777" w:rsidTr="003E35C9">
        <w:trPr>
          <w:cantSplit/>
          <w:trHeight w:val="290"/>
          <w:tblHeader/>
          <w:jc w:val="center"/>
        </w:trPr>
        <w:tc>
          <w:tcPr>
            <w:tcW w:w="3397" w:type="dxa"/>
          </w:tcPr>
          <w:p w14:paraId="71A51BB5" w14:textId="77777777" w:rsidR="00BD73AC" w:rsidRPr="008A5FB8" w:rsidRDefault="00BD73AC" w:rsidP="00971657">
            <w:pPr>
              <w:autoSpaceDE w:val="0"/>
              <w:autoSpaceDN w:val="0"/>
              <w:adjustRightInd w:val="0"/>
              <w:contextualSpacing/>
              <w:rPr>
                <w:rFonts w:asciiTheme="minorHAnsi" w:hAnsiTheme="minorHAnsi" w:cstheme="minorHAnsi"/>
                <w:sz w:val="22"/>
                <w:szCs w:val="22"/>
              </w:rPr>
            </w:pPr>
            <w:r w:rsidRPr="008A5FB8">
              <w:rPr>
                <w:rFonts w:asciiTheme="minorHAnsi" w:hAnsiTheme="minorHAnsi" w:cstheme="minorHAnsi"/>
                <w:sz w:val="22"/>
                <w:szCs w:val="22"/>
              </w:rPr>
              <w:t>AS – Services administratifs</w:t>
            </w:r>
          </w:p>
        </w:tc>
        <w:tc>
          <w:tcPr>
            <w:tcW w:w="5529" w:type="dxa"/>
          </w:tcPr>
          <w:p w14:paraId="6624E5F6"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83</w:t>
            </w:r>
          </w:p>
        </w:tc>
        <w:tc>
          <w:tcPr>
            <w:tcW w:w="4744" w:type="dxa"/>
          </w:tcPr>
          <w:p w14:paraId="30970E45"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14%</w:t>
            </w:r>
          </w:p>
        </w:tc>
      </w:tr>
      <w:tr w:rsidR="00BD73AC" w:rsidRPr="008A5FB8" w14:paraId="1F8AB58C" w14:textId="77777777" w:rsidTr="003E35C9">
        <w:trPr>
          <w:cantSplit/>
          <w:trHeight w:val="290"/>
          <w:tblHeader/>
          <w:jc w:val="center"/>
        </w:trPr>
        <w:tc>
          <w:tcPr>
            <w:tcW w:w="3397" w:type="dxa"/>
          </w:tcPr>
          <w:p w14:paraId="02051FF3" w14:textId="77777777" w:rsidR="00BD73AC" w:rsidRPr="008A5FB8" w:rsidRDefault="00BD73AC" w:rsidP="00971657">
            <w:pPr>
              <w:autoSpaceDE w:val="0"/>
              <w:autoSpaceDN w:val="0"/>
              <w:adjustRightInd w:val="0"/>
              <w:contextualSpacing/>
              <w:rPr>
                <w:rFonts w:asciiTheme="minorHAnsi" w:hAnsiTheme="minorHAnsi" w:cstheme="minorHAnsi"/>
                <w:sz w:val="22"/>
                <w:szCs w:val="22"/>
              </w:rPr>
            </w:pPr>
            <w:r w:rsidRPr="008A5FB8">
              <w:rPr>
                <w:rFonts w:asciiTheme="minorHAnsi" w:hAnsiTheme="minorHAnsi" w:cstheme="minorHAnsi"/>
                <w:sz w:val="22"/>
                <w:szCs w:val="22"/>
              </w:rPr>
              <w:t>EC – Groupe Économique et services sciences sociales</w:t>
            </w:r>
          </w:p>
        </w:tc>
        <w:tc>
          <w:tcPr>
            <w:tcW w:w="5529" w:type="dxa"/>
          </w:tcPr>
          <w:p w14:paraId="19A753A5"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65</w:t>
            </w:r>
          </w:p>
        </w:tc>
        <w:tc>
          <w:tcPr>
            <w:tcW w:w="4744" w:type="dxa"/>
          </w:tcPr>
          <w:p w14:paraId="4340946B"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11%</w:t>
            </w:r>
          </w:p>
        </w:tc>
      </w:tr>
      <w:tr w:rsidR="00BD73AC" w:rsidRPr="008A5FB8" w14:paraId="0BC03659" w14:textId="77777777" w:rsidTr="003E35C9">
        <w:trPr>
          <w:cantSplit/>
          <w:trHeight w:val="290"/>
          <w:tblHeader/>
          <w:jc w:val="center"/>
        </w:trPr>
        <w:tc>
          <w:tcPr>
            <w:tcW w:w="3397" w:type="dxa"/>
          </w:tcPr>
          <w:p w14:paraId="27638C2F" w14:textId="77777777" w:rsidR="00BD73AC" w:rsidRPr="008A5FB8" w:rsidRDefault="00BD73AC" w:rsidP="00971657">
            <w:pPr>
              <w:autoSpaceDE w:val="0"/>
              <w:autoSpaceDN w:val="0"/>
              <w:adjustRightInd w:val="0"/>
              <w:contextualSpacing/>
              <w:rPr>
                <w:rFonts w:asciiTheme="minorHAnsi" w:hAnsiTheme="minorHAnsi" w:cstheme="minorHAnsi"/>
                <w:sz w:val="22"/>
                <w:szCs w:val="22"/>
              </w:rPr>
            </w:pPr>
            <w:r w:rsidRPr="008A5FB8">
              <w:rPr>
                <w:rFonts w:asciiTheme="minorHAnsi" w:hAnsiTheme="minorHAnsi" w:cstheme="minorHAnsi"/>
                <w:sz w:val="22"/>
                <w:szCs w:val="22"/>
              </w:rPr>
              <w:t>SG – Règlementation scientifique</w:t>
            </w:r>
          </w:p>
        </w:tc>
        <w:tc>
          <w:tcPr>
            <w:tcW w:w="5529" w:type="dxa"/>
          </w:tcPr>
          <w:p w14:paraId="3105B620"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64</w:t>
            </w:r>
          </w:p>
        </w:tc>
        <w:tc>
          <w:tcPr>
            <w:tcW w:w="4744" w:type="dxa"/>
          </w:tcPr>
          <w:p w14:paraId="4328B54D"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11%</w:t>
            </w:r>
          </w:p>
        </w:tc>
      </w:tr>
      <w:tr w:rsidR="00BD73AC" w:rsidRPr="008A5FB8" w14:paraId="1806E8DC" w14:textId="77777777" w:rsidTr="003E35C9">
        <w:trPr>
          <w:cantSplit/>
          <w:trHeight w:val="290"/>
          <w:tblHeader/>
          <w:jc w:val="center"/>
        </w:trPr>
        <w:tc>
          <w:tcPr>
            <w:tcW w:w="3397" w:type="dxa"/>
          </w:tcPr>
          <w:p w14:paraId="67F1B2F8" w14:textId="77777777" w:rsidR="00BD73AC" w:rsidRPr="008A5FB8" w:rsidRDefault="00BD73AC" w:rsidP="00971657">
            <w:pPr>
              <w:autoSpaceDE w:val="0"/>
              <w:autoSpaceDN w:val="0"/>
              <w:adjustRightInd w:val="0"/>
              <w:contextualSpacing/>
              <w:rPr>
                <w:rFonts w:asciiTheme="minorHAnsi" w:hAnsiTheme="minorHAnsi" w:cstheme="minorHAnsi"/>
                <w:sz w:val="22"/>
                <w:szCs w:val="22"/>
              </w:rPr>
            </w:pPr>
            <w:r w:rsidRPr="008A5FB8">
              <w:rPr>
                <w:rFonts w:asciiTheme="minorHAnsi" w:hAnsiTheme="minorHAnsi" w:cstheme="minorHAnsi"/>
                <w:sz w:val="22"/>
                <w:szCs w:val="22"/>
              </w:rPr>
              <w:t>NU – Sciences infirmières</w:t>
            </w:r>
          </w:p>
        </w:tc>
        <w:tc>
          <w:tcPr>
            <w:tcW w:w="5529" w:type="dxa"/>
          </w:tcPr>
          <w:p w14:paraId="3E6BCE9A"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63</w:t>
            </w:r>
          </w:p>
        </w:tc>
        <w:tc>
          <w:tcPr>
            <w:tcW w:w="4744" w:type="dxa"/>
          </w:tcPr>
          <w:p w14:paraId="48E1C31C"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11%</w:t>
            </w:r>
          </w:p>
        </w:tc>
      </w:tr>
      <w:tr w:rsidR="00BD73AC" w:rsidRPr="008A5FB8" w14:paraId="322B77EE" w14:textId="77777777" w:rsidTr="003E35C9">
        <w:trPr>
          <w:cantSplit/>
          <w:trHeight w:val="290"/>
          <w:tblHeader/>
          <w:jc w:val="center"/>
        </w:trPr>
        <w:tc>
          <w:tcPr>
            <w:tcW w:w="3397" w:type="dxa"/>
          </w:tcPr>
          <w:p w14:paraId="5C1FF1AC" w14:textId="77777777" w:rsidR="00BD73AC" w:rsidRPr="008A5FB8" w:rsidRDefault="00BD73AC" w:rsidP="00971657">
            <w:pPr>
              <w:autoSpaceDE w:val="0"/>
              <w:autoSpaceDN w:val="0"/>
              <w:adjustRightInd w:val="0"/>
              <w:contextualSpacing/>
              <w:rPr>
                <w:rFonts w:asciiTheme="minorHAnsi" w:hAnsiTheme="minorHAnsi" w:cstheme="minorHAnsi"/>
                <w:sz w:val="22"/>
                <w:szCs w:val="22"/>
              </w:rPr>
            </w:pPr>
            <w:r w:rsidRPr="008A5FB8">
              <w:rPr>
                <w:rFonts w:asciiTheme="minorHAnsi" w:hAnsiTheme="minorHAnsi" w:cstheme="minorHAnsi"/>
                <w:sz w:val="22"/>
                <w:szCs w:val="22"/>
              </w:rPr>
              <w:t>Autre</w:t>
            </w:r>
          </w:p>
        </w:tc>
        <w:tc>
          <w:tcPr>
            <w:tcW w:w="5529" w:type="dxa"/>
          </w:tcPr>
          <w:p w14:paraId="508744B3"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216</w:t>
            </w:r>
          </w:p>
        </w:tc>
        <w:tc>
          <w:tcPr>
            <w:tcW w:w="4744" w:type="dxa"/>
          </w:tcPr>
          <w:p w14:paraId="70637279"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37%</w:t>
            </w:r>
          </w:p>
        </w:tc>
      </w:tr>
      <w:tr w:rsidR="00BD73AC" w:rsidRPr="008A5FB8" w14:paraId="128F65D3" w14:textId="77777777" w:rsidTr="003E35C9">
        <w:trPr>
          <w:cantSplit/>
          <w:trHeight w:val="290"/>
          <w:tblHeader/>
          <w:jc w:val="center"/>
        </w:trPr>
        <w:tc>
          <w:tcPr>
            <w:tcW w:w="3397" w:type="dxa"/>
          </w:tcPr>
          <w:p w14:paraId="48A4B58F" w14:textId="77777777" w:rsidR="00BD73AC" w:rsidRPr="008A5FB8" w:rsidRDefault="00BD73AC" w:rsidP="00971657">
            <w:pPr>
              <w:autoSpaceDE w:val="0"/>
              <w:autoSpaceDN w:val="0"/>
              <w:adjustRightInd w:val="0"/>
              <w:contextualSpacing/>
              <w:rPr>
                <w:rFonts w:asciiTheme="minorHAnsi" w:hAnsiTheme="minorHAnsi" w:cstheme="minorHAnsi"/>
                <w:sz w:val="22"/>
                <w:szCs w:val="22"/>
              </w:rPr>
            </w:pPr>
            <w:r w:rsidRPr="008A5FB8">
              <w:rPr>
                <w:rFonts w:asciiTheme="minorHAnsi" w:hAnsiTheme="minorHAnsi" w:cstheme="minorHAnsi"/>
                <w:sz w:val="22"/>
                <w:szCs w:val="22"/>
              </w:rPr>
              <w:t>Total</w:t>
            </w:r>
          </w:p>
        </w:tc>
        <w:tc>
          <w:tcPr>
            <w:tcW w:w="5529" w:type="dxa"/>
          </w:tcPr>
          <w:p w14:paraId="71D60F74"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589</w:t>
            </w:r>
          </w:p>
        </w:tc>
        <w:tc>
          <w:tcPr>
            <w:tcW w:w="4744" w:type="dxa"/>
          </w:tcPr>
          <w:p w14:paraId="3C1BD38C" w14:textId="77777777" w:rsidR="00BD73AC" w:rsidRPr="008A5FB8" w:rsidRDefault="00BD73AC" w:rsidP="00971657">
            <w:pPr>
              <w:autoSpaceDE w:val="0"/>
              <w:autoSpaceDN w:val="0"/>
              <w:adjustRightInd w:val="0"/>
              <w:contextualSpacing/>
              <w:jc w:val="center"/>
              <w:rPr>
                <w:rFonts w:asciiTheme="minorHAnsi" w:hAnsiTheme="minorHAnsi" w:cstheme="minorHAnsi"/>
                <w:sz w:val="22"/>
                <w:szCs w:val="22"/>
              </w:rPr>
            </w:pPr>
            <w:r w:rsidRPr="008A5FB8">
              <w:rPr>
                <w:rFonts w:asciiTheme="minorHAnsi" w:hAnsiTheme="minorHAnsi" w:cstheme="minorHAnsi"/>
                <w:sz w:val="22"/>
                <w:szCs w:val="22"/>
              </w:rPr>
              <w:t>100%</w:t>
            </w:r>
          </w:p>
        </w:tc>
      </w:tr>
    </w:tbl>
    <w:p w14:paraId="238B3BF7" w14:textId="77777777" w:rsidR="008B0E9D" w:rsidRPr="008B0E9D" w:rsidRDefault="008B0E9D" w:rsidP="008B0E9D">
      <w:pPr>
        <w:pStyle w:val="Titre1"/>
        <w:spacing w:before="120" w:after="120"/>
        <w:rPr>
          <w:sz w:val="40"/>
          <w:szCs w:val="40"/>
          <w:lang w:val="en-CA"/>
        </w:rPr>
      </w:pPr>
      <w:r w:rsidRPr="008B0E9D">
        <w:rPr>
          <w:sz w:val="40"/>
          <w:szCs w:val="40"/>
          <w:lang w:val="en-CA"/>
        </w:rPr>
        <w:lastRenderedPageBreak/>
        <w:t>Dotation selon la région</w:t>
      </w:r>
    </w:p>
    <w:p w14:paraId="01EA7C73" w14:textId="77777777" w:rsidR="00BD73AC" w:rsidRDefault="008A5FB8" w:rsidP="00D4487B">
      <w:pPr>
        <w:pStyle w:val="Titre3"/>
        <w:jc w:val="center"/>
      </w:pPr>
      <w:r w:rsidRPr="00BD73AC">
        <w:rPr>
          <w:rStyle w:val="lev"/>
          <w:noProof/>
          <w:lang w:val="en-CA" w:eastAsia="en-CA"/>
        </w:rPr>
        <w:drawing>
          <wp:inline distT="0" distB="0" distL="0" distR="0" wp14:anchorId="73B8DDF8" wp14:editId="0A58279A">
            <wp:extent cx="5648400" cy="3049200"/>
            <wp:effectExtent l="0" t="0" r="9525" b="18415"/>
            <wp:docPr id="10" name="Chart 10" descr="Figure 6 - Dotation selon la ré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12DC08" w14:textId="6FDC3A2C" w:rsidR="00BD73AC" w:rsidRDefault="00BD73AC" w:rsidP="001E5361">
      <w:pPr>
        <w:pStyle w:val="Lgende"/>
        <w:spacing w:after="120"/>
        <w:jc w:val="center"/>
      </w:pPr>
      <w:r>
        <w:t xml:space="preserve">Figure </w:t>
      </w:r>
      <w:r>
        <w:fldChar w:fldCharType="begin"/>
      </w:r>
      <w:r>
        <w:instrText xml:space="preserve"> SEQ Figure \* ARABIC </w:instrText>
      </w:r>
      <w:r>
        <w:fldChar w:fldCharType="separate"/>
      </w:r>
      <w:r w:rsidR="00F812CC">
        <w:rPr>
          <w:noProof/>
        </w:rPr>
        <w:t>6</w:t>
      </w:r>
      <w:r>
        <w:fldChar w:fldCharType="end"/>
      </w:r>
      <w:r>
        <w:t xml:space="preserve"> - </w:t>
      </w:r>
      <w:r w:rsidRPr="002D020E">
        <w:t>Dotation selon la région</w:t>
      </w:r>
    </w:p>
    <w:p w14:paraId="75F347B1" w14:textId="5E842F9A" w:rsidR="00BD73AC" w:rsidRDefault="00BD73AC" w:rsidP="001E5361">
      <w:pPr>
        <w:pStyle w:val="Lgende"/>
        <w:keepNext/>
        <w:jc w:val="center"/>
      </w:pPr>
      <w:r>
        <w:t xml:space="preserve">Table </w:t>
      </w:r>
      <w:r w:rsidR="001F6BD4">
        <w:t>9</w:t>
      </w:r>
      <w:r>
        <w:t xml:space="preserve"> - </w:t>
      </w:r>
      <w:r w:rsidRPr="002C2132">
        <w:t>Pourcentage des activités de dotation dans la région de la capitale nationale en comparaison avec les régions à l’extérieur de la région de la capitale nationale selon l'exercice financier</w:t>
      </w:r>
    </w:p>
    <w:tbl>
      <w:tblPr>
        <w:tblStyle w:val="Grilledutableau"/>
        <w:tblW w:w="0" w:type="auto"/>
        <w:jc w:val="center"/>
        <w:tblLook w:val="0020" w:firstRow="1" w:lastRow="0" w:firstColumn="0" w:lastColumn="0" w:noHBand="0" w:noVBand="0"/>
        <w:tblDescription w:val="Dotation selon la région de 2014 à 2019"/>
      </w:tblPr>
      <w:tblGrid>
        <w:gridCol w:w="1589"/>
        <w:gridCol w:w="5823"/>
        <w:gridCol w:w="6264"/>
      </w:tblGrid>
      <w:tr w:rsidR="00BD73AC" w:rsidRPr="008A5FB8" w14:paraId="5CFF18F9" w14:textId="77777777" w:rsidTr="003E35C9">
        <w:trPr>
          <w:cantSplit/>
          <w:trHeight w:val="290"/>
          <w:tblHeader/>
          <w:jc w:val="center"/>
        </w:trPr>
        <w:tc>
          <w:tcPr>
            <w:tcW w:w="0" w:type="auto"/>
          </w:tcPr>
          <w:p w14:paraId="0A2AFF61" w14:textId="77777777" w:rsidR="00BD73AC" w:rsidRPr="008A5FB8" w:rsidRDefault="00BD73AC" w:rsidP="00BD73AC">
            <w:pPr>
              <w:pStyle w:val="TableTitle"/>
            </w:pPr>
            <w:r w:rsidRPr="008A5FB8">
              <w:t>L'exercice financier</w:t>
            </w:r>
          </w:p>
        </w:tc>
        <w:tc>
          <w:tcPr>
            <w:tcW w:w="0" w:type="auto"/>
          </w:tcPr>
          <w:p w14:paraId="2E93F140" w14:textId="77777777" w:rsidR="00BD73AC" w:rsidRPr="008A5FB8" w:rsidRDefault="00BD73AC" w:rsidP="00BD73AC">
            <w:pPr>
              <w:pStyle w:val="TableTitle"/>
            </w:pPr>
            <w:r w:rsidRPr="008A5FB8">
              <w:t xml:space="preserve">Pourcentage des activités de dotation à l’organisation qui a eu lieu dans la région de la capitale nationale (RCN) </w:t>
            </w:r>
          </w:p>
        </w:tc>
        <w:tc>
          <w:tcPr>
            <w:tcW w:w="0" w:type="auto"/>
          </w:tcPr>
          <w:p w14:paraId="7C9AE2E3" w14:textId="77777777" w:rsidR="00BD73AC" w:rsidRPr="008A5FB8" w:rsidRDefault="00BD73AC" w:rsidP="00BD73AC">
            <w:pPr>
              <w:pStyle w:val="TableTitle"/>
            </w:pPr>
            <w:r w:rsidRPr="008A5FB8">
              <w:t>Pourcentage des activités de dotation à l’organisation qui a eu lieu à l’extérieur de la région de la capitale nationale (RCN)</w:t>
            </w:r>
          </w:p>
        </w:tc>
      </w:tr>
      <w:tr w:rsidR="00BD73AC" w:rsidRPr="008A5FB8" w14:paraId="705F8576" w14:textId="77777777" w:rsidTr="003E35C9">
        <w:trPr>
          <w:cantSplit/>
          <w:trHeight w:val="290"/>
          <w:tblHeader/>
          <w:jc w:val="center"/>
        </w:trPr>
        <w:tc>
          <w:tcPr>
            <w:tcW w:w="0" w:type="auto"/>
          </w:tcPr>
          <w:p w14:paraId="416DE1B2"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2014 à 2015</w:t>
            </w:r>
          </w:p>
        </w:tc>
        <w:tc>
          <w:tcPr>
            <w:tcW w:w="0" w:type="auto"/>
          </w:tcPr>
          <w:p w14:paraId="2F785051"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66%</w:t>
            </w:r>
          </w:p>
        </w:tc>
        <w:tc>
          <w:tcPr>
            <w:tcW w:w="0" w:type="auto"/>
          </w:tcPr>
          <w:p w14:paraId="35AE076C"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34%</w:t>
            </w:r>
          </w:p>
        </w:tc>
      </w:tr>
      <w:tr w:rsidR="00BD73AC" w:rsidRPr="008A5FB8" w14:paraId="0892344D" w14:textId="77777777" w:rsidTr="003E35C9">
        <w:trPr>
          <w:cantSplit/>
          <w:trHeight w:val="290"/>
          <w:tblHeader/>
          <w:jc w:val="center"/>
        </w:trPr>
        <w:tc>
          <w:tcPr>
            <w:tcW w:w="0" w:type="auto"/>
          </w:tcPr>
          <w:p w14:paraId="1B8FE7CC"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2015 à 2016</w:t>
            </w:r>
          </w:p>
        </w:tc>
        <w:tc>
          <w:tcPr>
            <w:tcW w:w="0" w:type="auto"/>
          </w:tcPr>
          <w:p w14:paraId="7ABC2E2F"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69%</w:t>
            </w:r>
          </w:p>
        </w:tc>
        <w:tc>
          <w:tcPr>
            <w:tcW w:w="0" w:type="auto"/>
          </w:tcPr>
          <w:p w14:paraId="2044C04E"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31%</w:t>
            </w:r>
          </w:p>
        </w:tc>
      </w:tr>
      <w:tr w:rsidR="00BD73AC" w:rsidRPr="008A5FB8" w14:paraId="00483091" w14:textId="77777777" w:rsidTr="003E35C9">
        <w:trPr>
          <w:cantSplit/>
          <w:trHeight w:val="290"/>
          <w:tblHeader/>
          <w:jc w:val="center"/>
        </w:trPr>
        <w:tc>
          <w:tcPr>
            <w:tcW w:w="0" w:type="auto"/>
          </w:tcPr>
          <w:p w14:paraId="6BED17C8"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2016 à 2017</w:t>
            </w:r>
          </w:p>
        </w:tc>
        <w:tc>
          <w:tcPr>
            <w:tcW w:w="0" w:type="auto"/>
          </w:tcPr>
          <w:p w14:paraId="01B63B23"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70%</w:t>
            </w:r>
          </w:p>
        </w:tc>
        <w:tc>
          <w:tcPr>
            <w:tcW w:w="0" w:type="auto"/>
          </w:tcPr>
          <w:p w14:paraId="47075B59"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30%</w:t>
            </w:r>
          </w:p>
        </w:tc>
      </w:tr>
      <w:tr w:rsidR="00BD73AC" w:rsidRPr="008A5FB8" w14:paraId="72657DF4" w14:textId="77777777" w:rsidTr="003E35C9">
        <w:trPr>
          <w:cantSplit/>
          <w:trHeight w:val="290"/>
          <w:tblHeader/>
          <w:jc w:val="center"/>
        </w:trPr>
        <w:tc>
          <w:tcPr>
            <w:tcW w:w="0" w:type="auto"/>
          </w:tcPr>
          <w:p w14:paraId="6C7BDCE0"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2017 à 2018</w:t>
            </w:r>
          </w:p>
        </w:tc>
        <w:tc>
          <w:tcPr>
            <w:tcW w:w="0" w:type="auto"/>
          </w:tcPr>
          <w:p w14:paraId="66D5720A"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74%</w:t>
            </w:r>
          </w:p>
        </w:tc>
        <w:tc>
          <w:tcPr>
            <w:tcW w:w="0" w:type="auto"/>
          </w:tcPr>
          <w:p w14:paraId="2584CAD1"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26%</w:t>
            </w:r>
          </w:p>
        </w:tc>
      </w:tr>
      <w:tr w:rsidR="00BD73AC" w:rsidRPr="008A5FB8" w14:paraId="537BCEBF" w14:textId="77777777" w:rsidTr="003E35C9">
        <w:trPr>
          <w:cantSplit/>
          <w:trHeight w:val="290"/>
          <w:tblHeader/>
          <w:jc w:val="center"/>
        </w:trPr>
        <w:tc>
          <w:tcPr>
            <w:tcW w:w="0" w:type="auto"/>
          </w:tcPr>
          <w:p w14:paraId="3A9DE52A" w14:textId="77777777" w:rsidR="00BD73AC" w:rsidRPr="008A5FB8" w:rsidRDefault="00BD73AC"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2018 à 2019</w:t>
            </w:r>
          </w:p>
        </w:tc>
        <w:tc>
          <w:tcPr>
            <w:tcW w:w="0" w:type="auto"/>
          </w:tcPr>
          <w:p w14:paraId="566D48E9"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74%</w:t>
            </w:r>
          </w:p>
        </w:tc>
        <w:tc>
          <w:tcPr>
            <w:tcW w:w="0" w:type="auto"/>
          </w:tcPr>
          <w:p w14:paraId="3992E584" w14:textId="77777777" w:rsidR="00BD73AC" w:rsidRPr="008A5FB8" w:rsidRDefault="00BD73AC"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26%</w:t>
            </w:r>
          </w:p>
        </w:tc>
      </w:tr>
    </w:tbl>
    <w:p w14:paraId="202F955E" w14:textId="77777777" w:rsidR="008B0E9D" w:rsidRPr="008B0E9D" w:rsidRDefault="008B0E9D" w:rsidP="008B0E9D">
      <w:pPr>
        <w:pStyle w:val="Titre1"/>
        <w:spacing w:before="120" w:after="120"/>
        <w:rPr>
          <w:sz w:val="40"/>
          <w:szCs w:val="40"/>
        </w:rPr>
      </w:pPr>
      <w:r w:rsidRPr="008B0E9D">
        <w:rPr>
          <w:sz w:val="40"/>
          <w:szCs w:val="40"/>
        </w:rPr>
        <w:lastRenderedPageBreak/>
        <w:t>Dotation selon le type de processus</w:t>
      </w:r>
    </w:p>
    <w:p w14:paraId="09681F1F" w14:textId="77777777" w:rsidR="00D72107" w:rsidRDefault="008A5FB8" w:rsidP="00D4487B">
      <w:pPr>
        <w:pStyle w:val="Titre3"/>
        <w:jc w:val="center"/>
      </w:pPr>
      <w:r w:rsidRPr="00BD73AC">
        <w:rPr>
          <w:rStyle w:val="lev"/>
          <w:noProof/>
          <w:lang w:val="en-CA" w:eastAsia="en-CA"/>
        </w:rPr>
        <w:drawing>
          <wp:inline distT="0" distB="0" distL="0" distR="0" wp14:anchorId="24EDE99F" wp14:editId="14B61EC1">
            <wp:extent cx="5648400" cy="3049200"/>
            <wp:effectExtent l="0" t="0" r="9525" b="18415"/>
            <wp:docPr id="1" name="Chart 1" descr="Figure 7 - Dotation selon le type de processu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E6C93D" w14:textId="0F1C354D" w:rsidR="008A5FB8" w:rsidRDefault="00D72107" w:rsidP="001E5361">
      <w:pPr>
        <w:pStyle w:val="Lgende"/>
        <w:spacing w:after="120"/>
        <w:jc w:val="center"/>
      </w:pPr>
      <w:r>
        <w:t xml:space="preserve">Figure </w:t>
      </w:r>
      <w:r>
        <w:fldChar w:fldCharType="begin"/>
      </w:r>
      <w:r>
        <w:instrText xml:space="preserve"> SEQ Figure \* ARABIC </w:instrText>
      </w:r>
      <w:r>
        <w:fldChar w:fldCharType="separate"/>
      </w:r>
      <w:r w:rsidR="00F812CC">
        <w:rPr>
          <w:noProof/>
        </w:rPr>
        <w:t>7</w:t>
      </w:r>
      <w:r>
        <w:fldChar w:fldCharType="end"/>
      </w:r>
      <w:r>
        <w:t xml:space="preserve"> - </w:t>
      </w:r>
      <w:r w:rsidRPr="009231FD">
        <w:t>Dotation selon le type de processus</w:t>
      </w:r>
    </w:p>
    <w:p w14:paraId="01A79411" w14:textId="5F2CE364" w:rsidR="00D72107" w:rsidRDefault="00D72107" w:rsidP="001E5361">
      <w:pPr>
        <w:pStyle w:val="Lgende"/>
        <w:keepNext/>
        <w:spacing w:before="120"/>
        <w:jc w:val="center"/>
      </w:pPr>
      <w:r>
        <w:t xml:space="preserve">Table </w:t>
      </w:r>
      <w:r w:rsidR="001F6BD4">
        <w:t>10</w:t>
      </w:r>
      <w:r>
        <w:t xml:space="preserve"> - </w:t>
      </w:r>
      <w:r w:rsidRPr="00E76624">
        <w:t>Nombre et pourcentage des activités de dotation selon le type de processus et l’exercice financier</w:t>
      </w:r>
    </w:p>
    <w:tbl>
      <w:tblPr>
        <w:tblStyle w:val="Grilledutableau"/>
        <w:tblW w:w="5000" w:type="pct"/>
        <w:jc w:val="center"/>
        <w:tblLook w:val="0020" w:firstRow="1" w:lastRow="0" w:firstColumn="0" w:lastColumn="0" w:noHBand="0" w:noVBand="0"/>
        <w:tblDescription w:val="Dotation selon le type de processus de 2014 à 2019"/>
      </w:tblPr>
      <w:tblGrid>
        <w:gridCol w:w="2085"/>
        <w:gridCol w:w="4643"/>
        <w:gridCol w:w="2356"/>
        <w:gridCol w:w="4592"/>
      </w:tblGrid>
      <w:tr w:rsidR="00D72107" w:rsidRPr="008A5FB8" w14:paraId="5724D10C" w14:textId="77777777" w:rsidTr="003E35C9">
        <w:trPr>
          <w:cantSplit/>
          <w:trHeight w:val="290"/>
          <w:tblHeader/>
          <w:jc w:val="center"/>
        </w:trPr>
        <w:tc>
          <w:tcPr>
            <w:tcW w:w="762" w:type="pct"/>
          </w:tcPr>
          <w:p w14:paraId="7E959292" w14:textId="77777777" w:rsidR="00D72107" w:rsidRPr="008A5FB8" w:rsidRDefault="00D72107" w:rsidP="00D72107">
            <w:pPr>
              <w:pStyle w:val="TableTitle"/>
            </w:pPr>
            <w:r w:rsidRPr="008A5FB8">
              <w:t>Exercice financier</w:t>
            </w:r>
          </w:p>
        </w:tc>
        <w:tc>
          <w:tcPr>
            <w:tcW w:w="1697" w:type="pct"/>
          </w:tcPr>
          <w:p w14:paraId="4B24D716" w14:textId="77777777" w:rsidR="00D72107" w:rsidRPr="008A5FB8" w:rsidRDefault="00D72107" w:rsidP="00D72107">
            <w:pPr>
              <w:pStyle w:val="TableTitle"/>
            </w:pPr>
            <w:r w:rsidRPr="008A5FB8">
              <w:t>Processus non annoncé (inconnus exclus)</w:t>
            </w:r>
          </w:p>
        </w:tc>
        <w:tc>
          <w:tcPr>
            <w:tcW w:w="861" w:type="pct"/>
          </w:tcPr>
          <w:p w14:paraId="5F5C3E22" w14:textId="77777777" w:rsidR="00D72107" w:rsidRPr="008A5FB8" w:rsidRDefault="00D72107" w:rsidP="00D72107">
            <w:pPr>
              <w:pStyle w:val="TableTitle"/>
            </w:pPr>
            <w:r w:rsidRPr="008A5FB8">
              <w:t>Processus annoncés</w:t>
            </w:r>
          </w:p>
        </w:tc>
        <w:tc>
          <w:tcPr>
            <w:tcW w:w="1679" w:type="pct"/>
          </w:tcPr>
          <w:p w14:paraId="70C881B4" w14:textId="77777777" w:rsidR="00D72107" w:rsidRPr="008A5FB8" w:rsidRDefault="00D72107" w:rsidP="00D72107">
            <w:pPr>
              <w:pStyle w:val="TableTitle"/>
            </w:pPr>
            <w:r w:rsidRPr="008A5FB8">
              <w:t xml:space="preserve">Pourcentage de processus non annoncés </w:t>
            </w:r>
          </w:p>
        </w:tc>
      </w:tr>
      <w:tr w:rsidR="00D72107" w:rsidRPr="008A5FB8" w14:paraId="246FC005" w14:textId="77777777" w:rsidTr="003E35C9">
        <w:trPr>
          <w:cantSplit/>
          <w:trHeight w:val="290"/>
          <w:tblHeader/>
          <w:jc w:val="center"/>
        </w:trPr>
        <w:tc>
          <w:tcPr>
            <w:tcW w:w="762" w:type="pct"/>
          </w:tcPr>
          <w:p w14:paraId="3A74A089" w14:textId="77777777" w:rsidR="00D72107" w:rsidRPr="008A5FB8" w:rsidRDefault="00D72107"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 xml:space="preserve">2014 à 2015 </w:t>
            </w:r>
          </w:p>
        </w:tc>
        <w:tc>
          <w:tcPr>
            <w:tcW w:w="1697" w:type="pct"/>
          </w:tcPr>
          <w:p w14:paraId="273F862E"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430</w:t>
            </w:r>
          </w:p>
        </w:tc>
        <w:tc>
          <w:tcPr>
            <w:tcW w:w="861" w:type="pct"/>
          </w:tcPr>
          <w:p w14:paraId="4B0B6774"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825</w:t>
            </w:r>
          </w:p>
        </w:tc>
        <w:tc>
          <w:tcPr>
            <w:tcW w:w="1679" w:type="pct"/>
          </w:tcPr>
          <w:p w14:paraId="0F8CB7B1"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34%</w:t>
            </w:r>
          </w:p>
        </w:tc>
      </w:tr>
      <w:tr w:rsidR="00D72107" w:rsidRPr="008A5FB8" w14:paraId="61FC1317" w14:textId="77777777" w:rsidTr="003E35C9">
        <w:trPr>
          <w:cantSplit/>
          <w:trHeight w:val="290"/>
          <w:tblHeader/>
          <w:jc w:val="center"/>
        </w:trPr>
        <w:tc>
          <w:tcPr>
            <w:tcW w:w="762" w:type="pct"/>
          </w:tcPr>
          <w:p w14:paraId="6E263490" w14:textId="77777777" w:rsidR="00D72107" w:rsidRPr="008A5FB8" w:rsidRDefault="00D72107"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 xml:space="preserve">2015 à 2016 </w:t>
            </w:r>
          </w:p>
        </w:tc>
        <w:tc>
          <w:tcPr>
            <w:tcW w:w="1697" w:type="pct"/>
          </w:tcPr>
          <w:p w14:paraId="4ABB73B8"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347</w:t>
            </w:r>
          </w:p>
        </w:tc>
        <w:tc>
          <w:tcPr>
            <w:tcW w:w="861" w:type="pct"/>
          </w:tcPr>
          <w:p w14:paraId="145339FB"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790</w:t>
            </w:r>
          </w:p>
        </w:tc>
        <w:tc>
          <w:tcPr>
            <w:tcW w:w="1679" w:type="pct"/>
          </w:tcPr>
          <w:p w14:paraId="57E40762"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31%</w:t>
            </w:r>
          </w:p>
        </w:tc>
      </w:tr>
      <w:tr w:rsidR="00D72107" w:rsidRPr="008A5FB8" w14:paraId="315B294E" w14:textId="77777777" w:rsidTr="003E35C9">
        <w:trPr>
          <w:cantSplit/>
          <w:trHeight w:val="290"/>
          <w:tblHeader/>
          <w:jc w:val="center"/>
        </w:trPr>
        <w:tc>
          <w:tcPr>
            <w:tcW w:w="762" w:type="pct"/>
          </w:tcPr>
          <w:p w14:paraId="1E75470E" w14:textId="77777777" w:rsidR="00D72107" w:rsidRPr="008A5FB8" w:rsidRDefault="00D72107"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2016 à 2017</w:t>
            </w:r>
          </w:p>
        </w:tc>
        <w:tc>
          <w:tcPr>
            <w:tcW w:w="1697" w:type="pct"/>
          </w:tcPr>
          <w:p w14:paraId="14339491"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483</w:t>
            </w:r>
          </w:p>
        </w:tc>
        <w:tc>
          <w:tcPr>
            <w:tcW w:w="861" w:type="pct"/>
          </w:tcPr>
          <w:p w14:paraId="19D74629"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1 040</w:t>
            </w:r>
          </w:p>
        </w:tc>
        <w:tc>
          <w:tcPr>
            <w:tcW w:w="1679" w:type="pct"/>
          </w:tcPr>
          <w:p w14:paraId="72AB514F"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32%</w:t>
            </w:r>
          </w:p>
        </w:tc>
      </w:tr>
      <w:tr w:rsidR="00D72107" w:rsidRPr="008A5FB8" w14:paraId="7CEAAE12" w14:textId="77777777" w:rsidTr="003E35C9">
        <w:trPr>
          <w:cantSplit/>
          <w:trHeight w:val="290"/>
          <w:tblHeader/>
          <w:jc w:val="center"/>
        </w:trPr>
        <w:tc>
          <w:tcPr>
            <w:tcW w:w="762" w:type="pct"/>
          </w:tcPr>
          <w:p w14:paraId="114C5481" w14:textId="77777777" w:rsidR="00D72107" w:rsidRPr="008A5FB8" w:rsidRDefault="00D72107"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2017 à 2018</w:t>
            </w:r>
          </w:p>
        </w:tc>
        <w:tc>
          <w:tcPr>
            <w:tcW w:w="1697" w:type="pct"/>
          </w:tcPr>
          <w:p w14:paraId="3852910F"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986</w:t>
            </w:r>
          </w:p>
        </w:tc>
        <w:tc>
          <w:tcPr>
            <w:tcW w:w="861" w:type="pct"/>
          </w:tcPr>
          <w:p w14:paraId="5293CF21"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1 196</w:t>
            </w:r>
          </w:p>
        </w:tc>
        <w:tc>
          <w:tcPr>
            <w:tcW w:w="1679" w:type="pct"/>
          </w:tcPr>
          <w:p w14:paraId="0B7E074C"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45%</w:t>
            </w:r>
          </w:p>
        </w:tc>
      </w:tr>
      <w:tr w:rsidR="00D72107" w:rsidRPr="008A5FB8" w14:paraId="59185C8C" w14:textId="77777777" w:rsidTr="003E35C9">
        <w:trPr>
          <w:cantSplit/>
          <w:trHeight w:val="290"/>
          <w:tblHeader/>
          <w:jc w:val="center"/>
        </w:trPr>
        <w:tc>
          <w:tcPr>
            <w:tcW w:w="762" w:type="pct"/>
          </w:tcPr>
          <w:p w14:paraId="5224E2F9" w14:textId="77777777" w:rsidR="00D72107" w:rsidRPr="008A5FB8" w:rsidRDefault="00D72107"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2018 à 2019</w:t>
            </w:r>
          </w:p>
        </w:tc>
        <w:tc>
          <w:tcPr>
            <w:tcW w:w="1697" w:type="pct"/>
          </w:tcPr>
          <w:p w14:paraId="6C243CCD"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1 457</w:t>
            </w:r>
          </w:p>
        </w:tc>
        <w:tc>
          <w:tcPr>
            <w:tcW w:w="861" w:type="pct"/>
          </w:tcPr>
          <w:p w14:paraId="453D7637"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1 386</w:t>
            </w:r>
          </w:p>
        </w:tc>
        <w:tc>
          <w:tcPr>
            <w:tcW w:w="1679" w:type="pct"/>
          </w:tcPr>
          <w:p w14:paraId="61ECEBA1" w14:textId="77777777" w:rsidR="00D72107" w:rsidRPr="008A5FB8" w:rsidRDefault="00D72107"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51%</w:t>
            </w:r>
          </w:p>
        </w:tc>
      </w:tr>
    </w:tbl>
    <w:p w14:paraId="0D6636E9" w14:textId="77777777" w:rsidR="008B0E9D" w:rsidRPr="008B0E9D" w:rsidRDefault="008B0E9D" w:rsidP="008B0E9D">
      <w:pPr>
        <w:pStyle w:val="Titre1"/>
        <w:spacing w:before="120" w:after="120"/>
      </w:pPr>
      <w:r w:rsidRPr="008B0E9D">
        <w:lastRenderedPageBreak/>
        <w:t>Dotation selon le type de nomination</w:t>
      </w:r>
    </w:p>
    <w:p w14:paraId="36AE2EFD" w14:textId="77777777" w:rsidR="004B0B62" w:rsidRDefault="008A5FB8" w:rsidP="00D4487B">
      <w:pPr>
        <w:pStyle w:val="Titre3"/>
        <w:jc w:val="center"/>
      </w:pPr>
      <w:r w:rsidRPr="004B0B62">
        <w:rPr>
          <w:rStyle w:val="lev"/>
          <w:noProof/>
          <w:lang w:val="en-CA" w:eastAsia="en-CA"/>
        </w:rPr>
        <w:drawing>
          <wp:inline distT="0" distB="0" distL="0" distR="0" wp14:anchorId="629F9F01" wp14:editId="3F5ECAC5">
            <wp:extent cx="5648400" cy="3049200"/>
            <wp:effectExtent l="0" t="0" r="9525" b="18415"/>
            <wp:docPr id="9" name="Chart 9" descr="Figure 8 - Dotation selon le type de nomin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C2F836" w14:textId="409C75C8" w:rsidR="008A5FB8" w:rsidRDefault="004B0B62" w:rsidP="001E5361">
      <w:pPr>
        <w:pStyle w:val="Lgende"/>
        <w:spacing w:after="120"/>
        <w:jc w:val="center"/>
      </w:pPr>
      <w:r>
        <w:t xml:space="preserve">Figure </w:t>
      </w:r>
      <w:r>
        <w:fldChar w:fldCharType="begin"/>
      </w:r>
      <w:r>
        <w:instrText xml:space="preserve"> SEQ Figure \* ARABIC </w:instrText>
      </w:r>
      <w:r>
        <w:fldChar w:fldCharType="separate"/>
      </w:r>
      <w:r w:rsidR="00F812CC">
        <w:rPr>
          <w:noProof/>
        </w:rPr>
        <w:t>8</w:t>
      </w:r>
      <w:r>
        <w:fldChar w:fldCharType="end"/>
      </w:r>
      <w:r>
        <w:t xml:space="preserve"> - </w:t>
      </w:r>
      <w:r w:rsidRPr="007D5804">
        <w:t>Dotation selon le type de nomination</w:t>
      </w:r>
    </w:p>
    <w:p w14:paraId="26AE3913" w14:textId="6EE78901" w:rsidR="004B0B62" w:rsidRDefault="004B0B62" w:rsidP="001E5361">
      <w:pPr>
        <w:pStyle w:val="Lgende"/>
        <w:keepNext/>
        <w:spacing w:before="120"/>
        <w:jc w:val="center"/>
      </w:pPr>
      <w:r>
        <w:t xml:space="preserve">Table </w:t>
      </w:r>
      <w:r w:rsidR="00F52433">
        <w:t>11</w:t>
      </w:r>
      <w:r>
        <w:t xml:space="preserve"> - </w:t>
      </w:r>
      <w:r w:rsidRPr="00F50650">
        <w:t>Activités de dotation selon le type de nomination et exercice financier</w:t>
      </w:r>
    </w:p>
    <w:tbl>
      <w:tblPr>
        <w:tblStyle w:val="Grilledutableau"/>
        <w:tblW w:w="5000" w:type="pct"/>
        <w:jc w:val="center"/>
        <w:tblLook w:val="0020" w:firstRow="1" w:lastRow="0" w:firstColumn="0" w:lastColumn="0" w:noHBand="0" w:noVBand="0"/>
        <w:tblDescription w:val="Dotation par type de nomination de 2014 à 2019"/>
      </w:tblPr>
      <w:tblGrid>
        <w:gridCol w:w="1979"/>
        <w:gridCol w:w="1420"/>
        <w:gridCol w:w="2410"/>
        <w:gridCol w:w="3701"/>
        <w:gridCol w:w="2894"/>
        <w:gridCol w:w="1272"/>
      </w:tblGrid>
      <w:tr w:rsidR="004B0B62" w:rsidRPr="008A5FB8" w14:paraId="41E70593" w14:textId="77777777" w:rsidTr="003E35C9">
        <w:trPr>
          <w:cantSplit/>
          <w:tblHeader/>
          <w:jc w:val="center"/>
        </w:trPr>
        <w:tc>
          <w:tcPr>
            <w:tcW w:w="724" w:type="pct"/>
          </w:tcPr>
          <w:p w14:paraId="1BF3DAFA" w14:textId="77777777" w:rsidR="004B0B62" w:rsidRPr="008A5FB8" w:rsidRDefault="004B0B62" w:rsidP="004B0B62">
            <w:pPr>
              <w:pStyle w:val="TableTitle"/>
            </w:pPr>
            <w:r w:rsidRPr="008A5FB8">
              <w:t>Exercice financier</w:t>
            </w:r>
          </w:p>
        </w:tc>
        <w:tc>
          <w:tcPr>
            <w:tcW w:w="519" w:type="pct"/>
          </w:tcPr>
          <w:p w14:paraId="75247146" w14:textId="77777777" w:rsidR="004B0B62" w:rsidRPr="008A5FB8" w:rsidRDefault="004B0B62" w:rsidP="004B0B62">
            <w:pPr>
              <w:pStyle w:val="TableTitle"/>
            </w:pPr>
            <w:r w:rsidRPr="008A5FB8">
              <w:t>Promotions</w:t>
            </w:r>
          </w:p>
        </w:tc>
        <w:tc>
          <w:tcPr>
            <w:tcW w:w="881" w:type="pct"/>
          </w:tcPr>
          <w:p w14:paraId="121A7D13" w14:textId="77777777" w:rsidR="004B0B62" w:rsidRPr="008A5FB8" w:rsidRDefault="004B0B62" w:rsidP="004B0B62">
            <w:pPr>
              <w:pStyle w:val="TableTitle"/>
            </w:pPr>
            <w:r w:rsidRPr="008A5FB8">
              <w:t>Déplacements latéraux et régressifs</w:t>
            </w:r>
          </w:p>
        </w:tc>
        <w:tc>
          <w:tcPr>
            <w:tcW w:w="1353" w:type="pct"/>
          </w:tcPr>
          <w:p w14:paraId="1D3CF215" w14:textId="77777777" w:rsidR="004B0B62" w:rsidRPr="008A5FB8" w:rsidRDefault="004B0B62" w:rsidP="004B0B62">
            <w:pPr>
              <w:pStyle w:val="TableTitle"/>
            </w:pPr>
            <w:r w:rsidRPr="008A5FB8">
              <w:t>Nominations à la fonction publique (y compris les employés occasionnels et les étudiants)</w:t>
            </w:r>
          </w:p>
        </w:tc>
        <w:tc>
          <w:tcPr>
            <w:tcW w:w="1058" w:type="pct"/>
          </w:tcPr>
          <w:p w14:paraId="461FE19A" w14:textId="77777777" w:rsidR="004B0B62" w:rsidRPr="008A5FB8" w:rsidRDefault="004B0B62" w:rsidP="004B0B62">
            <w:pPr>
              <w:pStyle w:val="TableTitle"/>
            </w:pPr>
            <w:r w:rsidRPr="008A5FB8">
              <w:t>Nominations intérimaires (Excluant les nominations de moins de 4 mois)</w:t>
            </w:r>
          </w:p>
        </w:tc>
        <w:tc>
          <w:tcPr>
            <w:tcW w:w="465" w:type="pct"/>
          </w:tcPr>
          <w:p w14:paraId="501E9FD8" w14:textId="77777777" w:rsidR="004B0B62" w:rsidRPr="008A5FB8" w:rsidRDefault="004B0B62" w:rsidP="004B0B62">
            <w:pPr>
              <w:pStyle w:val="TableTitle"/>
            </w:pPr>
            <w:r w:rsidRPr="008A5FB8">
              <w:t>Total</w:t>
            </w:r>
          </w:p>
        </w:tc>
      </w:tr>
      <w:tr w:rsidR="004B0B62" w:rsidRPr="008A5FB8" w14:paraId="0353B65B" w14:textId="77777777" w:rsidTr="003E35C9">
        <w:trPr>
          <w:cantSplit/>
          <w:tblHeader/>
          <w:jc w:val="center"/>
        </w:trPr>
        <w:tc>
          <w:tcPr>
            <w:tcW w:w="724" w:type="pct"/>
          </w:tcPr>
          <w:p w14:paraId="56CDA5A7"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 xml:space="preserve">2014 à 2015 </w:t>
            </w:r>
          </w:p>
        </w:tc>
        <w:tc>
          <w:tcPr>
            <w:tcW w:w="519" w:type="pct"/>
          </w:tcPr>
          <w:p w14:paraId="2A58DBEC"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509</w:t>
            </w:r>
          </w:p>
        </w:tc>
        <w:tc>
          <w:tcPr>
            <w:tcW w:w="881" w:type="pct"/>
          </w:tcPr>
          <w:p w14:paraId="2DF9C7EC"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674</w:t>
            </w:r>
          </w:p>
        </w:tc>
        <w:tc>
          <w:tcPr>
            <w:tcW w:w="1353" w:type="pct"/>
          </w:tcPr>
          <w:p w14:paraId="627784BF"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1 334</w:t>
            </w:r>
          </w:p>
        </w:tc>
        <w:tc>
          <w:tcPr>
            <w:tcW w:w="1058" w:type="pct"/>
          </w:tcPr>
          <w:p w14:paraId="1E2C6F53"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812</w:t>
            </w:r>
          </w:p>
        </w:tc>
        <w:tc>
          <w:tcPr>
            <w:tcW w:w="465" w:type="pct"/>
          </w:tcPr>
          <w:p w14:paraId="29B7981F"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3 329</w:t>
            </w:r>
          </w:p>
        </w:tc>
      </w:tr>
      <w:tr w:rsidR="004B0B62" w:rsidRPr="008A5FB8" w14:paraId="3094BD97" w14:textId="77777777" w:rsidTr="003E35C9">
        <w:trPr>
          <w:cantSplit/>
          <w:tblHeader/>
          <w:jc w:val="center"/>
        </w:trPr>
        <w:tc>
          <w:tcPr>
            <w:tcW w:w="724" w:type="pct"/>
          </w:tcPr>
          <w:p w14:paraId="3D877369"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2015 à 2016</w:t>
            </w:r>
          </w:p>
        </w:tc>
        <w:tc>
          <w:tcPr>
            <w:tcW w:w="519" w:type="pct"/>
          </w:tcPr>
          <w:p w14:paraId="10635F63"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525</w:t>
            </w:r>
          </w:p>
        </w:tc>
        <w:tc>
          <w:tcPr>
            <w:tcW w:w="881" w:type="pct"/>
          </w:tcPr>
          <w:p w14:paraId="4F4F1415"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714</w:t>
            </w:r>
          </w:p>
        </w:tc>
        <w:tc>
          <w:tcPr>
            <w:tcW w:w="1353" w:type="pct"/>
          </w:tcPr>
          <w:p w14:paraId="27C24F88"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1 703</w:t>
            </w:r>
          </w:p>
        </w:tc>
        <w:tc>
          <w:tcPr>
            <w:tcW w:w="1058" w:type="pct"/>
          </w:tcPr>
          <w:p w14:paraId="6471EF71"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801</w:t>
            </w:r>
          </w:p>
        </w:tc>
        <w:tc>
          <w:tcPr>
            <w:tcW w:w="465" w:type="pct"/>
          </w:tcPr>
          <w:p w14:paraId="01FBB67E"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3 743</w:t>
            </w:r>
          </w:p>
        </w:tc>
      </w:tr>
      <w:tr w:rsidR="004B0B62" w:rsidRPr="008A5FB8" w14:paraId="628BF531" w14:textId="77777777" w:rsidTr="003E35C9">
        <w:trPr>
          <w:cantSplit/>
          <w:tblHeader/>
          <w:jc w:val="center"/>
        </w:trPr>
        <w:tc>
          <w:tcPr>
            <w:tcW w:w="724" w:type="pct"/>
          </w:tcPr>
          <w:p w14:paraId="553A1E14"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 xml:space="preserve">2016 à 2017 </w:t>
            </w:r>
          </w:p>
        </w:tc>
        <w:tc>
          <w:tcPr>
            <w:tcW w:w="519" w:type="pct"/>
          </w:tcPr>
          <w:p w14:paraId="31A0B60A"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858</w:t>
            </w:r>
          </w:p>
        </w:tc>
        <w:tc>
          <w:tcPr>
            <w:tcW w:w="881" w:type="pct"/>
          </w:tcPr>
          <w:p w14:paraId="7D747020"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1 070</w:t>
            </w:r>
          </w:p>
        </w:tc>
        <w:tc>
          <w:tcPr>
            <w:tcW w:w="1353" w:type="pct"/>
          </w:tcPr>
          <w:p w14:paraId="76FE7B4D"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1 855</w:t>
            </w:r>
          </w:p>
        </w:tc>
        <w:tc>
          <w:tcPr>
            <w:tcW w:w="1058" w:type="pct"/>
          </w:tcPr>
          <w:p w14:paraId="1BCD2698"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638</w:t>
            </w:r>
          </w:p>
        </w:tc>
        <w:tc>
          <w:tcPr>
            <w:tcW w:w="465" w:type="pct"/>
          </w:tcPr>
          <w:p w14:paraId="284E652B"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4 421</w:t>
            </w:r>
          </w:p>
        </w:tc>
      </w:tr>
      <w:tr w:rsidR="004B0B62" w:rsidRPr="008A5FB8" w14:paraId="43F681A3" w14:textId="77777777" w:rsidTr="003E35C9">
        <w:trPr>
          <w:cantSplit/>
          <w:tblHeader/>
          <w:jc w:val="center"/>
        </w:trPr>
        <w:tc>
          <w:tcPr>
            <w:tcW w:w="724" w:type="pct"/>
          </w:tcPr>
          <w:p w14:paraId="2E4A3916"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2017 à 2018</w:t>
            </w:r>
          </w:p>
        </w:tc>
        <w:tc>
          <w:tcPr>
            <w:tcW w:w="519" w:type="pct"/>
          </w:tcPr>
          <w:p w14:paraId="707CC420"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1 065</w:t>
            </w:r>
          </w:p>
        </w:tc>
        <w:tc>
          <w:tcPr>
            <w:tcW w:w="881" w:type="pct"/>
          </w:tcPr>
          <w:p w14:paraId="7D7CF63C"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1 179</w:t>
            </w:r>
          </w:p>
        </w:tc>
        <w:tc>
          <w:tcPr>
            <w:tcW w:w="1353" w:type="pct"/>
          </w:tcPr>
          <w:p w14:paraId="3DFF4A51"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2 266</w:t>
            </w:r>
          </w:p>
        </w:tc>
        <w:tc>
          <w:tcPr>
            <w:tcW w:w="1058" w:type="pct"/>
          </w:tcPr>
          <w:p w14:paraId="05D2DC46"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614</w:t>
            </w:r>
          </w:p>
        </w:tc>
        <w:tc>
          <w:tcPr>
            <w:tcW w:w="465" w:type="pct"/>
          </w:tcPr>
          <w:p w14:paraId="05590A8D"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5 124</w:t>
            </w:r>
          </w:p>
        </w:tc>
      </w:tr>
      <w:tr w:rsidR="004B0B62" w:rsidRPr="008A5FB8" w14:paraId="4F39C5DD" w14:textId="77777777" w:rsidTr="003E35C9">
        <w:trPr>
          <w:cantSplit/>
          <w:tblHeader/>
          <w:jc w:val="center"/>
        </w:trPr>
        <w:tc>
          <w:tcPr>
            <w:tcW w:w="724" w:type="pct"/>
          </w:tcPr>
          <w:p w14:paraId="62D82FD1"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2018 à 2019</w:t>
            </w:r>
          </w:p>
        </w:tc>
        <w:tc>
          <w:tcPr>
            <w:tcW w:w="519" w:type="pct"/>
          </w:tcPr>
          <w:p w14:paraId="1AAF4A75"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1 356</w:t>
            </w:r>
          </w:p>
        </w:tc>
        <w:tc>
          <w:tcPr>
            <w:tcW w:w="881" w:type="pct"/>
          </w:tcPr>
          <w:p w14:paraId="51C822B3"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1 423</w:t>
            </w:r>
          </w:p>
        </w:tc>
        <w:tc>
          <w:tcPr>
            <w:tcW w:w="1353" w:type="pct"/>
          </w:tcPr>
          <w:p w14:paraId="05E80FB6"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2 783</w:t>
            </w:r>
          </w:p>
        </w:tc>
        <w:tc>
          <w:tcPr>
            <w:tcW w:w="1058" w:type="pct"/>
          </w:tcPr>
          <w:p w14:paraId="32AF7510"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797</w:t>
            </w:r>
          </w:p>
        </w:tc>
        <w:tc>
          <w:tcPr>
            <w:tcW w:w="465" w:type="pct"/>
          </w:tcPr>
          <w:p w14:paraId="102AA648"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6 359</w:t>
            </w:r>
          </w:p>
        </w:tc>
      </w:tr>
    </w:tbl>
    <w:p w14:paraId="049CEC35" w14:textId="77777777" w:rsidR="008B0E9D" w:rsidRPr="005A4FEE" w:rsidRDefault="008B0E9D" w:rsidP="008B0E9D">
      <w:pPr>
        <w:pStyle w:val="Titre1"/>
        <w:spacing w:before="120" w:after="120"/>
      </w:pPr>
      <w:r w:rsidRPr="005A4FEE">
        <w:lastRenderedPageBreak/>
        <w:t>Dotation selon la durée d'emploi</w:t>
      </w:r>
    </w:p>
    <w:p w14:paraId="043EA97C" w14:textId="77777777" w:rsidR="004B0B62" w:rsidRDefault="004B0B62" w:rsidP="00D4487B">
      <w:pPr>
        <w:pStyle w:val="Titre3"/>
        <w:jc w:val="center"/>
      </w:pPr>
      <w:r w:rsidRPr="004B0B62">
        <w:rPr>
          <w:rStyle w:val="lev"/>
          <w:noProof/>
          <w:lang w:val="en-CA" w:eastAsia="en-CA"/>
        </w:rPr>
        <w:drawing>
          <wp:inline distT="0" distB="0" distL="0" distR="0" wp14:anchorId="59FFF24F" wp14:editId="7F078140">
            <wp:extent cx="5648400" cy="3049200"/>
            <wp:effectExtent l="0" t="0" r="9525" b="18415"/>
            <wp:docPr id="3" name="Chart 3" descr="Figure 9 - Dotation selon la durée d'emploi"/>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F2D8940" w14:textId="14B87454" w:rsidR="004B0B62" w:rsidRDefault="004B0B62" w:rsidP="005210BA">
      <w:pPr>
        <w:pStyle w:val="Lgende"/>
        <w:spacing w:after="100" w:afterAutospacing="1"/>
        <w:jc w:val="center"/>
      </w:pPr>
      <w:r>
        <w:t xml:space="preserve">Figure </w:t>
      </w:r>
      <w:r>
        <w:fldChar w:fldCharType="begin"/>
      </w:r>
      <w:r>
        <w:instrText xml:space="preserve"> SEQ Figure \* ARABIC </w:instrText>
      </w:r>
      <w:r>
        <w:fldChar w:fldCharType="separate"/>
      </w:r>
      <w:r w:rsidR="00F812CC">
        <w:rPr>
          <w:noProof/>
        </w:rPr>
        <w:t>9</w:t>
      </w:r>
      <w:r>
        <w:fldChar w:fldCharType="end"/>
      </w:r>
      <w:r>
        <w:t xml:space="preserve"> - </w:t>
      </w:r>
      <w:r w:rsidRPr="00E31E4F">
        <w:t>Dotation selon la durée d'emploi</w:t>
      </w:r>
    </w:p>
    <w:p w14:paraId="3C6CD47C" w14:textId="63379F27" w:rsidR="004B0B62" w:rsidRDefault="004B0B62" w:rsidP="001F6BD4">
      <w:pPr>
        <w:pStyle w:val="Lgende"/>
        <w:keepNext/>
        <w:jc w:val="center"/>
      </w:pPr>
      <w:r>
        <w:t xml:space="preserve">Table </w:t>
      </w:r>
      <w:r w:rsidR="001F6BD4">
        <w:t>12</w:t>
      </w:r>
      <w:r>
        <w:t xml:space="preserve"> - </w:t>
      </w:r>
      <w:r w:rsidRPr="007D33F8">
        <w:t>Activités de dotation selon la durée d’emploi et l’exercice financier</w:t>
      </w:r>
    </w:p>
    <w:tbl>
      <w:tblPr>
        <w:tblStyle w:val="Grilledutableau"/>
        <w:tblW w:w="15168" w:type="dxa"/>
        <w:jc w:val="center"/>
        <w:tblLook w:val="0020" w:firstRow="1" w:lastRow="0" w:firstColumn="0" w:lastColumn="0" w:noHBand="0" w:noVBand="0"/>
        <w:tblDescription w:val="Dotation selon la durée d’emploi de 2014 à 2019"/>
      </w:tblPr>
      <w:tblGrid>
        <w:gridCol w:w="1413"/>
        <w:gridCol w:w="2835"/>
        <w:gridCol w:w="2977"/>
        <w:gridCol w:w="3260"/>
        <w:gridCol w:w="2835"/>
        <w:gridCol w:w="1848"/>
      </w:tblGrid>
      <w:tr w:rsidR="004B0B62" w:rsidRPr="008A5FB8" w14:paraId="1510D504" w14:textId="77777777" w:rsidTr="003E35C9">
        <w:trPr>
          <w:cantSplit/>
          <w:trHeight w:val="774"/>
          <w:tblHeader/>
          <w:jc w:val="center"/>
        </w:trPr>
        <w:tc>
          <w:tcPr>
            <w:tcW w:w="1413" w:type="dxa"/>
          </w:tcPr>
          <w:p w14:paraId="5123E58E" w14:textId="77777777" w:rsidR="004B0B62" w:rsidRPr="008A5FB8" w:rsidRDefault="004B0B62" w:rsidP="004B0B62">
            <w:pPr>
              <w:pStyle w:val="TableTitle"/>
            </w:pPr>
            <w:r w:rsidRPr="008A5FB8">
              <w:t>Exercice financier</w:t>
            </w:r>
          </w:p>
        </w:tc>
        <w:tc>
          <w:tcPr>
            <w:tcW w:w="2835" w:type="dxa"/>
          </w:tcPr>
          <w:p w14:paraId="692A5F29" w14:textId="77777777" w:rsidR="004B0B62" w:rsidRPr="008A5FB8" w:rsidRDefault="004B0B62" w:rsidP="004B0B62">
            <w:pPr>
              <w:pStyle w:val="TableTitle"/>
            </w:pPr>
            <w:r w:rsidRPr="008A5FB8">
              <w:t>Activités de dotation pour des postes pour une période indéterminée</w:t>
            </w:r>
          </w:p>
        </w:tc>
        <w:tc>
          <w:tcPr>
            <w:tcW w:w="2977" w:type="dxa"/>
          </w:tcPr>
          <w:p w14:paraId="19919B49" w14:textId="77777777" w:rsidR="004B0B62" w:rsidRPr="008A5FB8" w:rsidRDefault="004B0B62" w:rsidP="004B0B62">
            <w:pPr>
              <w:pStyle w:val="TableTitle"/>
            </w:pPr>
            <w:r w:rsidRPr="008A5FB8">
              <w:t>Activités de dotation pour des postes de durée déterminée</w:t>
            </w:r>
          </w:p>
        </w:tc>
        <w:tc>
          <w:tcPr>
            <w:tcW w:w="3260" w:type="dxa"/>
          </w:tcPr>
          <w:p w14:paraId="01FF0EDF" w14:textId="77777777" w:rsidR="004B0B62" w:rsidRPr="008A5FB8" w:rsidRDefault="004B0B62" w:rsidP="004B0B62">
            <w:pPr>
              <w:pStyle w:val="TableTitle"/>
            </w:pPr>
            <w:r w:rsidRPr="008A5FB8">
              <w:t>Activités de dotation de durée pour les emplois occasionnels</w:t>
            </w:r>
          </w:p>
        </w:tc>
        <w:tc>
          <w:tcPr>
            <w:tcW w:w="2835" w:type="dxa"/>
          </w:tcPr>
          <w:p w14:paraId="30EA4233" w14:textId="77777777" w:rsidR="004B0B62" w:rsidRPr="008A5FB8" w:rsidRDefault="004B0B62" w:rsidP="004B0B62">
            <w:pPr>
              <w:pStyle w:val="TableTitle"/>
            </w:pPr>
            <w:r w:rsidRPr="008A5FB8">
              <w:t>Activités de dotation pour les emplois étudiants</w:t>
            </w:r>
          </w:p>
        </w:tc>
        <w:tc>
          <w:tcPr>
            <w:tcW w:w="1848" w:type="dxa"/>
          </w:tcPr>
          <w:p w14:paraId="25FA796B" w14:textId="77777777" w:rsidR="004B0B62" w:rsidRPr="008A5FB8" w:rsidRDefault="004B0B62" w:rsidP="004B0B62">
            <w:pPr>
              <w:pStyle w:val="TableTitle"/>
            </w:pPr>
            <w:r w:rsidRPr="008A5FB8">
              <w:t>Activités de dotation totale</w:t>
            </w:r>
          </w:p>
        </w:tc>
      </w:tr>
      <w:tr w:rsidR="004B0B62" w:rsidRPr="008A5FB8" w14:paraId="39AEB81B" w14:textId="77777777" w:rsidTr="003E35C9">
        <w:trPr>
          <w:cantSplit/>
          <w:tblHeader/>
          <w:jc w:val="center"/>
        </w:trPr>
        <w:tc>
          <w:tcPr>
            <w:tcW w:w="1413" w:type="dxa"/>
          </w:tcPr>
          <w:p w14:paraId="41C8B772"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2014 à 2015</w:t>
            </w:r>
          </w:p>
        </w:tc>
        <w:tc>
          <w:tcPr>
            <w:tcW w:w="2835" w:type="dxa"/>
          </w:tcPr>
          <w:p w14:paraId="4C3264B5"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2 004</w:t>
            </w:r>
          </w:p>
        </w:tc>
        <w:tc>
          <w:tcPr>
            <w:tcW w:w="2977" w:type="dxa"/>
          </w:tcPr>
          <w:p w14:paraId="444E5ADB"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409</w:t>
            </w:r>
          </w:p>
        </w:tc>
        <w:tc>
          <w:tcPr>
            <w:tcW w:w="3260" w:type="dxa"/>
          </w:tcPr>
          <w:p w14:paraId="0D005B01"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498</w:t>
            </w:r>
          </w:p>
        </w:tc>
        <w:tc>
          <w:tcPr>
            <w:tcW w:w="2835" w:type="dxa"/>
          </w:tcPr>
          <w:p w14:paraId="61AFE7DD"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418</w:t>
            </w:r>
          </w:p>
        </w:tc>
        <w:tc>
          <w:tcPr>
            <w:tcW w:w="1848" w:type="dxa"/>
          </w:tcPr>
          <w:p w14:paraId="345EF376"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3 329</w:t>
            </w:r>
          </w:p>
        </w:tc>
      </w:tr>
      <w:tr w:rsidR="004B0B62" w:rsidRPr="008A5FB8" w14:paraId="13244A6B" w14:textId="77777777" w:rsidTr="003E35C9">
        <w:trPr>
          <w:cantSplit/>
          <w:tblHeader/>
          <w:jc w:val="center"/>
        </w:trPr>
        <w:tc>
          <w:tcPr>
            <w:tcW w:w="1413" w:type="dxa"/>
          </w:tcPr>
          <w:p w14:paraId="7ED9AD29"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2015 à 2016</w:t>
            </w:r>
          </w:p>
        </w:tc>
        <w:tc>
          <w:tcPr>
            <w:tcW w:w="2835" w:type="dxa"/>
          </w:tcPr>
          <w:p w14:paraId="7FD4F76D"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2 130</w:t>
            </w:r>
          </w:p>
        </w:tc>
        <w:tc>
          <w:tcPr>
            <w:tcW w:w="2977" w:type="dxa"/>
          </w:tcPr>
          <w:p w14:paraId="2825026A"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382</w:t>
            </w:r>
          </w:p>
        </w:tc>
        <w:tc>
          <w:tcPr>
            <w:tcW w:w="3260" w:type="dxa"/>
          </w:tcPr>
          <w:p w14:paraId="2EDA730D"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669</w:t>
            </w:r>
          </w:p>
        </w:tc>
        <w:tc>
          <w:tcPr>
            <w:tcW w:w="2835" w:type="dxa"/>
          </w:tcPr>
          <w:p w14:paraId="0D7C8BB3"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562</w:t>
            </w:r>
          </w:p>
        </w:tc>
        <w:tc>
          <w:tcPr>
            <w:tcW w:w="1848" w:type="dxa"/>
          </w:tcPr>
          <w:p w14:paraId="7E07FA8F"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3 743</w:t>
            </w:r>
          </w:p>
        </w:tc>
      </w:tr>
      <w:tr w:rsidR="004B0B62" w:rsidRPr="008A5FB8" w14:paraId="03678698" w14:textId="77777777" w:rsidTr="003E35C9">
        <w:trPr>
          <w:cantSplit/>
          <w:tblHeader/>
          <w:jc w:val="center"/>
        </w:trPr>
        <w:tc>
          <w:tcPr>
            <w:tcW w:w="1413" w:type="dxa"/>
          </w:tcPr>
          <w:p w14:paraId="7247B81F"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2016 à 2017</w:t>
            </w:r>
          </w:p>
        </w:tc>
        <w:tc>
          <w:tcPr>
            <w:tcW w:w="2835" w:type="dxa"/>
          </w:tcPr>
          <w:p w14:paraId="446F6184"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2 760</w:t>
            </w:r>
          </w:p>
        </w:tc>
        <w:tc>
          <w:tcPr>
            <w:tcW w:w="2977" w:type="dxa"/>
          </w:tcPr>
          <w:p w14:paraId="7FFCE04A"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512</w:t>
            </w:r>
          </w:p>
        </w:tc>
        <w:tc>
          <w:tcPr>
            <w:tcW w:w="3260" w:type="dxa"/>
          </w:tcPr>
          <w:p w14:paraId="233560D5"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579</w:t>
            </w:r>
          </w:p>
        </w:tc>
        <w:tc>
          <w:tcPr>
            <w:tcW w:w="2835" w:type="dxa"/>
          </w:tcPr>
          <w:p w14:paraId="51D09F39"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570</w:t>
            </w:r>
          </w:p>
        </w:tc>
        <w:tc>
          <w:tcPr>
            <w:tcW w:w="1848" w:type="dxa"/>
          </w:tcPr>
          <w:p w14:paraId="4B79315C"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4 421</w:t>
            </w:r>
          </w:p>
        </w:tc>
      </w:tr>
      <w:tr w:rsidR="004B0B62" w:rsidRPr="008A5FB8" w14:paraId="49D05AFD" w14:textId="77777777" w:rsidTr="003E35C9">
        <w:trPr>
          <w:cantSplit/>
          <w:tblHeader/>
          <w:jc w:val="center"/>
        </w:trPr>
        <w:tc>
          <w:tcPr>
            <w:tcW w:w="1413" w:type="dxa"/>
          </w:tcPr>
          <w:p w14:paraId="35A32579"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2017 à 2018</w:t>
            </w:r>
          </w:p>
        </w:tc>
        <w:tc>
          <w:tcPr>
            <w:tcW w:w="2835" w:type="dxa"/>
          </w:tcPr>
          <w:p w14:paraId="4EE16BE5"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3 169</w:t>
            </w:r>
          </w:p>
        </w:tc>
        <w:tc>
          <w:tcPr>
            <w:tcW w:w="2977" w:type="dxa"/>
          </w:tcPr>
          <w:p w14:paraId="38F52155"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606</w:t>
            </w:r>
          </w:p>
        </w:tc>
        <w:tc>
          <w:tcPr>
            <w:tcW w:w="3260" w:type="dxa"/>
          </w:tcPr>
          <w:p w14:paraId="2F0C9E5C"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756</w:t>
            </w:r>
          </w:p>
        </w:tc>
        <w:tc>
          <w:tcPr>
            <w:tcW w:w="2835" w:type="dxa"/>
          </w:tcPr>
          <w:p w14:paraId="1223F928"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593</w:t>
            </w:r>
          </w:p>
        </w:tc>
        <w:tc>
          <w:tcPr>
            <w:tcW w:w="1848" w:type="dxa"/>
          </w:tcPr>
          <w:p w14:paraId="091A1CD2"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5 124</w:t>
            </w:r>
          </w:p>
        </w:tc>
      </w:tr>
      <w:tr w:rsidR="004B0B62" w:rsidRPr="008A5FB8" w14:paraId="180B3862" w14:textId="77777777" w:rsidTr="003E35C9">
        <w:trPr>
          <w:cantSplit/>
          <w:trHeight w:val="87"/>
          <w:tblHeader/>
          <w:jc w:val="center"/>
        </w:trPr>
        <w:tc>
          <w:tcPr>
            <w:tcW w:w="1413" w:type="dxa"/>
          </w:tcPr>
          <w:p w14:paraId="593F6650"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2018 à 2019</w:t>
            </w:r>
          </w:p>
        </w:tc>
        <w:tc>
          <w:tcPr>
            <w:tcW w:w="2835" w:type="dxa"/>
          </w:tcPr>
          <w:p w14:paraId="7044F30F"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4 068</w:t>
            </w:r>
          </w:p>
        </w:tc>
        <w:tc>
          <w:tcPr>
            <w:tcW w:w="2977" w:type="dxa"/>
          </w:tcPr>
          <w:p w14:paraId="202D8B26"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809</w:t>
            </w:r>
          </w:p>
        </w:tc>
        <w:tc>
          <w:tcPr>
            <w:tcW w:w="3260" w:type="dxa"/>
          </w:tcPr>
          <w:p w14:paraId="0E3FFEA9"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804</w:t>
            </w:r>
          </w:p>
        </w:tc>
        <w:tc>
          <w:tcPr>
            <w:tcW w:w="2835" w:type="dxa"/>
          </w:tcPr>
          <w:p w14:paraId="4819424E"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678</w:t>
            </w:r>
          </w:p>
        </w:tc>
        <w:tc>
          <w:tcPr>
            <w:tcW w:w="1848" w:type="dxa"/>
          </w:tcPr>
          <w:p w14:paraId="0C118AEC"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6 359</w:t>
            </w:r>
          </w:p>
        </w:tc>
      </w:tr>
    </w:tbl>
    <w:p w14:paraId="3581A23F" w14:textId="77777777" w:rsidR="005A4FEE" w:rsidRDefault="005A4FEE" w:rsidP="005210BA">
      <w:pPr>
        <w:spacing w:before="120"/>
        <w:rPr>
          <w:rStyle w:val="lev"/>
        </w:rPr>
      </w:pPr>
    </w:p>
    <w:p w14:paraId="77B32ABA" w14:textId="77777777" w:rsidR="004B0B62" w:rsidRPr="004B0B62" w:rsidRDefault="004B0B62" w:rsidP="005210BA">
      <w:pPr>
        <w:spacing w:before="120"/>
        <w:rPr>
          <w:rStyle w:val="lev"/>
        </w:rPr>
      </w:pPr>
      <w:r w:rsidRPr="004B0B62">
        <w:rPr>
          <w:rStyle w:val="lev"/>
        </w:rPr>
        <w:lastRenderedPageBreak/>
        <w:t>Sondage sur la dotation et l’impartialité politique (2018) – Principales constatations</w:t>
      </w:r>
    </w:p>
    <w:p w14:paraId="2F7B09A6" w14:textId="77777777" w:rsidR="004B0B62" w:rsidRPr="00A66CD7" w:rsidRDefault="004B0B62" w:rsidP="005210BA">
      <w:pPr>
        <w:pStyle w:val="Paragraphedeliste"/>
        <w:numPr>
          <w:ilvl w:val="0"/>
          <w:numId w:val="6"/>
        </w:numPr>
        <w:rPr>
          <w:rFonts w:asciiTheme="minorHAnsi" w:hAnsiTheme="minorHAnsi" w:cstheme="minorHAnsi"/>
          <w:sz w:val="22"/>
          <w:szCs w:val="22"/>
        </w:rPr>
      </w:pPr>
      <w:r w:rsidRPr="00A66CD7">
        <w:rPr>
          <w:rFonts w:asciiTheme="minorHAnsi" w:hAnsiTheme="minorHAnsi" w:cstheme="minorHAnsi"/>
          <w:sz w:val="22"/>
          <w:szCs w:val="22"/>
        </w:rPr>
        <w:t xml:space="preserve">58,0% des </w:t>
      </w:r>
      <w:r w:rsidRPr="004B0B62">
        <w:rPr>
          <w:rStyle w:val="lev"/>
        </w:rPr>
        <w:t>employés</w:t>
      </w:r>
      <w:r w:rsidRPr="00A66CD7">
        <w:rPr>
          <w:rFonts w:asciiTheme="minorHAnsi" w:hAnsiTheme="minorHAnsi" w:cstheme="minorHAnsi"/>
          <w:sz w:val="22"/>
          <w:szCs w:val="22"/>
        </w:rPr>
        <w:t xml:space="preserve"> estiment que les personnes embauchées peuvent effectuer le travail, comparativement à 52,3% dans les organisations de même taille et à 53,8% dans la fonction publique fédérale.</w:t>
      </w:r>
    </w:p>
    <w:p w14:paraId="1E2DEFDC" w14:textId="77777777" w:rsidR="004B0B62" w:rsidRPr="00A66CD7" w:rsidRDefault="004B0B62" w:rsidP="005210BA">
      <w:pPr>
        <w:pStyle w:val="Paragraphedeliste"/>
        <w:numPr>
          <w:ilvl w:val="0"/>
          <w:numId w:val="6"/>
        </w:numPr>
        <w:spacing w:before="100" w:beforeAutospacing="1" w:after="100" w:afterAutospacing="1"/>
        <w:rPr>
          <w:rFonts w:asciiTheme="minorHAnsi" w:hAnsiTheme="minorHAnsi" w:cstheme="minorHAnsi"/>
          <w:sz w:val="22"/>
          <w:szCs w:val="22"/>
        </w:rPr>
      </w:pPr>
      <w:r w:rsidRPr="00A66CD7">
        <w:rPr>
          <w:rFonts w:asciiTheme="minorHAnsi" w:hAnsiTheme="minorHAnsi" w:cstheme="minorHAnsi"/>
          <w:sz w:val="22"/>
          <w:szCs w:val="22"/>
        </w:rPr>
        <w:t xml:space="preserve">62,7% des </w:t>
      </w:r>
      <w:r w:rsidRPr="004B0B62">
        <w:rPr>
          <w:rStyle w:val="lev"/>
        </w:rPr>
        <w:t>gestionnaires</w:t>
      </w:r>
      <w:r w:rsidRPr="00A66CD7">
        <w:rPr>
          <w:rFonts w:asciiTheme="minorHAnsi" w:hAnsiTheme="minorHAnsi" w:cstheme="minorHAnsi"/>
          <w:sz w:val="22"/>
          <w:szCs w:val="22"/>
        </w:rPr>
        <w:t xml:space="preserve"> estiment que la Nouvelle orientation en dotation a amélioré la façon d'embaucher et de nommer les candidats au sein de leur organisation, comparativement à 54,4% dans les organisations de même taille et à 56,1% dans la fonction publique fédérale.</w:t>
      </w:r>
    </w:p>
    <w:p w14:paraId="3FC65069" w14:textId="77777777" w:rsidR="005210BA" w:rsidRDefault="004B0B62" w:rsidP="005210BA">
      <w:pPr>
        <w:pStyle w:val="Paragraphedeliste"/>
        <w:numPr>
          <w:ilvl w:val="0"/>
          <w:numId w:val="6"/>
        </w:numPr>
        <w:spacing w:before="100" w:beforeAutospacing="1" w:after="100" w:afterAutospacing="1"/>
        <w:rPr>
          <w:rFonts w:asciiTheme="minorHAnsi" w:hAnsiTheme="minorHAnsi" w:cstheme="minorHAnsi"/>
          <w:sz w:val="22"/>
          <w:szCs w:val="22"/>
        </w:rPr>
        <w:sectPr w:rsidR="005210BA" w:rsidSect="005A4FEE">
          <w:headerReference w:type="default" r:id="rId21"/>
          <w:footerReference w:type="even" r:id="rId22"/>
          <w:headerReference w:type="first" r:id="rId23"/>
          <w:footerReference w:type="first" r:id="rId24"/>
          <w:pgSz w:w="15840" w:h="12240" w:orient="landscape"/>
          <w:pgMar w:top="1440" w:right="1077" w:bottom="1440" w:left="1077" w:header="709" w:footer="709" w:gutter="0"/>
          <w:cols w:space="708"/>
          <w:titlePg/>
          <w:docGrid w:linePitch="360"/>
        </w:sectPr>
      </w:pPr>
      <w:r w:rsidRPr="00A66CD7">
        <w:rPr>
          <w:rFonts w:asciiTheme="minorHAnsi" w:hAnsiTheme="minorHAnsi" w:cstheme="minorHAnsi"/>
          <w:sz w:val="22"/>
          <w:szCs w:val="22"/>
        </w:rPr>
        <w:t xml:space="preserve">88,8% des </w:t>
      </w:r>
      <w:r w:rsidRPr="004B0B62">
        <w:rPr>
          <w:rStyle w:val="lev"/>
        </w:rPr>
        <w:t>gestionnaires</w:t>
      </w:r>
      <w:r w:rsidRPr="00A66CD7">
        <w:rPr>
          <w:rFonts w:asciiTheme="minorHAnsi" w:hAnsiTheme="minorHAnsi" w:cstheme="minorHAnsi"/>
          <w:sz w:val="22"/>
          <w:szCs w:val="22"/>
        </w:rPr>
        <w:t xml:space="preserve"> estiment qu'au sein de leur organisation, le processus administratif visant à pourvoir un poste est </w:t>
      </w:r>
      <w:r w:rsidRPr="004B0B62">
        <w:rPr>
          <w:rStyle w:val="lev"/>
        </w:rPr>
        <w:t>lourd</w:t>
      </w:r>
      <w:r w:rsidRPr="00A66CD7">
        <w:rPr>
          <w:rFonts w:asciiTheme="minorHAnsi" w:hAnsiTheme="minorHAnsi" w:cstheme="minorHAnsi"/>
          <w:sz w:val="22"/>
          <w:szCs w:val="22"/>
        </w:rPr>
        <w:t>, comparativement à 88,6% dans les organisations de même taille et à 87,9% dans la fonction publique fédérale.</w:t>
      </w:r>
    </w:p>
    <w:p w14:paraId="4D899384" w14:textId="77777777" w:rsidR="005A4FEE" w:rsidRPr="005A4FEE" w:rsidRDefault="005A4FEE" w:rsidP="005A4FEE">
      <w:pPr>
        <w:pStyle w:val="Titre1"/>
        <w:spacing w:before="120" w:after="120"/>
        <w:rPr>
          <w:sz w:val="40"/>
          <w:szCs w:val="40"/>
          <w:lang w:val="en-CA"/>
        </w:rPr>
      </w:pPr>
      <w:r w:rsidRPr="005A4FEE">
        <w:rPr>
          <w:sz w:val="40"/>
          <w:szCs w:val="40"/>
          <w:lang w:val="en-CA"/>
        </w:rPr>
        <w:lastRenderedPageBreak/>
        <w:t>Embauche d'étudiants</w:t>
      </w:r>
    </w:p>
    <w:p w14:paraId="2436AA85" w14:textId="77777777" w:rsidR="004B0B62" w:rsidRDefault="008A5FB8" w:rsidP="00D4487B">
      <w:pPr>
        <w:pStyle w:val="Titre3"/>
        <w:jc w:val="center"/>
      </w:pPr>
      <w:r w:rsidRPr="004B0B62">
        <w:rPr>
          <w:rStyle w:val="lev"/>
          <w:noProof/>
          <w:lang w:val="en-CA" w:eastAsia="en-CA"/>
        </w:rPr>
        <w:drawing>
          <wp:inline distT="0" distB="0" distL="0" distR="0" wp14:anchorId="6F731830" wp14:editId="2183E30A">
            <wp:extent cx="5648400" cy="3049200"/>
            <wp:effectExtent l="0" t="0" r="9525" b="18415"/>
            <wp:docPr id="17" name="Chart 17" descr="Figure 10 - Embauche d'étudia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DB8FB4B" w14:textId="33244A4B" w:rsidR="008A5FB8" w:rsidRDefault="004B0B62" w:rsidP="001E5361">
      <w:pPr>
        <w:pStyle w:val="Lgende"/>
        <w:spacing w:after="120"/>
        <w:jc w:val="center"/>
      </w:pPr>
      <w:r>
        <w:t xml:space="preserve">Figure </w:t>
      </w:r>
      <w:r>
        <w:fldChar w:fldCharType="begin"/>
      </w:r>
      <w:r>
        <w:instrText xml:space="preserve"> SEQ Figure \* ARABIC </w:instrText>
      </w:r>
      <w:r>
        <w:fldChar w:fldCharType="separate"/>
      </w:r>
      <w:r w:rsidR="00F812CC">
        <w:rPr>
          <w:noProof/>
        </w:rPr>
        <w:t>10</w:t>
      </w:r>
      <w:r>
        <w:fldChar w:fldCharType="end"/>
      </w:r>
      <w:r>
        <w:t xml:space="preserve"> - Embauche d'étudiants</w:t>
      </w:r>
    </w:p>
    <w:p w14:paraId="35C2863C" w14:textId="34F92685" w:rsidR="004B0B62" w:rsidRDefault="004B0B62" w:rsidP="001E5361">
      <w:pPr>
        <w:pStyle w:val="Lgende"/>
        <w:keepNext/>
        <w:spacing w:before="120"/>
        <w:jc w:val="center"/>
      </w:pPr>
      <w:r>
        <w:t xml:space="preserve">Table </w:t>
      </w:r>
      <w:r w:rsidR="001F6BD4">
        <w:t>13</w:t>
      </w:r>
      <w:r>
        <w:t xml:space="preserve"> - </w:t>
      </w:r>
      <w:r w:rsidRPr="00883EDB">
        <w:t>Activités d’embauche d’étudiants selon le programme de recrutement et l’exercice financier</w:t>
      </w:r>
    </w:p>
    <w:tbl>
      <w:tblPr>
        <w:tblStyle w:val="Grilledutableau"/>
        <w:tblW w:w="0" w:type="auto"/>
        <w:jc w:val="center"/>
        <w:tblLook w:val="0020" w:firstRow="1" w:lastRow="0" w:firstColumn="0" w:lastColumn="0" w:noHBand="0" w:noVBand="0"/>
        <w:tblDescription w:val="Embauches dans le cadre de programmes d'étudiants"/>
      </w:tblPr>
      <w:tblGrid>
        <w:gridCol w:w="1586"/>
        <w:gridCol w:w="3753"/>
        <w:gridCol w:w="4700"/>
        <w:gridCol w:w="2916"/>
        <w:gridCol w:w="721"/>
      </w:tblGrid>
      <w:tr w:rsidR="004B0B62" w:rsidRPr="008A5FB8" w14:paraId="67A144C9" w14:textId="77777777" w:rsidTr="003E35C9">
        <w:trPr>
          <w:cantSplit/>
          <w:tblHeader/>
          <w:jc w:val="center"/>
        </w:trPr>
        <w:tc>
          <w:tcPr>
            <w:tcW w:w="0" w:type="auto"/>
          </w:tcPr>
          <w:p w14:paraId="419A442E" w14:textId="77777777" w:rsidR="004B0B62" w:rsidRPr="008A5FB8" w:rsidRDefault="004B0B62" w:rsidP="004B0B62">
            <w:pPr>
              <w:pStyle w:val="TableTitle"/>
            </w:pPr>
            <w:r w:rsidRPr="008A5FB8">
              <w:t>Exercice financier</w:t>
            </w:r>
          </w:p>
        </w:tc>
        <w:tc>
          <w:tcPr>
            <w:tcW w:w="0" w:type="auto"/>
          </w:tcPr>
          <w:p w14:paraId="563661B1" w14:textId="77777777" w:rsidR="004B0B62" w:rsidRPr="008A5FB8" w:rsidRDefault="004B0B62" w:rsidP="004B0B62">
            <w:pPr>
              <w:pStyle w:val="TableTitle"/>
            </w:pPr>
            <w:r w:rsidRPr="008A5FB8">
              <w:t xml:space="preserve">Programme fédéral d’expérience de travail étudiant </w:t>
            </w:r>
          </w:p>
        </w:tc>
        <w:tc>
          <w:tcPr>
            <w:tcW w:w="0" w:type="auto"/>
          </w:tcPr>
          <w:p w14:paraId="7F4E99FD" w14:textId="77777777" w:rsidR="004B0B62" w:rsidRPr="008A5FB8" w:rsidRDefault="004B0B62" w:rsidP="004B0B62">
            <w:pPr>
              <w:pStyle w:val="TableTitle"/>
            </w:pPr>
            <w:r w:rsidRPr="008A5FB8">
              <w:t xml:space="preserve">Programme postsecondaire d'enseignement coopératif/de stages </w:t>
            </w:r>
          </w:p>
        </w:tc>
        <w:tc>
          <w:tcPr>
            <w:tcW w:w="2916" w:type="dxa"/>
          </w:tcPr>
          <w:p w14:paraId="05768530" w14:textId="77777777" w:rsidR="004B0B62" w:rsidRPr="008A5FB8" w:rsidRDefault="004B0B62" w:rsidP="004B0B62">
            <w:pPr>
              <w:pStyle w:val="TableTitle"/>
            </w:pPr>
            <w:r w:rsidRPr="008A5FB8">
              <w:t>Programme des adjoints de recherche</w:t>
            </w:r>
          </w:p>
        </w:tc>
        <w:tc>
          <w:tcPr>
            <w:tcW w:w="721" w:type="dxa"/>
          </w:tcPr>
          <w:p w14:paraId="2EE022BC" w14:textId="77777777" w:rsidR="004B0B62" w:rsidRPr="008A5FB8" w:rsidRDefault="004B0B62" w:rsidP="004B0B62">
            <w:pPr>
              <w:pStyle w:val="TableTitle"/>
            </w:pPr>
            <w:r w:rsidRPr="008A5FB8">
              <w:t>Total</w:t>
            </w:r>
          </w:p>
        </w:tc>
      </w:tr>
      <w:tr w:rsidR="004B0B62" w:rsidRPr="008A5FB8" w14:paraId="424AE349" w14:textId="77777777" w:rsidTr="003E35C9">
        <w:trPr>
          <w:cantSplit/>
          <w:tblHeader/>
          <w:jc w:val="center"/>
        </w:trPr>
        <w:tc>
          <w:tcPr>
            <w:tcW w:w="0" w:type="auto"/>
          </w:tcPr>
          <w:p w14:paraId="30D8BF98"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2014 à 2015</w:t>
            </w:r>
          </w:p>
        </w:tc>
        <w:tc>
          <w:tcPr>
            <w:tcW w:w="0" w:type="auto"/>
          </w:tcPr>
          <w:p w14:paraId="063AE544"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182</w:t>
            </w:r>
          </w:p>
        </w:tc>
        <w:tc>
          <w:tcPr>
            <w:tcW w:w="0" w:type="auto"/>
          </w:tcPr>
          <w:p w14:paraId="1C7A1A47"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228</w:t>
            </w:r>
          </w:p>
        </w:tc>
        <w:tc>
          <w:tcPr>
            <w:tcW w:w="2916" w:type="dxa"/>
          </w:tcPr>
          <w:p w14:paraId="134ECE97"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w:t>
            </w:r>
          </w:p>
        </w:tc>
        <w:tc>
          <w:tcPr>
            <w:tcW w:w="721" w:type="dxa"/>
          </w:tcPr>
          <w:p w14:paraId="5158448E"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418</w:t>
            </w:r>
          </w:p>
        </w:tc>
      </w:tr>
      <w:tr w:rsidR="004B0B62" w:rsidRPr="008A5FB8" w14:paraId="222A4C78" w14:textId="77777777" w:rsidTr="003E35C9">
        <w:trPr>
          <w:cantSplit/>
          <w:tblHeader/>
          <w:jc w:val="center"/>
        </w:trPr>
        <w:tc>
          <w:tcPr>
            <w:tcW w:w="0" w:type="auto"/>
          </w:tcPr>
          <w:p w14:paraId="4DFE5058"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2015 à 2016</w:t>
            </w:r>
          </w:p>
        </w:tc>
        <w:tc>
          <w:tcPr>
            <w:tcW w:w="0" w:type="auto"/>
          </w:tcPr>
          <w:p w14:paraId="305D1E3B"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291</w:t>
            </w:r>
          </w:p>
        </w:tc>
        <w:tc>
          <w:tcPr>
            <w:tcW w:w="0" w:type="auto"/>
          </w:tcPr>
          <w:p w14:paraId="7F5D843D"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266</w:t>
            </w:r>
          </w:p>
        </w:tc>
        <w:tc>
          <w:tcPr>
            <w:tcW w:w="2916" w:type="dxa"/>
          </w:tcPr>
          <w:p w14:paraId="41A70AF3"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w:t>
            </w:r>
          </w:p>
        </w:tc>
        <w:tc>
          <w:tcPr>
            <w:tcW w:w="721" w:type="dxa"/>
          </w:tcPr>
          <w:p w14:paraId="405BF09B"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562</w:t>
            </w:r>
          </w:p>
        </w:tc>
      </w:tr>
      <w:tr w:rsidR="004B0B62" w:rsidRPr="008A5FB8" w14:paraId="670FE119" w14:textId="77777777" w:rsidTr="003E35C9">
        <w:trPr>
          <w:cantSplit/>
          <w:tblHeader/>
          <w:jc w:val="center"/>
        </w:trPr>
        <w:tc>
          <w:tcPr>
            <w:tcW w:w="0" w:type="auto"/>
          </w:tcPr>
          <w:p w14:paraId="4BC4491F"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2016 à 2017</w:t>
            </w:r>
          </w:p>
        </w:tc>
        <w:tc>
          <w:tcPr>
            <w:tcW w:w="0" w:type="auto"/>
          </w:tcPr>
          <w:p w14:paraId="44360693"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283</w:t>
            </w:r>
          </w:p>
        </w:tc>
        <w:tc>
          <w:tcPr>
            <w:tcW w:w="0" w:type="auto"/>
          </w:tcPr>
          <w:p w14:paraId="67A706D9"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279</w:t>
            </w:r>
          </w:p>
        </w:tc>
        <w:tc>
          <w:tcPr>
            <w:tcW w:w="2916" w:type="dxa"/>
          </w:tcPr>
          <w:p w14:paraId="0DBE9DAF"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w:t>
            </w:r>
          </w:p>
        </w:tc>
        <w:tc>
          <w:tcPr>
            <w:tcW w:w="721" w:type="dxa"/>
          </w:tcPr>
          <w:p w14:paraId="64B3F6CC"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570</w:t>
            </w:r>
          </w:p>
        </w:tc>
      </w:tr>
      <w:tr w:rsidR="004B0B62" w:rsidRPr="008A5FB8" w14:paraId="1E049619" w14:textId="77777777" w:rsidTr="003E35C9">
        <w:trPr>
          <w:cantSplit/>
          <w:tblHeader/>
          <w:jc w:val="center"/>
        </w:trPr>
        <w:tc>
          <w:tcPr>
            <w:tcW w:w="0" w:type="auto"/>
          </w:tcPr>
          <w:p w14:paraId="673B78FC"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2017 à 2018</w:t>
            </w:r>
          </w:p>
        </w:tc>
        <w:tc>
          <w:tcPr>
            <w:tcW w:w="0" w:type="auto"/>
          </w:tcPr>
          <w:p w14:paraId="6F9D53E1"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243</w:t>
            </w:r>
          </w:p>
        </w:tc>
        <w:tc>
          <w:tcPr>
            <w:tcW w:w="0" w:type="auto"/>
          </w:tcPr>
          <w:p w14:paraId="01A7D401"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343</w:t>
            </w:r>
          </w:p>
        </w:tc>
        <w:tc>
          <w:tcPr>
            <w:tcW w:w="2916" w:type="dxa"/>
          </w:tcPr>
          <w:p w14:paraId="1E7CE82E"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w:t>
            </w:r>
          </w:p>
        </w:tc>
        <w:tc>
          <w:tcPr>
            <w:tcW w:w="721" w:type="dxa"/>
          </w:tcPr>
          <w:p w14:paraId="38E400EF"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593</w:t>
            </w:r>
          </w:p>
        </w:tc>
      </w:tr>
      <w:tr w:rsidR="004B0B62" w:rsidRPr="008A5FB8" w14:paraId="31B6E9E7" w14:textId="77777777" w:rsidTr="003E35C9">
        <w:trPr>
          <w:cantSplit/>
          <w:tblHeader/>
          <w:jc w:val="center"/>
        </w:trPr>
        <w:tc>
          <w:tcPr>
            <w:tcW w:w="0" w:type="auto"/>
          </w:tcPr>
          <w:p w14:paraId="30FF00F8" w14:textId="77777777" w:rsidR="004B0B62" w:rsidRPr="008A5FB8" w:rsidRDefault="004B0B62"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2018 à 2019</w:t>
            </w:r>
          </w:p>
        </w:tc>
        <w:tc>
          <w:tcPr>
            <w:tcW w:w="0" w:type="auto"/>
          </w:tcPr>
          <w:p w14:paraId="41D4F34D"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302</w:t>
            </w:r>
          </w:p>
        </w:tc>
        <w:tc>
          <w:tcPr>
            <w:tcW w:w="0" w:type="auto"/>
          </w:tcPr>
          <w:p w14:paraId="21869635"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363</w:t>
            </w:r>
          </w:p>
        </w:tc>
        <w:tc>
          <w:tcPr>
            <w:tcW w:w="2916" w:type="dxa"/>
          </w:tcPr>
          <w:p w14:paraId="433D42CD"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13</w:t>
            </w:r>
          </w:p>
        </w:tc>
        <w:tc>
          <w:tcPr>
            <w:tcW w:w="721" w:type="dxa"/>
          </w:tcPr>
          <w:p w14:paraId="20387A42" w14:textId="77777777" w:rsidR="004B0B62" w:rsidRPr="008A5FB8" w:rsidRDefault="004B0B62"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678</w:t>
            </w:r>
          </w:p>
        </w:tc>
      </w:tr>
    </w:tbl>
    <w:p w14:paraId="48DFD81E" w14:textId="77777777" w:rsidR="005A4FEE" w:rsidRPr="005A4FEE" w:rsidRDefault="005A4FEE" w:rsidP="005A4FEE">
      <w:pPr>
        <w:pStyle w:val="Titre1"/>
        <w:spacing w:before="120" w:after="120"/>
        <w:rPr>
          <w:sz w:val="40"/>
          <w:szCs w:val="40"/>
        </w:rPr>
      </w:pPr>
      <w:r w:rsidRPr="005A4FEE">
        <w:rPr>
          <w:sz w:val="40"/>
          <w:szCs w:val="40"/>
        </w:rPr>
        <w:lastRenderedPageBreak/>
        <w:t>Programme de recrutement postsecondaire et embauche d'anciens étudiants</w:t>
      </w:r>
    </w:p>
    <w:p w14:paraId="4F635231" w14:textId="77777777" w:rsidR="00214859" w:rsidRPr="003C3C24" w:rsidRDefault="004B0B62" w:rsidP="003C3C24">
      <w:pPr>
        <w:pStyle w:val="Titre3"/>
        <w:jc w:val="center"/>
      </w:pPr>
      <w:r w:rsidRPr="004B0B62">
        <w:rPr>
          <w:rStyle w:val="lev"/>
          <w:noProof/>
          <w:lang w:val="en-CA" w:eastAsia="en-CA"/>
        </w:rPr>
        <w:drawing>
          <wp:inline distT="0" distB="0" distL="0" distR="0" wp14:anchorId="59860EFF" wp14:editId="6B1BEB59">
            <wp:extent cx="5648400" cy="3049200"/>
            <wp:effectExtent l="0" t="0" r="9525" b="18415"/>
            <wp:docPr id="2" name="Chart 2" descr="Figure 11 - Programme de recrutement postsecondaire et embauche d'anciens étudia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7AD4D4" w14:textId="757C9E94" w:rsidR="004B0B62" w:rsidRDefault="00214859" w:rsidP="001E5361">
      <w:pPr>
        <w:pStyle w:val="Lgende"/>
        <w:spacing w:after="120"/>
        <w:jc w:val="center"/>
      </w:pPr>
      <w:r>
        <w:t xml:space="preserve">Figure </w:t>
      </w:r>
      <w:r>
        <w:fldChar w:fldCharType="begin"/>
      </w:r>
      <w:r>
        <w:instrText xml:space="preserve"> SEQ Figure \* ARABIC </w:instrText>
      </w:r>
      <w:r>
        <w:fldChar w:fldCharType="separate"/>
      </w:r>
      <w:r w:rsidR="00F812CC">
        <w:rPr>
          <w:noProof/>
        </w:rPr>
        <w:t>11</w:t>
      </w:r>
      <w:r>
        <w:fldChar w:fldCharType="end"/>
      </w:r>
      <w:r>
        <w:t xml:space="preserve"> - </w:t>
      </w:r>
      <w:r w:rsidRPr="00DC2134">
        <w:t>Activités d'embauche externe pour une période indéterminée et d'une durée déterminée : Programme de recrutement postsecondaire et embauche d'anciens étudiants</w:t>
      </w:r>
    </w:p>
    <w:p w14:paraId="12808883" w14:textId="27E3BB70" w:rsidR="00214859" w:rsidRDefault="00214859" w:rsidP="001E5361">
      <w:pPr>
        <w:pStyle w:val="Lgende"/>
        <w:keepNext/>
        <w:spacing w:before="120"/>
        <w:jc w:val="center"/>
      </w:pPr>
      <w:r>
        <w:t xml:space="preserve">Table </w:t>
      </w:r>
      <w:r w:rsidR="001F6BD4">
        <w:t>14</w:t>
      </w:r>
      <w:r>
        <w:t xml:space="preserve"> - </w:t>
      </w:r>
      <w:r w:rsidRPr="00811975">
        <w:t>Activités d'embauche externe pour une période indéterminée et d'une durée déterminée : Programme de recrutement postsecondaire et embauche d'anciens étudiants selon l’exercice financier</w:t>
      </w:r>
    </w:p>
    <w:tbl>
      <w:tblPr>
        <w:tblStyle w:val="Grilledutableau"/>
        <w:tblW w:w="5000" w:type="pct"/>
        <w:jc w:val="center"/>
        <w:tblLook w:val="0020" w:firstRow="1" w:lastRow="0" w:firstColumn="0" w:lastColumn="0" w:noHBand="0" w:noVBand="0"/>
        <w:tblDescription w:val="Activités d'embauches externes - durée déterminée et indéterminée"/>
      </w:tblPr>
      <w:tblGrid>
        <w:gridCol w:w="2341"/>
        <w:gridCol w:w="7325"/>
        <w:gridCol w:w="4010"/>
      </w:tblGrid>
      <w:tr w:rsidR="00214859" w:rsidRPr="008A5FB8" w14:paraId="48C11811" w14:textId="77777777" w:rsidTr="003E35C9">
        <w:trPr>
          <w:cantSplit/>
          <w:tblHeader/>
          <w:jc w:val="center"/>
        </w:trPr>
        <w:tc>
          <w:tcPr>
            <w:tcW w:w="856" w:type="pct"/>
          </w:tcPr>
          <w:p w14:paraId="3A0CF5E9" w14:textId="77777777" w:rsidR="00214859" w:rsidRPr="008A5FB8" w:rsidRDefault="00214859" w:rsidP="00214859">
            <w:pPr>
              <w:pStyle w:val="TableTitle"/>
            </w:pPr>
            <w:r w:rsidRPr="008A5FB8">
              <w:t>Exercice financier</w:t>
            </w:r>
          </w:p>
        </w:tc>
        <w:tc>
          <w:tcPr>
            <w:tcW w:w="2677" w:type="pct"/>
          </w:tcPr>
          <w:p w14:paraId="1E42D140" w14:textId="77777777" w:rsidR="00214859" w:rsidRPr="008A5FB8" w:rsidRDefault="00214859" w:rsidP="00214859">
            <w:pPr>
              <w:pStyle w:val="TableTitle"/>
            </w:pPr>
            <w:r w:rsidRPr="008A5FB8">
              <w:t>Embauches du programme de recrutement postsecondaire</w:t>
            </w:r>
          </w:p>
        </w:tc>
        <w:tc>
          <w:tcPr>
            <w:tcW w:w="1466" w:type="pct"/>
          </w:tcPr>
          <w:p w14:paraId="0462436B" w14:textId="77777777" w:rsidR="00214859" w:rsidRPr="008A5FB8" w:rsidRDefault="00214859" w:rsidP="00214859">
            <w:pPr>
              <w:pStyle w:val="TableTitle"/>
            </w:pPr>
            <w:r w:rsidRPr="008A5FB8">
              <w:t>Embauches d’anciens étudiants</w:t>
            </w:r>
          </w:p>
        </w:tc>
      </w:tr>
      <w:tr w:rsidR="00214859" w:rsidRPr="008A5FB8" w14:paraId="45F2E99B" w14:textId="77777777" w:rsidTr="003E35C9">
        <w:trPr>
          <w:cantSplit/>
          <w:tblHeader/>
          <w:jc w:val="center"/>
        </w:trPr>
        <w:tc>
          <w:tcPr>
            <w:tcW w:w="856" w:type="pct"/>
          </w:tcPr>
          <w:p w14:paraId="32C526DC" w14:textId="77777777" w:rsidR="00214859" w:rsidRPr="008A5FB8" w:rsidRDefault="0021485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2014 à 2015</w:t>
            </w:r>
          </w:p>
        </w:tc>
        <w:tc>
          <w:tcPr>
            <w:tcW w:w="2677" w:type="pct"/>
          </w:tcPr>
          <w:p w14:paraId="507081DD"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10</w:t>
            </w:r>
          </w:p>
        </w:tc>
        <w:tc>
          <w:tcPr>
            <w:tcW w:w="1466" w:type="pct"/>
          </w:tcPr>
          <w:p w14:paraId="0732E11E"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64</w:t>
            </w:r>
          </w:p>
        </w:tc>
      </w:tr>
      <w:tr w:rsidR="00214859" w:rsidRPr="008A5FB8" w14:paraId="179894AA" w14:textId="77777777" w:rsidTr="003E35C9">
        <w:trPr>
          <w:cantSplit/>
          <w:tblHeader/>
          <w:jc w:val="center"/>
        </w:trPr>
        <w:tc>
          <w:tcPr>
            <w:tcW w:w="856" w:type="pct"/>
          </w:tcPr>
          <w:p w14:paraId="12F8B182" w14:textId="77777777" w:rsidR="00214859" w:rsidRPr="008A5FB8" w:rsidRDefault="0021485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2015 à 2016</w:t>
            </w:r>
          </w:p>
        </w:tc>
        <w:tc>
          <w:tcPr>
            <w:tcW w:w="2677" w:type="pct"/>
          </w:tcPr>
          <w:p w14:paraId="69BE85AA"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w:t>
            </w:r>
          </w:p>
        </w:tc>
        <w:tc>
          <w:tcPr>
            <w:tcW w:w="1466" w:type="pct"/>
          </w:tcPr>
          <w:p w14:paraId="4D1AC8DD"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106</w:t>
            </w:r>
          </w:p>
        </w:tc>
      </w:tr>
      <w:tr w:rsidR="00214859" w:rsidRPr="008A5FB8" w14:paraId="6A3B315D" w14:textId="77777777" w:rsidTr="003E35C9">
        <w:trPr>
          <w:cantSplit/>
          <w:tblHeader/>
          <w:jc w:val="center"/>
        </w:trPr>
        <w:tc>
          <w:tcPr>
            <w:tcW w:w="856" w:type="pct"/>
          </w:tcPr>
          <w:p w14:paraId="538BF115" w14:textId="77777777" w:rsidR="00214859" w:rsidRPr="008A5FB8" w:rsidRDefault="0021485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2016 à 2017</w:t>
            </w:r>
          </w:p>
        </w:tc>
        <w:tc>
          <w:tcPr>
            <w:tcW w:w="2677" w:type="pct"/>
          </w:tcPr>
          <w:p w14:paraId="3AAC9CBA"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39</w:t>
            </w:r>
          </w:p>
        </w:tc>
        <w:tc>
          <w:tcPr>
            <w:tcW w:w="1466" w:type="pct"/>
          </w:tcPr>
          <w:p w14:paraId="0B056D35"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181</w:t>
            </w:r>
          </w:p>
        </w:tc>
      </w:tr>
      <w:tr w:rsidR="00214859" w:rsidRPr="008A5FB8" w14:paraId="07BD217C" w14:textId="77777777" w:rsidTr="003E35C9">
        <w:trPr>
          <w:cantSplit/>
          <w:tblHeader/>
          <w:jc w:val="center"/>
        </w:trPr>
        <w:tc>
          <w:tcPr>
            <w:tcW w:w="856" w:type="pct"/>
          </w:tcPr>
          <w:p w14:paraId="7BE1B5F1" w14:textId="77777777" w:rsidR="00214859" w:rsidRPr="008A5FB8" w:rsidRDefault="0021485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2017 à 2018</w:t>
            </w:r>
          </w:p>
        </w:tc>
        <w:tc>
          <w:tcPr>
            <w:tcW w:w="2677" w:type="pct"/>
          </w:tcPr>
          <w:p w14:paraId="1D0DD3BE"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55</w:t>
            </w:r>
          </w:p>
        </w:tc>
        <w:tc>
          <w:tcPr>
            <w:tcW w:w="1466" w:type="pct"/>
          </w:tcPr>
          <w:p w14:paraId="3680D6CC"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224</w:t>
            </w:r>
          </w:p>
        </w:tc>
      </w:tr>
      <w:tr w:rsidR="00214859" w:rsidRPr="008A5FB8" w14:paraId="20854277" w14:textId="77777777" w:rsidTr="003E35C9">
        <w:trPr>
          <w:cantSplit/>
          <w:tblHeader/>
          <w:jc w:val="center"/>
        </w:trPr>
        <w:tc>
          <w:tcPr>
            <w:tcW w:w="856" w:type="pct"/>
          </w:tcPr>
          <w:p w14:paraId="7DBA4F8F" w14:textId="77777777" w:rsidR="00214859" w:rsidRPr="008A5FB8" w:rsidRDefault="0021485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2018 à 2019</w:t>
            </w:r>
          </w:p>
        </w:tc>
        <w:tc>
          <w:tcPr>
            <w:tcW w:w="2677" w:type="pct"/>
          </w:tcPr>
          <w:p w14:paraId="6F8B2605"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92</w:t>
            </w:r>
          </w:p>
        </w:tc>
        <w:tc>
          <w:tcPr>
            <w:tcW w:w="1466" w:type="pct"/>
          </w:tcPr>
          <w:p w14:paraId="483E7E6F" w14:textId="77777777" w:rsidR="00214859" w:rsidRPr="008A5FB8" w:rsidRDefault="0021485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294</w:t>
            </w:r>
          </w:p>
        </w:tc>
      </w:tr>
    </w:tbl>
    <w:p w14:paraId="5BEE2A46" w14:textId="77777777" w:rsidR="00214859" w:rsidRDefault="00214859" w:rsidP="003C3C24">
      <w:pPr>
        <w:sectPr w:rsidR="00214859" w:rsidSect="005A4FEE">
          <w:pgSz w:w="15840" w:h="12240" w:orient="landscape"/>
          <w:pgMar w:top="1440" w:right="1077" w:bottom="1440" w:left="1077" w:header="709" w:footer="709" w:gutter="0"/>
          <w:cols w:space="708"/>
          <w:titlePg/>
          <w:docGrid w:linePitch="360"/>
        </w:sectPr>
      </w:pPr>
    </w:p>
    <w:p w14:paraId="6D6F7572" w14:textId="7EED28AA" w:rsidR="005A4FEE" w:rsidRPr="001B5DEC" w:rsidRDefault="001B5DEC" w:rsidP="001B5DEC">
      <w:pPr>
        <w:pStyle w:val="Titre1"/>
        <w:spacing w:before="120" w:after="120"/>
        <w:rPr>
          <w:sz w:val="40"/>
          <w:szCs w:val="40"/>
        </w:rPr>
      </w:pPr>
      <w:r w:rsidRPr="001B5DEC">
        <w:rPr>
          <w:sz w:val="40"/>
          <w:szCs w:val="40"/>
        </w:rPr>
        <w:lastRenderedPageBreak/>
        <w:t>Durée de dotation interne</w:t>
      </w:r>
    </w:p>
    <w:p w14:paraId="091A5C0D" w14:textId="3E06A422" w:rsidR="00214859" w:rsidRDefault="008A5FB8" w:rsidP="003C3C24">
      <w:pPr>
        <w:pStyle w:val="Titre3"/>
      </w:pPr>
      <w:r w:rsidRPr="00214859">
        <w:rPr>
          <w:rStyle w:val="lev"/>
          <w:noProof/>
          <w:lang w:val="en-CA" w:eastAsia="en-CA"/>
        </w:rPr>
        <w:drawing>
          <wp:inline distT="0" distB="0" distL="0" distR="0" wp14:anchorId="0C5C04DB" wp14:editId="29077CC9">
            <wp:extent cx="5648400" cy="3049200"/>
            <wp:effectExtent l="0" t="0" r="9525" b="18415"/>
            <wp:docPr id="22" name="Chart 22" descr="Figure 12 - Durée de dotation interne Médiane pour la fonction publique = 176 jours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214859" w:rsidRPr="00214859">
        <w:rPr>
          <w:rStyle w:val="lev"/>
          <w:noProof/>
          <w:lang w:val="en-CA" w:eastAsia="en-CA"/>
        </w:rPr>
        <w:drawing>
          <wp:inline distT="0" distB="0" distL="0" distR="0" wp14:anchorId="1FD38EBC" wp14:editId="75C42583">
            <wp:extent cx="5648400" cy="3049200"/>
            <wp:effectExtent l="0" t="0" r="9525" b="18415"/>
            <wp:docPr id="23" name="Chart 23" descr="Figure 13 - Durée de dotation interne - Médiane pour Santé Canada = 201 jours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5672D66" w14:textId="3FCB1968" w:rsidR="008A5FB8" w:rsidRDefault="00214859" w:rsidP="001E5361">
      <w:pPr>
        <w:pStyle w:val="Lgende"/>
        <w:tabs>
          <w:tab w:val="left" w:pos="8931"/>
        </w:tabs>
        <w:rPr>
          <w:rFonts w:cstheme="minorHAnsi"/>
          <w:sz w:val="22"/>
          <w:szCs w:val="22"/>
        </w:rPr>
      </w:pPr>
      <w:r>
        <w:t xml:space="preserve">Figure </w:t>
      </w:r>
      <w:r>
        <w:fldChar w:fldCharType="begin"/>
      </w:r>
      <w:r>
        <w:instrText xml:space="preserve"> SEQ Figure \* ARABIC </w:instrText>
      </w:r>
      <w:r>
        <w:fldChar w:fldCharType="separate"/>
      </w:r>
      <w:r w:rsidR="00F812CC">
        <w:rPr>
          <w:noProof/>
        </w:rPr>
        <w:t>12</w:t>
      </w:r>
      <w:r>
        <w:fldChar w:fldCharType="end"/>
      </w:r>
      <w:r>
        <w:t xml:space="preserve"> - Durée de dotation interne Médiane pour la fonction publique = 176 jours 2018-2019</w:t>
      </w:r>
      <w:r>
        <w:tab/>
        <w:t xml:space="preserve">Figure </w:t>
      </w:r>
      <w:r>
        <w:fldChar w:fldCharType="begin"/>
      </w:r>
      <w:r>
        <w:instrText xml:space="preserve"> SEQ Figure \* ARABIC </w:instrText>
      </w:r>
      <w:r>
        <w:fldChar w:fldCharType="separate"/>
      </w:r>
      <w:r w:rsidR="00F812CC">
        <w:rPr>
          <w:noProof/>
        </w:rPr>
        <w:t>13</w:t>
      </w:r>
      <w:r>
        <w:fldChar w:fldCharType="end"/>
      </w:r>
      <w:r>
        <w:t xml:space="preserve"> - Durée de dotation interne - Médiane pour Santé Canada = 201 jours 2018-2019</w:t>
      </w:r>
    </w:p>
    <w:p w14:paraId="66D0B9E9" w14:textId="069D8C8A" w:rsidR="00214859" w:rsidRDefault="003E35C9" w:rsidP="00214859">
      <w:pPr>
        <w:spacing w:before="240"/>
        <w:rPr>
          <w:rFonts w:asciiTheme="minorHAnsi" w:hAnsiTheme="minorHAnsi" w:cstheme="minorHAnsi"/>
          <w:sz w:val="22"/>
          <w:szCs w:val="22"/>
        </w:rPr>
      </w:pPr>
      <w:hyperlink w:anchor="Dotation_interne" w:history="1">
        <w:r w:rsidR="00ED5E9E" w:rsidRPr="00ED5E9E">
          <w:rPr>
            <w:rStyle w:val="Lienhypertexte"/>
            <w:rFonts w:asciiTheme="minorHAnsi" w:hAnsiTheme="minorHAnsi" w:cstheme="minorHAnsi"/>
            <w:sz w:val="22"/>
            <w:szCs w:val="22"/>
          </w:rPr>
          <w:t>Tableau des données sur la durée de dotation interne disponible ici</w:t>
        </w:r>
      </w:hyperlink>
    </w:p>
    <w:p w14:paraId="6DFFAA93" w14:textId="77777777" w:rsidR="00ED5E9E" w:rsidRDefault="00ED5E9E" w:rsidP="00ED5E9E">
      <w:pPr>
        <w:spacing w:before="120" w:after="120"/>
        <w:rPr>
          <w:rFonts w:asciiTheme="minorHAnsi" w:hAnsiTheme="minorHAnsi" w:cstheme="minorHAnsi"/>
          <w:sz w:val="22"/>
          <w:szCs w:val="22"/>
        </w:rPr>
        <w:sectPr w:rsidR="00ED5E9E" w:rsidSect="004E0365">
          <w:pgSz w:w="20160" w:h="12240" w:orient="landscape" w:code="5"/>
          <w:pgMar w:top="1440" w:right="1080" w:bottom="1440" w:left="1080" w:header="708" w:footer="708" w:gutter="0"/>
          <w:cols w:space="708"/>
          <w:titlePg/>
          <w:docGrid w:linePitch="360"/>
        </w:sectPr>
      </w:pPr>
    </w:p>
    <w:p w14:paraId="5CAFAA8C" w14:textId="519576E9" w:rsidR="00ED5E9E" w:rsidRDefault="00ED5E9E" w:rsidP="00ED5E9E">
      <w:pPr>
        <w:spacing w:before="240" w:after="120"/>
        <w:rPr>
          <w:rFonts w:asciiTheme="minorHAnsi" w:hAnsiTheme="minorHAnsi" w:cstheme="minorHAnsi"/>
          <w:sz w:val="22"/>
          <w:szCs w:val="22"/>
        </w:rPr>
      </w:pPr>
      <w:r w:rsidRPr="008A5FB8">
        <w:rPr>
          <w:rFonts w:asciiTheme="minorHAnsi" w:hAnsiTheme="minorHAnsi" w:cstheme="minorHAnsi"/>
          <w:sz w:val="22"/>
          <w:szCs w:val="22"/>
        </w:rPr>
        <w:t xml:space="preserve">La durée médiane de dotation interne pour la fonction publique (organisations assujetties à la </w:t>
      </w:r>
      <w:r w:rsidRPr="00214859">
        <w:rPr>
          <w:rStyle w:val="Accentuation"/>
        </w:rPr>
        <w:t>Loi sur l’emploi dans la fonction publique</w:t>
      </w:r>
      <w:r w:rsidRPr="008A5FB8">
        <w:rPr>
          <w:rFonts w:asciiTheme="minorHAnsi" w:hAnsiTheme="minorHAnsi" w:cstheme="minorHAnsi"/>
          <w:sz w:val="22"/>
          <w:szCs w:val="22"/>
        </w:rPr>
        <w:t>) pour l’exercice financier 2018 à 2019 est 176 jours</w:t>
      </w:r>
    </w:p>
    <w:p w14:paraId="6E66606E" w14:textId="11D3AD8E" w:rsidR="00214859" w:rsidRPr="00214859" w:rsidRDefault="00214859" w:rsidP="00214859">
      <w:pPr>
        <w:spacing w:before="120" w:after="120"/>
        <w:rPr>
          <w:rStyle w:val="lev"/>
        </w:rPr>
      </w:pPr>
      <w:r w:rsidRPr="00214859">
        <w:rPr>
          <w:rStyle w:val="lev"/>
        </w:rPr>
        <w:t>Durée de dotation interne pour l’exercice financier de 2018 à 2019</w:t>
      </w:r>
    </w:p>
    <w:p w14:paraId="1AB95894" w14:textId="7D084C27" w:rsidR="00ED5E9E" w:rsidRDefault="00214859" w:rsidP="00214859">
      <w:pPr>
        <w:spacing w:before="120" w:after="120"/>
        <w:rPr>
          <w:rFonts w:asciiTheme="minorHAnsi" w:hAnsiTheme="minorHAnsi" w:cstheme="minorHAnsi"/>
          <w:sz w:val="22"/>
          <w:szCs w:val="22"/>
        </w:rPr>
        <w:sectPr w:rsidR="00ED5E9E" w:rsidSect="00ED5E9E">
          <w:type w:val="continuous"/>
          <w:pgSz w:w="20160" w:h="12240" w:orient="landscape" w:code="5"/>
          <w:pgMar w:top="1440" w:right="1080" w:bottom="1440" w:left="1080" w:header="708" w:footer="708" w:gutter="0"/>
          <w:cols w:num="2" w:space="708"/>
          <w:titlePg/>
          <w:docGrid w:linePitch="360"/>
        </w:sectPr>
      </w:pPr>
      <w:r w:rsidRPr="008A5FB8">
        <w:rPr>
          <w:rFonts w:asciiTheme="minorHAnsi" w:hAnsiTheme="minorHAnsi" w:cstheme="minorHAnsi"/>
          <w:sz w:val="22"/>
          <w:szCs w:val="22"/>
        </w:rPr>
        <w:t>La durée médiane de dotation interne de  Santé Canada pour l’exercice financier 2018 à 2019 est 201 jours</w:t>
      </w:r>
      <w:r w:rsidR="00ED5E9E">
        <w:rPr>
          <w:rFonts w:asciiTheme="minorHAnsi" w:hAnsiTheme="minorHAnsi" w:cstheme="minorHAnsi"/>
          <w:sz w:val="22"/>
          <w:szCs w:val="22"/>
        </w:rPr>
        <w:t>.</w:t>
      </w:r>
    </w:p>
    <w:p w14:paraId="1086AD7F" w14:textId="45DE524E" w:rsidR="00214859" w:rsidRDefault="00214859" w:rsidP="00ED5E9E">
      <w:pPr>
        <w:spacing w:before="120" w:after="120"/>
        <w:rPr>
          <w:rFonts w:asciiTheme="minorHAnsi" w:hAnsiTheme="minorHAnsi" w:cstheme="minorHAnsi"/>
          <w:sz w:val="22"/>
          <w:szCs w:val="22"/>
        </w:rPr>
        <w:sectPr w:rsidR="00214859" w:rsidSect="00ED5E9E">
          <w:type w:val="continuous"/>
          <w:pgSz w:w="20160" w:h="12240" w:orient="landscape" w:code="5"/>
          <w:pgMar w:top="1440" w:right="1080" w:bottom="1440" w:left="1080" w:header="708" w:footer="708" w:gutter="0"/>
          <w:cols w:space="708"/>
          <w:titlePg/>
          <w:docGrid w:linePitch="360"/>
        </w:sectPr>
      </w:pPr>
    </w:p>
    <w:p w14:paraId="6B3E0BB3" w14:textId="56EB0DCF" w:rsidR="001B5DEC" w:rsidRPr="001B5DEC" w:rsidRDefault="001B5DEC" w:rsidP="001B5DEC">
      <w:pPr>
        <w:pStyle w:val="Titre1"/>
        <w:spacing w:before="120" w:after="120"/>
        <w:rPr>
          <w:sz w:val="40"/>
          <w:szCs w:val="40"/>
        </w:rPr>
      </w:pPr>
      <w:r w:rsidRPr="001B5DEC">
        <w:rPr>
          <w:sz w:val="40"/>
          <w:szCs w:val="40"/>
        </w:rPr>
        <w:lastRenderedPageBreak/>
        <w:t>Durée de dotation interne</w:t>
      </w:r>
    </w:p>
    <w:p w14:paraId="4F04322E" w14:textId="747A239A" w:rsidR="00C85ECD" w:rsidRDefault="00C85ECD" w:rsidP="00C85ECD">
      <w:pPr>
        <w:pStyle w:val="Lgende"/>
        <w:keepNext/>
      </w:pPr>
      <w:r>
        <w:t xml:space="preserve">Table </w:t>
      </w:r>
      <w:r w:rsidR="001F6BD4">
        <w:t>15</w:t>
      </w:r>
      <w:r>
        <w:t xml:space="preserve"> - Durée de dotation interne</w:t>
      </w:r>
    </w:p>
    <w:tbl>
      <w:tblPr>
        <w:tblStyle w:val="Grilledutableau"/>
        <w:tblW w:w="5000" w:type="pct"/>
        <w:jc w:val="center"/>
        <w:tblLook w:val="0020" w:firstRow="1" w:lastRow="0" w:firstColumn="0" w:lastColumn="0" w:noHBand="0" w:noVBand="0"/>
        <w:tblDescription w:val="Durée des processus de dotation interne"/>
      </w:tblPr>
      <w:tblGrid>
        <w:gridCol w:w="5698"/>
        <w:gridCol w:w="8308"/>
        <w:gridCol w:w="8304"/>
      </w:tblGrid>
      <w:tr w:rsidR="00C85ECD" w:rsidRPr="00C85ECD" w14:paraId="4C7B13D0" w14:textId="77777777" w:rsidTr="003E35C9">
        <w:trPr>
          <w:cantSplit/>
          <w:trHeight w:val="290"/>
          <w:tblHeader/>
          <w:jc w:val="center"/>
        </w:trPr>
        <w:tc>
          <w:tcPr>
            <w:tcW w:w="1277" w:type="pct"/>
          </w:tcPr>
          <w:p w14:paraId="79FB8BE5" w14:textId="77777777" w:rsidR="00C85ECD" w:rsidRPr="00C85ECD" w:rsidRDefault="00C85ECD" w:rsidP="00C85ECD">
            <w:pPr>
              <w:pStyle w:val="TableTitle"/>
            </w:pPr>
            <w:bookmarkStart w:id="2" w:name="Dotation_interne"/>
            <w:r w:rsidRPr="00C85ECD">
              <w:t>Nombre de jours civils</w:t>
            </w:r>
            <w:bookmarkEnd w:id="2"/>
          </w:p>
        </w:tc>
        <w:tc>
          <w:tcPr>
            <w:tcW w:w="1862" w:type="pct"/>
          </w:tcPr>
          <w:p w14:paraId="4232B891" w14:textId="77777777" w:rsidR="00C85ECD" w:rsidRPr="00C85ECD" w:rsidRDefault="00C85ECD" w:rsidP="00C85ECD">
            <w:pPr>
              <w:pStyle w:val="TableTitle"/>
            </w:pPr>
            <w:r w:rsidRPr="00C85ECD">
              <w:t>Le nombre de premières embauches internes dans un processus interne (durée de dotation interne) dans les organisations assujetties à la Loi sur l’emploi dans la fonction publique, dans le nombre de jours civils spécifié</w:t>
            </w:r>
          </w:p>
        </w:tc>
        <w:tc>
          <w:tcPr>
            <w:tcW w:w="1862" w:type="pct"/>
          </w:tcPr>
          <w:p w14:paraId="2EDF6D91" w14:textId="77777777" w:rsidR="00C85ECD" w:rsidRPr="00C85ECD" w:rsidRDefault="00C85ECD" w:rsidP="00C85ECD">
            <w:pPr>
              <w:pStyle w:val="TableTitle"/>
            </w:pPr>
            <w:r w:rsidRPr="00C85ECD">
              <w:t>Le nombre de premières embauches internes dans un processus interne (durée de dotation interne) dans l’organisation spécifiée, dans le nombre de jours civils spécifié</w:t>
            </w:r>
          </w:p>
        </w:tc>
      </w:tr>
      <w:tr w:rsidR="00C85ECD" w:rsidRPr="008A5FB8" w14:paraId="113403E7" w14:textId="77777777" w:rsidTr="003E35C9">
        <w:trPr>
          <w:cantSplit/>
          <w:trHeight w:val="290"/>
          <w:tblHeader/>
          <w:jc w:val="center"/>
        </w:trPr>
        <w:tc>
          <w:tcPr>
            <w:tcW w:w="1277" w:type="pct"/>
          </w:tcPr>
          <w:p w14:paraId="28B3FEFC"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0 jours civils</w:t>
            </w:r>
          </w:p>
        </w:tc>
        <w:tc>
          <w:tcPr>
            <w:tcW w:w="1862" w:type="pct"/>
          </w:tcPr>
          <w:p w14:paraId="1C49DD05"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c>
          <w:tcPr>
            <w:tcW w:w="1862" w:type="pct"/>
          </w:tcPr>
          <w:p w14:paraId="58B0C9A1"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2055DFC9" w14:textId="77777777" w:rsidTr="003E35C9">
        <w:trPr>
          <w:cantSplit/>
          <w:trHeight w:val="290"/>
          <w:tblHeader/>
          <w:jc w:val="center"/>
        </w:trPr>
        <w:tc>
          <w:tcPr>
            <w:tcW w:w="1277" w:type="pct"/>
          </w:tcPr>
          <w:p w14:paraId="1386634D"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0 à 29 jours civils</w:t>
            </w:r>
          </w:p>
        </w:tc>
        <w:tc>
          <w:tcPr>
            <w:tcW w:w="1862" w:type="pct"/>
          </w:tcPr>
          <w:p w14:paraId="259C4529"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15</w:t>
            </w:r>
          </w:p>
        </w:tc>
        <w:tc>
          <w:tcPr>
            <w:tcW w:w="1862" w:type="pct"/>
          </w:tcPr>
          <w:p w14:paraId="7715F49B"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5D83F9EB" w14:textId="77777777" w:rsidTr="003E35C9">
        <w:trPr>
          <w:cantSplit/>
          <w:trHeight w:val="290"/>
          <w:tblHeader/>
          <w:jc w:val="center"/>
        </w:trPr>
        <w:tc>
          <w:tcPr>
            <w:tcW w:w="1277" w:type="pct"/>
          </w:tcPr>
          <w:p w14:paraId="1976F711"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30 à 59 jours civils</w:t>
            </w:r>
          </w:p>
        </w:tc>
        <w:tc>
          <w:tcPr>
            <w:tcW w:w="1862" w:type="pct"/>
          </w:tcPr>
          <w:p w14:paraId="03F100E0"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130</w:t>
            </w:r>
          </w:p>
        </w:tc>
        <w:tc>
          <w:tcPr>
            <w:tcW w:w="1862" w:type="pct"/>
          </w:tcPr>
          <w:p w14:paraId="4FBB3F9B"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C85ECD" w:rsidRPr="008A5FB8" w14:paraId="0E807F61" w14:textId="77777777" w:rsidTr="003E35C9">
        <w:trPr>
          <w:cantSplit/>
          <w:trHeight w:val="290"/>
          <w:tblHeader/>
          <w:jc w:val="center"/>
        </w:trPr>
        <w:tc>
          <w:tcPr>
            <w:tcW w:w="1277" w:type="pct"/>
          </w:tcPr>
          <w:p w14:paraId="2B1799B1"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60 à 89 jours civils</w:t>
            </w:r>
          </w:p>
        </w:tc>
        <w:tc>
          <w:tcPr>
            <w:tcW w:w="1862" w:type="pct"/>
          </w:tcPr>
          <w:p w14:paraId="436FF5AA"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277</w:t>
            </w:r>
          </w:p>
        </w:tc>
        <w:tc>
          <w:tcPr>
            <w:tcW w:w="1862" w:type="pct"/>
          </w:tcPr>
          <w:p w14:paraId="393056D8"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12</w:t>
            </w:r>
          </w:p>
        </w:tc>
      </w:tr>
      <w:tr w:rsidR="00C85ECD" w:rsidRPr="008A5FB8" w14:paraId="223A39A9" w14:textId="77777777" w:rsidTr="003E35C9">
        <w:trPr>
          <w:cantSplit/>
          <w:trHeight w:val="290"/>
          <w:tblHeader/>
          <w:jc w:val="center"/>
        </w:trPr>
        <w:tc>
          <w:tcPr>
            <w:tcW w:w="1277" w:type="pct"/>
          </w:tcPr>
          <w:p w14:paraId="72A356B8"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90 à 119 jours civils</w:t>
            </w:r>
          </w:p>
        </w:tc>
        <w:tc>
          <w:tcPr>
            <w:tcW w:w="1862" w:type="pct"/>
          </w:tcPr>
          <w:p w14:paraId="7F42D0AB"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391</w:t>
            </w:r>
          </w:p>
        </w:tc>
        <w:tc>
          <w:tcPr>
            <w:tcW w:w="1862" w:type="pct"/>
          </w:tcPr>
          <w:p w14:paraId="414C2BD4"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21</w:t>
            </w:r>
          </w:p>
        </w:tc>
      </w:tr>
      <w:tr w:rsidR="00C85ECD" w:rsidRPr="008A5FB8" w14:paraId="3E74CED4" w14:textId="77777777" w:rsidTr="003E35C9">
        <w:trPr>
          <w:cantSplit/>
          <w:trHeight w:val="290"/>
          <w:tblHeader/>
          <w:jc w:val="center"/>
        </w:trPr>
        <w:tc>
          <w:tcPr>
            <w:tcW w:w="1277" w:type="pct"/>
          </w:tcPr>
          <w:p w14:paraId="2EC2D379"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120 à 149 jours civils</w:t>
            </w:r>
          </w:p>
        </w:tc>
        <w:tc>
          <w:tcPr>
            <w:tcW w:w="1862" w:type="pct"/>
          </w:tcPr>
          <w:p w14:paraId="0337A2F3"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367</w:t>
            </w:r>
          </w:p>
        </w:tc>
        <w:tc>
          <w:tcPr>
            <w:tcW w:w="1862" w:type="pct"/>
          </w:tcPr>
          <w:p w14:paraId="0872FD87"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17</w:t>
            </w:r>
          </w:p>
        </w:tc>
      </w:tr>
      <w:tr w:rsidR="00C85ECD" w:rsidRPr="008A5FB8" w14:paraId="456D6AFE" w14:textId="77777777" w:rsidTr="003E35C9">
        <w:trPr>
          <w:cantSplit/>
          <w:trHeight w:val="290"/>
          <w:tblHeader/>
          <w:jc w:val="center"/>
        </w:trPr>
        <w:tc>
          <w:tcPr>
            <w:tcW w:w="1277" w:type="pct"/>
          </w:tcPr>
          <w:p w14:paraId="222F80FC"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150 à 179 jours civils</w:t>
            </w:r>
          </w:p>
        </w:tc>
        <w:tc>
          <w:tcPr>
            <w:tcW w:w="1862" w:type="pct"/>
          </w:tcPr>
          <w:p w14:paraId="13741645"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322</w:t>
            </w:r>
          </w:p>
        </w:tc>
        <w:tc>
          <w:tcPr>
            <w:tcW w:w="1862" w:type="pct"/>
          </w:tcPr>
          <w:p w14:paraId="67871CEC"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15</w:t>
            </w:r>
          </w:p>
        </w:tc>
      </w:tr>
      <w:tr w:rsidR="00C85ECD" w:rsidRPr="008A5FB8" w14:paraId="65C6083D" w14:textId="77777777" w:rsidTr="003E35C9">
        <w:trPr>
          <w:cantSplit/>
          <w:trHeight w:val="290"/>
          <w:tblHeader/>
          <w:jc w:val="center"/>
        </w:trPr>
        <w:tc>
          <w:tcPr>
            <w:tcW w:w="1277" w:type="pct"/>
          </w:tcPr>
          <w:p w14:paraId="11AE6346"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180 à 209 jours civils</w:t>
            </w:r>
          </w:p>
        </w:tc>
        <w:tc>
          <w:tcPr>
            <w:tcW w:w="1862" w:type="pct"/>
          </w:tcPr>
          <w:p w14:paraId="6A233577"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278</w:t>
            </w:r>
          </w:p>
        </w:tc>
        <w:tc>
          <w:tcPr>
            <w:tcW w:w="1862" w:type="pct"/>
          </w:tcPr>
          <w:p w14:paraId="63C7098B"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13</w:t>
            </w:r>
          </w:p>
        </w:tc>
      </w:tr>
      <w:tr w:rsidR="00C85ECD" w:rsidRPr="008A5FB8" w14:paraId="3AE249DC" w14:textId="77777777" w:rsidTr="003E35C9">
        <w:trPr>
          <w:cantSplit/>
          <w:trHeight w:val="290"/>
          <w:tblHeader/>
          <w:jc w:val="center"/>
        </w:trPr>
        <w:tc>
          <w:tcPr>
            <w:tcW w:w="1277" w:type="pct"/>
          </w:tcPr>
          <w:p w14:paraId="7936F7D4"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210 à 239 jours civils</w:t>
            </w:r>
          </w:p>
        </w:tc>
        <w:tc>
          <w:tcPr>
            <w:tcW w:w="1862" w:type="pct"/>
          </w:tcPr>
          <w:p w14:paraId="4CCE80E4"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241</w:t>
            </w:r>
          </w:p>
        </w:tc>
        <w:tc>
          <w:tcPr>
            <w:tcW w:w="1862" w:type="pct"/>
          </w:tcPr>
          <w:p w14:paraId="293394DA"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19</w:t>
            </w:r>
          </w:p>
        </w:tc>
      </w:tr>
      <w:tr w:rsidR="00C85ECD" w:rsidRPr="008A5FB8" w14:paraId="04FDCF1C" w14:textId="77777777" w:rsidTr="003E35C9">
        <w:trPr>
          <w:cantSplit/>
          <w:trHeight w:val="290"/>
          <w:tblHeader/>
          <w:jc w:val="center"/>
        </w:trPr>
        <w:tc>
          <w:tcPr>
            <w:tcW w:w="1277" w:type="pct"/>
          </w:tcPr>
          <w:p w14:paraId="16384E86"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240 à 269 jours civils</w:t>
            </w:r>
          </w:p>
        </w:tc>
        <w:tc>
          <w:tcPr>
            <w:tcW w:w="1862" w:type="pct"/>
          </w:tcPr>
          <w:p w14:paraId="092916BE"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165</w:t>
            </w:r>
          </w:p>
        </w:tc>
        <w:tc>
          <w:tcPr>
            <w:tcW w:w="1862" w:type="pct"/>
          </w:tcPr>
          <w:p w14:paraId="085A2303"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w:t>
            </w:r>
          </w:p>
        </w:tc>
      </w:tr>
      <w:tr w:rsidR="00C85ECD" w:rsidRPr="008A5FB8" w14:paraId="6B192ADC" w14:textId="77777777" w:rsidTr="003E35C9">
        <w:trPr>
          <w:cantSplit/>
          <w:trHeight w:val="290"/>
          <w:tblHeader/>
          <w:jc w:val="center"/>
        </w:trPr>
        <w:tc>
          <w:tcPr>
            <w:tcW w:w="1277" w:type="pct"/>
          </w:tcPr>
          <w:p w14:paraId="17FF0E4F"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270 à 299 jours civils</w:t>
            </w:r>
          </w:p>
        </w:tc>
        <w:tc>
          <w:tcPr>
            <w:tcW w:w="1862" w:type="pct"/>
          </w:tcPr>
          <w:p w14:paraId="2ED4BBD3"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134</w:t>
            </w:r>
          </w:p>
        </w:tc>
        <w:tc>
          <w:tcPr>
            <w:tcW w:w="1862" w:type="pct"/>
          </w:tcPr>
          <w:p w14:paraId="3236604D"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w:t>
            </w:r>
          </w:p>
        </w:tc>
      </w:tr>
      <w:tr w:rsidR="00C85ECD" w:rsidRPr="008A5FB8" w14:paraId="6B4B9F86" w14:textId="77777777" w:rsidTr="003E35C9">
        <w:trPr>
          <w:cantSplit/>
          <w:trHeight w:val="290"/>
          <w:tblHeader/>
          <w:jc w:val="center"/>
        </w:trPr>
        <w:tc>
          <w:tcPr>
            <w:tcW w:w="1277" w:type="pct"/>
          </w:tcPr>
          <w:p w14:paraId="3F8E1F4D"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300 à 329 jours civils</w:t>
            </w:r>
          </w:p>
        </w:tc>
        <w:tc>
          <w:tcPr>
            <w:tcW w:w="1862" w:type="pct"/>
          </w:tcPr>
          <w:p w14:paraId="4A539DAC"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107</w:t>
            </w:r>
          </w:p>
        </w:tc>
        <w:tc>
          <w:tcPr>
            <w:tcW w:w="1862" w:type="pct"/>
          </w:tcPr>
          <w:p w14:paraId="04D49B04"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w:t>
            </w:r>
          </w:p>
        </w:tc>
      </w:tr>
      <w:tr w:rsidR="00C85ECD" w:rsidRPr="008A5FB8" w14:paraId="04409380" w14:textId="77777777" w:rsidTr="003E35C9">
        <w:trPr>
          <w:cantSplit/>
          <w:trHeight w:val="290"/>
          <w:tblHeader/>
          <w:jc w:val="center"/>
        </w:trPr>
        <w:tc>
          <w:tcPr>
            <w:tcW w:w="1277" w:type="pct"/>
          </w:tcPr>
          <w:p w14:paraId="4F33C4ED"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330 à 359 jours civils</w:t>
            </w:r>
          </w:p>
        </w:tc>
        <w:tc>
          <w:tcPr>
            <w:tcW w:w="1862" w:type="pct"/>
          </w:tcPr>
          <w:p w14:paraId="10168BA5"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77</w:t>
            </w:r>
          </w:p>
        </w:tc>
        <w:tc>
          <w:tcPr>
            <w:tcW w:w="1862" w:type="pct"/>
          </w:tcPr>
          <w:p w14:paraId="4BF800B9"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w:t>
            </w:r>
          </w:p>
        </w:tc>
      </w:tr>
      <w:tr w:rsidR="00C85ECD" w:rsidRPr="008A5FB8" w14:paraId="437B3BB5" w14:textId="77777777" w:rsidTr="003E35C9">
        <w:trPr>
          <w:cantSplit/>
          <w:trHeight w:val="290"/>
          <w:tblHeader/>
          <w:jc w:val="center"/>
        </w:trPr>
        <w:tc>
          <w:tcPr>
            <w:tcW w:w="1277" w:type="pct"/>
          </w:tcPr>
          <w:p w14:paraId="3C674441"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360 à 389 jours civils</w:t>
            </w:r>
          </w:p>
        </w:tc>
        <w:tc>
          <w:tcPr>
            <w:tcW w:w="1862" w:type="pct"/>
          </w:tcPr>
          <w:p w14:paraId="60B258A3"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61</w:t>
            </w:r>
          </w:p>
        </w:tc>
        <w:tc>
          <w:tcPr>
            <w:tcW w:w="1862" w:type="pct"/>
          </w:tcPr>
          <w:p w14:paraId="34FF5C0D"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r>
      <w:tr w:rsidR="00C85ECD" w:rsidRPr="008A5FB8" w14:paraId="3C12C1C2" w14:textId="77777777" w:rsidTr="003E35C9">
        <w:trPr>
          <w:cantSplit/>
          <w:trHeight w:val="290"/>
          <w:tblHeader/>
          <w:jc w:val="center"/>
        </w:trPr>
        <w:tc>
          <w:tcPr>
            <w:tcW w:w="1277" w:type="pct"/>
          </w:tcPr>
          <w:p w14:paraId="69AE788D"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390 à 419 jours civils</w:t>
            </w:r>
          </w:p>
        </w:tc>
        <w:tc>
          <w:tcPr>
            <w:tcW w:w="1862" w:type="pct"/>
          </w:tcPr>
          <w:p w14:paraId="6553A558"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53</w:t>
            </w:r>
          </w:p>
        </w:tc>
        <w:tc>
          <w:tcPr>
            <w:tcW w:w="1862" w:type="pct"/>
          </w:tcPr>
          <w:p w14:paraId="54FAFEEE"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r>
      <w:tr w:rsidR="00C85ECD" w:rsidRPr="008A5FB8" w14:paraId="6F908A7E" w14:textId="77777777" w:rsidTr="003E35C9">
        <w:trPr>
          <w:cantSplit/>
          <w:trHeight w:val="290"/>
          <w:tblHeader/>
          <w:jc w:val="center"/>
        </w:trPr>
        <w:tc>
          <w:tcPr>
            <w:tcW w:w="1277" w:type="pct"/>
          </w:tcPr>
          <w:p w14:paraId="36A00C63"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420 à 449 jours civils</w:t>
            </w:r>
          </w:p>
        </w:tc>
        <w:tc>
          <w:tcPr>
            <w:tcW w:w="1862" w:type="pct"/>
          </w:tcPr>
          <w:p w14:paraId="350814CC"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51</w:t>
            </w:r>
          </w:p>
        </w:tc>
        <w:tc>
          <w:tcPr>
            <w:tcW w:w="1862" w:type="pct"/>
          </w:tcPr>
          <w:p w14:paraId="12129FFE"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5EF3A20C" w14:textId="77777777" w:rsidTr="003E35C9">
        <w:trPr>
          <w:cantSplit/>
          <w:trHeight w:val="290"/>
          <w:tblHeader/>
          <w:jc w:val="center"/>
        </w:trPr>
        <w:tc>
          <w:tcPr>
            <w:tcW w:w="1277" w:type="pct"/>
          </w:tcPr>
          <w:p w14:paraId="171DFEF5"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450 à 479 jours civils</w:t>
            </w:r>
          </w:p>
        </w:tc>
        <w:tc>
          <w:tcPr>
            <w:tcW w:w="1862" w:type="pct"/>
          </w:tcPr>
          <w:p w14:paraId="74CAC827"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42</w:t>
            </w:r>
          </w:p>
        </w:tc>
        <w:tc>
          <w:tcPr>
            <w:tcW w:w="1862" w:type="pct"/>
          </w:tcPr>
          <w:p w14:paraId="226D877E"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r w:rsidR="00C85ECD" w:rsidRPr="008A5FB8" w14:paraId="71C813CD" w14:textId="77777777" w:rsidTr="003E35C9">
        <w:trPr>
          <w:cantSplit/>
          <w:trHeight w:val="290"/>
          <w:tblHeader/>
          <w:jc w:val="center"/>
        </w:trPr>
        <w:tc>
          <w:tcPr>
            <w:tcW w:w="1277" w:type="pct"/>
          </w:tcPr>
          <w:p w14:paraId="439C85D1"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480 à 509 jours civils</w:t>
            </w:r>
          </w:p>
        </w:tc>
        <w:tc>
          <w:tcPr>
            <w:tcW w:w="1862" w:type="pct"/>
          </w:tcPr>
          <w:p w14:paraId="66C68C7F"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40</w:t>
            </w:r>
          </w:p>
        </w:tc>
        <w:tc>
          <w:tcPr>
            <w:tcW w:w="1862" w:type="pct"/>
          </w:tcPr>
          <w:p w14:paraId="6A08E1B7"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C85ECD" w:rsidRPr="008A5FB8" w14:paraId="4FFAEB9A" w14:textId="77777777" w:rsidTr="003E35C9">
        <w:trPr>
          <w:cantSplit/>
          <w:trHeight w:val="290"/>
          <w:tblHeader/>
          <w:jc w:val="center"/>
        </w:trPr>
        <w:tc>
          <w:tcPr>
            <w:tcW w:w="1277" w:type="pct"/>
          </w:tcPr>
          <w:p w14:paraId="23AC9603"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 xml:space="preserve">510 à 539 jours civils </w:t>
            </w:r>
          </w:p>
        </w:tc>
        <w:tc>
          <w:tcPr>
            <w:tcW w:w="1862" w:type="pct"/>
          </w:tcPr>
          <w:p w14:paraId="2F03B25B"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32</w:t>
            </w:r>
          </w:p>
        </w:tc>
        <w:tc>
          <w:tcPr>
            <w:tcW w:w="1862" w:type="pct"/>
          </w:tcPr>
          <w:p w14:paraId="3BDE088D"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r>
      <w:tr w:rsidR="00C85ECD" w:rsidRPr="008A5FB8" w14:paraId="3B2306D4" w14:textId="77777777" w:rsidTr="003E35C9">
        <w:trPr>
          <w:cantSplit/>
          <w:trHeight w:val="290"/>
          <w:tblHeader/>
          <w:jc w:val="center"/>
        </w:trPr>
        <w:tc>
          <w:tcPr>
            <w:tcW w:w="1277" w:type="pct"/>
          </w:tcPr>
          <w:p w14:paraId="682D5FBD"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540 à 569 jours civils</w:t>
            </w:r>
          </w:p>
        </w:tc>
        <w:tc>
          <w:tcPr>
            <w:tcW w:w="1862" w:type="pct"/>
          </w:tcPr>
          <w:p w14:paraId="2FBECBF9"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24</w:t>
            </w:r>
          </w:p>
        </w:tc>
        <w:tc>
          <w:tcPr>
            <w:tcW w:w="1862" w:type="pct"/>
          </w:tcPr>
          <w:p w14:paraId="45A3E207"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r w:rsidR="00C85ECD" w:rsidRPr="008A5FB8" w14:paraId="24576671" w14:textId="77777777" w:rsidTr="003E35C9">
        <w:trPr>
          <w:cantSplit/>
          <w:trHeight w:val="290"/>
          <w:tblHeader/>
          <w:jc w:val="center"/>
        </w:trPr>
        <w:tc>
          <w:tcPr>
            <w:tcW w:w="1277" w:type="pct"/>
          </w:tcPr>
          <w:p w14:paraId="49C9B627"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570 à 599 jours civils</w:t>
            </w:r>
          </w:p>
        </w:tc>
        <w:tc>
          <w:tcPr>
            <w:tcW w:w="1862" w:type="pct"/>
          </w:tcPr>
          <w:p w14:paraId="5A5DC66A"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21</w:t>
            </w:r>
          </w:p>
        </w:tc>
        <w:tc>
          <w:tcPr>
            <w:tcW w:w="1862" w:type="pct"/>
          </w:tcPr>
          <w:p w14:paraId="5A91BEF3"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r w:rsidR="00C85ECD" w:rsidRPr="008A5FB8" w14:paraId="56A7E4AB" w14:textId="77777777" w:rsidTr="003E35C9">
        <w:trPr>
          <w:cantSplit/>
          <w:trHeight w:val="290"/>
          <w:tblHeader/>
          <w:jc w:val="center"/>
        </w:trPr>
        <w:tc>
          <w:tcPr>
            <w:tcW w:w="1277" w:type="pct"/>
          </w:tcPr>
          <w:p w14:paraId="4801C1AF"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600 à 629 jours civils</w:t>
            </w:r>
          </w:p>
        </w:tc>
        <w:tc>
          <w:tcPr>
            <w:tcW w:w="1862" w:type="pct"/>
          </w:tcPr>
          <w:p w14:paraId="06703F1A"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11</w:t>
            </w:r>
          </w:p>
        </w:tc>
        <w:tc>
          <w:tcPr>
            <w:tcW w:w="1862" w:type="pct"/>
          </w:tcPr>
          <w:p w14:paraId="1B318AD6"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C85ECD" w:rsidRPr="008A5FB8" w14:paraId="4F1317E0" w14:textId="77777777" w:rsidTr="003E35C9">
        <w:trPr>
          <w:cantSplit/>
          <w:trHeight w:val="290"/>
          <w:tblHeader/>
          <w:jc w:val="center"/>
        </w:trPr>
        <w:tc>
          <w:tcPr>
            <w:tcW w:w="1277" w:type="pct"/>
          </w:tcPr>
          <w:p w14:paraId="01FC656B"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630 à 659 jours civils</w:t>
            </w:r>
          </w:p>
        </w:tc>
        <w:tc>
          <w:tcPr>
            <w:tcW w:w="1862" w:type="pct"/>
          </w:tcPr>
          <w:p w14:paraId="4ACB5F8F"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19</w:t>
            </w:r>
          </w:p>
        </w:tc>
        <w:tc>
          <w:tcPr>
            <w:tcW w:w="1862" w:type="pct"/>
          </w:tcPr>
          <w:p w14:paraId="771DD8CD"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r w:rsidR="00C85ECD" w:rsidRPr="008A5FB8" w14:paraId="79BE2FCC" w14:textId="77777777" w:rsidTr="003E35C9">
        <w:trPr>
          <w:cantSplit/>
          <w:trHeight w:val="290"/>
          <w:tblHeader/>
          <w:jc w:val="center"/>
        </w:trPr>
        <w:tc>
          <w:tcPr>
            <w:tcW w:w="1277" w:type="pct"/>
          </w:tcPr>
          <w:p w14:paraId="2A87B954"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660 à 689 jours civils</w:t>
            </w:r>
          </w:p>
        </w:tc>
        <w:tc>
          <w:tcPr>
            <w:tcW w:w="1862" w:type="pct"/>
          </w:tcPr>
          <w:p w14:paraId="33DD93E6"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c>
          <w:tcPr>
            <w:tcW w:w="1862" w:type="pct"/>
          </w:tcPr>
          <w:p w14:paraId="567FA3DD"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277CA430" w14:textId="77777777" w:rsidTr="003E35C9">
        <w:trPr>
          <w:cantSplit/>
          <w:trHeight w:val="290"/>
          <w:tblHeader/>
          <w:jc w:val="center"/>
        </w:trPr>
        <w:tc>
          <w:tcPr>
            <w:tcW w:w="1277" w:type="pct"/>
          </w:tcPr>
          <w:p w14:paraId="103C8F23"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690 à 719 jours civils</w:t>
            </w:r>
          </w:p>
        </w:tc>
        <w:tc>
          <w:tcPr>
            <w:tcW w:w="1862" w:type="pct"/>
          </w:tcPr>
          <w:p w14:paraId="7E4BE616"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13</w:t>
            </w:r>
          </w:p>
        </w:tc>
        <w:tc>
          <w:tcPr>
            <w:tcW w:w="1862" w:type="pct"/>
          </w:tcPr>
          <w:p w14:paraId="40C6D8EC"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C85ECD" w:rsidRPr="008A5FB8" w14:paraId="1C26CA7F" w14:textId="77777777" w:rsidTr="003E35C9">
        <w:trPr>
          <w:cantSplit/>
          <w:trHeight w:val="302"/>
          <w:tblHeader/>
          <w:jc w:val="center"/>
        </w:trPr>
        <w:tc>
          <w:tcPr>
            <w:tcW w:w="1277" w:type="pct"/>
          </w:tcPr>
          <w:p w14:paraId="73B37FBB"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720 à 749 jours civils</w:t>
            </w:r>
          </w:p>
        </w:tc>
        <w:tc>
          <w:tcPr>
            <w:tcW w:w="1862" w:type="pct"/>
          </w:tcPr>
          <w:p w14:paraId="48380EE9"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w:t>
            </w:r>
          </w:p>
        </w:tc>
        <w:tc>
          <w:tcPr>
            <w:tcW w:w="1862" w:type="pct"/>
          </w:tcPr>
          <w:p w14:paraId="29A0E2BA"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1FF20983" w14:textId="77777777" w:rsidTr="003E35C9">
        <w:trPr>
          <w:cantSplit/>
          <w:trHeight w:val="290"/>
          <w:tblHeader/>
          <w:jc w:val="center"/>
        </w:trPr>
        <w:tc>
          <w:tcPr>
            <w:tcW w:w="1277" w:type="pct"/>
          </w:tcPr>
          <w:p w14:paraId="17332435"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750 à 779 jours civils</w:t>
            </w:r>
          </w:p>
        </w:tc>
        <w:tc>
          <w:tcPr>
            <w:tcW w:w="1862" w:type="pct"/>
          </w:tcPr>
          <w:p w14:paraId="2000D654"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w:t>
            </w:r>
          </w:p>
        </w:tc>
        <w:tc>
          <w:tcPr>
            <w:tcW w:w="1862" w:type="pct"/>
          </w:tcPr>
          <w:p w14:paraId="5B2B1C85"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48287F85" w14:textId="77777777" w:rsidTr="003E35C9">
        <w:trPr>
          <w:cantSplit/>
          <w:trHeight w:val="290"/>
          <w:tblHeader/>
          <w:jc w:val="center"/>
        </w:trPr>
        <w:tc>
          <w:tcPr>
            <w:tcW w:w="1277" w:type="pct"/>
          </w:tcPr>
          <w:p w14:paraId="2363AF59"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780 à 809 jours civils</w:t>
            </w:r>
          </w:p>
        </w:tc>
        <w:tc>
          <w:tcPr>
            <w:tcW w:w="1862" w:type="pct"/>
          </w:tcPr>
          <w:p w14:paraId="424AAB1F"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w:t>
            </w:r>
          </w:p>
        </w:tc>
        <w:tc>
          <w:tcPr>
            <w:tcW w:w="1862" w:type="pct"/>
          </w:tcPr>
          <w:p w14:paraId="45938A2B"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C85ECD" w:rsidRPr="008A5FB8" w14:paraId="048AE5F7" w14:textId="77777777" w:rsidTr="003E35C9">
        <w:trPr>
          <w:cantSplit/>
          <w:trHeight w:val="290"/>
          <w:tblHeader/>
          <w:jc w:val="center"/>
        </w:trPr>
        <w:tc>
          <w:tcPr>
            <w:tcW w:w="1277" w:type="pct"/>
          </w:tcPr>
          <w:p w14:paraId="54B0DA5F"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810 à 839 jours civils</w:t>
            </w:r>
          </w:p>
        </w:tc>
        <w:tc>
          <w:tcPr>
            <w:tcW w:w="1862" w:type="pct"/>
          </w:tcPr>
          <w:p w14:paraId="1FB64C2D"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w:t>
            </w:r>
          </w:p>
        </w:tc>
        <w:tc>
          <w:tcPr>
            <w:tcW w:w="1862" w:type="pct"/>
          </w:tcPr>
          <w:p w14:paraId="2F950FC6"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334D80EA" w14:textId="77777777" w:rsidTr="003E35C9">
        <w:trPr>
          <w:cantSplit/>
          <w:trHeight w:val="290"/>
          <w:tblHeader/>
          <w:jc w:val="center"/>
        </w:trPr>
        <w:tc>
          <w:tcPr>
            <w:tcW w:w="1277" w:type="pct"/>
          </w:tcPr>
          <w:p w14:paraId="5FA4EFB3"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840 à 869 jours civils</w:t>
            </w:r>
          </w:p>
        </w:tc>
        <w:tc>
          <w:tcPr>
            <w:tcW w:w="1862" w:type="pct"/>
          </w:tcPr>
          <w:p w14:paraId="558C7DFE"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10</w:t>
            </w:r>
          </w:p>
        </w:tc>
        <w:tc>
          <w:tcPr>
            <w:tcW w:w="1862" w:type="pct"/>
          </w:tcPr>
          <w:p w14:paraId="09CA5C8F"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7FBF210F" w14:textId="77777777" w:rsidTr="003E35C9">
        <w:trPr>
          <w:cantSplit/>
          <w:trHeight w:val="290"/>
          <w:tblHeader/>
          <w:jc w:val="center"/>
        </w:trPr>
        <w:tc>
          <w:tcPr>
            <w:tcW w:w="1277" w:type="pct"/>
          </w:tcPr>
          <w:p w14:paraId="3F5755DE"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870 à 899 jours civils</w:t>
            </w:r>
          </w:p>
        </w:tc>
        <w:tc>
          <w:tcPr>
            <w:tcW w:w="1862" w:type="pct"/>
          </w:tcPr>
          <w:p w14:paraId="1485FCB8"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w:t>
            </w:r>
          </w:p>
        </w:tc>
        <w:tc>
          <w:tcPr>
            <w:tcW w:w="1862" w:type="pct"/>
          </w:tcPr>
          <w:p w14:paraId="733CD4DD"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C85ECD" w:rsidRPr="008A5FB8" w14:paraId="08B62FA2" w14:textId="77777777" w:rsidTr="003E35C9">
        <w:trPr>
          <w:cantSplit/>
          <w:trHeight w:val="290"/>
          <w:tblHeader/>
          <w:jc w:val="center"/>
        </w:trPr>
        <w:tc>
          <w:tcPr>
            <w:tcW w:w="1277" w:type="pct"/>
          </w:tcPr>
          <w:p w14:paraId="6264498A"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900 à 929 jours civils</w:t>
            </w:r>
          </w:p>
        </w:tc>
        <w:tc>
          <w:tcPr>
            <w:tcW w:w="1862" w:type="pct"/>
          </w:tcPr>
          <w:p w14:paraId="3C660E2C"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w:t>
            </w:r>
          </w:p>
        </w:tc>
        <w:tc>
          <w:tcPr>
            <w:tcW w:w="1862" w:type="pct"/>
          </w:tcPr>
          <w:p w14:paraId="323A7C10"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r w:rsidR="00C85ECD" w:rsidRPr="008A5FB8" w14:paraId="56FD9F08" w14:textId="77777777" w:rsidTr="003E35C9">
        <w:trPr>
          <w:cantSplit/>
          <w:trHeight w:val="290"/>
          <w:tblHeader/>
          <w:jc w:val="center"/>
        </w:trPr>
        <w:tc>
          <w:tcPr>
            <w:tcW w:w="1277" w:type="pct"/>
          </w:tcPr>
          <w:p w14:paraId="504E07B5"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930 à 959 jours civils</w:t>
            </w:r>
          </w:p>
        </w:tc>
        <w:tc>
          <w:tcPr>
            <w:tcW w:w="1862" w:type="pct"/>
          </w:tcPr>
          <w:p w14:paraId="5C8A8AE3"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w:t>
            </w:r>
          </w:p>
        </w:tc>
        <w:tc>
          <w:tcPr>
            <w:tcW w:w="1862" w:type="pct"/>
          </w:tcPr>
          <w:p w14:paraId="49FF0207"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26DC8811" w14:textId="77777777" w:rsidTr="003E35C9">
        <w:trPr>
          <w:cantSplit/>
          <w:trHeight w:val="290"/>
          <w:tblHeader/>
          <w:jc w:val="center"/>
        </w:trPr>
        <w:tc>
          <w:tcPr>
            <w:tcW w:w="1277" w:type="pct"/>
          </w:tcPr>
          <w:p w14:paraId="5ACAE39A"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960 à 989 jours civils</w:t>
            </w:r>
          </w:p>
        </w:tc>
        <w:tc>
          <w:tcPr>
            <w:tcW w:w="1862" w:type="pct"/>
          </w:tcPr>
          <w:p w14:paraId="348A61CA"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c>
          <w:tcPr>
            <w:tcW w:w="1862" w:type="pct"/>
          </w:tcPr>
          <w:p w14:paraId="3BD649DD"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C85ECD" w:rsidRPr="008A5FB8" w14:paraId="0C6C0992" w14:textId="77777777" w:rsidTr="003E35C9">
        <w:trPr>
          <w:cantSplit/>
          <w:trHeight w:val="290"/>
          <w:tblHeader/>
          <w:jc w:val="center"/>
        </w:trPr>
        <w:tc>
          <w:tcPr>
            <w:tcW w:w="1277" w:type="pct"/>
          </w:tcPr>
          <w:p w14:paraId="755CB36A" w14:textId="77777777" w:rsidR="00C85ECD" w:rsidRPr="008A5FB8" w:rsidRDefault="00C85ECD"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Plus de 990 jours civils</w:t>
            </w:r>
          </w:p>
        </w:tc>
        <w:tc>
          <w:tcPr>
            <w:tcW w:w="1862" w:type="pct"/>
          </w:tcPr>
          <w:p w14:paraId="005BCF0A"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23</w:t>
            </w:r>
          </w:p>
        </w:tc>
        <w:tc>
          <w:tcPr>
            <w:tcW w:w="1862" w:type="pct"/>
          </w:tcPr>
          <w:p w14:paraId="5D226AE7" w14:textId="77777777" w:rsidR="00C85ECD" w:rsidRPr="008A5FB8" w:rsidRDefault="00C85ECD"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bl>
    <w:p w14:paraId="4840687F" w14:textId="69F5A9F9" w:rsidR="00214859" w:rsidRDefault="00214859" w:rsidP="008A5FB8">
      <w:pPr>
        <w:rPr>
          <w:rFonts w:asciiTheme="minorHAnsi" w:hAnsiTheme="minorHAnsi" w:cstheme="minorHAnsi"/>
          <w:sz w:val="22"/>
          <w:szCs w:val="22"/>
        </w:rPr>
      </w:pPr>
    </w:p>
    <w:p w14:paraId="3FFEBDB6" w14:textId="77777777" w:rsidR="00C85ECD" w:rsidRDefault="00C85ECD" w:rsidP="008A5FB8">
      <w:pPr>
        <w:rPr>
          <w:rFonts w:asciiTheme="minorHAnsi" w:hAnsiTheme="minorHAnsi" w:cstheme="minorHAnsi"/>
          <w:sz w:val="22"/>
          <w:szCs w:val="22"/>
        </w:rPr>
        <w:sectPr w:rsidR="00C85ECD" w:rsidSect="004E0365">
          <w:pgSz w:w="24480" w:h="15840" w:orient="landscape" w:code="3"/>
          <w:pgMar w:top="1440" w:right="1080" w:bottom="1440" w:left="1080" w:header="708" w:footer="708" w:gutter="0"/>
          <w:cols w:space="708"/>
          <w:titlePg/>
          <w:docGrid w:linePitch="360"/>
        </w:sectPr>
      </w:pPr>
    </w:p>
    <w:p w14:paraId="3B611C77" w14:textId="381A1336" w:rsidR="00077278" w:rsidRPr="0053539E" w:rsidRDefault="00077278" w:rsidP="00077278">
      <w:pPr>
        <w:pStyle w:val="Titre1"/>
        <w:spacing w:before="120" w:after="120"/>
        <w:rPr>
          <w:sz w:val="32"/>
          <w:szCs w:val="40"/>
        </w:rPr>
      </w:pPr>
      <w:r w:rsidRPr="0053539E">
        <w:rPr>
          <w:sz w:val="40"/>
        </w:rPr>
        <w:lastRenderedPageBreak/>
        <w:t>Durée de dotation externe</w:t>
      </w:r>
    </w:p>
    <w:p w14:paraId="05D50FA2" w14:textId="07C06C61" w:rsidR="00F812CC" w:rsidRDefault="00214859" w:rsidP="003C3C24">
      <w:pPr>
        <w:pStyle w:val="Titre3"/>
      </w:pPr>
      <w:r w:rsidRPr="00F812CC">
        <w:rPr>
          <w:rStyle w:val="lev"/>
          <w:noProof/>
          <w:lang w:val="en-CA" w:eastAsia="en-CA"/>
        </w:rPr>
        <w:drawing>
          <wp:inline distT="0" distB="0" distL="0" distR="0" wp14:anchorId="4D2677DC" wp14:editId="2678D589">
            <wp:extent cx="5648400" cy="3049200"/>
            <wp:effectExtent l="0" t="0" r="9525" b="18415"/>
            <wp:docPr id="21" name="Chart 21" descr="Figure 14 - Durée de dotation externe Médiane pour la fonction publique = 186 jours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F812CC" w:rsidRPr="00F812CC">
        <w:rPr>
          <w:rStyle w:val="lev"/>
          <w:noProof/>
          <w:lang w:val="en-CA" w:eastAsia="en-CA"/>
        </w:rPr>
        <w:drawing>
          <wp:inline distT="0" distB="0" distL="0" distR="0" wp14:anchorId="7C0A7424" wp14:editId="1A874C5F">
            <wp:extent cx="5648400" cy="3049200"/>
            <wp:effectExtent l="0" t="0" r="9525" b="18415"/>
            <wp:docPr id="4" name="Chart 4" descr="Figure 15 - Durée de dotation externe - Médiane pour Santé Canada = 193 jours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2459C90" w14:textId="6258F36A" w:rsidR="008A5FB8" w:rsidRDefault="00F812CC" w:rsidP="001E5361">
      <w:pPr>
        <w:pStyle w:val="Lgende"/>
        <w:tabs>
          <w:tab w:val="left" w:pos="8931"/>
        </w:tabs>
        <w:rPr>
          <w:rFonts w:cstheme="minorHAnsi"/>
          <w:sz w:val="22"/>
          <w:szCs w:val="22"/>
          <w:lang w:eastAsia="en-CA"/>
        </w:rPr>
      </w:pPr>
      <w:r>
        <w:t xml:space="preserve">Figure </w:t>
      </w:r>
      <w:r>
        <w:fldChar w:fldCharType="begin"/>
      </w:r>
      <w:r>
        <w:instrText xml:space="preserve"> SEQ Figure \* ARABIC </w:instrText>
      </w:r>
      <w:r>
        <w:fldChar w:fldCharType="separate"/>
      </w:r>
      <w:r>
        <w:rPr>
          <w:noProof/>
        </w:rPr>
        <w:t>14</w:t>
      </w:r>
      <w:r>
        <w:fldChar w:fldCharType="end"/>
      </w:r>
      <w:r>
        <w:t xml:space="preserve"> - Durée de dotation externe Médiane pour la fonction publique = 186 jours 2018-2019</w:t>
      </w:r>
      <w:r>
        <w:tab/>
        <w:t xml:space="preserve">Figure </w:t>
      </w:r>
      <w:r>
        <w:fldChar w:fldCharType="begin"/>
      </w:r>
      <w:r>
        <w:instrText xml:space="preserve"> SEQ Figure \* ARABIC </w:instrText>
      </w:r>
      <w:r>
        <w:fldChar w:fldCharType="separate"/>
      </w:r>
      <w:r>
        <w:rPr>
          <w:noProof/>
        </w:rPr>
        <w:t>15</w:t>
      </w:r>
      <w:r>
        <w:fldChar w:fldCharType="end"/>
      </w:r>
      <w:r>
        <w:t xml:space="preserve"> - Durée de dotation externe - Médiane pour Santé Canada = 193 jours 2018-2019</w:t>
      </w:r>
    </w:p>
    <w:p w14:paraId="68933A6F" w14:textId="6B01F7F1" w:rsidR="004D0B2B" w:rsidRPr="004D0B2B" w:rsidRDefault="004D0B2B" w:rsidP="004D0B2B">
      <w:pPr>
        <w:spacing w:before="120"/>
        <w:rPr>
          <w:rStyle w:val="Lienhypertexte"/>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\l "Dotation_externe" </w:instrText>
      </w:r>
      <w:r>
        <w:rPr>
          <w:rFonts w:asciiTheme="minorHAnsi" w:hAnsiTheme="minorHAnsi" w:cstheme="minorHAnsi"/>
          <w:sz w:val="22"/>
          <w:szCs w:val="22"/>
        </w:rPr>
        <w:fldChar w:fldCharType="separate"/>
      </w:r>
      <w:r w:rsidRPr="004D0B2B">
        <w:rPr>
          <w:rStyle w:val="Lienhypertexte"/>
          <w:rFonts w:asciiTheme="minorHAnsi" w:hAnsiTheme="minorHAnsi" w:cstheme="minorHAnsi"/>
          <w:sz w:val="22"/>
          <w:szCs w:val="22"/>
        </w:rPr>
        <w:t>Tableau des don</w:t>
      </w:r>
      <w:r>
        <w:rPr>
          <w:rStyle w:val="Lienhypertexte"/>
          <w:rFonts w:asciiTheme="minorHAnsi" w:hAnsiTheme="minorHAnsi" w:cstheme="minorHAnsi"/>
          <w:sz w:val="22"/>
          <w:szCs w:val="22"/>
        </w:rPr>
        <w:t>nées sur la durée de dotation ex</w:t>
      </w:r>
      <w:r w:rsidRPr="004D0B2B">
        <w:rPr>
          <w:rStyle w:val="Lienhypertexte"/>
          <w:rFonts w:asciiTheme="minorHAnsi" w:hAnsiTheme="minorHAnsi" w:cstheme="minorHAnsi"/>
          <w:sz w:val="22"/>
          <w:szCs w:val="22"/>
        </w:rPr>
        <w:t>terne disponible ici</w:t>
      </w:r>
    </w:p>
    <w:p w14:paraId="3A8B449C" w14:textId="77777777" w:rsidR="004D0B2B" w:rsidRDefault="004D0B2B" w:rsidP="004D0B2B">
      <w:pPr>
        <w:spacing w:before="120" w:after="120"/>
        <w:rPr>
          <w:rFonts w:asciiTheme="minorHAnsi" w:hAnsiTheme="minorHAnsi" w:cstheme="minorHAnsi"/>
          <w:sz w:val="22"/>
          <w:szCs w:val="22"/>
        </w:rPr>
        <w:sectPr w:rsidR="004D0B2B" w:rsidSect="004E0365">
          <w:pgSz w:w="20160" w:h="12240" w:orient="landscape" w:code="5"/>
          <w:pgMar w:top="1440" w:right="1080" w:bottom="1440" w:left="1080" w:header="708" w:footer="708" w:gutter="0"/>
          <w:cols w:space="708"/>
          <w:titlePg/>
          <w:docGrid w:linePitch="360"/>
        </w:sectPr>
      </w:pPr>
      <w:r>
        <w:rPr>
          <w:rFonts w:asciiTheme="minorHAnsi" w:hAnsiTheme="minorHAnsi" w:cstheme="minorHAnsi"/>
          <w:sz w:val="22"/>
          <w:szCs w:val="22"/>
        </w:rPr>
        <w:fldChar w:fldCharType="end"/>
      </w:r>
    </w:p>
    <w:p w14:paraId="73965B64" w14:textId="783C40B4" w:rsidR="004D0B2B" w:rsidRPr="005475AE" w:rsidRDefault="004D0B2B" w:rsidP="004D0B2B">
      <w:pPr>
        <w:spacing w:after="120"/>
        <w:rPr>
          <w:rFonts w:asciiTheme="minorHAnsi" w:hAnsiTheme="minorHAnsi" w:cstheme="minorHAnsi"/>
          <w:sz w:val="22"/>
          <w:szCs w:val="22"/>
          <w:lang w:eastAsia="en-CA"/>
        </w:rPr>
      </w:pPr>
      <w:r w:rsidRPr="005475AE">
        <w:rPr>
          <w:rFonts w:asciiTheme="minorHAnsi" w:hAnsiTheme="minorHAnsi" w:cstheme="minorHAnsi"/>
          <w:sz w:val="22"/>
          <w:szCs w:val="22"/>
          <w:lang w:eastAsia="en-CA"/>
        </w:rPr>
        <w:t xml:space="preserve">La durée médiane de dotation externe pour la fonction publique (organisations assujetties à la </w:t>
      </w:r>
      <w:r w:rsidRPr="001F7FD3">
        <w:rPr>
          <w:rStyle w:val="Accentuation"/>
        </w:rPr>
        <w:t>Loi sur l’emploi dans la fonction publiques</w:t>
      </w:r>
      <w:r w:rsidRPr="005475AE">
        <w:rPr>
          <w:rFonts w:asciiTheme="minorHAnsi" w:hAnsiTheme="minorHAnsi" w:cstheme="minorHAnsi"/>
          <w:i/>
          <w:sz w:val="22"/>
          <w:szCs w:val="22"/>
          <w:lang w:eastAsia="en-CA"/>
        </w:rPr>
        <w:t xml:space="preserve"> </w:t>
      </w:r>
      <w:r w:rsidRPr="005475AE">
        <w:rPr>
          <w:rFonts w:asciiTheme="minorHAnsi" w:hAnsiTheme="minorHAnsi" w:cstheme="minorHAnsi"/>
          <w:sz w:val="22"/>
          <w:szCs w:val="22"/>
          <w:lang w:eastAsia="en-CA"/>
        </w:rPr>
        <w:t>(LEFP)) pour l’exercice financier 2018 à 2019 est 186 jours</w:t>
      </w:r>
      <w:r>
        <w:rPr>
          <w:rFonts w:asciiTheme="minorHAnsi" w:hAnsiTheme="minorHAnsi" w:cstheme="minorHAnsi"/>
          <w:sz w:val="22"/>
          <w:szCs w:val="22"/>
          <w:lang w:eastAsia="en-CA"/>
        </w:rPr>
        <w:t>.</w:t>
      </w:r>
    </w:p>
    <w:p w14:paraId="1BE035A9" w14:textId="04F36FEF" w:rsidR="00C85ECD" w:rsidRPr="005475AE" w:rsidRDefault="005475AE" w:rsidP="005475AE">
      <w:pPr>
        <w:spacing w:before="120" w:after="120"/>
        <w:rPr>
          <w:rFonts w:asciiTheme="minorHAnsi" w:hAnsiTheme="minorHAnsi" w:cstheme="minorHAnsi"/>
          <w:b/>
          <w:sz w:val="22"/>
          <w:szCs w:val="22"/>
        </w:rPr>
      </w:pPr>
      <w:r w:rsidRPr="005475AE">
        <w:rPr>
          <w:rFonts w:asciiTheme="minorHAnsi" w:hAnsiTheme="minorHAnsi" w:cstheme="minorHAnsi"/>
          <w:b/>
          <w:sz w:val="22"/>
          <w:szCs w:val="22"/>
        </w:rPr>
        <w:t>Durée de dotation externe pour l’exercice financier 2018 à 2019</w:t>
      </w:r>
    </w:p>
    <w:p w14:paraId="59868AE3" w14:textId="77777777" w:rsidR="004D0B2B" w:rsidRDefault="005475AE" w:rsidP="004D0B2B">
      <w:pPr>
        <w:spacing w:before="120" w:after="120"/>
        <w:rPr>
          <w:rFonts w:asciiTheme="minorHAnsi" w:hAnsiTheme="minorHAnsi" w:cstheme="minorHAnsi"/>
          <w:sz w:val="22"/>
          <w:szCs w:val="22"/>
        </w:rPr>
        <w:sectPr w:rsidR="004D0B2B" w:rsidSect="004D0B2B">
          <w:type w:val="continuous"/>
          <w:pgSz w:w="20160" w:h="12240" w:orient="landscape" w:code="5"/>
          <w:pgMar w:top="1440" w:right="1080" w:bottom="1440" w:left="1080" w:header="708" w:footer="708" w:gutter="0"/>
          <w:cols w:num="2" w:space="708"/>
          <w:titlePg/>
          <w:docGrid w:linePitch="360"/>
        </w:sectPr>
      </w:pPr>
      <w:r w:rsidRPr="005475AE">
        <w:rPr>
          <w:rFonts w:asciiTheme="minorHAnsi" w:hAnsiTheme="minorHAnsi" w:cstheme="minorHAnsi"/>
          <w:sz w:val="22"/>
          <w:szCs w:val="22"/>
        </w:rPr>
        <w:t>La durée médiane de dotation externe de Santé Canada pour l’exercice financier 2018 à 2019 est 193 jours</w:t>
      </w:r>
    </w:p>
    <w:p w14:paraId="12FB9CF4" w14:textId="0BD3DB08" w:rsidR="00C85ECD" w:rsidRPr="008A5FB8" w:rsidRDefault="001F7FD3" w:rsidP="004D0B2B">
      <w:pPr>
        <w:spacing w:before="120" w:after="120"/>
        <w:rPr>
          <w:rFonts w:asciiTheme="minorHAnsi" w:hAnsiTheme="minorHAnsi" w:cstheme="minorHAnsi"/>
          <w:sz w:val="22"/>
          <w:szCs w:val="22"/>
          <w:lang w:eastAsia="en-CA"/>
        </w:rPr>
        <w:sectPr w:rsidR="00C85ECD" w:rsidRPr="008A5FB8" w:rsidSect="004D0B2B">
          <w:type w:val="continuous"/>
          <w:pgSz w:w="20160" w:h="12240" w:orient="landscape" w:code="5"/>
          <w:pgMar w:top="1440" w:right="1080" w:bottom="1440" w:left="1080" w:header="708" w:footer="708" w:gutter="0"/>
          <w:cols w:space="708"/>
          <w:titlePg/>
          <w:docGrid w:linePitch="360"/>
        </w:sectPr>
      </w:pPr>
      <w:r>
        <w:rPr>
          <w:rFonts w:asciiTheme="minorHAnsi" w:hAnsiTheme="minorHAnsi" w:cstheme="minorHAnsi"/>
          <w:sz w:val="22"/>
          <w:szCs w:val="22"/>
        </w:rPr>
        <w:t>.</w:t>
      </w:r>
    </w:p>
    <w:p w14:paraId="63060D00" w14:textId="729E5D37" w:rsidR="00077278" w:rsidRPr="00077278" w:rsidRDefault="00077278" w:rsidP="00077278">
      <w:pPr>
        <w:pStyle w:val="Titre1"/>
        <w:spacing w:before="120" w:after="120"/>
        <w:rPr>
          <w:sz w:val="40"/>
          <w:szCs w:val="40"/>
        </w:rPr>
      </w:pPr>
      <w:r w:rsidRPr="00077278">
        <w:rPr>
          <w:sz w:val="40"/>
          <w:szCs w:val="40"/>
        </w:rPr>
        <w:lastRenderedPageBreak/>
        <w:t>Durée de dotation externe</w:t>
      </w:r>
    </w:p>
    <w:p w14:paraId="691103C4" w14:textId="7C1C2A31" w:rsidR="00A61389" w:rsidRDefault="00A61389" w:rsidP="00A61389">
      <w:pPr>
        <w:pStyle w:val="Lgende"/>
        <w:keepNext/>
      </w:pPr>
      <w:r>
        <w:t xml:space="preserve">Table </w:t>
      </w:r>
      <w:r w:rsidR="001F6BD4">
        <w:t>16</w:t>
      </w:r>
      <w:r>
        <w:t xml:space="preserve"> - Durée de dotation externe</w:t>
      </w:r>
    </w:p>
    <w:tbl>
      <w:tblPr>
        <w:tblStyle w:val="Grilledutableau"/>
        <w:tblW w:w="5000" w:type="pct"/>
        <w:jc w:val="center"/>
        <w:tblLook w:val="0020" w:firstRow="1" w:lastRow="0" w:firstColumn="0" w:lastColumn="0" w:noHBand="0" w:noVBand="0"/>
        <w:tblDescription w:val="Durée des processus de dotation externe"/>
      </w:tblPr>
      <w:tblGrid>
        <w:gridCol w:w="4216"/>
        <w:gridCol w:w="10156"/>
        <w:gridCol w:w="7938"/>
      </w:tblGrid>
      <w:tr w:rsidR="00A61389" w:rsidRPr="00A61389" w14:paraId="1DC04504" w14:textId="77777777" w:rsidTr="003E35C9">
        <w:trPr>
          <w:cantSplit/>
          <w:trHeight w:val="290"/>
          <w:tblHeader/>
          <w:jc w:val="center"/>
        </w:trPr>
        <w:tc>
          <w:tcPr>
            <w:tcW w:w="945" w:type="pct"/>
          </w:tcPr>
          <w:p w14:paraId="183321EF" w14:textId="11C87019" w:rsidR="00A61389" w:rsidRPr="00A61389" w:rsidRDefault="00A61389" w:rsidP="00A61389">
            <w:pPr>
              <w:pStyle w:val="TableTitle"/>
            </w:pPr>
            <w:bookmarkStart w:id="3" w:name="Dotation_externe"/>
            <w:r w:rsidRPr="00A61389">
              <w:t>Nombre de jours civils</w:t>
            </w:r>
            <w:bookmarkEnd w:id="3"/>
          </w:p>
        </w:tc>
        <w:tc>
          <w:tcPr>
            <w:tcW w:w="2276" w:type="pct"/>
          </w:tcPr>
          <w:p w14:paraId="7CA97ED3" w14:textId="77777777" w:rsidR="00A61389" w:rsidRPr="00A61389" w:rsidRDefault="00A61389" w:rsidP="00A61389">
            <w:pPr>
              <w:pStyle w:val="TableTitle"/>
            </w:pPr>
            <w:r w:rsidRPr="00A61389">
              <w:t>Le nombre de premières embauches externes dans un processus externe (durée de dotation externe) dans les organisations assujetties à la Loi sur l’emploi dans la fonction publique, dans le nombre de jours civils spécifié</w:t>
            </w:r>
          </w:p>
        </w:tc>
        <w:tc>
          <w:tcPr>
            <w:tcW w:w="1779" w:type="pct"/>
          </w:tcPr>
          <w:p w14:paraId="0D735CEA" w14:textId="77777777" w:rsidR="00A61389" w:rsidRPr="00A61389" w:rsidRDefault="00A61389" w:rsidP="00A61389">
            <w:pPr>
              <w:pStyle w:val="TableTitle"/>
            </w:pPr>
            <w:r w:rsidRPr="00A61389">
              <w:t>Le nombre de premières embauches externes dans un processus externe (durée de dotation externe) dans l’organisation spécifiée, dans le nombre de jours civils spécifié</w:t>
            </w:r>
          </w:p>
        </w:tc>
      </w:tr>
      <w:tr w:rsidR="00A61389" w:rsidRPr="008A5FB8" w14:paraId="43672AE8" w14:textId="77777777" w:rsidTr="003E35C9">
        <w:trPr>
          <w:cantSplit/>
          <w:trHeight w:val="290"/>
          <w:tblHeader/>
          <w:jc w:val="center"/>
        </w:trPr>
        <w:tc>
          <w:tcPr>
            <w:tcW w:w="945" w:type="pct"/>
          </w:tcPr>
          <w:p w14:paraId="74247348"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0 jours civils</w:t>
            </w:r>
          </w:p>
        </w:tc>
        <w:tc>
          <w:tcPr>
            <w:tcW w:w="2276" w:type="pct"/>
          </w:tcPr>
          <w:p w14:paraId="35678047"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c>
          <w:tcPr>
            <w:tcW w:w="1779" w:type="pct"/>
          </w:tcPr>
          <w:p w14:paraId="5EB0E5A7"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07C21A00" w14:textId="77777777" w:rsidTr="003E35C9">
        <w:trPr>
          <w:cantSplit/>
          <w:trHeight w:val="290"/>
          <w:tblHeader/>
          <w:jc w:val="center"/>
        </w:trPr>
        <w:tc>
          <w:tcPr>
            <w:tcW w:w="945" w:type="pct"/>
          </w:tcPr>
          <w:p w14:paraId="67E5EE0E"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0 à 29 jours civils</w:t>
            </w:r>
          </w:p>
        </w:tc>
        <w:tc>
          <w:tcPr>
            <w:tcW w:w="2276" w:type="pct"/>
          </w:tcPr>
          <w:p w14:paraId="7AEA7EE0"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49</w:t>
            </w:r>
          </w:p>
        </w:tc>
        <w:tc>
          <w:tcPr>
            <w:tcW w:w="1779" w:type="pct"/>
          </w:tcPr>
          <w:p w14:paraId="111257E1"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w:t>
            </w:r>
          </w:p>
        </w:tc>
      </w:tr>
      <w:tr w:rsidR="00A61389" w:rsidRPr="008A5FB8" w14:paraId="66799C03" w14:textId="77777777" w:rsidTr="003E35C9">
        <w:trPr>
          <w:cantSplit/>
          <w:trHeight w:val="290"/>
          <w:tblHeader/>
          <w:jc w:val="center"/>
        </w:trPr>
        <w:tc>
          <w:tcPr>
            <w:tcW w:w="945" w:type="pct"/>
          </w:tcPr>
          <w:p w14:paraId="3C6C1B83"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30 à 59 jours civils</w:t>
            </w:r>
          </w:p>
        </w:tc>
        <w:tc>
          <w:tcPr>
            <w:tcW w:w="2276" w:type="pct"/>
          </w:tcPr>
          <w:p w14:paraId="1A683C32"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82</w:t>
            </w:r>
          </w:p>
        </w:tc>
        <w:tc>
          <w:tcPr>
            <w:tcW w:w="1779" w:type="pct"/>
          </w:tcPr>
          <w:p w14:paraId="2BDA0835"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w:t>
            </w:r>
          </w:p>
        </w:tc>
      </w:tr>
      <w:tr w:rsidR="00A61389" w:rsidRPr="008A5FB8" w14:paraId="763B0FA3" w14:textId="77777777" w:rsidTr="003E35C9">
        <w:trPr>
          <w:cantSplit/>
          <w:trHeight w:val="290"/>
          <w:tblHeader/>
          <w:jc w:val="center"/>
        </w:trPr>
        <w:tc>
          <w:tcPr>
            <w:tcW w:w="945" w:type="pct"/>
          </w:tcPr>
          <w:p w14:paraId="62631939"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60 à 89 jours civils</w:t>
            </w:r>
          </w:p>
        </w:tc>
        <w:tc>
          <w:tcPr>
            <w:tcW w:w="2276" w:type="pct"/>
          </w:tcPr>
          <w:p w14:paraId="0ECB7C66"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124</w:t>
            </w:r>
          </w:p>
        </w:tc>
        <w:tc>
          <w:tcPr>
            <w:tcW w:w="1779" w:type="pct"/>
          </w:tcPr>
          <w:p w14:paraId="2F6FFC9E"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w:t>
            </w:r>
          </w:p>
        </w:tc>
      </w:tr>
      <w:tr w:rsidR="00A61389" w:rsidRPr="008A5FB8" w14:paraId="47D10091" w14:textId="77777777" w:rsidTr="003E35C9">
        <w:trPr>
          <w:cantSplit/>
          <w:trHeight w:val="290"/>
          <w:tblHeader/>
          <w:jc w:val="center"/>
        </w:trPr>
        <w:tc>
          <w:tcPr>
            <w:tcW w:w="945" w:type="pct"/>
          </w:tcPr>
          <w:p w14:paraId="52D3E30A"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90 à 119 jours civils</w:t>
            </w:r>
          </w:p>
        </w:tc>
        <w:tc>
          <w:tcPr>
            <w:tcW w:w="2276" w:type="pct"/>
          </w:tcPr>
          <w:p w14:paraId="25B9D62B"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160</w:t>
            </w:r>
          </w:p>
        </w:tc>
        <w:tc>
          <w:tcPr>
            <w:tcW w:w="1779" w:type="pct"/>
          </w:tcPr>
          <w:p w14:paraId="6559F9CC"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14</w:t>
            </w:r>
          </w:p>
        </w:tc>
      </w:tr>
      <w:tr w:rsidR="00A61389" w:rsidRPr="008A5FB8" w14:paraId="1960BFCE" w14:textId="77777777" w:rsidTr="003E35C9">
        <w:trPr>
          <w:cantSplit/>
          <w:trHeight w:val="290"/>
          <w:tblHeader/>
          <w:jc w:val="center"/>
        </w:trPr>
        <w:tc>
          <w:tcPr>
            <w:tcW w:w="945" w:type="pct"/>
          </w:tcPr>
          <w:p w14:paraId="380FA560"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120 à 149 jours civils</w:t>
            </w:r>
          </w:p>
        </w:tc>
        <w:tc>
          <w:tcPr>
            <w:tcW w:w="2276" w:type="pct"/>
          </w:tcPr>
          <w:p w14:paraId="4B482087"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181</w:t>
            </w:r>
          </w:p>
        </w:tc>
        <w:tc>
          <w:tcPr>
            <w:tcW w:w="1779" w:type="pct"/>
          </w:tcPr>
          <w:p w14:paraId="2914ADEA"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w:t>
            </w:r>
          </w:p>
        </w:tc>
      </w:tr>
      <w:tr w:rsidR="00A61389" w:rsidRPr="008A5FB8" w14:paraId="20D313EF" w14:textId="77777777" w:rsidTr="003E35C9">
        <w:trPr>
          <w:cantSplit/>
          <w:trHeight w:val="290"/>
          <w:tblHeader/>
          <w:jc w:val="center"/>
        </w:trPr>
        <w:tc>
          <w:tcPr>
            <w:tcW w:w="945" w:type="pct"/>
          </w:tcPr>
          <w:p w14:paraId="2FAAF47D"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150 à 179 jours civils</w:t>
            </w:r>
          </w:p>
        </w:tc>
        <w:tc>
          <w:tcPr>
            <w:tcW w:w="2276" w:type="pct"/>
          </w:tcPr>
          <w:p w14:paraId="4C723128"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179</w:t>
            </w:r>
          </w:p>
        </w:tc>
        <w:tc>
          <w:tcPr>
            <w:tcW w:w="1779" w:type="pct"/>
          </w:tcPr>
          <w:p w14:paraId="53D4ABE3"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r>
      <w:tr w:rsidR="00A61389" w:rsidRPr="008A5FB8" w14:paraId="42FD8EF7" w14:textId="77777777" w:rsidTr="003E35C9">
        <w:trPr>
          <w:cantSplit/>
          <w:trHeight w:val="290"/>
          <w:tblHeader/>
          <w:jc w:val="center"/>
        </w:trPr>
        <w:tc>
          <w:tcPr>
            <w:tcW w:w="945" w:type="pct"/>
          </w:tcPr>
          <w:p w14:paraId="5CB083F3"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180 à 209 jours civils</w:t>
            </w:r>
          </w:p>
        </w:tc>
        <w:tc>
          <w:tcPr>
            <w:tcW w:w="2276" w:type="pct"/>
          </w:tcPr>
          <w:p w14:paraId="7AC2F018"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160</w:t>
            </w:r>
          </w:p>
        </w:tc>
        <w:tc>
          <w:tcPr>
            <w:tcW w:w="1779" w:type="pct"/>
          </w:tcPr>
          <w:p w14:paraId="2381BB5C"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w:t>
            </w:r>
          </w:p>
        </w:tc>
      </w:tr>
      <w:tr w:rsidR="00A61389" w:rsidRPr="008A5FB8" w14:paraId="656CA829" w14:textId="77777777" w:rsidTr="003E35C9">
        <w:trPr>
          <w:cantSplit/>
          <w:trHeight w:val="290"/>
          <w:tblHeader/>
          <w:jc w:val="center"/>
        </w:trPr>
        <w:tc>
          <w:tcPr>
            <w:tcW w:w="945" w:type="pct"/>
          </w:tcPr>
          <w:p w14:paraId="14626BB4"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210 à 239 jours civils</w:t>
            </w:r>
          </w:p>
        </w:tc>
        <w:tc>
          <w:tcPr>
            <w:tcW w:w="2276" w:type="pct"/>
          </w:tcPr>
          <w:p w14:paraId="1ECAA74B"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139</w:t>
            </w:r>
          </w:p>
        </w:tc>
        <w:tc>
          <w:tcPr>
            <w:tcW w:w="1779" w:type="pct"/>
          </w:tcPr>
          <w:p w14:paraId="5F80A5FC"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9</w:t>
            </w:r>
          </w:p>
        </w:tc>
      </w:tr>
      <w:tr w:rsidR="00A61389" w:rsidRPr="008A5FB8" w14:paraId="493FC975" w14:textId="77777777" w:rsidTr="003E35C9">
        <w:trPr>
          <w:cantSplit/>
          <w:trHeight w:val="290"/>
          <w:tblHeader/>
          <w:jc w:val="center"/>
        </w:trPr>
        <w:tc>
          <w:tcPr>
            <w:tcW w:w="945" w:type="pct"/>
          </w:tcPr>
          <w:p w14:paraId="147C1127"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240 à 269 jours civils</w:t>
            </w:r>
          </w:p>
        </w:tc>
        <w:tc>
          <w:tcPr>
            <w:tcW w:w="2276" w:type="pct"/>
          </w:tcPr>
          <w:p w14:paraId="76AAB9FD"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84</w:t>
            </w:r>
          </w:p>
        </w:tc>
        <w:tc>
          <w:tcPr>
            <w:tcW w:w="1779" w:type="pct"/>
          </w:tcPr>
          <w:p w14:paraId="0EAE214A"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w:t>
            </w:r>
          </w:p>
        </w:tc>
      </w:tr>
      <w:tr w:rsidR="00A61389" w:rsidRPr="008A5FB8" w14:paraId="09B3A325" w14:textId="77777777" w:rsidTr="003E35C9">
        <w:trPr>
          <w:cantSplit/>
          <w:trHeight w:val="290"/>
          <w:tblHeader/>
          <w:jc w:val="center"/>
        </w:trPr>
        <w:tc>
          <w:tcPr>
            <w:tcW w:w="945" w:type="pct"/>
          </w:tcPr>
          <w:p w14:paraId="2F206279"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270 à 299 jours civils</w:t>
            </w:r>
          </w:p>
        </w:tc>
        <w:tc>
          <w:tcPr>
            <w:tcW w:w="2276" w:type="pct"/>
          </w:tcPr>
          <w:p w14:paraId="086E950D"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73</w:t>
            </w:r>
          </w:p>
        </w:tc>
        <w:tc>
          <w:tcPr>
            <w:tcW w:w="1779" w:type="pct"/>
          </w:tcPr>
          <w:p w14:paraId="1558C61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r>
      <w:tr w:rsidR="00A61389" w:rsidRPr="008A5FB8" w14:paraId="6C81E79F" w14:textId="77777777" w:rsidTr="003E35C9">
        <w:trPr>
          <w:cantSplit/>
          <w:trHeight w:val="290"/>
          <w:tblHeader/>
          <w:jc w:val="center"/>
        </w:trPr>
        <w:tc>
          <w:tcPr>
            <w:tcW w:w="945" w:type="pct"/>
          </w:tcPr>
          <w:p w14:paraId="4B86668E"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300 à 329 jours civils</w:t>
            </w:r>
          </w:p>
        </w:tc>
        <w:tc>
          <w:tcPr>
            <w:tcW w:w="2276" w:type="pct"/>
          </w:tcPr>
          <w:p w14:paraId="7E19448D"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61</w:t>
            </w:r>
          </w:p>
        </w:tc>
        <w:tc>
          <w:tcPr>
            <w:tcW w:w="1779" w:type="pct"/>
          </w:tcPr>
          <w:p w14:paraId="2A67D5CD"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r w:rsidR="00A61389" w:rsidRPr="008A5FB8" w14:paraId="63DAB93A" w14:textId="77777777" w:rsidTr="003E35C9">
        <w:trPr>
          <w:cantSplit/>
          <w:trHeight w:val="290"/>
          <w:tblHeader/>
          <w:jc w:val="center"/>
        </w:trPr>
        <w:tc>
          <w:tcPr>
            <w:tcW w:w="945" w:type="pct"/>
          </w:tcPr>
          <w:p w14:paraId="4E9FA9E9"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330 à 359 jours civils</w:t>
            </w:r>
          </w:p>
        </w:tc>
        <w:tc>
          <w:tcPr>
            <w:tcW w:w="2276" w:type="pct"/>
          </w:tcPr>
          <w:p w14:paraId="5E461FE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41</w:t>
            </w:r>
          </w:p>
        </w:tc>
        <w:tc>
          <w:tcPr>
            <w:tcW w:w="1779" w:type="pct"/>
          </w:tcPr>
          <w:p w14:paraId="43425C46"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r>
      <w:tr w:rsidR="00A61389" w:rsidRPr="008A5FB8" w14:paraId="356DC196" w14:textId="77777777" w:rsidTr="003E35C9">
        <w:trPr>
          <w:cantSplit/>
          <w:trHeight w:val="290"/>
          <w:tblHeader/>
          <w:jc w:val="center"/>
        </w:trPr>
        <w:tc>
          <w:tcPr>
            <w:tcW w:w="945" w:type="pct"/>
          </w:tcPr>
          <w:p w14:paraId="5900D111"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360 à 389 jours civils</w:t>
            </w:r>
          </w:p>
        </w:tc>
        <w:tc>
          <w:tcPr>
            <w:tcW w:w="2276" w:type="pct"/>
          </w:tcPr>
          <w:p w14:paraId="0F6161B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43</w:t>
            </w:r>
          </w:p>
        </w:tc>
        <w:tc>
          <w:tcPr>
            <w:tcW w:w="1779" w:type="pct"/>
          </w:tcPr>
          <w:p w14:paraId="25EDF8C7"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4CBE81E9" w14:textId="77777777" w:rsidTr="003E35C9">
        <w:trPr>
          <w:cantSplit/>
          <w:trHeight w:val="290"/>
          <w:tblHeader/>
          <w:jc w:val="center"/>
        </w:trPr>
        <w:tc>
          <w:tcPr>
            <w:tcW w:w="945" w:type="pct"/>
          </w:tcPr>
          <w:p w14:paraId="4EA8626B"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390 à 419 jours civils</w:t>
            </w:r>
          </w:p>
        </w:tc>
        <w:tc>
          <w:tcPr>
            <w:tcW w:w="2276" w:type="pct"/>
          </w:tcPr>
          <w:p w14:paraId="2CD4954A"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49</w:t>
            </w:r>
          </w:p>
        </w:tc>
        <w:tc>
          <w:tcPr>
            <w:tcW w:w="1779" w:type="pct"/>
          </w:tcPr>
          <w:p w14:paraId="726FF95E"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3A5798E2" w14:textId="77777777" w:rsidTr="003E35C9">
        <w:trPr>
          <w:cantSplit/>
          <w:trHeight w:val="290"/>
          <w:tblHeader/>
          <w:jc w:val="center"/>
        </w:trPr>
        <w:tc>
          <w:tcPr>
            <w:tcW w:w="945" w:type="pct"/>
          </w:tcPr>
          <w:p w14:paraId="438A9DBD"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420 à 449 jours civils</w:t>
            </w:r>
          </w:p>
        </w:tc>
        <w:tc>
          <w:tcPr>
            <w:tcW w:w="2276" w:type="pct"/>
          </w:tcPr>
          <w:p w14:paraId="37D22A30"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35</w:t>
            </w:r>
          </w:p>
        </w:tc>
        <w:tc>
          <w:tcPr>
            <w:tcW w:w="1779" w:type="pct"/>
          </w:tcPr>
          <w:p w14:paraId="14A934B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r w:rsidR="00A61389" w:rsidRPr="008A5FB8" w14:paraId="1D14EA6D" w14:textId="77777777" w:rsidTr="003E35C9">
        <w:trPr>
          <w:cantSplit/>
          <w:trHeight w:val="290"/>
          <w:tblHeader/>
          <w:jc w:val="center"/>
        </w:trPr>
        <w:tc>
          <w:tcPr>
            <w:tcW w:w="945" w:type="pct"/>
          </w:tcPr>
          <w:p w14:paraId="4D90F87B"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450 à 479 jours civils</w:t>
            </w:r>
          </w:p>
        </w:tc>
        <w:tc>
          <w:tcPr>
            <w:tcW w:w="2276" w:type="pct"/>
          </w:tcPr>
          <w:p w14:paraId="4D99737B"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22</w:t>
            </w:r>
          </w:p>
        </w:tc>
        <w:tc>
          <w:tcPr>
            <w:tcW w:w="1779" w:type="pct"/>
          </w:tcPr>
          <w:p w14:paraId="12F005A3"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A61389" w:rsidRPr="008A5FB8" w14:paraId="6F5A3C68" w14:textId="77777777" w:rsidTr="003E35C9">
        <w:trPr>
          <w:cantSplit/>
          <w:trHeight w:val="290"/>
          <w:tblHeader/>
          <w:jc w:val="center"/>
        </w:trPr>
        <w:tc>
          <w:tcPr>
            <w:tcW w:w="945" w:type="pct"/>
          </w:tcPr>
          <w:p w14:paraId="46721184"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480 à 509 jours civils</w:t>
            </w:r>
          </w:p>
        </w:tc>
        <w:tc>
          <w:tcPr>
            <w:tcW w:w="2276" w:type="pct"/>
          </w:tcPr>
          <w:p w14:paraId="2116DE7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27</w:t>
            </w:r>
          </w:p>
        </w:tc>
        <w:tc>
          <w:tcPr>
            <w:tcW w:w="1779" w:type="pct"/>
          </w:tcPr>
          <w:p w14:paraId="0560D865"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r w:rsidR="00A61389" w:rsidRPr="008A5FB8" w14:paraId="0CC3541E" w14:textId="77777777" w:rsidTr="003E35C9">
        <w:trPr>
          <w:cantSplit/>
          <w:trHeight w:val="290"/>
          <w:tblHeader/>
          <w:jc w:val="center"/>
        </w:trPr>
        <w:tc>
          <w:tcPr>
            <w:tcW w:w="945" w:type="pct"/>
          </w:tcPr>
          <w:p w14:paraId="73CC57F1"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 xml:space="preserve">510 à 539 jours civils </w:t>
            </w:r>
          </w:p>
        </w:tc>
        <w:tc>
          <w:tcPr>
            <w:tcW w:w="2276" w:type="pct"/>
          </w:tcPr>
          <w:p w14:paraId="0156A3A1"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17</w:t>
            </w:r>
          </w:p>
        </w:tc>
        <w:tc>
          <w:tcPr>
            <w:tcW w:w="1779" w:type="pct"/>
          </w:tcPr>
          <w:p w14:paraId="73CFFA5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r>
      <w:tr w:rsidR="00A61389" w:rsidRPr="008A5FB8" w14:paraId="3B1FB9AB" w14:textId="77777777" w:rsidTr="003E35C9">
        <w:trPr>
          <w:cantSplit/>
          <w:trHeight w:val="290"/>
          <w:tblHeader/>
          <w:jc w:val="center"/>
        </w:trPr>
        <w:tc>
          <w:tcPr>
            <w:tcW w:w="945" w:type="pct"/>
          </w:tcPr>
          <w:p w14:paraId="3C7EBB9F"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540 à 569 jours civils</w:t>
            </w:r>
          </w:p>
        </w:tc>
        <w:tc>
          <w:tcPr>
            <w:tcW w:w="2276" w:type="pct"/>
          </w:tcPr>
          <w:p w14:paraId="64F0897E"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15</w:t>
            </w:r>
          </w:p>
        </w:tc>
        <w:tc>
          <w:tcPr>
            <w:tcW w:w="1779" w:type="pct"/>
          </w:tcPr>
          <w:p w14:paraId="7AD79298"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A61389" w:rsidRPr="008A5FB8" w14:paraId="077EAC4F" w14:textId="77777777" w:rsidTr="003E35C9">
        <w:trPr>
          <w:cantSplit/>
          <w:trHeight w:val="290"/>
          <w:tblHeader/>
          <w:jc w:val="center"/>
        </w:trPr>
        <w:tc>
          <w:tcPr>
            <w:tcW w:w="945" w:type="pct"/>
          </w:tcPr>
          <w:p w14:paraId="4B22B70D"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570 à 599 jours civils</w:t>
            </w:r>
          </w:p>
        </w:tc>
        <w:tc>
          <w:tcPr>
            <w:tcW w:w="2276" w:type="pct"/>
          </w:tcPr>
          <w:p w14:paraId="0DD55713"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14</w:t>
            </w:r>
          </w:p>
        </w:tc>
        <w:tc>
          <w:tcPr>
            <w:tcW w:w="1779" w:type="pct"/>
          </w:tcPr>
          <w:p w14:paraId="4C7A3637"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r>
      <w:tr w:rsidR="00A61389" w:rsidRPr="008A5FB8" w14:paraId="43636548" w14:textId="77777777" w:rsidTr="003E35C9">
        <w:trPr>
          <w:cantSplit/>
          <w:trHeight w:val="290"/>
          <w:tblHeader/>
          <w:jc w:val="center"/>
        </w:trPr>
        <w:tc>
          <w:tcPr>
            <w:tcW w:w="945" w:type="pct"/>
          </w:tcPr>
          <w:p w14:paraId="21A4FB63"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600 à 629 jours civils</w:t>
            </w:r>
          </w:p>
        </w:tc>
        <w:tc>
          <w:tcPr>
            <w:tcW w:w="2276" w:type="pct"/>
          </w:tcPr>
          <w:p w14:paraId="514CD0A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12</w:t>
            </w:r>
          </w:p>
        </w:tc>
        <w:tc>
          <w:tcPr>
            <w:tcW w:w="1779" w:type="pct"/>
          </w:tcPr>
          <w:p w14:paraId="0AED0EF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A61389" w:rsidRPr="008A5FB8" w14:paraId="1C104D2C" w14:textId="77777777" w:rsidTr="003E35C9">
        <w:trPr>
          <w:cantSplit/>
          <w:trHeight w:val="290"/>
          <w:tblHeader/>
          <w:jc w:val="center"/>
        </w:trPr>
        <w:tc>
          <w:tcPr>
            <w:tcW w:w="945" w:type="pct"/>
          </w:tcPr>
          <w:p w14:paraId="57314F4D"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630 à 659 jours civils</w:t>
            </w:r>
          </w:p>
        </w:tc>
        <w:tc>
          <w:tcPr>
            <w:tcW w:w="2276" w:type="pct"/>
          </w:tcPr>
          <w:p w14:paraId="19BC162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w:t>
            </w:r>
          </w:p>
        </w:tc>
        <w:tc>
          <w:tcPr>
            <w:tcW w:w="1779" w:type="pct"/>
          </w:tcPr>
          <w:p w14:paraId="5FAA1C66"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480F812B" w14:textId="77777777" w:rsidTr="003E35C9">
        <w:trPr>
          <w:cantSplit/>
          <w:trHeight w:val="290"/>
          <w:tblHeader/>
          <w:jc w:val="center"/>
        </w:trPr>
        <w:tc>
          <w:tcPr>
            <w:tcW w:w="945" w:type="pct"/>
          </w:tcPr>
          <w:p w14:paraId="386D5BD7"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660 à 689 jours civils</w:t>
            </w:r>
          </w:p>
        </w:tc>
        <w:tc>
          <w:tcPr>
            <w:tcW w:w="2276" w:type="pct"/>
          </w:tcPr>
          <w:p w14:paraId="56690C30"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5</w:t>
            </w:r>
          </w:p>
        </w:tc>
        <w:tc>
          <w:tcPr>
            <w:tcW w:w="1779" w:type="pct"/>
          </w:tcPr>
          <w:p w14:paraId="17057969"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4F21F518" w14:textId="77777777" w:rsidTr="003E35C9">
        <w:trPr>
          <w:cantSplit/>
          <w:trHeight w:val="290"/>
          <w:tblHeader/>
          <w:jc w:val="center"/>
        </w:trPr>
        <w:tc>
          <w:tcPr>
            <w:tcW w:w="945" w:type="pct"/>
          </w:tcPr>
          <w:p w14:paraId="15DB282A"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690 à 719 jours civils</w:t>
            </w:r>
          </w:p>
        </w:tc>
        <w:tc>
          <w:tcPr>
            <w:tcW w:w="2276" w:type="pct"/>
          </w:tcPr>
          <w:p w14:paraId="13A0890F"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w:t>
            </w:r>
          </w:p>
        </w:tc>
        <w:tc>
          <w:tcPr>
            <w:tcW w:w="1779" w:type="pct"/>
          </w:tcPr>
          <w:p w14:paraId="10B6C7F6"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3B283565" w14:textId="77777777" w:rsidTr="003E35C9">
        <w:trPr>
          <w:cantSplit/>
          <w:trHeight w:val="302"/>
          <w:tblHeader/>
          <w:jc w:val="center"/>
        </w:trPr>
        <w:tc>
          <w:tcPr>
            <w:tcW w:w="945" w:type="pct"/>
          </w:tcPr>
          <w:p w14:paraId="64C4738E"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720 à 749 jours civils</w:t>
            </w:r>
          </w:p>
        </w:tc>
        <w:tc>
          <w:tcPr>
            <w:tcW w:w="2276" w:type="pct"/>
          </w:tcPr>
          <w:p w14:paraId="5F92069F"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11</w:t>
            </w:r>
          </w:p>
        </w:tc>
        <w:tc>
          <w:tcPr>
            <w:tcW w:w="1779" w:type="pct"/>
          </w:tcPr>
          <w:p w14:paraId="0014DB28"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A61389" w:rsidRPr="008A5FB8" w14:paraId="5246113C" w14:textId="77777777" w:rsidTr="003E35C9">
        <w:trPr>
          <w:cantSplit/>
          <w:trHeight w:val="290"/>
          <w:tblHeader/>
          <w:jc w:val="center"/>
        </w:trPr>
        <w:tc>
          <w:tcPr>
            <w:tcW w:w="945" w:type="pct"/>
          </w:tcPr>
          <w:p w14:paraId="10952F73"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750 à 779 jours civils</w:t>
            </w:r>
          </w:p>
        </w:tc>
        <w:tc>
          <w:tcPr>
            <w:tcW w:w="2276" w:type="pct"/>
          </w:tcPr>
          <w:p w14:paraId="464A0207"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c>
          <w:tcPr>
            <w:tcW w:w="1779" w:type="pct"/>
          </w:tcPr>
          <w:p w14:paraId="203CA9AD"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r>
      <w:tr w:rsidR="00A61389" w:rsidRPr="008A5FB8" w14:paraId="3168D022" w14:textId="77777777" w:rsidTr="003E35C9">
        <w:trPr>
          <w:cantSplit/>
          <w:trHeight w:val="290"/>
          <w:tblHeader/>
          <w:jc w:val="center"/>
        </w:trPr>
        <w:tc>
          <w:tcPr>
            <w:tcW w:w="945" w:type="pct"/>
          </w:tcPr>
          <w:p w14:paraId="65101E42"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780 à 809 jours civils</w:t>
            </w:r>
          </w:p>
        </w:tc>
        <w:tc>
          <w:tcPr>
            <w:tcW w:w="2276" w:type="pct"/>
          </w:tcPr>
          <w:p w14:paraId="3665C6A8"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7</w:t>
            </w:r>
          </w:p>
        </w:tc>
        <w:tc>
          <w:tcPr>
            <w:tcW w:w="1779" w:type="pct"/>
          </w:tcPr>
          <w:p w14:paraId="7982FE75"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4FB87FF5" w14:textId="77777777" w:rsidTr="003E35C9">
        <w:trPr>
          <w:cantSplit/>
          <w:trHeight w:val="290"/>
          <w:tblHeader/>
          <w:jc w:val="center"/>
        </w:trPr>
        <w:tc>
          <w:tcPr>
            <w:tcW w:w="945" w:type="pct"/>
          </w:tcPr>
          <w:p w14:paraId="1D05651F"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810 à 839 jours civils</w:t>
            </w:r>
          </w:p>
        </w:tc>
        <w:tc>
          <w:tcPr>
            <w:tcW w:w="2276" w:type="pct"/>
          </w:tcPr>
          <w:p w14:paraId="730515A6"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c>
          <w:tcPr>
            <w:tcW w:w="1779" w:type="pct"/>
          </w:tcPr>
          <w:p w14:paraId="251C74C5"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22F29B81" w14:textId="77777777" w:rsidTr="003E35C9">
        <w:trPr>
          <w:cantSplit/>
          <w:trHeight w:val="290"/>
          <w:tblHeader/>
          <w:jc w:val="center"/>
        </w:trPr>
        <w:tc>
          <w:tcPr>
            <w:tcW w:w="945" w:type="pct"/>
          </w:tcPr>
          <w:p w14:paraId="7411C466"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840 à 869 jours civils</w:t>
            </w:r>
          </w:p>
        </w:tc>
        <w:tc>
          <w:tcPr>
            <w:tcW w:w="2276" w:type="pct"/>
          </w:tcPr>
          <w:p w14:paraId="68A87A8F"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2</w:t>
            </w:r>
          </w:p>
        </w:tc>
        <w:tc>
          <w:tcPr>
            <w:tcW w:w="1779" w:type="pct"/>
          </w:tcPr>
          <w:p w14:paraId="2272A362"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6ED22109" w14:textId="77777777" w:rsidTr="003E35C9">
        <w:trPr>
          <w:cantSplit/>
          <w:trHeight w:val="290"/>
          <w:tblHeader/>
          <w:jc w:val="center"/>
        </w:trPr>
        <w:tc>
          <w:tcPr>
            <w:tcW w:w="945" w:type="pct"/>
          </w:tcPr>
          <w:p w14:paraId="5044607B"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870 à 899 jours civils</w:t>
            </w:r>
          </w:p>
        </w:tc>
        <w:tc>
          <w:tcPr>
            <w:tcW w:w="2276" w:type="pct"/>
          </w:tcPr>
          <w:p w14:paraId="6A36267F"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c>
          <w:tcPr>
            <w:tcW w:w="1779" w:type="pct"/>
          </w:tcPr>
          <w:p w14:paraId="3A6FD1D8"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54BE030D" w14:textId="77777777" w:rsidTr="003E35C9">
        <w:trPr>
          <w:cantSplit/>
          <w:trHeight w:val="290"/>
          <w:tblHeader/>
          <w:jc w:val="center"/>
        </w:trPr>
        <w:tc>
          <w:tcPr>
            <w:tcW w:w="945" w:type="pct"/>
          </w:tcPr>
          <w:p w14:paraId="0E4A40BF"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900 à 929 jours civils</w:t>
            </w:r>
          </w:p>
        </w:tc>
        <w:tc>
          <w:tcPr>
            <w:tcW w:w="2276" w:type="pct"/>
          </w:tcPr>
          <w:p w14:paraId="51A29735"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3</w:t>
            </w:r>
          </w:p>
        </w:tc>
        <w:tc>
          <w:tcPr>
            <w:tcW w:w="1779" w:type="pct"/>
          </w:tcPr>
          <w:p w14:paraId="658FB274"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078B78CA" w14:textId="77777777" w:rsidTr="003E35C9">
        <w:trPr>
          <w:cantSplit/>
          <w:trHeight w:val="290"/>
          <w:tblHeader/>
          <w:jc w:val="center"/>
        </w:trPr>
        <w:tc>
          <w:tcPr>
            <w:tcW w:w="945" w:type="pct"/>
          </w:tcPr>
          <w:p w14:paraId="1887EDAE"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930 à 959 jours civils</w:t>
            </w:r>
          </w:p>
        </w:tc>
        <w:tc>
          <w:tcPr>
            <w:tcW w:w="2276" w:type="pct"/>
          </w:tcPr>
          <w:p w14:paraId="31B5EB87"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1</w:t>
            </w:r>
          </w:p>
        </w:tc>
        <w:tc>
          <w:tcPr>
            <w:tcW w:w="1779" w:type="pct"/>
          </w:tcPr>
          <w:p w14:paraId="2B19602D"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399378D7" w14:textId="77777777" w:rsidTr="003E35C9">
        <w:trPr>
          <w:cantSplit/>
          <w:trHeight w:val="290"/>
          <w:tblHeader/>
          <w:jc w:val="center"/>
        </w:trPr>
        <w:tc>
          <w:tcPr>
            <w:tcW w:w="945" w:type="pct"/>
          </w:tcPr>
          <w:p w14:paraId="0CA59A14"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960 à 989 jours civils</w:t>
            </w:r>
          </w:p>
        </w:tc>
        <w:tc>
          <w:tcPr>
            <w:tcW w:w="2276" w:type="pct"/>
          </w:tcPr>
          <w:p w14:paraId="4814A9B0"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c>
          <w:tcPr>
            <w:tcW w:w="1779" w:type="pct"/>
          </w:tcPr>
          <w:p w14:paraId="5BBE9629"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r w:rsidR="00A61389" w:rsidRPr="008A5FB8" w14:paraId="35C108FF" w14:textId="77777777" w:rsidTr="003E35C9">
        <w:trPr>
          <w:cantSplit/>
          <w:trHeight w:val="290"/>
          <w:tblHeader/>
          <w:jc w:val="center"/>
        </w:trPr>
        <w:tc>
          <w:tcPr>
            <w:tcW w:w="945" w:type="pct"/>
          </w:tcPr>
          <w:p w14:paraId="698F90B1" w14:textId="77777777" w:rsidR="00A61389" w:rsidRPr="008A5FB8" w:rsidRDefault="00A61389" w:rsidP="004C326F">
            <w:pPr>
              <w:autoSpaceDE w:val="0"/>
              <w:autoSpaceDN w:val="0"/>
              <w:adjustRightInd w:val="0"/>
              <w:rPr>
                <w:rFonts w:asciiTheme="minorHAnsi" w:hAnsiTheme="minorHAnsi" w:cstheme="minorHAnsi"/>
                <w:sz w:val="22"/>
                <w:szCs w:val="22"/>
              </w:rPr>
            </w:pPr>
            <w:r w:rsidRPr="008A5FB8">
              <w:rPr>
                <w:rFonts w:asciiTheme="minorHAnsi" w:hAnsiTheme="minorHAnsi" w:cstheme="minorHAnsi"/>
                <w:sz w:val="22"/>
                <w:szCs w:val="22"/>
              </w:rPr>
              <w:t>Plus de 990 jours civils</w:t>
            </w:r>
          </w:p>
        </w:tc>
        <w:tc>
          <w:tcPr>
            <w:tcW w:w="2276" w:type="pct"/>
          </w:tcPr>
          <w:p w14:paraId="43AEC62B"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c>
          <w:tcPr>
            <w:tcW w:w="1779" w:type="pct"/>
          </w:tcPr>
          <w:p w14:paraId="22F540BB" w14:textId="77777777" w:rsidR="00A61389" w:rsidRPr="008A5FB8" w:rsidRDefault="00A61389" w:rsidP="004C326F">
            <w:pPr>
              <w:autoSpaceDE w:val="0"/>
              <w:autoSpaceDN w:val="0"/>
              <w:adjustRightInd w:val="0"/>
              <w:jc w:val="center"/>
              <w:rPr>
                <w:rFonts w:asciiTheme="minorHAnsi" w:hAnsiTheme="minorHAnsi" w:cstheme="minorHAnsi"/>
                <w:sz w:val="22"/>
                <w:szCs w:val="22"/>
              </w:rPr>
            </w:pPr>
            <w:r w:rsidRPr="008A5FB8">
              <w:rPr>
                <w:rFonts w:asciiTheme="minorHAnsi" w:hAnsiTheme="minorHAnsi" w:cstheme="minorHAnsi"/>
                <w:sz w:val="22"/>
                <w:szCs w:val="22"/>
              </w:rPr>
              <w:t>0</w:t>
            </w:r>
          </w:p>
        </w:tc>
      </w:tr>
    </w:tbl>
    <w:p w14:paraId="6244810B" w14:textId="77777777" w:rsidR="001F7FD3" w:rsidRDefault="001F7FD3" w:rsidP="008A5FB8">
      <w:pPr>
        <w:contextualSpacing/>
        <w:rPr>
          <w:rStyle w:val="lev"/>
        </w:rPr>
        <w:sectPr w:rsidR="001F7FD3" w:rsidSect="004E0365">
          <w:headerReference w:type="default" r:id="rId31"/>
          <w:footerReference w:type="even" r:id="rId32"/>
          <w:footerReference w:type="default" r:id="rId33"/>
          <w:pgSz w:w="24480" w:h="15840" w:orient="landscape" w:code="3"/>
          <w:pgMar w:top="1440" w:right="1080" w:bottom="1440" w:left="1080" w:header="708" w:footer="708" w:gutter="0"/>
          <w:cols w:space="708"/>
          <w:docGrid w:linePitch="360"/>
        </w:sectPr>
      </w:pPr>
    </w:p>
    <w:p w14:paraId="677BC737" w14:textId="6EF90512" w:rsidR="008A5FB8" w:rsidRPr="00077278" w:rsidRDefault="008A5FB8" w:rsidP="00064AA1">
      <w:pPr>
        <w:pStyle w:val="Titre1"/>
        <w:spacing w:before="120" w:after="120"/>
        <w:rPr>
          <w:sz w:val="40"/>
          <w:szCs w:val="40"/>
        </w:rPr>
      </w:pPr>
      <w:r w:rsidRPr="00077278">
        <w:rPr>
          <w:sz w:val="40"/>
          <w:szCs w:val="40"/>
        </w:rPr>
        <w:lastRenderedPageBreak/>
        <w:t>Notes techniques :</w:t>
      </w:r>
    </w:p>
    <w:p w14:paraId="129674F5" w14:textId="77777777" w:rsidR="008A5FB8" w:rsidRPr="008A5FB8" w:rsidRDefault="008A5FB8" w:rsidP="007C574B">
      <w:pPr>
        <w:pStyle w:val="Paragraphedeliste"/>
        <w:numPr>
          <w:ilvl w:val="0"/>
          <w:numId w:val="31"/>
        </w:numPr>
        <w:spacing w:after="0"/>
        <w:contextualSpacing w:val="0"/>
        <w:rPr>
          <w:rFonts w:asciiTheme="minorHAnsi" w:hAnsiTheme="minorHAnsi" w:cstheme="minorHAnsi"/>
          <w:sz w:val="22"/>
          <w:szCs w:val="22"/>
        </w:rPr>
      </w:pPr>
      <w:r w:rsidRPr="008A5FB8">
        <w:rPr>
          <w:rFonts w:asciiTheme="minorHAnsi" w:eastAsiaTheme="minorHAnsi" w:hAnsiTheme="minorHAnsi" w:cstheme="minorHAnsi"/>
          <w:bCs/>
          <w:sz w:val="22"/>
          <w:szCs w:val="22"/>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8A5FB8">
        <w:rPr>
          <w:rFonts w:asciiTheme="minorHAnsi" w:hAnsiTheme="minorHAnsi" w:cstheme="minorHAnsi"/>
          <w:sz w:val="22"/>
          <w:szCs w:val="22"/>
        </w:rPr>
        <w:t>Les PANA ne sont pas requis pour toutes les activités de dotation interne. Par conséquent, cette mesure se limite aux rapports sur les nominations promotionnels internes.</w:t>
      </w:r>
    </w:p>
    <w:p w14:paraId="311184AA" w14:textId="77777777" w:rsidR="008A5FB8" w:rsidRPr="008A5FB8" w:rsidRDefault="008A5FB8" w:rsidP="007C574B">
      <w:pPr>
        <w:pStyle w:val="Paragraphedeliste"/>
        <w:numPr>
          <w:ilvl w:val="0"/>
          <w:numId w:val="31"/>
        </w:numPr>
        <w:spacing w:before="100" w:beforeAutospacing="1" w:after="100" w:afterAutospacing="1"/>
        <w:rPr>
          <w:rFonts w:asciiTheme="minorHAnsi" w:eastAsiaTheme="minorHAnsi" w:hAnsiTheme="minorHAnsi" w:cstheme="minorHAnsi"/>
          <w:bCs/>
          <w:sz w:val="22"/>
          <w:szCs w:val="22"/>
        </w:rPr>
      </w:pPr>
      <w:r w:rsidRPr="008A5FB8">
        <w:rPr>
          <w:rFonts w:asciiTheme="minorHAnsi" w:eastAsiaTheme="minorHAnsi" w:hAnsiTheme="minorHAnsi" w:cstheme="minorHAnsi"/>
          <w:bCs/>
          <w:sz w:val="22"/>
          <w:szCs w:val="22"/>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8A5FB8">
        <w:rPr>
          <w:rFonts w:asciiTheme="minorHAnsi" w:eastAsiaTheme="minorHAnsi" w:hAnsiTheme="minorHAnsi" w:cstheme="minorHAnsi"/>
          <w:bCs/>
          <w:i/>
          <w:sz w:val="22"/>
          <w:szCs w:val="22"/>
        </w:rPr>
        <w:t xml:space="preserve">Loi sur l'emploi dans la fonction publique </w:t>
      </w:r>
      <w:r w:rsidRPr="008A5FB8">
        <w:rPr>
          <w:rFonts w:asciiTheme="minorHAnsi" w:eastAsiaTheme="minorHAnsi" w:hAnsiTheme="minorHAnsi" w:cstheme="minorHAnsi"/>
          <w:bCs/>
          <w:sz w:val="22"/>
          <w:szCs w:val="22"/>
        </w:rPr>
        <w:t>pour les postes de durée déterminée et ceux pour une période indéterminée. Parce que le lien des données entre les systèmes utilise un jumelage probabiliste, des erreurs de mesure sont donc possibles.</w:t>
      </w:r>
    </w:p>
    <w:p w14:paraId="198B0AC6" w14:textId="77777777" w:rsidR="008A5FB8" w:rsidRPr="008A5FB8" w:rsidRDefault="008A5FB8" w:rsidP="007C574B">
      <w:pPr>
        <w:pStyle w:val="Paragraphedeliste"/>
        <w:numPr>
          <w:ilvl w:val="0"/>
          <w:numId w:val="31"/>
        </w:numPr>
        <w:spacing w:before="100" w:beforeAutospacing="1" w:after="100" w:afterAutospacing="1"/>
        <w:rPr>
          <w:rFonts w:asciiTheme="minorHAnsi" w:eastAsiaTheme="minorHAnsi" w:hAnsiTheme="minorHAnsi" w:cstheme="minorHAnsi"/>
          <w:bCs/>
          <w:sz w:val="22"/>
          <w:szCs w:val="22"/>
        </w:rPr>
      </w:pPr>
      <w:r w:rsidRPr="008A5FB8">
        <w:rPr>
          <w:rFonts w:asciiTheme="minorHAnsi" w:eastAsiaTheme="minorHAnsi" w:hAnsiTheme="minorHAnsi" w:cstheme="minorHAnsi"/>
          <w:bCs/>
          <w:sz w:val="22"/>
          <w:szCs w:val="22"/>
        </w:rPr>
        <w:t>Seules les nominations d'une durée déterminée et les nominations pour une période indéterminée sont incluses (les mutations, les nominations d’employés occasionnels et les nominations intérimaires sont exclues).</w:t>
      </w:r>
    </w:p>
    <w:p w14:paraId="708EE8C6" w14:textId="77777777" w:rsidR="008A5FB8" w:rsidRPr="00077278" w:rsidRDefault="008A5FB8" w:rsidP="00064AA1">
      <w:pPr>
        <w:pStyle w:val="Titre1"/>
        <w:spacing w:before="120" w:after="120"/>
        <w:rPr>
          <w:sz w:val="40"/>
          <w:szCs w:val="40"/>
        </w:rPr>
      </w:pPr>
      <w:r w:rsidRPr="00077278">
        <w:rPr>
          <w:sz w:val="40"/>
          <w:szCs w:val="40"/>
        </w:rPr>
        <w:t>Source :</w:t>
      </w:r>
    </w:p>
    <w:p w14:paraId="3584F422" w14:textId="77777777" w:rsidR="008A5FB8" w:rsidRPr="008A5FB8" w:rsidRDefault="008A5FB8" w:rsidP="007C574B">
      <w:pPr>
        <w:pStyle w:val="Paragraphedeliste"/>
        <w:numPr>
          <w:ilvl w:val="0"/>
          <w:numId w:val="32"/>
        </w:numPr>
        <w:spacing w:after="0"/>
        <w:rPr>
          <w:rFonts w:asciiTheme="minorHAnsi" w:eastAsiaTheme="minorHAnsi" w:hAnsiTheme="minorHAnsi" w:cstheme="minorHAnsi"/>
          <w:bCs/>
          <w:sz w:val="22"/>
          <w:szCs w:val="22"/>
        </w:rPr>
      </w:pPr>
      <w:r w:rsidRPr="008A5FB8">
        <w:rPr>
          <w:rFonts w:asciiTheme="minorHAnsi" w:eastAsiaTheme="minorHAnsi" w:hAnsiTheme="minorHAnsi" w:cstheme="minorHAnsi"/>
          <w:bCs/>
          <w:sz w:val="22"/>
          <w:szCs w:val="22"/>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52D63570" w14:textId="77777777" w:rsidR="008A5FB8" w:rsidRPr="008A5FB8" w:rsidRDefault="008A5FB8" w:rsidP="007C574B">
      <w:pPr>
        <w:pStyle w:val="Paragraphedeliste"/>
        <w:numPr>
          <w:ilvl w:val="0"/>
          <w:numId w:val="32"/>
        </w:numPr>
        <w:spacing w:before="100" w:beforeAutospacing="1" w:after="100" w:afterAutospacing="1"/>
        <w:rPr>
          <w:rFonts w:asciiTheme="minorHAnsi" w:eastAsiaTheme="minorHAnsi" w:hAnsiTheme="minorHAnsi" w:cstheme="minorHAnsi"/>
          <w:bCs/>
          <w:sz w:val="22"/>
          <w:szCs w:val="22"/>
        </w:rPr>
      </w:pPr>
      <w:r w:rsidRPr="008A5FB8">
        <w:rPr>
          <w:rFonts w:asciiTheme="minorHAnsi" w:eastAsiaTheme="minorHAnsi" w:hAnsiTheme="minorHAnsi" w:cstheme="minorHAnsi"/>
          <w:bCs/>
          <w:sz w:val="22"/>
          <w:szCs w:val="22"/>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18A59CA9" w14:textId="77777777" w:rsidR="008A5FB8" w:rsidRPr="008A5FB8" w:rsidRDefault="008A5FB8" w:rsidP="007C574B">
      <w:pPr>
        <w:pStyle w:val="Paragraphedeliste"/>
        <w:numPr>
          <w:ilvl w:val="0"/>
          <w:numId w:val="32"/>
        </w:numPr>
        <w:spacing w:before="100" w:beforeAutospacing="1" w:after="100" w:afterAutospacing="1"/>
        <w:contextualSpacing w:val="0"/>
        <w:rPr>
          <w:rFonts w:asciiTheme="minorHAnsi" w:eastAsiaTheme="minorHAnsi" w:hAnsiTheme="minorHAnsi" w:cstheme="minorHAnsi"/>
          <w:bCs/>
          <w:sz w:val="22"/>
          <w:szCs w:val="22"/>
        </w:rPr>
      </w:pPr>
      <w:r w:rsidRPr="008A5FB8">
        <w:rPr>
          <w:rFonts w:asciiTheme="minorHAnsi" w:eastAsiaTheme="minorHAnsi" w:hAnsiTheme="minorHAnsi" w:cstheme="minorHAnsi"/>
          <w:bCs/>
          <w:sz w:val="22"/>
          <w:szCs w:val="22"/>
        </w:rPr>
        <w:t>Ces données ne correspondent pas nécessairement aux donnés sur les ressources humaines de chaque organisation en raison des différences de méthodologie et des périodes visées par l’analyse.</w:t>
      </w:r>
    </w:p>
    <w:p w14:paraId="7F09A3B7" w14:textId="77777777" w:rsidR="008A5FB8" w:rsidRPr="008A5FB8" w:rsidRDefault="008A5FB8" w:rsidP="007C574B">
      <w:pPr>
        <w:pStyle w:val="Paragraphedeliste"/>
        <w:numPr>
          <w:ilvl w:val="0"/>
          <w:numId w:val="32"/>
        </w:numPr>
        <w:spacing w:before="240" w:after="0"/>
        <w:contextualSpacing w:val="0"/>
        <w:rPr>
          <w:rFonts w:asciiTheme="minorHAnsi" w:hAnsiTheme="minorHAnsi" w:cstheme="minorHAnsi"/>
          <w:sz w:val="22"/>
          <w:szCs w:val="22"/>
        </w:rPr>
      </w:pPr>
      <w:r w:rsidRPr="008A5FB8">
        <w:rPr>
          <w:rFonts w:asciiTheme="minorHAnsi" w:hAnsiTheme="minorHAnsi" w:cstheme="minorHAnsi"/>
          <w:sz w:val="22"/>
          <w:szCs w:val="22"/>
        </w:rPr>
        <w:t>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les nominations promotionnels internes</w:t>
      </w:r>
    </w:p>
    <w:p w14:paraId="2FDA9885" w14:textId="77777777" w:rsidR="008A5FB8" w:rsidRPr="008A5FB8" w:rsidRDefault="008A5FB8" w:rsidP="007C574B">
      <w:pPr>
        <w:pStyle w:val="Paragraphedeliste"/>
        <w:numPr>
          <w:ilvl w:val="0"/>
          <w:numId w:val="32"/>
        </w:numPr>
        <w:spacing w:after="0"/>
        <w:rPr>
          <w:rFonts w:asciiTheme="minorHAnsi" w:hAnsiTheme="minorHAnsi" w:cstheme="minorHAnsi"/>
          <w:sz w:val="22"/>
          <w:szCs w:val="22"/>
        </w:rPr>
      </w:pPr>
      <w:r w:rsidRPr="008A5FB8">
        <w:rPr>
          <w:rFonts w:asciiTheme="minorHAnsi" w:hAnsiTheme="minorHAnsi" w:cstheme="minorHAnsi"/>
          <w:sz w:val="22"/>
          <w:szCs w:val="22"/>
        </w:rPr>
        <w:t>Seules les nominations à des postes de durée déterminée et les nominations à des postes pour une période indéterminée sont incluses (les mutations, les nominations occasionnelles et les nominations intérimaires sont exclues)</w:t>
      </w:r>
    </w:p>
    <w:p w14:paraId="39818B25" w14:textId="77777777" w:rsidR="00D54BE5" w:rsidRDefault="008A5FB8" w:rsidP="007C574B">
      <w:pPr>
        <w:pStyle w:val="Paragraphedeliste"/>
        <w:numPr>
          <w:ilvl w:val="0"/>
          <w:numId w:val="32"/>
        </w:numPr>
        <w:spacing w:after="0"/>
        <w:rPr>
          <w:rFonts w:asciiTheme="minorHAnsi" w:hAnsiTheme="minorHAnsi" w:cstheme="minorHAnsi"/>
          <w:sz w:val="22"/>
          <w:szCs w:val="22"/>
        </w:rPr>
        <w:sectPr w:rsidR="00D54BE5" w:rsidSect="004E0365">
          <w:footerReference w:type="even" r:id="rId34"/>
          <w:footerReference w:type="default" r:id="rId35"/>
          <w:pgSz w:w="12240" w:h="15840"/>
          <w:pgMar w:top="1440" w:right="1080" w:bottom="1440" w:left="1080" w:header="708" w:footer="708" w:gutter="0"/>
          <w:cols w:space="708"/>
          <w:docGrid w:linePitch="360"/>
        </w:sectPr>
      </w:pPr>
      <w:r w:rsidRPr="008A5FB8">
        <w:rPr>
          <w:rFonts w:asciiTheme="minorHAnsi" w:hAnsiTheme="minorHAnsi" w:cstheme="minorHAnsi"/>
          <w:sz w:val="22"/>
          <w:szCs w:val="22"/>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Loi sur l'emploi dans la </w:t>
      </w:r>
      <w:r w:rsidRPr="008A5FB8">
        <w:rPr>
          <w:rFonts w:asciiTheme="minorHAnsi" w:hAnsiTheme="minorHAnsi" w:cstheme="minorHAnsi"/>
          <w:sz w:val="22"/>
          <w:szCs w:val="22"/>
        </w:rPr>
        <w:lastRenderedPageBreak/>
        <w:t>fonction publique pour les postes de durée déterminée et pour les postes pour une période indéterminée. Seules les nominations d’une durée déterminée et les nominations pour une période indéterminée sont incluses (les mutations, les nominations occasionnelles et les nominations intérimaires sont exclues)</w:t>
      </w:r>
    </w:p>
    <w:p w14:paraId="2EF2624F" w14:textId="77777777" w:rsidR="008A5FB8" w:rsidRPr="008A5FB8" w:rsidRDefault="008A5FB8" w:rsidP="008A5FB8">
      <w:pPr>
        <w:pStyle w:val="Paragraphedeliste"/>
        <w:numPr>
          <w:ilvl w:val="0"/>
          <w:numId w:val="18"/>
        </w:numPr>
        <w:spacing w:after="0"/>
        <w:ind w:left="360"/>
        <w:rPr>
          <w:rFonts w:asciiTheme="minorHAnsi" w:hAnsiTheme="minorHAnsi" w:cstheme="minorHAnsi"/>
          <w:sz w:val="22"/>
          <w:szCs w:val="22"/>
        </w:rPr>
      </w:pPr>
      <w:r w:rsidRPr="008A5FB8">
        <w:rPr>
          <w:rFonts w:asciiTheme="minorHAnsi" w:hAnsiTheme="minorHAnsi" w:cstheme="minorHAnsi"/>
          <w:sz w:val="22"/>
          <w:szCs w:val="22"/>
        </w:rPr>
        <w:lastRenderedPageBreak/>
        <w:t>Parce que le lien des données entre les systèmes utilise un jumelage probabiliste, des erreurs de mesure sont donc possibles</w:t>
      </w:r>
    </w:p>
    <w:p w14:paraId="23B24BBD" w14:textId="77777777" w:rsidR="008A5FB8" w:rsidRPr="008A5FB8" w:rsidRDefault="008A5FB8" w:rsidP="008A5FB8">
      <w:pPr>
        <w:pStyle w:val="Paragraphedeliste"/>
        <w:numPr>
          <w:ilvl w:val="0"/>
          <w:numId w:val="18"/>
        </w:numPr>
        <w:spacing w:after="0"/>
        <w:ind w:left="360"/>
        <w:rPr>
          <w:rFonts w:asciiTheme="minorHAnsi" w:hAnsiTheme="minorHAnsi" w:cstheme="minorHAnsi"/>
          <w:sz w:val="22"/>
          <w:szCs w:val="22"/>
        </w:rPr>
      </w:pPr>
      <w:r w:rsidRPr="008A5FB8">
        <w:rPr>
          <w:rFonts w:asciiTheme="minorHAnsi" w:hAnsiTheme="minorHAnsi" w:cstheme="minorHAnsi"/>
          <w:sz w:val="22"/>
          <w:szCs w:val="22"/>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0A105FBD" w14:textId="77777777" w:rsidR="008A5FB8" w:rsidRPr="008A5FB8" w:rsidRDefault="008A5FB8" w:rsidP="008A5FB8">
      <w:pPr>
        <w:pStyle w:val="Paragraphedeliste"/>
        <w:numPr>
          <w:ilvl w:val="0"/>
          <w:numId w:val="18"/>
        </w:numPr>
        <w:spacing w:after="0"/>
        <w:ind w:left="360"/>
        <w:rPr>
          <w:rFonts w:asciiTheme="minorHAnsi" w:hAnsiTheme="minorHAnsi" w:cstheme="minorHAnsi"/>
          <w:sz w:val="22"/>
          <w:szCs w:val="22"/>
        </w:rPr>
      </w:pPr>
      <w:r w:rsidRPr="008A5FB8">
        <w:rPr>
          <w:rFonts w:asciiTheme="minorHAnsi" w:hAnsiTheme="minorHAnsi" w:cstheme="minorHAnsi"/>
          <w:sz w:val="22"/>
          <w:szCs w:val="22"/>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3135937A" w14:textId="77777777" w:rsidR="008A5FB8" w:rsidRPr="008A5FB8" w:rsidRDefault="008A5FB8" w:rsidP="008A5FB8">
      <w:pPr>
        <w:pStyle w:val="Paragraphedeliste"/>
        <w:numPr>
          <w:ilvl w:val="0"/>
          <w:numId w:val="18"/>
        </w:numPr>
        <w:spacing w:after="0"/>
        <w:ind w:left="360"/>
        <w:rPr>
          <w:rFonts w:asciiTheme="minorHAnsi" w:hAnsiTheme="minorHAnsi" w:cstheme="minorHAnsi"/>
          <w:sz w:val="22"/>
          <w:szCs w:val="22"/>
        </w:rPr>
      </w:pPr>
      <w:r w:rsidRPr="008A5FB8">
        <w:rPr>
          <w:rFonts w:asciiTheme="minorHAnsi" w:hAnsiTheme="minorHAnsi" w:cstheme="minorHAnsi"/>
          <w:sz w:val="22"/>
          <w:szCs w:val="22"/>
        </w:rPr>
        <w:t>Ces données ne correspondent pas nécessairement aux donnés sur les ressources humaines de chaque organisation en raison des différences de méthodologie et des périodes visées par l’analyse.</w:t>
      </w:r>
    </w:p>
    <w:sectPr w:rsidR="008A5FB8" w:rsidRPr="008A5FB8" w:rsidSect="004E036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16E75" w14:textId="77777777" w:rsidR="008B0E9D" w:rsidRDefault="008B0E9D" w:rsidP="0051557E">
      <w:r>
        <w:separator/>
      </w:r>
    </w:p>
  </w:endnote>
  <w:endnote w:type="continuationSeparator" w:id="0">
    <w:p w14:paraId="28ECC19B" w14:textId="77777777" w:rsidR="008B0E9D" w:rsidRDefault="008B0E9D"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2354189"/>
      <w:docPartObj>
        <w:docPartGallery w:val="Page Numbers (Bottom of Page)"/>
        <w:docPartUnique/>
      </w:docPartObj>
    </w:sdtPr>
    <w:sdtEndPr>
      <w:rPr>
        <w:rFonts w:ascii="Calibri" w:hAnsi="Calibri" w:cs="Calibri"/>
        <w:sz w:val="16"/>
        <w:szCs w:val="16"/>
      </w:rPr>
    </w:sdtEndPr>
    <w:sdtContent>
      <w:p w14:paraId="07605A3D" w14:textId="44A691E9" w:rsidR="008B0E9D" w:rsidRDefault="008B0E9D">
        <w:pPr>
          <w:pStyle w:val="Pieddepage"/>
        </w:pPr>
        <w:r w:rsidRPr="009B4EDC">
          <w:rPr>
            <w:rFonts w:ascii="Calibri" w:hAnsi="Calibri" w:cs="Calibri"/>
            <w:sz w:val="16"/>
            <w:szCs w:val="16"/>
          </w:rPr>
          <w:fldChar w:fldCharType="begin"/>
        </w:r>
        <w:r w:rsidRPr="009B4EDC">
          <w:rPr>
            <w:rFonts w:ascii="Calibri" w:hAnsi="Calibri" w:cs="Calibri"/>
            <w:sz w:val="16"/>
            <w:szCs w:val="16"/>
          </w:rPr>
          <w:instrText>PAGE   \* MERGEFORMAT</w:instrText>
        </w:r>
        <w:r w:rsidRPr="009B4EDC">
          <w:rPr>
            <w:rFonts w:ascii="Calibri" w:hAnsi="Calibri" w:cs="Calibri"/>
            <w:sz w:val="16"/>
            <w:szCs w:val="16"/>
          </w:rPr>
          <w:fldChar w:fldCharType="separate"/>
        </w:r>
        <w:r w:rsidR="008A6680" w:rsidRPr="008A6680">
          <w:rPr>
            <w:rFonts w:ascii="Calibri" w:hAnsi="Calibri" w:cs="Calibri"/>
            <w:noProof/>
            <w:sz w:val="16"/>
            <w:szCs w:val="16"/>
            <w:lang w:val="fr-FR"/>
          </w:rPr>
          <w:t>2</w:t>
        </w:r>
        <w:r w:rsidRPr="009B4EDC">
          <w:rPr>
            <w:rFonts w:ascii="Calibri" w:hAnsi="Calibri" w:cs="Calibri"/>
            <w:sz w:val="16"/>
            <w:szCs w:val="16"/>
          </w:rPr>
          <w:fldChar w:fldCharType="end"/>
        </w:r>
      </w:p>
    </w:sdtContent>
  </w:sdt>
  <w:p w14:paraId="05E781A2" w14:textId="7E099F8C" w:rsidR="008B0E9D" w:rsidRDefault="008B0E9D" w:rsidP="004E0365">
    <w:pPr>
      <w:pStyle w:val="Pieddepage"/>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071438"/>
      <w:docPartObj>
        <w:docPartGallery w:val="Page Numbers (Bottom of Page)"/>
        <w:docPartUnique/>
      </w:docPartObj>
    </w:sdtPr>
    <w:sdtEndPr>
      <w:rPr>
        <w:rFonts w:ascii="Calibri" w:hAnsi="Calibri" w:cs="Calibri"/>
        <w:sz w:val="16"/>
        <w:szCs w:val="16"/>
      </w:rPr>
    </w:sdtEndPr>
    <w:sdtContent>
      <w:p w14:paraId="7B189E35" w14:textId="400191B4" w:rsidR="008B0E9D" w:rsidRPr="009B4EDC" w:rsidRDefault="008B0E9D">
        <w:pPr>
          <w:pStyle w:val="Pieddepage"/>
          <w:rPr>
            <w:rFonts w:ascii="Calibri" w:hAnsi="Calibri" w:cs="Calibri"/>
            <w:sz w:val="16"/>
            <w:szCs w:val="16"/>
          </w:rPr>
        </w:pPr>
        <w:r w:rsidRPr="009B4EDC">
          <w:rPr>
            <w:rFonts w:ascii="Calibri" w:hAnsi="Calibri" w:cs="Calibri"/>
            <w:sz w:val="16"/>
            <w:szCs w:val="16"/>
          </w:rPr>
          <w:fldChar w:fldCharType="begin"/>
        </w:r>
        <w:r w:rsidRPr="009B4EDC">
          <w:rPr>
            <w:rFonts w:ascii="Calibri" w:hAnsi="Calibri" w:cs="Calibri"/>
            <w:sz w:val="16"/>
            <w:szCs w:val="16"/>
          </w:rPr>
          <w:instrText>PAGE   \* MERGEFORMAT</w:instrText>
        </w:r>
        <w:r w:rsidRPr="009B4EDC">
          <w:rPr>
            <w:rFonts w:ascii="Calibri" w:hAnsi="Calibri" w:cs="Calibri"/>
            <w:sz w:val="16"/>
            <w:szCs w:val="16"/>
          </w:rPr>
          <w:fldChar w:fldCharType="separate"/>
        </w:r>
        <w:r w:rsidR="008A6680" w:rsidRPr="008A6680">
          <w:rPr>
            <w:rFonts w:ascii="Calibri" w:hAnsi="Calibri" w:cs="Calibri"/>
            <w:noProof/>
            <w:sz w:val="16"/>
            <w:szCs w:val="16"/>
            <w:lang w:val="fr-FR"/>
          </w:rPr>
          <w:t>1</w:t>
        </w:r>
        <w:r w:rsidRPr="009B4EDC">
          <w:rPr>
            <w:rFonts w:ascii="Calibri" w:hAnsi="Calibri" w:cs="Calibri"/>
            <w:sz w:val="16"/>
            <w:szCs w:val="16"/>
          </w:rPr>
          <w:fldChar w:fldCharType="end"/>
        </w:r>
      </w:p>
    </w:sdtContent>
  </w:sdt>
  <w:p w14:paraId="72C4986E" w14:textId="77777777" w:rsidR="008B0E9D" w:rsidRDefault="008B0E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AA5F6" w14:textId="77777777" w:rsidR="008B0E9D" w:rsidRPr="00ED49DF" w:rsidRDefault="008B0E9D" w:rsidP="008A5FB8">
    <w:pPr>
      <w:pStyle w:val="Pieddepage"/>
      <w:jc w:val="center"/>
      <w:rPr>
        <w:sz w:val="20"/>
      </w:rPr>
    </w:pPr>
    <w:r w:rsidRPr="0079292E">
      <w:rPr>
        <w:sz w:val="20"/>
      </w:rPr>
      <w:t xml:space="preserve">Produit par la Direction des services de données et de l’analyse de la Commission de la fonction publique du Canada – Mise à jour le </w:t>
    </w:r>
    <w:r>
      <w:rPr>
        <w:sz w:val="20"/>
      </w:rPr>
      <w:t>28 juin</w:t>
    </w:r>
    <w:r w:rsidRPr="0079292E">
      <w:rPr>
        <w:sz w:val="20"/>
      </w:rPr>
      <w:t xml:space="preserve">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374131"/>
      <w:docPartObj>
        <w:docPartGallery w:val="Page Numbers (Bottom of Page)"/>
        <w:docPartUnique/>
      </w:docPartObj>
    </w:sdtPr>
    <w:sdtEndPr>
      <w:rPr>
        <w:rFonts w:ascii="Calibri" w:hAnsi="Calibri" w:cs="Calibri"/>
        <w:sz w:val="16"/>
        <w:szCs w:val="16"/>
      </w:rPr>
    </w:sdtEndPr>
    <w:sdtContent>
      <w:p w14:paraId="6E376B2D" w14:textId="24B12240" w:rsidR="008B0E9D" w:rsidRPr="009B4EDC" w:rsidRDefault="008B0E9D">
        <w:pPr>
          <w:pStyle w:val="Pieddepage"/>
          <w:rPr>
            <w:rFonts w:ascii="Calibri" w:hAnsi="Calibri" w:cs="Calibri"/>
            <w:sz w:val="16"/>
            <w:szCs w:val="16"/>
          </w:rPr>
        </w:pPr>
        <w:r w:rsidRPr="009B4EDC">
          <w:rPr>
            <w:rFonts w:ascii="Calibri" w:hAnsi="Calibri" w:cs="Calibri"/>
            <w:sz w:val="16"/>
            <w:szCs w:val="16"/>
          </w:rPr>
          <w:fldChar w:fldCharType="begin"/>
        </w:r>
        <w:r w:rsidRPr="009B4EDC">
          <w:rPr>
            <w:rFonts w:ascii="Calibri" w:hAnsi="Calibri" w:cs="Calibri"/>
            <w:sz w:val="16"/>
            <w:szCs w:val="16"/>
          </w:rPr>
          <w:instrText>PAGE   \* MERGEFORMAT</w:instrText>
        </w:r>
        <w:r w:rsidRPr="009B4EDC">
          <w:rPr>
            <w:rFonts w:ascii="Calibri" w:hAnsi="Calibri" w:cs="Calibri"/>
            <w:sz w:val="16"/>
            <w:szCs w:val="16"/>
          </w:rPr>
          <w:fldChar w:fldCharType="separate"/>
        </w:r>
        <w:r w:rsidR="008A6680" w:rsidRPr="008A6680">
          <w:rPr>
            <w:rFonts w:ascii="Calibri" w:hAnsi="Calibri" w:cs="Calibri"/>
            <w:noProof/>
            <w:sz w:val="16"/>
            <w:szCs w:val="16"/>
            <w:lang w:val="fr-FR"/>
          </w:rPr>
          <w:t>22</w:t>
        </w:r>
        <w:r w:rsidRPr="009B4EDC">
          <w:rPr>
            <w:rFonts w:ascii="Calibri" w:hAnsi="Calibri" w:cs="Calibri"/>
            <w:sz w:val="16"/>
            <w:szCs w:val="16"/>
          </w:rPr>
          <w:fldChar w:fldCharType="end"/>
        </w:r>
      </w:p>
    </w:sdtContent>
  </w:sdt>
  <w:p w14:paraId="13B6965C" w14:textId="76DF43C2" w:rsidR="008B0E9D" w:rsidRPr="00072033" w:rsidRDefault="008B0E9D" w:rsidP="00AE28AD">
    <w:pPr>
      <w:keepLines/>
      <w:tabs>
        <w:tab w:val="center" w:pos="4680"/>
        <w:tab w:val="right" w:pos="9360"/>
      </w:tabs>
      <w:rPr>
        <w:rFonts w:asciiTheme="minorHAnsi" w:eastAsiaTheme="minorHAnsi" w:hAnsiTheme="minorHAnsi" w:cstheme="minorBid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D4090" w14:textId="77777777" w:rsidR="008B0E9D" w:rsidRPr="00A56930" w:rsidRDefault="008B0E9D" w:rsidP="008A5FB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360793"/>
      <w:docPartObj>
        <w:docPartGallery w:val="Page Numbers (Bottom of Page)"/>
        <w:docPartUnique/>
      </w:docPartObj>
    </w:sdtPr>
    <w:sdtEndPr>
      <w:rPr>
        <w:rFonts w:ascii="Calibri" w:hAnsi="Calibri" w:cs="Calibri"/>
        <w:sz w:val="16"/>
        <w:szCs w:val="16"/>
      </w:rPr>
    </w:sdtEndPr>
    <w:sdtContent>
      <w:p w14:paraId="1C38C1E6" w14:textId="0BCFB35D" w:rsidR="008B0E9D" w:rsidRPr="009B4EDC" w:rsidRDefault="008B0E9D">
        <w:pPr>
          <w:pStyle w:val="Pieddepage"/>
          <w:rPr>
            <w:rFonts w:ascii="Calibri" w:hAnsi="Calibri" w:cs="Calibri"/>
            <w:sz w:val="16"/>
            <w:szCs w:val="16"/>
          </w:rPr>
        </w:pPr>
        <w:r w:rsidRPr="009B4EDC">
          <w:rPr>
            <w:rFonts w:ascii="Calibri" w:hAnsi="Calibri" w:cs="Calibri"/>
            <w:sz w:val="16"/>
            <w:szCs w:val="16"/>
          </w:rPr>
          <w:fldChar w:fldCharType="begin"/>
        </w:r>
        <w:r w:rsidRPr="009B4EDC">
          <w:rPr>
            <w:rFonts w:ascii="Calibri" w:hAnsi="Calibri" w:cs="Calibri"/>
            <w:sz w:val="16"/>
            <w:szCs w:val="16"/>
          </w:rPr>
          <w:instrText>PAGE   \* MERGEFORMAT</w:instrText>
        </w:r>
        <w:r w:rsidRPr="009B4EDC">
          <w:rPr>
            <w:rFonts w:ascii="Calibri" w:hAnsi="Calibri" w:cs="Calibri"/>
            <w:sz w:val="16"/>
            <w:szCs w:val="16"/>
          </w:rPr>
          <w:fldChar w:fldCharType="separate"/>
        </w:r>
        <w:r w:rsidR="008A6680" w:rsidRPr="008A6680">
          <w:rPr>
            <w:rFonts w:ascii="Calibri" w:hAnsi="Calibri" w:cs="Calibri"/>
            <w:noProof/>
            <w:sz w:val="16"/>
            <w:szCs w:val="16"/>
            <w:lang w:val="fr-FR"/>
          </w:rPr>
          <w:t>27</w:t>
        </w:r>
        <w:r w:rsidRPr="009B4EDC">
          <w:rPr>
            <w:rFonts w:ascii="Calibri" w:hAnsi="Calibri" w:cs="Calibri"/>
            <w:sz w:val="16"/>
            <w:szCs w:val="16"/>
          </w:rPr>
          <w:fldChar w:fldCharType="end"/>
        </w:r>
      </w:p>
    </w:sdtContent>
  </w:sdt>
  <w:p w14:paraId="2AB08806" w14:textId="4675472F" w:rsidR="008B0E9D" w:rsidRPr="00072033" w:rsidRDefault="008B0E9D" w:rsidP="00AE28AD">
    <w:pPr>
      <w:keepLines/>
      <w:tabs>
        <w:tab w:val="center" w:pos="4680"/>
        <w:tab w:val="right" w:pos="9360"/>
      </w:tabs>
      <w:rPr>
        <w:rFonts w:asciiTheme="minorHAnsi" w:eastAsiaTheme="minorHAnsi" w:hAnsiTheme="minorHAnsi" w:cstheme="minorBidi"/>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CF2A5" w14:textId="77777777" w:rsidR="008B0E9D" w:rsidRPr="00A56930" w:rsidRDefault="008B0E9D" w:rsidP="008A5FB8">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483902"/>
      <w:docPartObj>
        <w:docPartGallery w:val="Page Numbers (Bottom of Page)"/>
        <w:docPartUnique/>
      </w:docPartObj>
    </w:sdtPr>
    <w:sdtEndPr/>
    <w:sdtContent>
      <w:p w14:paraId="3A38FD54" w14:textId="47406111" w:rsidR="008B0E9D" w:rsidRDefault="008B0E9D">
        <w:pPr>
          <w:pStyle w:val="Pieddepage"/>
        </w:pPr>
        <w:r w:rsidRPr="009B4EDC">
          <w:rPr>
            <w:rFonts w:ascii="Calibri" w:hAnsi="Calibri" w:cs="Calibri"/>
            <w:sz w:val="16"/>
            <w:szCs w:val="16"/>
          </w:rPr>
          <w:fldChar w:fldCharType="begin"/>
        </w:r>
        <w:r w:rsidRPr="009B4EDC">
          <w:rPr>
            <w:rFonts w:ascii="Calibri" w:hAnsi="Calibri" w:cs="Calibri"/>
            <w:sz w:val="16"/>
            <w:szCs w:val="16"/>
          </w:rPr>
          <w:instrText>PAGE   \* MERGEFORMAT</w:instrText>
        </w:r>
        <w:r w:rsidRPr="009B4EDC">
          <w:rPr>
            <w:rFonts w:ascii="Calibri" w:hAnsi="Calibri" w:cs="Calibri"/>
            <w:sz w:val="16"/>
            <w:szCs w:val="16"/>
          </w:rPr>
          <w:fldChar w:fldCharType="separate"/>
        </w:r>
        <w:r w:rsidR="008A6680" w:rsidRPr="008A6680">
          <w:rPr>
            <w:rFonts w:ascii="Calibri" w:hAnsi="Calibri" w:cs="Calibri"/>
            <w:noProof/>
            <w:sz w:val="16"/>
            <w:szCs w:val="16"/>
            <w:lang w:val="fr-FR"/>
          </w:rPr>
          <w:t>30</w:t>
        </w:r>
        <w:r w:rsidRPr="009B4EDC">
          <w:rPr>
            <w:rFonts w:ascii="Calibri" w:hAnsi="Calibri" w:cs="Calibri"/>
            <w:sz w:val="16"/>
            <w:szCs w:val="16"/>
          </w:rPr>
          <w:fldChar w:fldCharType="end"/>
        </w:r>
      </w:p>
    </w:sdtContent>
  </w:sdt>
  <w:p w14:paraId="515F05ED" w14:textId="549383ED" w:rsidR="008B0E9D" w:rsidRPr="00072033" w:rsidRDefault="008B0E9D" w:rsidP="00AE28AD">
    <w:pPr>
      <w:keepLines/>
      <w:tabs>
        <w:tab w:val="center" w:pos="4680"/>
        <w:tab w:val="right" w:pos="9360"/>
      </w:tabs>
      <w:rPr>
        <w:rFonts w:asciiTheme="minorHAnsi" w:eastAsiaTheme="minorHAnsi" w:hAnsiTheme="minorHAnsi" w:cstheme="minorBid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6A878" w14:textId="77777777" w:rsidR="008B0E9D" w:rsidRDefault="008B0E9D" w:rsidP="0051557E">
      <w:r>
        <w:separator/>
      </w:r>
    </w:p>
  </w:footnote>
  <w:footnote w:type="continuationSeparator" w:id="0">
    <w:p w14:paraId="74CAE24C" w14:textId="77777777" w:rsidR="008B0E9D" w:rsidRDefault="008B0E9D" w:rsidP="005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BBABF" w14:textId="77777777" w:rsidR="008B0E9D" w:rsidRDefault="008B0E9D" w:rsidP="004E0365">
    <w:pPr>
      <w:pStyle w:val="En-tte"/>
      <w:tabs>
        <w:tab w:val="clear" w:pos="4680"/>
        <w:tab w:val="clear" w:pos="9360"/>
        <w:tab w:val="left" w:pos="4590"/>
      </w:tabs>
      <w:ind w:left="709"/>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D8C2D" w14:textId="7455F7A1" w:rsidR="008B0E9D" w:rsidRPr="005A4FEE" w:rsidRDefault="008B0E9D" w:rsidP="005A4FE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E108B" w14:textId="1EBCE321" w:rsidR="008B0E9D" w:rsidRPr="005A4FEE" w:rsidRDefault="008B0E9D" w:rsidP="005A4FE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118C3" w14:textId="77777777" w:rsidR="008B0E9D" w:rsidRPr="00D54BE5" w:rsidRDefault="008B0E9D" w:rsidP="00D54B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 w15:restartNumberingAfterBreak="0">
    <w:nsid w:val="0AE81EFD"/>
    <w:multiLevelType w:val="hybridMultilevel"/>
    <w:tmpl w:val="2F621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B64CBB"/>
    <w:multiLevelType w:val="hybridMultilevel"/>
    <w:tmpl w:val="AEC8A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42504B"/>
    <w:multiLevelType w:val="hybridMultilevel"/>
    <w:tmpl w:val="637ACBCA"/>
    <w:lvl w:ilvl="0" w:tplc="D4AC7762">
      <w:numFmt w:val="bullet"/>
      <w:lvlText w:val="•"/>
      <w:lvlJc w:val="left"/>
      <w:pPr>
        <w:ind w:left="1080" w:hanging="720"/>
      </w:pPr>
      <w:rPr>
        <w:rFonts w:ascii="Segoe UI Semilight" w:eastAsia="Times New Roman"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560CD"/>
    <w:multiLevelType w:val="hybridMultilevel"/>
    <w:tmpl w:val="A4E8D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12" w15:restartNumberingAfterBreak="0">
    <w:nsid w:val="2D0C71D0"/>
    <w:multiLevelType w:val="hybridMultilevel"/>
    <w:tmpl w:val="FF786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C19D5"/>
    <w:multiLevelType w:val="hybridMultilevel"/>
    <w:tmpl w:val="F3D258B6"/>
    <w:lvl w:ilvl="0" w:tplc="10090005">
      <w:start w:val="1"/>
      <w:numFmt w:val="bullet"/>
      <w:lvlText w:val=""/>
      <w:lvlJc w:val="left"/>
      <w:pPr>
        <w:ind w:left="720" w:hanging="360"/>
      </w:pPr>
      <w:rPr>
        <w:rFonts w:ascii="Wingdings" w:hAnsi="Wingdings" w:hint="default"/>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291CBE"/>
    <w:multiLevelType w:val="hybridMultilevel"/>
    <w:tmpl w:val="98FED652"/>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decimal"/>
      <w:lvlText w:val="%3."/>
      <w:lvlJc w:val="left"/>
      <w:pPr>
        <w:tabs>
          <w:tab w:val="num" w:pos="2520"/>
        </w:tabs>
        <w:ind w:left="2520" w:hanging="360"/>
      </w:pPr>
    </w:lvl>
    <w:lvl w:ilvl="3" w:tplc="1009000F">
      <w:start w:val="1"/>
      <w:numFmt w:val="decimal"/>
      <w:lvlText w:val="%4."/>
      <w:lvlJc w:val="left"/>
      <w:pPr>
        <w:tabs>
          <w:tab w:val="num" w:pos="3240"/>
        </w:tabs>
        <w:ind w:left="3240" w:hanging="360"/>
      </w:pPr>
    </w:lvl>
    <w:lvl w:ilvl="4" w:tplc="10090019">
      <w:start w:val="1"/>
      <w:numFmt w:val="decimal"/>
      <w:lvlText w:val="%5."/>
      <w:lvlJc w:val="left"/>
      <w:pPr>
        <w:tabs>
          <w:tab w:val="num" w:pos="3960"/>
        </w:tabs>
        <w:ind w:left="3960" w:hanging="360"/>
      </w:pPr>
    </w:lvl>
    <w:lvl w:ilvl="5" w:tplc="1009001B">
      <w:start w:val="1"/>
      <w:numFmt w:val="decimal"/>
      <w:lvlText w:val="%6."/>
      <w:lvlJc w:val="left"/>
      <w:pPr>
        <w:tabs>
          <w:tab w:val="num" w:pos="4680"/>
        </w:tabs>
        <w:ind w:left="4680" w:hanging="360"/>
      </w:pPr>
    </w:lvl>
    <w:lvl w:ilvl="6" w:tplc="1009000F">
      <w:start w:val="1"/>
      <w:numFmt w:val="decimal"/>
      <w:lvlText w:val="%7."/>
      <w:lvlJc w:val="left"/>
      <w:pPr>
        <w:tabs>
          <w:tab w:val="num" w:pos="5400"/>
        </w:tabs>
        <w:ind w:left="5400" w:hanging="360"/>
      </w:pPr>
    </w:lvl>
    <w:lvl w:ilvl="7" w:tplc="10090019">
      <w:start w:val="1"/>
      <w:numFmt w:val="decimal"/>
      <w:lvlText w:val="%8."/>
      <w:lvlJc w:val="left"/>
      <w:pPr>
        <w:tabs>
          <w:tab w:val="num" w:pos="6120"/>
        </w:tabs>
        <w:ind w:left="6120" w:hanging="360"/>
      </w:pPr>
    </w:lvl>
    <w:lvl w:ilvl="8" w:tplc="1009001B">
      <w:start w:val="1"/>
      <w:numFmt w:val="decimal"/>
      <w:lvlText w:val="%9."/>
      <w:lvlJc w:val="left"/>
      <w:pPr>
        <w:tabs>
          <w:tab w:val="num" w:pos="6840"/>
        </w:tabs>
        <w:ind w:left="6840" w:hanging="360"/>
      </w:pPr>
    </w:lvl>
  </w:abstractNum>
  <w:abstractNum w:abstractNumId="22"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C975475"/>
    <w:multiLevelType w:val="hybridMultilevel"/>
    <w:tmpl w:val="AE0A5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603743"/>
    <w:multiLevelType w:val="hybridMultilevel"/>
    <w:tmpl w:val="80F83EE6"/>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25"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9C0846"/>
    <w:multiLevelType w:val="hybridMultilevel"/>
    <w:tmpl w:val="352C2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BA6217"/>
    <w:multiLevelType w:val="hybridMultilevel"/>
    <w:tmpl w:val="B5F04A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8"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9"/>
  </w:num>
  <w:num w:numId="4">
    <w:abstractNumId w:val="27"/>
  </w:num>
  <w:num w:numId="5">
    <w:abstractNumId w:val="18"/>
  </w:num>
  <w:num w:numId="6">
    <w:abstractNumId w:val="3"/>
  </w:num>
  <w:num w:numId="7">
    <w:abstractNumId w:val="7"/>
  </w:num>
  <w:num w:numId="8">
    <w:abstractNumId w:val="9"/>
  </w:num>
  <w:num w:numId="9">
    <w:abstractNumId w:val="23"/>
  </w:num>
  <w:num w:numId="10">
    <w:abstractNumId w:val="27"/>
  </w:num>
  <w:num w:numId="11">
    <w:abstractNumId w:val="21"/>
  </w:num>
  <w:num w:numId="12">
    <w:abstractNumId w:val="28"/>
  </w:num>
  <w:num w:numId="13">
    <w:abstractNumId w:val="8"/>
  </w:num>
  <w:num w:numId="14">
    <w:abstractNumId w:val="10"/>
  </w:num>
  <w:num w:numId="15">
    <w:abstractNumId w:val="24"/>
  </w:num>
  <w:num w:numId="16">
    <w:abstractNumId w:val="0"/>
  </w:num>
  <w:num w:numId="17">
    <w:abstractNumId w:val="29"/>
  </w:num>
  <w:num w:numId="18">
    <w:abstractNumId w:val="14"/>
  </w:num>
  <w:num w:numId="19">
    <w:abstractNumId w:val="20"/>
  </w:num>
  <w:num w:numId="20">
    <w:abstractNumId w:val="30"/>
  </w:num>
  <w:num w:numId="21">
    <w:abstractNumId w:val="22"/>
  </w:num>
  <w:num w:numId="22">
    <w:abstractNumId w:val="15"/>
  </w:num>
  <w:num w:numId="23">
    <w:abstractNumId w:val="17"/>
  </w:num>
  <w:num w:numId="24">
    <w:abstractNumId w:val="2"/>
  </w:num>
  <w:num w:numId="25">
    <w:abstractNumId w:val="25"/>
  </w:num>
  <w:num w:numId="26">
    <w:abstractNumId w:val="13"/>
  </w:num>
  <w:num w:numId="27">
    <w:abstractNumId w:val="11"/>
  </w:num>
  <w:num w:numId="28">
    <w:abstractNumId w:val="16"/>
  </w:num>
  <w:num w:numId="29">
    <w:abstractNumId w:val="26"/>
  </w:num>
  <w:num w:numId="30">
    <w:abstractNumId w:val="6"/>
  </w:num>
  <w:num w:numId="31">
    <w:abstractNumId w:val="12"/>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93"/>
    <w:rsid w:val="00061B0F"/>
    <w:rsid w:val="00064AA1"/>
    <w:rsid w:val="00077278"/>
    <w:rsid w:val="00085852"/>
    <w:rsid w:val="000943DD"/>
    <w:rsid w:val="000F6C01"/>
    <w:rsid w:val="00104A68"/>
    <w:rsid w:val="00190620"/>
    <w:rsid w:val="001A3E7A"/>
    <w:rsid w:val="001B0947"/>
    <w:rsid w:val="001B5DEC"/>
    <w:rsid w:val="001D18F3"/>
    <w:rsid w:val="001E5361"/>
    <w:rsid w:val="001E53CE"/>
    <w:rsid w:val="001F6BD4"/>
    <w:rsid w:val="001F7FD3"/>
    <w:rsid w:val="00210749"/>
    <w:rsid w:val="00214859"/>
    <w:rsid w:val="00236654"/>
    <w:rsid w:val="00244CD0"/>
    <w:rsid w:val="00330CF1"/>
    <w:rsid w:val="00365B6E"/>
    <w:rsid w:val="003C3C24"/>
    <w:rsid w:val="003E35C9"/>
    <w:rsid w:val="00402179"/>
    <w:rsid w:val="0041748A"/>
    <w:rsid w:val="00434021"/>
    <w:rsid w:val="00442CAD"/>
    <w:rsid w:val="00447167"/>
    <w:rsid w:val="004B0B62"/>
    <w:rsid w:val="004C326F"/>
    <w:rsid w:val="004D0B2B"/>
    <w:rsid w:val="004E0365"/>
    <w:rsid w:val="004E1EFE"/>
    <w:rsid w:val="0051557E"/>
    <w:rsid w:val="005210BA"/>
    <w:rsid w:val="0053539E"/>
    <w:rsid w:val="005408A9"/>
    <w:rsid w:val="005475AE"/>
    <w:rsid w:val="005A4FEE"/>
    <w:rsid w:val="005B3DE7"/>
    <w:rsid w:val="005E7C52"/>
    <w:rsid w:val="00605184"/>
    <w:rsid w:val="00605834"/>
    <w:rsid w:val="006B6FE7"/>
    <w:rsid w:val="00710898"/>
    <w:rsid w:val="0077688B"/>
    <w:rsid w:val="007C574B"/>
    <w:rsid w:val="007D5554"/>
    <w:rsid w:val="007E17D1"/>
    <w:rsid w:val="008A5FB8"/>
    <w:rsid w:val="008A6680"/>
    <w:rsid w:val="008B0E9D"/>
    <w:rsid w:val="008E4637"/>
    <w:rsid w:val="008F04B0"/>
    <w:rsid w:val="0094261A"/>
    <w:rsid w:val="00971657"/>
    <w:rsid w:val="00997D3F"/>
    <w:rsid w:val="009A349E"/>
    <w:rsid w:val="009B27F6"/>
    <w:rsid w:val="009B4EDC"/>
    <w:rsid w:val="009C7BDE"/>
    <w:rsid w:val="009D7C33"/>
    <w:rsid w:val="009F67C9"/>
    <w:rsid w:val="00A3677B"/>
    <w:rsid w:val="00A61389"/>
    <w:rsid w:val="00A66CD7"/>
    <w:rsid w:val="00A71FCB"/>
    <w:rsid w:val="00A77330"/>
    <w:rsid w:val="00AB221E"/>
    <w:rsid w:val="00AD143D"/>
    <w:rsid w:val="00AE28AD"/>
    <w:rsid w:val="00B43932"/>
    <w:rsid w:val="00BD73AC"/>
    <w:rsid w:val="00BF5787"/>
    <w:rsid w:val="00C23FB2"/>
    <w:rsid w:val="00C3103C"/>
    <w:rsid w:val="00C562F1"/>
    <w:rsid w:val="00C85ECD"/>
    <w:rsid w:val="00C865E5"/>
    <w:rsid w:val="00C90B5F"/>
    <w:rsid w:val="00C95DE8"/>
    <w:rsid w:val="00D05285"/>
    <w:rsid w:val="00D07A61"/>
    <w:rsid w:val="00D4487B"/>
    <w:rsid w:val="00D54BE5"/>
    <w:rsid w:val="00D72107"/>
    <w:rsid w:val="00D8718C"/>
    <w:rsid w:val="00DA3D5E"/>
    <w:rsid w:val="00DA5C12"/>
    <w:rsid w:val="00DD44B5"/>
    <w:rsid w:val="00ED4A93"/>
    <w:rsid w:val="00ED5E9E"/>
    <w:rsid w:val="00ED7F0A"/>
    <w:rsid w:val="00F3749E"/>
    <w:rsid w:val="00F52433"/>
    <w:rsid w:val="00F81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799E4C"/>
  <w15:chartTrackingRefBased/>
  <w15:docId w15:val="{32205113-E763-4ABA-BE37-14963F29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A93"/>
    <w:pPr>
      <w:spacing w:after="0" w:line="240" w:lineRule="auto"/>
    </w:pPr>
    <w:rPr>
      <w:rFonts w:ascii="Times New Roman" w:eastAsia="Times New Roman" w:hAnsi="Times New Roman" w:cs="Times New Roman"/>
      <w:sz w:val="24"/>
      <w:szCs w:val="20"/>
      <w:lang w:val="fr-CA"/>
    </w:rPr>
  </w:style>
  <w:style w:type="paragraph" w:styleId="Titre1">
    <w:name w:val="heading 1"/>
    <w:basedOn w:val="Normal"/>
    <w:next w:val="Normal"/>
    <w:link w:val="Titre1Car"/>
    <w:uiPriority w:val="9"/>
    <w:qFormat/>
    <w:rsid w:val="000943DD"/>
    <w:pPr>
      <w:keepNext/>
      <w:spacing w:before="240"/>
      <w:outlineLvl w:val="0"/>
    </w:pPr>
    <w:rPr>
      <w:rFonts w:asciiTheme="majorHAnsi" w:eastAsiaTheme="majorEastAsia" w:hAnsiTheme="majorHAnsi" w:cstheme="majorBidi"/>
      <w:sz w:val="48"/>
      <w:szCs w:val="48"/>
    </w:rPr>
  </w:style>
  <w:style w:type="paragraph" w:styleId="Titre2">
    <w:name w:val="heading 2"/>
    <w:basedOn w:val="Normal"/>
    <w:next w:val="Normal"/>
    <w:link w:val="Titre2C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Titre3">
    <w:name w:val="heading 3"/>
    <w:basedOn w:val="Normal"/>
    <w:next w:val="Normal"/>
    <w:link w:val="Titre3C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Titre4">
    <w:name w:val="heading 4"/>
    <w:basedOn w:val="Normal"/>
    <w:next w:val="Normal"/>
    <w:link w:val="Titre4C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Titre5">
    <w:name w:val="heading 5"/>
    <w:basedOn w:val="Normal"/>
    <w:next w:val="Normal"/>
    <w:link w:val="Titre5C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0749"/>
    <w:pPr>
      <w:tabs>
        <w:tab w:val="center" w:pos="4680"/>
        <w:tab w:val="right" w:pos="9360"/>
      </w:tabs>
    </w:pPr>
  </w:style>
  <w:style w:type="character" w:customStyle="1" w:styleId="En-tteCar">
    <w:name w:val="En-tête Car"/>
    <w:basedOn w:val="Policepardfaut"/>
    <w:link w:val="En-tte"/>
    <w:uiPriority w:val="99"/>
    <w:rsid w:val="00210749"/>
    <w:rPr>
      <w:color w:val="54575A" w:themeColor="text1"/>
      <w:lang w:val="fr-CA"/>
    </w:rPr>
  </w:style>
  <w:style w:type="paragraph" w:styleId="Pieddepage">
    <w:name w:val="footer"/>
    <w:basedOn w:val="Normal"/>
    <w:link w:val="PieddepageCar"/>
    <w:uiPriority w:val="99"/>
    <w:unhideWhenUsed/>
    <w:rsid w:val="00210749"/>
    <w:pPr>
      <w:tabs>
        <w:tab w:val="center" w:pos="4680"/>
        <w:tab w:val="right" w:pos="9360"/>
      </w:tabs>
    </w:pPr>
  </w:style>
  <w:style w:type="character" w:customStyle="1" w:styleId="PieddepageCar">
    <w:name w:val="Pied de page Car"/>
    <w:basedOn w:val="Policepardfaut"/>
    <w:link w:val="Pieddepage"/>
    <w:uiPriority w:val="99"/>
    <w:rsid w:val="00210749"/>
    <w:rPr>
      <w:color w:val="54575A" w:themeColor="text1"/>
      <w:lang w:val="fr-CA"/>
    </w:rPr>
  </w:style>
  <w:style w:type="paragraph" w:styleId="Textedebulles">
    <w:name w:val="Balloon Text"/>
    <w:basedOn w:val="Normal"/>
    <w:link w:val="TextedebullesCar"/>
    <w:uiPriority w:val="99"/>
    <w:semiHidden/>
    <w:unhideWhenUsed/>
    <w:rsid w:val="002107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Appelnotedebasdep">
    <w:name w:val="footnote reference"/>
    <w:basedOn w:val="Policepardfaut"/>
    <w:uiPriority w:val="99"/>
    <w:semiHidden/>
    <w:unhideWhenUsed/>
    <w:rsid w:val="00210749"/>
    <w:rPr>
      <w:vertAlign w:val="superscript"/>
    </w:rPr>
  </w:style>
  <w:style w:type="paragraph" w:styleId="Notedebasdepage">
    <w:name w:val="footnote text"/>
    <w:basedOn w:val="Normal"/>
    <w:link w:val="NotedebasdepageCar"/>
    <w:uiPriority w:val="99"/>
    <w:unhideWhenUsed/>
    <w:rsid w:val="00210749"/>
    <w:rPr>
      <w:sz w:val="20"/>
    </w:rPr>
  </w:style>
  <w:style w:type="character" w:customStyle="1" w:styleId="NotedebasdepageCar">
    <w:name w:val="Note de bas de page Car"/>
    <w:basedOn w:val="Policepardfaut"/>
    <w:link w:val="Notedebasdepage"/>
    <w:uiPriority w:val="99"/>
    <w:rsid w:val="00210749"/>
    <w:rPr>
      <w:color w:val="54575A" w:themeColor="text1"/>
      <w:sz w:val="20"/>
      <w:szCs w:val="20"/>
      <w:lang w:val="fr-CA"/>
    </w:rPr>
  </w:style>
  <w:style w:type="character" w:customStyle="1" w:styleId="Titre1Car">
    <w:name w:val="Titre 1 Car"/>
    <w:basedOn w:val="Policepardfaut"/>
    <w:link w:val="Titre1"/>
    <w:uiPriority w:val="9"/>
    <w:rsid w:val="000943DD"/>
    <w:rPr>
      <w:rFonts w:asciiTheme="majorHAnsi" w:eastAsiaTheme="majorEastAsia" w:hAnsiTheme="majorHAnsi" w:cstheme="majorBidi"/>
      <w:sz w:val="48"/>
      <w:szCs w:val="48"/>
      <w:lang w:val="fr-CA"/>
    </w:rPr>
  </w:style>
  <w:style w:type="character" w:customStyle="1" w:styleId="Titre2Car">
    <w:name w:val="Titre 2 Car"/>
    <w:basedOn w:val="Policepardfaut"/>
    <w:link w:val="Titre2"/>
    <w:uiPriority w:val="9"/>
    <w:rsid w:val="00210749"/>
    <w:rPr>
      <w:rFonts w:ascii="Segoe UI" w:eastAsiaTheme="majorEastAsia" w:hAnsi="Segoe UI" w:cs="Segoe UI"/>
      <w:b/>
      <w:color w:val="5B315E" w:themeColor="accent2"/>
      <w:sz w:val="32"/>
      <w:szCs w:val="32"/>
      <w:lang w:val="fr-CA"/>
    </w:rPr>
  </w:style>
  <w:style w:type="character" w:customStyle="1" w:styleId="Titre3Car">
    <w:name w:val="Titre 3 Car"/>
    <w:basedOn w:val="Policepardfaut"/>
    <w:link w:val="Titre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Titre4Car">
    <w:name w:val="Titre 4 Car"/>
    <w:basedOn w:val="Policepardfaut"/>
    <w:link w:val="Titre4"/>
    <w:uiPriority w:val="9"/>
    <w:rsid w:val="00210749"/>
    <w:rPr>
      <w:rFonts w:asciiTheme="majorHAnsi" w:eastAsiaTheme="majorEastAsia" w:hAnsiTheme="majorHAnsi" w:cstheme="majorBidi"/>
      <w:iCs/>
      <w:color w:val="54575A" w:themeColor="text2"/>
      <w:lang w:val="fr-CA"/>
    </w:rPr>
  </w:style>
  <w:style w:type="character" w:customStyle="1" w:styleId="Titre5Car">
    <w:name w:val="Titre 5 Car"/>
    <w:basedOn w:val="Policepardfaut"/>
    <w:link w:val="Titre5"/>
    <w:uiPriority w:val="9"/>
    <w:rsid w:val="00210749"/>
    <w:rPr>
      <w:rFonts w:asciiTheme="majorHAnsi" w:eastAsiaTheme="majorEastAsia" w:hAnsiTheme="majorHAnsi" w:cstheme="majorBidi"/>
      <w:color w:val="9F0040" w:themeColor="accent1" w:themeShade="BF"/>
      <w:lang w:val="fr-CA"/>
    </w:rPr>
  </w:style>
  <w:style w:type="paragraph" w:styleId="Paragraphedeliste">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ParagraphedelisteC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Paragraphedeliste"/>
    <w:qFormat/>
    <w:rsid w:val="00210749"/>
  </w:style>
  <w:style w:type="paragraph" w:styleId="Sous-titre">
    <w:name w:val="Subtitle"/>
    <w:basedOn w:val="Normal"/>
    <w:next w:val="Normal"/>
    <w:link w:val="Sous-titreCar"/>
    <w:uiPriority w:val="11"/>
    <w:qFormat/>
    <w:rsid w:val="00210749"/>
    <w:rPr>
      <w:rFonts w:ascii="Segoe UI Light" w:hAnsi="Segoe UI Light" w:cs="Segoe UI Light"/>
      <w:sz w:val="36"/>
      <w:szCs w:val="36"/>
    </w:rPr>
  </w:style>
  <w:style w:type="character" w:customStyle="1" w:styleId="Sous-titreCar">
    <w:name w:val="Sous-titre Car"/>
    <w:basedOn w:val="Policepardfaut"/>
    <w:link w:val="Sous-titre"/>
    <w:uiPriority w:val="11"/>
    <w:rsid w:val="00210749"/>
    <w:rPr>
      <w:rFonts w:ascii="Segoe UI Light" w:hAnsi="Segoe UI Light" w:cs="Segoe UI Light"/>
      <w:color w:val="54575A" w:themeColor="text1"/>
      <w:sz w:val="36"/>
      <w:szCs w:val="36"/>
      <w:lang w:val="fr-CA"/>
    </w:rPr>
  </w:style>
  <w:style w:type="table" w:styleId="Grilledutableau">
    <w:name w:val="Table Grid"/>
    <w:basedOn w:val="Tableau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re2"/>
    <w:qFormat/>
    <w:rsid w:val="000F6C01"/>
    <w:rPr>
      <w:rFonts w:ascii="Segoe UI Semibold" w:hAnsi="Segoe UI Semibold"/>
      <w:b w:val="0"/>
      <w:color w:val="auto"/>
      <w:sz w:val="22"/>
    </w:rPr>
  </w:style>
  <w:style w:type="paragraph" w:styleId="Titre">
    <w:name w:val="Title"/>
    <w:basedOn w:val="Normal"/>
    <w:next w:val="Normal"/>
    <w:link w:val="TitreCar"/>
    <w:autoRedefine/>
    <w:uiPriority w:val="10"/>
    <w:qFormat/>
    <w:rsid w:val="00210749"/>
    <w:pPr>
      <w:spacing w:before="1200" w:line="1200" w:lineRule="exact"/>
      <w:contextualSpacing/>
    </w:pPr>
    <w:rPr>
      <w:rFonts w:ascii="Segoe UI Light" w:eastAsiaTheme="majorEastAsia" w:hAnsi="Segoe UI Light" w:cs="Segoe UI Light"/>
      <w:spacing w:val="-10"/>
      <w:kern w:val="28"/>
      <w:sz w:val="120"/>
      <w:szCs w:val="120"/>
    </w:rPr>
  </w:style>
  <w:style w:type="character" w:customStyle="1" w:styleId="TitreCar">
    <w:name w:val="Titre Car"/>
    <w:basedOn w:val="Policepardfaut"/>
    <w:link w:val="Titre"/>
    <w:uiPriority w:val="10"/>
    <w:rsid w:val="00210749"/>
    <w:rPr>
      <w:rFonts w:ascii="Segoe UI Light" w:eastAsiaTheme="majorEastAsia" w:hAnsi="Segoe UI Light" w:cs="Segoe UI Light"/>
      <w:color w:val="54575A" w:themeColor="text1"/>
      <w:spacing w:val="-10"/>
      <w:kern w:val="28"/>
      <w:sz w:val="120"/>
      <w:szCs w:val="120"/>
      <w:lang w:val="fr-CA"/>
    </w:rPr>
  </w:style>
  <w:style w:type="paragraph" w:styleId="NormalWeb">
    <w:name w:val="Normal (Web)"/>
    <w:basedOn w:val="Normal"/>
    <w:uiPriority w:val="99"/>
    <w:unhideWhenUsed/>
    <w:rsid w:val="00ED4A93"/>
    <w:pPr>
      <w:spacing w:before="100" w:beforeAutospacing="1" w:after="100" w:afterAutospacing="1"/>
    </w:pPr>
    <w:rPr>
      <w:rFonts w:ascii="Verdana" w:hAnsi="Verdana"/>
      <w:szCs w:val="24"/>
    </w:rPr>
  </w:style>
  <w:style w:type="paragraph" w:customStyle="1" w:styleId="Level1">
    <w:name w:val="Level 1"/>
    <w:basedOn w:val="Normal"/>
    <w:uiPriority w:val="99"/>
    <w:rsid w:val="00ED4A93"/>
    <w:pPr>
      <w:widowControl w:val="0"/>
    </w:pPr>
  </w:style>
  <w:style w:type="character" w:styleId="Lienhypertexte">
    <w:name w:val="Hyperlink"/>
    <w:uiPriority w:val="99"/>
    <w:unhideWhenUsed/>
    <w:rsid w:val="00ED4A93"/>
    <w:rPr>
      <w:color w:val="0563C1"/>
      <w:u w:val="single"/>
      <w:lang w:val="fr-CA"/>
    </w:rPr>
  </w:style>
  <w:style w:type="paragraph" w:styleId="Sansinterligne">
    <w:name w:val="No Spacing"/>
    <w:uiPriority w:val="1"/>
    <w:qFormat/>
    <w:rsid w:val="00ED4A93"/>
    <w:pPr>
      <w:spacing w:after="0" w:line="240" w:lineRule="auto"/>
    </w:pPr>
    <w:rPr>
      <w:rFonts w:ascii="Times New Roman" w:eastAsia="Times New Roman" w:hAnsi="Times New Roman" w:cs="Times New Roman"/>
      <w:sz w:val="24"/>
      <w:szCs w:val="20"/>
      <w:lang w:val="fr-CA"/>
    </w:rPr>
  </w:style>
  <w:style w:type="paragraph" w:customStyle="1" w:styleId="Style6">
    <w:name w:val="Style6"/>
    <w:basedOn w:val="Normal"/>
    <w:link w:val="Style6Char"/>
    <w:qFormat/>
    <w:rsid w:val="00ED4A93"/>
    <w:pPr>
      <w:jc w:val="center"/>
    </w:pPr>
    <w:rPr>
      <w:rFonts w:ascii="Arial" w:hAnsi="Arial" w:cs="Arial"/>
      <w:b/>
      <w:color w:val="009999"/>
      <w:szCs w:val="24"/>
    </w:rPr>
  </w:style>
  <w:style w:type="paragraph" w:customStyle="1" w:styleId="Style7">
    <w:name w:val="Style7"/>
    <w:basedOn w:val="Normal"/>
    <w:link w:val="Style7Char"/>
    <w:qFormat/>
    <w:rsid w:val="00ED4A93"/>
    <w:pPr>
      <w:jc w:val="center"/>
    </w:pPr>
    <w:rPr>
      <w:rFonts w:ascii="Arial" w:hAnsi="Arial" w:cs="Arial"/>
      <w:color w:val="009999"/>
      <w:sz w:val="22"/>
      <w:szCs w:val="32"/>
    </w:rPr>
  </w:style>
  <w:style w:type="character" w:customStyle="1" w:styleId="Style6Char">
    <w:name w:val="Style6 Char"/>
    <w:basedOn w:val="Policepardfaut"/>
    <w:link w:val="Style6"/>
    <w:rsid w:val="00ED4A93"/>
    <w:rPr>
      <w:rFonts w:ascii="Arial" w:eastAsia="Times New Roman" w:hAnsi="Arial" w:cs="Arial"/>
      <w:b/>
      <w:color w:val="009999"/>
      <w:sz w:val="24"/>
      <w:szCs w:val="24"/>
      <w:lang w:val="fr-CA"/>
    </w:rPr>
  </w:style>
  <w:style w:type="paragraph" w:customStyle="1" w:styleId="Style8">
    <w:name w:val="Style8"/>
    <w:basedOn w:val="Normal"/>
    <w:link w:val="Style8Char"/>
    <w:qFormat/>
    <w:rsid w:val="00ED4A93"/>
    <w:rPr>
      <w:rFonts w:ascii="Arial" w:hAnsi="Arial" w:cs="Arial"/>
      <w:color w:val="767171"/>
      <w:sz w:val="16"/>
      <w:szCs w:val="22"/>
    </w:rPr>
  </w:style>
  <w:style w:type="character" w:customStyle="1" w:styleId="Style7Char">
    <w:name w:val="Style7 Char"/>
    <w:basedOn w:val="Policepardfaut"/>
    <w:link w:val="Style7"/>
    <w:rsid w:val="00ED4A93"/>
    <w:rPr>
      <w:rFonts w:ascii="Arial" w:eastAsia="Times New Roman" w:hAnsi="Arial" w:cs="Arial"/>
      <w:color w:val="009999"/>
      <w:szCs w:val="32"/>
      <w:lang w:val="fr-CA"/>
    </w:rPr>
  </w:style>
  <w:style w:type="character" w:customStyle="1" w:styleId="Style8Char">
    <w:name w:val="Style8 Char"/>
    <w:basedOn w:val="Policepardfaut"/>
    <w:link w:val="Style8"/>
    <w:rsid w:val="00ED4A93"/>
    <w:rPr>
      <w:rFonts w:ascii="Arial" w:eastAsia="Times New Roman" w:hAnsi="Arial" w:cs="Arial"/>
      <w:color w:val="767171"/>
      <w:sz w:val="16"/>
      <w:lang w:val="fr-CA"/>
    </w:rPr>
  </w:style>
  <w:style w:type="table" w:customStyle="1" w:styleId="TableGrid1">
    <w:name w:val="Table Grid1"/>
    <w:basedOn w:val="TableauNormal"/>
    <w:next w:val="Grilledutableau"/>
    <w:uiPriority w:val="39"/>
    <w:rsid w:val="00ED4A93"/>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A93"/>
    <w:pPr>
      <w:autoSpaceDE w:val="0"/>
      <w:autoSpaceDN w:val="0"/>
      <w:adjustRightInd w:val="0"/>
      <w:spacing w:after="0" w:line="240" w:lineRule="auto"/>
    </w:pPr>
    <w:rPr>
      <w:rFonts w:ascii="Arial" w:eastAsia="Calibri" w:hAnsi="Arial" w:cs="Arial"/>
      <w:color w:val="000000"/>
      <w:sz w:val="24"/>
      <w:szCs w:val="24"/>
      <w:lang w:val="fr-CA" w:eastAsia="en-CA"/>
    </w:rPr>
  </w:style>
  <w:style w:type="character" w:styleId="Accentuation">
    <w:name w:val="Emphasis"/>
    <w:basedOn w:val="Policepardfaut"/>
    <w:uiPriority w:val="20"/>
    <w:qFormat/>
    <w:rsid w:val="000943DD"/>
    <w:rPr>
      <w:rFonts w:asciiTheme="minorHAnsi" w:hAnsiTheme="minorHAnsi"/>
      <w:b w:val="0"/>
      <w:i/>
      <w:iCs/>
      <w:color w:val="auto"/>
      <w:sz w:val="22"/>
    </w:rPr>
  </w:style>
  <w:style w:type="character" w:styleId="Lienhypertextesuivivisit">
    <w:name w:val="FollowedHyperlink"/>
    <w:basedOn w:val="Policepardfaut"/>
    <w:uiPriority w:val="99"/>
    <w:semiHidden/>
    <w:unhideWhenUsed/>
    <w:rsid w:val="000F6C01"/>
    <w:rPr>
      <w:color w:val="A5A5A5" w:themeColor="followedHyperlink"/>
      <w:u w:val="single"/>
    </w:rPr>
  </w:style>
  <w:style w:type="paragraph" w:styleId="Lgende">
    <w:name w:val="caption"/>
    <w:basedOn w:val="Normal"/>
    <w:next w:val="Normal"/>
    <w:uiPriority w:val="35"/>
    <w:unhideWhenUsed/>
    <w:qFormat/>
    <w:rsid w:val="000F6C01"/>
    <w:rPr>
      <w:rFonts w:asciiTheme="minorHAnsi" w:hAnsiTheme="minorHAnsi"/>
      <w:iCs/>
      <w:sz w:val="18"/>
      <w:szCs w:val="18"/>
    </w:rPr>
  </w:style>
  <w:style w:type="character" w:styleId="lev">
    <w:name w:val="Strong"/>
    <w:basedOn w:val="Policepardfaut"/>
    <w:uiPriority w:val="22"/>
    <w:qFormat/>
    <w:rsid w:val="0077688B"/>
    <w:rPr>
      <w:rFonts w:asciiTheme="minorHAnsi" w:hAnsiTheme="minorHAnsi"/>
      <w:b/>
      <w:bCs/>
      <w:sz w:val="22"/>
    </w:rPr>
  </w:style>
  <w:style w:type="character" w:styleId="Marquedecommentaire">
    <w:name w:val="annotation reference"/>
    <w:basedOn w:val="Policepardfaut"/>
    <w:uiPriority w:val="99"/>
    <w:semiHidden/>
    <w:unhideWhenUsed/>
    <w:rsid w:val="00A71FCB"/>
    <w:rPr>
      <w:sz w:val="16"/>
      <w:szCs w:val="16"/>
    </w:rPr>
  </w:style>
  <w:style w:type="paragraph" w:styleId="Commentaire">
    <w:name w:val="annotation text"/>
    <w:basedOn w:val="Normal"/>
    <w:link w:val="CommentaireCar"/>
    <w:uiPriority w:val="99"/>
    <w:semiHidden/>
    <w:unhideWhenUsed/>
    <w:rsid w:val="00A71FCB"/>
    <w:rPr>
      <w:sz w:val="20"/>
    </w:rPr>
  </w:style>
  <w:style w:type="character" w:customStyle="1" w:styleId="CommentaireCar">
    <w:name w:val="Commentaire Car"/>
    <w:basedOn w:val="Policepardfaut"/>
    <w:link w:val="Commentaire"/>
    <w:uiPriority w:val="99"/>
    <w:semiHidden/>
    <w:rsid w:val="00A71FCB"/>
    <w:rPr>
      <w:rFonts w:ascii="Times New Roman" w:eastAsia="Times New Roman" w:hAnsi="Times New Roman" w:cs="Times New Roman"/>
      <w:sz w:val="20"/>
      <w:szCs w:val="20"/>
      <w:lang w:val="fr-CA"/>
    </w:rPr>
  </w:style>
  <w:style w:type="paragraph" w:styleId="Objetducommentaire">
    <w:name w:val="annotation subject"/>
    <w:basedOn w:val="Commentaire"/>
    <w:next w:val="Commentaire"/>
    <w:link w:val="ObjetducommentaireCar"/>
    <w:uiPriority w:val="99"/>
    <w:semiHidden/>
    <w:unhideWhenUsed/>
    <w:rsid w:val="00A71FCB"/>
    <w:rPr>
      <w:b/>
      <w:bCs/>
    </w:rPr>
  </w:style>
  <w:style w:type="character" w:customStyle="1" w:styleId="ObjetducommentaireCar">
    <w:name w:val="Objet du commentaire Car"/>
    <w:basedOn w:val="CommentaireCar"/>
    <w:link w:val="Objetducommentaire"/>
    <w:uiPriority w:val="99"/>
    <w:semiHidden/>
    <w:rsid w:val="00A71FCB"/>
    <w:rPr>
      <w:rFonts w:ascii="Times New Roman" w:eastAsia="Times New Roman" w:hAnsi="Times New Roman" w:cs="Times New Roman"/>
      <w:b/>
      <w:bCs/>
      <w:sz w:val="20"/>
      <w:szCs w:val="20"/>
      <w:lang w:val="fr-CA"/>
    </w:rPr>
  </w:style>
  <w:style w:type="character" w:customStyle="1" w:styleId="ParagraphedelisteCar">
    <w:name w:val="Paragraphe de liste Car"/>
    <w:aliases w:val="TBS PB List Paragraph Car,Table Paragraph Car,Dot pt Car,Liste 1 Car,List Paragraph1 Car,Recommendation Car,List Paragraph11 Car,L Car,List Paragraph2 Car,CV text Car,Table text Car,F5 List Paragraph Car,List Paragraph111 Car"/>
    <w:basedOn w:val="Policepardfaut"/>
    <w:link w:val="Paragraphedeliste"/>
    <w:uiPriority w:val="34"/>
    <w:locked/>
    <w:rsid w:val="009D7C33"/>
    <w:rPr>
      <w:rFonts w:ascii="Times New Roman" w:eastAsia="Times New Roman" w:hAnsi="Times New Roman" w:cs="Times New Roman"/>
      <w:sz w:val="24"/>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10122">
      <w:bodyDiv w:val="1"/>
      <w:marLeft w:val="0"/>
      <w:marRight w:val="0"/>
      <w:marTop w:val="0"/>
      <w:marBottom w:val="0"/>
      <w:divBdr>
        <w:top w:val="none" w:sz="0" w:space="0" w:color="auto"/>
        <w:left w:val="none" w:sz="0" w:space="0" w:color="auto"/>
        <w:bottom w:val="none" w:sz="0" w:space="0" w:color="auto"/>
        <w:right w:val="none" w:sz="0" w:space="0" w:color="auto"/>
      </w:divBdr>
    </w:div>
    <w:div w:id="626813380">
      <w:bodyDiv w:val="1"/>
      <w:marLeft w:val="0"/>
      <w:marRight w:val="0"/>
      <w:marTop w:val="0"/>
      <w:marBottom w:val="0"/>
      <w:divBdr>
        <w:top w:val="none" w:sz="0" w:space="0" w:color="auto"/>
        <w:left w:val="none" w:sz="0" w:space="0" w:color="auto"/>
        <w:bottom w:val="none" w:sz="0" w:space="0" w:color="auto"/>
        <w:right w:val="none" w:sz="0" w:space="0" w:color="auto"/>
      </w:divBdr>
    </w:div>
    <w:div w:id="627398060">
      <w:bodyDiv w:val="1"/>
      <w:marLeft w:val="0"/>
      <w:marRight w:val="0"/>
      <w:marTop w:val="0"/>
      <w:marBottom w:val="0"/>
      <w:divBdr>
        <w:top w:val="none" w:sz="0" w:space="0" w:color="auto"/>
        <w:left w:val="none" w:sz="0" w:space="0" w:color="auto"/>
        <w:bottom w:val="none" w:sz="0" w:space="0" w:color="auto"/>
        <w:right w:val="none" w:sz="0" w:space="0" w:color="auto"/>
      </w:divBdr>
    </w:div>
    <w:div w:id="688944821">
      <w:bodyDiv w:val="1"/>
      <w:marLeft w:val="0"/>
      <w:marRight w:val="0"/>
      <w:marTop w:val="0"/>
      <w:marBottom w:val="0"/>
      <w:divBdr>
        <w:top w:val="none" w:sz="0" w:space="0" w:color="auto"/>
        <w:left w:val="none" w:sz="0" w:space="0" w:color="auto"/>
        <w:bottom w:val="none" w:sz="0" w:space="0" w:color="auto"/>
        <w:right w:val="none" w:sz="0" w:space="0" w:color="auto"/>
      </w:divBdr>
    </w:div>
    <w:div w:id="713893614">
      <w:bodyDiv w:val="1"/>
      <w:marLeft w:val="0"/>
      <w:marRight w:val="0"/>
      <w:marTop w:val="0"/>
      <w:marBottom w:val="0"/>
      <w:divBdr>
        <w:top w:val="none" w:sz="0" w:space="0" w:color="auto"/>
        <w:left w:val="none" w:sz="0" w:space="0" w:color="auto"/>
        <w:bottom w:val="none" w:sz="0" w:space="0" w:color="auto"/>
        <w:right w:val="none" w:sz="0" w:space="0" w:color="auto"/>
      </w:divBdr>
    </w:div>
    <w:div w:id="1401828524">
      <w:bodyDiv w:val="1"/>
      <w:marLeft w:val="0"/>
      <w:marRight w:val="0"/>
      <w:marTop w:val="0"/>
      <w:marBottom w:val="0"/>
      <w:divBdr>
        <w:top w:val="none" w:sz="0" w:space="0" w:color="auto"/>
        <w:left w:val="none" w:sz="0" w:space="0" w:color="auto"/>
        <w:bottom w:val="none" w:sz="0" w:space="0" w:color="auto"/>
        <w:right w:val="none" w:sz="0" w:space="0" w:color="auto"/>
      </w:divBdr>
    </w:div>
    <w:div w:id="1578789000">
      <w:bodyDiv w:val="1"/>
      <w:marLeft w:val="0"/>
      <w:marRight w:val="0"/>
      <w:marTop w:val="0"/>
      <w:marBottom w:val="0"/>
      <w:divBdr>
        <w:top w:val="none" w:sz="0" w:space="0" w:color="auto"/>
        <w:left w:val="none" w:sz="0" w:space="0" w:color="auto"/>
        <w:bottom w:val="none" w:sz="0" w:space="0" w:color="auto"/>
        <w:right w:val="none" w:sz="0" w:space="0" w:color="auto"/>
      </w:divBdr>
    </w:div>
    <w:div w:id="1682588935">
      <w:bodyDiv w:val="1"/>
      <w:marLeft w:val="0"/>
      <w:marRight w:val="0"/>
      <w:marTop w:val="0"/>
      <w:marBottom w:val="0"/>
      <w:divBdr>
        <w:top w:val="none" w:sz="0" w:space="0" w:color="auto"/>
        <w:left w:val="none" w:sz="0" w:space="0" w:color="auto"/>
        <w:bottom w:val="none" w:sz="0" w:space="0" w:color="auto"/>
        <w:right w:val="none" w:sz="0" w:space="0" w:color="auto"/>
      </w:divBdr>
    </w:div>
    <w:div w:id="1729841461">
      <w:bodyDiv w:val="1"/>
      <w:marLeft w:val="0"/>
      <w:marRight w:val="0"/>
      <w:marTop w:val="0"/>
      <w:marBottom w:val="0"/>
      <w:divBdr>
        <w:top w:val="none" w:sz="0" w:space="0" w:color="auto"/>
        <w:left w:val="none" w:sz="0" w:space="0" w:color="auto"/>
        <w:bottom w:val="none" w:sz="0" w:space="0" w:color="auto"/>
        <w:right w:val="none" w:sz="0" w:space="0" w:color="auto"/>
      </w:divBdr>
    </w:div>
    <w:div w:id="20141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1.xml"/><Relationship Id="rId21" Type="http://schemas.openxmlformats.org/officeDocument/2006/relationships/header" Target="header2.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0.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fr/gouvernement/fonctionpublique/mieux-etre-inclusion-diversite-fonction-publique/diversite-equite-matiere-emploi/equite-emploi-rapports-annuel/equite-emploi-fonction-publique-canada-2017-2018.html" TargetMode="External"/><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3.xml"/><Relationship Id="rId28" Type="http://schemas.openxmlformats.org/officeDocument/2006/relationships/chart" Target="charts/chart13.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8.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oter" Target="footer3.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footer" Target="footer8.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8.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Population selon la durée d'emploi au 31 mars</a:t>
            </a:r>
          </a:p>
        </c:rich>
      </c:tx>
      <c:layout>
        <c:manualLayout>
          <c:xMode val="edge"/>
          <c:yMode val="edge"/>
          <c:x val="0.22378510443361527"/>
          <c:y val="1.5584351685262421E-2"/>
        </c:manualLayout>
      </c:layout>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1134893972991995"/>
          <c:y val="0.1038960059174024"/>
          <c:w val="0.8438565211696043"/>
          <c:h val="0.6100861028735044"/>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(N=9 339) </c:v>
                </c:pt>
                <c:pt idx="1">
                  <c:v> 2015
(N=9 077) </c:v>
                </c:pt>
                <c:pt idx="2">
                  <c:v> 2016
(N=9 187) </c:v>
                </c:pt>
                <c:pt idx="3">
                  <c:v> 2017
(N=9 463) </c:v>
                </c:pt>
                <c:pt idx="4">
                  <c:v> 2018
(N=9 926) </c:v>
                </c:pt>
                <c:pt idx="5">
                  <c:v> 2019
(N=10 850) </c:v>
                </c:pt>
              </c:strCache>
            </c:strRef>
          </c:cat>
          <c:val>
            <c:numRef>
              <c:f>Sheet1!$B$2:$B$7</c:f>
              <c:numCache>
                <c:formatCode>#\ ###</c:formatCode>
                <c:ptCount val="6"/>
                <c:pt idx="0">
                  <c:v>8178</c:v>
                </c:pt>
                <c:pt idx="1">
                  <c:v>8105</c:v>
                </c:pt>
                <c:pt idx="2">
                  <c:v>8078</c:v>
                </c:pt>
                <c:pt idx="3">
                  <c:v>8390</c:v>
                </c:pt>
                <c:pt idx="4">
                  <c:v>8653</c:v>
                </c:pt>
                <c:pt idx="5">
                  <c:v>9333</c:v>
                </c:pt>
              </c:numCache>
            </c:numRef>
          </c:val>
          <c:extLst>
            <c:ext xmlns:c16="http://schemas.microsoft.com/office/drawing/2014/chart" uri="{C3380CC4-5D6E-409C-BE32-E72D297353CC}">
              <c16:uniqueId val="{00000000-3182-4EC4-B872-F0DD874F104A}"/>
            </c:ext>
          </c:extLst>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3.080714725816361E-3"/>
                  <c:y val="4.67532467532467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82-4EC4-B872-F0DD874F104A}"/>
                </c:ext>
              </c:extLst>
            </c:dLbl>
            <c:dLbl>
              <c:idx val="1"/>
              <c:layout>
                <c:manualLayout>
                  <c:x val="-5.6479117521715313E-17"/>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82-4EC4-B872-F0DD874F104A}"/>
                </c:ext>
              </c:extLst>
            </c:dLbl>
            <c:dLbl>
              <c:idx val="2"/>
              <c:layout>
                <c:manualLayout>
                  <c:x val="0"/>
                  <c:y val="4.1558441558441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82-4EC4-B872-F0DD874F104A}"/>
                </c:ext>
              </c:extLst>
            </c:dLbl>
            <c:dLbl>
              <c:idx val="3"/>
              <c:layout>
                <c:manualLayout>
                  <c:x val="0"/>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82-4EC4-B872-F0DD874F104A}"/>
                </c:ext>
              </c:extLst>
            </c:dLbl>
            <c:dLbl>
              <c:idx val="4"/>
              <c:layout>
                <c:manualLayout>
                  <c:x val="0"/>
                  <c:y val="5.19480519480519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82-4EC4-B872-F0DD874F104A}"/>
                </c:ext>
              </c:extLst>
            </c:dLbl>
            <c:dLbl>
              <c:idx val="5"/>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82-4EC4-B872-F0DD874F104A}"/>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(N=9 339) </c:v>
                </c:pt>
                <c:pt idx="1">
                  <c:v> 2015
(N=9 077) </c:v>
                </c:pt>
                <c:pt idx="2">
                  <c:v> 2016
(N=9 187) </c:v>
                </c:pt>
                <c:pt idx="3">
                  <c:v> 2017
(N=9 463) </c:v>
                </c:pt>
                <c:pt idx="4">
                  <c:v> 2018
(N=9 926) </c:v>
                </c:pt>
                <c:pt idx="5">
                  <c:v> 2019
(N=10 850) </c:v>
                </c:pt>
              </c:strCache>
            </c:strRef>
          </c:cat>
          <c:val>
            <c:numRef>
              <c:f>Sheet1!$C$2:$C$7</c:f>
              <c:numCache>
                <c:formatCode>#\ ###</c:formatCode>
                <c:ptCount val="6"/>
                <c:pt idx="0">
                  <c:v>590</c:v>
                </c:pt>
                <c:pt idx="1">
                  <c:v>558</c:v>
                </c:pt>
                <c:pt idx="2">
                  <c:v>540</c:v>
                </c:pt>
                <c:pt idx="3">
                  <c:v>540</c:v>
                </c:pt>
                <c:pt idx="4">
                  <c:v>636</c:v>
                </c:pt>
                <c:pt idx="5">
                  <c:v>830</c:v>
                </c:pt>
              </c:numCache>
            </c:numRef>
          </c:val>
          <c:extLst>
            <c:ext xmlns:c16="http://schemas.microsoft.com/office/drawing/2014/chart" uri="{C3380CC4-5D6E-409C-BE32-E72D297353CC}">
              <c16:uniqueId val="{00000007-3182-4EC4-B872-F0DD874F104A}"/>
            </c:ext>
          </c:extLst>
        </c:ser>
        <c:ser>
          <c:idx val="2"/>
          <c:order val="2"/>
          <c:tx>
            <c:strRef>
              <c:f>Sheet1!$D$1</c:f>
              <c:strCache>
                <c:ptCount val="1"/>
                <c:pt idx="0">
                  <c:v>Occasionnel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(N=9 339) </c:v>
                </c:pt>
                <c:pt idx="1">
                  <c:v> 2015
(N=9 077) </c:v>
                </c:pt>
                <c:pt idx="2">
                  <c:v> 2016
(N=9 187) </c:v>
                </c:pt>
                <c:pt idx="3">
                  <c:v> 2017
(N=9 463) </c:v>
                </c:pt>
                <c:pt idx="4">
                  <c:v> 2018
(N=9 926) </c:v>
                </c:pt>
                <c:pt idx="5">
                  <c:v> 2019
(N=10 850) </c:v>
                </c:pt>
              </c:strCache>
            </c:strRef>
          </c:cat>
          <c:val>
            <c:numRef>
              <c:f>Sheet1!$D$2:$D$7</c:f>
              <c:numCache>
                <c:formatCode>#\ ###</c:formatCode>
                <c:ptCount val="6"/>
                <c:pt idx="0">
                  <c:v>394</c:v>
                </c:pt>
                <c:pt idx="1">
                  <c:v>257</c:v>
                </c:pt>
                <c:pt idx="2">
                  <c:v>344</c:v>
                </c:pt>
                <c:pt idx="3">
                  <c:v>319</c:v>
                </c:pt>
                <c:pt idx="4">
                  <c:v>364</c:v>
                </c:pt>
                <c:pt idx="5">
                  <c:v>358</c:v>
                </c:pt>
              </c:numCache>
            </c:numRef>
          </c:val>
          <c:extLst>
            <c:ext xmlns:c16="http://schemas.microsoft.com/office/drawing/2014/chart" uri="{C3380CC4-5D6E-409C-BE32-E72D297353CC}">
              <c16:uniqueId val="{00000008-3182-4EC4-B872-F0DD874F104A}"/>
            </c:ext>
          </c:extLst>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3.0807147258163892E-3"/>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182-4EC4-B872-F0DD874F104A}"/>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182-4EC4-B872-F0DD874F104A}"/>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182-4EC4-B872-F0DD874F104A}"/>
                </c:ext>
              </c:extLst>
            </c:dLbl>
            <c:dLbl>
              <c:idx val="3"/>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182-4EC4-B872-F0DD874F104A}"/>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182-4EC4-B872-F0DD874F104A}"/>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182-4EC4-B872-F0DD874F10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(N=9 339) </c:v>
                </c:pt>
                <c:pt idx="1">
                  <c:v> 2015
(N=9 077) </c:v>
                </c:pt>
                <c:pt idx="2">
                  <c:v> 2016
(N=9 187) </c:v>
                </c:pt>
                <c:pt idx="3">
                  <c:v> 2017
(N=9 463) </c:v>
                </c:pt>
                <c:pt idx="4">
                  <c:v> 2018
(N=9 926) </c:v>
                </c:pt>
                <c:pt idx="5">
                  <c:v> 2019
(N=10 850) </c:v>
                </c:pt>
              </c:strCache>
            </c:strRef>
          </c:cat>
          <c:val>
            <c:numRef>
              <c:f>Sheet1!$E$2:$E$7</c:f>
              <c:numCache>
                <c:formatCode>#\ ###</c:formatCode>
                <c:ptCount val="6"/>
                <c:pt idx="0">
                  <c:v>177</c:v>
                </c:pt>
                <c:pt idx="1">
                  <c:v>157</c:v>
                </c:pt>
                <c:pt idx="2">
                  <c:v>225</c:v>
                </c:pt>
                <c:pt idx="3">
                  <c:v>214</c:v>
                </c:pt>
                <c:pt idx="4">
                  <c:v>273</c:v>
                </c:pt>
                <c:pt idx="5">
                  <c:v>329</c:v>
                </c:pt>
              </c:numCache>
            </c:numRef>
          </c:val>
          <c:extLst>
            <c:ext xmlns:c16="http://schemas.microsoft.com/office/drawing/2014/chart" uri="{C3380CC4-5D6E-409C-BE32-E72D297353CC}">
              <c16:uniqueId val="{0000000F-3182-4EC4-B872-F0DD874F104A}"/>
            </c:ext>
          </c:extLst>
        </c:ser>
        <c:dLbls>
          <c:dLblPos val="ctr"/>
          <c:showLegendKey val="0"/>
          <c:showVal val="1"/>
          <c:showCatName val="0"/>
          <c:showSerName val="0"/>
          <c:showPercent val="0"/>
          <c:showBubbleSize val="0"/>
        </c:dLbls>
        <c:gapWidth val="150"/>
        <c:overlap val="100"/>
        <c:axId val="324852880"/>
        <c:axId val="324852488"/>
      </c:barChart>
      <c:catAx>
        <c:axId val="32485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24852488"/>
        <c:crosses val="autoZero"/>
        <c:auto val="1"/>
        <c:lblAlgn val="ctr"/>
        <c:lblOffset val="100"/>
        <c:noMultiLvlLbl val="0"/>
      </c:catAx>
      <c:valAx>
        <c:axId val="32485248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24852880"/>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Embauche d'étudiants</a:t>
            </a:r>
          </a:p>
        </c:rich>
      </c:tx>
      <c:layout>
        <c:manualLayout>
          <c:xMode val="edge"/>
          <c:yMode val="edge"/>
          <c:x val="0.3623920365772153"/>
          <c:y val="2.6861201816550686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1946256204627399"/>
          <c:y val="0.10525709900230237"/>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(N=418)</c:v>
                </c:pt>
                <c:pt idx="1">
                  <c:v>2015-2016
 (N=562)</c:v>
                </c:pt>
                <c:pt idx="2">
                  <c:v>2016-2017
 (N=570)</c:v>
                </c:pt>
                <c:pt idx="3">
                  <c:v>2017-2018
 (N=593)</c:v>
                </c:pt>
                <c:pt idx="4">
                  <c:v>2018-2019
 (N=678)</c:v>
                </c:pt>
              </c:strCache>
            </c:strRef>
          </c:cat>
          <c:val>
            <c:numRef>
              <c:f>Sheet1!$B$2:$B$6</c:f>
              <c:numCache>
                <c:formatCode>General</c:formatCode>
                <c:ptCount val="5"/>
                <c:pt idx="0">
                  <c:v>182</c:v>
                </c:pt>
                <c:pt idx="1">
                  <c:v>291</c:v>
                </c:pt>
                <c:pt idx="2">
                  <c:v>283</c:v>
                </c:pt>
                <c:pt idx="3">
                  <c:v>243</c:v>
                </c:pt>
                <c:pt idx="4">
                  <c:v>302</c:v>
                </c:pt>
              </c:numCache>
            </c:numRef>
          </c:val>
          <c:extLst>
            <c:ext xmlns:c16="http://schemas.microsoft.com/office/drawing/2014/chart" uri="{C3380CC4-5D6E-409C-BE32-E72D297353CC}">
              <c16:uniqueId val="{00000000-46F9-420E-A647-9FE859E61FF0}"/>
            </c:ext>
          </c:extLst>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(N=418)</c:v>
                </c:pt>
                <c:pt idx="1">
                  <c:v>2015-2016
 (N=562)</c:v>
                </c:pt>
                <c:pt idx="2">
                  <c:v>2016-2017
 (N=570)</c:v>
                </c:pt>
                <c:pt idx="3">
                  <c:v>2017-2018
 (N=593)</c:v>
                </c:pt>
                <c:pt idx="4">
                  <c:v>2018-2019
 (N=678)</c:v>
                </c:pt>
              </c:strCache>
            </c:strRef>
          </c:cat>
          <c:val>
            <c:numRef>
              <c:f>Sheet1!$C$2:$C$6</c:f>
              <c:numCache>
                <c:formatCode>General</c:formatCode>
                <c:ptCount val="5"/>
                <c:pt idx="0">
                  <c:v>228</c:v>
                </c:pt>
                <c:pt idx="1">
                  <c:v>266</c:v>
                </c:pt>
                <c:pt idx="2">
                  <c:v>279</c:v>
                </c:pt>
                <c:pt idx="3">
                  <c:v>343</c:v>
                </c:pt>
                <c:pt idx="4">
                  <c:v>363</c:v>
                </c:pt>
              </c:numCache>
            </c:numRef>
          </c:val>
          <c:extLst>
            <c:ext xmlns:c16="http://schemas.microsoft.com/office/drawing/2014/chart" uri="{C3380CC4-5D6E-409C-BE32-E72D297353CC}">
              <c16:uniqueId val="{00000001-46F9-420E-A647-9FE859E61FF0}"/>
            </c:ext>
          </c:extLst>
        </c:ser>
        <c:ser>
          <c:idx val="2"/>
          <c:order val="2"/>
          <c:tx>
            <c:strRef>
              <c:f>Sheet1!$D$1</c:f>
              <c:strCache>
                <c:ptCount val="1"/>
                <c:pt idx="0">
                  <c:v>Programme des adjoints de recherche (PAR)</c:v>
                </c:pt>
              </c:strCache>
            </c:strRef>
          </c:tx>
          <c:spPr>
            <a:solidFill>
              <a:schemeClr val="accent3"/>
            </a:solidFill>
            <a:ln>
              <a:noFill/>
            </a:ln>
            <a:effectLst/>
          </c:spPr>
          <c:invertIfNegative val="0"/>
          <c:dLbls>
            <c:dLbl>
              <c:idx val="0"/>
              <c:layout>
                <c:manualLayout>
                  <c:x val="-3.7645013444658707E-17"/>
                  <c:y val="-3.355704697986577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F9-420E-A647-9FE859E61FF0}"/>
                </c:ext>
              </c:extLst>
            </c:dLbl>
            <c:dLbl>
              <c:idx val="1"/>
              <c:layout>
                <c:manualLayout>
                  <c:x val="0"/>
                  <c:y val="-2.982848620432516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F9-420E-A647-9FE859E61FF0}"/>
                </c:ext>
              </c:extLst>
            </c:dLbl>
            <c:dLbl>
              <c:idx val="2"/>
              <c:layout>
                <c:manualLayout>
                  <c:x val="8.2135523613963042E-3"/>
                  <c:y val="-2.9828486204325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F9-420E-A647-9FE859E61FF0}"/>
                </c:ext>
              </c:extLst>
            </c:dLbl>
            <c:dLbl>
              <c:idx val="3"/>
              <c:layout>
                <c:manualLayout>
                  <c:x val="0"/>
                  <c:y val="-2.2371364653243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F9-420E-A647-9FE859E61FF0}"/>
                </c:ext>
              </c:extLst>
            </c:dLbl>
            <c:dLbl>
              <c:idx val="4"/>
              <c:layout>
                <c:manualLayout>
                  <c:x val="0"/>
                  <c:y val="-2.2371364653243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F9-420E-A647-9FE859E61F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(N=418)</c:v>
                </c:pt>
                <c:pt idx="1">
                  <c:v>2015-2016
 (N=562)</c:v>
                </c:pt>
                <c:pt idx="2">
                  <c:v>2016-2017
 (N=570)</c:v>
                </c:pt>
                <c:pt idx="3">
                  <c:v>2017-2018
 (N=593)</c:v>
                </c:pt>
                <c:pt idx="4">
                  <c:v>2018-2019
 (N=678)</c:v>
                </c:pt>
              </c:strCache>
            </c:strRef>
          </c:cat>
          <c:val>
            <c:numRef>
              <c:f>Sheet1!$D$2:$D$6</c:f>
              <c:numCache>
                <c:formatCode>General</c:formatCode>
                <c:ptCount val="5"/>
                <c:pt idx="0">
                  <c:v>8</c:v>
                </c:pt>
                <c:pt idx="1">
                  <c:v>5</c:v>
                </c:pt>
                <c:pt idx="2">
                  <c:v>8</c:v>
                </c:pt>
                <c:pt idx="3">
                  <c:v>7</c:v>
                </c:pt>
                <c:pt idx="4">
                  <c:v>13</c:v>
                </c:pt>
              </c:numCache>
            </c:numRef>
          </c:val>
          <c:extLst>
            <c:ext xmlns:c16="http://schemas.microsoft.com/office/drawing/2014/chart" uri="{C3380CC4-5D6E-409C-BE32-E72D297353CC}">
              <c16:uniqueId val="{00000007-46F9-420E-A647-9FE859E61FF0}"/>
            </c:ext>
          </c:extLst>
        </c:ser>
        <c:dLbls>
          <c:dLblPos val="ctr"/>
          <c:showLegendKey val="0"/>
          <c:showVal val="1"/>
          <c:showCatName val="0"/>
          <c:showSerName val="0"/>
          <c:showPercent val="0"/>
          <c:showBubbleSize val="0"/>
        </c:dLbls>
        <c:gapWidth val="150"/>
        <c:overlap val="100"/>
        <c:axId val="364042960"/>
        <c:axId val="364040216"/>
      </c:barChart>
      <c:catAx>
        <c:axId val="36404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0216"/>
        <c:crosses val="autoZero"/>
        <c:auto val="1"/>
        <c:lblAlgn val="ctr"/>
        <c:lblOffset val="100"/>
        <c:noMultiLvlLbl val="0"/>
      </c:catAx>
      <c:valAx>
        <c:axId val="3640402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2960"/>
        <c:crosses val="autoZero"/>
        <c:crossBetween val="between"/>
      </c:valAx>
      <c:spPr>
        <a:noFill/>
        <a:ln>
          <a:noFill/>
        </a:ln>
        <a:effectLst/>
      </c:spPr>
    </c:plotArea>
    <c:legend>
      <c:legendPos val="b"/>
      <c:layout>
        <c:manualLayout>
          <c:xMode val="edge"/>
          <c:yMode val="edge"/>
          <c:x val="4.4100955553040477E-3"/>
          <c:y val="0.80836371963571652"/>
          <c:w val="0.97885948034729742"/>
          <c:h val="0.1504210044214271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Programme de recrutement postsecondaire et embauche d'anciens étudiants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fr-FR"/>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498864861213496"/>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17-4F78-82A1-599F4E90EB22}"/>
                </c:ext>
              </c:extLst>
            </c:dLbl>
            <c:dLbl>
              <c:idx val="2"/>
              <c:layout>
                <c:manualLayout>
                  <c:x val="-6.7525309567398852E-17"/>
                  <c:y val="1.11898545318909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17-4F78-82A1-599F4E90EB22}"/>
                </c:ext>
              </c:extLst>
            </c:dLbl>
            <c:dLbl>
              <c:idx val="3"/>
              <c:layout>
                <c:manualLayout>
                  <c:x val="0"/>
                  <c:y val="1.1189854531891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17-4F78-82A1-599F4E90EB22}"/>
                </c:ext>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17-4F78-82A1-599F4E90EB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#,##0_-;\-* #,##0_-;_-* "-"??_-;_-@_-</c:formatCode>
                <c:ptCount val="5"/>
                <c:pt idx="0">
                  <c:v>10</c:v>
                </c:pt>
                <c:pt idx="1">
                  <c:v>9</c:v>
                </c:pt>
                <c:pt idx="2">
                  <c:v>39</c:v>
                </c:pt>
                <c:pt idx="3">
                  <c:v>55</c:v>
                </c:pt>
                <c:pt idx="4">
                  <c:v>92</c:v>
                </c:pt>
              </c:numCache>
            </c:numRef>
          </c:val>
          <c:extLst>
            <c:ext xmlns:c16="http://schemas.microsoft.com/office/drawing/2014/chart" uri="{C3380CC4-5D6E-409C-BE32-E72D297353CC}">
              <c16:uniqueId val="{00000004-6317-4F78-82A1-599F4E90EB22}"/>
            </c:ext>
          </c:extLst>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3.72995151063036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17-4F78-82A1-599F4E90EB22}"/>
                </c:ext>
              </c:extLst>
            </c:dLbl>
            <c:dLbl>
              <c:idx val="1"/>
              <c:layout>
                <c:manualLayout>
                  <c:x val="-3.6832412523020931E-3"/>
                  <c:y val="1.4919806042521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17-4F78-82A1-599F4E90EB22}"/>
                </c:ext>
              </c:extLst>
            </c:dLbl>
            <c:dLbl>
              <c:idx val="2"/>
              <c:layout>
                <c:manualLayout>
                  <c:x val="-1.350506191347977E-16"/>
                  <c:y val="3.7299515106303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17-4F78-82A1-599F4E90EB22}"/>
                </c:ext>
              </c:extLst>
            </c:dLbl>
            <c:dLbl>
              <c:idx val="3"/>
              <c:layout>
                <c:manualLayout>
                  <c:x val="0"/>
                  <c:y val="7.45990302126070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317-4F78-82A1-599F4E90EB22}"/>
                </c:ext>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17-4F78-82A1-599F4E90EB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_-* #,##0_-;\-* #,##0_-;_-* "-"??_-;_-@_-</c:formatCode>
                <c:ptCount val="5"/>
                <c:pt idx="0">
                  <c:v>64</c:v>
                </c:pt>
                <c:pt idx="1">
                  <c:v>106</c:v>
                </c:pt>
                <c:pt idx="2">
                  <c:v>181</c:v>
                </c:pt>
                <c:pt idx="3">
                  <c:v>224</c:v>
                </c:pt>
                <c:pt idx="4">
                  <c:v>294</c:v>
                </c:pt>
              </c:numCache>
            </c:numRef>
          </c:val>
          <c:extLst>
            <c:ext xmlns:c16="http://schemas.microsoft.com/office/drawing/2014/chart" uri="{C3380CC4-5D6E-409C-BE32-E72D297353CC}">
              <c16:uniqueId val="{0000000A-6317-4F78-82A1-599F4E90EB22}"/>
            </c:ext>
          </c:extLst>
        </c:ser>
        <c:dLbls>
          <c:showLegendKey val="0"/>
          <c:showVal val="1"/>
          <c:showCatName val="0"/>
          <c:showSerName val="0"/>
          <c:showPercent val="0"/>
          <c:showBubbleSize val="0"/>
        </c:dLbls>
        <c:gapWidth val="150"/>
        <c:shape val="box"/>
        <c:axId val="364043352"/>
        <c:axId val="364043744"/>
        <c:axId val="0"/>
      </c:bar3DChart>
      <c:catAx>
        <c:axId val="364043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3744"/>
        <c:crosses val="autoZero"/>
        <c:auto val="1"/>
        <c:lblAlgn val="ctr"/>
        <c:lblOffset val="100"/>
        <c:noMultiLvlLbl val="0"/>
      </c:catAx>
      <c:valAx>
        <c:axId val="36404374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3352"/>
        <c:crosses val="autoZero"/>
        <c:crossBetween val="between"/>
        <c:minorUnit val="1"/>
      </c:valAx>
      <c:spPr>
        <a:noFill/>
        <a:ln>
          <a:noFill/>
        </a:ln>
        <a:effectLst/>
      </c:spPr>
    </c:plotArea>
    <c:legend>
      <c:legendPos val="r"/>
      <c:layout>
        <c:manualLayout>
          <c:xMode val="edge"/>
          <c:yMode val="edge"/>
          <c:x val="4.7026870260002032E-2"/>
          <c:y val="0.82399151803152548"/>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100"/>
              <a:t>Durée de dotation interne</a:t>
            </a:r>
          </a:p>
          <a:p>
            <a:pPr>
              <a:defRPr sz="1100"/>
            </a:pPr>
            <a:r>
              <a:rPr lang="en-CA" sz="1100"/>
              <a:t>Médiane pour la fonction publique = 176 jours</a:t>
            </a:r>
          </a:p>
          <a:p>
            <a:pPr>
              <a:defRPr sz="1100"/>
            </a:pPr>
            <a:r>
              <a:rPr lang="en-CA" sz="1100"/>
              <a:t> 2018-2019</a:t>
            </a:r>
          </a:p>
        </c:rich>
      </c:tx>
      <c:layout>
        <c:manualLayout>
          <c:xMode val="edge"/>
          <c:yMode val="edge"/>
          <c:x val="0.22699986279118145"/>
          <c:y val="3.6183406672166394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extLst>
            <c:ext xmlns:c16="http://schemas.microsoft.com/office/drawing/2014/chart" uri="{C3380CC4-5D6E-409C-BE32-E72D297353CC}">
              <c16:uniqueId val="{00000000-51D2-4113-AD39-6AC8F3723F39}"/>
            </c:ext>
          </c:extLst>
        </c:ser>
        <c:dLbls>
          <c:showLegendKey val="0"/>
          <c:showVal val="0"/>
          <c:showCatName val="0"/>
          <c:showSerName val="0"/>
          <c:showPercent val="0"/>
          <c:showBubbleSize val="0"/>
        </c:dLbls>
        <c:gapWidth val="150"/>
        <c:overlap val="100"/>
        <c:axId val="364044528"/>
        <c:axId val="364044920"/>
      </c:barChart>
      <c:catAx>
        <c:axId val="3640445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4920"/>
        <c:crosses val="autoZero"/>
        <c:auto val="1"/>
        <c:lblAlgn val="ctr"/>
        <c:lblOffset val="100"/>
        <c:noMultiLvlLbl val="0"/>
      </c:catAx>
      <c:valAx>
        <c:axId val="364044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4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100"/>
              <a:t>Durée de dotation interne - Médiane pour </a:t>
            </a:r>
          </a:p>
          <a:p>
            <a:pPr>
              <a:defRPr sz="1100"/>
            </a:pPr>
            <a:r>
              <a:rPr lang="en-CA" sz="1100"/>
              <a:t>Santé Canada = 201 jours</a:t>
            </a:r>
          </a:p>
          <a:p>
            <a:pPr>
              <a:defRPr sz="1100"/>
            </a:pPr>
            <a:r>
              <a:rPr lang="en-CA" sz="1100"/>
              <a:t> 2018-2019</a:t>
            </a:r>
          </a:p>
        </c:rich>
      </c:tx>
      <c:layout>
        <c:manualLayout>
          <c:xMode val="edge"/>
          <c:yMode val="edge"/>
          <c:x val="0.26710201696963259"/>
          <c:y val="3.6183406672166394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1137675972321642"/>
          <c:y val="0.21433528126057411"/>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2">
                  <c:v>1</c:v>
                </c:pt>
                <c:pt idx="3">
                  <c:v>12</c:v>
                </c:pt>
                <c:pt idx="4">
                  <c:v>21</c:v>
                </c:pt>
                <c:pt idx="5">
                  <c:v>17</c:v>
                </c:pt>
                <c:pt idx="6">
                  <c:v>15</c:v>
                </c:pt>
                <c:pt idx="7">
                  <c:v>13</c:v>
                </c:pt>
                <c:pt idx="8">
                  <c:v>19</c:v>
                </c:pt>
                <c:pt idx="9">
                  <c:v>8</c:v>
                </c:pt>
                <c:pt idx="10">
                  <c:v>9</c:v>
                </c:pt>
                <c:pt idx="11">
                  <c:v>8</c:v>
                </c:pt>
                <c:pt idx="12">
                  <c:v>4</c:v>
                </c:pt>
                <c:pt idx="13">
                  <c:v>3</c:v>
                </c:pt>
                <c:pt idx="14">
                  <c:v>3</c:v>
                </c:pt>
                <c:pt idx="15">
                  <c:v>0</c:v>
                </c:pt>
                <c:pt idx="16">
                  <c:v>2</c:v>
                </c:pt>
                <c:pt idx="17">
                  <c:v>1</c:v>
                </c:pt>
                <c:pt idx="18">
                  <c:v>3</c:v>
                </c:pt>
                <c:pt idx="19">
                  <c:v>2</c:v>
                </c:pt>
                <c:pt idx="20">
                  <c:v>2</c:v>
                </c:pt>
                <c:pt idx="21">
                  <c:v>1</c:v>
                </c:pt>
                <c:pt idx="22">
                  <c:v>2</c:v>
                </c:pt>
                <c:pt idx="23">
                  <c:v>0</c:v>
                </c:pt>
                <c:pt idx="24">
                  <c:v>1</c:v>
                </c:pt>
                <c:pt idx="25">
                  <c:v>0</c:v>
                </c:pt>
                <c:pt idx="26">
                  <c:v>0</c:v>
                </c:pt>
                <c:pt idx="27">
                  <c:v>1</c:v>
                </c:pt>
                <c:pt idx="28">
                  <c:v>0</c:v>
                </c:pt>
                <c:pt idx="29">
                  <c:v>0</c:v>
                </c:pt>
                <c:pt idx="30">
                  <c:v>1</c:v>
                </c:pt>
                <c:pt idx="31">
                  <c:v>2</c:v>
                </c:pt>
                <c:pt idx="34">
                  <c:v>2</c:v>
                </c:pt>
              </c:numCache>
            </c:numRef>
          </c:val>
          <c:extLst>
            <c:ext xmlns:c16="http://schemas.microsoft.com/office/drawing/2014/chart" uri="{C3380CC4-5D6E-409C-BE32-E72D297353CC}">
              <c16:uniqueId val="{00000000-CF1A-4874-BEF3-BA6E17F6E4DB}"/>
            </c:ext>
          </c:extLst>
        </c:ser>
        <c:dLbls>
          <c:showLegendKey val="0"/>
          <c:showVal val="0"/>
          <c:showCatName val="0"/>
          <c:showSerName val="0"/>
          <c:showPercent val="0"/>
          <c:showBubbleSize val="0"/>
        </c:dLbls>
        <c:gapWidth val="150"/>
        <c:overlap val="100"/>
        <c:axId val="364046488"/>
        <c:axId val="364883144"/>
      </c:barChart>
      <c:catAx>
        <c:axId val="36404648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883144"/>
        <c:crosses val="autoZero"/>
        <c:auto val="1"/>
        <c:lblAlgn val="ctr"/>
        <c:lblOffset val="100"/>
        <c:noMultiLvlLbl val="0"/>
      </c:catAx>
      <c:valAx>
        <c:axId val="364883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6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externe</a:t>
            </a:r>
          </a:p>
          <a:p>
            <a:pPr>
              <a:defRPr sz="1200"/>
            </a:pPr>
            <a:r>
              <a:rPr lang="en-CA" sz="1200"/>
              <a:t>Médiane pour la fonction publique = 186 jours</a:t>
            </a:r>
          </a:p>
          <a:p>
            <a:pPr>
              <a:defRPr sz="1200"/>
            </a:pPr>
            <a:r>
              <a:rPr lang="en-CA" sz="1200"/>
              <a:t> 2018-2019</a:t>
            </a: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extLst>
            <c:ext xmlns:c16="http://schemas.microsoft.com/office/drawing/2014/chart" uri="{C3380CC4-5D6E-409C-BE32-E72D297353CC}">
              <c16:uniqueId val="{00000000-C199-4AB3-8522-0BD5E233625A}"/>
            </c:ext>
          </c:extLst>
        </c:ser>
        <c:dLbls>
          <c:showLegendKey val="0"/>
          <c:showVal val="0"/>
          <c:showCatName val="0"/>
          <c:showSerName val="0"/>
          <c:showPercent val="0"/>
          <c:showBubbleSize val="0"/>
        </c:dLbls>
        <c:gapWidth val="150"/>
        <c:overlap val="100"/>
        <c:axId val="364881184"/>
        <c:axId val="364878048"/>
      </c:barChart>
      <c:catAx>
        <c:axId val="36488118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878048"/>
        <c:crosses val="autoZero"/>
        <c:auto val="1"/>
        <c:lblAlgn val="ctr"/>
        <c:lblOffset val="100"/>
        <c:noMultiLvlLbl val="0"/>
      </c:catAx>
      <c:valAx>
        <c:axId val="364878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881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externe - Médiane pour </a:t>
            </a:r>
          </a:p>
          <a:p>
            <a:pPr>
              <a:defRPr sz="1200"/>
            </a:pPr>
            <a:r>
              <a:rPr lang="en-CA" sz="1200"/>
              <a:t>Santé Canada = 193 jours</a:t>
            </a:r>
          </a:p>
          <a:p>
            <a:pPr>
              <a:defRPr sz="1200"/>
            </a:pPr>
            <a:r>
              <a:rPr lang="en-CA" sz="1200"/>
              <a:t> 2018-2019</a:t>
            </a:r>
          </a:p>
        </c:rich>
      </c:tx>
      <c:layout>
        <c:manualLayout>
          <c:xMode val="edge"/>
          <c:yMode val="edge"/>
          <c:x val="0.24458348271390187"/>
          <c:y val="1.611573704297169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0560475395121065"/>
          <c:y val="0.20504375977393069"/>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c:v>
                </c:pt>
                <c:pt idx="2">
                  <c:v>5</c:v>
                </c:pt>
                <c:pt idx="3">
                  <c:v>5</c:v>
                </c:pt>
                <c:pt idx="4">
                  <c:v>14</c:v>
                </c:pt>
                <c:pt idx="5">
                  <c:v>7</c:v>
                </c:pt>
                <c:pt idx="6">
                  <c:v>3</c:v>
                </c:pt>
                <c:pt idx="7">
                  <c:v>7</c:v>
                </c:pt>
                <c:pt idx="8">
                  <c:v>9</c:v>
                </c:pt>
                <c:pt idx="9">
                  <c:v>4</c:v>
                </c:pt>
                <c:pt idx="10">
                  <c:v>3</c:v>
                </c:pt>
                <c:pt idx="11">
                  <c:v>2</c:v>
                </c:pt>
                <c:pt idx="12">
                  <c:v>3</c:v>
                </c:pt>
                <c:pt idx="13">
                  <c:v>0</c:v>
                </c:pt>
                <c:pt idx="14">
                  <c:v>0</c:v>
                </c:pt>
                <c:pt idx="15">
                  <c:v>2</c:v>
                </c:pt>
                <c:pt idx="16">
                  <c:v>1</c:v>
                </c:pt>
                <c:pt idx="17">
                  <c:v>2</c:v>
                </c:pt>
                <c:pt idx="18">
                  <c:v>3</c:v>
                </c:pt>
                <c:pt idx="19">
                  <c:v>1</c:v>
                </c:pt>
                <c:pt idx="20">
                  <c:v>2</c:v>
                </c:pt>
                <c:pt idx="21">
                  <c:v>1</c:v>
                </c:pt>
                <c:pt idx="22">
                  <c:v>0</c:v>
                </c:pt>
                <c:pt idx="23">
                  <c:v>0</c:v>
                </c:pt>
                <c:pt idx="24">
                  <c:v>0</c:v>
                </c:pt>
                <c:pt idx="25">
                  <c:v>1</c:v>
                </c:pt>
                <c:pt idx="26">
                  <c:v>1</c:v>
                </c:pt>
                <c:pt idx="27">
                  <c:v>0</c:v>
                </c:pt>
                <c:pt idx="28">
                  <c:v>0</c:v>
                </c:pt>
                <c:pt idx="29">
                  <c:v>0</c:v>
                </c:pt>
                <c:pt idx="30">
                  <c:v>0</c:v>
                </c:pt>
                <c:pt idx="31">
                  <c:v>0</c:v>
                </c:pt>
                <c:pt idx="32">
                  <c:v>0</c:v>
                </c:pt>
                <c:pt idx="33">
                  <c:v>0</c:v>
                </c:pt>
                <c:pt idx="34">
                  <c:v>0</c:v>
                </c:pt>
              </c:numCache>
            </c:numRef>
          </c:val>
          <c:extLst>
            <c:ext xmlns:c16="http://schemas.microsoft.com/office/drawing/2014/chart" uri="{C3380CC4-5D6E-409C-BE32-E72D297353CC}">
              <c16:uniqueId val="{00000000-9B81-403B-A666-9E451ED3BFAF}"/>
            </c:ext>
          </c:extLst>
        </c:ser>
        <c:dLbls>
          <c:showLegendKey val="0"/>
          <c:showVal val="0"/>
          <c:showCatName val="0"/>
          <c:showSerName val="0"/>
          <c:showPercent val="0"/>
          <c:showBubbleSize val="0"/>
        </c:dLbls>
        <c:gapWidth val="150"/>
        <c:overlap val="100"/>
        <c:axId val="364883536"/>
        <c:axId val="364884712"/>
      </c:barChart>
      <c:catAx>
        <c:axId val="3648835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884712"/>
        <c:crosses val="autoZero"/>
        <c:auto val="1"/>
        <c:lblAlgn val="ctr"/>
        <c:lblOffset val="100"/>
        <c:noMultiLvlLbl val="0"/>
      </c:catAx>
      <c:valAx>
        <c:axId val="364884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88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t>Population selon le profil linguistique au 31 mars 2019 (N=10 850)</a:t>
            </a:r>
            <a:endParaRPr lang="en-CA" sz="1200"/>
          </a:p>
        </c:rich>
      </c:tx>
      <c:layout>
        <c:manualLayout>
          <c:xMode val="edge"/>
          <c:yMode val="edge"/>
          <c:x val="0.14725646205219109"/>
          <c:y val="3.352977616928321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9.1595553173654358E-3"/>
          <c:y val="0.28853377023524235"/>
          <c:w val="0.99084044468263455"/>
          <c:h val="0.58773454948566217"/>
        </c:manualLayout>
      </c:layout>
      <c:pieChart>
        <c:varyColors val="1"/>
        <c:ser>
          <c:idx val="0"/>
          <c:order val="0"/>
          <c:tx>
            <c:strRef>
              <c:f>Sheet1!$B$1</c:f>
              <c:strCache>
                <c:ptCount val="1"/>
                <c:pt idx="0">
                  <c:v>Population selon le profil linguistique au 31 mars 2018</c:v>
                </c:pt>
              </c:strCache>
            </c:strRef>
          </c:tx>
          <c:spPr>
            <a:ln w="3175">
              <a:noFill/>
            </a:ln>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noFill/>
              </a:ln>
              <a:effectLst/>
            </c:spPr>
            <c:extLst>
              <c:ext xmlns:c16="http://schemas.microsoft.com/office/drawing/2014/chart" uri="{C3380CC4-5D6E-409C-BE32-E72D297353CC}">
                <c16:uniqueId val="{00000001-2B5A-4333-820C-7770E7DA3704}"/>
              </c:ext>
            </c:extLst>
          </c:dPt>
          <c:dPt>
            <c:idx val="1"/>
            <c:bubble3D val="0"/>
            <c:explosion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3175">
                <a:noFill/>
              </a:ln>
              <a:effectLst/>
            </c:spPr>
            <c:extLst>
              <c:ext xmlns:c16="http://schemas.microsoft.com/office/drawing/2014/chart" uri="{C3380CC4-5D6E-409C-BE32-E72D297353CC}">
                <c16:uniqueId val="{00000003-2B5A-4333-820C-7770E7DA3704}"/>
              </c:ext>
            </c:extLst>
          </c:dPt>
          <c:dLbls>
            <c:dLbl>
              <c:idx val="0"/>
              <c:layout>
                <c:manualLayout>
                  <c:x val="-0.1243455497382199"/>
                  <c:y val="0.24745072626791217"/>
                </c:manualLayout>
              </c:layout>
              <c:showLegendKey val="0"/>
              <c:showVal val="0"/>
              <c:showCatName val="1"/>
              <c:showSerName val="0"/>
              <c:showPercent val="1"/>
              <c:showBubbleSize val="0"/>
              <c:extLst>
                <c:ext xmlns:c15="http://schemas.microsoft.com/office/drawing/2012/chart" uri="{CE6537A1-D6FC-4f65-9D91-7224C49458BB}">
                  <c15:layout>
                    <c:manualLayout>
                      <c:w val="0.43717277486910994"/>
                      <c:h val="0.16045548654244307"/>
                    </c:manualLayout>
                  </c15:layout>
                </c:ext>
                <c:ext xmlns:c16="http://schemas.microsoft.com/office/drawing/2014/chart" uri="{C3380CC4-5D6E-409C-BE32-E72D297353CC}">
                  <c16:uniqueId val="{00000001-2B5A-4333-820C-7770E7DA3704}"/>
                </c:ext>
              </c:extLst>
            </c:dLbl>
            <c:dLbl>
              <c:idx val="1"/>
              <c:layout>
                <c:manualLayout>
                  <c:x val="0.14834240288026823"/>
                  <c:y val="-0.16548800965096744"/>
                </c:manualLayout>
              </c:layout>
              <c:showLegendKey val="0"/>
              <c:showVal val="0"/>
              <c:showCatName val="1"/>
              <c:showSerName val="0"/>
              <c:showPercent val="1"/>
              <c:showBubbleSize val="0"/>
              <c:extLst>
                <c:ext xmlns:c15="http://schemas.microsoft.com/office/drawing/2012/chart" uri="{CE6537A1-D6FC-4f65-9D91-7224C49458BB}">
                  <c15:layout>
                    <c:manualLayout>
                      <c:w val="0.34746945898778353"/>
                      <c:h val="0.18610268825092516"/>
                    </c:manualLayout>
                  </c15:layout>
                </c:ext>
                <c:ext xmlns:c16="http://schemas.microsoft.com/office/drawing/2014/chart" uri="{C3380CC4-5D6E-409C-BE32-E72D297353CC}">
                  <c16:uniqueId val="{00000003-2B5A-4333-820C-7770E7DA3704}"/>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Unilingue</c:v>
                </c:pt>
                <c:pt idx="1">
                  <c:v>Bilingue</c:v>
                </c:pt>
              </c:strCache>
            </c:strRef>
          </c:cat>
          <c:val>
            <c:numRef>
              <c:f>Sheet1!$B$2:$B$3</c:f>
              <c:numCache>
                <c:formatCode>0</c:formatCode>
                <c:ptCount val="2"/>
                <c:pt idx="0">
                  <c:v>6241</c:v>
                </c:pt>
                <c:pt idx="1">
                  <c:v>3552</c:v>
                </c:pt>
              </c:numCache>
            </c:numRef>
          </c:val>
          <c:extLst>
            <c:ext xmlns:c16="http://schemas.microsoft.com/office/drawing/2014/chart" uri="{C3380CC4-5D6E-409C-BE32-E72D297353CC}">
              <c16:uniqueId val="{00000004-2B5A-4333-820C-7770E7DA3704}"/>
            </c:ext>
          </c:extLst>
        </c:ser>
        <c:dLbls>
          <c:showLegendKey val="0"/>
          <c:showVal val="0"/>
          <c:showCatName val="0"/>
          <c:showSerName val="0"/>
          <c:showPercent val="0"/>
          <c:showBubbleSize val="0"/>
          <c:showLeaderLines val="1"/>
        </c:dLbls>
        <c:firstSliceAng val="271"/>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Population selon le groupe professionnel au 31 mars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A312-45D9-A554-27ADE0930BEE}"/>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A312-45D9-A554-27ADE0930BEE}"/>
              </c:ext>
            </c:extLst>
          </c:dPt>
          <c:dPt>
            <c:idx val="2"/>
            <c:bubble3D val="0"/>
            <c:spPr>
              <a:solidFill>
                <a:schemeClr val="bg1">
                  <a:lumMod val="75000"/>
                </a:schemeClr>
              </a:solidFill>
              <a:ln w="3175">
                <a:solidFill>
                  <a:schemeClr val="lt1"/>
                </a:solidFill>
              </a:ln>
              <a:effectLst/>
            </c:spPr>
            <c:extLst>
              <c:ext xmlns:c16="http://schemas.microsoft.com/office/drawing/2014/chart" uri="{C3380CC4-5D6E-409C-BE32-E72D297353CC}">
                <c16:uniqueId val="{00000005-A312-45D9-A554-27ADE0930BEE}"/>
              </c:ext>
            </c:extLst>
          </c:dPt>
          <c:dPt>
            <c:idx val="3"/>
            <c:bubble3D val="0"/>
            <c:spPr>
              <a:solidFill>
                <a:schemeClr val="accent6">
                  <a:lumMod val="40000"/>
                  <a:lumOff val="60000"/>
                </a:schemeClr>
              </a:solidFill>
              <a:ln w="3175">
                <a:solidFill>
                  <a:schemeClr val="lt1"/>
                </a:solidFill>
              </a:ln>
              <a:effectLst/>
            </c:spPr>
            <c:extLst>
              <c:ext xmlns:c16="http://schemas.microsoft.com/office/drawing/2014/chart" uri="{C3380CC4-5D6E-409C-BE32-E72D297353CC}">
                <c16:uniqueId val="{00000007-A312-45D9-A554-27ADE0930BEE}"/>
              </c:ext>
            </c:extLst>
          </c:dPt>
          <c:dPt>
            <c:idx val="4"/>
            <c:bubble3D val="0"/>
            <c:spPr>
              <a:solidFill>
                <a:schemeClr val="accent4">
                  <a:lumMod val="60000"/>
                  <a:lumOff val="40000"/>
                </a:schemeClr>
              </a:solidFill>
              <a:ln w="3175">
                <a:solidFill>
                  <a:schemeClr val="lt1"/>
                </a:solidFill>
              </a:ln>
              <a:effectLst/>
            </c:spPr>
            <c:extLst>
              <c:ext xmlns:c16="http://schemas.microsoft.com/office/drawing/2014/chart" uri="{C3380CC4-5D6E-409C-BE32-E72D297353CC}">
                <c16:uniqueId val="{00000009-A312-45D9-A554-27ADE0930BEE}"/>
              </c:ext>
            </c:extLst>
          </c:dPt>
          <c:dPt>
            <c:idx val="5"/>
            <c:bubble3D val="0"/>
            <c:spPr>
              <a:solidFill>
                <a:schemeClr val="accent6"/>
              </a:solidFill>
              <a:ln w="3175">
                <a:solidFill>
                  <a:schemeClr val="lt1"/>
                </a:solidFill>
              </a:ln>
              <a:effectLst/>
            </c:spPr>
            <c:extLst>
              <c:ext xmlns:c16="http://schemas.microsoft.com/office/drawing/2014/chart" uri="{C3380CC4-5D6E-409C-BE32-E72D297353CC}">
                <c16:uniqueId val="{0000000B-A312-45D9-A554-27ADE0930BEE}"/>
              </c:ext>
            </c:extLst>
          </c:dPt>
          <c:dLbls>
            <c:dLbl>
              <c:idx val="0"/>
              <c:layout>
                <c:manualLayout>
                  <c:x val="-6.7358758926084034E-2"/>
                  <c:y val="-0.11040207522697795"/>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312-45D9-A554-27ADE0930BEE}"/>
                </c:ext>
              </c:extLst>
            </c:dLbl>
            <c:dLbl>
              <c:idx val="1"/>
              <c:layout>
                <c:manualLayout>
                  <c:x val="0.18846962565433506"/>
                  <c:y val="-0.14453220584780987"/>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A312-45D9-A554-27ADE0930BEE}"/>
                </c:ext>
              </c:extLst>
            </c:dLbl>
            <c:dLbl>
              <c:idx val="2"/>
              <c:layout>
                <c:manualLayout>
                  <c:x val="5.2141527001862198E-2"/>
                  <c:y val="-2.745345547759846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A312-45D9-A554-27ADE0930BEE}"/>
                </c:ext>
              </c:extLst>
            </c:dLbl>
            <c:dLbl>
              <c:idx val="3"/>
              <c:layout>
                <c:manualLayout>
                  <c:x val="4.4693030689599553E-2"/>
                  <c:y val="7.4244104700920077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Semibold" panose="020B0702040204020203" pitchFamily="34" charset="0"/>
                      <a:ea typeface="+mn-ea"/>
                      <a:cs typeface="Segoe UI Semibold" panose="020B0702040204020203" pitchFamily="34" charset="0"/>
                    </a:defRPr>
                  </a:pPr>
                  <a:endParaRPr lang="fr-F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67173252284"/>
                      <c:h val="0.13359273670557717"/>
                    </c:manualLayout>
                  </c15:layout>
                </c:ext>
                <c:ext xmlns:c16="http://schemas.microsoft.com/office/drawing/2014/chart" uri="{C3380CC4-5D6E-409C-BE32-E72D297353CC}">
                  <c16:uniqueId val="{00000007-A312-45D9-A554-27ADE0930BEE}"/>
                </c:ext>
              </c:extLst>
            </c:dLbl>
            <c:dLbl>
              <c:idx val="4"/>
              <c:layout>
                <c:manualLayout>
                  <c:x val="0.19145793926597166"/>
                  <c:y val="0.1476050124084684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256983240223464"/>
                      <c:h val="0.14267185473411154"/>
                    </c:manualLayout>
                  </c15:layout>
                </c:ext>
                <c:ext xmlns:c16="http://schemas.microsoft.com/office/drawing/2014/chart" uri="{C3380CC4-5D6E-409C-BE32-E72D297353CC}">
                  <c16:uniqueId val="{00000009-A312-45D9-A554-27ADE0930BEE}"/>
                </c:ext>
              </c:extLst>
            </c:dLbl>
            <c:dLbl>
              <c:idx val="5"/>
              <c:layout>
                <c:manualLayout>
                  <c:x val="-5.9590316573556797E-2"/>
                  <c:y val="8.292696875925528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7951582867784"/>
                      <c:h val="0.15434500648508431"/>
                    </c:manualLayout>
                  </c15:layout>
                </c:ext>
                <c:ext xmlns:c16="http://schemas.microsoft.com/office/drawing/2014/chart" uri="{C3380CC4-5D6E-409C-BE32-E72D297353CC}">
                  <c16:uniqueId val="{0000000B-A312-45D9-A554-27ADE0930BEE}"/>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Segoe UI Semibold" panose="020B0702040204020203" pitchFamily="34" charset="0"/>
                    <a:ea typeface="+mn-ea"/>
                    <a:cs typeface="Segoe UI Semibold" panose="020B0702040204020203" pitchFamily="34" charset="0"/>
                  </a:defRPr>
                </a:pPr>
                <a:endParaRPr lang="fr-FR"/>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AS</c:v>
                </c:pt>
                <c:pt idx="1">
                  <c:v>EC</c:v>
                </c:pt>
                <c:pt idx="2">
                  <c:v>SG</c:v>
                </c:pt>
                <c:pt idx="3">
                  <c:v>BI</c:v>
                </c:pt>
                <c:pt idx="4">
                  <c:v>CR</c:v>
                </c:pt>
                <c:pt idx="5">
                  <c:v>Autre</c:v>
                </c:pt>
              </c:strCache>
            </c:strRef>
          </c:cat>
          <c:val>
            <c:numRef>
              <c:f>Sheet1!$B$2:$B$7</c:f>
              <c:numCache>
                <c:formatCode>General</c:formatCode>
                <c:ptCount val="6"/>
                <c:pt idx="0">
                  <c:v>1669</c:v>
                </c:pt>
                <c:pt idx="1">
                  <c:v>1274</c:v>
                </c:pt>
                <c:pt idx="2">
                  <c:v>1130</c:v>
                </c:pt>
                <c:pt idx="3">
                  <c:v>1113</c:v>
                </c:pt>
                <c:pt idx="4">
                  <c:v>1023</c:v>
                </c:pt>
                <c:pt idx="5">
                  <c:v>4312</c:v>
                </c:pt>
              </c:numCache>
            </c:numRef>
          </c:val>
          <c:extLst>
            <c:ext xmlns:c16="http://schemas.microsoft.com/office/drawing/2014/chart" uri="{C3380CC4-5D6E-409C-BE32-E72D297353CC}">
              <c16:uniqueId val="{0000000C-A312-45D9-A554-27ADE0930BEE}"/>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t>Population selon la région au 31 mars 2019 (N=10 850)</a:t>
            </a:r>
            <a:endParaRPr lang="en-CA" sz="1200" b="1"/>
          </a:p>
        </c:rich>
      </c:tx>
      <c:layout>
        <c:manualLayout>
          <c:xMode val="edge"/>
          <c:yMode val="edge"/>
          <c:x val="0.12792086473061834"/>
          <c:y val="2.070393374741200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8.3640109502441232E-2"/>
          <c:y val="0.22221760323437831"/>
          <c:w val="0.84333349635643373"/>
          <c:h val="0.7057986048814310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extLst>
              <c:ext xmlns:c16="http://schemas.microsoft.com/office/drawing/2014/chart" uri="{C3380CC4-5D6E-409C-BE32-E72D297353CC}">
                <c16:uniqueId val="{00000001-A661-4735-8A85-05798C11444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A661-4735-8A85-05798C114444}"/>
              </c:ext>
            </c:extLst>
          </c:dPt>
          <c:dLbls>
            <c:dLbl>
              <c:idx val="0"/>
              <c:layout>
                <c:manualLayout>
                  <c:x val="-7.1684587813620068E-2"/>
                  <c:y val="0.10937790384897535"/>
                </c:manualLayout>
              </c:layout>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 xmlns:c16="http://schemas.microsoft.com/office/drawing/2014/chart" uri="{C3380CC4-5D6E-409C-BE32-E72D297353CC}">
                  <c16:uniqueId val="{00000001-A661-4735-8A85-05798C114444}"/>
                </c:ext>
              </c:extLst>
            </c:dLbl>
            <c:dLbl>
              <c:idx val="1"/>
              <c:layout>
                <c:manualLayout>
                  <c:x val="0.19354838709677419"/>
                  <c:y val="-6.196874847165843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661-4735-8A85-05798C114444}"/>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3222</c:v>
                </c:pt>
                <c:pt idx="1">
                  <c:v>7614</c:v>
                </c:pt>
              </c:numCache>
            </c:numRef>
          </c:val>
          <c:extLst>
            <c:ext xmlns:c16="http://schemas.microsoft.com/office/drawing/2014/chart" uri="{C3380CC4-5D6E-409C-BE32-E72D297353CC}">
              <c16:uniqueId val="{00000004-A661-4735-8A85-05798C114444}"/>
            </c:ext>
          </c:extLst>
        </c:ser>
        <c:dLbls>
          <c:showLegendKey val="0"/>
          <c:showVal val="0"/>
          <c:showCatName val="0"/>
          <c:showSerName val="0"/>
          <c:showPercent val="0"/>
          <c:showBubbleSize val="0"/>
          <c:showLeaderLines val="1"/>
        </c:dLbls>
        <c:firstSliceAng val="15"/>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defRPr>
      </a:pPr>
      <a:endParaRPr lang="fr-F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t>Embauche externe pour une période indéterminée selon le groupe professionnel,</a:t>
            </a:r>
          </a:p>
          <a:p>
            <a:pPr>
              <a:defRPr sz="1100" b="1"/>
            </a:pPr>
            <a:r>
              <a:rPr lang="en-US" sz="1100" b="1"/>
              <a:t> 2018-2019 (N=589)</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7.6995146293050765E-2"/>
          <c:y val="0.43714893081594408"/>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dPt>
            <c:idx val="0"/>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1-24B2-4F05-96B0-D4B09F7719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B2-4F05-96B0-D4B09F771924}"/>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24B2-4F05-96B0-D4B09F771924}"/>
              </c:ext>
            </c:extLst>
          </c:dPt>
          <c:dPt>
            <c:idx val="3"/>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7-24B2-4F05-96B0-D4B09F77192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4B2-4F05-96B0-D4B09F77192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4B2-4F05-96B0-D4B09F771924}"/>
              </c:ext>
            </c:extLst>
          </c:dPt>
          <c:dLbls>
            <c:dLbl>
              <c:idx val="0"/>
              <c:layout>
                <c:manualLayout>
                  <c:x val="-9.6620893402817407E-3"/>
                  <c:y val="-3.283741203300744E-3"/>
                </c:manualLayout>
              </c:layout>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Segoe UI Semibold" panose="020B0702040204020203" pitchFamily="34" charset="0"/>
                      <a:ea typeface="+mn-ea"/>
                      <a:cs typeface="Segoe UI Semibold" panose="020B0702040204020203" pitchFamily="34" charset="0"/>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 xmlns:c16="http://schemas.microsoft.com/office/drawing/2014/chart" uri="{C3380CC4-5D6E-409C-BE32-E72D297353CC}">
                  <c16:uniqueId val="{00000001-24B2-4F05-96B0-D4B09F771924}"/>
                </c:ext>
              </c:extLst>
            </c:dLbl>
            <c:dLbl>
              <c:idx val="1"/>
              <c:layout>
                <c:manualLayout>
                  <c:x val="1.4051250840021809E-2"/>
                  <c:y val="-1.6252724193537504E-3"/>
                </c:manualLayout>
              </c:layout>
              <c:showLegendKey val="0"/>
              <c:showVal val="0"/>
              <c:showCatName val="1"/>
              <c:showSerName val="0"/>
              <c:showPercent val="1"/>
              <c:showBubbleSize val="0"/>
              <c:extLst>
                <c:ext xmlns:c15="http://schemas.microsoft.com/office/drawing/2012/chart" uri="{CE6537A1-D6FC-4f65-9D91-7224C49458BB}">
                  <c15:layout>
                    <c:manualLayout>
                      <c:w val="0.1732633420822397"/>
                      <c:h val="0.11622182188666005"/>
                    </c:manualLayout>
                  </c15:layout>
                </c:ext>
                <c:ext xmlns:c16="http://schemas.microsoft.com/office/drawing/2014/chart" uri="{C3380CC4-5D6E-409C-BE32-E72D297353CC}">
                  <c16:uniqueId val="{00000003-24B2-4F05-96B0-D4B09F771924}"/>
                </c:ext>
              </c:extLst>
            </c:dLbl>
            <c:dLbl>
              <c:idx val="2"/>
              <c:layout>
                <c:manualLayout>
                  <c:x val="-5.4542457555124598E-3"/>
                  <c:y val="-3.93769676428248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4B2-4F05-96B0-D4B09F771924}"/>
                </c:ext>
              </c:extLst>
            </c:dLbl>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bg1"/>
                    </a:solidFill>
                    <a:latin typeface="Segoe UI Semibold" panose="020B0702040204020203" pitchFamily="34" charset="0"/>
                    <a:ea typeface="+mn-ea"/>
                    <a:cs typeface="Segoe UI Semibold" panose="020B0702040204020203" pitchFamily="34" charset="0"/>
                  </a:defRPr>
                </a:pPr>
                <a:endParaRPr lang="fr-FR"/>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CR</c:v>
                </c:pt>
                <c:pt idx="1">
                  <c:v>AS</c:v>
                </c:pt>
                <c:pt idx="2">
                  <c:v>EC</c:v>
                </c:pt>
                <c:pt idx="3">
                  <c:v>SG</c:v>
                </c:pt>
                <c:pt idx="4">
                  <c:v>NU</c:v>
                </c:pt>
                <c:pt idx="5">
                  <c:v>Autre</c:v>
                </c:pt>
              </c:strCache>
            </c:strRef>
          </c:cat>
          <c:val>
            <c:numRef>
              <c:f>Sheet1!$B$2:$B$7</c:f>
              <c:numCache>
                <c:formatCode>General</c:formatCode>
                <c:ptCount val="6"/>
                <c:pt idx="0">
                  <c:v>98</c:v>
                </c:pt>
                <c:pt idx="1">
                  <c:v>83</c:v>
                </c:pt>
                <c:pt idx="2">
                  <c:v>65</c:v>
                </c:pt>
                <c:pt idx="3">
                  <c:v>64</c:v>
                </c:pt>
                <c:pt idx="4">
                  <c:v>63</c:v>
                </c:pt>
                <c:pt idx="5">
                  <c:v>216</c:v>
                </c:pt>
              </c:numCache>
            </c:numRef>
          </c:val>
          <c:extLst>
            <c:ext xmlns:c16="http://schemas.microsoft.com/office/drawing/2014/chart" uri="{C3380CC4-5D6E-409C-BE32-E72D297353CC}">
              <c16:uniqueId val="{0000000C-24B2-4F05-96B0-D4B09F771924}"/>
            </c:ext>
          </c:extLst>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région</a:t>
            </a:r>
          </a:p>
        </c:rich>
      </c:tx>
      <c:layout>
        <c:manualLayout>
          <c:xMode val="edge"/>
          <c:yMode val="edge"/>
          <c:x val="0.33328659381321013"/>
          <c:y val="2.405699599984911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9C-4158-BF94-7CF3F9DE7332}"/>
                </c:ext>
              </c:extLst>
            </c:dLbl>
            <c:dLbl>
              <c:idx val="1"/>
              <c:layout>
                <c:manualLayout>
                  <c:x val="-7.0912188608003284E-3"/>
                  <c:y val="1.3705670721260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9C-4158-BF94-7CF3F9DE7332}"/>
                </c:ext>
              </c:extLst>
            </c:dLbl>
            <c:dLbl>
              <c:idx val="2"/>
              <c:layout>
                <c:manualLayout>
                  <c:x val="-1.2152921674264468E-2"/>
                  <c:y val="1.3993273969073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9C-4158-BF94-7CF3F9DE7332}"/>
                </c:ext>
              </c:extLst>
            </c:dLbl>
            <c:dLbl>
              <c:idx val="3"/>
              <c:layout>
                <c:manualLayout>
                  <c:x val="-9.0459087350923239E-3"/>
                  <c:y val="1.3921508055454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9C-4158-BF94-7CF3F9DE7332}"/>
                </c:ext>
              </c:extLst>
            </c:dLbl>
            <c:dLbl>
              <c:idx val="4"/>
              <c:layout>
                <c:manualLayout>
                  <c:x val="-1.1494451351475803E-2"/>
                  <c:y val="1.7913419551355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9C-4158-BF94-7CF3F9DE73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0.66</c:v>
                </c:pt>
                <c:pt idx="1">
                  <c:v>0.69</c:v>
                </c:pt>
                <c:pt idx="2">
                  <c:v>0.7</c:v>
                </c:pt>
                <c:pt idx="3">
                  <c:v>0.74</c:v>
                </c:pt>
                <c:pt idx="4">
                  <c:v>0.74</c:v>
                </c:pt>
              </c:numCache>
            </c:numRef>
          </c:val>
          <c:extLst>
            <c:ext xmlns:c16="http://schemas.microsoft.com/office/drawing/2014/chart" uri="{C3380CC4-5D6E-409C-BE32-E72D297353CC}">
              <c16:uniqueId val="{00000005-9C9C-4158-BF94-7CF3F9DE7332}"/>
            </c:ext>
          </c:extLst>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294147442096053E-2"/>
                  <c:y val="1.3422384220132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9C-4158-BF94-7CF3F9DE7332}"/>
                </c:ext>
              </c:extLst>
            </c:dLbl>
            <c:dLbl>
              <c:idx val="1"/>
              <c:layout>
                <c:manualLayout>
                  <c:x val="1.0800294700004537E-2"/>
                  <c:y val="7.8400213678960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9C-4158-BF94-7CF3F9DE7332}"/>
                </c:ext>
              </c:extLst>
            </c:dLbl>
            <c:dLbl>
              <c:idx val="2"/>
              <c:layout>
                <c:manualLayout>
                  <c:x val="-2.7777777777777779E-3"/>
                  <c:y val="1.1832202660464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C9C-4158-BF94-7CF3F9DE7332}"/>
                </c:ext>
              </c:extLst>
            </c:dLbl>
            <c:dLbl>
              <c:idx val="3"/>
              <c:layout>
                <c:manualLayout>
                  <c:x val="0"/>
                  <c:y val="1.5258620340780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C9C-4158-BF94-7CF3F9DE7332}"/>
                </c:ext>
              </c:extLst>
            </c:dLbl>
            <c:dLbl>
              <c:idx val="4"/>
              <c:layout>
                <c:manualLayout>
                  <c:x val="3.8195883409309337E-3"/>
                  <c:y val="7.14043860844274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C9C-4158-BF94-7CF3F9DE73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0.34</c:v>
                </c:pt>
                <c:pt idx="1">
                  <c:v>0.31</c:v>
                </c:pt>
                <c:pt idx="2">
                  <c:v>0.3</c:v>
                </c:pt>
                <c:pt idx="3">
                  <c:v>0.26</c:v>
                </c:pt>
                <c:pt idx="4">
                  <c:v>0.26</c:v>
                </c:pt>
              </c:numCache>
            </c:numRef>
          </c:val>
          <c:extLst>
            <c:ext xmlns:c16="http://schemas.microsoft.com/office/drawing/2014/chart" uri="{C3380CC4-5D6E-409C-BE32-E72D297353CC}">
              <c16:uniqueId val="{0000000B-9C9C-4158-BF94-7CF3F9DE7332}"/>
            </c:ext>
          </c:extLst>
        </c:ser>
        <c:dLbls>
          <c:showLegendKey val="0"/>
          <c:showVal val="0"/>
          <c:showCatName val="0"/>
          <c:showSerName val="0"/>
          <c:showPercent val="0"/>
          <c:showBubbleSize val="0"/>
        </c:dLbls>
        <c:gapWidth val="150"/>
        <c:axId val="324851704"/>
        <c:axId val="324852096"/>
      </c:barChart>
      <c:catAx>
        <c:axId val="324851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24852096"/>
        <c:crosses val="autoZero"/>
        <c:auto val="1"/>
        <c:lblAlgn val="ctr"/>
        <c:lblOffset val="100"/>
        <c:noMultiLvlLbl val="0"/>
      </c:catAx>
      <c:valAx>
        <c:axId val="324852096"/>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24851704"/>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processus</a:t>
            </a:r>
          </a:p>
        </c:rich>
      </c:tx>
      <c:layout>
        <c:manualLayout>
          <c:xMode val="edge"/>
          <c:yMode val="edge"/>
          <c:x val="0.26553599648211512"/>
          <c:y val="1.720412411186309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8.9229225927910855E-2"/>
          <c:y val="5.3058212678015221E-2"/>
          <c:w val="0.84333349635643373"/>
          <c:h val="0.56874193419543051"/>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00-4564-971C-8BDC7606DF07}"/>
                </c:ext>
              </c:extLst>
            </c:dLbl>
            <c:dLbl>
              <c:idx val="1"/>
              <c:layout>
                <c:manualLayout>
                  <c:x val="-7.0912863640736649E-3"/>
                  <c:y val="1.027925304094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00-4564-971C-8BDC7606DF07}"/>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00-4564-971C-8BDC7606DF07}"/>
                </c:ext>
              </c:extLst>
            </c:dLbl>
            <c:dLbl>
              <c:idx val="3"/>
              <c:layout>
                <c:manualLayout>
                  <c:x val="-1.6026713938244758E-2"/>
                  <c:y val="2.077434341608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00-4564-971C-8BDC7606DF07}"/>
                </c:ext>
              </c:extLst>
            </c:dLbl>
            <c:dLbl>
              <c:idx val="4"/>
              <c:layout>
                <c:manualLayout>
                  <c:x val="-1.531406741696555E-2"/>
                  <c:y val="1.7913419551355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00-4564-971C-8BDC7606DF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430</c:v>
                </c:pt>
                <c:pt idx="1">
                  <c:v>347</c:v>
                </c:pt>
                <c:pt idx="2">
                  <c:v>483</c:v>
                </c:pt>
                <c:pt idx="3">
                  <c:v>985</c:v>
                </c:pt>
                <c:pt idx="4">
                  <c:v>1457</c:v>
                </c:pt>
              </c:numCache>
            </c:numRef>
          </c:val>
          <c:extLst>
            <c:ext xmlns:c16="http://schemas.microsoft.com/office/drawing/2014/chart" uri="{C3380CC4-5D6E-409C-BE32-E72D297353CC}">
              <c16:uniqueId val="{00000005-7600-4564-971C-8BDC7606DF07}"/>
            </c:ext>
          </c:extLst>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4904013961605585E-3"/>
                  <c:y val="2.0275219580762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00-4564-971C-8BDC7606DF07}"/>
                </c:ext>
              </c:extLst>
            </c:dLbl>
            <c:dLbl>
              <c:idx val="1"/>
              <c:layout>
                <c:manualLayout>
                  <c:x val="-3.4904013961606223E-3"/>
                  <c:y val="1.46928567285265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00-4564-971C-8BDC7606DF07}"/>
                </c:ext>
              </c:extLst>
            </c:dLbl>
            <c:dLbl>
              <c:idx val="2"/>
              <c:layout>
                <c:manualLayout>
                  <c:x val="7.6934493136001335E-3"/>
                  <c:y val="2.21114557014106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600-4564-971C-8BDC7606DF07}"/>
                </c:ext>
              </c:extLst>
            </c:dLbl>
            <c:dLbl>
              <c:idx val="3"/>
              <c:layout>
                <c:manualLayout>
                  <c:x val="-1.2797990609109102E-16"/>
                  <c:y val="1.1832202660464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00-4564-971C-8BDC7606DF07}"/>
                </c:ext>
              </c:extLst>
            </c:dLbl>
            <c:dLbl>
              <c:idx val="4"/>
              <c:layout>
                <c:manualLayout>
                  <c:x val="2.7923211169284468E-2"/>
                  <c:y val="1.741969164938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600-4564-971C-8BDC7606DF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825</c:v>
                </c:pt>
                <c:pt idx="1">
                  <c:v>790</c:v>
                </c:pt>
                <c:pt idx="2">
                  <c:v>1040</c:v>
                </c:pt>
                <c:pt idx="3">
                  <c:v>1196</c:v>
                </c:pt>
                <c:pt idx="4">
                  <c:v>1386</c:v>
                </c:pt>
              </c:numCache>
            </c:numRef>
          </c:val>
          <c:extLst>
            <c:ext xmlns:c16="http://schemas.microsoft.com/office/drawing/2014/chart" uri="{C3380CC4-5D6E-409C-BE32-E72D297353CC}">
              <c16:uniqueId val="{0000000B-7600-4564-971C-8BDC7606DF07}"/>
            </c:ext>
          </c:extLst>
        </c:ser>
        <c:dLbls>
          <c:showLegendKey val="0"/>
          <c:showVal val="0"/>
          <c:showCatName val="0"/>
          <c:showSerName val="0"/>
          <c:showPercent val="0"/>
          <c:showBubbleSize val="0"/>
        </c:dLbls>
        <c:gapWidth val="150"/>
        <c:axId val="324857584"/>
        <c:axId val="324855232"/>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6.4764155745287322E-2"/>
                  <c:y val="-2.952960915294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600-4564-971C-8BDC7606DF07}"/>
                </c:ext>
              </c:extLst>
            </c:dLbl>
            <c:dLbl>
              <c:idx val="1"/>
              <c:layout>
                <c:manualLayout>
                  <c:x val="-6.5632463481331851E-2"/>
                  <c:y val="-2.736817397568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600-4564-971C-8BDC7606DF07}"/>
                </c:ext>
              </c:extLst>
            </c:dLbl>
            <c:dLbl>
              <c:idx val="2"/>
              <c:layout>
                <c:manualLayout>
                  <c:x val="-6.4344208238725636E-2"/>
                  <c:y val="-3.8970227659263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600-4564-971C-8BDC7606DF07}"/>
                </c:ext>
              </c:extLst>
            </c:dLbl>
            <c:dLbl>
              <c:idx val="3"/>
              <c:layout>
                <c:manualLayout>
                  <c:x val="-5.6835277789229227E-2"/>
                  <c:y val="-3.8184861978769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600-4564-971C-8BDC7606DF07}"/>
                </c:ext>
              </c:extLst>
            </c:dLbl>
            <c:dLbl>
              <c:idx val="4"/>
              <c:layout>
                <c:manualLayout>
                  <c:x val="-6.6164747956252684E-2"/>
                  <c:y val="-3.3324750257082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600-4564-971C-8BDC7606DF07}"/>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Sheet1!$D$2:$D$6</c:f>
              <c:numCache>
                <c:formatCode>0%</c:formatCode>
                <c:ptCount val="5"/>
                <c:pt idx="0">
                  <c:v>0.34</c:v>
                </c:pt>
                <c:pt idx="1">
                  <c:v>0.31</c:v>
                </c:pt>
                <c:pt idx="2">
                  <c:v>0.32</c:v>
                </c:pt>
                <c:pt idx="3">
                  <c:v>0.45</c:v>
                </c:pt>
                <c:pt idx="4">
                  <c:v>0.51</c:v>
                </c:pt>
              </c:numCache>
            </c:numRef>
          </c:val>
          <c:smooth val="0"/>
          <c:extLst>
            <c:ext xmlns:c16="http://schemas.microsoft.com/office/drawing/2014/chart" uri="{C3380CC4-5D6E-409C-BE32-E72D297353CC}">
              <c16:uniqueId val="{00000011-7600-4564-971C-8BDC7606DF07}"/>
            </c:ext>
          </c:extLst>
        </c:ser>
        <c:dLbls>
          <c:showLegendKey val="0"/>
          <c:showVal val="0"/>
          <c:showCatName val="0"/>
          <c:showSerName val="0"/>
          <c:showPercent val="0"/>
          <c:showBubbleSize val="0"/>
        </c:dLbls>
        <c:marker val="1"/>
        <c:smooth val="0"/>
        <c:axId val="364041392"/>
        <c:axId val="364040608"/>
      </c:lineChart>
      <c:catAx>
        <c:axId val="3248575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24855232"/>
        <c:crosses val="autoZero"/>
        <c:auto val="1"/>
        <c:lblAlgn val="ctr"/>
        <c:lblOffset val="100"/>
        <c:noMultiLvlLbl val="0"/>
      </c:catAx>
      <c:valAx>
        <c:axId val="32485523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24857584"/>
        <c:crosses val="autoZero"/>
        <c:crossBetween val="between"/>
      </c:valAx>
      <c:valAx>
        <c:axId val="364040608"/>
        <c:scaling>
          <c:orientation val="minMax"/>
          <c:max val="0.95000000000000007"/>
          <c:min val="0.25"/>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1392"/>
        <c:crosses val="max"/>
        <c:crossBetween val="between"/>
      </c:valAx>
      <c:catAx>
        <c:axId val="364041392"/>
        <c:scaling>
          <c:orientation val="minMax"/>
        </c:scaling>
        <c:delete val="1"/>
        <c:axPos val="b"/>
        <c:numFmt formatCode="General" sourceLinked="1"/>
        <c:majorTickMark val="out"/>
        <c:minorTickMark val="none"/>
        <c:tickLblPos val="nextTo"/>
        <c:crossAx val="364040608"/>
        <c:crosses val="autoZero"/>
        <c:auto val="1"/>
        <c:lblAlgn val="ctr"/>
        <c:lblOffset val="100"/>
        <c:noMultiLvlLbl val="0"/>
      </c:catAx>
      <c:spPr>
        <a:noFill/>
        <a:ln>
          <a:noFill/>
        </a:ln>
        <a:effectLst/>
      </c:spPr>
    </c:plotArea>
    <c:legend>
      <c:legendPos val="b"/>
      <c:layout>
        <c:manualLayout>
          <c:xMode val="edge"/>
          <c:yMode val="edge"/>
          <c:x val="1.3961605584642234E-2"/>
          <c:y val="0.67666732317897038"/>
          <c:w val="0.98603839441535779"/>
          <c:h val="0.115127833963906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nomination</a:t>
            </a:r>
          </a:p>
        </c:rich>
      </c:tx>
      <c:layout>
        <c:manualLayout>
          <c:xMode val="edge"/>
          <c:yMode val="edge"/>
          <c:x val="0.26583333333333331"/>
          <c:y val="2.4615384615384615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fr-FR"/>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2405074365704287E-2"/>
                  <c:y val="2.1785261457702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0B-4544-9FCE-07D25B06220F}"/>
                </c:ext>
              </c:extLst>
            </c:dLbl>
            <c:dLbl>
              <c:idx val="1"/>
              <c:layout>
                <c:manualLayout>
                  <c:x val="-1.1111111111111162E-2"/>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0B-4544-9FCE-07D25B06220F}"/>
                </c:ext>
              </c:extLst>
            </c:dLbl>
            <c:dLbl>
              <c:idx val="2"/>
              <c:layout>
                <c:manualLayout>
                  <c:x val="-8.3333333333333332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0B-4544-9FCE-07D25B06220F}"/>
                </c:ext>
              </c:extLst>
            </c:dLbl>
            <c:dLbl>
              <c:idx val="3"/>
              <c:layout>
                <c:manualLayout>
                  <c:x val="-1.3888888888888888E-2"/>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0B-4544-9FCE-07D25B06220F}"/>
                </c:ext>
              </c:extLst>
            </c:dLbl>
            <c:dLbl>
              <c:idx val="4"/>
              <c:layout>
                <c:manualLayout>
                  <c:x val="-1.3888888888888888E-2"/>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0B-4544-9FCE-07D25B0622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(N=3 329)</c:v>
                </c:pt>
                <c:pt idx="1">
                  <c:v>2015-2016
(N=3 743)</c:v>
                </c:pt>
                <c:pt idx="2">
                  <c:v>2016-2017 
(N=4 421)</c:v>
                </c:pt>
                <c:pt idx="3">
                  <c:v>2017-2018
(N=5 124)</c:v>
                </c:pt>
                <c:pt idx="4">
                  <c:v>2018-2019
(N=6 359)</c:v>
                </c:pt>
              </c:strCache>
            </c:strRef>
          </c:cat>
          <c:val>
            <c:numRef>
              <c:f>Sheet1!$B$3:$B$7</c:f>
              <c:numCache>
                <c:formatCode>#\ ###</c:formatCode>
                <c:ptCount val="5"/>
                <c:pt idx="0">
                  <c:v>509</c:v>
                </c:pt>
                <c:pt idx="1">
                  <c:v>525</c:v>
                </c:pt>
                <c:pt idx="2">
                  <c:v>858</c:v>
                </c:pt>
                <c:pt idx="3">
                  <c:v>1065</c:v>
                </c:pt>
                <c:pt idx="4">
                  <c:v>1356</c:v>
                </c:pt>
              </c:numCache>
            </c:numRef>
          </c:val>
          <c:extLst>
            <c:ext xmlns:c16="http://schemas.microsoft.com/office/drawing/2014/chart" uri="{C3380CC4-5D6E-409C-BE32-E72D297353CC}">
              <c16:uniqueId val="{00000005-9E0B-4544-9FCE-07D25B06220F}"/>
            </c:ext>
          </c:extLst>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11111111111112E-2"/>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0B-4544-9FCE-07D25B06220F}"/>
                </c:ext>
              </c:extLst>
            </c:dLbl>
            <c:dLbl>
              <c:idx val="1"/>
              <c:layout>
                <c:manualLayout>
                  <c:x val="-8.3333333333333332E-3"/>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0B-4544-9FCE-07D25B06220F}"/>
                </c:ext>
              </c:extLst>
            </c:dLbl>
            <c:dLbl>
              <c:idx val="2"/>
              <c:layout>
                <c:manualLayout>
                  <c:x val="-1.3888888888888888E-2"/>
                  <c:y val="1.9965273571572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0B-4544-9FCE-07D25B06220F}"/>
                </c:ext>
              </c:extLst>
            </c:dLbl>
            <c:dLbl>
              <c:idx val="3"/>
              <c:layout>
                <c:manualLayout>
                  <c:x val="-1.3888888888888888E-2"/>
                  <c:y val="1.1760145366444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0B-4544-9FCE-07D25B06220F}"/>
                </c:ext>
              </c:extLst>
            </c:dLbl>
            <c:dLbl>
              <c:idx val="4"/>
              <c:layout>
                <c:manualLayout>
                  <c:x val="-1.388888888888899E-2"/>
                  <c:y val="7.29254996971532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0B-4544-9FCE-07D25B0622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(N=3 329)</c:v>
                </c:pt>
                <c:pt idx="1">
                  <c:v>2015-2016
(N=3 743)</c:v>
                </c:pt>
                <c:pt idx="2">
                  <c:v>2016-2017 
(N=4 421)</c:v>
                </c:pt>
                <c:pt idx="3">
                  <c:v>2017-2018
(N=5 124)</c:v>
                </c:pt>
                <c:pt idx="4">
                  <c:v>2018-2019
(N=6 359)</c:v>
                </c:pt>
              </c:strCache>
            </c:strRef>
          </c:cat>
          <c:val>
            <c:numRef>
              <c:f>Sheet1!$C$3:$C$7</c:f>
              <c:numCache>
                <c:formatCode>#\ ###</c:formatCode>
                <c:ptCount val="5"/>
                <c:pt idx="0">
                  <c:v>674</c:v>
                </c:pt>
                <c:pt idx="1">
                  <c:v>714</c:v>
                </c:pt>
                <c:pt idx="2">
                  <c:v>1070</c:v>
                </c:pt>
                <c:pt idx="3">
                  <c:v>1179</c:v>
                </c:pt>
                <c:pt idx="4">
                  <c:v>1423</c:v>
                </c:pt>
              </c:numCache>
            </c:numRef>
          </c:val>
          <c:extLst>
            <c:ext xmlns:c16="http://schemas.microsoft.com/office/drawing/2014/chart" uri="{C3380CC4-5D6E-409C-BE32-E72D297353CC}">
              <c16:uniqueId val="{0000000B-9E0B-4544-9FCE-07D25B06220F}"/>
            </c:ext>
          </c:extLst>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E0B-4544-9FCE-07D25B06220F}"/>
                </c:ext>
              </c:extLst>
            </c:dLbl>
            <c:dLbl>
              <c:idx val="1"/>
              <c:layout>
                <c:manualLayout>
                  <c:x val="3.6062992125984253E-3"/>
                  <c:y val="1.6107571168988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0B-4544-9FCE-07D25B06220F}"/>
                </c:ext>
              </c:extLst>
            </c:dLbl>
            <c:dLbl>
              <c:idx val="2"/>
              <c:layout>
                <c:manualLayout>
                  <c:x val="0"/>
                  <c:y val="2.3885322027054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E0B-4544-9FCE-07D25B06220F}"/>
                </c:ext>
              </c:extLst>
            </c:dLbl>
            <c:dLbl>
              <c:idx val="3"/>
              <c:layout>
                <c:manualLayout>
                  <c:x val="5.5555555555554534E-3"/>
                  <c:y val="2.3702806379971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0B-4544-9FCE-07D25B06220F}"/>
                </c:ext>
              </c:extLst>
            </c:dLbl>
            <c:dLbl>
              <c:idx val="4"/>
              <c:layout>
                <c:manualLayout>
                  <c:x val="3.6062992125983234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E0B-4544-9FCE-07D25B0622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(N=3 329)</c:v>
                </c:pt>
                <c:pt idx="1">
                  <c:v>2015-2016
(N=3 743)</c:v>
                </c:pt>
                <c:pt idx="2">
                  <c:v>2016-2017 
(N=4 421)</c:v>
                </c:pt>
                <c:pt idx="3">
                  <c:v>2017-2018
(N=5 124)</c:v>
                </c:pt>
                <c:pt idx="4">
                  <c:v>2018-2019
(N=6 359)</c:v>
                </c:pt>
              </c:strCache>
            </c:strRef>
          </c:cat>
          <c:val>
            <c:numRef>
              <c:f>Sheet1!$D$3:$D$7</c:f>
              <c:numCache>
                <c:formatCode>#\ ###</c:formatCode>
                <c:ptCount val="5"/>
                <c:pt idx="0">
                  <c:v>1334</c:v>
                </c:pt>
                <c:pt idx="1">
                  <c:v>1703</c:v>
                </c:pt>
                <c:pt idx="2">
                  <c:v>1855</c:v>
                </c:pt>
                <c:pt idx="3">
                  <c:v>2266</c:v>
                </c:pt>
                <c:pt idx="4">
                  <c:v>2783</c:v>
                </c:pt>
              </c:numCache>
            </c:numRef>
          </c:val>
          <c:extLst>
            <c:ext xmlns:c16="http://schemas.microsoft.com/office/drawing/2014/chart" uri="{C3380CC4-5D6E-409C-BE32-E72D297353CC}">
              <c16:uniqueId val="{00000011-9E0B-4544-9FCE-07D25B06220F}"/>
            </c:ext>
          </c:extLst>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523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E0B-4544-9FCE-07D25B06220F}"/>
                </c:ext>
              </c:extLst>
            </c:dLbl>
            <c:dLbl>
              <c:idx val="1"/>
              <c:layout>
                <c:manualLayout>
                  <c:x val="2.7777777777778286E-3"/>
                  <c:y val="2.4432868968301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E0B-4544-9FCE-07D25B06220F}"/>
                </c:ext>
              </c:extLst>
            </c:dLbl>
            <c:dLbl>
              <c:idx val="2"/>
              <c:layout>
                <c:manualLayout>
                  <c:x val="2.777777777777676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E0B-4544-9FCE-07D25B06220F}"/>
                </c:ext>
              </c:extLst>
            </c:dLbl>
            <c:dLbl>
              <c:idx val="3"/>
              <c:layout>
                <c:manualLayout>
                  <c:x val="6.3840769903762027E-3"/>
                  <c:y val="2.03926509186350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E0B-4544-9FCE-07D25B06220F}"/>
                </c:ext>
              </c:extLst>
            </c:dLbl>
            <c:dLbl>
              <c:idx val="4"/>
              <c:layout>
                <c:manualLayout>
                  <c:x val="9.1618547681538796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E0B-4544-9FCE-07D25B0622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(N=3 329)</c:v>
                </c:pt>
                <c:pt idx="1">
                  <c:v>2015-2016
(N=3 743)</c:v>
                </c:pt>
                <c:pt idx="2">
                  <c:v>2016-2017 
(N=4 421)</c:v>
                </c:pt>
                <c:pt idx="3">
                  <c:v>2017-2018
(N=5 124)</c:v>
                </c:pt>
                <c:pt idx="4">
                  <c:v>2018-2019
(N=6 359)</c:v>
                </c:pt>
              </c:strCache>
            </c:strRef>
          </c:cat>
          <c:val>
            <c:numRef>
              <c:f>Sheet1!$E$3:$E$7</c:f>
              <c:numCache>
                <c:formatCode>#\ ###</c:formatCode>
                <c:ptCount val="5"/>
                <c:pt idx="0">
                  <c:v>812</c:v>
                </c:pt>
                <c:pt idx="1">
                  <c:v>801</c:v>
                </c:pt>
                <c:pt idx="2">
                  <c:v>638</c:v>
                </c:pt>
                <c:pt idx="3">
                  <c:v>614</c:v>
                </c:pt>
                <c:pt idx="4">
                  <c:v>797</c:v>
                </c:pt>
              </c:numCache>
            </c:numRef>
          </c:val>
          <c:extLst>
            <c:ext xmlns:c16="http://schemas.microsoft.com/office/drawing/2014/chart" uri="{C3380CC4-5D6E-409C-BE32-E72D297353CC}">
              <c16:uniqueId val="{00000017-9E0B-4544-9FCE-07D25B06220F}"/>
            </c:ext>
          </c:extLst>
        </c:ser>
        <c:dLbls>
          <c:showLegendKey val="0"/>
          <c:showVal val="0"/>
          <c:showCatName val="0"/>
          <c:showSerName val="0"/>
          <c:showPercent val="0"/>
          <c:showBubbleSize val="0"/>
        </c:dLbls>
        <c:gapWidth val="150"/>
        <c:shape val="box"/>
        <c:axId val="364045704"/>
        <c:axId val="364042176"/>
        <c:axId val="0"/>
      </c:bar3DChart>
      <c:catAx>
        <c:axId val="364045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2176"/>
        <c:crosses val="autoZero"/>
        <c:auto val="0"/>
        <c:lblAlgn val="ctr"/>
        <c:lblOffset val="100"/>
        <c:noMultiLvlLbl val="0"/>
      </c:catAx>
      <c:valAx>
        <c:axId val="36404217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5704"/>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durée d'emploi</a:t>
            </a:r>
          </a:p>
        </c:rich>
      </c:tx>
      <c:layout>
        <c:manualLayout>
          <c:xMode val="edge"/>
          <c:yMode val="edge"/>
          <c:x val="0.30117477305218809"/>
          <c:y val="2.9160591543428451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fr-FR"/>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0260975316148986"/>
          <c:w val="0.86277799650043729"/>
          <c:h val="0.60816022612558041"/>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C5-4C6D-8870-F78054466AC9}"/>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C5-4C6D-8870-F78054466AC9}"/>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C5-4C6D-8870-F78054466AC9}"/>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C5-4C6D-8870-F78054466AC9}"/>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9C5-4C6D-8870-F78054466A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(N=3 329)</c:v>
                </c:pt>
                <c:pt idx="1">
                  <c:v>2015-2016
 (N=3 743)</c:v>
                </c:pt>
                <c:pt idx="2">
                  <c:v>2016-2017
 (N=4 421)</c:v>
                </c:pt>
                <c:pt idx="3">
                  <c:v>2017-2018
 (N=5 124)</c:v>
                </c:pt>
                <c:pt idx="4">
                  <c:v>2018-2019
 (N=6 359)</c:v>
                </c:pt>
              </c:strCache>
            </c:strRef>
          </c:cat>
          <c:val>
            <c:numRef>
              <c:f>Sheet1!$B$2:$B$6</c:f>
              <c:numCache>
                <c:formatCode>#\ ###</c:formatCode>
                <c:ptCount val="5"/>
                <c:pt idx="0">
                  <c:v>2004</c:v>
                </c:pt>
                <c:pt idx="1">
                  <c:v>2130</c:v>
                </c:pt>
                <c:pt idx="2">
                  <c:v>2760</c:v>
                </c:pt>
                <c:pt idx="3">
                  <c:v>3169</c:v>
                </c:pt>
                <c:pt idx="4">
                  <c:v>4068</c:v>
                </c:pt>
              </c:numCache>
            </c:numRef>
          </c:val>
          <c:extLst>
            <c:ext xmlns:c16="http://schemas.microsoft.com/office/drawing/2014/chart" uri="{C3380CC4-5D6E-409C-BE32-E72D297353CC}">
              <c16:uniqueId val="{00000005-89C5-4C6D-8870-F78054466AC9}"/>
            </c:ext>
          </c:extLst>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592E-3"/>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C5-4C6D-8870-F78054466AC9}"/>
                </c:ext>
              </c:extLst>
            </c:dLbl>
            <c:dLbl>
              <c:idx val="1"/>
              <c:layout>
                <c:manualLayout>
                  <c:x val="-8.3333333333333835E-3"/>
                  <c:y val="2.4250353321219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9C5-4C6D-8870-F78054466AC9}"/>
                </c:ext>
              </c:extLst>
            </c:dLbl>
            <c:dLbl>
              <c:idx val="2"/>
              <c:layout>
                <c:manualLayout>
                  <c:x val="-8.3333333333333332E-3"/>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9C5-4C6D-8870-F78054466AC9}"/>
                </c:ext>
              </c:extLst>
            </c:dLbl>
            <c:dLbl>
              <c:idx val="3"/>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9C5-4C6D-8870-F78054466AC9}"/>
                </c:ext>
              </c:extLst>
            </c:dLbl>
            <c:dLbl>
              <c:idx val="4"/>
              <c:layout>
                <c:manualLayout>
                  <c:x val="0"/>
                  <c:y val="-5.01514233797705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9C5-4C6D-8870-F78054466A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(N=3 329)</c:v>
                </c:pt>
                <c:pt idx="1">
                  <c:v>2015-2016
 (N=3 743)</c:v>
                </c:pt>
                <c:pt idx="2">
                  <c:v>2016-2017
 (N=4 421)</c:v>
                </c:pt>
                <c:pt idx="3">
                  <c:v>2017-2018
 (N=5 124)</c:v>
                </c:pt>
                <c:pt idx="4">
                  <c:v>2018-2019
 (N=6 359)</c:v>
                </c:pt>
              </c:strCache>
            </c:strRef>
          </c:cat>
          <c:val>
            <c:numRef>
              <c:f>Sheet1!$C$2:$C$6</c:f>
              <c:numCache>
                <c:formatCode>#\ ###</c:formatCode>
                <c:ptCount val="5"/>
                <c:pt idx="0">
                  <c:v>409</c:v>
                </c:pt>
                <c:pt idx="1">
                  <c:v>382</c:v>
                </c:pt>
                <c:pt idx="2">
                  <c:v>512</c:v>
                </c:pt>
                <c:pt idx="3">
                  <c:v>606</c:v>
                </c:pt>
                <c:pt idx="4">
                  <c:v>809</c:v>
                </c:pt>
              </c:numCache>
            </c:numRef>
          </c:val>
          <c:extLst>
            <c:ext xmlns:c16="http://schemas.microsoft.com/office/drawing/2014/chart" uri="{C3380CC4-5D6E-409C-BE32-E72D297353CC}">
              <c16:uniqueId val="{0000000B-89C5-4C6D-8870-F78054466AC9}"/>
            </c:ext>
          </c:extLst>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8.02261255804555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9C5-4C6D-8870-F78054466AC9}"/>
                </c:ext>
              </c:extLst>
            </c:dLbl>
            <c:dLbl>
              <c:idx val="1"/>
              <c:layout>
                <c:manualLayout>
                  <c:x val="-2.7777777777778286E-3"/>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9C5-4C6D-8870-F78054466AC9}"/>
                </c:ext>
              </c:extLst>
            </c:dLbl>
            <c:dLbl>
              <c:idx val="2"/>
              <c:layout>
                <c:manualLayout>
                  <c:x val="2.7777777777777779E-3"/>
                  <c:y val="-9.125782354128810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9C5-4C6D-8870-F78054466AC9}"/>
                </c:ext>
              </c:extLst>
            </c:dLbl>
            <c:dLbl>
              <c:idx val="3"/>
              <c:layout>
                <c:manualLayout>
                  <c:x val="-1.0185067526415994E-16"/>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9C5-4C6D-8870-F78054466AC9}"/>
                </c:ext>
              </c:extLst>
            </c:dLbl>
            <c:dLbl>
              <c:idx val="4"/>
              <c:layout>
                <c:manualLayout>
                  <c:x val="-2.777777777777879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9C5-4C6D-8870-F78054466A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(N=3 329)</c:v>
                </c:pt>
                <c:pt idx="1">
                  <c:v>2015-2016
 (N=3 743)</c:v>
                </c:pt>
                <c:pt idx="2">
                  <c:v>2016-2017
 (N=4 421)</c:v>
                </c:pt>
                <c:pt idx="3">
                  <c:v>2017-2018
 (N=5 124)</c:v>
                </c:pt>
                <c:pt idx="4">
                  <c:v>2018-2019
 (N=6 359)</c:v>
                </c:pt>
              </c:strCache>
            </c:strRef>
          </c:cat>
          <c:val>
            <c:numRef>
              <c:f>Sheet1!$D$2:$D$6</c:f>
              <c:numCache>
                <c:formatCode>#\ ###</c:formatCode>
                <c:ptCount val="5"/>
                <c:pt idx="0">
                  <c:v>498</c:v>
                </c:pt>
                <c:pt idx="1">
                  <c:v>669</c:v>
                </c:pt>
                <c:pt idx="2">
                  <c:v>579</c:v>
                </c:pt>
                <c:pt idx="3">
                  <c:v>756</c:v>
                </c:pt>
                <c:pt idx="4">
                  <c:v>804</c:v>
                </c:pt>
              </c:numCache>
            </c:numRef>
          </c:val>
          <c:extLst>
            <c:ext xmlns:c16="http://schemas.microsoft.com/office/drawing/2014/chart" uri="{C3380CC4-5D6E-409C-BE32-E72D297353CC}">
              <c16:uniqueId val="{00000011-89C5-4C6D-8870-F78054466AC9}"/>
            </c:ext>
          </c:extLst>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9C5-4C6D-8870-F78054466AC9}"/>
                </c:ext>
              </c:extLst>
            </c:dLbl>
            <c:dLbl>
              <c:idx val="1"/>
              <c:layout>
                <c:manualLayout>
                  <c:x val="2.7777777777777779E-3"/>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9C5-4C6D-8870-F78054466AC9}"/>
                </c:ext>
              </c:extLst>
            </c:dLbl>
            <c:dLbl>
              <c:idx val="2"/>
              <c:layout>
                <c:manualLayout>
                  <c:x val="8.3333333333332309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9C5-4C6D-8870-F78054466AC9}"/>
                </c:ext>
              </c:extLst>
            </c:dLbl>
            <c:dLbl>
              <c:idx val="3"/>
              <c:layout>
                <c:manualLayout>
                  <c:x val="5.5555555555556572E-3"/>
                  <c:y val="2.4067837674136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9C5-4C6D-8870-F78054466AC9}"/>
                </c:ext>
              </c:extLst>
            </c:dLbl>
            <c:dLbl>
              <c:idx val="4"/>
              <c:layout>
                <c:manualLayout>
                  <c:x val="2.7777777777778798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9C5-4C6D-8870-F78054466A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(N=3 329)</c:v>
                </c:pt>
                <c:pt idx="1">
                  <c:v>2015-2016
 (N=3 743)</c:v>
                </c:pt>
                <c:pt idx="2">
                  <c:v>2016-2017
 (N=4 421)</c:v>
                </c:pt>
                <c:pt idx="3">
                  <c:v>2017-2018
 (N=5 124)</c:v>
                </c:pt>
                <c:pt idx="4">
                  <c:v>2018-2019
 (N=6 359)</c:v>
                </c:pt>
              </c:strCache>
            </c:strRef>
          </c:cat>
          <c:val>
            <c:numRef>
              <c:f>Sheet1!$E$2:$E$6</c:f>
              <c:numCache>
                <c:formatCode>#\ ###</c:formatCode>
                <c:ptCount val="5"/>
                <c:pt idx="0">
                  <c:v>418</c:v>
                </c:pt>
                <c:pt idx="1">
                  <c:v>562</c:v>
                </c:pt>
                <c:pt idx="2">
                  <c:v>570</c:v>
                </c:pt>
                <c:pt idx="3">
                  <c:v>593</c:v>
                </c:pt>
                <c:pt idx="4">
                  <c:v>678</c:v>
                </c:pt>
              </c:numCache>
            </c:numRef>
          </c:val>
          <c:extLst>
            <c:ext xmlns:c16="http://schemas.microsoft.com/office/drawing/2014/chart" uri="{C3380CC4-5D6E-409C-BE32-E72D297353CC}">
              <c16:uniqueId val="{00000017-89C5-4C6D-8870-F78054466AC9}"/>
            </c:ext>
          </c:extLst>
        </c:ser>
        <c:dLbls>
          <c:showLegendKey val="0"/>
          <c:showVal val="1"/>
          <c:showCatName val="0"/>
          <c:showSerName val="0"/>
          <c:showPercent val="0"/>
          <c:showBubbleSize val="0"/>
        </c:dLbls>
        <c:gapWidth val="150"/>
        <c:shape val="box"/>
        <c:axId val="364047272"/>
        <c:axId val="364041000"/>
        <c:axId val="0"/>
      </c:bar3DChart>
      <c:catAx>
        <c:axId val="3640472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1000"/>
        <c:crosses val="autoZero"/>
        <c:auto val="1"/>
        <c:lblAlgn val="ctr"/>
        <c:lblOffset val="100"/>
        <c:noMultiLvlLbl val="0"/>
      </c:catAx>
      <c:valAx>
        <c:axId val="36404100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4047272"/>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1 057</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14</a:t>
          </a:r>
        </a:p>
        <a:p xmlns:a="http://schemas.openxmlformats.org/drawingml/2006/main">
          <a:pPr algn="ctr">
            <a:lnSpc>
              <a:spcPts val="900"/>
            </a:lnSpc>
          </a:pP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0.77925</cdr:y>
    </cdr:from>
    <cdr:to>
      <cdr:x>0.97183</cdr:x>
      <cdr:y>0.99965</cdr:y>
    </cdr:to>
    <cdr:sp macro="" textlink="">
      <cdr:nvSpPr>
        <cdr:cNvPr id="2" name="Text Box 1"/>
        <cdr:cNvSpPr txBox="1"/>
      </cdr:nvSpPr>
      <cdr:spPr>
        <a:xfrm xmlns:a="http://schemas.openxmlformats.org/drawingml/2006/main">
          <a:off x="26375" y="2828925"/>
          <a:ext cx="3509673" cy="8000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t>-Inclut seulement les nominations où le type de processus est connu (63</a:t>
          </a:r>
          <a:r>
            <a:rPr lang="en-CA" sz="850" baseline="0">
              <a:solidFill>
                <a:sysClr val="windowText" lastClr="000000"/>
              </a:solidFill>
            </a:rPr>
            <a:t>% à 84</a:t>
          </a:r>
          <a:r>
            <a:rPr lang="en-CA" sz="850" baseline="0"/>
            <a:t>% des nominations)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0.012</cdr:x>
      <cdr:y>0.91477</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41377" y="3114675"/>
          <a:ext cx="3397053" cy="29019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*Embauches avec expérience acquise dans les programmes fédéraux de recrutement étudiant dans les 10 dernières années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0.2944</cdr:x>
      <cdr:y>0.2066</cdr:y>
    </cdr:from>
    <cdr:to>
      <cdr:x>0.29579</cdr:x>
      <cdr:y>0.75662</cdr:y>
    </cdr:to>
    <cdr:cxnSp macro="">
      <cdr:nvCxnSpPr>
        <cdr:cNvPr id="5" name="Straight Connector 4" descr="Median line fof the specified organization's internal time to staff graphic"/>
        <cdr:cNvCxnSpPr/>
      </cdr:nvCxnSpPr>
      <cdr:spPr>
        <a:xfrm xmlns:a="http://schemas.openxmlformats.org/drawingml/2006/main" flipV="1">
          <a:off x="1295504" y="564789"/>
          <a:ext cx="6117" cy="1503576"/>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0.2879</cdr:x>
      <cdr:y>0.19267</cdr:y>
    </cdr:from>
    <cdr:to>
      <cdr:x>0.28929</cdr:x>
      <cdr:y>0.74269</cdr:y>
    </cdr:to>
    <cdr:cxnSp macro="">
      <cdr:nvCxnSpPr>
        <cdr:cNvPr id="5" name="Straight Connector 4" descr="Median line fof the specified organization's internal time to staff graphic"/>
        <cdr:cNvCxnSpPr/>
      </cdr:nvCxnSpPr>
      <cdr:spPr>
        <a:xfrm xmlns:a="http://schemas.openxmlformats.org/drawingml/2006/main" flipV="1">
          <a:off x="1266925" y="526697"/>
          <a:ext cx="6117" cy="1503576"/>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58F0D-D892-4DBC-ABDD-AAA40FE9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419</TotalTime>
  <Pages>30</Pages>
  <Words>5469</Words>
  <Characters>30085</Characters>
  <Application>Microsoft Office Word</Application>
  <DocSecurity>0</DocSecurity>
  <Lines>250</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35484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Nancy Ladouceur</cp:lastModifiedBy>
  <cp:revision>59</cp:revision>
  <dcterms:created xsi:type="dcterms:W3CDTF">2020-10-30T16:59:00Z</dcterms:created>
  <dcterms:modified xsi:type="dcterms:W3CDTF">2021-07-14T13:53:00Z</dcterms:modified>
</cp:coreProperties>
</file>