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0A" w:rsidRPr="00154FF3" w:rsidRDefault="007104A6" w:rsidP="0091315D">
      <w:pPr>
        <w:pStyle w:val="Title"/>
        <w:spacing w:before="120" w:after="120" w:line="240" w:lineRule="auto"/>
        <w:jc w:val="center"/>
        <w:rPr>
          <w:lang w:val="en-CA"/>
        </w:rPr>
      </w:pPr>
      <w:r w:rsidRPr="00154FF3">
        <w:rPr>
          <w:lang w:val="en-CA"/>
        </w:rPr>
        <w:t>P</w:t>
      </w:r>
      <w:r w:rsidR="001C2E0A" w:rsidRPr="00154FF3">
        <w:rPr>
          <w:lang w:val="en-CA"/>
        </w:rPr>
        <w:t>resident me</w:t>
      </w:r>
      <w:bookmarkStart w:id="0" w:name="_GoBack"/>
      <w:bookmarkEnd w:id="0"/>
      <w:r w:rsidR="001C2E0A" w:rsidRPr="00154FF3">
        <w:rPr>
          <w:lang w:val="en-CA"/>
        </w:rPr>
        <w:t>eting with</w:t>
      </w:r>
      <w:r w:rsidR="0091315D">
        <w:rPr>
          <w:lang w:val="en-CA"/>
        </w:rPr>
        <w:t xml:space="preserve"> </w:t>
      </w:r>
      <w:r w:rsidRPr="00154FF3">
        <w:rPr>
          <w:lang w:val="en-CA"/>
        </w:rPr>
        <w:t>J</w:t>
      </w:r>
      <w:r w:rsidR="001C2E0A" w:rsidRPr="00154FF3">
        <w:rPr>
          <w:lang w:val="en-CA"/>
        </w:rPr>
        <w:t>udith</w:t>
      </w:r>
      <w:r w:rsidRPr="00154FF3">
        <w:rPr>
          <w:lang w:val="en-CA"/>
        </w:rPr>
        <w:t xml:space="preserve"> R</w:t>
      </w:r>
      <w:r w:rsidR="001C2E0A" w:rsidRPr="00154FF3">
        <w:rPr>
          <w:lang w:val="en-CA"/>
        </w:rPr>
        <w:t>obertson</w:t>
      </w:r>
      <w:r w:rsidRPr="00154FF3">
        <w:rPr>
          <w:lang w:val="en-CA"/>
        </w:rPr>
        <w:t>, C</w:t>
      </w:r>
      <w:r w:rsidR="001C2E0A" w:rsidRPr="00154FF3">
        <w:rPr>
          <w:lang w:val="en-CA"/>
        </w:rPr>
        <w:t>ommissioner of the</w:t>
      </w:r>
      <w:r w:rsidRPr="00154FF3">
        <w:rPr>
          <w:lang w:val="en-CA"/>
        </w:rPr>
        <w:t xml:space="preserve"> F</w:t>
      </w:r>
      <w:r w:rsidR="001C2E0A" w:rsidRPr="00154FF3">
        <w:rPr>
          <w:lang w:val="en-CA"/>
        </w:rPr>
        <w:t>inancial</w:t>
      </w:r>
      <w:r w:rsidRPr="00154FF3">
        <w:rPr>
          <w:lang w:val="en-CA"/>
        </w:rPr>
        <w:t xml:space="preserve"> C</w:t>
      </w:r>
      <w:r w:rsidR="001C2E0A" w:rsidRPr="00154FF3">
        <w:rPr>
          <w:lang w:val="en-CA"/>
        </w:rPr>
        <w:t xml:space="preserve">onsumers </w:t>
      </w:r>
      <w:r w:rsidRPr="00154FF3">
        <w:rPr>
          <w:lang w:val="en-CA"/>
        </w:rPr>
        <w:t>A</w:t>
      </w:r>
      <w:r w:rsidR="001C2E0A" w:rsidRPr="00154FF3">
        <w:rPr>
          <w:lang w:val="en-CA"/>
        </w:rPr>
        <w:t>gency of Canada</w:t>
      </w:r>
    </w:p>
    <w:p w:rsidR="00595328" w:rsidRPr="00154FF3" w:rsidRDefault="007104A6" w:rsidP="0091315D">
      <w:pPr>
        <w:pStyle w:val="Title"/>
        <w:spacing w:before="120" w:after="120" w:line="240" w:lineRule="auto"/>
        <w:jc w:val="center"/>
        <w:rPr>
          <w:lang w:val="en-CA"/>
        </w:rPr>
      </w:pPr>
      <w:r w:rsidRPr="00154FF3">
        <w:rPr>
          <w:lang w:val="en-CA"/>
        </w:rPr>
        <w:t>S</w:t>
      </w:r>
      <w:r w:rsidR="001C2E0A" w:rsidRPr="00154FF3">
        <w:rPr>
          <w:lang w:val="en-CA"/>
        </w:rPr>
        <w:t xml:space="preserve">eptember </w:t>
      </w:r>
      <w:r w:rsidRPr="00154FF3">
        <w:rPr>
          <w:lang w:val="en-CA"/>
        </w:rPr>
        <w:t>16, 2019</w:t>
      </w:r>
    </w:p>
    <w:p w:rsidR="00595328" w:rsidRPr="00154FF3" w:rsidRDefault="00595328" w:rsidP="005640A2">
      <w:pPr>
        <w:pStyle w:val="Heading1"/>
        <w:spacing w:before="120" w:after="120"/>
        <w:rPr>
          <w:lang w:val="en-CA"/>
        </w:rPr>
      </w:pPr>
      <w:r w:rsidRPr="00154FF3">
        <w:rPr>
          <w:lang w:val="en-CA"/>
        </w:rPr>
        <w:t>Introduction </w:t>
      </w:r>
    </w:p>
    <w:p w:rsidR="00595328" w:rsidRPr="00154FF3" w:rsidRDefault="00595328" w:rsidP="005640A2">
      <w:pPr>
        <w:pStyle w:val="Heading2"/>
        <w:spacing w:before="120" w:after="120"/>
        <w:rPr>
          <w:lang w:val="en-CA"/>
        </w:rPr>
      </w:pPr>
      <w:r w:rsidRPr="00154FF3">
        <w:rPr>
          <w:lang w:val="en-CA"/>
        </w:rPr>
        <w:t>Deputy Head</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Ms. Judith Robertson was appointed as the Commissioner of the Financial Consumer Agency of Canada on August 19, 2019</w:t>
      </w:r>
      <w:r w:rsidR="00FF4446" w:rsidRPr="00154FF3">
        <w:rPr>
          <w:rFonts w:asciiTheme="minorHAnsi" w:hAnsiTheme="minorHAnsi" w:cstheme="minorHAnsi"/>
          <w:sz w:val="22"/>
          <w:szCs w:val="22"/>
          <w:lang w:val="en-CA"/>
        </w:rPr>
        <w:t>.</w:t>
      </w:r>
    </w:p>
    <w:p w:rsidR="00595328" w:rsidRPr="00154FF3" w:rsidRDefault="00595328" w:rsidP="005640A2">
      <w:pPr>
        <w:spacing w:before="120" w:after="120"/>
        <w:rPr>
          <w:rStyle w:val="Hyperlink"/>
          <w:rFonts w:asciiTheme="minorHAnsi" w:hAnsiTheme="minorHAnsi" w:cstheme="minorHAnsi"/>
          <w:sz w:val="22"/>
          <w:szCs w:val="22"/>
          <w:lang w:val="en-CA"/>
        </w:rPr>
      </w:pPr>
      <w:r w:rsidRPr="00154FF3">
        <w:rPr>
          <w:rFonts w:asciiTheme="minorHAnsi" w:hAnsiTheme="minorHAnsi" w:cstheme="minorHAnsi"/>
          <w:sz w:val="22"/>
          <w:szCs w:val="22"/>
          <w:lang w:val="en-CA"/>
        </w:rPr>
        <w:t xml:space="preserve">As Ms. Robertson </w:t>
      </w:r>
      <w:r w:rsidR="00235D16" w:rsidRPr="00154FF3">
        <w:rPr>
          <w:rFonts w:asciiTheme="minorHAnsi" w:hAnsiTheme="minorHAnsi" w:cstheme="minorHAnsi"/>
          <w:sz w:val="22"/>
          <w:szCs w:val="22"/>
          <w:lang w:val="en-CA"/>
        </w:rPr>
        <w:t xml:space="preserve">is exercising the Public Service Commission’s (PSC) authority for the first time as DH. A copy of the New Direction in Staffing (NDS) highlights for DHs is attached as </w:t>
      </w:r>
      <w:hyperlink w:anchor="AnnexA" w:history="1">
        <w:r w:rsidR="00235D16" w:rsidRPr="00154FF3">
          <w:rPr>
            <w:rStyle w:val="Hyperlink"/>
            <w:rFonts w:asciiTheme="minorHAnsi" w:hAnsiTheme="minorHAnsi" w:cstheme="minorHAnsi"/>
            <w:sz w:val="22"/>
            <w:szCs w:val="22"/>
            <w:lang w:val="en-CA"/>
          </w:rPr>
          <w:t>Annex A</w:t>
        </w:r>
      </w:hyperlink>
      <w:r w:rsidR="00235D16" w:rsidRPr="00154FF3">
        <w:rPr>
          <w:rFonts w:asciiTheme="minorHAnsi" w:hAnsiTheme="minorHAnsi" w:cstheme="minorHAnsi"/>
          <w:sz w:val="22"/>
          <w:szCs w:val="22"/>
          <w:lang w:val="en-CA"/>
        </w:rPr>
        <w:t>.</w:t>
      </w:r>
    </w:p>
    <w:p w:rsidR="00595328" w:rsidRPr="00154FF3" w:rsidRDefault="00F5706F" w:rsidP="005640A2">
      <w:pPr>
        <w:pStyle w:val="Heading1"/>
        <w:rPr>
          <w:lang w:val="en-CA"/>
        </w:rPr>
      </w:pPr>
      <w:r w:rsidRPr="00154FF3">
        <w:rPr>
          <w:lang w:val="en-CA"/>
        </w:rPr>
        <w:t>Organizational C</w:t>
      </w:r>
      <w:r w:rsidR="00595328" w:rsidRPr="00154FF3">
        <w:rPr>
          <w:lang w:val="en-CA"/>
        </w:rPr>
        <w:t>ontext</w:t>
      </w:r>
    </w:p>
    <w:p w:rsidR="00595328" w:rsidRPr="00154FF3" w:rsidRDefault="00595328" w:rsidP="005640A2">
      <w:pPr>
        <w:pStyle w:val="Heading2"/>
        <w:rPr>
          <w:lang w:val="en-CA"/>
        </w:rPr>
      </w:pPr>
      <w:r w:rsidRPr="00154FF3">
        <w:rPr>
          <w:lang w:val="en-CA"/>
        </w:rPr>
        <w:t>Mandate</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The Financial Consumer Agency of Canada (FCAC) is a federal government agency responsible for protecting consumers of financial services and products and promote financial literacy. It was established in 2001 by the federal government to strengthen oversight of consumer issues and to expand consumer edu</w:t>
      </w:r>
      <w:r w:rsidR="00095A11" w:rsidRPr="00154FF3">
        <w:rPr>
          <w:rFonts w:asciiTheme="minorHAnsi" w:hAnsiTheme="minorHAnsi" w:cstheme="minorHAnsi"/>
          <w:sz w:val="22"/>
          <w:lang w:val="en-CA"/>
        </w:rPr>
        <w:t>cation in the financial sector.</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FCAC ensures federally regulated financial entities comply with consumer protection measures, promote financial education and raises consumers' awareness of the</w:t>
      </w:r>
      <w:r w:rsidR="00095A11" w:rsidRPr="00154FF3">
        <w:rPr>
          <w:rFonts w:asciiTheme="minorHAnsi" w:hAnsiTheme="minorHAnsi" w:cstheme="minorHAnsi"/>
          <w:sz w:val="22"/>
          <w:lang w:val="en-CA"/>
        </w:rPr>
        <w:t>ir rights and responsibilities.</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In 2018, the Government introduced measures to strengthen consumers' rights and interests when dealing with their banks, and to improve the ability of FCAC to protect consumers, ensuring that it has the tools it needs to implement supervisory best practices, including directing banks to compl</w:t>
      </w:r>
      <w:r w:rsidR="00095A11" w:rsidRPr="00154FF3">
        <w:rPr>
          <w:rFonts w:asciiTheme="minorHAnsi" w:hAnsiTheme="minorHAnsi" w:cstheme="minorHAnsi"/>
          <w:sz w:val="22"/>
          <w:lang w:val="en-CA"/>
        </w:rPr>
        <w:t>y with their legal obligations.</w:t>
      </w:r>
    </w:p>
    <w:p w:rsidR="00595328" w:rsidRPr="00154FF3" w:rsidRDefault="00595328" w:rsidP="005640A2">
      <w:pPr>
        <w:pStyle w:val="Heading2"/>
        <w:rPr>
          <w:lang w:val="en-CA"/>
        </w:rPr>
      </w:pPr>
      <w:r w:rsidRPr="00154FF3">
        <w:rPr>
          <w:lang w:val="en-CA"/>
        </w:rPr>
        <w:t>Challenges</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FCAC is growing at a rapid rate and hired its first Human Resources (HR) executive in November 2018. It has become apparent that the current resource complement is not adequately able to support the operational needs of the Agency and its changing legislative and government-wide obligations as it grows. A new structure and additional resources were approved in February 2019, based on a rigorous assessment of the current and future needs of the Agency, which led to a</w:t>
      </w:r>
      <w:r w:rsidR="009602F7" w:rsidRPr="00154FF3">
        <w:rPr>
          <w:rFonts w:asciiTheme="minorHAnsi" w:hAnsiTheme="minorHAnsi" w:cstheme="minorHAnsi"/>
          <w:sz w:val="22"/>
          <w:szCs w:val="22"/>
          <w:lang w:val="en-CA"/>
        </w:rPr>
        <w:t xml:space="preserve"> reorganization of HR services.</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lastRenderedPageBreak/>
        <w:t xml:space="preserve">FCAC’s 2019-2020 business plan includes three areas of strategic focus; integrate change, bolster the organization, and deliver for Canadians, resulting in </w:t>
      </w:r>
      <w:r w:rsidR="00095A11" w:rsidRPr="00154FF3">
        <w:rPr>
          <w:rFonts w:asciiTheme="minorHAnsi" w:hAnsiTheme="minorHAnsi" w:cstheme="minorHAnsi"/>
          <w:sz w:val="22"/>
          <w:szCs w:val="22"/>
          <w:lang w:val="en-CA"/>
        </w:rPr>
        <w:t xml:space="preserve">13 priorities. </w:t>
      </w:r>
      <w:r w:rsidRPr="00154FF3">
        <w:rPr>
          <w:rFonts w:asciiTheme="minorHAnsi" w:hAnsiTheme="minorHAnsi" w:cstheme="minorHAnsi"/>
          <w:sz w:val="22"/>
          <w:szCs w:val="22"/>
          <w:lang w:val="en-CA"/>
        </w:rPr>
        <w:t>An important priority will be supporting the implementation of new legislation that creates a stronger federal Financial Consumer Prote</w:t>
      </w:r>
      <w:r w:rsidR="00095A11" w:rsidRPr="00154FF3">
        <w:rPr>
          <w:rFonts w:asciiTheme="minorHAnsi" w:hAnsiTheme="minorHAnsi" w:cstheme="minorHAnsi"/>
          <w:sz w:val="22"/>
          <w:szCs w:val="22"/>
          <w:lang w:val="en-CA"/>
        </w:rPr>
        <w:t>ction Framework.</w:t>
      </w:r>
    </w:p>
    <w:p w:rsidR="00595328" w:rsidRPr="00154FF3" w:rsidRDefault="00595328" w:rsidP="005640A2">
      <w:pPr>
        <w:pStyle w:val="Heading2"/>
        <w:rPr>
          <w:lang w:val="en-CA"/>
        </w:rPr>
      </w:pPr>
      <w:r w:rsidRPr="00154FF3">
        <w:rPr>
          <w:lang w:val="en-CA"/>
        </w:rPr>
        <w:t>Experimentation</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FCAC created inventories for anticipatory staffing. Performance agreements, work samples, and letter of references have been used in assessments for internal appointment processes, and information included in submissions for awards and recognitions has also been considered.</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While publishing their job opportunities on the PSC website, FCAC is also reaching out to the community of practice and social media to drive more applicants to their job advertisements and encourage more favorable recruitment outcomes.</w:t>
      </w:r>
    </w:p>
    <w:p w:rsidR="00595328" w:rsidRPr="00154FF3" w:rsidRDefault="000E2833" w:rsidP="00785F07">
      <w:pPr>
        <w:pStyle w:val="Heading1"/>
        <w:spacing w:after="120"/>
        <w:rPr>
          <w:lang w:val="en-CA"/>
        </w:rPr>
      </w:pPr>
      <w:r w:rsidRPr="00154FF3">
        <w:rPr>
          <w:lang w:val="en-CA"/>
        </w:rPr>
        <w:t>Population and Staffing A</w:t>
      </w:r>
      <w:r w:rsidR="00595328" w:rsidRPr="00154FF3">
        <w:rPr>
          <w:lang w:val="en-CA"/>
        </w:rPr>
        <w:t>ctivities</w:t>
      </w:r>
    </w:p>
    <w:p w:rsidR="00785F07" w:rsidRPr="00154FF3" w:rsidRDefault="00785F07" w:rsidP="00785F07">
      <w:pPr>
        <w:pStyle w:val="Heading2"/>
        <w:spacing w:after="120"/>
        <w:rPr>
          <w:u w:val="single"/>
          <w:lang w:val="en-CA"/>
        </w:rPr>
      </w:pPr>
      <w:r w:rsidRPr="00154FF3">
        <w:rPr>
          <w:lang w:val="en-CA"/>
        </w:rPr>
        <w:t>Population</w:t>
      </w:r>
    </w:p>
    <w:p w:rsidR="00595328" w:rsidRPr="00154FF3" w:rsidRDefault="00595328" w:rsidP="00785F07">
      <w:pPr>
        <w:spacing w:after="240"/>
        <w:rPr>
          <w:rFonts w:asciiTheme="minorHAnsi" w:hAnsiTheme="minorHAnsi" w:cstheme="minorHAnsi"/>
          <w:sz w:val="22"/>
          <w:szCs w:val="22"/>
          <w:lang w:val="en-CA"/>
        </w:rPr>
      </w:pPr>
      <w:r w:rsidRPr="00154FF3">
        <w:rPr>
          <w:rFonts w:asciiTheme="minorHAnsi" w:hAnsiTheme="minorHAnsi" w:cstheme="minorHAnsi"/>
          <w:sz w:val="22"/>
          <w:szCs w:val="22"/>
          <w:lang w:val="en-CA"/>
        </w:rPr>
        <w:t xml:space="preserve">FCAC is a small-size organization that has a population of 127 employees. As FCAC is a separate agency subject to the </w:t>
      </w:r>
      <w:r w:rsidR="00EF05CD" w:rsidRPr="00EF05CD">
        <w:rPr>
          <w:rStyle w:val="Emphasis"/>
          <w:lang w:val="en-US"/>
        </w:rPr>
        <w:t>Public Service Employment Act</w:t>
      </w:r>
      <w:r w:rsidR="00EF05CD" w:rsidRPr="00EF05CD">
        <w:rPr>
          <w:rFonts w:asciiTheme="minorHAnsi" w:hAnsiTheme="minorHAnsi" w:cstheme="minorHAnsi"/>
          <w:sz w:val="22"/>
          <w:szCs w:val="22"/>
        </w:rPr>
        <w:t xml:space="preserve"> (PSEA)</w:t>
      </w:r>
      <w:r w:rsidRPr="00154FF3">
        <w:rPr>
          <w:rFonts w:asciiTheme="minorHAnsi" w:hAnsiTheme="minorHAnsi" w:cstheme="minorHAnsi"/>
          <w:sz w:val="22"/>
          <w:szCs w:val="22"/>
          <w:lang w:val="en-CA"/>
        </w:rPr>
        <w:t>, it does not have the same classification system as the Core Public Administration. The occupational group within the organization is Regulatory Enforcement Group (RE).  As of March 31, 2019, the population was as follows:</w:t>
      </w:r>
    </w:p>
    <w:p w:rsidR="00785F07" w:rsidRPr="00154FF3" w:rsidRDefault="00785F07" w:rsidP="00785F07">
      <w:pPr>
        <w:pStyle w:val="Heading2"/>
        <w:spacing w:after="120"/>
        <w:rPr>
          <w:u w:val="single"/>
          <w:lang w:val="en-CA"/>
        </w:rPr>
      </w:pPr>
      <w:r w:rsidRPr="00154FF3">
        <w:rPr>
          <w:lang w:val="en-CA"/>
        </w:rPr>
        <w:t>Staffing Activities</w:t>
      </w:r>
    </w:p>
    <w:p w:rsidR="00595328" w:rsidRPr="00154FF3" w:rsidRDefault="00595328" w:rsidP="005640A2">
      <w:pPr>
        <w:pStyle w:val="ListParagraph"/>
        <w:numPr>
          <w:ilvl w:val="0"/>
          <w:numId w:val="29"/>
        </w:numPr>
        <w:rPr>
          <w:rFonts w:asciiTheme="minorHAnsi" w:hAnsiTheme="minorHAnsi" w:cstheme="minorHAnsi"/>
          <w:sz w:val="22"/>
          <w:szCs w:val="22"/>
          <w:lang w:val="en-CA"/>
        </w:rPr>
      </w:pPr>
      <w:r w:rsidRPr="00154FF3">
        <w:rPr>
          <w:rFonts w:asciiTheme="minorHAnsi" w:hAnsiTheme="minorHAnsi" w:cstheme="minorHAnsi"/>
          <w:sz w:val="22"/>
          <w:szCs w:val="22"/>
          <w:lang w:val="en-CA"/>
        </w:rPr>
        <w:t>100 indeterminate employees;</w:t>
      </w:r>
    </w:p>
    <w:p w:rsidR="00595328" w:rsidRPr="00154FF3" w:rsidRDefault="00595328" w:rsidP="005640A2">
      <w:pPr>
        <w:pStyle w:val="ListParagraph"/>
        <w:numPr>
          <w:ilvl w:val="0"/>
          <w:numId w:val="29"/>
        </w:numPr>
        <w:rPr>
          <w:rFonts w:asciiTheme="minorHAnsi" w:hAnsiTheme="minorHAnsi" w:cstheme="minorHAnsi"/>
          <w:sz w:val="22"/>
          <w:szCs w:val="22"/>
          <w:lang w:val="en-CA"/>
        </w:rPr>
      </w:pPr>
      <w:r w:rsidRPr="00154FF3">
        <w:rPr>
          <w:rFonts w:asciiTheme="minorHAnsi" w:hAnsiTheme="minorHAnsi" w:cstheme="minorHAnsi"/>
          <w:sz w:val="22"/>
          <w:szCs w:val="22"/>
          <w:lang w:val="en-CA"/>
        </w:rPr>
        <w:t>8 term employees;</w:t>
      </w:r>
    </w:p>
    <w:p w:rsidR="00595328" w:rsidRPr="00154FF3" w:rsidRDefault="00595328" w:rsidP="005640A2">
      <w:pPr>
        <w:pStyle w:val="ListParagraph"/>
        <w:numPr>
          <w:ilvl w:val="0"/>
          <w:numId w:val="29"/>
        </w:numPr>
        <w:rPr>
          <w:rFonts w:asciiTheme="minorHAnsi" w:hAnsiTheme="minorHAnsi" w:cstheme="minorHAnsi"/>
          <w:sz w:val="22"/>
          <w:szCs w:val="22"/>
          <w:lang w:val="en-CA"/>
        </w:rPr>
      </w:pPr>
      <w:r w:rsidRPr="00154FF3">
        <w:rPr>
          <w:rFonts w:asciiTheme="minorHAnsi" w:hAnsiTheme="minorHAnsi" w:cstheme="minorHAnsi"/>
          <w:sz w:val="22"/>
          <w:szCs w:val="22"/>
          <w:lang w:val="en-CA"/>
        </w:rPr>
        <w:t>15 casual employees; and</w:t>
      </w:r>
    </w:p>
    <w:p w:rsidR="00595328" w:rsidRPr="00154FF3" w:rsidRDefault="00595328" w:rsidP="005640A2">
      <w:pPr>
        <w:pStyle w:val="ListParagraph"/>
        <w:numPr>
          <w:ilvl w:val="0"/>
          <w:numId w:val="29"/>
        </w:numPr>
        <w:rPr>
          <w:rFonts w:asciiTheme="minorHAnsi" w:hAnsiTheme="minorHAnsi" w:cstheme="minorHAnsi"/>
          <w:sz w:val="22"/>
          <w:szCs w:val="22"/>
          <w:lang w:val="en-CA"/>
        </w:rPr>
      </w:pPr>
      <w:r w:rsidRPr="00154FF3">
        <w:rPr>
          <w:rFonts w:asciiTheme="minorHAnsi" w:hAnsiTheme="minorHAnsi" w:cstheme="minorHAnsi"/>
          <w:sz w:val="22"/>
          <w:szCs w:val="22"/>
          <w:lang w:val="en-CA"/>
        </w:rPr>
        <w:t>4 students.</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In 2018-2019, FCAC proceeded with a total of 91</w:t>
      </w:r>
      <w:r w:rsidR="009E1FAC" w:rsidRPr="00154FF3">
        <w:rPr>
          <w:rFonts w:asciiTheme="minorHAnsi" w:hAnsiTheme="minorHAnsi" w:cstheme="minorHAnsi"/>
          <w:sz w:val="22"/>
          <w:szCs w:val="22"/>
          <w:lang w:val="en-CA"/>
        </w:rPr>
        <w:t xml:space="preserve"> staffing activities:</w:t>
      </w:r>
    </w:p>
    <w:p w:rsidR="00595328" w:rsidRPr="00154FF3" w:rsidRDefault="00595328" w:rsidP="005640A2">
      <w:pPr>
        <w:pStyle w:val="ListParagraph"/>
        <w:numPr>
          <w:ilvl w:val="0"/>
          <w:numId w:val="30"/>
        </w:num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24 appo</w:t>
      </w:r>
      <w:r w:rsidR="009E1FAC" w:rsidRPr="00154FF3">
        <w:rPr>
          <w:rFonts w:asciiTheme="minorHAnsi" w:hAnsiTheme="minorHAnsi" w:cstheme="minorHAnsi"/>
          <w:sz w:val="22"/>
          <w:szCs w:val="22"/>
          <w:lang w:val="en-CA"/>
        </w:rPr>
        <w:t>intments to the public service;</w:t>
      </w:r>
    </w:p>
    <w:p w:rsidR="00595328" w:rsidRPr="00154FF3" w:rsidRDefault="00595328" w:rsidP="005640A2">
      <w:pPr>
        <w:pStyle w:val="ListParagraph"/>
        <w:numPr>
          <w:ilvl w:val="0"/>
          <w:numId w:val="30"/>
        </w:num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13 promotions;</w:t>
      </w:r>
    </w:p>
    <w:p w:rsidR="00595328" w:rsidRPr="00154FF3" w:rsidRDefault="00595328" w:rsidP="005640A2">
      <w:pPr>
        <w:pStyle w:val="ListParagraph"/>
        <w:numPr>
          <w:ilvl w:val="0"/>
          <w:numId w:val="30"/>
        </w:num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5</w:t>
      </w:r>
      <w:r w:rsidR="009E1FAC" w:rsidRPr="00154FF3">
        <w:rPr>
          <w:rFonts w:asciiTheme="minorHAnsi" w:hAnsiTheme="minorHAnsi" w:cstheme="minorHAnsi"/>
          <w:sz w:val="22"/>
          <w:szCs w:val="22"/>
          <w:lang w:val="en-CA"/>
        </w:rPr>
        <w:t xml:space="preserve"> acting appointments;</w:t>
      </w:r>
    </w:p>
    <w:p w:rsidR="00595328" w:rsidRPr="00154FF3" w:rsidRDefault="00595328" w:rsidP="005640A2">
      <w:pPr>
        <w:pStyle w:val="ListParagraph"/>
        <w:numPr>
          <w:ilvl w:val="0"/>
          <w:numId w:val="30"/>
        </w:num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25 casuals;</w:t>
      </w:r>
    </w:p>
    <w:p w:rsidR="00595328" w:rsidRPr="00154FF3" w:rsidRDefault="00595328" w:rsidP="005640A2">
      <w:pPr>
        <w:pStyle w:val="ListParagraph"/>
        <w:numPr>
          <w:ilvl w:val="0"/>
          <w:numId w:val="30"/>
        </w:num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8 students; and</w:t>
      </w:r>
    </w:p>
    <w:p w:rsidR="00595328" w:rsidRPr="00154FF3" w:rsidRDefault="00595328" w:rsidP="005640A2">
      <w:pPr>
        <w:pStyle w:val="ListParagraph"/>
        <w:numPr>
          <w:ilvl w:val="0"/>
          <w:numId w:val="30"/>
        </w:num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16 lateral and downward movements.</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 xml:space="preserve">Please refer to </w:t>
      </w:r>
      <w:hyperlink w:anchor="AnnexB" w:history="1">
        <w:r w:rsidR="005E300F" w:rsidRPr="00154FF3">
          <w:rPr>
            <w:rStyle w:val="Hyperlink"/>
            <w:rFonts w:asciiTheme="minorHAnsi" w:hAnsiTheme="minorHAnsi" w:cstheme="minorHAnsi"/>
            <w:sz w:val="22"/>
            <w:szCs w:val="22"/>
            <w:lang w:val="en-CA"/>
          </w:rPr>
          <w:t>Annex B</w:t>
        </w:r>
      </w:hyperlink>
      <w:r w:rsidRPr="00154FF3">
        <w:rPr>
          <w:rFonts w:asciiTheme="minorHAnsi" w:hAnsiTheme="minorHAnsi" w:cstheme="minorHAnsi"/>
          <w:sz w:val="22"/>
          <w:szCs w:val="22"/>
          <w:lang w:val="en-CA"/>
        </w:rPr>
        <w:t xml:space="preserve"> for additional details</w:t>
      </w:r>
      <w:r w:rsidR="00DA6D75" w:rsidRPr="00154FF3">
        <w:rPr>
          <w:rFonts w:asciiTheme="minorHAnsi" w:hAnsiTheme="minorHAnsi" w:cstheme="minorHAnsi"/>
          <w:sz w:val="22"/>
          <w:szCs w:val="22"/>
          <w:lang w:val="en-CA"/>
        </w:rPr>
        <w:t xml:space="preserve"> on staffing activities.</w:t>
      </w:r>
    </w:p>
    <w:p w:rsidR="00785F07" w:rsidRPr="00154FF3" w:rsidRDefault="00785F07" w:rsidP="005640A2">
      <w:pPr>
        <w:pStyle w:val="Heading1"/>
        <w:rPr>
          <w:lang w:val="en-CA"/>
        </w:rPr>
        <w:sectPr w:rsidR="00785F07" w:rsidRPr="00154FF3" w:rsidSect="00785F07">
          <w:headerReference w:type="default" r:id="rId8"/>
          <w:footerReference w:type="default" r:id="rId9"/>
          <w:footerReference w:type="first" r:id="rId10"/>
          <w:type w:val="continuous"/>
          <w:pgSz w:w="12240" w:h="15840"/>
          <w:pgMar w:top="1440" w:right="1080" w:bottom="1440" w:left="1080" w:header="708" w:footer="283" w:gutter="0"/>
          <w:cols w:space="708"/>
          <w:titlePg/>
          <w:docGrid w:linePitch="360"/>
        </w:sectPr>
      </w:pPr>
    </w:p>
    <w:p w:rsidR="00595328" w:rsidRPr="00154FF3" w:rsidRDefault="009E1FAC" w:rsidP="005640A2">
      <w:pPr>
        <w:pStyle w:val="Heading1"/>
        <w:rPr>
          <w:lang w:val="en-CA"/>
        </w:rPr>
      </w:pPr>
      <w:r w:rsidRPr="00154FF3">
        <w:rPr>
          <w:lang w:val="en-CA"/>
        </w:rPr>
        <w:lastRenderedPageBreak/>
        <w:t>Time to S</w:t>
      </w:r>
      <w:r w:rsidR="00595328" w:rsidRPr="00154FF3">
        <w:rPr>
          <w:lang w:val="en-CA"/>
        </w:rPr>
        <w:t>taff</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The data is insufficient for providing results on internal or external process times for FCAC.</w:t>
      </w:r>
    </w:p>
    <w:p w:rsidR="00595328" w:rsidRPr="00154FF3" w:rsidRDefault="009E1FAC" w:rsidP="005640A2">
      <w:pPr>
        <w:pStyle w:val="Heading1"/>
        <w:rPr>
          <w:lang w:val="en-CA"/>
        </w:rPr>
      </w:pPr>
      <w:r w:rsidRPr="00154FF3">
        <w:rPr>
          <w:lang w:val="en-CA"/>
        </w:rPr>
        <w:t>Staffing F</w:t>
      </w:r>
      <w:r w:rsidR="00595328" w:rsidRPr="00154FF3">
        <w:rPr>
          <w:lang w:val="en-CA"/>
        </w:rPr>
        <w:t>ramework</w:t>
      </w:r>
    </w:p>
    <w:p w:rsidR="00595328" w:rsidRPr="00154FF3" w:rsidRDefault="00595328" w:rsidP="005640A2">
      <w:pPr>
        <w:pStyle w:val="Heading2"/>
        <w:rPr>
          <w:lang w:val="en-CA"/>
        </w:rPr>
      </w:pPr>
      <w:r w:rsidRPr="00154FF3">
        <w:rPr>
          <w:lang w:val="en-CA"/>
        </w:rPr>
        <w:t>New Direction in Staffing Implementation</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FCAC developed a single staffing policy that came into effect in April 2016 and has shared the document with the PSC.</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The organization was challenged with the implementation of the NDS due to its capacity, competing HR priorities and its traditional culture of staffing - most managers were not comfortable with promoting the use of the new flexibilities. </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In its effort to support FCAC, the PSC provided training on NDS to HR advisors and managers and did a presentation during an all staff meeting. Following these initial sessions, the organization’s HR advisors continued to communicate NDS messaging within FCAC. These sustained efforts contributed to the improvement of staffing practices and an overall improved understanding of the NDS. This was also an objective in their performance agreement. At this time, FCAC has requested more training on various topics involving recruitment and staffing. The PSC will be delivering more sessions in future months.</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As the last sub-delegation instrument was signed back in May 2015, FCAC has undertaken a review of its content. The instrument will be reviewed based on operational requirements to improve efficiencies while ensuring appropriate training is provided to sub-delegated managers. Among other things, the possibility of sub-delegating certain staffing authorities at a level lower than director to increase decisional agility will be proposed. The PSC has offered to review the proposed changes before t</w:t>
      </w:r>
      <w:r w:rsidR="009E1FAC" w:rsidRPr="00154FF3">
        <w:rPr>
          <w:rFonts w:asciiTheme="minorHAnsi" w:hAnsiTheme="minorHAnsi" w:cstheme="minorHAnsi"/>
          <w:sz w:val="22"/>
          <w:lang w:val="en-CA"/>
        </w:rPr>
        <w:t>he new Commissioner’s approval.</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FCAC is developing a framework to improve monitoring procedures that are already in place which include: a staffing checklist for HR advisors, a peer-to-peer review process of staffing files to be completed on a regular basis, a review of all non-advertised appointment files by the H</w:t>
      </w:r>
      <w:r w:rsidR="009E1FAC" w:rsidRPr="00154FF3">
        <w:rPr>
          <w:rFonts w:asciiTheme="minorHAnsi" w:hAnsiTheme="minorHAnsi" w:cstheme="minorHAnsi"/>
          <w:sz w:val="22"/>
          <w:lang w:val="en-CA"/>
        </w:rPr>
        <w:t>R manager and the Chief of HR.</w:t>
      </w:r>
    </w:p>
    <w:p w:rsidR="00595328" w:rsidRPr="00154FF3" w:rsidRDefault="00595328" w:rsidP="00785F07">
      <w:pPr>
        <w:pStyle w:val="Heading1"/>
        <w:rPr>
          <w:lang w:val="en-CA"/>
        </w:rPr>
      </w:pPr>
      <w:r w:rsidRPr="00154FF3">
        <w:rPr>
          <w:lang w:val="en-CA"/>
        </w:rPr>
        <w:t xml:space="preserve">Appointment Delegation and Accountability Instrument </w:t>
      </w:r>
      <w:r w:rsidR="009E1FAC" w:rsidRPr="00154FF3">
        <w:rPr>
          <w:lang w:val="en-CA"/>
        </w:rPr>
        <w:t>Annex D R</w:t>
      </w:r>
      <w:r w:rsidRPr="00154FF3">
        <w:rPr>
          <w:lang w:val="en-CA"/>
        </w:rPr>
        <w:t>eporting</w:t>
      </w:r>
    </w:p>
    <w:p w:rsidR="00595328" w:rsidRPr="00154FF3" w:rsidRDefault="00595328" w:rsidP="00785F07">
      <w:pPr>
        <w:pStyle w:val="Heading2"/>
        <w:rPr>
          <w:lang w:val="en-CA"/>
        </w:rPr>
      </w:pPr>
      <w:r w:rsidRPr="00154FF3">
        <w:rPr>
          <w:lang w:val="en-CA"/>
        </w:rPr>
        <w:t>Use of the Public Service Official Languages Exclusion Approval Order and the Public Service Official Languages Appointment Regulations</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 xml:space="preserve">The most recent Annex D report indicates that FCAC manage exclusions under the </w:t>
      </w:r>
      <w:r w:rsidRPr="00154FF3">
        <w:rPr>
          <w:rStyle w:val="Emphasis"/>
        </w:rPr>
        <w:t>Public Service Official Languages Exclusion Approval Order</w:t>
      </w:r>
      <w:r w:rsidRPr="00154FF3">
        <w:rPr>
          <w:rFonts w:asciiTheme="minorHAnsi" w:hAnsiTheme="minorHAnsi" w:cstheme="minorHAnsi"/>
          <w:sz w:val="22"/>
          <w:szCs w:val="22"/>
          <w:lang w:val="en-CA"/>
        </w:rPr>
        <w:t xml:space="preserve"> and the </w:t>
      </w:r>
      <w:r w:rsidRPr="00154FF3">
        <w:rPr>
          <w:rStyle w:val="Emphasis"/>
        </w:rPr>
        <w:t>Public Service Official Languages Appointment Regulations</w:t>
      </w:r>
      <w:r w:rsidR="003C2C53" w:rsidRPr="00154FF3">
        <w:rPr>
          <w:rFonts w:asciiTheme="minorHAnsi" w:hAnsiTheme="minorHAnsi" w:cstheme="minorHAnsi"/>
          <w:sz w:val="22"/>
          <w:szCs w:val="22"/>
          <w:lang w:val="en-CA"/>
        </w:rPr>
        <w:t xml:space="preserve">. </w:t>
      </w:r>
      <w:r w:rsidRPr="00154FF3">
        <w:rPr>
          <w:rFonts w:asciiTheme="minorHAnsi" w:hAnsiTheme="minorHAnsi" w:cstheme="minorHAnsi"/>
          <w:sz w:val="22"/>
          <w:szCs w:val="22"/>
          <w:lang w:val="en-CA"/>
        </w:rPr>
        <w:t xml:space="preserve">It </w:t>
      </w:r>
      <w:r w:rsidRPr="00154FF3">
        <w:rPr>
          <w:rFonts w:asciiTheme="minorHAnsi" w:hAnsiTheme="minorHAnsi" w:cstheme="minorHAnsi"/>
          <w:sz w:val="22"/>
          <w:szCs w:val="22"/>
          <w:lang w:val="en-CA"/>
        </w:rPr>
        <w:lastRenderedPageBreak/>
        <w:t>specifies one situation in which the initial two-year period referred to in a person’s agreement to become bilingual expired in 2014, however the employee has been on leave since January 2013.</w:t>
      </w:r>
    </w:p>
    <w:p w:rsidR="00595328" w:rsidRPr="00154FF3" w:rsidRDefault="00595328" w:rsidP="00785F07">
      <w:pPr>
        <w:pStyle w:val="Heading2"/>
        <w:rPr>
          <w:lang w:val="en-CA"/>
        </w:rPr>
      </w:pPr>
      <w:r w:rsidRPr="00154FF3">
        <w:rPr>
          <w:lang w:val="en-CA"/>
        </w:rPr>
        <w:t>Approved Deputy Head Exceptions to the National Area of Selection Requirements for External Advertised Appointment Process</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FCAC reported that the DH approved one exception to the National Area of Selection in 2018-2019 for a two year employment opportunity to fill the position of Director, Human Resources. However, no appointments had been made from this process.</w:t>
      </w:r>
    </w:p>
    <w:p w:rsidR="00595328" w:rsidRPr="00154FF3" w:rsidRDefault="00595328" w:rsidP="005640A2">
      <w:pPr>
        <w:pStyle w:val="Heading2"/>
        <w:rPr>
          <w:lang w:val="en-CA"/>
        </w:rPr>
      </w:pPr>
      <w:r w:rsidRPr="00154FF3">
        <w:rPr>
          <w:lang w:val="en-CA"/>
        </w:rPr>
        <w:t>Results of Organizational Cyclical Assessment</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 xml:space="preserve">As a smaller organization, FCAC was offered the opportunity to partake in the PSC’s cyclical assessment pilot, as per section 3 of the Appointment Delegation and Accountability Instrument. </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However, FCAC decided not to participate in the pilot project as the Agency has the internal resources to produce the report before the deadline of May 1, 2021. The staffing support advisor (SSA) already had a discussion on cyclical assessment with FCAC’s representative and will provide support as needed.</w:t>
      </w:r>
    </w:p>
    <w:p w:rsidR="00595328" w:rsidRPr="00154FF3" w:rsidRDefault="00595328" w:rsidP="005640A2">
      <w:pPr>
        <w:pStyle w:val="Heading2"/>
        <w:rPr>
          <w:lang w:val="en-CA"/>
        </w:rPr>
      </w:pPr>
      <w:r w:rsidRPr="00154FF3">
        <w:rPr>
          <w:lang w:val="en-CA"/>
        </w:rPr>
        <w:t>Inquiries and Trends</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szCs w:val="22"/>
          <w:lang w:val="en-CA"/>
        </w:rPr>
        <w:t>The PSC received 7 requests from FCAC from April 2017 to January 2019. FCAC has a collaborative relationship with the SSA and contacts her when needed to further their understanding of staffing requirements and compliance</w:t>
      </w:r>
      <w:r w:rsidR="009E1FAC" w:rsidRPr="00154FF3">
        <w:rPr>
          <w:rFonts w:asciiTheme="minorHAnsi" w:hAnsiTheme="minorHAnsi" w:cstheme="minorHAnsi"/>
          <w:sz w:val="22"/>
          <w:szCs w:val="22"/>
          <w:lang w:val="en-CA"/>
        </w:rPr>
        <w:t>.</w:t>
      </w:r>
    </w:p>
    <w:p w:rsidR="00595328" w:rsidRPr="00154FF3" w:rsidRDefault="00B17E2A" w:rsidP="005640A2">
      <w:pPr>
        <w:pStyle w:val="Heading1"/>
        <w:rPr>
          <w:lang w:val="en-CA"/>
        </w:rPr>
      </w:pPr>
      <w:r w:rsidRPr="00154FF3">
        <w:rPr>
          <w:lang w:val="en-CA"/>
        </w:rPr>
        <w:t>O</w:t>
      </w:r>
      <w:r w:rsidR="003C2C53" w:rsidRPr="00154FF3">
        <w:rPr>
          <w:lang w:val="en-CA"/>
        </w:rPr>
        <w:t>versight</w:t>
      </w:r>
    </w:p>
    <w:p w:rsidR="00595328" w:rsidRPr="00154FF3" w:rsidRDefault="00077687" w:rsidP="005640A2">
      <w:pPr>
        <w:pStyle w:val="Heading2"/>
        <w:rPr>
          <w:lang w:val="en-CA"/>
        </w:rPr>
      </w:pPr>
      <w:r w:rsidRPr="00154FF3">
        <w:rPr>
          <w:lang w:val="en-CA"/>
        </w:rPr>
        <w:t>Audits</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FCAC w</w:t>
      </w:r>
      <w:r w:rsidR="009E1FAC" w:rsidRPr="00154FF3">
        <w:rPr>
          <w:rFonts w:asciiTheme="minorHAnsi" w:hAnsiTheme="minorHAnsi" w:cstheme="minorHAnsi"/>
          <w:sz w:val="22"/>
          <w:lang w:val="en-CA"/>
        </w:rPr>
        <w:t xml:space="preserve">as audited by the PSC in 2011. </w:t>
      </w:r>
      <w:r w:rsidRPr="00154FF3">
        <w:rPr>
          <w:rFonts w:asciiTheme="minorHAnsi" w:hAnsiTheme="minorHAnsi" w:cstheme="minorHAnsi"/>
          <w:sz w:val="22"/>
          <w:lang w:val="en-CA"/>
        </w:rPr>
        <w:t xml:space="preserve">The audit included a recommendation that FCAC should establish and implement, with its service provider, (FCAC had a service provider at the time) a control mechanism at the transactional level to ensure that supporting documentation related to appointments would be accurate and compliant with the </w:t>
      </w:r>
      <w:r w:rsidRPr="00154FF3">
        <w:rPr>
          <w:rStyle w:val="Emphasis"/>
        </w:rPr>
        <w:t>Public Service Employment Act</w:t>
      </w:r>
      <w:r w:rsidRPr="00154FF3">
        <w:rPr>
          <w:rFonts w:asciiTheme="minorHAnsi" w:hAnsiTheme="minorHAnsi" w:cstheme="minorHAnsi"/>
          <w:sz w:val="22"/>
          <w:lang w:val="en-CA"/>
        </w:rPr>
        <w:t xml:space="preserve"> (PSEA) and other governing authorities.</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In 2015, the PSC determined that it was satisfied with the organization’s progress in implementing the audit recommendations.</w:t>
      </w:r>
    </w:p>
    <w:p w:rsidR="00595328" w:rsidRPr="00154FF3" w:rsidRDefault="00595328" w:rsidP="005640A2">
      <w:pPr>
        <w:pStyle w:val="Heading2"/>
        <w:rPr>
          <w:lang w:val="en-CA"/>
        </w:rPr>
      </w:pPr>
      <w:r w:rsidRPr="00154FF3">
        <w:rPr>
          <w:lang w:val="en-CA"/>
        </w:rPr>
        <w:t>Investigations</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No investigations were requested nor conducted fo</w:t>
      </w:r>
      <w:r w:rsidR="003C2C53" w:rsidRPr="00154FF3">
        <w:rPr>
          <w:rFonts w:asciiTheme="minorHAnsi" w:hAnsiTheme="minorHAnsi" w:cstheme="minorHAnsi"/>
          <w:sz w:val="22"/>
          <w:lang w:val="en-CA"/>
        </w:rPr>
        <w:t>r this organization since 2016.</w:t>
      </w:r>
    </w:p>
    <w:p w:rsidR="00785F07" w:rsidRPr="00154FF3" w:rsidRDefault="00785F07" w:rsidP="005640A2">
      <w:pPr>
        <w:pStyle w:val="Heading2"/>
        <w:rPr>
          <w:lang w:val="en-CA"/>
        </w:rPr>
        <w:sectPr w:rsidR="00785F07" w:rsidRPr="00154FF3" w:rsidSect="00785F07">
          <w:pgSz w:w="12240" w:h="15840"/>
          <w:pgMar w:top="1440" w:right="1080" w:bottom="1440" w:left="1080" w:header="708" w:footer="283" w:gutter="0"/>
          <w:cols w:space="708"/>
          <w:titlePg/>
          <w:docGrid w:linePitch="360"/>
        </w:sectPr>
      </w:pPr>
    </w:p>
    <w:p w:rsidR="00595328" w:rsidRPr="00154FF3" w:rsidRDefault="00595328" w:rsidP="005640A2">
      <w:pPr>
        <w:pStyle w:val="Heading2"/>
        <w:rPr>
          <w:lang w:val="en-CA"/>
        </w:rPr>
      </w:pPr>
      <w:r w:rsidRPr="00154FF3">
        <w:rPr>
          <w:lang w:val="en-CA"/>
        </w:rPr>
        <w:lastRenderedPageBreak/>
        <w:t>Staffing and Non-Partisanship Survey Results</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The Staffing and Non-Partisanship Survey Results (SNPS) are based on a final </w:t>
      </w:r>
      <w:r w:rsidR="003C2C53" w:rsidRPr="00154FF3">
        <w:rPr>
          <w:rFonts w:asciiTheme="minorHAnsi" w:hAnsiTheme="minorHAnsi" w:cstheme="minorHAnsi"/>
          <w:sz w:val="22"/>
          <w:lang w:val="en-CA"/>
        </w:rPr>
        <w:t xml:space="preserve">response rate of 59% for FCAC. </w:t>
      </w:r>
      <w:r w:rsidRPr="00154FF3">
        <w:rPr>
          <w:rFonts w:asciiTheme="minorHAnsi" w:hAnsiTheme="minorHAnsi" w:cstheme="minorHAnsi"/>
          <w:sz w:val="22"/>
          <w:lang w:val="en-CA"/>
        </w:rPr>
        <w:t>To be noted that FCAC did not receive results for all questions as only questions with a minimum of 10 respondents are shared</w:t>
      </w:r>
      <w:r w:rsidR="003C2C53" w:rsidRPr="00154FF3">
        <w:rPr>
          <w:rFonts w:asciiTheme="minorHAnsi" w:hAnsiTheme="minorHAnsi" w:cstheme="minorHAnsi"/>
          <w:sz w:val="22"/>
          <w:lang w:val="en-CA"/>
        </w:rPr>
        <w:t>.</w:t>
      </w:r>
    </w:p>
    <w:p w:rsidR="00595328" w:rsidRPr="00154FF3" w:rsidRDefault="00595328" w:rsidP="00785F07">
      <w:pPr>
        <w:rPr>
          <w:rFonts w:asciiTheme="minorHAnsi" w:hAnsiTheme="minorHAnsi" w:cstheme="minorHAnsi"/>
          <w:sz w:val="22"/>
          <w:lang w:val="en-CA"/>
        </w:rPr>
      </w:pPr>
      <w:r w:rsidRPr="00154FF3">
        <w:rPr>
          <w:rFonts w:asciiTheme="minorHAnsi" w:hAnsiTheme="minorHAnsi" w:cstheme="minorHAnsi"/>
          <w:sz w:val="22"/>
          <w:lang w:val="en-CA"/>
        </w:rPr>
        <w:t>The Agency’s results are positive when compared to other similar size organization</w:t>
      </w:r>
      <w:r w:rsidR="003C2C53" w:rsidRPr="00154FF3">
        <w:rPr>
          <w:rFonts w:asciiTheme="minorHAnsi" w:hAnsiTheme="minorHAnsi" w:cstheme="minorHAnsi"/>
          <w:sz w:val="22"/>
          <w:lang w:val="en-CA"/>
        </w:rPr>
        <w:t>s and the whole public service.</w:t>
      </w:r>
    </w:p>
    <w:p w:rsidR="00595328" w:rsidRPr="00154FF3" w:rsidRDefault="00595328" w:rsidP="00785F07">
      <w:pPr>
        <w:spacing w:before="240"/>
        <w:rPr>
          <w:rFonts w:asciiTheme="minorHAnsi" w:hAnsiTheme="minorHAnsi" w:cstheme="minorHAnsi"/>
          <w:sz w:val="22"/>
          <w:lang w:val="en-CA"/>
        </w:rPr>
      </w:pPr>
      <w:r w:rsidRPr="00154FF3">
        <w:rPr>
          <w:rFonts w:asciiTheme="minorHAnsi" w:hAnsiTheme="minorHAnsi" w:cstheme="minorHAnsi"/>
          <w:sz w:val="22"/>
          <w:lang w:val="en-CA"/>
        </w:rPr>
        <w:t>Below are key findings from FCAC 2018 SNPS results:</w:t>
      </w:r>
    </w:p>
    <w:p w:rsidR="00595328" w:rsidRPr="00154FF3" w:rsidRDefault="00595328" w:rsidP="00785F07">
      <w:pPr>
        <w:pStyle w:val="ListParagraph"/>
        <w:numPr>
          <w:ilvl w:val="0"/>
          <w:numId w:val="31"/>
        </w:numPr>
        <w:spacing w:after="160"/>
        <w:rPr>
          <w:rFonts w:asciiTheme="minorHAnsi" w:hAnsiTheme="minorHAnsi" w:cstheme="minorHAnsi"/>
          <w:sz w:val="22"/>
          <w:lang w:val="en-CA"/>
        </w:rPr>
      </w:pPr>
      <w:r w:rsidRPr="00154FF3">
        <w:rPr>
          <w:rFonts w:asciiTheme="minorHAnsi" w:hAnsiTheme="minorHAnsi" w:cstheme="minorHAnsi"/>
          <w:sz w:val="22"/>
          <w:lang w:val="en-CA"/>
        </w:rPr>
        <w:t xml:space="preserve">92% of </w:t>
      </w:r>
      <w:r w:rsidRPr="00154FF3">
        <w:rPr>
          <w:rStyle w:val="Strong"/>
          <w:lang w:val="en-CA"/>
        </w:rPr>
        <w:t>managers</w:t>
      </w:r>
      <w:r w:rsidRPr="00154FF3">
        <w:rPr>
          <w:rFonts w:asciiTheme="minorHAnsi" w:hAnsiTheme="minorHAnsi" w:cstheme="minorHAnsi"/>
          <w:sz w:val="22"/>
          <w:lang w:val="en-CA"/>
        </w:rPr>
        <w:t xml:space="preserve"> indicated that they understand the NDS, as compared to 67.9% in similar size organizations and 61.4% across all organizations in the federal public service.</w:t>
      </w:r>
    </w:p>
    <w:p w:rsidR="00595328" w:rsidRPr="00154FF3" w:rsidRDefault="00595328" w:rsidP="005640A2">
      <w:pPr>
        <w:pStyle w:val="ListParagraph"/>
        <w:numPr>
          <w:ilvl w:val="0"/>
          <w:numId w:val="31"/>
        </w:num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100% of </w:t>
      </w:r>
      <w:r w:rsidRPr="00154FF3">
        <w:rPr>
          <w:rStyle w:val="Strong"/>
          <w:lang w:val="en-CA"/>
        </w:rPr>
        <w:t>managers</w:t>
      </w:r>
      <w:r w:rsidRPr="00154FF3">
        <w:rPr>
          <w:rFonts w:asciiTheme="minorHAnsi" w:hAnsiTheme="minorHAnsi" w:cstheme="minorHAnsi"/>
          <w:sz w:val="22"/>
          <w:lang w:val="en-CA"/>
        </w:rPr>
        <w:t xml:space="preserve"> indicated that they understand their organizations' policies with respect to staffing, as compared to 84.3% in similar size organizations and 73.1% across all organizations in the federal public service.</w:t>
      </w:r>
    </w:p>
    <w:p w:rsidR="00595328" w:rsidRPr="00154FF3" w:rsidRDefault="00595328" w:rsidP="005640A2">
      <w:pPr>
        <w:pStyle w:val="ListParagraph"/>
        <w:numPr>
          <w:ilvl w:val="0"/>
          <w:numId w:val="31"/>
        </w:num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80.8% of </w:t>
      </w:r>
      <w:r w:rsidRPr="00154FF3">
        <w:rPr>
          <w:rStyle w:val="Strong"/>
          <w:lang w:val="en-CA"/>
        </w:rPr>
        <w:t>managers</w:t>
      </w:r>
      <w:r w:rsidRPr="00154FF3">
        <w:rPr>
          <w:rFonts w:asciiTheme="minorHAnsi" w:hAnsiTheme="minorHAnsi" w:cstheme="minorHAnsi"/>
          <w:sz w:val="22"/>
          <w:lang w:val="en-CA"/>
        </w:rPr>
        <w:t xml:space="preserve"> indicated that the staffing options available to them within their organizations allow them to address their staffing needs as quickly as required, as compared to 58.2% in similar size organizations and 37.6% across all organizations in the federal public service.</w:t>
      </w:r>
    </w:p>
    <w:p w:rsidR="00595328" w:rsidRPr="00154FF3" w:rsidRDefault="00595328" w:rsidP="005640A2">
      <w:pPr>
        <w:pStyle w:val="ListParagraph"/>
        <w:numPr>
          <w:ilvl w:val="0"/>
          <w:numId w:val="31"/>
        </w:num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91.3% of </w:t>
      </w:r>
      <w:r w:rsidRPr="00154FF3">
        <w:rPr>
          <w:rStyle w:val="Strong"/>
          <w:lang w:val="en-CA"/>
        </w:rPr>
        <w:t>managers</w:t>
      </w:r>
      <w:r w:rsidRPr="00154FF3">
        <w:rPr>
          <w:rFonts w:asciiTheme="minorHAnsi" w:hAnsiTheme="minorHAnsi" w:cstheme="minorHAnsi"/>
          <w:sz w:val="22"/>
          <w:lang w:val="en-CA"/>
        </w:rPr>
        <w:t xml:space="preserve"> indicated that staffing options available to them within their organizations provide them with the flexibility to appoint persons who are a good fit within their work units, as compared to 74.9% in similar size organizations and 60% across all organizations in the federal public service.</w:t>
      </w:r>
    </w:p>
    <w:p w:rsidR="00595328" w:rsidRPr="00154FF3" w:rsidRDefault="00595328" w:rsidP="005640A2">
      <w:pPr>
        <w:pStyle w:val="ListParagraph"/>
        <w:numPr>
          <w:ilvl w:val="0"/>
          <w:numId w:val="31"/>
        </w:num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100% of </w:t>
      </w:r>
      <w:r w:rsidRPr="00154FF3">
        <w:rPr>
          <w:rStyle w:val="Strong"/>
          <w:lang w:val="en-CA"/>
        </w:rPr>
        <w:t>managers</w:t>
      </w:r>
      <w:r w:rsidRPr="00154FF3">
        <w:rPr>
          <w:rFonts w:asciiTheme="minorHAnsi" w:hAnsiTheme="minorHAnsi" w:cstheme="minorHAnsi"/>
          <w:sz w:val="22"/>
          <w:lang w:val="en-CA"/>
        </w:rPr>
        <w:t xml:space="preserve"> agreed that staffing advisors in their organizations provide them with consistent staffing advice, as compared to 89% in similar size organizations and 68.8% across all organizations in the federal public service.</w:t>
      </w:r>
    </w:p>
    <w:p w:rsidR="00595328" w:rsidRPr="00154FF3" w:rsidRDefault="00595328" w:rsidP="005640A2">
      <w:pPr>
        <w:pStyle w:val="ListParagraph"/>
        <w:numPr>
          <w:ilvl w:val="0"/>
          <w:numId w:val="31"/>
        </w:num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90.3% of </w:t>
      </w:r>
      <w:r w:rsidRPr="00154FF3">
        <w:rPr>
          <w:rStyle w:val="Strong"/>
          <w:lang w:val="en-CA"/>
        </w:rPr>
        <w:t>managers</w:t>
      </w:r>
      <w:r w:rsidRPr="00154FF3">
        <w:rPr>
          <w:rFonts w:asciiTheme="minorHAnsi" w:hAnsiTheme="minorHAnsi" w:cstheme="minorHAnsi"/>
          <w:sz w:val="22"/>
          <w:lang w:val="en-CA"/>
        </w:rPr>
        <w:t xml:space="preserve"> agreed that, overall, they were satisfied with the staffing services they received within their organizations, as compared to 82.1% in similar size organizations and 59.4% across all organizations in the federal public service.</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In terms of perceptions on merit, fairness and transparency, 70.2% of employees </w:t>
      </w:r>
      <w:r w:rsidRPr="00154FF3">
        <w:rPr>
          <w:rFonts w:asciiTheme="minorHAnsi" w:eastAsia="Calibri" w:hAnsiTheme="minorHAnsi" w:cstheme="minorHAnsi"/>
          <w:sz w:val="22"/>
          <w:lang w:val="en-CA"/>
        </w:rPr>
        <w:t>agreed that people hired in their work units can do the job, as compared to 69.8% in similar size organizations and 53.8% across all organizations in the public service.</w:t>
      </w:r>
    </w:p>
    <w:p w:rsidR="00595328" w:rsidRPr="00154FF3" w:rsidRDefault="003C2C53" w:rsidP="005640A2">
      <w:pPr>
        <w:pStyle w:val="Heading1"/>
        <w:rPr>
          <w:lang w:val="en-CA"/>
        </w:rPr>
      </w:pPr>
      <w:r w:rsidRPr="00154FF3">
        <w:rPr>
          <w:lang w:val="en-CA"/>
        </w:rPr>
        <w:t>Diversity Profile</w:t>
      </w:r>
      <w:r w:rsidR="00595328" w:rsidRPr="00154FF3">
        <w:rPr>
          <w:lang w:val="en-CA"/>
        </w:rPr>
        <w:t> </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There is currently no data available for 2017-2018. Considering that the number of employees for FCAC as of March 31, 2017 was 98, and that as of March 31, 2018, the total reached 113; as such, the organization submitted its first employment equity annual reports to Parliament in 2018.</w:t>
      </w:r>
    </w:p>
    <w:p w:rsidR="00595328" w:rsidRPr="00154FF3" w:rsidRDefault="003C2C53" w:rsidP="005640A2">
      <w:pPr>
        <w:pStyle w:val="Heading1"/>
        <w:rPr>
          <w:lang w:val="en-CA"/>
        </w:rPr>
      </w:pPr>
      <w:r w:rsidRPr="00154FF3">
        <w:rPr>
          <w:lang w:val="en-CA"/>
        </w:rPr>
        <w:t>Priority Entitlements and V</w:t>
      </w:r>
      <w:r w:rsidR="00595328" w:rsidRPr="00154FF3">
        <w:rPr>
          <w:lang w:val="en-CA"/>
        </w:rPr>
        <w:t>eterans</w:t>
      </w:r>
    </w:p>
    <w:p w:rsidR="00595328" w:rsidRPr="00154FF3" w:rsidRDefault="00595328" w:rsidP="005640A2">
      <w:pPr>
        <w:spacing w:before="120" w:after="120"/>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From April 1, 2018 to July 17, 2019 FCAC appointed 1 person with a priority entitlement (PPE). During that same time period, FCAC made 69 priority clearance requests.</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eastAsiaTheme="minorHAnsi" w:hAnsiTheme="minorHAnsi" w:cstheme="minorHAnsi"/>
          <w:sz w:val="22"/>
          <w:lang w:val="en-CA"/>
        </w:rPr>
        <w:lastRenderedPageBreak/>
        <w:t xml:space="preserve">From the coming into force of the </w:t>
      </w:r>
      <w:r w:rsidRPr="00EA2C27">
        <w:rPr>
          <w:rStyle w:val="Emphasis"/>
          <w:rFonts w:eastAsiaTheme="minorHAnsi"/>
        </w:rPr>
        <w:t>Veterans Hiring Act</w:t>
      </w:r>
      <w:r w:rsidRPr="00154FF3">
        <w:rPr>
          <w:rFonts w:asciiTheme="minorHAnsi" w:eastAsiaTheme="minorHAnsi" w:hAnsiTheme="minorHAnsi" w:cstheme="minorHAnsi"/>
          <w:sz w:val="22"/>
          <w:lang w:val="en-CA"/>
        </w:rPr>
        <w:t xml:space="preserve"> on July 1, 2015 until June 30, 2019, FCAC </w:t>
      </w:r>
      <w:r w:rsidRPr="00154FF3">
        <w:rPr>
          <w:rFonts w:asciiTheme="minorHAnsi" w:hAnsiTheme="minorHAnsi" w:cstheme="minorHAnsi"/>
          <w:sz w:val="22"/>
          <w:lang w:val="en-CA"/>
        </w:rPr>
        <w:t xml:space="preserve">has not appointed </w:t>
      </w:r>
      <w:sdt>
        <w:sdtPr>
          <w:rPr>
            <w:rFonts w:asciiTheme="minorHAnsi" w:hAnsiTheme="minorHAnsi" w:cstheme="minorHAnsi"/>
            <w:sz w:val="22"/>
            <w:lang w:val="en-CA"/>
          </w:rPr>
          <w:id w:val="-975602597"/>
          <w:placeholder>
            <w:docPart w:val="DC3DAF5260F944489885DC043B403146"/>
          </w:placeholder>
          <w15:appearance w15:val="hidden"/>
          <w:text w:multiLine="1"/>
        </w:sdtPr>
        <w:sdtEndPr>
          <w:rPr>
            <w:rFonts w:eastAsia="Arial"/>
          </w:rPr>
        </w:sdtEndPr>
        <w:sdtContent>
          <w:r w:rsidRPr="00154FF3">
            <w:rPr>
              <w:rFonts w:asciiTheme="minorHAnsi" w:hAnsiTheme="minorHAnsi" w:cstheme="minorHAnsi"/>
              <w:sz w:val="22"/>
              <w:lang w:val="en-CA"/>
            </w:rPr>
            <w:t>any</w:t>
          </w:r>
        </w:sdtContent>
      </w:sdt>
      <w:r w:rsidRPr="00154FF3">
        <w:rPr>
          <w:rFonts w:asciiTheme="minorHAnsi" w:hAnsiTheme="minorHAnsi" w:cstheme="minorHAnsi"/>
          <w:sz w:val="22"/>
          <w:lang w:val="en-CA"/>
        </w:rPr>
        <w:t xml:space="preserve"> members of the Canadian Armed Forces released for medical reasons attributable or not attributable to service.</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On August 16, 2019, FCAC had a total of two PPEs; one was a Leave of Absence Returnee priority and the other, was a Reinstatement entitlement.</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As FCAC is a separate agency subject to the PSEA, it does not have the same classification system as </w:t>
      </w:r>
      <w:r w:rsidR="003C2C53" w:rsidRPr="00154FF3">
        <w:rPr>
          <w:rFonts w:asciiTheme="minorHAnsi" w:hAnsiTheme="minorHAnsi" w:cstheme="minorHAnsi"/>
          <w:sz w:val="22"/>
          <w:lang w:val="en-CA"/>
        </w:rPr>
        <w:t>the Core Public Administration.</w:t>
      </w:r>
      <w:r w:rsidRPr="00154FF3">
        <w:rPr>
          <w:rFonts w:asciiTheme="minorHAnsi" w:hAnsiTheme="minorHAnsi" w:cstheme="minorHAnsi"/>
          <w:sz w:val="22"/>
          <w:lang w:val="en-CA"/>
        </w:rPr>
        <w:t xml:space="preserve"> FCAC regularly shares the latest salary scales for their classification to ensure they can match jobs appropriately.</w:t>
      </w:r>
    </w:p>
    <w:p w:rsidR="00595328" w:rsidRPr="00154FF3" w:rsidRDefault="003C2C53" w:rsidP="005640A2">
      <w:pPr>
        <w:pStyle w:val="Heading1"/>
        <w:rPr>
          <w:lang w:val="en-CA"/>
        </w:rPr>
      </w:pPr>
      <w:r w:rsidRPr="00154FF3">
        <w:rPr>
          <w:lang w:val="en-CA"/>
        </w:rPr>
        <w:t>Non-Partisanship in the Public Service</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FCAC’s Designated Political Activities Representative (DPAR) is A</w:t>
      </w:r>
      <w:r w:rsidR="008A285D" w:rsidRPr="00154FF3">
        <w:rPr>
          <w:rFonts w:asciiTheme="minorHAnsi" w:hAnsiTheme="minorHAnsi" w:cstheme="minorHAnsi"/>
          <w:sz w:val="22"/>
          <w:lang w:val="en-CA"/>
        </w:rPr>
        <w:t xml:space="preserve">nnie </w:t>
      </w:r>
      <w:proofErr w:type="spellStart"/>
      <w:r w:rsidR="008A285D" w:rsidRPr="00154FF3">
        <w:rPr>
          <w:rFonts w:asciiTheme="minorHAnsi" w:hAnsiTheme="minorHAnsi" w:cstheme="minorHAnsi"/>
          <w:sz w:val="22"/>
          <w:lang w:val="en-CA"/>
        </w:rPr>
        <w:t>Grenier</w:t>
      </w:r>
      <w:proofErr w:type="spellEnd"/>
      <w:r w:rsidRPr="00154FF3">
        <w:rPr>
          <w:rFonts w:asciiTheme="minorHAnsi" w:hAnsiTheme="minorHAnsi" w:cstheme="minorHAnsi"/>
          <w:sz w:val="22"/>
          <w:lang w:val="en-CA"/>
        </w:rPr>
        <w:t>. The DPAR acts as a liaison with the PSC on matters related to political activities and non-partisanship.</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Since April 1, 2015, the PSC has not processed any federal, provincial, territorial and municipal requests for permission from th</w:t>
      </w:r>
      <w:r w:rsidR="003C2C53" w:rsidRPr="00154FF3">
        <w:rPr>
          <w:rFonts w:asciiTheme="minorHAnsi" w:hAnsiTheme="minorHAnsi" w:cstheme="minorHAnsi"/>
          <w:sz w:val="22"/>
          <w:lang w:val="en-CA"/>
        </w:rPr>
        <w:t>at organization.</w:t>
      </w:r>
    </w:p>
    <w:p w:rsidR="00595328" w:rsidRPr="00154FF3" w:rsidRDefault="00595328" w:rsidP="005640A2">
      <w:pPr>
        <w:spacing w:before="120" w:after="120"/>
        <w:rPr>
          <w:rFonts w:asciiTheme="minorHAnsi" w:hAnsiTheme="minorHAnsi" w:cstheme="minorHAnsi"/>
          <w:sz w:val="22"/>
          <w:szCs w:val="22"/>
          <w:lang w:val="en-CA"/>
        </w:rPr>
      </w:pPr>
      <w:r w:rsidRPr="00154FF3">
        <w:rPr>
          <w:rFonts w:asciiTheme="minorHAnsi" w:hAnsiTheme="minorHAnsi" w:cstheme="minorHAnsi"/>
          <w:sz w:val="22"/>
          <w:lang w:val="en-CA"/>
        </w:rPr>
        <w:t xml:space="preserve">The 2018 Staffing and Non-partisanship Survey results indicate that FCAC employees' level of </w:t>
      </w:r>
      <w:r w:rsidRPr="00154FF3">
        <w:rPr>
          <w:rFonts w:asciiTheme="minorHAnsi" w:hAnsiTheme="minorHAnsi" w:cstheme="minorHAnsi"/>
          <w:sz w:val="22"/>
          <w:szCs w:val="22"/>
          <w:lang w:val="en-CA"/>
        </w:rPr>
        <w:t>awareness regarding their rights and obligations for engaging in political activities is 82.2%, compared to 80.1% for the public service as a wh</w:t>
      </w:r>
      <w:r w:rsidR="003C2C53" w:rsidRPr="00154FF3">
        <w:rPr>
          <w:rFonts w:asciiTheme="minorHAnsi" w:hAnsiTheme="minorHAnsi" w:cstheme="minorHAnsi"/>
          <w:sz w:val="22"/>
          <w:szCs w:val="22"/>
          <w:lang w:val="en-CA"/>
        </w:rPr>
        <w:t>ole.</w:t>
      </w:r>
    </w:p>
    <w:p w:rsidR="00595328" w:rsidRPr="00154FF3" w:rsidRDefault="003C2C53" w:rsidP="00BB485D">
      <w:pPr>
        <w:pStyle w:val="Heading1"/>
        <w:rPr>
          <w:lang w:val="en-CA"/>
        </w:rPr>
      </w:pPr>
      <w:r w:rsidRPr="00154FF3">
        <w:rPr>
          <w:lang w:val="en-CA"/>
        </w:rPr>
        <w:t>P</w:t>
      </w:r>
      <w:r w:rsidR="003643BA" w:rsidRPr="00154FF3">
        <w:rPr>
          <w:lang w:val="en-CA"/>
        </w:rPr>
        <w:t xml:space="preserve">ublic </w:t>
      </w:r>
      <w:r w:rsidRPr="00154FF3">
        <w:rPr>
          <w:lang w:val="en-CA"/>
        </w:rPr>
        <w:t>S</w:t>
      </w:r>
      <w:r w:rsidR="003643BA" w:rsidRPr="00154FF3">
        <w:rPr>
          <w:lang w:val="en-CA"/>
        </w:rPr>
        <w:t xml:space="preserve">ervice </w:t>
      </w:r>
      <w:r w:rsidRPr="00154FF3">
        <w:rPr>
          <w:lang w:val="en-CA"/>
        </w:rPr>
        <w:t>C</w:t>
      </w:r>
      <w:r w:rsidR="003643BA" w:rsidRPr="00154FF3">
        <w:rPr>
          <w:lang w:val="en-CA"/>
        </w:rPr>
        <w:t>ommission</w:t>
      </w:r>
      <w:r w:rsidRPr="00154FF3">
        <w:rPr>
          <w:lang w:val="en-CA"/>
        </w:rPr>
        <w:t xml:space="preserve"> Initiatives</w:t>
      </w:r>
    </w:p>
    <w:p w:rsidR="00595328"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FCAC is not part of any PSC-led initiatives.</w:t>
      </w:r>
    </w:p>
    <w:p w:rsidR="00595328" w:rsidRPr="00154FF3" w:rsidRDefault="00B17E2A" w:rsidP="003643BA">
      <w:pPr>
        <w:pStyle w:val="Heading1"/>
        <w:spacing w:after="120"/>
        <w:rPr>
          <w:lang w:val="en-CA"/>
        </w:rPr>
      </w:pPr>
      <w:r w:rsidRPr="00154FF3">
        <w:rPr>
          <w:lang w:val="en-CA"/>
        </w:rPr>
        <w:t>S</w:t>
      </w:r>
      <w:r w:rsidR="003C2C53" w:rsidRPr="00154FF3">
        <w:rPr>
          <w:lang w:val="en-CA"/>
        </w:rPr>
        <w:t>taffing S</w:t>
      </w:r>
      <w:r w:rsidR="00595328" w:rsidRPr="00154FF3">
        <w:rPr>
          <w:lang w:val="en-CA"/>
        </w:rPr>
        <w:t>upport</w:t>
      </w:r>
    </w:p>
    <w:p w:rsidR="003643BA" w:rsidRPr="00154FF3" w:rsidRDefault="00022CDF" w:rsidP="003643BA">
      <w:pPr>
        <w:pStyle w:val="Heading2"/>
        <w:spacing w:after="120"/>
        <w:rPr>
          <w:u w:val="single"/>
          <w:lang w:val="en-CA"/>
        </w:rPr>
      </w:pPr>
      <w:r>
        <w:rPr>
          <w:lang w:val="en-CA"/>
        </w:rPr>
        <w:t>Public Service</w:t>
      </w:r>
      <w:r w:rsidR="003643BA" w:rsidRPr="00154FF3">
        <w:rPr>
          <w:lang w:val="en-CA"/>
        </w:rPr>
        <w:t xml:space="preserve"> Commission Representatives and Organizational Contacts</w:t>
      </w:r>
    </w:p>
    <w:p w:rsidR="007E51AB" w:rsidRPr="00154FF3" w:rsidRDefault="00595328" w:rsidP="005640A2">
      <w:pPr>
        <w:spacing w:before="120" w:after="120"/>
        <w:rPr>
          <w:rFonts w:asciiTheme="minorHAnsi" w:hAnsiTheme="minorHAnsi" w:cstheme="minorHAnsi"/>
          <w:sz w:val="22"/>
          <w:lang w:val="en-CA"/>
        </w:rPr>
      </w:pPr>
      <w:r w:rsidRPr="00154FF3">
        <w:rPr>
          <w:rFonts w:asciiTheme="minorHAnsi" w:hAnsiTheme="minorHAnsi" w:cstheme="minorHAnsi"/>
          <w:sz w:val="22"/>
          <w:lang w:val="en-CA"/>
        </w:rPr>
        <w:t xml:space="preserve">The SSA assigned to this organization is Gaétane Clément and the primary organizational contact is Julie </w:t>
      </w:r>
      <w:proofErr w:type="spellStart"/>
      <w:r w:rsidRPr="00154FF3">
        <w:rPr>
          <w:rFonts w:asciiTheme="minorHAnsi" w:hAnsiTheme="minorHAnsi" w:cstheme="minorHAnsi"/>
          <w:sz w:val="22"/>
          <w:lang w:val="en-CA"/>
        </w:rPr>
        <w:t>Guillerm-Therrien</w:t>
      </w:r>
      <w:proofErr w:type="spellEnd"/>
      <w:r w:rsidRPr="00154FF3">
        <w:rPr>
          <w:rFonts w:asciiTheme="minorHAnsi" w:hAnsiTheme="minorHAnsi" w:cstheme="minorHAnsi"/>
          <w:sz w:val="22"/>
          <w:lang w:val="en-CA"/>
        </w:rPr>
        <w:t xml:space="preserve">, Manager Human Resources Operations. Ms. Julie </w:t>
      </w:r>
      <w:proofErr w:type="spellStart"/>
      <w:r w:rsidRPr="00154FF3">
        <w:rPr>
          <w:rFonts w:asciiTheme="minorHAnsi" w:hAnsiTheme="minorHAnsi" w:cstheme="minorHAnsi"/>
          <w:sz w:val="22"/>
          <w:lang w:val="en-CA"/>
        </w:rPr>
        <w:t>Neveu</w:t>
      </w:r>
      <w:proofErr w:type="spellEnd"/>
      <w:r w:rsidRPr="00154FF3">
        <w:rPr>
          <w:rFonts w:asciiTheme="minorHAnsi" w:hAnsiTheme="minorHAnsi" w:cstheme="minorHAnsi"/>
          <w:sz w:val="22"/>
          <w:lang w:val="en-CA"/>
        </w:rPr>
        <w:t xml:space="preserve"> is the Chief Human Resources Officer for FCAC. To be noted that Ms. </w:t>
      </w:r>
      <w:proofErr w:type="spellStart"/>
      <w:r w:rsidRPr="00154FF3">
        <w:rPr>
          <w:rFonts w:asciiTheme="minorHAnsi" w:hAnsiTheme="minorHAnsi" w:cstheme="minorHAnsi"/>
          <w:sz w:val="22"/>
          <w:lang w:val="en-CA"/>
        </w:rPr>
        <w:t>Neveu</w:t>
      </w:r>
      <w:proofErr w:type="spellEnd"/>
      <w:r w:rsidRPr="00154FF3">
        <w:rPr>
          <w:rFonts w:asciiTheme="minorHAnsi" w:hAnsiTheme="minorHAnsi" w:cstheme="minorHAnsi"/>
          <w:sz w:val="22"/>
          <w:lang w:val="en-CA"/>
        </w:rPr>
        <w:t xml:space="preserve"> has won the Michelle C. </w:t>
      </w:r>
      <w:proofErr w:type="spellStart"/>
      <w:r w:rsidRPr="00154FF3">
        <w:rPr>
          <w:rFonts w:asciiTheme="minorHAnsi" w:hAnsiTheme="minorHAnsi" w:cstheme="minorHAnsi"/>
          <w:sz w:val="22"/>
          <w:lang w:val="en-CA"/>
        </w:rPr>
        <w:t>Comeau</w:t>
      </w:r>
      <w:proofErr w:type="spellEnd"/>
      <w:r w:rsidRPr="00154FF3">
        <w:rPr>
          <w:rFonts w:asciiTheme="minorHAnsi" w:hAnsiTheme="minorHAnsi" w:cstheme="minorHAnsi"/>
          <w:sz w:val="22"/>
          <w:lang w:val="en-CA"/>
        </w:rPr>
        <w:t xml:space="preserve"> Award for excellence in HR leadership last year.</w:t>
      </w:r>
    </w:p>
    <w:p w:rsidR="00B17E2A" w:rsidRPr="00154FF3" w:rsidRDefault="00B17E2A" w:rsidP="007E51AB">
      <w:pPr>
        <w:pStyle w:val="Heading2"/>
        <w:rPr>
          <w:lang w:val="en-CA"/>
        </w:rPr>
      </w:pPr>
      <w:r w:rsidRPr="00154FF3">
        <w:rPr>
          <w:lang w:val="en-CA"/>
        </w:rPr>
        <w:br w:type="page"/>
      </w:r>
    </w:p>
    <w:p w:rsidR="00BB485D" w:rsidRPr="00154FF3" w:rsidRDefault="00BB485D" w:rsidP="00BB485D">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59" w:lineRule="auto"/>
        <w:rPr>
          <w:rStyle w:val="Strong"/>
          <w:rFonts w:eastAsiaTheme="minorHAnsi"/>
          <w:lang w:val="en-CA"/>
        </w:rPr>
      </w:pPr>
      <w:r w:rsidRPr="00154FF3">
        <w:rPr>
          <w:rStyle w:val="Strong"/>
          <w:rFonts w:eastAsiaTheme="minorHAnsi"/>
          <w:lang w:val="en-CA"/>
        </w:rPr>
        <w:lastRenderedPageBreak/>
        <w:t>PREPARED BY:</w:t>
      </w:r>
    </w:p>
    <w:p w:rsidR="00BB485D" w:rsidRPr="00154FF3" w:rsidRDefault="00BB485D" w:rsidP="00BB485D">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60" w:line="259" w:lineRule="auto"/>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 xml:space="preserve">Gaétane Clément, </w:t>
      </w:r>
    </w:p>
    <w:p w:rsidR="00BB485D" w:rsidRPr="00154FF3" w:rsidRDefault="00BB485D" w:rsidP="00BB485D">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Staffing Support Advisor</w:t>
      </w:r>
    </w:p>
    <w:p w:rsidR="00BB485D" w:rsidRPr="00154FF3" w:rsidRDefault="00BB485D" w:rsidP="00BB4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CA"/>
        </w:rPr>
      </w:pPr>
      <w:r w:rsidRPr="00154FF3">
        <w:rPr>
          <w:rFonts w:asciiTheme="minorHAnsi" w:hAnsiTheme="minorHAnsi" w:cstheme="minorHAnsi"/>
          <w:sz w:val="22"/>
          <w:szCs w:val="22"/>
          <w:lang w:val="en-CA"/>
        </w:rPr>
        <w:t>Annexes:</w:t>
      </w:r>
    </w:p>
    <w:p w:rsidR="00595328" w:rsidRPr="00154FF3" w:rsidRDefault="005E300F" w:rsidP="00BB485D">
      <w:pPr>
        <w:pStyle w:val="ListParagraph"/>
        <w:numPr>
          <w:ilvl w:val="0"/>
          <w:numId w:val="34"/>
        </w:numPr>
        <w:spacing w:before="120" w:after="120"/>
        <w:rPr>
          <w:rStyle w:val="Hyperlink"/>
          <w:rFonts w:asciiTheme="minorHAnsi" w:hAnsiTheme="minorHAnsi" w:cstheme="minorHAnsi"/>
          <w:sz w:val="22"/>
          <w:szCs w:val="22"/>
          <w:lang w:val="en-CA"/>
        </w:rPr>
      </w:pPr>
      <w:r w:rsidRPr="00154FF3">
        <w:rPr>
          <w:rStyle w:val="Hyperlink"/>
          <w:rFonts w:asciiTheme="minorHAnsi" w:hAnsiTheme="minorHAnsi" w:cstheme="minorHAnsi"/>
          <w:sz w:val="22"/>
          <w:szCs w:val="22"/>
          <w:lang w:val="en-CA"/>
        </w:rPr>
        <w:fldChar w:fldCharType="begin"/>
      </w:r>
      <w:r w:rsidRPr="00154FF3">
        <w:rPr>
          <w:rStyle w:val="Hyperlink"/>
          <w:rFonts w:asciiTheme="minorHAnsi" w:hAnsiTheme="minorHAnsi" w:cstheme="minorHAnsi"/>
          <w:sz w:val="22"/>
          <w:szCs w:val="22"/>
          <w:lang w:val="en-CA"/>
        </w:rPr>
        <w:instrText xml:space="preserve"> HYPERLINK  \l "AnnexA" </w:instrText>
      </w:r>
      <w:r w:rsidRPr="00154FF3">
        <w:rPr>
          <w:rStyle w:val="Hyperlink"/>
          <w:rFonts w:asciiTheme="minorHAnsi" w:hAnsiTheme="minorHAnsi" w:cstheme="minorHAnsi"/>
          <w:sz w:val="22"/>
          <w:szCs w:val="22"/>
          <w:lang w:val="en-CA"/>
        </w:rPr>
        <w:fldChar w:fldCharType="separate"/>
      </w:r>
      <w:r w:rsidRPr="00154FF3">
        <w:rPr>
          <w:rStyle w:val="Hyperlink"/>
          <w:rFonts w:asciiTheme="minorHAnsi" w:hAnsiTheme="minorHAnsi" w:cstheme="minorHAnsi"/>
          <w:sz w:val="22"/>
          <w:szCs w:val="22"/>
          <w:lang w:val="en-CA"/>
        </w:rPr>
        <w:t>Annex A</w:t>
      </w:r>
      <w:r w:rsidR="00235D16" w:rsidRPr="00154FF3">
        <w:rPr>
          <w:rStyle w:val="Hyperlink"/>
          <w:rFonts w:asciiTheme="minorHAnsi" w:hAnsiTheme="minorHAnsi" w:cstheme="minorHAnsi"/>
          <w:sz w:val="22"/>
          <w:szCs w:val="22"/>
          <w:lang w:val="en-CA"/>
        </w:rPr>
        <w:t xml:space="preserve"> – The</w:t>
      </w:r>
      <w:r w:rsidR="00595328" w:rsidRPr="00154FF3">
        <w:rPr>
          <w:rStyle w:val="Hyperlink"/>
          <w:rFonts w:asciiTheme="minorHAnsi" w:hAnsiTheme="minorHAnsi" w:cstheme="minorHAnsi"/>
          <w:sz w:val="22"/>
          <w:szCs w:val="22"/>
          <w:lang w:val="en-CA"/>
        </w:rPr>
        <w:t xml:space="preserve"> New Direction in Staffing</w:t>
      </w:r>
      <w:r w:rsidR="00EA2C27">
        <w:rPr>
          <w:rStyle w:val="Hyperlink"/>
          <w:rFonts w:asciiTheme="minorHAnsi" w:hAnsiTheme="minorHAnsi" w:cstheme="minorHAnsi"/>
          <w:sz w:val="22"/>
          <w:szCs w:val="22"/>
          <w:lang w:val="en-CA"/>
        </w:rPr>
        <w:t xml:space="preserve"> (NDS)</w:t>
      </w:r>
      <w:r w:rsidR="00595328" w:rsidRPr="00154FF3">
        <w:rPr>
          <w:rStyle w:val="Hyperlink"/>
          <w:rFonts w:asciiTheme="minorHAnsi" w:hAnsiTheme="minorHAnsi" w:cstheme="minorHAnsi"/>
          <w:sz w:val="22"/>
          <w:szCs w:val="22"/>
          <w:lang w:val="en-CA"/>
        </w:rPr>
        <w:t xml:space="preserve"> highlights for </w:t>
      </w:r>
      <w:r w:rsidR="00EA2C27">
        <w:rPr>
          <w:rStyle w:val="Hyperlink"/>
          <w:rFonts w:asciiTheme="minorHAnsi" w:hAnsiTheme="minorHAnsi" w:cstheme="minorHAnsi"/>
          <w:sz w:val="22"/>
          <w:szCs w:val="22"/>
          <w:lang w:val="en-CA"/>
        </w:rPr>
        <w:t>DH</w:t>
      </w:r>
      <w:r w:rsidR="00595328" w:rsidRPr="00154FF3">
        <w:rPr>
          <w:rStyle w:val="Hyperlink"/>
          <w:rFonts w:asciiTheme="minorHAnsi" w:hAnsiTheme="minorHAnsi" w:cstheme="minorHAnsi"/>
          <w:sz w:val="22"/>
          <w:szCs w:val="22"/>
          <w:lang w:val="en-CA"/>
        </w:rPr>
        <w:t xml:space="preserve">s </w:t>
      </w:r>
    </w:p>
    <w:p w:rsidR="00C72CBA" w:rsidRPr="00154FF3" w:rsidRDefault="005E300F" w:rsidP="00BB485D">
      <w:pPr>
        <w:pStyle w:val="ListParagraph"/>
        <w:numPr>
          <w:ilvl w:val="0"/>
          <w:numId w:val="34"/>
        </w:numPr>
        <w:spacing w:before="120" w:after="120"/>
        <w:rPr>
          <w:rFonts w:asciiTheme="minorHAnsi" w:hAnsiTheme="minorHAnsi" w:cstheme="minorHAnsi"/>
          <w:sz w:val="22"/>
          <w:szCs w:val="22"/>
          <w:lang w:val="en-CA"/>
        </w:rPr>
      </w:pPr>
      <w:r w:rsidRPr="00154FF3">
        <w:rPr>
          <w:rStyle w:val="Hyperlink"/>
          <w:rFonts w:asciiTheme="minorHAnsi" w:hAnsiTheme="minorHAnsi" w:cstheme="minorHAnsi"/>
          <w:sz w:val="22"/>
          <w:szCs w:val="22"/>
          <w:lang w:val="en-CA"/>
        </w:rPr>
        <w:fldChar w:fldCharType="end"/>
      </w:r>
      <w:hyperlink w:anchor="AnnexB" w:history="1">
        <w:r w:rsidRPr="00154FF3">
          <w:rPr>
            <w:rStyle w:val="Hyperlink"/>
            <w:rFonts w:asciiTheme="minorHAnsi" w:hAnsiTheme="minorHAnsi" w:cstheme="minorHAnsi"/>
            <w:sz w:val="22"/>
            <w:szCs w:val="22"/>
            <w:lang w:val="en-CA"/>
          </w:rPr>
          <w:t>Annex B</w:t>
        </w:r>
        <w:r w:rsidR="00595328" w:rsidRPr="00154FF3">
          <w:rPr>
            <w:rStyle w:val="Hyperlink"/>
            <w:rFonts w:asciiTheme="minorHAnsi" w:hAnsiTheme="minorHAnsi" w:cstheme="minorHAnsi"/>
            <w:sz w:val="22"/>
            <w:szCs w:val="22"/>
            <w:lang w:val="en-CA"/>
          </w:rPr>
          <w:t xml:space="preserve"> - Data on Population </w:t>
        </w:r>
        <w:r w:rsidR="00D4223B" w:rsidRPr="00154FF3">
          <w:rPr>
            <w:rStyle w:val="Hyperlink"/>
            <w:rFonts w:asciiTheme="minorHAnsi" w:hAnsiTheme="minorHAnsi" w:cstheme="minorHAnsi"/>
            <w:sz w:val="22"/>
            <w:szCs w:val="22"/>
            <w:lang w:val="en-CA"/>
          </w:rPr>
          <w:t>and Staffing Activities</w:t>
        </w:r>
      </w:hyperlink>
      <w:r w:rsidR="00C72CBA" w:rsidRPr="00154FF3">
        <w:rPr>
          <w:rFonts w:asciiTheme="minorHAnsi" w:hAnsiTheme="minorHAnsi" w:cstheme="minorHAnsi"/>
          <w:sz w:val="22"/>
          <w:szCs w:val="22"/>
          <w:lang w:val="en-CA"/>
        </w:rPr>
        <w:br w:type="page"/>
      </w:r>
    </w:p>
    <w:p w:rsidR="00595328" w:rsidRPr="00154FF3" w:rsidRDefault="005E300F" w:rsidP="00C72CBA">
      <w:pPr>
        <w:pStyle w:val="Heading3"/>
        <w:jc w:val="right"/>
        <w:rPr>
          <w:lang w:val="en-CA"/>
        </w:rPr>
      </w:pPr>
      <w:bookmarkStart w:id="1" w:name="AnnexC"/>
      <w:bookmarkStart w:id="2" w:name="AnnexA"/>
      <w:r w:rsidRPr="00154FF3">
        <w:rPr>
          <w:lang w:val="en-CA"/>
        </w:rPr>
        <w:lastRenderedPageBreak/>
        <w:t>Annex A</w:t>
      </w:r>
    </w:p>
    <w:bookmarkEnd w:id="1"/>
    <w:bookmarkEnd w:id="2"/>
    <w:p w:rsidR="00C72CBA" w:rsidRPr="00154FF3" w:rsidRDefault="00C72CBA" w:rsidP="00C72CBA">
      <w:pPr>
        <w:pStyle w:val="Heading2"/>
        <w:jc w:val="center"/>
        <w:rPr>
          <w:lang w:val="en-CA"/>
        </w:rPr>
      </w:pPr>
      <w:r w:rsidRPr="00154FF3">
        <w:rPr>
          <w:lang w:val="en-CA"/>
        </w:rPr>
        <w:t>A New direction in Staffing – A merit-based system that is effective, efficient and fair</w:t>
      </w:r>
    </w:p>
    <w:p w:rsidR="00C72CBA" w:rsidRPr="00154FF3" w:rsidRDefault="00C72CBA" w:rsidP="00C72CBA">
      <w:pPr>
        <w:pStyle w:val="Heading3"/>
        <w:spacing w:after="120"/>
        <w:rPr>
          <w:lang w:val="en-CA"/>
        </w:rPr>
      </w:pPr>
      <w:r w:rsidRPr="00154FF3">
        <w:rPr>
          <w:lang w:val="en-CA"/>
        </w:rPr>
        <w:t>Appointment Policy</w:t>
      </w:r>
    </w:p>
    <w:p w:rsidR="00C72CBA" w:rsidRPr="00154FF3" w:rsidRDefault="00C72CBA" w:rsidP="00C72CBA">
      <w:pPr>
        <w:keepLines/>
        <w:tabs>
          <w:tab w:val="center" w:pos="4680"/>
          <w:tab w:val="right" w:pos="9360"/>
        </w:tabs>
        <w:rPr>
          <w:rFonts w:asciiTheme="minorHAnsi" w:eastAsiaTheme="minorHAnsi" w:hAnsiTheme="minorHAnsi" w:cstheme="minorHAnsi"/>
          <w:noProof/>
          <w:sz w:val="22"/>
          <w:szCs w:val="22"/>
          <w:lang w:val="en-CA" w:eastAsia="en-CA"/>
        </w:rPr>
      </w:pPr>
      <w:r w:rsidRPr="00154FF3">
        <w:rPr>
          <w:rStyle w:val="Strong"/>
          <w:rFonts w:eastAsiaTheme="minorHAnsi" w:cstheme="minorHAnsi"/>
          <w:szCs w:val="22"/>
          <w:lang w:val="en-CA"/>
        </w:rPr>
        <w:t>New focus on core requirements</w:t>
      </w:r>
      <w:r w:rsidRPr="00154FF3">
        <w:rPr>
          <w:rFonts w:asciiTheme="minorHAnsi" w:eastAsiaTheme="minorHAnsi" w:hAnsiTheme="minorHAnsi" w:cstheme="minorHAnsi"/>
          <w:noProof/>
          <w:sz w:val="22"/>
          <w:szCs w:val="22"/>
          <w:lang w:val="en-CA" w:eastAsia="en-CA"/>
        </w:rPr>
        <w:t xml:space="preserve"> to provide sub-delegated persons greater discretion in making an appointment</w:t>
      </w:r>
    </w:p>
    <w:p w:rsidR="00C72CBA" w:rsidRPr="00154FF3" w:rsidRDefault="00C72CBA" w:rsidP="00C72CBA">
      <w:pPr>
        <w:keepLines/>
        <w:numPr>
          <w:ilvl w:val="0"/>
          <w:numId w:val="19"/>
        </w:numPr>
        <w:tabs>
          <w:tab w:val="center" w:pos="4680"/>
          <w:tab w:val="right" w:pos="9360"/>
        </w:tabs>
        <w:rPr>
          <w:rFonts w:asciiTheme="minorHAnsi" w:eastAsiaTheme="minorHAnsi" w:hAnsiTheme="minorHAnsi" w:cstheme="minorHAnsi"/>
          <w:sz w:val="22"/>
          <w:szCs w:val="22"/>
          <w:lang w:val="en-CA"/>
        </w:rPr>
      </w:pPr>
      <w:r w:rsidRPr="00154FF3">
        <w:rPr>
          <w:rStyle w:val="Strong"/>
          <w:rFonts w:eastAsiaTheme="minorHAnsi" w:cstheme="minorHAnsi"/>
          <w:szCs w:val="22"/>
          <w:lang w:val="en-CA"/>
        </w:rPr>
        <w:t>One Appointment Policy</w:t>
      </w:r>
      <w:r w:rsidRPr="00154FF3">
        <w:rPr>
          <w:rFonts w:asciiTheme="minorHAnsi" w:eastAsiaTheme="minorHAnsi" w:hAnsiTheme="minorHAnsi" w:cstheme="minorHAnsi"/>
          <w:sz w:val="22"/>
          <w:szCs w:val="22"/>
          <w:lang w:val="en-CA"/>
        </w:rPr>
        <w:t>, no duplication with legal requirements</w:t>
      </w:r>
    </w:p>
    <w:p w:rsidR="00C72CBA" w:rsidRPr="00154FF3" w:rsidRDefault="00C72CBA" w:rsidP="00C72CBA">
      <w:pPr>
        <w:keepLines/>
        <w:numPr>
          <w:ilvl w:val="0"/>
          <w:numId w:val="19"/>
        </w:numPr>
        <w:tabs>
          <w:tab w:val="center" w:pos="4680"/>
          <w:tab w:val="right" w:pos="9360"/>
        </w:tabs>
        <w:rPr>
          <w:rFonts w:asciiTheme="minorHAnsi" w:eastAsiaTheme="minorHAnsi" w:hAnsiTheme="minorHAnsi" w:cstheme="minorHAnsi"/>
          <w:sz w:val="22"/>
          <w:szCs w:val="22"/>
          <w:lang w:val="en-CA"/>
        </w:rPr>
      </w:pPr>
      <w:r w:rsidRPr="00154FF3">
        <w:rPr>
          <w:rStyle w:val="Strong"/>
          <w:rFonts w:eastAsiaTheme="minorHAnsi" w:cstheme="minorHAnsi"/>
          <w:szCs w:val="22"/>
          <w:lang w:val="en-CA"/>
        </w:rPr>
        <w:t>Broader focus on values-based system</w:t>
      </w:r>
      <w:r w:rsidRPr="00154FF3">
        <w:rPr>
          <w:rFonts w:asciiTheme="minorHAnsi" w:eastAsiaTheme="minorHAnsi" w:hAnsiTheme="minorHAnsi" w:cstheme="minorBidi"/>
          <w:bCs/>
          <w:sz w:val="22"/>
          <w:szCs w:val="22"/>
          <w:lang w:val="en-CA"/>
        </w:rPr>
        <w:t>,</w:t>
      </w:r>
      <w:r w:rsidRPr="00154FF3">
        <w:rPr>
          <w:rFonts w:asciiTheme="minorHAnsi" w:eastAsiaTheme="minorHAnsi" w:hAnsiTheme="minorHAnsi" w:cstheme="minorHAnsi"/>
          <w:sz w:val="22"/>
          <w:szCs w:val="22"/>
          <w:lang w:val="en-CA"/>
        </w:rPr>
        <w:t xml:space="preserve"> away from rules-based system</w:t>
      </w:r>
    </w:p>
    <w:p w:rsidR="00C72CBA" w:rsidRPr="00154FF3" w:rsidRDefault="00C72CBA" w:rsidP="00C72CBA">
      <w:pPr>
        <w:keepLines/>
        <w:numPr>
          <w:ilvl w:val="0"/>
          <w:numId w:val="19"/>
        </w:numPr>
        <w:tabs>
          <w:tab w:val="center" w:pos="4680"/>
          <w:tab w:val="right" w:pos="9360"/>
        </w:tabs>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 xml:space="preserve">Appointments Policy supported by </w:t>
      </w:r>
      <w:r w:rsidRPr="00154FF3">
        <w:rPr>
          <w:rStyle w:val="Strong"/>
          <w:rFonts w:eastAsiaTheme="minorHAnsi" w:cstheme="minorHAnsi"/>
          <w:szCs w:val="22"/>
          <w:lang w:val="en-CA"/>
        </w:rPr>
        <w:t>streamlined guidance:</w:t>
      </w:r>
    </w:p>
    <w:p w:rsidR="00C72CBA" w:rsidRPr="00154FF3" w:rsidRDefault="00C72CBA" w:rsidP="00C72CBA">
      <w:pPr>
        <w:keepLines/>
        <w:numPr>
          <w:ilvl w:val="1"/>
          <w:numId w:val="26"/>
        </w:numPr>
        <w:tabs>
          <w:tab w:val="center" w:pos="4680"/>
          <w:tab w:val="right" w:pos="9360"/>
        </w:tabs>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A roadmap to the requirements in legislation, regulations and policy</w:t>
      </w:r>
    </w:p>
    <w:p w:rsidR="00C72CBA" w:rsidRPr="00154FF3" w:rsidRDefault="00C72CBA" w:rsidP="00C72CBA">
      <w:pPr>
        <w:keepLines/>
        <w:numPr>
          <w:ilvl w:val="1"/>
          <w:numId w:val="26"/>
        </w:numPr>
        <w:tabs>
          <w:tab w:val="center" w:pos="4680"/>
          <w:tab w:val="right" w:pos="9360"/>
        </w:tabs>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Options and considerations for decision-making where there is discretion</w:t>
      </w:r>
    </w:p>
    <w:p w:rsidR="00C72CBA" w:rsidRPr="00154FF3" w:rsidRDefault="00C72CBA" w:rsidP="00C72CBA">
      <w:pPr>
        <w:keepLines/>
        <w:numPr>
          <w:ilvl w:val="0"/>
          <w:numId w:val="20"/>
        </w:numPr>
        <w:tabs>
          <w:tab w:val="center" w:pos="4680"/>
          <w:tab w:val="right" w:pos="9360"/>
        </w:tabs>
        <w:rPr>
          <w:rFonts w:asciiTheme="minorHAnsi" w:eastAsiaTheme="minorHAnsi" w:hAnsiTheme="minorHAnsi" w:cstheme="minorHAnsi"/>
          <w:sz w:val="22"/>
          <w:szCs w:val="22"/>
          <w:lang w:val="en-CA"/>
        </w:rPr>
      </w:pPr>
      <w:r w:rsidRPr="00154FF3">
        <w:rPr>
          <w:rStyle w:val="Strong"/>
          <w:rFonts w:eastAsiaTheme="minorHAnsi" w:cstheme="minorHAnsi"/>
          <w:szCs w:val="22"/>
          <w:lang w:val="en-CA"/>
        </w:rPr>
        <w:t>Clear expectations</w:t>
      </w:r>
      <w:r w:rsidRPr="00154FF3">
        <w:rPr>
          <w:rFonts w:asciiTheme="minorHAnsi" w:eastAsiaTheme="minorHAnsi" w:hAnsiTheme="minorHAnsi" w:cstheme="minorHAnsi"/>
          <w:sz w:val="22"/>
          <w:szCs w:val="22"/>
          <w:lang w:val="en-CA"/>
        </w:rPr>
        <w:t xml:space="preserve"> for priority entitlements</w:t>
      </w:r>
    </w:p>
    <w:p w:rsidR="00C72CBA" w:rsidRPr="00154FF3" w:rsidRDefault="00C72CBA" w:rsidP="00C72CBA">
      <w:pPr>
        <w:keepLines/>
        <w:numPr>
          <w:ilvl w:val="0"/>
          <w:numId w:val="20"/>
        </w:numPr>
        <w:tabs>
          <w:tab w:val="center" w:pos="4680"/>
          <w:tab w:val="right" w:pos="9360"/>
        </w:tabs>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No restrictions to assessment methods for EX appointments</w:t>
      </w:r>
    </w:p>
    <w:p w:rsidR="00C72CBA" w:rsidRPr="00154FF3" w:rsidRDefault="00C72CBA" w:rsidP="00C72CBA">
      <w:pPr>
        <w:keepLines/>
        <w:numPr>
          <w:ilvl w:val="0"/>
          <w:numId w:val="20"/>
        </w:numPr>
        <w:tabs>
          <w:tab w:val="center" w:pos="4680"/>
          <w:tab w:val="right" w:pos="9360"/>
        </w:tabs>
        <w:spacing w:after="240"/>
        <w:ind w:left="714" w:hanging="357"/>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Exceptions to National Area of Selection approved by deputy head</w:t>
      </w:r>
    </w:p>
    <w:p w:rsidR="00C72CBA" w:rsidRPr="00154FF3" w:rsidRDefault="00C72CBA" w:rsidP="00C72CBA">
      <w:pPr>
        <w:pStyle w:val="Heading3"/>
        <w:spacing w:after="120"/>
        <w:rPr>
          <w:lang w:val="en-CA"/>
        </w:rPr>
      </w:pPr>
      <w:r w:rsidRPr="00154FF3">
        <w:rPr>
          <w:lang w:val="en-CA"/>
        </w:rPr>
        <w:t>Delegation</w:t>
      </w:r>
    </w:p>
    <w:p w:rsidR="00C72CBA" w:rsidRPr="00154FF3" w:rsidRDefault="00C72CBA" w:rsidP="00C72CBA">
      <w:pPr>
        <w:keepLines/>
        <w:numPr>
          <w:ilvl w:val="0"/>
          <w:numId w:val="22"/>
        </w:numPr>
        <w:spacing w:after="320" w:line="259" w:lineRule="auto"/>
        <w:contextualSpacing/>
        <w:rPr>
          <w:rFonts w:asciiTheme="minorHAnsi" w:eastAsiaTheme="minorHAnsi" w:hAnsiTheme="minorHAnsi" w:cstheme="minorBidi"/>
          <w:sz w:val="22"/>
          <w:szCs w:val="22"/>
          <w:lang w:val="en-CA"/>
        </w:rPr>
      </w:pPr>
      <w:r w:rsidRPr="00154FF3">
        <w:rPr>
          <w:rStyle w:val="Strong"/>
          <w:rFonts w:eastAsiaTheme="minorHAnsi" w:cstheme="minorHAnsi"/>
          <w:lang w:val="en-CA"/>
        </w:rPr>
        <w:t>New ability to customize organizational staffing system</w:t>
      </w:r>
      <w:r w:rsidRPr="00154FF3">
        <w:rPr>
          <w:rFonts w:asciiTheme="minorHAnsi" w:eastAsiaTheme="minorHAnsi" w:hAnsiTheme="minorHAnsi" w:cstheme="minorBidi"/>
          <w:sz w:val="22"/>
          <w:szCs w:val="22"/>
          <w:lang w:val="en-CA"/>
        </w:rPr>
        <w:t xml:space="preserve"> based on unique context and evolving business needs</w:t>
      </w:r>
    </w:p>
    <w:p w:rsidR="00C72CBA" w:rsidRPr="00154FF3" w:rsidRDefault="00C72CBA" w:rsidP="00C72CBA">
      <w:pPr>
        <w:keepLines/>
        <w:numPr>
          <w:ilvl w:val="0"/>
          <w:numId w:val="21"/>
        </w:numPr>
        <w:spacing w:after="320" w:line="259" w:lineRule="auto"/>
        <w:contextualSpacing/>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 xml:space="preserve">Deputy head establish a direction on the </w:t>
      </w:r>
      <w:r w:rsidRPr="00154FF3">
        <w:rPr>
          <w:rStyle w:val="Strong"/>
          <w:rFonts w:eastAsiaTheme="minorHAnsi" w:cstheme="minorHAnsi"/>
          <w:lang w:val="en-CA"/>
        </w:rPr>
        <w:t>use of advertised and non-advertised</w:t>
      </w:r>
      <w:r w:rsidRPr="00154FF3">
        <w:rPr>
          <w:rFonts w:asciiTheme="minorHAnsi" w:eastAsiaTheme="minorHAnsi" w:hAnsiTheme="minorHAnsi" w:cstheme="minorBidi"/>
          <w:sz w:val="20"/>
          <w:szCs w:val="22"/>
          <w:lang w:val="en-CA"/>
        </w:rPr>
        <w:t xml:space="preserve"> </w:t>
      </w:r>
      <w:r w:rsidRPr="00154FF3">
        <w:rPr>
          <w:rFonts w:asciiTheme="minorHAnsi" w:eastAsiaTheme="minorHAnsi" w:hAnsiTheme="minorHAnsi" w:cstheme="minorBidi"/>
          <w:sz w:val="22"/>
          <w:szCs w:val="22"/>
          <w:lang w:val="en-CA"/>
        </w:rPr>
        <w:t>appointment processes</w:t>
      </w:r>
    </w:p>
    <w:p w:rsidR="00C72CBA" w:rsidRPr="00154FF3" w:rsidRDefault="00C72CBA" w:rsidP="00C72CBA">
      <w:pPr>
        <w:keepLines/>
        <w:numPr>
          <w:ilvl w:val="0"/>
          <w:numId w:val="21"/>
        </w:numPr>
        <w:spacing w:after="320" w:line="259" w:lineRule="auto"/>
        <w:contextualSpacing/>
        <w:rPr>
          <w:rStyle w:val="Strong"/>
          <w:rFonts w:eastAsiaTheme="minorHAnsi" w:cstheme="minorHAnsi"/>
          <w:lang w:val="en-CA"/>
        </w:rPr>
      </w:pPr>
      <w:r w:rsidRPr="00154FF3">
        <w:rPr>
          <w:rFonts w:asciiTheme="minorHAnsi" w:eastAsiaTheme="minorHAnsi" w:hAnsiTheme="minorHAnsi" w:cstheme="minorBidi"/>
          <w:sz w:val="22"/>
          <w:szCs w:val="22"/>
          <w:lang w:val="en-CA"/>
        </w:rPr>
        <w:t xml:space="preserve">Deputy heads to establish requirement(s) for sub-delegated persons to </w:t>
      </w:r>
      <w:r w:rsidRPr="00154FF3">
        <w:rPr>
          <w:rStyle w:val="Strong"/>
          <w:rFonts w:eastAsiaTheme="minorHAnsi" w:cstheme="minorHAnsi"/>
          <w:lang w:val="en-CA"/>
        </w:rPr>
        <w:t>articulate, in writing, their selection decision</w:t>
      </w:r>
    </w:p>
    <w:p w:rsidR="00C72CBA" w:rsidRPr="00154FF3" w:rsidRDefault="00C72CBA" w:rsidP="00C72CBA">
      <w:pPr>
        <w:keepLines/>
        <w:numPr>
          <w:ilvl w:val="0"/>
          <w:numId w:val="21"/>
        </w:numPr>
        <w:spacing w:after="320" w:line="259" w:lineRule="auto"/>
        <w:contextualSpacing/>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Clarity on requirements related to investigations</w:t>
      </w:r>
    </w:p>
    <w:p w:rsidR="00C72CBA" w:rsidRPr="00154FF3" w:rsidRDefault="00C72CBA" w:rsidP="00C72CBA">
      <w:pPr>
        <w:keepLines/>
        <w:numPr>
          <w:ilvl w:val="0"/>
          <w:numId w:val="21"/>
        </w:numPr>
        <w:spacing w:after="320" w:line="259" w:lineRule="auto"/>
        <w:contextualSpacing/>
        <w:rPr>
          <w:rFonts w:asciiTheme="minorHAnsi" w:eastAsiaTheme="minorHAnsi" w:hAnsiTheme="minorHAnsi" w:cstheme="minorBidi"/>
          <w:sz w:val="22"/>
          <w:szCs w:val="22"/>
          <w:lang w:val="en-CA"/>
        </w:rPr>
      </w:pPr>
      <w:r w:rsidRPr="00154FF3">
        <w:rPr>
          <w:rStyle w:val="Strong"/>
          <w:rFonts w:eastAsiaTheme="minorHAnsi" w:cstheme="minorHAnsi"/>
          <w:lang w:val="en-CA"/>
        </w:rPr>
        <w:t>Attestation form</w:t>
      </w:r>
      <w:r w:rsidRPr="00154FF3">
        <w:rPr>
          <w:rFonts w:asciiTheme="minorHAnsi" w:eastAsiaTheme="minorHAnsi" w:hAnsiTheme="minorHAnsi" w:cstheme="minorBidi"/>
          <w:sz w:val="20"/>
          <w:szCs w:val="22"/>
          <w:lang w:val="en-CA"/>
        </w:rPr>
        <w:t xml:space="preserve"> </w:t>
      </w:r>
      <w:r w:rsidRPr="00154FF3">
        <w:rPr>
          <w:rFonts w:asciiTheme="minorHAnsi" w:eastAsiaTheme="minorHAnsi" w:hAnsiTheme="minorHAnsi" w:cstheme="minorBidi"/>
          <w:sz w:val="22"/>
          <w:szCs w:val="22"/>
          <w:lang w:val="en-CA"/>
        </w:rPr>
        <w:t>to reinforce the accountabilities of sub-delegated persons</w:t>
      </w:r>
    </w:p>
    <w:p w:rsidR="00C72CBA" w:rsidRPr="00154FF3" w:rsidRDefault="00C72CBA" w:rsidP="00C72CBA">
      <w:pPr>
        <w:keepLines/>
        <w:spacing w:after="360" w:line="259" w:lineRule="auto"/>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All PSC monitoring and reporting requirements now found in the Appointment Delegation and Accountability Instrument</w:t>
      </w:r>
    </w:p>
    <w:p w:rsidR="00C72CBA" w:rsidRPr="00154FF3" w:rsidRDefault="00C72CBA" w:rsidP="00C72CBA">
      <w:pPr>
        <w:pStyle w:val="Heading3"/>
        <w:spacing w:after="120"/>
        <w:rPr>
          <w:lang w:val="en-CA"/>
        </w:rPr>
      </w:pPr>
      <w:r w:rsidRPr="00154FF3">
        <w:rPr>
          <w:lang w:val="en-CA"/>
        </w:rPr>
        <w:t>Monitoring and Reporting</w:t>
      </w:r>
    </w:p>
    <w:p w:rsidR="00C72CBA" w:rsidRPr="00154FF3" w:rsidRDefault="00C72CBA" w:rsidP="00C72CBA">
      <w:pPr>
        <w:keepLines/>
        <w:spacing w:after="120" w:line="259" w:lineRule="auto"/>
        <w:rPr>
          <w:rFonts w:asciiTheme="minorHAnsi" w:eastAsiaTheme="minorHAnsi" w:hAnsiTheme="minorHAnsi" w:cstheme="minorBidi"/>
          <w:sz w:val="22"/>
          <w:szCs w:val="22"/>
          <w:lang w:val="en-CA"/>
        </w:rPr>
      </w:pPr>
      <w:r w:rsidRPr="00154FF3">
        <w:rPr>
          <w:rStyle w:val="Strong"/>
          <w:rFonts w:eastAsiaTheme="minorHAnsi" w:cstheme="minorHAnsi"/>
          <w:szCs w:val="22"/>
          <w:lang w:val="en-CA"/>
        </w:rPr>
        <w:t>Monitoring built by organizations</w:t>
      </w:r>
      <w:r w:rsidRPr="00154FF3">
        <w:rPr>
          <w:rFonts w:asciiTheme="minorHAnsi" w:eastAsiaTheme="minorHAnsi" w:hAnsiTheme="minorHAnsi" w:cstheme="minorBidi"/>
          <w:sz w:val="22"/>
          <w:szCs w:val="22"/>
          <w:lang w:val="en-CA"/>
        </w:rPr>
        <w:t>, targeted to their needs</w:t>
      </w:r>
    </w:p>
    <w:p w:rsidR="00C72CBA" w:rsidRPr="00154FF3" w:rsidRDefault="00C72CBA" w:rsidP="00C72CBA">
      <w:pPr>
        <w:keepLines/>
        <w:numPr>
          <w:ilvl w:val="0"/>
          <w:numId w:val="23"/>
        </w:numPr>
        <w:spacing w:after="320" w:line="259" w:lineRule="auto"/>
        <w:contextualSpacing/>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Annual Departmental Staffing Accountability Report no longer required</w:t>
      </w:r>
    </w:p>
    <w:p w:rsidR="00C72CBA" w:rsidRPr="00154FF3" w:rsidRDefault="00C72CBA" w:rsidP="00C72CBA">
      <w:pPr>
        <w:keepLines/>
        <w:numPr>
          <w:ilvl w:val="0"/>
          <w:numId w:val="23"/>
        </w:numPr>
        <w:spacing w:after="320" w:line="259" w:lineRule="auto"/>
        <w:contextualSpacing/>
        <w:rPr>
          <w:rFonts w:asciiTheme="minorHAnsi" w:eastAsiaTheme="minorHAnsi" w:hAnsiTheme="minorHAnsi" w:cstheme="minorBidi"/>
          <w:sz w:val="22"/>
          <w:szCs w:val="22"/>
          <w:lang w:val="en-CA"/>
        </w:rPr>
      </w:pPr>
      <w:r w:rsidRPr="00154FF3">
        <w:rPr>
          <w:rStyle w:val="Strong"/>
          <w:rFonts w:eastAsiaTheme="minorHAnsi" w:cstheme="minorHAnsi"/>
          <w:szCs w:val="22"/>
          <w:lang w:val="en-CA"/>
        </w:rPr>
        <w:t>Annual reporting to the PSC limited</w:t>
      </w:r>
      <w:r w:rsidRPr="00154FF3">
        <w:rPr>
          <w:rFonts w:asciiTheme="minorHAnsi" w:eastAsiaTheme="minorHAnsi" w:hAnsiTheme="minorHAnsi" w:cstheme="minorBidi"/>
          <w:sz w:val="22"/>
          <w:szCs w:val="22"/>
          <w:lang w:val="en-CA"/>
        </w:rPr>
        <w:t xml:space="preserve"> to:</w:t>
      </w:r>
    </w:p>
    <w:p w:rsidR="00C72CBA" w:rsidRPr="00154FF3" w:rsidRDefault="00C72CBA" w:rsidP="00C72CBA">
      <w:pPr>
        <w:keepLines/>
        <w:numPr>
          <w:ilvl w:val="1"/>
          <w:numId w:val="23"/>
        </w:numPr>
        <w:spacing w:after="320" w:line="259" w:lineRule="auto"/>
        <w:contextualSpacing/>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Use of Public Service Official Language Exclusion Approval Order</w:t>
      </w:r>
    </w:p>
    <w:p w:rsidR="00C72CBA" w:rsidRPr="00154FF3" w:rsidRDefault="00C72CBA" w:rsidP="00C72CBA">
      <w:pPr>
        <w:keepLines/>
        <w:numPr>
          <w:ilvl w:val="1"/>
          <w:numId w:val="23"/>
        </w:numPr>
        <w:spacing w:after="320" w:line="259" w:lineRule="auto"/>
        <w:contextualSpacing/>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Exceptions to the National Area of Selection approved by the deputy head</w:t>
      </w:r>
    </w:p>
    <w:p w:rsidR="00C72CBA" w:rsidRPr="00154FF3" w:rsidRDefault="00C72CBA" w:rsidP="00C72CBA">
      <w:pPr>
        <w:keepLines/>
        <w:numPr>
          <w:ilvl w:val="1"/>
          <w:numId w:val="23"/>
        </w:numPr>
        <w:spacing w:after="320" w:line="259" w:lineRule="auto"/>
        <w:contextualSpacing/>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Results of any internal investigations</w:t>
      </w:r>
    </w:p>
    <w:p w:rsidR="00C72CBA" w:rsidRPr="00154FF3" w:rsidRDefault="00C72CBA" w:rsidP="00C72CBA">
      <w:pPr>
        <w:keepLines/>
        <w:numPr>
          <w:ilvl w:val="1"/>
          <w:numId w:val="23"/>
        </w:numPr>
        <w:spacing w:after="320" w:line="259" w:lineRule="auto"/>
        <w:contextualSpacing/>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Actions taken following any PSC investigations or audits.</w:t>
      </w:r>
    </w:p>
    <w:p w:rsidR="00C72CBA" w:rsidRPr="00154FF3" w:rsidRDefault="00C72CBA" w:rsidP="00C72CBA">
      <w:pPr>
        <w:keepLines/>
        <w:numPr>
          <w:ilvl w:val="0"/>
          <w:numId w:val="24"/>
        </w:numPr>
        <w:spacing w:after="320" w:line="259" w:lineRule="auto"/>
        <w:contextualSpacing/>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 xml:space="preserve">Deputy head responsible for </w:t>
      </w:r>
      <w:r w:rsidRPr="00154FF3">
        <w:rPr>
          <w:rStyle w:val="Strong"/>
          <w:rFonts w:eastAsiaTheme="minorHAnsi" w:cstheme="minorHAnsi"/>
          <w:szCs w:val="22"/>
          <w:lang w:val="en-CA"/>
        </w:rPr>
        <w:t>ongoing monitoring of organizational staffing system</w:t>
      </w:r>
      <w:r w:rsidRPr="00154FF3">
        <w:rPr>
          <w:rFonts w:asciiTheme="minorHAnsi" w:eastAsiaTheme="minorHAnsi" w:hAnsiTheme="minorHAnsi" w:cstheme="minorBidi"/>
          <w:sz w:val="22"/>
          <w:szCs w:val="22"/>
          <w:lang w:val="en-CA"/>
        </w:rPr>
        <w:t xml:space="preserve"> based on the organization’s unique context</w:t>
      </w:r>
    </w:p>
    <w:p w:rsidR="00C72CBA" w:rsidRPr="00154FF3" w:rsidRDefault="00C72CBA" w:rsidP="00C72CBA">
      <w:pPr>
        <w:keepLines/>
        <w:numPr>
          <w:ilvl w:val="1"/>
          <w:numId w:val="24"/>
        </w:numPr>
        <w:spacing w:after="320" w:line="259" w:lineRule="auto"/>
        <w:contextualSpacing/>
        <w:rPr>
          <w:rFonts w:asciiTheme="minorHAnsi" w:eastAsiaTheme="minorHAnsi" w:hAnsiTheme="minorHAnsi" w:cstheme="minorBidi"/>
          <w:sz w:val="22"/>
          <w:szCs w:val="22"/>
          <w:lang w:val="en-CA"/>
        </w:rPr>
      </w:pPr>
      <w:r w:rsidRPr="00154FF3">
        <w:rPr>
          <w:rStyle w:val="Strong"/>
          <w:rFonts w:eastAsiaTheme="minorHAnsi" w:cstheme="minorHAnsi"/>
          <w:szCs w:val="22"/>
          <w:lang w:val="en-CA"/>
        </w:rPr>
        <w:t>Assessment of adherence to requirements</w:t>
      </w:r>
      <w:r w:rsidRPr="00154FF3">
        <w:rPr>
          <w:rFonts w:asciiTheme="minorHAnsi" w:eastAsiaTheme="minorHAnsi" w:hAnsiTheme="minorHAnsi" w:cstheme="minorBidi"/>
          <w:sz w:val="22"/>
          <w:szCs w:val="22"/>
          <w:lang w:val="en-CA"/>
        </w:rPr>
        <w:t>, based on organization’s own risks, at the minimum every five years</w:t>
      </w:r>
    </w:p>
    <w:p w:rsidR="00C72CBA" w:rsidRPr="00154FF3" w:rsidRDefault="00C72CBA" w:rsidP="00C72CBA">
      <w:pPr>
        <w:pStyle w:val="Heading3"/>
        <w:spacing w:after="120"/>
        <w:rPr>
          <w:lang w:val="en-CA"/>
        </w:rPr>
      </w:pPr>
      <w:r w:rsidRPr="00154FF3">
        <w:rPr>
          <w:lang w:val="en-CA"/>
        </w:rPr>
        <w:lastRenderedPageBreak/>
        <w:t>PSC Oversight</w:t>
      </w:r>
    </w:p>
    <w:p w:rsidR="00C72CBA" w:rsidRPr="00154FF3" w:rsidRDefault="00C72CBA" w:rsidP="00C72CBA">
      <w:pPr>
        <w:keepLines/>
        <w:spacing w:after="120" w:line="259" w:lineRule="auto"/>
        <w:rPr>
          <w:rFonts w:asciiTheme="minorHAnsi" w:eastAsiaTheme="minorHAnsi" w:hAnsiTheme="minorHAnsi" w:cstheme="minorBidi"/>
          <w:sz w:val="22"/>
          <w:szCs w:val="22"/>
          <w:lang w:val="en-CA"/>
        </w:rPr>
      </w:pPr>
      <w:r w:rsidRPr="00154FF3">
        <w:rPr>
          <w:rFonts w:asciiTheme="minorHAnsi" w:eastAsiaTheme="minorHAnsi" w:hAnsiTheme="minorHAnsi" w:cstheme="minorBidi"/>
          <w:sz w:val="22"/>
          <w:szCs w:val="22"/>
          <w:lang w:val="en-CA"/>
        </w:rPr>
        <w:t>System wide-focus</w:t>
      </w:r>
    </w:p>
    <w:p w:rsidR="00C72CBA" w:rsidRPr="00154FF3" w:rsidRDefault="00C72CBA" w:rsidP="00C72CBA">
      <w:pPr>
        <w:keepLines/>
        <w:numPr>
          <w:ilvl w:val="0"/>
          <w:numId w:val="25"/>
        </w:numPr>
        <w:spacing w:line="259" w:lineRule="auto"/>
        <w:rPr>
          <w:rStyle w:val="Strong"/>
          <w:rFonts w:eastAsiaTheme="minorHAnsi" w:cstheme="minorHAnsi"/>
          <w:lang w:val="en-CA"/>
        </w:rPr>
      </w:pPr>
      <w:r w:rsidRPr="00154FF3">
        <w:rPr>
          <w:rStyle w:val="Strong"/>
          <w:rFonts w:eastAsiaTheme="minorHAnsi" w:cstheme="minorHAnsi"/>
          <w:lang w:val="en-CA"/>
        </w:rPr>
        <w:t>Government-wide compliance audit every two years</w:t>
      </w:r>
    </w:p>
    <w:p w:rsidR="00C72CBA" w:rsidRPr="00154FF3" w:rsidRDefault="00C72CBA" w:rsidP="00C72CBA">
      <w:pPr>
        <w:keepLines/>
        <w:numPr>
          <w:ilvl w:val="0"/>
          <w:numId w:val="25"/>
        </w:numPr>
        <w:spacing w:line="259" w:lineRule="auto"/>
        <w:rPr>
          <w:rFonts w:asciiTheme="minorHAnsi" w:eastAsiaTheme="minorHAnsi" w:hAnsiTheme="minorHAnsi" w:cstheme="minorBidi"/>
          <w:sz w:val="22"/>
          <w:szCs w:val="22"/>
          <w:lang w:val="en-CA"/>
        </w:rPr>
      </w:pPr>
      <w:r w:rsidRPr="00154FF3">
        <w:rPr>
          <w:rStyle w:val="Strong"/>
          <w:rFonts w:eastAsiaTheme="minorHAnsi" w:cstheme="minorHAnsi"/>
          <w:lang w:val="en-CA"/>
        </w:rPr>
        <w:t>Renewed Survey of Staffing</w:t>
      </w:r>
      <w:r w:rsidRPr="00154FF3">
        <w:rPr>
          <w:rFonts w:asciiTheme="minorHAnsi" w:eastAsiaTheme="minorHAnsi" w:hAnsiTheme="minorHAnsi" w:cstheme="minorBidi"/>
          <w:sz w:val="20"/>
          <w:szCs w:val="22"/>
          <w:lang w:val="en-CA"/>
        </w:rPr>
        <w:t xml:space="preserve"> </w:t>
      </w:r>
      <w:r w:rsidRPr="00154FF3">
        <w:rPr>
          <w:rFonts w:asciiTheme="minorHAnsi" w:eastAsiaTheme="minorHAnsi" w:hAnsiTheme="minorHAnsi" w:cstheme="minorBidi"/>
          <w:sz w:val="22"/>
          <w:szCs w:val="22"/>
          <w:lang w:val="en-CA"/>
        </w:rPr>
        <w:t>administered in alternating years with government-wide audit</w:t>
      </w:r>
    </w:p>
    <w:p w:rsidR="00C72CBA" w:rsidRPr="00154FF3" w:rsidRDefault="00C72CBA" w:rsidP="00C72CBA">
      <w:pPr>
        <w:keepLines/>
        <w:numPr>
          <w:ilvl w:val="0"/>
          <w:numId w:val="25"/>
        </w:numPr>
        <w:spacing w:line="259" w:lineRule="auto"/>
        <w:rPr>
          <w:rFonts w:asciiTheme="minorHAnsi" w:eastAsiaTheme="minorHAnsi" w:hAnsiTheme="minorHAnsi" w:cstheme="minorBidi"/>
          <w:sz w:val="22"/>
          <w:szCs w:val="22"/>
          <w:lang w:val="en-CA"/>
        </w:rPr>
      </w:pPr>
      <w:r w:rsidRPr="00154FF3">
        <w:rPr>
          <w:rStyle w:val="Strong"/>
          <w:rFonts w:eastAsiaTheme="minorHAnsi" w:cstheme="minorHAnsi"/>
          <w:lang w:val="en-CA"/>
        </w:rPr>
        <w:t>System-wide effectiveness and efficiency reviews</w:t>
      </w:r>
      <w:r w:rsidRPr="00154FF3">
        <w:rPr>
          <w:rFonts w:asciiTheme="minorHAnsi" w:eastAsiaTheme="minorHAnsi" w:hAnsiTheme="minorHAnsi" w:cstheme="minorBidi"/>
          <w:sz w:val="20"/>
          <w:szCs w:val="22"/>
          <w:lang w:val="en-CA"/>
        </w:rPr>
        <w:t xml:space="preserve"> </w:t>
      </w:r>
      <w:r w:rsidRPr="00154FF3">
        <w:rPr>
          <w:rFonts w:asciiTheme="minorHAnsi" w:eastAsiaTheme="minorHAnsi" w:hAnsiTheme="minorHAnsi" w:cstheme="minorBidi"/>
          <w:sz w:val="22"/>
          <w:szCs w:val="22"/>
          <w:lang w:val="en-CA"/>
        </w:rPr>
        <w:t>to support continuous improvement</w:t>
      </w:r>
    </w:p>
    <w:p w:rsidR="00C72CBA" w:rsidRPr="00154FF3" w:rsidRDefault="00C72CBA" w:rsidP="00C72CBA">
      <w:pPr>
        <w:keepLines/>
        <w:numPr>
          <w:ilvl w:val="0"/>
          <w:numId w:val="25"/>
        </w:numPr>
        <w:spacing w:line="259" w:lineRule="auto"/>
        <w:rPr>
          <w:rFonts w:asciiTheme="minorHAnsi" w:eastAsiaTheme="minorHAnsi" w:hAnsiTheme="minorHAnsi" w:cstheme="minorBidi"/>
          <w:sz w:val="22"/>
          <w:szCs w:val="22"/>
          <w:lang w:val="en-CA"/>
        </w:rPr>
      </w:pPr>
      <w:r w:rsidRPr="00154FF3">
        <w:rPr>
          <w:rStyle w:val="Strong"/>
          <w:rFonts w:eastAsiaTheme="minorHAnsi" w:cstheme="minorHAnsi"/>
          <w:lang w:val="en-CA"/>
        </w:rPr>
        <w:t>Targeted PSC audits</w:t>
      </w:r>
      <w:r w:rsidRPr="00154FF3">
        <w:rPr>
          <w:rFonts w:asciiTheme="minorHAnsi" w:eastAsiaTheme="minorHAnsi" w:hAnsiTheme="minorHAnsi" w:cstheme="minorBidi"/>
          <w:sz w:val="20"/>
          <w:szCs w:val="22"/>
          <w:lang w:val="en-CA"/>
        </w:rPr>
        <w:t xml:space="preserve"> </w:t>
      </w:r>
      <w:r w:rsidRPr="00154FF3">
        <w:rPr>
          <w:rFonts w:asciiTheme="minorHAnsi" w:eastAsiaTheme="minorHAnsi" w:hAnsiTheme="minorHAnsi" w:cstheme="minorBidi"/>
          <w:sz w:val="22"/>
          <w:szCs w:val="22"/>
          <w:lang w:val="en-CA"/>
        </w:rPr>
        <w:t>as a result of identified system-wide or organizational risks or at the deputy head request</w:t>
      </w:r>
    </w:p>
    <w:p w:rsidR="00C72CBA" w:rsidRPr="00154FF3" w:rsidRDefault="00C72CBA" w:rsidP="00C72CBA">
      <w:pPr>
        <w:keepLines/>
        <w:numPr>
          <w:ilvl w:val="0"/>
          <w:numId w:val="25"/>
        </w:numPr>
        <w:spacing w:after="320" w:line="259" w:lineRule="auto"/>
        <w:rPr>
          <w:rFonts w:asciiTheme="minorHAnsi" w:eastAsiaTheme="minorHAnsi" w:hAnsiTheme="minorHAnsi" w:cstheme="minorBidi"/>
          <w:sz w:val="22"/>
          <w:szCs w:val="22"/>
          <w:lang w:val="en-CA"/>
        </w:rPr>
      </w:pPr>
      <w:r w:rsidRPr="00154FF3">
        <w:rPr>
          <w:rStyle w:val="Strong"/>
          <w:rFonts w:eastAsiaTheme="minorHAnsi" w:cstheme="minorHAnsi"/>
          <w:lang w:val="en-CA"/>
        </w:rPr>
        <w:t>Investigations conducted</w:t>
      </w:r>
      <w:r w:rsidRPr="00154FF3">
        <w:rPr>
          <w:rFonts w:asciiTheme="minorHAnsi" w:eastAsiaTheme="minorHAnsi" w:hAnsiTheme="minorHAnsi" w:cstheme="minorBidi"/>
          <w:sz w:val="20"/>
          <w:szCs w:val="22"/>
          <w:lang w:val="en-CA"/>
        </w:rPr>
        <w:t xml:space="preserve"> </w:t>
      </w:r>
      <w:r w:rsidRPr="00154FF3">
        <w:rPr>
          <w:rFonts w:asciiTheme="minorHAnsi" w:eastAsiaTheme="minorHAnsi" w:hAnsiTheme="minorHAnsi" w:cstheme="minorBidi"/>
          <w:sz w:val="22"/>
          <w:szCs w:val="22"/>
          <w:lang w:val="en-CA"/>
        </w:rPr>
        <w:t>when there is a reason to believe there was political influence, fraud or improper conduct in an appointment process</w:t>
      </w:r>
    </w:p>
    <w:p w:rsidR="005F4AE5" w:rsidRPr="00154FF3" w:rsidRDefault="00C72CBA" w:rsidP="00C72CBA">
      <w:pPr>
        <w:spacing w:before="120" w:after="120"/>
        <w:rPr>
          <w:rFonts w:eastAsiaTheme="minorHAnsi"/>
          <w:b/>
          <w:lang w:val="en-CA"/>
        </w:rPr>
        <w:sectPr w:rsidR="005F4AE5" w:rsidRPr="00154FF3" w:rsidSect="00785F07">
          <w:pgSz w:w="12240" w:h="15840"/>
          <w:pgMar w:top="1440" w:right="1080" w:bottom="1440" w:left="1080" w:header="708" w:footer="283" w:gutter="0"/>
          <w:cols w:space="708"/>
          <w:titlePg/>
          <w:docGrid w:linePitch="360"/>
        </w:sectPr>
      </w:pPr>
      <w:r w:rsidRPr="00154FF3">
        <w:rPr>
          <w:rStyle w:val="Strong"/>
          <w:rFonts w:eastAsiaTheme="minorHAnsi" w:cstheme="minorHAnsi"/>
          <w:b w:val="0"/>
          <w:lang w:val="en-CA"/>
        </w:rPr>
        <w:t xml:space="preserve">This document should be read in conjunction with the </w:t>
      </w:r>
      <w:r w:rsidRPr="00154FF3">
        <w:rPr>
          <w:rStyle w:val="Emphasis"/>
          <w:rFonts w:eastAsiaTheme="minorHAnsi"/>
        </w:rPr>
        <w:t>Public Service Employment Act</w:t>
      </w:r>
      <w:r w:rsidRPr="00154FF3">
        <w:rPr>
          <w:rStyle w:val="Strong"/>
          <w:rFonts w:eastAsiaTheme="minorHAnsi" w:cstheme="minorHAnsi"/>
          <w:b w:val="0"/>
          <w:lang w:val="en-CA"/>
        </w:rPr>
        <w:t xml:space="preserve">, the </w:t>
      </w:r>
      <w:r w:rsidRPr="00154FF3">
        <w:rPr>
          <w:rStyle w:val="Emphasis"/>
          <w:rFonts w:eastAsiaTheme="minorHAnsi"/>
        </w:rPr>
        <w:t>Public Service Employment Regulations</w:t>
      </w:r>
      <w:r w:rsidRPr="00154FF3">
        <w:rPr>
          <w:rStyle w:val="Strong"/>
          <w:rFonts w:eastAsiaTheme="minorHAnsi" w:cstheme="minorHAnsi"/>
          <w:b w:val="0"/>
          <w:lang w:val="en-CA"/>
        </w:rPr>
        <w:t xml:space="preserve">, the PSC Appointment Policy and the PSC </w:t>
      </w:r>
      <w:r w:rsidRPr="00154FF3">
        <w:rPr>
          <w:rStyle w:val="Emphasis"/>
          <w:rFonts w:eastAsiaTheme="minorHAnsi"/>
        </w:rPr>
        <w:t>Appointment Delegation and Accountability Instrument</w:t>
      </w:r>
      <w:r w:rsidRPr="00154FF3">
        <w:rPr>
          <w:rStyle w:val="Strong"/>
          <w:rFonts w:eastAsiaTheme="minorHAnsi" w:cstheme="minorHAnsi"/>
          <w:b w:val="0"/>
          <w:lang w:val="en-CA"/>
        </w:rPr>
        <w:t>.</w:t>
      </w:r>
    </w:p>
    <w:p w:rsidR="00595328" w:rsidRPr="00154FF3" w:rsidRDefault="005E300F" w:rsidP="00C72CBA">
      <w:pPr>
        <w:pStyle w:val="Heading3"/>
        <w:jc w:val="right"/>
        <w:rPr>
          <w:lang w:val="en-CA"/>
        </w:rPr>
      </w:pPr>
      <w:bookmarkStart w:id="3" w:name="AnnexB"/>
      <w:r w:rsidRPr="00154FF3">
        <w:rPr>
          <w:lang w:val="en-CA"/>
        </w:rPr>
        <w:lastRenderedPageBreak/>
        <w:t>Annex B</w:t>
      </w:r>
    </w:p>
    <w:bookmarkEnd w:id="3"/>
    <w:p w:rsidR="00DA6D75" w:rsidRPr="00154FF3" w:rsidRDefault="00DA6D75" w:rsidP="00DA6D75">
      <w:pPr>
        <w:pStyle w:val="Heading1"/>
        <w:spacing w:before="120" w:after="120"/>
        <w:rPr>
          <w:sz w:val="40"/>
          <w:lang w:val="en-CA"/>
        </w:rPr>
      </w:pPr>
      <w:r w:rsidRPr="00154FF3">
        <w:rPr>
          <w:sz w:val="40"/>
          <w:lang w:val="en-CA"/>
        </w:rPr>
        <w:t>Population by tenure as of March 31</w:t>
      </w:r>
    </w:p>
    <w:p w:rsidR="00DA6A6F" w:rsidRPr="00154FF3" w:rsidRDefault="00595328" w:rsidP="00C72CBA">
      <w:pPr>
        <w:pStyle w:val="Heading3"/>
        <w:jc w:val="center"/>
        <w:rPr>
          <w:lang w:val="en-CA"/>
        </w:rPr>
      </w:pPr>
      <w:r w:rsidRPr="00154FF3">
        <w:rPr>
          <w:noProof/>
          <w:lang w:val="en-CA" w:eastAsia="en-CA"/>
        </w:rPr>
        <w:drawing>
          <wp:inline distT="0" distB="0" distL="0" distR="0" wp14:anchorId="6F4D5061" wp14:editId="04118B95">
            <wp:extent cx="5648400" cy="3049200"/>
            <wp:effectExtent l="0" t="0" r="9525" b="18415"/>
            <wp:docPr id="13" name="Chart 13" descr="Population by tenure as of March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A6A6F" w:rsidRPr="00154FF3" w:rsidRDefault="00DA6A6F" w:rsidP="00C72CBA">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00CC1042" w:rsidRPr="00154FF3">
        <w:rPr>
          <w:lang w:val="en-CA"/>
        </w:rPr>
        <w:t>1</w:t>
      </w:r>
      <w:r w:rsidRPr="00154FF3">
        <w:rPr>
          <w:lang w:val="en-CA"/>
        </w:rPr>
        <w:fldChar w:fldCharType="end"/>
      </w:r>
      <w:r w:rsidRPr="00154FF3">
        <w:rPr>
          <w:lang w:val="en-CA"/>
        </w:rPr>
        <w:t xml:space="preserve"> - Population by tenure as of March 31</w:t>
      </w:r>
    </w:p>
    <w:p w:rsidR="00DA6A6F" w:rsidRPr="00154FF3" w:rsidRDefault="00DA6A6F" w:rsidP="00C72CBA">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1</w:t>
      </w:r>
      <w:r w:rsidRPr="00154FF3">
        <w:rPr>
          <w:lang w:val="en-CA"/>
        </w:rPr>
        <w:fldChar w:fldCharType="end"/>
      </w:r>
      <w:r w:rsidRPr="00154FF3">
        <w:rPr>
          <w:lang w:val="en-CA"/>
        </w:rPr>
        <w:t xml:space="preserve"> - Public Service Employment Act population by tenure as of March 31</w:t>
      </w:r>
    </w:p>
    <w:tbl>
      <w:tblPr>
        <w:tblStyle w:val="TableGrid1"/>
        <w:tblW w:w="5000" w:type="pct"/>
        <w:jc w:val="center"/>
        <w:tblLook w:val="0000" w:firstRow="0" w:lastRow="0" w:firstColumn="0" w:lastColumn="0" w:noHBand="0" w:noVBand="0"/>
        <w:tblDescription w:val="Population by tenure as of March 31, from 2014 to 2019"/>
      </w:tblPr>
      <w:tblGrid>
        <w:gridCol w:w="3264"/>
        <w:gridCol w:w="2466"/>
        <w:gridCol w:w="1985"/>
        <w:gridCol w:w="1985"/>
        <w:gridCol w:w="1985"/>
        <w:gridCol w:w="1985"/>
      </w:tblGrid>
      <w:tr w:rsidR="00DA6A6F" w:rsidRPr="00154FF3" w:rsidTr="003643BA">
        <w:trPr>
          <w:cantSplit/>
          <w:trHeight w:val="290"/>
          <w:tblHeader/>
          <w:jc w:val="center"/>
        </w:trPr>
        <w:tc>
          <w:tcPr>
            <w:tcW w:w="1194" w:type="pct"/>
          </w:tcPr>
          <w:p w:rsidR="00DA6A6F" w:rsidRPr="00154FF3" w:rsidRDefault="00DA6A6F" w:rsidP="00C72CBA">
            <w:pPr>
              <w:pStyle w:val="TableTitle"/>
              <w:rPr>
                <w:lang w:val="en-CA"/>
              </w:rPr>
            </w:pPr>
            <w:r w:rsidRPr="00154FF3">
              <w:rPr>
                <w:lang w:val="en-CA"/>
              </w:rPr>
              <w:t>Year</w:t>
            </w:r>
          </w:p>
        </w:tc>
        <w:tc>
          <w:tcPr>
            <w:tcW w:w="902" w:type="pct"/>
          </w:tcPr>
          <w:p w:rsidR="00DA6A6F" w:rsidRPr="00154FF3" w:rsidRDefault="00DA6A6F" w:rsidP="00C72CBA">
            <w:pPr>
              <w:pStyle w:val="TableTitle"/>
              <w:rPr>
                <w:lang w:val="en-CA"/>
              </w:rPr>
            </w:pPr>
            <w:r w:rsidRPr="00154FF3">
              <w:rPr>
                <w:lang w:val="en-CA"/>
              </w:rPr>
              <w:t>Indeterminate</w:t>
            </w:r>
          </w:p>
          <w:p w:rsidR="00DA6A6F" w:rsidRPr="00154FF3" w:rsidRDefault="00DA6A6F" w:rsidP="00C72CBA">
            <w:pPr>
              <w:pStyle w:val="TableTitle"/>
              <w:rPr>
                <w:lang w:val="en-CA"/>
              </w:rPr>
            </w:pPr>
            <w:r w:rsidRPr="00154FF3">
              <w:rPr>
                <w:lang w:val="en-CA"/>
              </w:rPr>
              <w:t>population</w:t>
            </w:r>
          </w:p>
        </w:tc>
        <w:tc>
          <w:tcPr>
            <w:tcW w:w="726" w:type="pct"/>
          </w:tcPr>
          <w:p w:rsidR="00DA6A6F" w:rsidRPr="00154FF3" w:rsidRDefault="00DA6A6F" w:rsidP="00C72CBA">
            <w:pPr>
              <w:pStyle w:val="TableTitle"/>
              <w:rPr>
                <w:lang w:val="en-CA"/>
              </w:rPr>
            </w:pPr>
            <w:r w:rsidRPr="00154FF3">
              <w:rPr>
                <w:lang w:val="en-CA"/>
              </w:rPr>
              <w:t>Term</w:t>
            </w:r>
          </w:p>
          <w:p w:rsidR="00DA6A6F" w:rsidRPr="00154FF3" w:rsidRDefault="00DA6A6F" w:rsidP="00C72CBA">
            <w:pPr>
              <w:pStyle w:val="TableTitle"/>
              <w:rPr>
                <w:lang w:val="en-CA"/>
              </w:rPr>
            </w:pPr>
            <w:r w:rsidRPr="00154FF3">
              <w:rPr>
                <w:lang w:val="en-CA"/>
              </w:rPr>
              <w:t>population</w:t>
            </w:r>
          </w:p>
        </w:tc>
        <w:tc>
          <w:tcPr>
            <w:tcW w:w="726" w:type="pct"/>
          </w:tcPr>
          <w:p w:rsidR="00DA6A6F" w:rsidRPr="00154FF3" w:rsidRDefault="00DA6A6F" w:rsidP="00C72CBA">
            <w:pPr>
              <w:pStyle w:val="TableTitle"/>
              <w:rPr>
                <w:lang w:val="en-CA"/>
              </w:rPr>
            </w:pPr>
            <w:r w:rsidRPr="00154FF3">
              <w:rPr>
                <w:lang w:val="en-CA"/>
              </w:rPr>
              <w:t>Casual</w:t>
            </w:r>
          </w:p>
          <w:p w:rsidR="00DA6A6F" w:rsidRPr="00154FF3" w:rsidRDefault="00DA6A6F" w:rsidP="00C72CBA">
            <w:pPr>
              <w:pStyle w:val="TableTitle"/>
              <w:rPr>
                <w:lang w:val="en-CA"/>
              </w:rPr>
            </w:pPr>
            <w:r w:rsidRPr="00154FF3">
              <w:rPr>
                <w:lang w:val="en-CA"/>
              </w:rPr>
              <w:t>population</w:t>
            </w:r>
          </w:p>
        </w:tc>
        <w:tc>
          <w:tcPr>
            <w:tcW w:w="726" w:type="pct"/>
          </w:tcPr>
          <w:p w:rsidR="00DA6A6F" w:rsidRPr="00154FF3" w:rsidRDefault="00DA6A6F" w:rsidP="00C72CBA">
            <w:pPr>
              <w:pStyle w:val="TableTitle"/>
              <w:rPr>
                <w:lang w:val="en-CA"/>
              </w:rPr>
            </w:pPr>
            <w:r w:rsidRPr="00154FF3">
              <w:rPr>
                <w:lang w:val="en-CA"/>
              </w:rPr>
              <w:t>Student</w:t>
            </w:r>
          </w:p>
          <w:p w:rsidR="00DA6A6F" w:rsidRPr="00154FF3" w:rsidRDefault="00DA6A6F" w:rsidP="00C72CBA">
            <w:pPr>
              <w:pStyle w:val="TableTitle"/>
              <w:rPr>
                <w:lang w:val="en-CA"/>
              </w:rPr>
            </w:pPr>
            <w:r w:rsidRPr="00154FF3">
              <w:rPr>
                <w:lang w:val="en-CA"/>
              </w:rPr>
              <w:t>population</w:t>
            </w:r>
          </w:p>
        </w:tc>
        <w:tc>
          <w:tcPr>
            <w:tcW w:w="726" w:type="pct"/>
          </w:tcPr>
          <w:p w:rsidR="00DA6A6F" w:rsidRPr="00154FF3" w:rsidRDefault="00DA6A6F" w:rsidP="00C72CBA">
            <w:pPr>
              <w:pStyle w:val="TableTitle"/>
              <w:rPr>
                <w:lang w:val="en-CA"/>
              </w:rPr>
            </w:pPr>
            <w:r w:rsidRPr="00154FF3">
              <w:rPr>
                <w:lang w:val="en-CA"/>
              </w:rPr>
              <w:t>Total</w:t>
            </w:r>
          </w:p>
          <w:p w:rsidR="00DA6A6F" w:rsidRPr="00154FF3" w:rsidRDefault="00DA6A6F" w:rsidP="00C72CBA">
            <w:pPr>
              <w:pStyle w:val="TableTitle"/>
              <w:rPr>
                <w:lang w:val="en-CA"/>
              </w:rPr>
            </w:pPr>
            <w:r w:rsidRPr="00154FF3">
              <w:rPr>
                <w:lang w:val="en-CA"/>
              </w:rPr>
              <w:t>population</w:t>
            </w:r>
          </w:p>
        </w:tc>
      </w:tr>
      <w:tr w:rsidR="00DA6A6F" w:rsidRPr="00154FF3" w:rsidTr="003643BA">
        <w:trPr>
          <w:cantSplit/>
          <w:trHeight w:val="290"/>
          <w:tblHeader/>
          <w:jc w:val="center"/>
        </w:trPr>
        <w:tc>
          <w:tcPr>
            <w:tcW w:w="1194" w:type="pct"/>
          </w:tcPr>
          <w:p w:rsidR="00DA6A6F" w:rsidRPr="00154FF3" w:rsidRDefault="00DA6A6F"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As of March 31, 2014</w:t>
            </w:r>
          </w:p>
        </w:tc>
        <w:tc>
          <w:tcPr>
            <w:tcW w:w="902"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65</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8</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77</w:t>
            </w:r>
          </w:p>
        </w:tc>
      </w:tr>
      <w:tr w:rsidR="00DA6A6F" w:rsidRPr="00154FF3" w:rsidTr="003643BA">
        <w:trPr>
          <w:cantSplit/>
          <w:trHeight w:val="290"/>
          <w:tblHeader/>
          <w:jc w:val="center"/>
        </w:trPr>
        <w:tc>
          <w:tcPr>
            <w:tcW w:w="1194" w:type="pct"/>
          </w:tcPr>
          <w:p w:rsidR="00DA6A6F" w:rsidRPr="00154FF3" w:rsidRDefault="00DA6A6F"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As of March 31, 2015</w:t>
            </w:r>
          </w:p>
        </w:tc>
        <w:tc>
          <w:tcPr>
            <w:tcW w:w="902"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71</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7</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82</w:t>
            </w:r>
          </w:p>
        </w:tc>
      </w:tr>
      <w:tr w:rsidR="00DA6A6F" w:rsidRPr="00154FF3" w:rsidTr="003643BA">
        <w:trPr>
          <w:cantSplit/>
          <w:trHeight w:val="290"/>
          <w:tblHeader/>
          <w:jc w:val="center"/>
        </w:trPr>
        <w:tc>
          <w:tcPr>
            <w:tcW w:w="1194" w:type="pct"/>
          </w:tcPr>
          <w:p w:rsidR="00DA6A6F" w:rsidRPr="00154FF3" w:rsidRDefault="00DA6A6F"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As of March 31, 2016</w:t>
            </w:r>
          </w:p>
        </w:tc>
        <w:tc>
          <w:tcPr>
            <w:tcW w:w="902"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75</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13</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93</w:t>
            </w:r>
          </w:p>
        </w:tc>
      </w:tr>
      <w:tr w:rsidR="00DA6A6F" w:rsidRPr="00154FF3" w:rsidTr="003643BA">
        <w:trPr>
          <w:cantSplit/>
          <w:trHeight w:val="290"/>
          <w:tblHeader/>
          <w:jc w:val="center"/>
        </w:trPr>
        <w:tc>
          <w:tcPr>
            <w:tcW w:w="1194" w:type="pct"/>
          </w:tcPr>
          <w:p w:rsidR="00DA6A6F" w:rsidRPr="00154FF3" w:rsidRDefault="00DA6A6F"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As of March 31, 2017</w:t>
            </w:r>
          </w:p>
        </w:tc>
        <w:tc>
          <w:tcPr>
            <w:tcW w:w="902"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75</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6</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15</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98</w:t>
            </w:r>
          </w:p>
        </w:tc>
      </w:tr>
      <w:tr w:rsidR="00DA6A6F" w:rsidRPr="00154FF3" w:rsidTr="003643BA">
        <w:trPr>
          <w:cantSplit/>
          <w:trHeight w:val="290"/>
          <w:tblHeader/>
          <w:jc w:val="center"/>
        </w:trPr>
        <w:tc>
          <w:tcPr>
            <w:tcW w:w="1194" w:type="pct"/>
          </w:tcPr>
          <w:p w:rsidR="00DA6A6F" w:rsidRPr="00154FF3" w:rsidRDefault="00DA6A6F"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As of March 31, 2018</w:t>
            </w:r>
          </w:p>
        </w:tc>
        <w:tc>
          <w:tcPr>
            <w:tcW w:w="902"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90</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10</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11</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113</w:t>
            </w:r>
          </w:p>
        </w:tc>
      </w:tr>
      <w:tr w:rsidR="00DA6A6F" w:rsidRPr="00154FF3" w:rsidTr="003643BA">
        <w:trPr>
          <w:cantSplit/>
          <w:trHeight w:val="290"/>
          <w:tblHeader/>
          <w:jc w:val="center"/>
        </w:trPr>
        <w:tc>
          <w:tcPr>
            <w:tcW w:w="1194" w:type="pct"/>
          </w:tcPr>
          <w:p w:rsidR="00DA6A6F" w:rsidRPr="00154FF3" w:rsidRDefault="00DA6A6F"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As of March 31, 2019</w:t>
            </w:r>
          </w:p>
        </w:tc>
        <w:tc>
          <w:tcPr>
            <w:tcW w:w="902"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100</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8</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15</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c>
          <w:tcPr>
            <w:tcW w:w="726" w:type="pct"/>
          </w:tcPr>
          <w:p w:rsidR="00DA6A6F" w:rsidRPr="00154FF3" w:rsidRDefault="00DA6A6F" w:rsidP="00B87271">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127</w:t>
            </w:r>
          </w:p>
        </w:tc>
      </w:tr>
    </w:tbl>
    <w:p w:rsidR="00DA6D75" w:rsidRPr="00154FF3" w:rsidRDefault="00DA6D75" w:rsidP="00DA6D75">
      <w:pPr>
        <w:pStyle w:val="Heading1"/>
        <w:spacing w:before="120" w:after="120"/>
        <w:rPr>
          <w:sz w:val="40"/>
          <w:lang w:val="en-CA"/>
        </w:rPr>
      </w:pPr>
      <w:r w:rsidRPr="00154FF3">
        <w:rPr>
          <w:sz w:val="40"/>
          <w:lang w:val="en-CA"/>
        </w:rPr>
        <w:lastRenderedPageBreak/>
        <w:t>Population by language requirements as of March 31, 2019</w:t>
      </w:r>
    </w:p>
    <w:p w:rsidR="00DA6A6F" w:rsidRPr="00154FF3" w:rsidRDefault="00595328" w:rsidP="00C72CBA">
      <w:pPr>
        <w:pStyle w:val="Heading3"/>
        <w:jc w:val="center"/>
        <w:rPr>
          <w:lang w:val="en-CA"/>
        </w:rPr>
      </w:pPr>
      <w:r w:rsidRPr="00154FF3">
        <w:rPr>
          <w:noProof/>
          <w:lang w:val="en-CA" w:eastAsia="en-CA"/>
        </w:rPr>
        <w:drawing>
          <wp:inline distT="0" distB="0" distL="0" distR="0" wp14:anchorId="30248DCD" wp14:editId="0560AD92">
            <wp:extent cx="1980000" cy="3020400"/>
            <wp:effectExtent l="0" t="0" r="1270" b="8890"/>
            <wp:docPr id="8" name="Chart 8" descr="Population by language requirements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A6A6F" w:rsidRPr="00154FF3" w:rsidRDefault="00DA6A6F" w:rsidP="00C72CBA">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00CC1042" w:rsidRPr="00154FF3">
        <w:rPr>
          <w:lang w:val="en-CA"/>
        </w:rPr>
        <w:t>2</w:t>
      </w:r>
      <w:r w:rsidRPr="00154FF3">
        <w:rPr>
          <w:lang w:val="en-CA"/>
        </w:rPr>
        <w:fldChar w:fldCharType="end"/>
      </w:r>
      <w:r w:rsidRPr="00154FF3">
        <w:rPr>
          <w:lang w:val="en-CA"/>
        </w:rPr>
        <w:t xml:space="preserve"> - Population by language requirements as of March 31, 2019</w:t>
      </w:r>
    </w:p>
    <w:p w:rsidR="00DA6A6F" w:rsidRPr="00154FF3" w:rsidRDefault="00DA6A6F" w:rsidP="00C72CBA">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2</w:t>
      </w:r>
      <w:r w:rsidRPr="00154FF3">
        <w:rPr>
          <w:lang w:val="en-CA"/>
        </w:rPr>
        <w:fldChar w:fldCharType="end"/>
      </w:r>
      <w:r w:rsidRPr="00154FF3">
        <w:rPr>
          <w:lang w:val="en-CA"/>
        </w:rPr>
        <w:t xml:space="preserve"> - Public Service Employment Act population by language requirements of the position for fiscal year 2018 to 2019</w:t>
      </w:r>
    </w:p>
    <w:tbl>
      <w:tblPr>
        <w:tblStyle w:val="TableGrid1"/>
        <w:tblW w:w="5000" w:type="pct"/>
        <w:jc w:val="center"/>
        <w:tblLook w:val="0000" w:firstRow="0" w:lastRow="0" w:firstColumn="0" w:lastColumn="0" w:noHBand="0" w:noVBand="0"/>
        <w:tblDescription w:val="Population by language requirements as of March 31, 2019"/>
      </w:tblPr>
      <w:tblGrid>
        <w:gridCol w:w="4539"/>
        <w:gridCol w:w="3759"/>
        <w:gridCol w:w="5372"/>
      </w:tblGrid>
      <w:tr w:rsidR="00DA6A6F" w:rsidRPr="00154FF3" w:rsidTr="00DA6D75">
        <w:trPr>
          <w:cantSplit/>
          <w:trHeight w:val="290"/>
          <w:tblHeader/>
          <w:jc w:val="center"/>
        </w:trPr>
        <w:tc>
          <w:tcPr>
            <w:tcW w:w="1660" w:type="pct"/>
          </w:tcPr>
          <w:p w:rsidR="00DA6A6F" w:rsidRPr="00154FF3" w:rsidRDefault="00DA6A6F" w:rsidP="00C72CBA">
            <w:pPr>
              <w:pStyle w:val="TableTitle"/>
              <w:rPr>
                <w:lang w:val="en-CA"/>
              </w:rPr>
            </w:pPr>
            <w:r w:rsidRPr="00154FF3">
              <w:rPr>
                <w:lang w:val="en-CA"/>
              </w:rPr>
              <w:t>Linguistic requirements of the position</w:t>
            </w:r>
          </w:p>
        </w:tc>
        <w:tc>
          <w:tcPr>
            <w:tcW w:w="1375" w:type="pct"/>
          </w:tcPr>
          <w:p w:rsidR="00DA6A6F" w:rsidRPr="00154FF3" w:rsidRDefault="00DA6A6F" w:rsidP="00C72CBA">
            <w:pPr>
              <w:pStyle w:val="TableTitle"/>
              <w:rPr>
                <w:lang w:val="en-CA"/>
              </w:rPr>
            </w:pPr>
            <w:r w:rsidRPr="00154FF3">
              <w:rPr>
                <w:lang w:val="en-CA"/>
              </w:rPr>
              <w:t>Population as of March 31, 2019</w:t>
            </w:r>
          </w:p>
        </w:tc>
        <w:tc>
          <w:tcPr>
            <w:tcW w:w="1965" w:type="pct"/>
          </w:tcPr>
          <w:p w:rsidR="00DA6A6F" w:rsidRPr="00154FF3" w:rsidRDefault="00DA6A6F" w:rsidP="00C72CBA">
            <w:pPr>
              <w:pStyle w:val="TableTitle"/>
              <w:rPr>
                <w:lang w:val="en-CA"/>
              </w:rPr>
            </w:pPr>
            <w:r w:rsidRPr="00154FF3">
              <w:rPr>
                <w:lang w:val="en-CA"/>
              </w:rPr>
              <w:t>Percentage of population as of March 31, 2019</w:t>
            </w:r>
          </w:p>
        </w:tc>
      </w:tr>
      <w:tr w:rsidR="00DA6A6F" w:rsidRPr="00154FF3" w:rsidTr="00DA6D75">
        <w:trPr>
          <w:cantSplit/>
          <w:trHeight w:val="290"/>
          <w:tblHeader/>
          <w:jc w:val="center"/>
        </w:trPr>
        <w:tc>
          <w:tcPr>
            <w:tcW w:w="1660" w:type="pct"/>
          </w:tcPr>
          <w:p w:rsidR="00DA6A6F" w:rsidRPr="00154FF3" w:rsidRDefault="00DA6A6F"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 xml:space="preserve">Bilingual </w:t>
            </w:r>
          </w:p>
        </w:tc>
        <w:tc>
          <w:tcPr>
            <w:tcW w:w="1375" w:type="pct"/>
          </w:tcPr>
          <w:p w:rsidR="00DA6A6F" w:rsidRPr="00154FF3" w:rsidRDefault="00DA6A6F" w:rsidP="00F3009F">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81</w:t>
            </w:r>
          </w:p>
        </w:tc>
        <w:tc>
          <w:tcPr>
            <w:tcW w:w="1965" w:type="pct"/>
            <w:shd w:val="clear" w:color="auto" w:fill="auto"/>
          </w:tcPr>
          <w:p w:rsidR="00DA6A6F" w:rsidRPr="00154FF3" w:rsidRDefault="00DA6A6F" w:rsidP="00F3009F">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85%</w:t>
            </w:r>
          </w:p>
        </w:tc>
      </w:tr>
      <w:tr w:rsidR="00DA6A6F" w:rsidRPr="00154FF3" w:rsidTr="00DA6D75">
        <w:trPr>
          <w:cantSplit/>
          <w:trHeight w:val="290"/>
          <w:tblHeader/>
          <w:jc w:val="center"/>
        </w:trPr>
        <w:tc>
          <w:tcPr>
            <w:tcW w:w="1660" w:type="pct"/>
          </w:tcPr>
          <w:p w:rsidR="00DA6A6F" w:rsidRPr="00154FF3" w:rsidRDefault="00DA6A6F"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Unilingual</w:t>
            </w:r>
          </w:p>
        </w:tc>
        <w:tc>
          <w:tcPr>
            <w:tcW w:w="1375" w:type="pct"/>
          </w:tcPr>
          <w:p w:rsidR="00DA6A6F" w:rsidRPr="00154FF3" w:rsidRDefault="00DA6A6F" w:rsidP="00F3009F">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14</w:t>
            </w:r>
          </w:p>
        </w:tc>
        <w:tc>
          <w:tcPr>
            <w:tcW w:w="1965" w:type="pct"/>
            <w:shd w:val="clear" w:color="auto" w:fill="auto"/>
          </w:tcPr>
          <w:p w:rsidR="00DA6A6F" w:rsidRPr="00154FF3" w:rsidRDefault="00DA6A6F" w:rsidP="00F3009F">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15%</w:t>
            </w:r>
          </w:p>
        </w:tc>
      </w:tr>
      <w:tr w:rsidR="00DA6A6F" w:rsidRPr="00154FF3" w:rsidTr="00DA6D75">
        <w:trPr>
          <w:cantSplit/>
          <w:trHeight w:val="290"/>
          <w:tblHeader/>
          <w:jc w:val="center"/>
        </w:trPr>
        <w:tc>
          <w:tcPr>
            <w:tcW w:w="1660" w:type="pct"/>
          </w:tcPr>
          <w:p w:rsidR="00DA6A6F" w:rsidRPr="00154FF3" w:rsidRDefault="00DA6A6F"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Unknown</w:t>
            </w:r>
          </w:p>
        </w:tc>
        <w:tc>
          <w:tcPr>
            <w:tcW w:w="1375" w:type="pct"/>
          </w:tcPr>
          <w:p w:rsidR="00DA6A6F" w:rsidRPr="00154FF3" w:rsidRDefault="00DA6A6F" w:rsidP="00F3009F">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32</w:t>
            </w:r>
          </w:p>
        </w:tc>
        <w:tc>
          <w:tcPr>
            <w:tcW w:w="1965" w:type="pct"/>
            <w:shd w:val="clear" w:color="auto" w:fill="auto"/>
          </w:tcPr>
          <w:p w:rsidR="00DA6A6F" w:rsidRPr="00154FF3" w:rsidRDefault="00154FF3" w:rsidP="00F3009F">
            <w:pPr>
              <w:jc w:val="center"/>
              <w:rPr>
                <w:rFonts w:asciiTheme="minorHAnsi" w:eastAsiaTheme="minorHAnsi" w:hAnsiTheme="minorHAnsi" w:cstheme="minorHAnsi"/>
                <w:sz w:val="22"/>
                <w:szCs w:val="22"/>
                <w:lang w:val="en-CA"/>
              </w:rPr>
            </w:pPr>
            <w:r>
              <w:rPr>
                <w:rFonts w:asciiTheme="minorHAnsi" w:eastAsiaTheme="minorHAnsi" w:hAnsiTheme="minorHAnsi" w:cstheme="minorHAnsi"/>
                <w:sz w:val="22"/>
                <w:szCs w:val="22"/>
                <w:lang w:val="en-CA"/>
              </w:rPr>
              <w:t>0%</w:t>
            </w:r>
          </w:p>
        </w:tc>
      </w:tr>
    </w:tbl>
    <w:p w:rsidR="00DA6D75" w:rsidRPr="00154FF3" w:rsidRDefault="00DA6D75" w:rsidP="00DA6D75">
      <w:pPr>
        <w:pStyle w:val="Heading1"/>
        <w:spacing w:before="120" w:after="120"/>
        <w:rPr>
          <w:sz w:val="40"/>
          <w:lang w:val="en-CA"/>
        </w:rPr>
      </w:pPr>
      <w:r w:rsidRPr="00154FF3">
        <w:rPr>
          <w:sz w:val="40"/>
          <w:lang w:val="en-CA"/>
        </w:rPr>
        <w:lastRenderedPageBreak/>
        <w:t>Population by occupational group as of March 31, 2019</w:t>
      </w:r>
    </w:p>
    <w:p w:rsidR="00DA6A6F" w:rsidRPr="00154FF3" w:rsidRDefault="00DA6A6F" w:rsidP="00C72CBA">
      <w:pPr>
        <w:pStyle w:val="Heading3"/>
        <w:jc w:val="center"/>
        <w:rPr>
          <w:lang w:val="en-CA"/>
        </w:rPr>
      </w:pPr>
      <w:r w:rsidRPr="00154FF3">
        <w:rPr>
          <w:noProof/>
          <w:lang w:val="en-CA" w:eastAsia="en-CA"/>
        </w:rPr>
        <w:drawing>
          <wp:inline distT="0" distB="0" distL="0" distR="0" wp14:anchorId="4BB3C3B7" wp14:editId="4A681E5E">
            <wp:extent cx="1980000" cy="3020400"/>
            <wp:effectExtent l="0" t="0" r="1270" b="8890"/>
            <wp:docPr id="5" name="Chart 5" descr="Population by occupational group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A6A6F" w:rsidRPr="00154FF3" w:rsidRDefault="00DA6A6F" w:rsidP="00C72CBA">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00CC1042" w:rsidRPr="00154FF3">
        <w:rPr>
          <w:lang w:val="en-CA"/>
        </w:rPr>
        <w:t>3</w:t>
      </w:r>
      <w:r w:rsidRPr="00154FF3">
        <w:rPr>
          <w:lang w:val="en-CA"/>
        </w:rPr>
        <w:fldChar w:fldCharType="end"/>
      </w:r>
      <w:r w:rsidRPr="00154FF3">
        <w:rPr>
          <w:lang w:val="en-CA"/>
        </w:rPr>
        <w:t xml:space="preserve"> - Population by occupational group as of March 31, 2019</w:t>
      </w:r>
    </w:p>
    <w:p w:rsidR="00DA6A6F" w:rsidRPr="00154FF3" w:rsidRDefault="00DA6A6F" w:rsidP="00C72CBA">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3</w:t>
      </w:r>
      <w:r w:rsidRPr="00154FF3">
        <w:rPr>
          <w:lang w:val="en-CA"/>
        </w:rPr>
        <w:fldChar w:fldCharType="end"/>
      </w:r>
      <w:r w:rsidRPr="00154FF3">
        <w:rPr>
          <w:lang w:val="en-CA"/>
        </w:rPr>
        <w:t xml:space="preserve"> - Top occupational groups, as a percentage of the Public Service Employment Act population for fiscal year 2018 to 2019</w:t>
      </w:r>
    </w:p>
    <w:tbl>
      <w:tblPr>
        <w:tblStyle w:val="TableGrid1"/>
        <w:tblW w:w="5000" w:type="pct"/>
        <w:jc w:val="center"/>
        <w:tblLook w:val="0000" w:firstRow="0" w:lastRow="0" w:firstColumn="0" w:lastColumn="0" w:noHBand="0" w:noVBand="0"/>
        <w:tblDescription w:val="Population by occupational group as of March 31, 2019"/>
      </w:tblPr>
      <w:tblGrid>
        <w:gridCol w:w="4187"/>
        <w:gridCol w:w="3902"/>
        <w:gridCol w:w="5581"/>
      </w:tblGrid>
      <w:tr w:rsidR="00DA6A6F" w:rsidRPr="00154FF3" w:rsidTr="00DA6D75">
        <w:trPr>
          <w:cantSplit/>
          <w:trHeight w:val="290"/>
          <w:tblHeader/>
          <w:jc w:val="center"/>
        </w:trPr>
        <w:tc>
          <w:tcPr>
            <w:tcW w:w="1531" w:type="pct"/>
          </w:tcPr>
          <w:p w:rsidR="00DA6A6F" w:rsidRPr="00154FF3" w:rsidRDefault="00DA6A6F" w:rsidP="00C72CBA">
            <w:pPr>
              <w:pStyle w:val="TableTitle"/>
              <w:rPr>
                <w:lang w:val="en-CA"/>
              </w:rPr>
            </w:pPr>
            <w:r w:rsidRPr="00154FF3">
              <w:rPr>
                <w:lang w:val="en-CA"/>
              </w:rPr>
              <w:t>Occupational group</w:t>
            </w:r>
          </w:p>
        </w:tc>
        <w:tc>
          <w:tcPr>
            <w:tcW w:w="1427" w:type="pct"/>
          </w:tcPr>
          <w:p w:rsidR="00DA6A6F" w:rsidRPr="00154FF3" w:rsidRDefault="00DA6A6F" w:rsidP="00C72CBA">
            <w:pPr>
              <w:pStyle w:val="TableTitle"/>
              <w:rPr>
                <w:lang w:val="en-CA"/>
              </w:rPr>
            </w:pPr>
            <w:r w:rsidRPr="00154FF3">
              <w:rPr>
                <w:lang w:val="en-CA"/>
              </w:rPr>
              <w:t>Population as of March 31, 2019</w:t>
            </w:r>
          </w:p>
        </w:tc>
        <w:tc>
          <w:tcPr>
            <w:tcW w:w="2041" w:type="pct"/>
          </w:tcPr>
          <w:p w:rsidR="00DA6A6F" w:rsidRPr="00154FF3" w:rsidRDefault="00DA6A6F" w:rsidP="00C72CBA">
            <w:pPr>
              <w:pStyle w:val="TableTitle"/>
              <w:rPr>
                <w:lang w:val="en-CA"/>
              </w:rPr>
            </w:pPr>
            <w:r w:rsidRPr="00154FF3">
              <w:rPr>
                <w:lang w:val="en-CA"/>
              </w:rPr>
              <w:t>Percentage of population as of March 31, 2019</w:t>
            </w:r>
          </w:p>
        </w:tc>
      </w:tr>
      <w:tr w:rsidR="00DA6A6F" w:rsidRPr="00154FF3" w:rsidTr="00DA6D75">
        <w:trPr>
          <w:cantSplit/>
          <w:trHeight w:val="290"/>
          <w:tblHeader/>
          <w:jc w:val="center"/>
        </w:trPr>
        <w:tc>
          <w:tcPr>
            <w:tcW w:w="1531" w:type="pct"/>
          </w:tcPr>
          <w:p w:rsidR="00DA6A6F" w:rsidRPr="00154FF3" w:rsidRDefault="00DA6A6F"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RE – Regulatory Enforcement Group</w:t>
            </w:r>
          </w:p>
        </w:tc>
        <w:tc>
          <w:tcPr>
            <w:tcW w:w="1427" w:type="pct"/>
          </w:tcPr>
          <w:p w:rsidR="00DA6A6F" w:rsidRPr="00154FF3" w:rsidRDefault="00DA6A6F"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123</w:t>
            </w:r>
          </w:p>
        </w:tc>
        <w:tc>
          <w:tcPr>
            <w:tcW w:w="2041" w:type="pct"/>
          </w:tcPr>
          <w:p w:rsidR="00DA6A6F" w:rsidRPr="00154FF3" w:rsidRDefault="00DA6A6F"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100%</w:t>
            </w:r>
          </w:p>
        </w:tc>
      </w:tr>
    </w:tbl>
    <w:p w:rsidR="00DA6D75" w:rsidRPr="00154FF3" w:rsidRDefault="00DA6D75" w:rsidP="00DA6D75">
      <w:pPr>
        <w:pStyle w:val="Heading1"/>
        <w:spacing w:before="120" w:after="120"/>
        <w:rPr>
          <w:sz w:val="40"/>
          <w:lang w:val="en-CA"/>
        </w:rPr>
      </w:pPr>
      <w:r w:rsidRPr="00154FF3">
        <w:rPr>
          <w:sz w:val="40"/>
          <w:lang w:val="en-CA"/>
        </w:rPr>
        <w:lastRenderedPageBreak/>
        <w:t>Population by region as of March 31, 2019</w:t>
      </w:r>
    </w:p>
    <w:p w:rsidR="001835A5" w:rsidRPr="00154FF3" w:rsidRDefault="00DA6A6F" w:rsidP="00C72CBA">
      <w:pPr>
        <w:pStyle w:val="Heading3"/>
        <w:jc w:val="center"/>
        <w:rPr>
          <w:lang w:val="en-CA"/>
        </w:rPr>
      </w:pPr>
      <w:r w:rsidRPr="00154FF3">
        <w:rPr>
          <w:noProof/>
          <w:lang w:val="en-CA" w:eastAsia="en-CA"/>
        </w:rPr>
        <w:drawing>
          <wp:inline distT="0" distB="0" distL="0" distR="0" wp14:anchorId="3C38458B" wp14:editId="55D0C40E">
            <wp:extent cx="1980000" cy="3020400"/>
            <wp:effectExtent l="0" t="0" r="1270" b="8890"/>
            <wp:docPr id="12" name="Chart 12" descr="Population by region as of March 31,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A6A6F" w:rsidRPr="00154FF3" w:rsidRDefault="001835A5" w:rsidP="00C72CBA">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00CC1042" w:rsidRPr="00154FF3">
        <w:rPr>
          <w:lang w:val="en-CA"/>
        </w:rPr>
        <w:t>4</w:t>
      </w:r>
      <w:r w:rsidRPr="00154FF3">
        <w:rPr>
          <w:lang w:val="en-CA"/>
        </w:rPr>
        <w:fldChar w:fldCharType="end"/>
      </w:r>
      <w:r w:rsidRPr="00154FF3">
        <w:rPr>
          <w:lang w:val="en-CA"/>
        </w:rPr>
        <w:t xml:space="preserve"> - Population by region as of March 31, 2019</w:t>
      </w:r>
    </w:p>
    <w:p w:rsidR="001835A5" w:rsidRPr="00154FF3" w:rsidRDefault="001835A5" w:rsidP="00C72CBA">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4</w:t>
      </w:r>
      <w:r w:rsidRPr="00154FF3">
        <w:rPr>
          <w:lang w:val="en-CA"/>
        </w:rPr>
        <w:fldChar w:fldCharType="end"/>
      </w:r>
      <w:r w:rsidRPr="00154FF3">
        <w:rPr>
          <w:lang w:val="en-CA"/>
        </w:rPr>
        <w:t xml:space="preserve"> - Distribution by region, as a percentage of the Public Service Employment Act population for fiscal year 2018 to 2019</w:t>
      </w:r>
    </w:p>
    <w:tbl>
      <w:tblPr>
        <w:tblStyle w:val="TableGrid1"/>
        <w:tblW w:w="5000" w:type="pct"/>
        <w:jc w:val="center"/>
        <w:tblLook w:val="0000" w:firstRow="0" w:lastRow="0" w:firstColumn="0" w:lastColumn="0" w:noHBand="0" w:noVBand="0"/>
        <w:tblDescription w:val="Population by region as of March 31, 2019"/>
      </w:tblPr>
      <w:tblGrid>
        <w:gridCol w:w="3713"/>
        <w:gridCol w:w="4098"/>
        <w:gridCol w:w="5859"/>
      </w:tblGrid>
      <w:tr w:rsidR="001835A5" w:rsidRPr="00154FF3" w:rsidTr="00DA6D75">
        <w:trPr>
          <w:cantSplit/>
          <w:trHeight w:val="290"/>
          <w:tblHeader/>
          <w:jc w:val="center"/>
        </w:trPr>
        <w:tc>
          <w:tcPr>
            <w:tcW w:w="1358" w:type="pct"/>
          </w:tcPr>
          <w:p w:rsidR="001835A5" w:rsidRPr="00154FF3" w:rsidRDefault="001835A5" w:rsidP="00C72CBA">
            <w:pPr>
              <w:pStyle w:val="TableTitle"/>
              <w:rPr>
                <w:lang w:val="en-CA"/>
              </w:rPr>
            </w:pPr>
            <w:r w:rsidRPr="00154FF3">
              <w:rPr>
                <w:lang w:val="en-CA"/>
              </w:rPr>
              <w:t>Region</w:t>
            </w:r>
          </w:p>
        </w:tc>
        <w:tc>
          <w:tcPr>
            <w:tcW w:w="1499" w:type="pct"/>
          </w:tcPr>
          <w:p w:rsidR="001835A5" w:rsidRPr="00154FF3" w:rsidRDefault="001835A5" w:rsidP="00C72CBA">
            <w:pPr>
              <w:pStyle w:val="TableTitle"/>
              <w:rPr>
                <w:lang w:val="en-CA"/>
              </w:rPr>
            </w:pPr>
            <w:r w:rsidRPr="00154FF3">
              <w:rPr>
                <w:lang w:val="en-CA"/>
              </w:rPr>
              <w:t>Population as of March 31, 2019</w:t>
            </w:r>
          </w:p>
        </w:tc>
        <w:tc>
          <w:tcPr>
            <w:tcW w:w="2143" w:type="pct"/>
          </w:tcPr>
          <w:p w:rsidR="001835A5" w:rsidRPr="00154FF3" w:rsidRDefault="001835A5" w:rsidP="00C72CBA">
            <w:pPr>
              <w:pStyle w:val="TableTitle"/>
              <w:rPr>
                <w:lang w:val="en-CA"/>
              </w:rPr>
            </w:pPr>
            <w:r w:rsidRPr="00154FF3">
              <w:rPr>
                <w:lang w:val="en-CA"/>
              </w:rPr>
              <w:t>Percentage of population as of March 31, 2019</w:t>
            </w:r>
          </w:p>
        </w:tc>
      </w:tr>
      <w:tr w:rsidR="001835A5" w:rsidRPr="00154FF3" w:rsidTr="00DA6D75">
        <w:trPr>
          <w:cantSplit/>
          <w:trHeight w:val="290"/>
          <w:tblHeader/>
          <w:jc w:val="center"/>
        </w:trPr>
        <w:tc>
          <w:tcPr>
            <w:tcW w:w="1358" w:type="pct"/>
          </w:tcPr>
          <w:p w:rsidR="001835A5" w:rsidRPr="00154FF3" w:rsidRDefault="001835A5"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National Capital Region (NCR)</w:t>
            </w:r>
          </w:p>
        </w:tc>
        <w:tc>
          <w:tcPr>
            <w:tcW w:w="1499" w:type="pct"/>
          </w:tcPr>
          <w:p w:rsidR="001835A5" w:rsidRPr="00154FF3" w:rsidRDefault="001835A5"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127</w:t>
            </w:r>
          </w:p>
        </w:tc>
        <w:tc>
          <w:tcPr>
            <w:tcW w:w="2143" w:type="pct"/>
          </w:tcPr>
          <w:p w:rsidR="001835A5" w:rsidRPr="00154FF3" w:rsidRDefault="001835A5"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100%</w:t>
            </w:r>
          </w:p>
        </w:tc>
      </w:tr>
      <w:tr w:rsidR="001835A5" w:rsidRPr="00154FF3" w:rsidTr="00DA6D75">
        <w:trPr>
          <w:cantSplit/>
          <w:trHeight w:val="290"/>
          <w:tblHeader/>
          <w:jc w:val="center"/>
        </w:trPr>
        <w:tc>
          <w:tcPr>
            <w:tcW w:w="1358" w:type="pct"/>
          </w:tcPr>
          <w:p w:rsidR="001835A5" w:rsidRPr="00154FF3" w:rsidRDefault="001835A5"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Non-NCR</w:t>
            </w:r>
          </w:p>
        </w:tc>
        <w:tc>
          <w:tcPr>
            <w:tcW w:w="1499" w:type="pct"/>
          </w:tcPr>
          <w:p w:rsidR="001835A5" w:rsidRPr="00154FF3" w:rsidRDefault="001835A5"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c>
          <w:tcPr>
            <w:tcW w:w="2143" w:type="pct"/>
          </w:tcPr>
          <w:p w:rsidR="001835A5" w:rsidRPr="00154FF3" w:rsidRDefault="001835A5"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r>
      <w:tr w:rsidR="001835A5" w:rsidRPr="00154FF3" w:rsidTr="00DA6D75">
        <w:trPr>
          <w:cantSplit/>
          <w:trHeight w:val="290"/>
          <w:tblHeader/>
          <w:jc w:val="center"/>
        </w:trPr>
        <w:tc>
          <w:tcPr>
            <w:tcW w:w="1358" w:type="pct"/>
          </w:tcPr>
          <w:p w:rsidR="001835A5" w:rsidRPr="00154FF3" w:rsidRDefault="001835A5"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Unknown</w:t>
            </w:r>
          </w:p>
        </w:tc>
        <w:tc>
          <w:tcPr>
            <w:tcW w:w="1499" w:type="pct"/>
          </w:tcPr>
          <w:p w:rsidR="001835A5" w:rsidRPr="00154FF3" w:rsidRDefault="001835A5"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c>
          <w:tcPr>
            <w:tcW w:w="2143" w:type="pct"/>
          </w:tcPr>
          <w:p w:rsidR="001835A5" w:rsidRPr="00154FF3" w:rsidRDefault="00154FF3" w:rsidP="00FA3D20">
            <w:pPr>
              <w:jc w:val="center"/>
              <w:rPr>
                <w:rFonts w:asciiTheme="minorHAnsi" w:eastAsiaTheme="minorHAnsi" w:hAnsiTheme="minorHAnsi" w:cstheme="minorHAnsi"/>
                <w:sz w:val="22"/>
                <w:lang w:val="en-CA"/>
              </w:rPr>
            </w:pPr>
            <w:r>
              <w:rPr>
                <w:rFonts w:asciiTheme="minorHAnsi" w:eastAsiaTheme="minorHAnsi" w:hAnsiTheme="minorHAnsi" w:cstheme="minorHAnsi"/>
                <w:sz w:val="22"/>
                <w:lang w:val="en-CA"/>
              </w:rPr>
              <w:t>0%</w:t>
            </w:r>
          </w:p>
        </w:tc>
      </w:tr>
    </w:tbl>
    <w:p w:rsidR="00DA6D75" w:rsidRPr="00154FF3" w:rsidRDefault="00DA6D75" w:rsidP="00DA6D75">
      <w:pPr>
        <w:pStyle w:val="Heading1"/>
        <w:spacing w:before="120" w:after="120"/>
        <w:rPr>
          <w:sz w:val="40"/>
          <w:lang w:val="en-CA"/>
        </w:rPr>
      </w:pPr>
      <w:r w:rsidRPr="00154FF3">
        <w:rPr>
          <w:sz w:val="40"/>
          <w:lang w:val="en-CA"/>
        </w:rPr>
        <w:lastRenderedPageBreak/>
        <w:t>External indeterminate hires by occupational group, 2018-19</w:t>
      </w:r>
    </w:p>
    <w:p w:rsidR="00D06902" w:rsidRPr="00154FF3" w:rsidRDefault="00DA6A6F" w:rsidP="008241BF">
      <w:pPr>
        <w:pStyle w:val="Heading3"/>
        <w:jc w:val="center"/>
        <w:rPr>
          <w:lang w:val="en-CA"/>
        </w:rPr>
      </w:pPr>
      <w:r w:rsidRPr="00154FF3">
        <w:rPr>
          <w:noProof/>
          <w:lang w:val="en-CA" w:eastAsia="en-CA"/>
        </w:rPr>
        <w:drawing>
          <wp:inline distT="0" distB="0" distL="0" distR="0" wp14:anchorId="3500560E" wp14:editId="68F22AEE">
            <wp:extent cx="1980000" cy="3020400"/>
            <wp:effectExtent l="0" t="0" r="1270" b="8890"/>
            <wp:docPr id="7" name="Chart 7" descr="External indeterminate hires by occupational group, 2018-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A6A6F" w:rsidRPr="00154FF3" w:rsidRDefault="00D06902" w:rsidP="008241BF">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00CC1042" w:rsidRPr="00154FF3">
        <w:rPr>
          <w:lang w:val="en-CA"/>
        </w:rPr>
        <w:t>5</w:t>
      </w:r>
      <w:r w:rsidRPr="00154FF3">
        <w:rPr>
          <w:lang w:val="en-CA"/>
        </w:rPr>
        <w:fldChar w:fldCharType="end"/>
      </w:r>
      <w:r w:rsidRPr="00154FF3">
        <w:rPr>
          <w:lang w:val="en-CA"/>
        </w:rPr>
        <w:t xml:space="preserve"> - External indeterminate hires by </w:t>
      </w:r>
      <w:r w:rsidR="005E1AE6" w:rsidRPr="00154FF3">
        <w:rPr>
          <w:lang w:val="en-CA"/>
        </w:rPr>
        <w:t>occupational group, 2018-19</w:t>
      </w:r>
    </w:p>
    <w:p w:rsidR="005E1AE6" w:rsidRPr="00154FF3" w:rsidRDefault="005E1AE6" w:rsidP="008241BF">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5</w:t>
      </w:r>
      <w:r w:rsidRPr="00154FF3">
        <w:rPr>
          <w:lang w:val="en-CA"/>
        </w:rPr>
        <w:fldChar w:fldCharType="end"/>
      </w:r>
      <w:r w:rsidRPr="00154FF3">
        <w:rPr>
          <w:lang w:val="en-CA"/>
        </w:rPr>
        <w:t xml:space="preserve"> - External indeterminate hires by top occupational groups, for fiscal year 2018 to 2019</w:t>
      </w:r>
    </w:p>
    <w:tbl>
      <w:tblPr>
        <w:tblStyle w:val="TableGrid1"/>
        <w:tblW w:w="5000" w:type="pct"/>
        <w:jc w:val="center"/>
        <w:tblLook w:val="0000" w:firstRow="0" w:lastRow="0" w:firstColumn="0" w:lastColumn="0" w:noHBand="0" w:noVBand="0"/>
        <w:tblDescription w:val="External indeterminate hires by occupational group,  2018-19"/>
      </w:tblPr>
      <w:tblGrid>
        <w:gridCol w:w="3833"/>
        <w:gridCol w:w="4607"/>
        <w:gridCol w:w="5230"/>
      </w:tblGrid>
      <w:tr w:rsidR="005E1AE6" w:rsidRPr="00154FF3" w:rsidTr="00DA6D75">
        <w:trPr>
          <w:cantSplit/>
          <w:trHeight w:val="290"/>
          <w:tblHeader/>
          <w:jc w:val="center"/>
        </w:trPr>
        <w:tc>
          <w:tcPr>
            <w:tcW w:w="1402" w:type="pct"/>
          </w:tcPr>
          <w:p w:rsidR="005E1AE6" w:rsidRPr="00154FF3" w:rsidRDefault="005E1AE6" w:rsidP="008241BF">
            <w:pPr>
              <w:pStyle w:val="TableTitle"/>
              <w:rPr>
                <w:lang w:val="en-CA"/>
              </w:rPr>
            </w:pPr>
            <w:r w:rsidRPr="00154FF3">
              <w:rPr>
                <w:lang w:val="en-CA"/>
              </w:rPr>
              <w:t>Occupational group</w:t>
            </w:r>
          </w:p>
        </w:tc>
        <w:tc>
          <w:tcPr>
            <w:tcW w:w="1685" w:type="pct"/>
          </w:tcPr>
          <w:p w:rsidR="005E1AE6" w:rsidRPr="00154FF3" w:rsidRDefault="005E1AE6" w:rsidP="008241BF">
            <w:pPr>
              <w:pStyle w:val="TableTitle"/>
              <w:rPr>
                <w:lang w:val="en-CA"/>
              </w:rPr>
            </w:pPr>
            <w:r w:rsidRPr="00154FF3">
              <w:rPr>
                <w:lang w:val="en-CA"/>
              </w:rPr>
              <w:t xml:space="preserve">Number of indeterminate hiring activities </w:t>
            </w:r>
          </w:p>
        </w:tc>
        <w:tc>
          <w:tcPr>
            <w:tcW w:w="1913" w:type="pct"/>
          </w:tcPr>
          <w:p w:rsidR="005E1AE6" w:rsidRPr="00154FF3" w:rsidRDefault="005E1AE6" w:rsidP="008241BF">
            <w:pPr>
              <w:pStyle w:val="TableTitle"/>
              <w:rPr>
                <w:lang w:val="en-CA"/>
              </w:rPr>
            </w:pPr>
            <w:r w:rsidRPr="00154FF3">
              <w:rPr>
                <w:lang w:val="en-CA"/>
              </w:rPr>
              <w:t>Percentage of all indeterminate hiring activities</w:t>
            </w:r>
          </w:p>
        </w:tc>
      </w:tr>
      <w:tr w:rsidR="005E1AE6" w:rsidRPr="00154FF3" w:rsidTr="00DA6D75">
        <w:trPr>
          <w:cantSplit/>
          <w:trHeight w:val="290"/>
          <w:tblHeader/>
          <w:jc w:val="center"/>
        </w:trPr>
        <w:tc>
          <w:tcPr>
            <w:tcW w:w="1402" w:type="pct"/>
          </w:tcPr>
          <w:p w:rsidR="005E1AE6" w:rsidRPr="00154FF3" w:rsidRDefault="005E1AE6" w:rsidP="005640A2">
            <w:pPr>
              <w:rPr>
                <w:rFonts w:asciiTheme="minorHAnsi" w:eastAsiaTheme="minorHAnsi" w:hAnsiTheme="minorHAnsi" w:cstheme="minorHAnsi"/>
                <w:sz w:val="22"/>
                <w:highlight w:val="yellow"/>
                <w:lang w:val="en-CA"/>
              </w:rPr>
            </w:pPr>
            <w:r w:rsidRPr="00154FF3">
              <w:rPr>
                <w:rFonts w:asciiTheme="minorHAnsi" w:eastAsiaTheme="minorHAnsi" w:hAnsiTheme="minorHAnsi" w:cstheme="minorHAnsi"/>
                <w:sz w:val="22"/>
                <w:lang w:val="en-CA"/>
              </w:rPr>
              <w:t>RE – Regulatory Enforcement Group</w:t>
            </w:r>
          </w:p>
        </w:tc>
        <w:tc>
          <w:tcPr>
            <w:tcW w:w="1685" w:type="pct"/>
          </w:tcPr>
          <w:p w:rsidR="005E1AE6" w:rsidRPr="00154FF3" w:rsidRDefault="005E1AE6"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13</w:t>
            </w:r>
          </w:p>
        </w:tc>
        <w:tc>
          <w:tcPr>
            <w:tcW w:w="1913" w:type="pct"/>
          </w:tcPr>
          <w:p w:rsidR="005E1AE6" w:rsidRPr="00154FF3" w:rsidRDefault="005E1AE6"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100%</w:t>
            </w:r>
          </w:p>
        </w:tc>
      </w:tr>
      <w:tr w:rsidR="005E1AE6" w:rsidRPr="00154FF3" w:rsidTr="00DA6D75">
        <w:trPr>
          <w:cantSplit/>
          <w:trHeight w:val="290"/>
          <w:tblHeader/>
          <w:jc w:val="center"/>
        </w:trPr>
        <w:tc>
          <w:tcPr>
            <w:tcW w:w="1402" w:type="pct"/>
          </w:tcPr>
          <w:p w:rsidR="005E1AE6" w:rsidRPr="00154FF3" w:rsidRDefault="005E1AE6"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Total</w:t>
            </w:r>
          </w:p>
        </w:tc>
        <w:tc>
          <w:tcPr>
            <w:tcW w:w="1685" w:type="pct"/>
          </w:tcPr>
          <w:p w:rsidR="005E1AE6" w:rsidRPr="00154FF3" w:rsidRDefault="005E1AE6"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13</w:t>
            </w:r>
          </w:p>
        </w:tc>
        <w:tc>
          <w:tcPr>
            <w:tcW w:w="1913" w:type="pct"/>
          </w:tcPr>
          <w:p w:rsidR="005E1AE6" w:rsidRPr="00154FF3" w:rsidRDefault="005E1AE6" w:rsidP="00FA3D20">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100%</w:t>
            </w:r>
          </w:p>
        </w:tc>
      </w:tr>
    </w:tbl>
    <w:p w:rsidR="00DA6D75" w:rsidRPr="00154FF3" w:rsidRDefault="00DA6D75" w:rsidP="00DA6D75">
      <w:pPr>
        <w:pStyle w:val="Heading1"/>
        <w:spacing w:before="120" w:after="120"/>
        <w:rPr>
          <w:sz w:val="40"/>
          <w:lang w:val="en-CA"/>
        </w:rPr>
      </w:pPr>
      <w:r w:rsidRPr="00154FF3">
        <w:rPr>
          <w:sz w:val="40"/>
          <w:lang w:val="en-CA"/>
        </w:rPr>
        <w:lastRenderedPageBreak/>
        <w:t>Staffing by region</w:t>
      </w:r>
    </w:p>
    <w:p w:rsidR="005E1AE6" w:rsidRPr="00154FF3" w:rsidRDefault="00595328" w:rsidP="008241BF">
      <w:pPr>
        <w:pStyle w:val="Heading3"/>
        <w:jc w:val="center"/>
        <w:rPr>
          <w:lang w:val="en-CA"/>
        </w:rPr>
      </w:pPr>
      <w:r w:rsidRPr="00154FF3">
        <w:rPr>
          <w:noProof/>
          <w:lang w:val="en-CA" w:eastAsia="en-CA"/>
        </w:rPr>
        <w:drawing>
          <wp:inline distT="0" distB="0" distL="0" distR="0" wp14:anchorId="3A4F607F" wp14:editId="1235C400">
            <wp:extent cx="5648400" cy="3049200"/>
            <wp:effectExtent l="0" t="0" r="9525" b="18415"/>
            <wp:docPr id="6" name="Chart 6" descr="Staffing by reg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5328" w:rsidRPr="00154FF3" w:rsidRDefault="005E1AE6" w:rsidP="008241BF">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00CC1042" w:rsidRPr="00154FF3">
        <w:rPr>
          <w:lang w:val="en-CA"/>
        </w:rPr>
        <w:t>6</w:t>
      </w:r>
      <w:r w:rsidRPr="00154FF3">
        <w:rPr>
          <w:lang w:val="en-CA"/>
        </w:rPr>
        <w:fldChar w:fldCharType="end"/>
      </w:r>
      <w:r w:rsidRPr="00154FF3">
        <w:rPr>
          <w:lang w:val="en-CA"/>
        </w:rPr>
        <w:t xml:space="preserve"> - Staffing by region</w:t>
      </w:r>
    </w:p>
    <w:p w:rsidR="005E1AE6" w:rsidRPr="00154FF3" w:rsidRDefault="005E1AE6" w:rsidP="008241BF">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6</w:t>
      </w:r>
      <w:r w:rsidRPr="00154FF3">
        <w:rPr>
          <w:lang w:val="en-CA"/>
        </w:rPr>
        <w:fldChar w:fldCharType="end"/>
      </w:r>
      <w:r w:rsidRPr="00154FF3">
        <w:rPr>
          <w:lang w:val="en-CA"/>
        </w:rPr>
        <w:t xml:space="preserve"> - Percentage of staffing activities in the National Capital Region compared with all other regions by fiscal year</w:t>
      </w:r>
    </w:p>
    <w:tbl>
      <w:tblPr>
        <w:tblStyle w:val="TableGrid1"/>
        <w:tblW w:w="5000" w:type="pct"/>
        <w:jc w:val="center"/>
        <w:tblLook w:val="0000" w:firstRow="0" w:lastRow="0" w:firstColumn="0" w:lastColumn="0" w:noHBand="0" w:noVBand="0"/>
        <w:tblDescription w:val="Staffing by region from 2014 to 2019"/>
      </w:tblPr>
      <w:tblGrid>
        <w:gridCol w:w="2080"/>
        <w:gridCol w:w="6480"/>
        <w:gridCol w:w="5110"/>
      </w:tblGrid>
      <w:tr w:rsidR="005E1AE6" w:rsidRPr="00154FF3" w:rsidTr="005E1AE6">
        <w:trPr>
          <w:cantSplit/>
          <w:trHeight w:val="290"/>
          <w:tblHeader/>
          <w:jc w:val="center"/>
        </w:trPr>
        <w:tc>
          <w:tcPr>
            <w:tcW w:w="761" w:type="pct"/>
          </w:tcPr>
          <w:p w:rsidR="005E1AE6" w:rsidRPr="00154FF3" w:rsidRDefault="005E1AE6" w:rsidP="008241BF">
            <w:pPr>
              <w:pStyle w:val="TableTitle"/>
              <w:rPr>
                <w:lang w:val="en-CA"/>
              </w:rPr>
            </w:pPr>
            <w:r w:rsidRPr="00154FF3">
              <w:rPr>
                <w:lang w:val="en-CA"/>
              </w:rPr>
              <w:t>Fiscal year</w:t>
            </w:r>
          </w:p>
        </w:tc>
        <w:tc>
          <w:tcPr>
            <w:tcW w:w="2370" w:type="pct"/>
          </w:tcPr>
          <w:p w:rsidR="005E1AE6" w:rsidRPr="00154FF3" w:rsidRDefault="005E1AE6" w:rsidP="008241BF">
            <w:pPr>
              <w:pStyle w:val="TableTitle"/>
              <w:rPr>
                <w:lang w:val="en-CA"/>
              </w:rPr>
            </w:pPr>
            <w:r w:rsidRPr="00154FF3">
              <w:rPr>
                <w:lang w:val="en-CA"/>
              </w:rPr>
              <w:t>Percentage of staffing activities in the National Capital Region (NCR)</w:t>
            </w:r>
          </w:p>
        </w:tc>
        <w:tc>
          <w:tcPr>
            <w:tcW w:w="1869" w:type="pct"/>
          </w:tcPr>
          <w:p w:rsidR="005E1AE6" w:rsidRPr="00154FF3" w:rsidRDefault="005E1AE6" w:rsidP="008241BF">
            <w:pPr>
              <w:pStyle w:val="TableTitle"/>
              <w:rPr>
                <w:lang w:val="en-CA"/>
              </w:rPr>
            </w:pPr>
            <w:r w:rsidRPr="00154FF3">
              <w:rPr>
                <w:lang w:val="en-CA"/>
              </w:rPr>
              <w:t>Percentage of staffing activities in all other regions (Non-NCR)</w:t>
            </w:r>
          </w:p>
        </w:tc>
      </w:tr>
      <w:tr w:rsidR="005E1AE6" w:rsidRPr="00154FF3" w:rsidTr="005E1AE6">
        <w:trPr>
          <w:cantSplit/>
          <w:trHeight w:val="290"/>
          <w:tblHeader/>
          <w:jc w:val="center"/>
        </w:trPr>
        <w:tc>
          <w:tcPr>
            <w:tcW w:w="761" w:type="pct"/>
          </w:tcPr>
          <w:p w:rsidR="005E1AE6" w:rsidRPr="00154FF3" w:rsidRDefault="005E1AE6"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2014 to 2015</w:t>
            </w:r>
          </w:p>
        </w:tc>
        <w:tc>
          <w:tcPr>
            <w:tcW w:w="2370"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100%</w:t>
            </w:r>
          </w:p>
        </w:tc>
        <w:tc>
          <w:tcPr>
            <w:tcW w:w="1869"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r>
      <w:tr w:rsidR="005E1AE6" w:rsidRPr="00154FF3" w:rsidTr="005E1AE6">
        <w:trPr>
          <w:cantSplit/>
          <w:trHeight w:val="290"/>
          <w:tblHeader/>
          <w:jc w:val="center"/>
        </w:trPr>
        <w:tc>
          <w:tcPr>
            <w:tcW w:w="761" w:type="pct"/>
          </w:tcPr>
          <w:p w:rsidR="005E1AE6" w:rsidRPr="00154FF3" w:rsidRDefault="005E1AE6"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2015 to 2016</w:t>
            </w:r>
          </w:p>
        </w:tc>
        <w:tc>
          <w:tcPr>
            <w:tcW w:w="2370"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100%</w:t>
            </w:r>
          </w:p>
        </w:tc>
        <w:tc>
          <w:tcPr>
            <w:tcW w:w="1869"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r>
      <w:tr w:rsidR="005E1AE6" w:rsidRPr="00154FF3" w:rsidTr="005E1AE6">
        <w:trPr>
          <w:cantSplit/>
          <w:trHeight w:val="290"/>
          <w:tblHeader/>
          <w:jc w:val="center"/>
        </w:trPr>
        <w:tc>
          <w:tcPr>
            <w:tcW w:w="761" w:type="pct"/>
          </w:tcPr>
          <w:p w:rsidR="005E1AE6" w:rsidRPr="00154FF3" w:rsidRDefault="005E1AE6"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2016 to 2017</w:t>
            </w:r>
          </w:p>
        </w:tc>
        <w:tc>
          <w:tcPr>
            <w:tcW w:w="2370"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100%</w:t>
            </w:r>
          </w:p>
        </w:tc>
        <w:tc>
          <w:tcPr>
            <w:tcW w:w="1869"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r>
      <w:tr w:rsidR="005E1AE6" w:rsidRPr="00154FF3" w:rsidTr="005E1AE6">
        <w:trPr>
          <w:cantSplit/>
          <w:trHeight w:val="290"/>
          <w:tblHeader/>
          <w:jc w:val="center"/>
        </w:trPr>
        <w:tc>
          <w:tcPr>
            <w:tcW w:w="761" w:type="pct"/>
          </w:tcPr>
          <w:p w:rsidR="005E1AE6" w:rsidRPr="00154FF3" w:rsidRDefault="005E1AE6"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2017 to 2018</w:t>
            </w:r>
          </w:p>
        </w:tc>
        <w:tc>
          <w:tcPr>
            <w:tcW w:w="2370"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100%</w:t>
            </w:r>
          </w:p>
        </w:tc>
        <w:tc>
          <w:tcPr>
            <w:tcW w:w="1869"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r>
      <w:tr w:rsidR="005E1AE6" w:rsidRPr="00154FF3" w:rsidTr="005E1AE6">
        <w:trPr>
          <w:cantSplit/>
          <w:trHeight w:val="290"/>
          <w:tblHeader/>
          <w:jc w:val="center"/>
        </w:trPr>
        <w:tc>
          <w:tcPr>
            <w:tcW w:w="761" w:type="pct"/>
          </w:tcPr>
          <w:p w:rsidR="005E1AE6" w:rsidRPr="00154FF3" w:rsidRDefault="005E1AE6"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2018 to 2019</w:t>
            </w:r>
          </w:p>
        </w:tc>
        <w:tc>
          <w:tcPr>
            <w:tcW w:w="2370"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100%</w:t>
            </w:r>
          </w:p>
        </w:tc>
        <w:tc>
          <w:tcPr>
            <w:tcW w:w="1869" w:type="pct"/>
          </w:tcPr>
          <w:p w:rsidR="005E1AE6" w:rsidRPr="00154FF3" w:rsidRDefault="005E1AE6" w:rsidP="00FA3D20">
            <w:pPr>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r>
    </w:tbl>
    <w:p w:rsidR="00DA6D75" w:rsidRPr="00154FF3" w:rsidRDefault="00DA6D75" w:rsidP="00DA6D75">
      <w:pPr>
        <w:pStyle w:val="Heading1"/>
        <w:spacing w:before="120" w:after="120"/>
        <w:rPr>
          <w:sz w:val="40"/>
          <w:lang w:val="en-CA"/>
        </w:rPr>
      </w:pPr>
      <w:r w:rsidRPr="00154FF3">
        <w:rPr>
          <w:sz w:val="40"/>
          <w:lang w:val="en-CA"/>
        </w:rPr>
        <w:lastRenderedPageBreak/>
        <w:t>Staffing by process type</w:t>
      </w:r>
    </w:p>
    <w:p w:rsidR="005E1AE6" w:rsidRPr="00154FF3" w:rsidRDefault="005E1AE6" w:rsidP="008241BF">
      <w:pPr>
        <w:pStyle w:val="Heading3"/>
        <w:jc w:val="center"/>
        <w:rPr>
          <w:lang w:val="en-CA"/>
        </w:rPr>
      </w:pPr>
      <w:r w:rsidRPr="00154FF3">
        <w:rPr>
          <w:noProof/>
          <w:lang w:val="en-CA" w:eastAsia="en-CA"/>
        </w:rPr>
        <w:drawing>
          <wp:inline distT="0" distB="0" distL="0" distR="0" wp14:anchorId="65C78E00" wp14:editId="339F8FC2">
            <wp:extent cx="5648400" cy="3049200"/>
            <wp:effectExtent l="0" t="0" r="9525" b="18415"/>
            <wp:docPr id="4" name="Chart 4" descr="Staffing by process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E1AE6" w:rsidRPr="00154FF3" w:rsidRDefault="005E1AE6" w:rsidP="008241BF">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00CC1042" w:rsidRPr="00154FF3">
        <w:rPr>
          <w:lang w:val="en-CA"/>
        </w:rPr>
        <w:t>7</w:t>
      </w:r>
      <w:r w:rsidRPr="00154FF3">
        <w:rPr>
          <w:lang w:val="en-CA"/>
        </w:rPr>
        <w:fldChar w:fldCharType="end"/>
      </w:r>
      <w:r w:rsidRPr="00154FF3">
        <w:rPr>
          <w:lang w:val="en-CA"/>
        </w:rPr>
        <w:t xml:space="preserve"> - Staffing by process type</w:t>
      </w:r>
    </w:p>
    <w:p w:rsidR="005E1AE6" w:rsidRPr="00154FF3" w:rsidRDefault="005E1AE6" w:rsidP="008241BF">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7</w:t>
      </w:r>
      <w:r w:rsidRPr="00154FF3">
        <w:rPr>
          <w:lang w:val="en-CA"/>
        </w:rPr>
        <w:fldChar w:fldCharType="end"/>
      </w:r>
      <w:r w:rsidRPr="00154FF3">
        <w:rPr>
          <w:lang w:val="en-CA"/>
        </w:rPr>
        <w:t xml:space="preserve"> - Number and percentage of staffing activities by type of process and fiscal year</w:t>
      </w:r>
    </w:p>
    <w:tbl>
      <w:tblPr>
        <w:tblStyle w:val="TableGrid1"/>
        <w:tblW w:w="5000" w:type="pct"/>
        <w:jc w:val="center"/>
        <w:tblLook w:val="0000" w:firstRow="0" w:lastRow="0" w:firstColumn="0" w:lastColumn="0" w:noHBand="0" w:noVBand="0"/>
        <w:tblDescription w:val="Staffing by process type from 2014 to 2019"/>
      </w:tblPr>
      <w:tblGrid>
        <w:gridCol w:w="1589"/>
        <w:gridCol w:w="5621"/>
        <w:gridCol w:w="2630"/>
        <w:gridCol w:w="3830"/>
      </w:tblGrid>
      <w:tr w:rsidR="005E1AE6" w:rsidRPr="00154FF3" w:rsidTr="00DA6D75">
        <w:trPr>
          <w:cantSplit/>
          <w:trHeight w:val="290"/>
          <w:tblHeader/>
          <w:jc w:val="center"/>
        </w:trPr>
        <w:tc>
          <w:tcPr>
            <w:tcW w:w="581" w:type="pct"/>
          </w:tcPr>
          <w:p w:rsidR="005E1AE6" w:rsidRPr="00154FF3" w:rsidRDefault="005E1AE6" w:rsidP="008241BF">
            <w:pPr>
              <w:pStyle w:val="TableTitle"/>
              <w:rPr>
                <w:lang w:val="en-CA"/>
              </w:rPr>
            </w:pPr>
            <w:r w:rsidRPr="00154FF3">
              <w:rPr>
                <w:lang w:val="en-CA"/>
              </w:rPr>
              <w:t>Fiscal year</w:t>
            </w:r>
          </w:p>
        </w:tc>
        <w:tc>
          <w:tcPr>
            <w:tcW w:w="2056" w:type="pct"/>
          </w:tcPr>
          <w:p w:rsidR="005E1AE6" w:rsidRPr="00154FF3" w:rsidRDefault="005E1AE6" w:rsidP="008241BF">
            <w:pPr>
              <w:pStyle w:val="TableTitle"/>
              <w:rPr>
                <w:lang w:val="en-CA"/>
              </w:rPr>
            </w:pPr>
            <w:r w:rsidRPr="00154FF3">
              <w:rPr>
                <w:lang w:val="en-CA"/>
              </w:rPr>
              <w:t>Non-advertised processes (excludes unknowns)</w:t>
            </w:r>
          </w:p>
        </w:tc>
        <w:tc>
          <w:tcPr>
            <w:tcW w:w="962" w:type="pct"/>
          </w:tcPr>
          <w:p w:rsidR="005E1AE6" w:rsidRPr="00154FF3" w:rsidRDefault="005E1AE6" w:rsidP="008241BF">
            <w:pPr>
              <w:pStyle w:val="TableTitle"/>
              <w:rPr>
                <w:lang w:val="en-CA"/>
              </w:rPr>
            </w:pPr>
            <w:r w:rsidRPr="00154FF3">
              <w:rPr>
                <w:lang w:val="en-CA"/>
              </w:rPr>
              <w:t>Advertised processes</w:t>
            </w:r>
          </w:p>
        </w:tc>
        <w:tc>
          <w:tcPr>
            <w:tcW w:w="1401" w:type="pct"/>
          </w:tcPr>
          <w:p w:rsidR="005E1AE6" w:rsidRPr="00154FF3" w:rsidRDefault="005E1AE6" w:rsidP="008241BF">
            <w:pPr>
              <w:pStyle w:val="TableTitle"/>
              <w:rPr>
                <w:lang w:val="en-CA"/>
              </w:rPr>
            </w:pPr>
            <w:r w:rsidRPr="00154FF3">
              <w:rPr>
                <w:lang w:val="en-CA"/>
              </w:rPr>
              <w:t>% of Non- advertised processes</w:t>
            </w:r>
          </w:p>
        </w:tc>
      </w:tr>
      <w:tr w:rsidR="005E1AE6" w:rsidRPr="00154FF3" w:rsidTr="00DA6D75">
        <w:trPr>
          <w:cantSplit/>
          <w:trHeight w:val="290"/>
          <w:tblHeader/>
          <w:jc w:val="center"/>
        </w:trPr>
        <w:tc>
          <w:tcPr>
            <w:tcW w:w="581" w:type="pct"/>
          </w:tcPr>
          <w:p w:rsidR="005E1AE6" w:rsidRPr="00154FF3" w:rsidRDefault="005E1AE6"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 xml:space="preserve">2014 to 2015 </w:t>
            </w:r>
          </w:p>
        </w:tc>
        <w:tc>
          <w:tcPr>
            <w:tcW w:w="2056"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c>
          <w:tcPr>
            <w:tcW w:w="962"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w:t>
            </w:r>
          </w:p>
        </w:tc>
        <w:tc>
          <w:tcPr>
            <w:tcW w:w="1401"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17%</w:t>
            </w:r>
          </w:p>
        </w:tc>
      </w:tr>
      <w:tr w:rsidR="005E1AE6" w:rsidRPr="00154FF3" w:rsidTr="00DA6D75">
        <w:trPr>
          <w:cantSplit/>
          <w:trHeight w:val="290"/>
          <w:tblHeader/>
          <w:jc w:val="center"/>
        </w:trPr>
        <w:tc>
          <w:tcPr>
            <w:tcW w:w="581" w:type="pct"/>
          </w:tcPr>
          <w:p w:rsidR="005E1AE6" w:rsidRPr="00154FF3" w:rsidRDefault="005E1AE6"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 xml:space="preserve">2015 to 2016 </w:t>
            </w:r>
          </w:p>
        </w:tc>
        <w:tc>
          <w:tcPr>
            <w:tcW w:w="2056"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w:t>
            </w:r>
          </w:p>
        </w:tc>
        <w:tc>
          <w:tcPr>
            <w:tcW w:w="962"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14</w:t>
            </w:r>
          </w:p>
        </w:tc>
        <w:tc>
          <w:tcPr>
            <w:tcW w:w="1401"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13%</w:t>
            </w:r>
          </w:p>
        </w:tc>
      </w:tr>
      <w:tr w:rsidR="005E1AE6" w:rsidRPr="00154FF3" w:rsidTr="00DA6D75">
        <w:trPr>
          <w:cantSplit/>
          <w:trHeight w:val="290"/>
          <w:tblHeader/>
          <w:jc w:val="center"/>
        </w:trPr>
        <w:tc>
          <w:tcPr>
            <w:tcW w:w="581" w:type="pct"/>
          </w:tcPr>
          <w:p w:rsidR="005E1AE6" w:rsidRPr="00154FF3" w:rsidRDefault="005E1AE6"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2016 to 2017</w:t>
            </w:r>
          </w:p>
        </w:tc>
        <w:tc>
          <w:tcPr>
            <w:tcW w:w="2056"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w:t>
            </w:r>
          </w:p>
        </w:tc>
        <w:tc>
          <w:tcPr>
            <w:tcW w:w="962"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17</w:t>
            </w:r>
          </w:p>
        </w:tc>
        <w:tc>
          <w:tcPr>
            <w:tcW w:w="1401"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11%</w:t>
            </w:r>
          </w:p>
        </w:tc>
      </w:tr>
      <w:tr w:rsidR="005E1AE6" w:rsidRPr="00154FF3" w:rsidTr="00DA6D75">
        <w:trPr>
          <w:cantSplit/>
          <w:trHeight w:val="290"/>
          <w:tblHeader/>
          <w:jc w:val="center"/>
        </w:trPr>
        <w:tc>
          <w:tcPr>
            <w:tcW w:w="581" w:type="pct"/>
          </w:tcPr>
          <w:p w:rsidR="005E1AE6" w:rsidRPr="00154FF3" w:rsidRDefault="005E1AE6"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2017 to 2018</w:t>
            </w:r>
          </w:p>
        </w:tc>
        <w:tc>
          <w:tcPr>
            <w:tcW w:w="2056"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6</w:t>
            </w:r>
          </w:p>
        </w:tc>
        <w:tc>
          <w:tcPr>
            <w:tcW w:w="962"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w:t>
            </w:r>
          </w:p>
        </w:tc>
        <w:tc>
          <w:tcPr>
            <w:tcW w:w="1401"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23%</w:t>
            </w:r>
          </w:p>
        </w:tc>
      </w:tr>
      <w:tr w:rsidR="005E1AE6" w:rsidRPr="00154FF3" w:rsidTr="00DA6D75">
        <w:trPr>
          <w:cantSplit/>
          <w:trHeight w:val="290"/>
          <w:tblHeader/>
          <w:jc w:val="center"/>
        </w:trPr>
        <w:tc>
          <w:tcPr>
            <w:tcW w:w="581" w:type="pct"/>
          </w:tcPr>
          <w:p w:rsidR="005E1AE6" w:rsidRPr="00154FF3" w:rsidRDefault="005E1AE6"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2018 to 2019</w:t>
            </w:r>
          </w:p>
        </w:tc>
        <w:tc>
          <w:tcPr>
            <w:tcW w:w="2056"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7</w:t>
            </w:r>
          </w:p>
        </w:tc>
        <w:tc>
          <w:tcPr>
            <w:tcW w:w="962"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10</w:t>
            </w:r>
          </w:p>
        </w:tc>
        <w:tc>
          <w:tcPr>
            <w:tcW w:w="1401" w:type="pct"/>
          </w:tcPr>
          <w:p w:rsidR="005E1AE6" w:rsidRPr="00154FF3" w:rsidRDefault="005E1AE6"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41%</w:t>
            </w:r>
          </w:p>
        </w:tc>
      </w:tr>
    </w:tbl>
    <w:p w:rsidR="00DA6D75" w:rsidRPr="00154FF3" w:rsidRDefault="00DA6D75" w:rsidP="00DA6D75">
      <w:pPr>
        <w:pStyle w:val="Heading1"/>
        <w:spacing w:before="120" w:after="120"/>
        <w:rPr>
          <w:sz w:val="40"/>
          <w:lang w:val="en-CA"/>
        </w:rPr>
      </w:pPr>
      <w:r w:rsidRPr="00154FF3">
        <w:rPr>
          <w:sz w:val="40"/>
          <w:lang w:val="en-CA"/>
        </w:rPr>
        <w:lastRenderedPageBreak/>
        <w:t>Staffing by appointment type</w:t>
      </w:r>
    </w:p>
    <w:p w:rsidR="00A629F1" w:rsidRPr="00154FF3" w:rsidRDefault="00595328" w:rsidP="00B231F4">
      <w:pPr>
        <w:pStyle w:val="Heading3"/>
        <w:jc w:val="center"/>
        <w:rPr>
          <w:lang w:val="en-CA"/>
        </w:rPr>
      </w:pPr>
      <w:r w:rsidRPr="00154FF3">
        <w:rPr>
          <w:noProof/>
          <w:lang w:val="en-CA" w:eastAsia="en-CA"/>
        </w:rPr>
        <w:drawing>
          <wp:inline distT="0" distB="0" distL="0" distR="0" wp14:anchorId="22DFCAF6" wp14:editId="7E79F8C2">
            <wp:extent cx="5648400" cy="3049200"/>
            <wp:effectExtent l="0" t="0" r="9525" b="18415"/>
            <wp:docPr id="9" name="Chart 9" descr="Staffing by appointment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95328" w:rsidRPr="00154FF3" w:rsidRDefault="00A629F1" w:rsidP="00B231F4">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00CC1042" w:rsidRPr="00154FF3">
        <w:rPr>
          <w:lang w:val="en-CA"/>
        </w:rPr>
        <w:t>8</w:t>
      </w:r>
      <w:r w:rsidRPr="00154FF3">
        <w:rPr>
          <w:lang w:val="en-CA"/>
        </w:rPr>
        <w:fldChar w:fldCharType="end"/>
      </w:r>
      <w:r w:rsidRPr="00154FF3">
        <w:rPr>
          <w:lang w:val="en-CA"/>
        </w:rPr>
        <w:t xml:space="preserve"> - Staffing by appointment type</w:t>
      </w:r>
    </w:p>
    <w:p w:rsidR="00A629F1" w:rsidRPr="00154FF3" w:rsidRDefault="00A629F1" w:rsidP="00B231F4">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8</w:t>
      </w:r>
      <w:r w:rsidRPr="00154FF3">
        <w:rPr>
          <w:lang w:val="en-CA"/>
        </w:rPr>
        <w:fldChar w:fldCharType="end"/>
      </w:r>
      <w:r w:rsidRPr="00154FF3">
        <w:rPr>
          <w:lang w:val="en-CA"/>
        </w:rPr>
        <w:t xml:space="preserve"> - Staffing activities by appointment type and fiscal year</w:t>
      </w:r>
    </w:p>
    <w:tbl>
      <w:tblPr>
        <w:tblStyle w:val="TableGrid1"/>
        <w:tblW w:w="5000" w:type="pct"/>
        <w:jc w:val="center"/>
        <w:tblLook w:val="0000" w:firstRow="0" w:lastRow="0" w:firstColumn="0" w:lastColumn="0" w:noHBand="0" w:noVBand="0"/>
        <w:tblDescription w:val="Staffing by appointment type from 2014 to 2019"/>
      </w:tblPr>
      <w:tblGrid>
        <w:gridCol w:w="1980"/>
        <w:gridCol w:w="1990"/>
        <w:gridCol w:w="2340"/>
        <w:gridCol w:w="3212"/>
        <w:gridCol w:w="2882"/>
        <w:gridCol w:w="1266"/>
      </w:tblGrid>
      <w:tr w:rsidR="00A629F1" w:rsidRPr="00154FF3" w:rsidTr="00A6711F">
        <w:trPr>
          <w:cantSplit/>
          <w:tblHeader/>
          <w:jc w:val="center"/>
        </w:trPr>
        <w:tc>
          <w:tcPr>
            <w:tcW w:w="724" w:type="pct"/>
          </w:tcPr>
          <w:p w:rsidR="00A629F1" w:rsidRPr="00154FF3" w:rsidRDefault="00A629F1" w:rsidP="00B231F4">
            <w:pPr>
              <w:pStyle w:val="TableTitle"/>
              <w:rPr>
                <w:lang w:val="en-CA"/>
              </w:rPr>
            </w:pPr>
            <w:r w:rsidRPr="00154FF3">
              <w:rPr>
                <w:lang w:val="en-CA"/>
              </w:rPr>
              <w:t>Fiscal year</w:t>
            </w:r>
          </w:p>
        </w:tc>
        <w:tc>
          <w:tcPr>
            <w:tcW w:w="728" w:type="pct"/>
          </w:tcPr>
          <w:p w:rsidR="00A629F1" w:rsidRPr="00154FF3" w:rsidRDefault="00A629F1" w:rsidP="00B231F4">
            <w:pPr>
              <w:pStyle w:val="TableTitle"/>
              <w:rPr>
                <w:lang w:val="en-CA"/>
              </w:rPr>
            </w:pPr>
            <w:r w:rsidRPr="00154FF3">
              <w:rPr>
                <w:lang w:val="en-CA"/>
              </w:rPr>
              <w:t>Promotions</w:t>
            </w:r>
          </w:p>
        </w:tc>
        <w:tc>
          <w:tcPr>
            <w:tcW w:w="856" w:type="pct"/>
          </w:tcPr>
          <w:p w:rsidR="00A629F1" w:rsidRPr="00154FF3" w:rsidRDefault="00A629F1" w:rsidP="00B231F4">
            <w:pPr>
              <w:pStyle w:val="TableTitle"/>
              <w:rPr>
                <w:lang w:val="en-CA"/>
              </w:rPr>
            </w:pPr>
            <w:r w:rsidRPr="00154FF3">
              <w:rPr>
                <w:lang w:val="en-CA"/>
              </w:rPr>
              <w:t>Lateral and downward movements</w:t>
            </w:r>
          </w:p>
        </w:tc>
        <w:tc>
          <w:tcPr>
            <w:tcW w:w="1175" w:type="pct"/>
          </w:tcPr>
          <w:p w:rsidR="00A629F1" w:rsidRPr="00154FF3" w:rsidRDefault="00A629F1" w:rsidP="00B231F4">
            <w:pPr>
              <w:pStyle w:val="TableTitle"/>
              <w:rPr>
                <w:lang w:val="en-CA"/>
              </w:rPr>
            </w:pPr>
            <w:r w:rsidRPr="00154FF3">
              <w:rPr>
                <w:lang w:val="en-CA"/>
              </w:rPr>
              <w:t>Appointments to the public service (includes casuals and students)</w:t>
            </w:r>
          </w:p>
        </w:tc>
        <w:tc>
          <w:tcPr>
            <w:tcW w:w="1054" w:type="pct"/>
          </w:tcPr>
          <w:p w:rsidR="00A629F1" w:rsidRPr="00154FF3" w:rsidRDefault="00A629F1" w:rsidP="00B231F4">
            <w:pPr>
              <w:pStyle w:val="TableTitle"/>
              <w:rPr>
                <w:lang w:val="en-CA"/>
              </w:rPr>
            </w:pPr>
            <w:r w:rsidRPr="00154FF3">
              <w:rPr>
                <w:lang w:val="en-CA"/>
              </w:rPr>
              <w:t>Acting appointments (excludes appointments of less than 4 months)</w:t>
            </w:r>
          </w:p>
        </w:tc>
        <w:tc>
          <w:tcPr>
            <w:tcW w:w="463" w:type="pct"/>
          </w:tcPr>
          <w:p w:rsidR="00A629F1" w:rsidRPr="00154FF3" w:rsidRDefault="00A629F1" w:rsidP="00B231F4">
            <w:pPr>
              <w:pStyle w:val="TableTitle"/>
              <w:rPr>
                <w:lang w:val="en-CA"/>
              </w:rPr>
            </w:pPr>
            <w:r w:rsidRPr="00154FF3">
              <w:rPr>
                <w:lang w:val="en-CA"/>
              </w:rPr>
              <w:t>Total</w:t>
            </w:r>
          </w:p>
        </w:tc>
      </w:tr>
      <w:tr w:rsidR="00A629F1" w:rsidRPr="00154FF3" w:rsidTr="00A6711F">
        <w:trPr>
          <w:cantSplit/>
          <w:tblHeader/>
          <w:jc w:val="center"/>
        </w:trPr>
        <w:tc>
          <w:tcPr>
            <w:tcW w:w="724"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 xml:space="preserve">2014 to 2015 </w:t>
            </w:r>
          </w:p>
        </w:tc>
        <w:tc>
          <w:tcPr>
            <w:tcW w:w="728"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11</w:t>
            </w:r>
          </w:p>
        </w:tc>
        <w:tc>
          <w:tcPr>
            <w:tcW w:w="856"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10</w:t>
            </w:r>
          </w:p>
        </w:tc>
        <w:tc>
          <w:tcPr>
            <w:tcW w:w="1175"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25</w:t>
            </w:r>
          </w:p>
        </w:tc>
        <w:tc>
          <w:tcPr>
            <w:tcW w:w="1054"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10</w:t>
            </w:r>
          </w:p>
        </w:tc>
        <w:tc>
          <w:tcPr>
            <w:tcW w:w="463"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56</w:t>
            </w:r>
          </w:p>
        </w:tc>
      </w:tr>
      <w:tr w:rsidR="00A629F1" w:rsidRPr="00154FF3" w:rsidTr="00A6711F">
        <w:trPr>
          <w:cantSplit/>
          <w:tblHeader/>
          <w:jc w:val="center"/>
        </w:trPr>
        <w:tc>
          <w:tcPr>
            <w:tcW w:w="724"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2015 to 2016</w:t>
            </w:r>
          </w:p>
        </w:tc>
        <w:tc>
          <w:tcPr>
            <w:tcW w:w="728"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12</w:t>
            </w:r>
          </w:p>
        </w:tc>
        <w:tc>
          <w:tcPr>
            <w:tcW w:w="856"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9</w:t>
            </w:r>
          </w:p>
        </w:tc>
        <w:tc>
          <w:tcPr>
            <w:tcW w:w="1175"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40</w:t>
            </w:r>
          </w:p>
        </w:tc>
        <w:tc>
          <w:tcPr>
            <w:tcW w:w="1054"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c>
          <w:tcPr>
            <w:tcW w:w="463"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65</w:t>
            </w:r>
          </w:p>
        </w:tc>
      </w:tr>
      <w:tr w:rsidR="00A629F1" w:rsidRPr="00154FF3" w:rsidTr="00A6711F">
        <w:trPr>
          <w:cantSplit/>
          <w:tblHeader/>
          <w:jc w:val="center"/>
        </w:trPr>
        <w:tc>
          <w:tcPr>
            <w:tcW w:w="724"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 xml:space="preserve">2016 to 2017 </w:t>
            </w:r>
          </w:p>
        </w:tc>
        <w:tc>
          <w:tcPr>
            <w:tcW w:w="728"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9</w:t>
            </w:r>
          </w:p>
        </w:tc>
        <w:tc>
          <w:tcPr>
            <w:tcW w:w="856"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w:t>
            </w:r>
          </w:p>
        </w:tc>
        <w:tc>
          <w:tcPr>
            <w:tcW w:w="1175"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54</w:t>
            </w:r>
          </w:p>
        </w:tc>
        <w:tc>
          <w:tcPr>
            <w:tcW w:w="1054"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6</w:t>
            </w:r>
          </w:p>
        </w:tc>
        <w:tc>
          <w:tcPr>
            <w:tcW w:w="463"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71</w:t>
            </w:r>
          </w:p>
        </w:tc>
      </w:tr>
      <w:tr w:rsidR="00A629F1" w:rsidRPr="00154FF3" w:rsidTr="00A6711F">
        <w:trPr>
          <w:cantSplit/>
          <w:tblHeader/>
          <w:jc w:val="center"/>
        </w:trPr>
        <w:tc>
          <w:tcPr>
            <w:tcW w:w="724"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2017 to 2018</w:t>
            </w:r>
          </w:p>
        </w:tc>
        <w:tc>
          <w:tcPr>
            <w:tcW w:w="728"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12</w:t>
            </w:r>
          </w:p>
        </w:tc>
        <w:tc>
          <w:tcPr>
            <w:tcW w:w="856"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16</w:t>
            </w:r>
          </w:p>
        </w:tc>
        <w:tc>
          <w:tcPr>
            <w:tcW w:w="1175"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57</w:t>
            </w:r>
          </w:p>
        </w:tc>
        <w:tc>
          <w:tcPr>
            <w:tcW w:w="1054"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c>
          <w:tcPr>
            <w:tcW w:w="463"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89</w:t>
            </w:r>
          </w:p>
        </w:tc>
      </w:tr>
      <w:tr w:rsidR="00A629F1" w:rsidRPr="00154FF3" w:rsidTr="00A6711F">
        <w:trPr>
          <w:cantSplit/>
          <w:tblHeader/>
          <w:jc w:val="center"/>
        </w:trPr>
        <w:tc>
          <w:tcPr>
            <w:tcW w:w="724"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2018 to 2019</w:t>
            </w:r>
          </w:p>
        </w:tc>
        <w:tc>
          <w:tcPr>
            <w:tcW w:w="728"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13</w:t>
            </w:r>
          </w:p>
        </w:tc>
        <w:tc>
          <w:tcPr>
            <w:tcW w:w="856"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16</w:t>
            </w:r>
          </w:p>
        </w:tc>
        <w:tc>
          <w:tcPr>
            <w:tcW w:w="1175"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57</w:t>
            </w:r>
          </w:p>
        </w:tc>
        <w:tc>
          <w:tcPr>
            <w:tcW w:w="1054"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5</w:t>
            </w:r>
          </w:p>
        </w:tc>
        <w:tc>
          <w:tcPr>
            <w:tcW w:w="463" w:type="pct"/>
          </w:tcPr>
          <w:p w:rsidR="00A629F1" w:rsidRPr="00154FF3" w:rsidRDefault="00A629F1" w:rsidP="006C7CE3">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91</w:t>
            </w:r>
          </w:p>
        </w:tc>
      </w:tr>
    </w:tbl>
    <w:p w:rsidR="00DA6D75" w:rsidRPr="00154FF3" w:rsidRDefault="00DA6D75" w:rsidP="00DA6D75">
      <w:pPr>
        <w:pStyle w:val="Heading1"/>
        <w:spacing w:before="120" w:after="120"/>
        <w:rPr>
          <w:sz w:val="40"/>
          <w:lang w:val="en-CA"/>
        </w:rPr>
      </w:pPr>
      <w:r w:rsidRPr="00154FF3">
        <w:rPr>
          <w:sz w:val="40"/>
          <w:lang w:val="en-CA"/>
        </w:rPr>
        <w:lastRenderedPageBreak/>
        <w:t>Staffing by tenure</w:t>
      </w:r>
    </w:p>
    <w:p w:rsidR="00A629F1" w:rsidRPr="00154FF3" w:rsidRDefault="00A629F1" w:rsidP="00B231F4">
      <w:pPr>
        <w:pStyle w:val="Heading3"/>
        <w:jc w:val="center"/>
        <w:rPr>
          <w:lang w:val="en-CA"/>
        </w:rPr>
      </w:pPr>
      <w:r w:rsidRPr="00154FF3">
        <w:rPr>
          <w:noProof/>
          <w:lang w:val="en-CA" w:eastAsia="en-CA"/>
        </w:rPr>
        <w:drawing>
          <wp:inline distT="0" distB="0" distL="0" distR="0" wp14:anchorId="2F377930" wp14:editId="7E30E932">
            <wp:extent cx="5648400" cy="3049200"/>
            <wp:effectExtent l="0" t="0" r="9525" b="18415"/>
            <wp:docPr id="3" name="Chart 3" descr="Staffing by tenur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629F1" w:rsidRPr="00154FF3" w:rsidRDefault="00A629F1" w:rsidP="00B231F4">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00CC1042" w:rsidRPr="00154FF3">
        <w:rPr>
          <w:lang w:val="en-CA"/>
        </w:rPr>
        <w:t>9</w:t>
      </w:r>
      <w:r w:rsidRPr="00154FF3">
        <w:rPr>
          <w:lang w:val="en-CA"/>
        </w:rPr>
        <w:fldChar w:fldCharType="end"/>
      </w:r>
      <w:r w:rsidRPr="00154FF3">
        <w:rPr>
          <w:lang w:val="en-CA"/>
        </w:rPr>
        <w:t xml:space="preserve"> - Staffing by tenure</w:t>
      </w:r>
    </w:p>
    <w:p w:rsidR="00A629F1" w:rsidRPr="00154FF3" w:rsidRDefault="00A629F1" w:rsidP="00831029">
      <w:pPr>
        <w:pStyle w:val="Caption"/>
        <w:spacing w:before="12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9</w:t>
      </w:r>
      <w:r w:rsidRPr="00154FF3">
        <w:rPr>
          <w:lang w:val="en-CA"/>
        </w:rPr>
        <w:fldChar w:fldCharType="end"/>
      </w:r>
      <w:r w:rsidRPr="00154FF3">
        <w:rPr>
          <w:lang w:val="en-CA"/>
        </w:rPr>
        <w:t xml:space="preserve"> - Staffing activities by tenure and fiscal year</w:t>
      </w:r>
    </w:p>
    <w:tbl>
      <w:tblPr>
        <w:tblStyle w:val="TableGrid1"/>
        <w:tblW w:w="5000" w:type="pct"/>
        <w:jc w:val="center"/>
        <w:tblLook w:val="0000" w:firstRow="0" w:lastRow="0" w:firstColumn="0" w:lastColumn="0" w:noHBand="0" w:noVBand="0"/>
        <w:tblDescription w:val="Staffing by tenure from 2014 to 2019"/>
      </w:tblPr>
      <w:tblGrid>
        <w:gridCol w:w="1611"/>
        <w:gridCol w:w="2425"/>
        <w:gridCol w:w="2425"/>
        <w:gridCol w:w="2559"/>
        <w:gridCol w:w="2422"/>
        <w:gridCol w:w="2228"/>
      </w:tblGrid>
      <w:tr w:rsidR="00A629F1" w:rsidRPr="00154FF3" w:rsidTr="00A629F1">
        <w:trPr>
          <w:cantSplit/>
          <w:tblHeader/>
          <w:jc w:val="center"/>
        </w:trPr>
        <w:tc>
          <w:tcPr>
            <w:tcW w:w="589" w:type="pct"/>
          </w:tcPr>
          <w:p w:rsidR="00A629F1" w:rsidRPr="00154FF3" w:rsidRDefault="00A629F1" w:rsidP="00B231F4">
            <w:pPr>
              <w:pStyle w:val="TableTitle"/>
              <w:rPr>
                <w:lang w:val="en-CA"/>
              </w:rPr>
            </w:pPr>
            <w:r w:rsidRPr="00154FF3">
              <w:rPr>
                <w:lang w:val="en-CA"/>
              </w:rPr>
              <w:t>Fiscal year</w:t>
            </w:r>
          </w:p>
        </w:tc>
        <w:tc>
          <w:tcPr>
            <w:tcW w:w="887" w:type="pct"/>
          </w:tcPr>
          <w:p w:rsidR="00A629F1" w:rsidRPr="00154FF3" w:rsidRDefault="00A629F1" w:rsidP="00B231F4">
            <w:pPr>
              <w:pStyle w:val="TableTitle"/>
              <w:rPr>
                <w:lang w:val="en-CA"/>
              </w:rPr>
            </w:pPr>
            <w:r w:rsidRPr="00154FF3">
              <w:rPr>
                <w:lang w:val="en-CA"/>
              </w:rPr>
              <w:t>Indeterminate staffing activities</w:t>
            </w:r>
          </w:p>
        </w:tc>
        <w:tc>
          <w:tcPr>
            <w:tcW w:w="887" w:type="pct"/>
          </w:tcPr>
          <w:p w:rsidR="00A629F1" w:rsidRPr="00154FF3" w:rsidRDefault="00A629F1" w:rsidP="00B231F4">
            <w:pPr>
              <w:pStyle w:val="TableTitle"/>
              <w:rPr>
                <w:lang w:val="en-CA"/>
              </w:rPr>
            </w:pPr>
            <w:r w:rsidRPr="00154FF3">
              <w:rPr>
                <w:lang w:val="en-CA"/>
              </w:rPr>
              <w:t>Term staffing activities</w:t>
            </w:r>
          </w:p>
        </w:tc>
        <w:tc>
          <w:tcPr>
            <w:tcW w:w="936" w:type="pct"/>
          </w:tcPr>
          <w:p w:rsidR="00A629F1" w:rsidRPr="00154FF3" w:rsidRDefault="00A629F1" w:rsidP="00B231F4">
            <w:pPr>
              <w:pStyle w:val="TableTitle"/>
              <w:rPr>
                <w:lang w:val="en-CA"/>
              </w:rPr>
            </w:pPr>
            <w:r w:rsidRPr="00154FF3">
              <w:rPr>
                <w:lang w:val="en-CA"/>
              </w:rPr>
              <w:t>Casual staffing activities</w:t>
            </w:r>
          </w:p>
        </w:tc>
        <w:tc>
          <w:tcPr>
            <w:tcW w:w="886" w:type="pct"/>
          </w:tcPr>
          <w:p w:rsidR="00A629F1" w:rsidRPr="00154FF3" w:rsidRDefault="00A629F1" w:rsidP="00B231F4">
            <w:pPr>
              <w:pStyle w:val="TableTitle"/>
              <w:rPr>
                <w:lang w:val="en-CA"/>
              </w:rPr>
            </w:pPr>
            <w:r w:rsidRPr="00154FF3">
              <w:rPr>
                <w:lang w:val="en-CA"/>
              </w:rPr>
              <w:t>Student staffing activities</w:t>
            </w:r>
          </w:p>
        </w:tc>
        <w:tc>
          <w:tcPr>
            <w:tcW w:w="815" w:type="pct"/>
          </w:tcPr>
          <w:p w:rsidR="00A629F1" w:rsidRPr="00154FF3" w:rsidRDefault="00A629F1" w:rsidP="00B231F4">
            <w:pPr>
              <w:pStyle w:val="TableTitle"/>
              <w:rPr>
                <w:lang w:val="en-CA"/>
              </w:rPr>
            </w:pPr>
            <w:r w:rsidRPr="00154FF3">
              <w:rPr>
                <w:lang w:val="en-CA"/>
              </w:rPr>
              <w:t>Total staffing activities</w:t>
            </w:r>
          </w:p>
        </w:tc>
      </w:tr>
      <w:tr w:rsidR="00A629F1" w:rsidRPr="00154FF3" w:rsidTr="00A629F1">
        <w:trPr>
          <w:cantSplit/>
          <w:tblHeader/>
          <w:jc w:val="center"/>
        </w:trPr>
        <w:tc>
          <w:tcPr>
            <w:tcW w:w="589"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2014 to 2015</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35</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5</w:t>
            </w:r>
          </w:p>
        </w:tc>
        <w:tc>
          <w:tcPr>
            <w:tcW w:w="93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15</w:t>
            </w:r>
          </w:p>
        </w:tc>
        <w:tc>
          <w:tcPr>
            <w:tcW w:w="88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w:t>
            </w:r>
          </w:p>
        </w:tc>
        <w:tc>
          <w:tcPr>
            <w:tcW w:w="815"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56</w:t>
            </w:r>
          </w:p>
        </w:tc>
      </w:tr>
      <w:tr w:rsidR="00A629F1" w:rsidRPr="00154FF3" w:rsidTr="00A629F1">
        <w:trPr>
          <w:cantSplit/>
          <w:tblHeader/>
          <w:jc w:val="center"/>
        </w:trPr>
        <w:tc>
          <w:tcPr>
            <w:tcW w:w="589"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2015 to 2016</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30</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c>
          <w:tcPr>
            <w:tcW w:w="93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23</w:t>
            </w:r>
          </w:p>
        </w:tc>
        <w:tc>
          <w:tcPr>
            <w:tcW w:w="88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8</w:t>
            </w:r>
          </w:p>
        </w:tc>
        <w:tc>
          <w:tcPr>
            <w:tcW w:w="815"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65</w:t>
            </w:r>
          </w:p>
        </w:tc>
      </w:tr>
      <w:tr w:rsidR="00A629F1" w:rsidRPr="00154FF3" w:rsidTr="00A629F1">
        <w:trPr>
          <w:cantSplit/>
          <w:tblHeader/>
          <w:jc w:val="center"/>
        </w:trPr>
        <w:tc>
          <w:tcPr>
            <w:tcW w:w="589"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2016 to 2017</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23</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13</w:t>
            </w:r>
          </w:p>
        </w:tc>
        <w:tc>
          <w:tcPr>
            <w:tcW w:w="93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31</w:t>
            </w:r>
          </w:p>
        </w:tc>
        <w:tc>
          <w:tcPr>
            <w:tcW w:w="88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c>
          <w:tcPr>
            <w:tcW w:w="815"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71</w:t>
            </w:r>
          </w:p>
        </w:tc>
      </w:tr>
      <w:tr w:rsidR="00A629F1" w:rsidRPr="00154FF3" w:rsidTr="00A629F1">
        <w:trPr>
          <w:cantSplit/>
          <w:tblHeader/>
          <w:jc w:val="center"/>
        </w:trPr>
        <w:tc>
          <w:tcPr>
            <w:tcW w:w="589"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2017 to 2018</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42</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17</w:t>
            </w:r>
          </w:p>
        </w:tc>
        <w:tc>
          <w:tcPr>
            <w:tcW w:w="93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28</w:t>
            </w:r>
          </w:p>
        </w:tc>
        <w:tc>
          <w:tcPr>
            <w:tcW w:w="88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w:t>
            </w:r>
          </w:p>
        </w:tc>
        <w:tc>
          <w:tcPr>
            <w:tcW w:w="815"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89</w:t>
            </w:r>
          </w:p>
        </w:tc>
      </w:tr>
      <w:tr w:rsidR="00A629F1" w:rsidRPr="00154FF3" w:rsidTr="00A629F1">
        <w:trPr>
          <w:cantSplit/>
          <w:tblHeader/>
          <w:jc w:val="center"/>
        </w:trPr>
        <w:tc>
          <w:tcPr>
            <w:tcW w:w="589" w:type="pct"/>
          </w:tcPr>
          <w:p w:rsidR="00A629F1" w:rsidRPr="00154FF3" w:rsidRDefault="00A629F1" w:rsidP="005640A2">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2018 to 2019</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46</w:t>
            </w:r>
          </w:p>
        </w:tc>
        <w:tc>
          <w:tcPr>
            <w:tcW w:w="887"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12</w:t>
            </w:r>
          </w:p>
        </w:tc>
        <w:tc>
          <w:tcPr>
            <w:tcW w:w="93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25</w:t>
            </w:r>
          </w:p>
        </w:tc>
        <w:tc>
          <w:tcPr>
            <w:tcW w:w="886"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8</w:t>
            </w:r>
          </w:p>
        </w:tc>
        <w:tc>
          <w:tcPr>
            <w:tcW w:w="815" w:type="pct"/>
          </w:tcPr>
          <w:p w:rsidR="00A629F1" w:rsidRPr="00154FF3" w:rsidRDefault="00A629F1" w:rsidP="00A6711F">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91</w:t>
            </w:r>
          </w:p>
        </w:tc>
      </w:tr>
    </w:tbl>
    <w:p w:rsidR="00FA3D20" w:rsidRDefault="00FA3D20">
      <w:pPr>
        <w:spacing w:after="160" w:line="259" w:lineRule="auto"/>
        <w:rPr>
          <w:rStyle w:val="Strong"/>
          <w:rFonts w:eastAsiaTheme="minorHAnsi"/>
          <w:lang w:val="en-CA"/>
        </w:rPr>
      </w:pPr>
      <w:r>
        <w:rPr>
          <w:rStyle w:val="Strong"/>
          <w:rFonts w:eastAsiaTheme="minorHAnsi"/>
          <w:lang w:val="en-CA"/>
        </w:rPr>
        <w:br w:type="page"/>
      </w:r>
    </w:p>
    <w:p w:rsidR="00A629F1" w:rsidRPr="00154FF3" w:rsidRDefault="00A629F1" w:rsidP="00DA6D75">
      <w:pPr>
        <w:spacing w:before="120"/>
        <w:rPr>
          <w:rStyle w:val="Strong"/>
          <w:rFonts w:eastAsiaTheme="minorHAnsi"/>
          <w:lang w:val="en-CA"/>
        </w:rPr>
      </w:pPr>
      <w:r w:rsidRPr="00154FF3">
        <w:rPr>
          <w:rStyle w:val="Strong"/>
          <w:rFonts w:eastAsiaTheme="minorHAnsi"/>
          <w:lang w:val="en-CA"/>
        </w:rPr>
        <w:lastRenderedPageBreak/>
        <w:t>Key findings - Staffing and non-partisanship survey (2018)</w:t>
      </w:r>
    </w:p>
    <w:p w:rsidR="00A629F1" w:rsidRPr="00154FF3" w:rsidRDefault="00A629F1" w:rsidP="00B231F4">
      <w:pPr>
        <w:pStyle w:val="ListParagraph"/>
        <w:numPr>
          <w:ilvl w:val="0"/>
          <w:numId w:val="38"/>
        </w:numPr>
        <w:rPr>
          <w:rFonts w:asciiTheme="minorHAnsi" w:hAnsiTheme="minorHAnsi" w:cstheme="minorHAnsi"/>
          <w:sz w:val="22"/>
          <w:lang w:val="en-CA"/>
        </w:rPr>
      </w:pPr>
      <w:r w:rsidRPr="00154FF3">
        <w:rPr>
          <w:rFonts w:asciiTheme="minorHAnsi" w:hAnsiTheme="minorHAnsi" w:cstheme="minorHAnsi"/>
          <w:sz w:val="22"/>
          <w:lang w:val="en-CA"/>
        </w:rPr>
        <w:t xml:space="preserve">70.2% of </w:t>
      </w:r>
      <w:r w:rsidRPr="00154FF3">
        <w:rPr>
          <w:rStyle w:val="Strong"/>
          <w:lang w:val="en-CA"/>
        </w:rPr>
        <w:t>employees</w:t>
      </w:r>
      <w:r w:rsidRPr="00154FF3">
        <w:rPr>
          <w:rFonts w:asciiTheme="minorHAnsi" w:hAnsiTheme="minorHAnsi" w:cstheme="minorHAnsi"/>
          <w:sz w:val="22"/>
          <w:lang w:val="en-CA"/>
        </w:rPr>
        <w:t xml:space="preserve"> agreed that people hired can do the job, compared to 67.1% in organizations of similar size, and 53.8% in the federal public service</w:t>
      </w:r>
    </w:p>
    <w:p w:rsidR="00A629F1" w:rsidRPr="00154FF3" w:rsidRDefault="00A629F1" w:rsidP="00B231F4">
      <w:pPr>
        <w:pStyle w:val="ListParagraph"/>
        <w:numPr>
          <w:ilvl w:val="0"/>
          <w:numId w:val="38"/>
        </w:numPr>
        <w:rPr>
          <w:rFonts w:asciiTheme="minorHAnsi" w:hAnsiTheme="minorHAnsi" w:cstheme="minorHAnsi"/>
          <w:sz w:val="22"/>
          <w:lang w:val="en-CA"/>
        </w:rPr>
      </w:pPr>
      <w:r w:rsidRPr="00154FF3">
        <w:rPr>
          <w:rFonts w:asciiTheme="minorHAnsi" w:hAnsiTheme="minorHAnsi" w:cstheme="minorHAnsi"/>
          <w:sz w:val="22"/>
          <w:lang w:val="en-CA"/>
        </w:rPr>
        <w:t xml:space="preserve">74.0% of </w:t>
      </w:r>
      <w:r w:rsidRPr="00154FF3">
        <w:rPr>
          <w:rStyle w:val="Strong"/>
          <w:lang w:val="en-CA"/>
        </w:rPr>
        <w:t>managers</w:t>
      </w:r>
      <w:r w:rsidRPr="00154FF3">
        <w:rPr>
          <w:rFonts w:asciiTheme="minorHAnsi" w:hAnsiTheme="minorHAnsi" w:cstheme="minorHAnsi"/>
          <w:sz w:val="22"/>
          <w:lang w:val="en-CA"/>
        </w:rPr>
        <w:t xml:space="preserve"> agreed that within their organization, the administrative to staff a position is </w:t>
      </w:r>
      <w:r w:rsidRPr="00154FF3">
        <w:rPr>
          <w:rStyle w:val="Strong"/>
          <w:lang w:val="en-CA"/>
        </w:rPr>
        <w:t>burdensome</w:t>
      </w:r>
      <w:r w:rsidRPr="00154FF3">
        <w:rPr>
          <w:rFonts w:asciiTheme="minorHAnsi" w:hAnsiTheme="minorHAnsi" w:cstheme="minorHAnsi"/>
          <w:sz w:val="22"/>
          <w:lang w:val="en-CA"/>
        </w:rPr>
        <w:t>, compared to 79.3% in organizations of similar size, and 87.9% in the federal public service</w:t>
      </w:r>
    </w:p>
    <w:p w:rsidR="00DA6D75" w:rsidRPr="00154FF3" w:rsidRDefault="00A629F1" w:rsidP="00B231F4">
      <w:pPr>
        <w:pStyle w:val="ListParagraph"/>
        <w:numPr>
          <w:ilvl w:val="0"/>
          <w:numId w:val="38"/>
        </w:numPr>
        <w:rPr>
          <w:rFonts w:asciiTheme="minorHAnsi" w:hAnsiTheme="minorHAnsi" w:cstheme="minorHAnsi"/>
          <w:sz w:val="22"/>
          <w:lang w:val="en-CA"/>
        </w:rPr>
        <w:sectPr w:rsidR="00DA6D75" w:rsidRPr="00154FF3" w:rsidSect="00785F07">
          <w:type w:val="continuous"/>
          <w:pgSz w:w="15840" w:h="12240" w:orient="landscape"/>
          <w:pgMar w:top="1440" w:right="1080" w:bottom="1440" w:left="1080" w:header="708" w:footer="283" w:gutter="0"/>
          <w:cols w:space="708"/>
          <w:titlePg/>
          <w:docGrid w:linePitch="360"/>
        </w:sectPr>
      </w:pPr>
      <w:r w:rsidRPr="00154FF3">
        <w:rPr>
          <w:rFonts w:asciiTheme="minorHAnsi" w:hAnsiTheme="minorHAnsi" w:cstheme="minorHAnsi"/>
          <w:sz w:val="22"/>
          <w:lang w:val="en-CA"/>
        </w:rPr>
        <w:t>For additional questions, there is no sufficient survey data available for the Financial Consumer Agency of Canada</w:t>
      </w:r>
    </w:p>
    <w:p w:rsidR="00DA6D75" w:rsidRPr="00154FF3" w:rsidRDefault="00DA6D75" w:rsidP="00DA6D75">
      <w:pPr>
        <w:pStyle w:val="Heading1"/>
        <w:spacing w:before="120" w:after="120"/>
        <w:rPr>
          <w:sz w:val="40"/>
          <w:lang w:val="en-CA"/>
        </w:rPr>
      </w:pPr>
      <w:r w:rsidRPr="00154FF3">
        <w:rPr>
          <w:rFonts w:eastAsia="Times New Roman"/>
          <w:sz w:val="40"/>
          <w:lang w:val="en-CA"/>
        </w:rPr>
        <w:lastRenderedPageBreak/>
        <w:t>Student program hires</w:t>
      </w:r>
    </w:p>
    <w:p w:rsidR="00CC1042" w:rsidRPr="00154FF3" w:rsidRDefault="00595328" w:rsidP="000C6013">
      <w:pPr>
        <w:pStyle w:val="Heading3"/>
        <w:jc w:val="center"/>
        <w:rPr>
          <w:lang w:val="en-CA"/>
        </w:rPr>
      </w:pPr>
      <w:r w:rsidRPr="00154FF3">
        <w:rPr>
          <w:noProof/>
          <w:lang w:val="en-CA" w:eastAsia="en-CA"/>
        </w:rPr>
        <w:drawing>
          <wp:inline distT="0" distB="0" distL="0" distR="0" wp14:anchorId="44435CC9" wp14:editId="674B630F">
            <wp:extent cx="5648400" cy="3049200"/>
            <wp:effectExtent l="0" t="0" r="9525" b="18415"/>
            <wp:docPr id="17" name="Chart 17" descr="Student program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95328" w:rsidRPr="00154FF3" w:rsidRDefault="00CC1042" w:rsidP="000C6013">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Pr="00154FF3">
        <w:rPr>
          <w:lang w:val="en-CA"/>
        </w:rPr>
        <w:t>10</w:t>
      </w:r>
      <w:r w:rsidRPr="00154FF3">
        <w:rPr>
          <w:lang w:val="en-CA"/>
        </w:rPr>
        <w:fldChar w:fldCharType="end"/>
      </w:r>
      <w:r w:rsidRPr="00154FF3">
        <w:rPr>
          <w:lang w:val="en-CA"/>
        </w:rPr>
        <w:t xml:space="preserve"> - Student program hires</w:t>
      </w:r>
    </w:p>
    <w:p w:rsidR="00CC1042" w:rsidRPr="00154FF3" w:rsidRDefault="00CC1042" w:rsidP="000C6013">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10</w:t>
      </w:r>
      <w:r w:rsidRPr="00154FF3">
        <w:rPr>
          <w:lang w:val="en-CA"/>
        </w:rPr>
        <w:fldChar w:fldCharType="end"/>
      </w:r>
      <w:r w:rsidRPr="00154FF3">
        <w:rPr>
          <w:lang w:val="en-CA"/>
        </w:rPr>
        <w:t xml:space="preserve"> - Student staffing activities by recruitment program and fiscal year</w:t>
      </w:r>
    </w:p>
    <w:tbl>
      <w:tblPr>
        <w:tblStyle w:val="TableGrid"/>
        <w:tblW w:w="5237" w:type="pct"/>
        <w:jc w:val="center"/>
        <w:tblLook w:val="0000" w:firstRow="0" w:lastRow="0" w:firstColumn="0" w:lastColumn="0" w:noHBand="0" w:noVBand="0"/>
        <w:tblDescription w:val="Student program hires from 2014 to 2019"/>
      </w:tblPr>
      <w:tblGrid>
        <w:gridCol w:w="1418"/>
        <w:gridCol w:w="4536"/>
        <w:gridCol w:w="4536"/>
        <w:gridCol w:w="2978"/>
        <w:gridCol w:w="850"/>
      </w:tblGrid>
      <w:tr w:rsidR="00831029" w:rsidRPr="00154FF3" w:rsidTr="00A6711F">
        <w:trPr>
          <w:cantSplit/>
          <w:tblHeader/>
          <w:jc w:val="center"/>
        </w:trPr>
        <w:tc>
          <w:tcPr>
            <w:tcW w:w="495" w:type="pct"/>
          </w:tcPr>
          <w:p w:rsidR="00CC1042" w:rsidRPr="00154FF3" w:rsidRDefault="00CC1042" w:rsidP="00831029">
            <w:pPr>
              <w:pStyle w:val="TableTitle"/>
              <w:contextualSpacing/>
              <w:rPr>
                <w:lang w:val="en-CA"/>
              </w:rPr>
            </w:pPr>
            <w:r w:rsidRPr="00154FF3">
              <w:rPr>
                <w:lang w:val="en-CA"/>
              </w:rPr>
              <w:t>Fiscal year</w:t>
            </w:r>
          </w:p>
        </w:tc>
        <w:tc>
          <w:tcPr>
            <w:tcW w:w="1584" w:type="pct"/>
          </w:tcPr>
          <w:p w:rsidR="00CC1042" w:rsidRPr="00154FF3" w:rsidRDefault="00CC1042" w:rsidP="00831029">
            <w:pPr>
              <w:pStyle w:val="TableTitle"/>
              <w:contextualSpacing/>
              <w:rPr>
                <w:lang w:val="en-CA"/>
              </w:rPr>
            </w:pPr>
            <w:r w:rsidRPr="00154FF3">
              <w:rPr>
                <w:lang w:val="en-CA"/>
              </w:rPr>
              <w:t>Federal Student Work Experience Program</w:t>
            </w:r>
          </w:p>
        </w:tc>
        <w:tc>
          <w:tcPr>
            <w:tcW w:w="1584" w:type="pct"/>
          </w:tcPr>
          <w:p w:rsidR="00CC1042" w:rsidRPr="00154FF3" w:rsidRDefault="00CC1042" w:rsidP="00831029">
            <w:pPr>
              <w:pStyle w:val="TableTitle"/>
              <w:contextualSpacing/>
              <w:rPr>
                <w:lang w:val="en-CA"/>
              </w:rPr>
            </w:pPr>
            <w:r w:rsidRPr="00154FF3">
              <w:rPr>
                <w:lang w:val="en-CA"/>
              </w:rPr>
              <w:t>Post-Secondary Co-op/Internship Program</w:t>
            </w:r>
          </w:p>
        </w:tc>
        <w:tc>
          <w:tcPr>
            <w:tcW w:w="1040" w:type="pct"/>
          </w:tcPr>
          <w:p w:rsidR="00CC1042" w:rsidRPr="00154FF3" w:rsidRDefault="00CC1042" w:rsidP="00831029">
            <w:pPr>
              <w:pStyle w:val="TableTitle"/>
              <w:contextualSpacing/>
              <w:rPr>
                <w:lang w:val="en-CA"/>
              </w:rPr>
            </w:pPr>
            <w:r w:rsidRPr="00154FF3">
              <w:rPr>
                <w:lang w:val="en-CA"/>
              </w:rPr>
              <w:t>Research Affiliate Program</w:t>
            </w:r>
          </w:p>
        </w:tc>
        <w:tc>
          <w:tcPr>
            <w:tcW w:w="297" w:type="pct"/>
          </w:tcPr>
          <w:p w:rsidR="00CC1042" w:rsidRPr="00154FF3" w:rsidRDefault="00CC1042" w:rsidP="00831029">
            <w:pPr>
              <w:pStyle w:val="TableTitle"/>
              <w:contextualSpacing/>
              <w:rPr>
                <w:lang w:val="en-CA"/>
              </w:rPr>
            </w:pPr>
            <w:r w:rsidRPr="00154FF3">
              <w:rPr>
                <w:lang w:val="en-CA"/>
              </w:rPr>
              <w:t>Total</w:t>
            </w:r>
          </w:p>
        </w:tc>
      </w:tr>
      <w:tr w:rsidR="00831029" w:rsidRPr="00154FF3" w:rsidTr="00A6711F">
        <w:trPr>
          <w:cantSplit/>
          <w:tblHeader/>
          <w:jc w:val="center"/>
        </w:trPr>
        <w:tc>
          <w:tcPr>
            <w:tcW w:w="495"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2014 to 2015</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c>
          <w:tcPr>
            <w:tcW w:w="1040"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c>
          <w:tcPr>
            <w:tcW w:w="297"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w:t>
            </w:r>
          </w:p>
        </w:tc>
      </w:tr>
      <w:tr w:rsidR="00831029" w:rsidRPr="00154FF3" w:rsidTr="00A6711F">
        <w:trPr>
          <w:cantSplit/>
          <w:tblHeader/>
          <w:jc w:val="center"/>
        </w:trPr>
        <w:tc>
          <w:tcPr>
            <w:tcW w:w="495"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2015 to 2016</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7</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w:t>
            </w:r>
          </w:p>
        </w:tc>
        <w:tc>
          <w:tcPr>
            <w:tcW w:w="1040"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c>
          <w:tcPr>
            <w:tcW w:w="297"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w:t>
            </w:r>
          </w:p>
        </w:tc>
      </w:tr>
      <w:tr w:rsidR="00831029" w:rsidRPr="00154FF3" w:rsidTr="00A6711F">
        <w:trPr>
          <w:cantSplit/>
          <w:tblHeader/>
          <w:jc w:val="center"/>
        </w:trPr>
        <w:tc>
          <w:tcPr>
            <w:tcW w:w="495"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2016 to 2017</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c>
          <w:tcPr>
            <w:tcW w:w="1040"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w:t>
            </w:r>
          </w:p>
        </w:tc>
        <w:tc>
          <w:tcPr>
            <w:tcW w:w="297"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w:t>
            </w:r>
          </w:p>
        </w:tc>
      </w:tr>
      <w:tr w:rsidR="00831029" w:rsidRPr="00154FF3" w:rsidTr="00A6711F">
        <w:trPr>
          <w:cantSplit/>
          <w:tblHeader/>
          <w:jc w:val="center"/>
        </w:trPr>
        <w:tc>
          <w:tcPr>
            <w:tcW w:w="495"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2017 to 2018</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w:t>
            </w:r>
          </w:p>
        </w:tc>
        <w:tc>
          <w:tcPr>
            <w:tcW w:w="1040"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w:t>
            </w:r>
          </w:p>
        </w:tc>
        <w:tc>
          <w:tcPr>
            <w:tcW w:w="297"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w:t>
            </w:r>
          </w:p>
        </w:tc>
      </w:tr>
      <w:tr w:rsidR="00831029" w:rsidRPr="00154FF3" w:rsidTr="00A6711F">
        <w:trPr>
          <w:cantSplit/>
          <w:tblHeader/>
          <w:jc w:val="center"/>
        </w:trPr>
        <w:tc>
          <w:tcPr>
            <w:tcW w:w="495"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2018 to 2019</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6</w:t>
            </w:r>
          </w:p>
        </w:tc>
        <w:tc>
          <w:tcPr>
            <w:tcW w:w="1584"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w:t>
            </w:r>
          </w:p>
        </w:tc>
        <w:tc>
          <w:tcPr>
            <w:tcW w:w="1040"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w:t>
            </w:r>
          </w:p>
        </w:tc>
        <w:tc>
          <w:tcPr>
            <w:tcW w:w="297" w:type="pct"/>
          </w:tcPr>
          <w:p w:rsidR="00CC1042" w:rsidRPr="00154FF3" w:rsidRDefault="00CC1042" w:rsidP="00831029">
            <w:pPr>
              <w:contextualSpacing/>
              <w:jc w:val="cente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w:t>
            </w:r>
          </w:p>
        </w:tc>
      </w:tr>
    </w:tbl>
    <w:p w:rsidR="00DA6D75" w:rsidRPr="00154FF3" w:rsidRDefault="00DA6D75" w:rsidP="00DA6D75">
      <w:pPr>
        <w:pStyle w:val="Heading1"/>
        <w:spacing w:before="120" w:after="120"/>
        <w:rPr>
          <w:sz w:val="32"/>
          <w:lang w:val="en-CA"/>
        </w:rPr>
      </w:pPr>
      <w:r w:rsidRPr="00154FF3">
        <w:rPr>
          <w:sz w:val="32"/>
          <w:lang w:val="en-CA"/>
        </w:rPr>
        <w:lastRenderedPageBreak/>
        <w:t>External indeterminate and term hiring activities: Post-Secondary Recruitment Program and former students by fiscal year</w:t>
      </w:r>
    </w:p>
    <w:p w:rsidR="00CC1042" w:rsidRPr="00154FF3" w:rsidRDefault="00A629F1" w:rsidP="000C6013">
      <w:pPr>
        <w:pStyle w:val="Heading3"/>
        <w:jc w:val="center"/>
        <w:rPr>
          <w:lang w:val="en-CA"/>
        </w:rPr>
      </w:pPr>
      <w:r w:rsidRPr="00154FF3">
        <w:rPr>
          <w:noProof/>
          <w:lang w:val="en-CA" w:eastAsia="en-CA"/>
        </w:rPr>
        <w:drawing>
          <wp:inline distT="0" distB="0" distL="0" distR="0" wp14:anchorId="2F36CD98" wp14:editId="647A1D34">
            <wp:extent cx="5648400" cy="3049200"/>
            <wp:effectExtent l="0" t="0" r="9525" b="18415"/>
            <wp:docPr id="2" name="Chart 2" descr="External indeterminate and term hiring activities: Post-Secondary Recruitment Program and former student hir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C1042" w:rsidRPr="00154FF3" w:rsidRDefault="00CC1042" w:rsidP="000C6013">
      <w:pPr>
        <w:pStyle w:val="Caption"/>
        <w:rPr>
          <w:lang w:val="en-CA"/>
        </w:rPr>
      </w:pPr>
      <w:r w:rsidRPr="00154FF3">
        <w:rPr>
          <w:lang w:val="en-CA"/>
        </w:rPr>
        <w:t xml:space="preserve">Figure </w:t>
      </w:r>
      <w:r w:rsidRPr="00154FF3">
        <w:rPr>
          <w:lang w:val="en-CA"/>
        </w:rPr>
        <w:fldChar w:fldCharType="begin"/>
      </w:r>
      <w:r w:rsidRPr="00154FF3">
        <w:rPr>
          <w:lang w:val="en-CA"/>
        </w:rPr>
        <w:instrText xml:space="preserve"> SEQ Figure \* ARABIC </w:instrText>
      </w:r>
      <w:r w:rsidRPr="00154FF3">
        <w:rPr>
          <w:lang w:val="en-CA"/>
        </w:rPr>
        <w:fldChar w:fldCharType="separate"/>
      </w:r>
      <w:r w:rsidRPr="00154FF3">
        <w:rPr>
          <w:lang w:val="en-CA"/>
        </w:rPr>
        <w:t>11</w:t>
      </w:r>
      <w:r w:rsidRPr="00154FF3">
        <w:rPr>
          <w:lang w:val="en-CA"/>
        </w:rPr>
        <w:fldChar w:fldCharType="end"/>
      </w:r>
      <w:r w:rsidRPr="00154FF3">
        <w:rPr>
          <w:lang w:val="en-CA"/>
        </w:rPr>
        <w:t xml:space="preserve"> - External indeterminate and term hiring activities: Post-Secondary Recruitment Program and former students by fiscal year</w:t>
      </w:r>
    </w:p>
    <w:p w:rsidR="00CC1042" w:rsidRPr="00154FF3" w:rsidRDefault="00CC1042" w:rsidP="000C6013">
      <w:pPr>
        <w:pStyle w:val="Caption"/>
        <w:spacing w:before="240"/>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00BB2492" w:rsidRPr="00154FF3">
        <w:rPr>
          <w:lang w:val="en-CA"/>
        </w:rPr>
        <w:t>11</w:t>
      </w:r>
      <w:r w:rsidRPr="00154FF3">
        <w:rPr>
          <w:lang w:val="en-CA"/>
        </w:rPr>
        <w:fldChar w:fldCharType="end"/>
      </w:r>
      <w:r w:rsidRPr="00154FF3">
        <w:rPr>
          <w:lang w:val="en-CA"/>
        </w:rPr>
        <w:t xml:space="preserve"> - External indeterminate and term hiring activities: Post-Secondary Recruitment Program and former student hires by fiscal year</w:t>
      </w:r>
    </w:p>
    <w:tbl>
      <w:tblPr>
        <w:tblStyle w:val="TableGrid1"/>
        <w:tblW w:w="5000" w:type="pct"/>
        <w:jc w:val="center"/>
        <w:tblLook w:val="0000" w:firstRow="0" w:lastRow="0" w:firstColumn="0" w:lastColumn="0" w:noHBand="0" w:noVBand="0"/>
        <w:tblDescription w:val="Post-Secondary Recruitment Program and former student hires from 2014 to 2019 "/>
      </w:tblPr>
      <w:tblGrid>
        <w:gridCol w:w="2201"/>
        <w:gridCol w:w="7125"/>
        <w:gridCol w:w="4344"/>
      </w:tblGrid>
      <w:tr w:rsidR="00CC1042" w:rsidRPr="00154FF3" w:rsidTr="00831029">
        <w:trPr>
          <w:cantSplit/>
          <w:tblHeader/>
          <w:jc w:val="center"/>
        </w:trPr>
        <w:tc>
          <w:tcPr>
            <w:tcW w:w="805" w:type="pct"/>
          </w:tcPr>
          <w:p w:rsidR="00CC1042" w:rsidRPr="00154FF3" w:rsidRDefault="00CC1042" w:rsidP="000C6013">
            <w:pPr>
              <w:pStyle w:val="TableTitle"/>
              <w:rPr>
                <w:lang w:val="en-CA"/>
              </w:rPr>
            </w:pPr>
            <w:r w:rsidRPr="00154FF3">
              <w:rPr>
                <w:lang w:val="en-CA"/>
              </w:rPr>
              <w:t>Fiscal year</w:t>
            </w:r>
          </w:p>
        </w:tc>
        <w:tc>
          <w:tcPr>
            <w:tcW w:w="2606" w:type="pct"/>
          </w:tcPr>
          <w:p w:rsidR="00CC1042" w:rsidRPr="00154FF3" w:rsidRDefault="00CC1042" w:rsidP="000C6013">
            <w:pPr>
              <w:pStyle w:val="TableTitle"/>
              <w:rPr>
                <w:lang w:val="en-CA"/>
              </w:rPr>
            </w:pPr>
            <w:r w:rsidRPr="00154FF3">
              <w:rPr>
                <w:lang w:val="en-CA"/>
              </w:rPr>
              <w:t>Post-Secondary Recruitment Program hires</w:t>
            </w:r>
          </w:p>
        </w:tc>
        <w:tc>
          <w:tcPr>
            <w:tcW w:w="1589" w:type="pct"/>
          </w:tcPr>
          <w:p w:rsidR="00CC1042" w:rsidRPr="00154FF3" w:rsidRDefault="00CC1042" w:rsidP="000C6013">
            <w:pPr>
              <w:pStyle w:val="TableTitle"/>
              <w:rPr>
                <w:lang w:val="en-CA"/>
              </w:rPr>
            </w:pPr>
            <w:r w:rsidRPr="00154FF3">
              <w:rPr>
                <w:lang w:val="en-CA"/>
              </w:rPr>
              <w:t>Hiring of former students</w:t>
            </w:r>
          </w:p>
        </w:tc>
      </w:tr>
      <w:tr w:rsidR="00CC1042" w:rsidRPr="00154FF3" w:rsidTr="00831029">
        <w:trPr>
          <w:cantSplit/>
          <w:tblHeader/>
          <w:jc w:val="center"/>
        </w:trPr>
        <w:tc>
          <w:tcPr>
            <w:tcW w:w="805" w:type="pct"/>
          </w:tcPr>
          <w:p w:rsidR="00CC1042" w:rsidRPr="00154FF3" w:rsidRDefault="00CC1042" w:rsidP="00A6711F">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2014 to 2015</w:t>
            </w:r>
          </w:p>
        </w:tc>
        <w:tc>
          <w:tcPr>
            <w:tcW w:w="2606"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c>
          <w:tcPr>
            <w:tcW w:w="1589"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w:t>
            </w:r>
          </w:p>
        </w:tc>
      </w:tr>
      <w:tr w:rsidR="00CC1042" w:rsidRPr="00154FF3" w:rsidTr="00831029">
        <w:trPr>
          <w:cantSplit/>
          <w:tblHeader/>
          <w:jc w:val="center"/>
        </w:trPr>
        <w:tc>
          <w:tcPr>
            <w:tcW w:w="805" w:type="pct"/>
          </w:tcPr>
          <w:p w:rsidR="00CC1042" w:rsidRPr="00154FF3" w:rsidRDefault="00CC1042" w:rsidP="00A6711F">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2015 to 2016</w:t>
            </w:r>
          </w:p>
        </w:tc>
        <w:tc>
          <w:tcPr>
            <w:tcW w:w="2606"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c>
          <w:tcPr>
            <w:tcW w:w="1589"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r>
      <w:tr w:rsidR="00CC1042" w:rsidRPr="00154FF3" w:rsidTr="00831029">
        <w:trPr>
          <w:cantSplit/>
          <w:tblHeader/>
          <w:jc w:val="center"/>
        </w:trPr>
        <w:tc>
          <w:tcPr>
            <w:tcW w:w="805" w:type="pct"/>
          </w:tcPr>
          <w:p w:rsidR="00CC1042" w:rsidRPr="00154FF3" w:rsidRDefault="00CC1042" w:rsidP="00A6711F">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2016 to 2017</w:t>
            </w:r>
          </w:p>
        </w:tc>
        <w:tc>
          <w:tcPr>
            <w:tcW w:w="2606"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c>
          <w:tcPr>
            <w:tcW w:w="1589"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5</w:t>
            </w:r>
          </w:p>
        </w:tc>
      </w:tr>
      <w:tr w:rsidR="00CC1042" w:rsidRPr="00154FF3" w:rsidTr="00831029">
        <w:trPr>
          <w:cantSplit/>
          <w:tblHeader/>
          <w:jc w:val="center"/>
        </w:trPr>
        <w:tc>
          <w:tcPr>
            <w:tcW w:w="805" w:type="pct"/>
          </w:tcPr>
          <w:p w:rsidR="00CC1042" w:rsidRPr="00154FF3" w:rsidRDefault="00CC1042" w:rsidP="00A6711F">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2017 to 2018</w:t>
            </w:r>
          </w:p>
        </w:tc>
        <w:tc>
          <w:tcPr>
            <w:tcW w:w="2606"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c>
          <w:tcPr>
            <w:tcW w:w="1589"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4</w:t>
            </w:r>
          </w:p>
        </w:tc>
      </w:tr>
      <w:tr w:rsidR="00CC1042" w:rsidRPr="00154FF3" w:rsidTr="00831029">
        <w:trPr>
          <w:cantSplit/>
          <w:tblHeader/>
          <w:jc w:val="center"/>
        </w:trPr>
        <w:tc>
          <w:tcPr>
            <w:tcW w:w="805" w:type="pct"/>
          </w:tcPr>
          <w:p w:rsidR="00CC1042" w:rsidRPr="00154FF3" w:rsidRDefault="00CC1042" w:rsidP="00A6711F">
            <w:pP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2018 to 2019</w:t>
            </w:r>
          </w:p>
        </w:tc>
        <w:tc>
          <w:tcPr>
            <w:tcW w:w="2606"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1</w:t>
            </w:r>
          </w:p>
        </w:tc>
        <w:tc>
          <w:tcPr>
            <w:tcW w:w="1589" w:type="pct"/>
          </w:tcPr>
          <w:p w:rsidR="00CC1042" w:rsidRPr="00154FF3" w:rsidRDefault="00CC1042" w:rsidP="00831029">
            <w:pPr>
              <w:jc w:val="center"/>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0</w:t>
            </w:r>
          </w:p>
        </w:tc>
      </w:tr>
    </w:tbl>
    <w:p w:rsidR="00CC1042" w:rsidRPr="00154FF3" w:rsidRDefault="00CC1042" w:rsidP="005640A2">
      <w:pPr>
        <w:rPr>
          <w:lang w:val="en-CA"/>
        </w:rPr>
        <w:sectPr w:rsidR="00CC1042" w:rsidRPr="00154FF3" w:rsidSect="00DA6D75">
          <w:pgSz w:w="15840" w:h="12240" w:orient="landscape"/>
          <w:pgMar w:top="1440" w:right="1080" w:bottom="1440" w:left="1080" w:header="708" w:footer="283" w:gutter="0"/>
          <w:cols w:space="708"/>
          <w:titlePg/>
          <w:docGrid w:linePitch="360"/>
        </w:sectPr>
      </w:pPr>
    </w:p>
    <w:p w:rsidR="00270F5C" w:rsidRPr="00F92C85" w:rsidRDefault="00270F5C" w:rsidP="00F92C85">
      <w:pPr>
        <w:pStyle w:val="Heading1"/>
        <w:rPr>
          <w:sz w:val="40"/>
        </w:rPr>
      </w:pPr>
      <w:r w:rsidRPr="00F92C85">
        <w:rPr>
          <w:sz w:val="40"/>
        </w:rPr>
        <w:lastRenderedPageBreak/>
        <w:t>Internal time to staff for fiscal year 2018 to 2019</w:t>
      </w:r>
    </w:p>
    <w:p w:rsidR="00270F5C" w:rsidRPr="00154FF3" w:rsidRDefault="00270F5C" w:rsidP="000C6013">
      <w:pPr>
        <w:spacing w:before="120" w:after="120"/>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 xml:space="preserve">The median internal time to staff for the public service (organizations subject to </w:t>
      </w:r>
      <w:r w:rsidRPr="00B0326F">
        <w:rPr>
          <w:rStyle w:val="Emphasis"/>
          <w:rFonts w:eastAsiaTheme="minorHAnsi"/>
        </w:rPr>
        <w:t>the Public Service Employment Act</w:t>
      </w:r>
      <w:r w:rsidRPr="00154FF3">
        <w:rPr>
          <w:rFonts w:asciiTheme="minorHAnsi" w:eastAsiaTheme="minorHAnsi" w:hAnsiTheme="minorHAnsi" w:cstheme="minorHAnsi"/>
          <w:sz w:val="22"/>
          <w:lang w:val="en-CA"/>
        </w:rPr>
        <w:t>) for fiscal year 2018 to 2019 is 176 days.</w:t>
      </w:r>
    </w:p>
    <w:p w:rsidR="00270F5C" w:rsidRPr="00154FF3" w:rsidRDefault="00270F5C" w:rsidP="000C6013">
      <w:pPr>
        <w:spacing w:before="120" w:after="120"/>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The data is insufficient for providing results on internal process times for the Financial Consumer Agency of Canada.</w:t>
      </w:r>
    </w:p>
    <w:p w:rsidR="00270F5C" w:rsidRPr="008F5537" w:rsidRDefault="00270F5C" w:rsidP="008F5537">
      <w:pPr>
        <w:pStyle w:val="Heading1"/>
        <w:rPr>
          <w:sz w:val="40"/>
        </w:rPr>
      </w:pPr>
      <w:r w:rsidRPr="008F5537">
        <w:rPr>
          <w:sz w:val="40"/>
        </w:rPr>
        <w:t>External time to staff for fiscal year 2018 to 2019</w:t>
      </w:r>
    </w:p>
    <w:p w:rsidR="00270F5C" w:rsidRPr="00154FF3" w:rsidRDefault="00270F5C" w:rsidP="000C6013">
      <w:pPr>
        <w:spacing w:before="120" w:after="120"/>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 xml:space="preserve">The median external time to staff for the public service (organizations subject to </w:t>
      </w:r>
      <w:r w:rsidRPr="00B0326F">
        <w:rPr>
          <w:rStyle w:val="Emphasis"/>
          <w:rFonts w:eastAsiaTheme="minorHAnsi"/>
        </w:rPr>
        <w:t>the Public Service Employment Act</w:t>
      </w:r>
      <w:r w:rsidRPr="00154FF3">
        <w:rPr>
          <w:rFonts w:asciiTheme="minorHAnsi" w:eastAsiaTheme="minorHAnsi" w:hAnsiTheme="minorHAnsi" w:cstheme="minorHAnsi"/>
          <w:sz w:val="22"/>
          <w:lang w:val="en-CA"/>
        </w:rPr>
        <w:t>) for fiscal year 2018 to 2019 is 186 days.</w:t>
      </w:r>
    </w:p>
    <w:p w:rsidR="00270F5C" w:rsidRPr="00154FF3" w:rsidRDefault="00270F5C" w:rsidP="000C6013">
      <w:pPr>
        <w:spacing w:before="120" w:after="120"/>
        <w:rPr>
          <w:rFonts w:asciiTheme="minorHAnsi" w:eastAsiaTheme="minorHAnsi" w:hAnsiTheme="minorHAnsi" w:cstheme="minorHAnsi"/>
          <w:sz w:val="22"/>
          <w:lang w:val="en-CA"/>
        </w:rPr>
      </w:pPr>
      <w:r w:rsidRPr="00154FF3">
        <w:rPr>
          <w:rFonts w:asciiTheme="minorHAnsi" w:eastAsiaTheme="minorHAnsi" w:hAnsiTheme="minorHAnsi" w:cstheme="minorHAnsi"/>
          <w:sz w:val="22"/>
          <w:lang w:val="en-CA"/>
        </w:rPr>
        <w:t>The data is insufficient for providing results on external process times for the Financial Consumer Agency of Canada.</w:t>
      </w:r>
    </w:p>
    <w:p w:rsidR="00270F5C" w:rsidRPr="00154FF3" w:rsidRDefault="00270F5C" w:rsidP="000C6013">
      <w:pPr>
        <w:spacing w:before="120" w:after="120"/>
        <w:rPr>
          <w:rFonts w:asciiTheme="minorHAnsi" w:eastAsiaTheme="minorHAnsi" w:hAnsiTheme="minorHAnsi" w:cstheme="minorHAnsi"/>
          <w:sz w:val="22"/>
          <w:lang w:val="en-CA"/>
        </w:rPr>
        <w:sectPr w:rsidR="00270F5C" w:rsidRPr="00154FF3" w:rsidSect="00785F07">
          <w:type w:val="continuous"/>
          <w:pgSz w:w="12240" w:h="15840"/>
          <w:pgMar w:top="1440" w:right="1080" w:bottom="1440" w:left="1080" w:header="708" w:footer="283" w:gutter="0"/>
          <w:cols w:space="708"/>
          <w:titlePg/>
          <w:docGrid w:linePitch="360"/>
        </w:sectPr>
      </w:pPr>
    </w:p>
    <w:p w:rsidR="00DA6D75" w:rsidRPr="00154FF3" w:rsidRDefault="00A6711F" w:rsidP="00DA6D75">
      <w:pPr>
        <w:pStyle w:val="Heading1"/>
        <w:spacing w:before="120" w:after="120"/>
        <w:rPr>
          <w:sz w:val="40"/>
          <w:lang w:val="en-CA"/>
        </w:rPr>
      </w:pPr>
      <w:r>
        <w:rPr>
          <w:sz w:val="40"/>
          <w:lang w:val="en-CA"/>
        </w:rPr>
        <w:lastRenderedPageBreak/>
        <w:t>Internal</w:t>
      </w:r>
      <w:r w:rsidR="00DA6D75" w:rsidRPr="00154FF3">
        <w:rPr>
          <w:sz w:val="40"/>
          <w:lang w:val="en-CA"/>
        </w:rPr>
        <w:t xml:space="preserve"> and External time to staff</w:t>
      </w:r>
    </w:p>
    <w:p w:rsidR="00BB2492" w:rsidRPr="00154FF3" w:rsidRDefault="00BB2492" w:rsidP="00D30969">
      <w:pPr>
        <w:pStyle w:val="Caption"/>
        <w:jc w:val="left"/>
        <w:rPr>
          <w:lang w:val="en-CA"/>
        </w:rPr>
      </w:pPr>
      <w:r w:rsidRPr="00154FF3">
        <w:rPr>
          <w:lang w:val="en-CA"/>
        </w:rPr>
        <w:t xml:space="preserve">Table </w:t>
      </w:r>
      <w:r w:rsidRPr="00154FF3">
        <w:rPr>
          <w:lang w:val="en-CA"/>
        </w:rPr>
        <w:fldChar w:fldCharType="begin"/>
      </w:r>
      <w:r w:rsidRPr="00154FF3">
        <w:rPr>
          <w:lang w:val="en-CA"/>
        </w:rPr>
        <w:instrText xml:space="preserve"> SEQ Table \* ARABIC </w:instrText>
      </w:r>
      <w:r w:rsidRPr="00154FF3">
        <w:rPr>
          <w:lang w:val="en-CA"/>
        </w:rPr>
        <w:fldChar w:fldCharType="separate"/>
      </w:r>
      <w:r w:rsidRPr="00154FF3">
        <w:rPr>
          <w:lang w:val="en-CA"/>
        </w:rPr>
        <w:t>12</w:t>
      </w:r>
      <w:r w:rsidRPr="00154FF3">
        <w:rPr>
          <w:lang w:val="en-CA"/>
        </w:rPr>
        <w:fldChar w:fldCharType="end"/>
      </w:r>
      <w:r w:rsidRPr="00154FF3">
        <w:rPr>
          <w:lang w:val="en-CA"/>
        </w:rPr>
        <w:t xml:space="preserve"> - Internal and External time to staff</w:t>
      </w:r>
    </w:p>
    <w:tbl>
      <w:tblPr>
        <w:tblStyle w:val="TableGrid1"/>
        <w:tblW w:w="5000" w:type="pct"/>
        <w:jc w:val="center"/>
        <w:tblLook w:val="0000" w:firstRow="0" w:lastRow="0" w:firstColumn="0" w:lastColumn="0" w:noHBand="0" w:noVBand="0"/>
        <w:tblDescription w:val="Internal and External time to staff"/>
      </w:tblPr>
      <w:tblGrid>
        <w:gridCol w:w="3978"/>
        <w:gridCol w:w="10072"/>
        <w:gridCol w:w="8260"/>
      </w:tblGrid>
      <w:tr w:rsidR="00BB2492" w:rsidRPr="00154FF3" w:rsidTr="00BB2492">
        <w:trPr>
          <w:cantSplit/>
          <w:trHeight w:val="290"/>
          <w:tblHeader/>
          <w:jc w:val="center"/>
        </w:trPr>
        <w:tc>
          <w:tcPr>
            <w:tcW w:w="891" w:type="pct"/>
          </w:tcPr>
          <w:p w:rsidR="00BB2492" w:rsidRPr="00154FF3" w:rsidRDefault="00BB2492" w:rsidP="00D30969">
            <w:pPr>
              <w:pStyle w:val="TableTitle"/>
              <w:rPr>
                <w:lang w:val="en-CA"/>
              </w:rPr>
            </w:pPr>
            <w:r w:rsidRPr="00154FF3">
              <w:rPr>
                <w:lang w:val="en-CA"/>
              </w:rPr>
              <w:t>Number of calendar days</w:t>
            </w:r>
          </w:p>
        </w:tc>
        <w:tc>
          <w:tcPr>
            <w:tcW w:w="2257" w:type="pct"/>
          </w:tcPr>
          <w:p w:rsidR="00BB2492" w:rsidRPr="00154FF3" w:rsidRDefault="00BB2492" w:rsidP="00D30969">
            <w:pPr>
              <w:pStyle w:val="TableTitle"/>
              <w:rPr>
                <w:lang w:val="en-CA"/>
              </w:rPr>
            </w:pPr>
            <w:r w:rsidRPr="00154FF3">
              <w:rPr>
                <w:lang w:val="en-CA"/>
              </w:rPr>
              <w:t>The number of internal appointments for which the TTS-IA was within the specified number of calendar days  for organizations subject to the Public Service Employment Act</w:t>
            </w:r>
          </w:p>
        </w:tc>
        <w:tc>
          <w:tcPr>
            <w:tcW w:w="1851" w:type="pct"/>
          </w:tcPr>
          <w:p w:rsidR="00BB2492" w:rsidRPr="00154FF3" w:rsidRDefault="00BB2492" w:rsidP="00D30969">
            <w:pPr>
              <w:pStyle w:val="TableTitle"/>
              <w:rPr>
                <w:lang w:val="en-CA"/>
              </w:rPr>
            </w:pPr>
            <w:r w:rsidRPr="00154FF3">
              <w:rPr>
                <w:lang w:val="en-CA"/>
              </w:rPr>
              <w:t>The number of external appointment processes for which the TTS-EA was within the specified number of calendar days for organizations subject to the Public Service Employment Act</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 to 29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15</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49</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30 to 59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124</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82</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60 to 89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265</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124</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90 to 119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384</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160</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120 to 149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354</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181</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150 to 179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311</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179</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180 to 209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269</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160</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210 to 239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234</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139</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240 to 269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159</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84</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270 to 299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128</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73</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300 to 329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102</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61</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330 to 359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77</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41</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360 to 389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58</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43</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390 to 419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51</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49</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420 to 449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49</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35</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450 to 479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40</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22</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480 to 509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38</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27</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510 to 539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31</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17</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540 to 569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23</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15</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570 to 599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21</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14</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600 to 629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10</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12</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630 to 659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19</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7</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660 to 689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5</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690 to 719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12</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7</w:t>
            </w:r>
          </w:p>
        </w:tc>
      </w:tr>
      <w:tr w:rsidR="00BB2492" w:rsidRPr="00154FF3" w:rsidTr="00BB2492">
        <w:trPr>
          <w:cantSplit/>
          <w:trHeight w:val="302"/>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720 to 749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6</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11</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750 to 779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5</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780 to 809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7</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810 to 839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840 to 869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10</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870 to 899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900 to 929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5</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930 to 959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4</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1</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960 to 989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3</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r>
      <w:tr w:rsidR="00BB2492" w:rsidRPr="00154FF3" w:rsidTr="00BB2492">
        <w:trPr>
          <w:cantSplit/>
          <w:trHeight w:val="290"/>
          <w:tblHeader/>
          <w:jc w:val="center"/>
        </w:trPr>
        <w:tc>
          <w:tcPr>
            <w:tcW w:w="89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More than 990 calendar days</w:t>
            </w:r>
          </w:p>
        </w:tc>
        <w:tc>
          <w:tcPr>
            <w:tcW w:w="2257"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23</w:t>
            </w:r>
          </w:p>
        </w:tc>
        <w:tc>
          <w:tcPr>
            <w:tcW w:w="1851" w:type="pct"/>
          </w:tcPr>
          <w:p w:rsidR="00BB2492" w:rsidRPr="00154FF3" w:rsidRDefault="00BB2492" w:rsidP="005640A2">
            <w:pPr>
              <w:rPr>
                <w:rFonts w:asciiTheme="minorHAnsi" w:eastAsiaTheme="minorHAnsi" w:hAnsiTheme="minorHAnsi" w:cstheme="minorHAnsi"/>
                <w:sz w:val="22"/>
                <w:szCs w:val="22"/>
                <w:lang w:val="en-CA"/>
              </w:rPr>
            </w:pPr>
            <w:r w:rsidRPr="00154FF3">
              <w:rPr>
                <w:rFonts w:asciiTheme="minorHAnsi" w:eastAsiaTheme="minorHAnsi" w:hAnsiTheme="minorHAnsi" w:cstheme="minorHAnsi"/>
                <w:sz w:val="22"/>
                <w:szCs w:val="22"/>
                <w:lang w:val="en-CA"/>
              </w:rPr>
              <w:t>0</w:t>
            </w:r>
          </w:p>
        </w:tc>
      </w:tr>
    </w:tbl>
    <w:p w:rsidR="00BB2492" w:rsidRPr="00154FF3" w:rsidRDefault="00BB2492" w:rsidP="005640A2">
      <w:pPr>
        <w:rPr>
          <w:rFonts w:eastAsiaTheme="minorHAnsi"/>
          <w:lang w:val="en-CA"/>
        </w:rPr>
        <w:sectPr w:rsidR="00BB2492" w:rsidRPr="00154FF3" w:rsidSect="00785F07">
          <w:type w:val="continuous"/>
          <w:pgSz w:w="24480" w:h="15840" w:orient="landscape" w:code="3"/>
          <w:pgMar w:top="1440" w:right="1080" w:bottom="1440" w:left="1080" w:header="708" w:footer="283" w:gutter="0"/>
          <w:cols w:space="708"/>
          <w:titlePg/>
          <w:docGrid w:linePitch="360"/>
        </w:sectPr>
      </w:pPr>
    </w:p>
    <w:p w:rsidR="00DA6D75" w:rsidRPr="00154FF3" w:rsidRDefault="00DA6D75" w:rsidP="002F1BE5">
      <w:pPr>
        <w:pStyle w:val="Heading1"/>
        <w:spacing w:before="120"/>
        <w:rPr>
          <w:sz w:val="40"/>
          <w:lang w:val="en-CA"/>
        </w:rPr>
      </w:pPr>
      <w:r w:rsidRPr="00154FF3">
        <w:rPr>
          <w:sz w:val="40"/>
          <w:lang w:val="en-CA"/>
        </w:rPr>
        <w:lastRenderedPageBreak/>
        <w:t>Technical Notes</w:t>
      </w:r>
    </w:p>
    <w:p w:rsidR="00595328" w:rsidRPr="00154FF3" w:rsidRDefault="00595328" w:rsidP="00D30969">
      <w:pPr>
        <w:pStyle w:val="ListParagraph"/>
        <w:numPr>
          <w:ilvl w:val="0"/>
          <w:numId w:val="39"/>
        </w:numPr>
        <w:rPr>
          <w:rFonts w:asciiTheme="minorHAnsi" w:hAnsiTheme="minorHAnsi" w:cstheme="minorHAnsi"/>
          <w:sz w:val="22"/>
          <w:szCs w:val="22"/>
          <w:lang w:val="en-CA"/>
        </w:rPr>
      </w:pPr>
      <w:r w:rsidRPr="00154FF3">
        <w:rPr>
          <w:rFonts w:asciiTheme="minorHAnsi" w:hAnsiTheme="minorHAnsi" w:cstheme="minorHAnsi"/>
          <w:sz w:val="22"/>
          <w:szCs w:val="22"/>
          <w:lang w:val="en-CA"/>
        </w:rPr>
        <w:t>The Time to Staff - Internal Appointments (TTS-IA) is the median number of calendar days between the opening date of an internal advertisement and the date of the first Notice of Appointment or Proposal of Appointment (NAPA) from the Public Service Resourcing System for internal term and indeterminate positions. As NAPAs are not required for all internal staffing actions, this measure is limited to reporting on internal promotional appointments</w:t>
      </w:r>
    </w:p>
    <w:p w:rsidR="00595328" w:rsidRPr="00154FF3" w:rsidRDefault="00595328" w:rsidP="00D30969">
      <w:pPr>
        <w:pStyle w:val="ListParagraph"/>
        <w:numPr>
          <w:ilvl w:val="0"/>
          <w:numId w:val="39"/>
        </w:numPr>
        <w:rPr>
          <w:rFonts w:asciiTheme="minorHAnsi" w:hAnsiTheme="minorHAnsi" w:cstheme="minorHAnsi"/>
          <w:sz w:val="22"/>
          <w:szCs w:val="22"/>
          <w:lang w:val="en-CA"/>
        </w:rPr>
      </w:pPr>
      <w:r w:rsidRPr="00154FF3">
        <w:rPr>
          <w:rFonts w:asciiTheme="minorHAnsi" w:hAnsiTheme="minorHAnsi" w:cstheme="minorHAnsi"/>
          <w:sz w:val="22"/>
          <w:szCs w:val="22"/>
          <w:lang w:val="en-CA"/>
        </w:rPr>
        <w:t>Only estimated term and indeterminate appointments/notifications are included (deployments, casual and acting appointments are excluded)</w:t>
      </w:r>
    </w:p>
    <w:p w:rsidR="00595328" w:rsidRPr="00154FF3" w:rsidRDefault="00595328" w:rsidP="00D30969">
      <w:pPr>
        <w:pStyle w:val="ListParagraph"/>
        <w:numPr>
          <w:ilvl w:val="0"/>
          <w:numId w:val="39"/>
        </w:numPr>
        <w:rPr>
          <w:rFonts w:asciiTheme="minorHAnsi" w:hAnsiTheme="minorHAnsi" w:cstheme="minorHAnsi"/>
          <w:sz w:val="22"/>
          <w:szCs w:val="22"/>
          <w:lang w:val="en-CA"/>
        </w:rPr>
      </w:pPr>
      <w:r w:rsidRPr="00154FF3">
        <w:rPr>
          <w:rFonts w:asciiTheme="minorHAnsi" w:hAnsiTheme="minorHAnsi" w:cstheme="minorHAnsi"/>
          <w:sz w:val="22"/>
          <w:szCs w:val="22"/>
          <w:lang w:val="en-CA"/>
        </w:rPr>
        <w:t>The Time to Staff - External Appointments (TTS-EA) is the median number of calendar days between the opening date of an external advertisement and the date of the first estimated appointment of an individual from outside an organization subject to the Public Service Employment Act for term and indeterminate positions. Only estimated term and indeterminate appointments/notifications are included (deployments, casual and acting appointments are excluded)</w:t>
      </w:r>
    </w:p>
    <w:p w:rsidR="00595328" w:rsidRPr="00154FF3" w:rsidRDefault="00595328" w:rsidP="00D30969">
      <w:pPr>
        <w:pStyle w:val="ListParagraph"/>
        <w:numPr>
          <w:ilvl w:val="0"/>
          <w:numId w:val="39"/>
        </w:numPr>
        <w:rPr>
          <w:rFonts w:asciiTheme="minorHAnsi" w:hAnsiTheme="minorHAnsi" w:cstheme="minorHAnsi"/>
          <w:sz w:val="22"/>
          <w:szCs w:val="22"/>
          <w:lang w:val="en-CA"/>
        </w:rPr>
      </w:pPr>
      <w:r w:rsidRPr="00154FF3">
        <w:rPr>
          <w:rFonts w:asciiTheme="minorHAnsi" w:hAnsiTheme="minorHAnsi" w:cstheme="minorHAnsi"/>
          <w:sz w:val="22"/>
          <w:szCs w:val="22"/>
          <w:lang w:val="en-CA"/>
        </w:rPr>
        <w:t>Because data between systems is linked using a probabilistic match, errors in data linkage are a potential source of measurement error</w:t>
      </w:r>
    </w:p>
    <w:p w:rsidR="002F1BE5" w:rsidRPr="00154FF3" w:rsidRDefault="002F1BE5" w:rsidP="002F1BE5">
      <w:pPr>
        <w:pStyle w:val="Heading1"/>
        <w:rPr>
          <w:sz w:val="40"/>
          <w:lang w:val="en-CA"/>
        </w:rPr>
      </w:pPr>
      <w:r w:rsidRPr="00154FF3">
        <w:rPr>
          <w:sz w:val="40"/>
          <w:lang w:val="en-CA"/>
        </w:rPr>
        <w:t>Source</w:t>
      </w:r>
    </w:p>
    <w:p w:rsidR="00595328" w:rsidRPr="00154FF3" w:rsidRDefault="00595328" w:rsidP="00D30969">
      <w:pPr>
        <w:pStyle w:val="ListParagraph"/>
        <w:numPr>
          <w:ilvl w:val="0"/>
          <w:numId w:val="39"/>
        </w:numPr>
        <w:rPr>
          <w:rFonts w:asciiTheme="minorHAnsi" w:hAnsiTheme="minorHAnsi" w:cstheme="minorHAnsi"/>
          <w:sz w:val="22"/>
          <w:szCs w:val="22"/>
          <w:lang w:val="en-CA"/>
        </w:rPr>
      </w:pPr>
      <w:r w:rsidRPr="00154FF3">
        <w:rPr>
          <w:rFonts w:asciiTheme="minorHAnsi" w:hAnsiTheme="minorHAnsi" w:cstheme="minorHAnsi"/>
          <w:sz w:val="22"/>
          <w:szCs w:val="22"/>
          <w:lang w:val="en-CA"/>
        </w:rPr>
        <w:t>Hiring and staffing activities data are derived from information received from the Treasury Board of Canada Secretariat Incumbent File.  The Incumbent File is extracted from the Public Services and Procurement Canada’s pay system.  The data constitutes an estimate of hiring and staffing activities to and within organizations.</w:t>
      </w:r>
    </w:p>
    <w:p w:rsidR="00595328" w:rsidRPr="00154FF3" w:rsidRDefault="00595328" w:rsidP="00D30969">
      <w:pPr>
        <w:pStyle w:val="ListParagraph"/>
        <w:numPr>
          <w:ilvl w:val="0"/>
          <w:numId w:val="39"/>
        </w:numPr>
        <w:rPr>
          <w:rFonts w:asciiTheme="minorHAnsi" w:hAnsiTheme="minorHAnsi" w:cstheme="minorHAnsi"/>
          <w:sz w:val="22"/>
          <w:szCs w:val="22"/>
          <w:lang w:val="en-CA"/>
        </w:rPr>
      </w:pPr>
      <w:r w:rsidRPr="00154FF3">
        <w:rPr>
          <w:rFonts w:asciiTheme="minorHAnsi" w:hAnsiTheme="minorHAnsi" w:cstheme="minorHAnsi"/>
          <w:sz w:val="22"/>
          <w:szCs w:val="22"/>
          <w:lang w:val="en-CA"/>
        </w:rPr>
        <w:t>Information from the Priority Information Management System and the Public Services Resourcing System is also used to determine if staffing actions are advertised or non-advertised as well as for calculating time to staff.</w:t>
      </w:r>
    </w:p>
    <w:p w:rsidR="00595328" w:rsidRPr="00154FF3" w:rsidRDefault="00595328" w:rsidP="00D30969">
      <w:pPr>
        <w:pStyle w:val="ListParagraph"/>
        <w:numPr>
          <w:ilvl w:val="0"/>
          <w:numId w:val="39"/>
        </w:numPr>
        <w:rPr>
          <w:rFonts w:asciiTheme="minorHAnsi" w:eastAsiaTheme="minorHAnsi" w:hAnsiTheme="minorHAnsi" w:cstheme="minorHAnsi"/>
          <w:sz w:val="22"/>
          <w:szCs w:val="22"/>
          <w:lang w:val="en-CA"/>
        </w:rPr>
      </w:pPr>
      <w:r w:rsidRPr="00154FF3">
        <w:rPr>
          <w:rFonts w:asciiTheme="minorHAnsi" w:hAnsiTheme="minorHAnsi" w:cstheme="minorHAnsi"/>
          <w:sz w:val="22"/>
          <w:szCs w:val="22"/>
          <w:lang w:val="en-CA"/>
        </w:rPr>
        <w:t>The data are not expected to match an organization’s human resources data, due to methodology and timing differences.</w:t>
      </w:r>
    </w:p>
    <w:sectPr w:rsidR="00595328" w:rsidRPr="00154FF3" w:rsidSect="00785F07">
      <w:type w:val="continuous"/>
      <w:pgSz w:w="12240" w:h="15840"/>
      <w:pgMar w:top="1440" w:right="1080" w:bottom="1440" w:left="108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5CD" w:rsidRDefault="00EF05CD" w:rsidP="0051557E">
      <w:r>
        <w:separator/>
      </w:r>
    </w:p>
  </w:endnote>
  <w:endnote w:type="continuationSeparator" w:id="0">
    <w:p w:rsidR="00EF05CD" w:rsidRDefault="00EF05CD"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5CD" w:rsidRPr="00E70F43" w:rsidRDefault="00EF05CD" w:rsidP="00E003A3">
    <w:pPr>
      <w:spacing w:after="160" w:line="259" w:lineRule="auto"/>
      <w:rPr>
        <w:rFonts w:ascii="Calibri" w:eastAsia="Calibri" w:hAnsi="Calibri"/>
        <w:sz w:val="16"/>
        <w:szCs w:val="16"/>
        <w:lang w:val="en-CA"/>
      </w:rPr>
    </w:pPr>
    <w:r w:rsidRPr="00E70F43">
      <w:rPr>
        <w:rFonts w:ascii="Calibri" w:eastAsia="Calibri" w:hAnsi="Calibri"/>
        <w:sz w:val="16"/>
        <w:szCs w:val="16"/>
        <w:lang w:val="fr-CA"/>
      </w:rPr>
      <w:fldChar w:fldCharType="begin"/>
    </w:r>
    <w:r w:rsidRPr="00E70F43">
      <w:rPr>
        <w:rFonts w:ascii="Calibri" w:eastAsia="Calibri" w:hAnsi="Calibri"/>
        <w:sz w:val="16"/>
        <w:szCs w:val="16"/>
        <w:lang w:val="fr-CA"/>
      </w:rPr>
      <w:instrText xml:space="preserve"> PAGE   \* MERGEFORMAT </w:instrText>
    </w:r>
    <w:r w:rsidRPr="00E70F43">
      <w:rPr>
        <w:rFonts w:ascii="Calibri" w:eastAsia="Calibri" w:hAnsi="Calibri"/>
        <w:sz w:val="16"/>
        <w:szCs w:val="16"/>
        <w:lang w:val="fr-CA"/>
      </w:rPr>
      <w:fldChar w:fldCharType="separate"/>
    </w:r>
    <w:r w:rsidR="00B0326F" w:rsidRPr="00B0326F">
      <w:rPr>
        <w:rFonts w:ascii="Calibri" w:eastAsia="Calibri" w:hAnsi="Calibri"/>
        <w:b/>
        <w:bCs/>
        <w:noProof/>
        <w:sz w:val="16"/>
        <w:szCs w:val="16"/>
        <w:lang w:val="fr-CA"/>
      </w:rPr>
      <w:t>2</w:t>
    </w:r>
    <w:r w:rsidRPr="00E70F43">
      <w:rPr>
        <w:rFonts w:ascii="Calibri" w:eastAsia="Calibri" w:hAnsi="Calibri"/>
        <w:b/>
        <w:bCs/>
        <w:noProof/>
        <w:sz w:val="16"/>
        <w:szCs w:val="16"/>
        <w:lang w:val="fr-CA"/>
      </w:rPr>
      <w:fldChar w:fldCharType="end"/>
    </w:r>
    <w:r w:rsidRPr="00E70F43">
      <w:rPr>
        <w:rFonts w:ascii="Calibri" w:eastAsia="Calibri" w:hAnsi="Calibri"/>
        <w:b/>
        <w:bCs/>
        <w:sz w:val="16"/>
        <w:szCs w:val="16"/>
        <w:lang w:val="fr-CA"/>
      </w:rPr>
      <w:t xml:space="preserve"> </w:t>
    </w:r>
    <w:r w:rsidRPr="00E70F43">
      <w:rPr>
        <w:rFonts w:ascii="Calibri" w:eastAsia="Calibri" w:hAnsi="Calibri"/>
        <w:sz w:val="16"/>
        <w:szCs w:val="16"/>
        <w:lang w:val="fr-CA"/>
      </w:rPr>
      <w:ptab w:relativeTo="margin" w:alignment="center" w:leader="none"/>
    </w:r>
    <w:r w:rsidRPr="00E70F43">
      <w:rPr>
        <w:rFonts w:ascii="Calibri" w:eastAsia="Calibri" w:hAnsi="Calibri"/>
        <w:sz w:val="16"/>
        <w:szCs w:val="16"/>
        <w:lang w:val="fr-CA"/>
      </w:rPr>
      <w:ptab w:relativeTo="margin" w:alignment="right" w:leader="none"/>
    </w:r>
    <w:r>
      <w:rPr>
        <w:rFonts w:ascii="Calibri" w:eastAsia="Calibri" w:hAnsi="Calibri"/>
        <w:sz w:val="16"/>
        <w:szCs w:val="16"/>
        <w:lang w:val="fr-CA"/>
      </w:rPr>
      <w:t>9764825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751064"/>
      <w:docPartObj>
        <w:docPartGallery w:val="Page Numbers (Bottom of Page)"/>
        <w:docPartUnique/>
      </w:docPartObj>
    </w:sdtPr>
    <w:sdtEndPr>
      <w:rPr>
        <w:rFonts w:asciiTheme="majorHAnsi" w:hAnsiTheme="majorHAnsi" w:cstheme="majorHAnsi"/>
        <w:sz w:val="16"/>
        <w:szCs w:val="16"/>
      </w:rPr>
    </w:sdtEndPr>
    <w:sdtContent>
      <w:p w:rsidR="00EF05CD" w:rsidRPr="006B726E" w:rsidRDefault="00EF05CD">
        <w:pPr>
          <w:pStyle w:val="Footer"/>
          <w:rPr>
            <w:rFonts w:asciiTheme="majorHAnsi" w:hAnsiTheme="majorHAnsi" w:cstheme="majorHAnsi"/>
            <w:sz w:val="16"/>
            <w:szCs w:val="16"/>
          </w:rPr>
        </w:pPr>
        <w:r w:rsidRPr="006B726E">
          <w:rPr>
            <w:rFonts w:asciiTheme="majorHAnsi" w:hAnsiTheme="majorHAnsi" w:cstheme="majorHAnsi"/>
            <w:sz w:val="16"/>
            <w:szCs w:val="16"/>
          </w:rPr>
          <w:fldChar w:fldCharType="begin"/>
        </w:r>
        <w:r w:rsidRPr="006B726E">
          <w:rPr>
            <w:rFonts w:asciiTheme="majorHAnsi" w:hAnsiTheme="majorHAnsi" w:cstheme="majorHAnsi"/>
            <w:sz w:val="16"/>
            <w:szCs w:val="16"/>
          </w:rPr>
          <w:instrText>PAGE   \* MERGEFORMAT</w:instrText>
        </w:r>
        <w:r w:rsidRPr="006B726E">
          <w:rPr>
            <w:rFonts w:asciiTheme="majorHAnsi" w:hAnsiTheme="majorHAnsi" w:cstheme="majorHAnsi"/>
            <w:sz w:val="16"/>
            <w:szCs w:val="16"/>
          </w:rPr>
          <w:fldChar w:fldCharType="separate"/>
        </w:r>
        <w:r w:rsidR="00B0326F" w:rsidRPr="00B0326F">
          <w:rPr>
            <w:rFonts w:asciiTheme="majorHAnsi" w:hAnsiTheme="majorHAnsi" w:cstheme="majorHAnsi"/>
            <w:noProof/>
            <w:sz w:val="16"/>
            <w:szCs w:val="16"/>
            <w:lang w:val="fr-FR"/>
          </w:rPr>
          <w:t>1</w:t>
        </w:r>
        <w:r w:rsidRPr="006B726E">
          <w:rPr>
            <w:rFonts w:asciiTheme="majorHAnsi" w:hAnsiTheme="majorHAnsi" w:cstheme="majorHAnsi"/>
            <w:sz w:val="16"/>
            <w:szCs w:val="16"/>
          </w:rPr>
          <w:fldChar w:fldCharType="end"/>
        </w:r>
      </w:p>
    </w:sdtContent>
  </w:sdt>
  <w:p w:rsidR="00EF05CD" w:rsidRDefault="00EF0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5CD" w:rsidRDefault="00EF05CD" w:rsidP="0051557E">
      <w:r>
        <w:separator/>
      </w:r>
    </w:p>
  </w:footnote>
  <w:footnote w:type="continuationSeparator" w:id="0">
    <w:p w:rsidR="00EF05CD" w:rsidRDefault="00EF05CD" w:rsidP="0051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5CD" w:rsidRDefault="00EF05CD" w:rsidP="0051557E">
    <w:pPr>
      <w:pStyle w:val="Header"/>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1DDF"/>
    <w:multiLevelType w:val="hybridMultilevel"/>
    <w:tmpl w:val="D29ADE6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9104A4"/>
    <w:multiLevelType w:val="hybridMultilevel"/>
    <w:tmpl w:val="00C49782"/>
    <w:lvl w:ilvl="0" w:tplc="F2B4A5D0">
      <w:start w:val="1"/>
      <w:numFmt w:val="bullet"/>
      <w:lvlText w:val=""/>
      <w:lvlJc w:val="left"/>
      <w:pPr>
        <w:ind w:left="720" w:hanging="360"/>
      </w:pPr>
      <w:rPr>
        <w:rFonts w:ascii="Symbol" w:hAnsi="Symbol" w:hint="default"/>
        <w:b/>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232685"/>
    <w:multiLevelType w:val="hybridMultilevel"/>
    <w:tmpl w:val="F230B7E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0C77EA"/>
    <w:multiLevelType w:val="hybridMultilevel"/>
    <w:tmpl w:val="5AA6EE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A250AE"/>
    <w:multiLevelType w:val="hybridMultilevel"/>
    <w:tmpl w:val="C8C490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7858AE"/>
    <w:multiLevelType w:val="multilevel"/>
    <w:tmpl w:val="8EC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374A2"/>
    <w:multiLevelType w:val="hybridMultilevel"/>
    <w:tmpl w:val="5CA82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985009"/>
    <w:multiLevelType w:val="hybridMultilevel"/>
    <w:tmpl w:val="6EEE4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E721B5"/>
    <w:multiLevelType w:val="hybridMultilevel"/>
    <w:tmpl w:val="C4F45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3B5FCF"/>
    <w:multiLevelType w:val="hybridMultilevel"/>
    <w:tmpl w:val="4EC0AF72"/>
    <w:lvl w:ilvl="0" w:tplc="10090001">
      <w:start w:val="1"/>
      <w:numFmt w:val="bullet"/>
      <w:lvlText w:val=""/>
      <w:lvlJc w:val="left"/>
      <w:pPr>
        <w:ind w:left="360" w:hanging="360"/>
      </w:pPr>
      <w:rPr>
        <w:rFonts w:ascii="Symbol" w:hAnsi="Symbol" w:hint="default"/>
      </w:rPr>
    </w:lvl>
    <w:lvl w:ilvl="1" w:tplc="169E289C">
      <w:numFmt w:val="bullet"/>
      <w:lvlText w:val="-"/>
      <w:lvlJc w:val="left"/>
      <w:pPr>
        <w:ind w:left="1080" w:hanging="360"/>
      </w:pPr>
      <w:rPr>
        <w:rFonts w:ascii="Arial" w:eastAsiaTheme="minorHAnsi"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495783A"/>
    <w:multiLevelType w:val="hybridMultilevel"/>
    <w:tmpl w:val="3AAA1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5355BE"/>
    <w:multiLevelType w:val="hybridMultilevel"/>
    <w:tmpl w:val="3CCCC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5A50EF"/>
    <w:multiLevelType w:val="hybridMultilevel"/>
    <w:tmpl w:val="36CED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576C7"/>
    <w:multiLevelType w:val="hybridMultilevel"/>
    <w:tmpl w:val="A0EAA5EE"/>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8F242B8"/>
    <w:multiLevelType w:val="hybridMultilevel"/>
    <w:tmpl w:val="884AF698"/>
    <w:lvl w:ilvl="0" w:tplc="10090001">
      <w:start w:val="1"/>
      <w:numFmt w:val="bullet"/>
      <w:lvlText w:val=""/>
      <w:lvlJc w:val="left"/>
      <w:pPr>
        <w:ind w:left="720" w:hanging="360"/>
      </w:pPr>
      <w:rPr>
        <w:rFonts w:ascii="Symbol" w:hAnsi="Symbol" w:hint="default"/>
      </w:rPr>
    </w:lvl>
    <w:lvl w:ilvl="1" w:tplc="E084BEB6">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667F5F"/>
    <w:multiLevelType w:val="hybridMultilevel"/>
    <w:tmpl w:val="4316F0E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9D1B14"/>
    <w:multiLevelType w:val="hybridMultilevel"/>
    <w:tmpl w:val="E9366422"/>
    <w:lvl w:ilvl="0" w:tplc="E084BEB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39B18DE"/>
    <w:multiLevelType w:val="hybridMultilevel"/>
    <w:tmpl w:val="30408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487EC0"/>
    <w:multiLevelType w:val="hybridMultilevel"/>
    <w:tmpl w:val="BB2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88F1FA5"/>
    <w:multiLevelType w:val="hybridMultilevel"/>
    <w:tmpl w:val="6BF61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BD25E2C"/>
    <w:multiLevelType w:val="hybridMultilevel"/>
    <w:tmpl w:val="F67EC2D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9C26DB"/>
    <w:multiLevelType w:val="hybridMultilevel"/>
    <w:tmpl w:val="CC461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1862A74"/>
    <w:multiLevelType w:val="hybridMultilevel"/>
    <w:tmpl w:val="B972F9E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80F636F"/>
    <w:multiLevelType w:val="hybridMultilevel"/>
    <w:tmpl w:val="D0EC7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925080D"/>
    <w:multiLevelType w:val="hybridMultilevel"/>
    <w:tmpl w:val="03C4B3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CA96095"/>
    <w:multiLevelType w:val="hybridMultilevel"/>
    <w:tmpl w:val="F9281FF4"/>
    <w:lvl w:ilvl="0" w:tplc="5B7286B6">
      <w:start w:val="1"/>
      <w:numFmt w:val="bullet"/>
      <w:lvlText w:val=""/>
      <w:lvlJc w:val="left"/>
      <w:pPr>
        <w:ind w:left="720" w:hanging="360"/>
      </w:pPr>
      <w:rPr>
        <w:rFonts w:ascii="Symbol" w:hAnsi="Symbol" w:hint="default"/>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2" w15:restartNumberingAfterBreak="0">
    <w:nsid w:val="6D0C3C2F"/>
    <w:multiLevelType w:val="hybridMultilevel"/>
    <w:tmpl w:val="D4DCB7F0"/>
    <w:lvl w:ilvl="0" w:tplc="17125AA6">
      <w:start w:val="1"/>
      <w:numFmt w:val="bullet"/>
      <w:lvlText w:val=""/>
      <w:lvlJc w:val="left"/>
      <w:pPr>
        <w:ind w:left="360" w:hanging="360"/>
      </w:pPr>
      <w:rPr>
        <w:rFonts w:ascii="Symbol" w:hAnsi="Symbol" w:hint="default"/>
        <w:color w:val="54575A" w:themeColor="text1"/>
        <w:sz w:val="24"/>
        <w:szCs w:val="24"/>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EF9044C"/>
    <w:multiLevelType w:val="hybridMultilevel"/>
    <w:tmpl w:val="28083F8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76730E"/>
    <w:multiLevelType w:val="hybridMultilevel"/>
    <w:tmpl w:val="97562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1F42FD"/>
    <w:multiLevelType w:val="hybridMultilevel"/>
    <w:tmpl w:val="4A8A24E4"/>
    <w:lvl w:ilvl="0" w:tplc="169E289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8E94D26"/>
    <w:multiLevelType w:val="hybridMultilevel"/>
    <w:tmpl w:val="C4C2CE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8752AC"/>
    <w:multiLevelType w:val="hybridMultilevel"/>
    <w:tmpl w:val="B522545A"/>
    <w:lvl w:ilvl="0" w:tplc="E084BEB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7"/>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8"/>
  </w:num>
  <w:num w:numId="7">
    <w:abstractNumId w:val="7"/>
  </w:num>
  <w:num w:numId="8">
    <w:abstractNumId w:val="34"/>
  </w:num>
  <w:num w:numId="9">
    <w:abstractNumId w:val="1"/>
  </w:num>
  <w:num w:numId="10">
    <w:abstractNumId w:val="32"/>
  </w:num>
  <w:num w:numId="11">
    <w:abstractNumId w:val="20"/>
  </w:num>
  <w:num w:numId="12">
    <w:abstractNumId w:val="25"/>
  </w:num>
  <w:num w:numId="13">
    <w:abstractNumId w:val="30"/>
  </w:num>
  <w:num w:numId="14">
    <w:abstractNumId w:val="2"/>
  </w:num>
  <w:num w:numId="15">
    <w:abstractNumId w:val="12"/>
  </w:num>
  <w:num w:numId="16">
    <w:abstractNumId w:val="26"/>
  </w:num>
  <w:num w:numId="17">
    <w:abstractNumId w:val="15"/>
  </w:num>
  <w:num w:numId="18">
    <w:abstractNumId w:val="11"/>
  </w:num>
  <w:num w:numId="19">
    <w:abstractNumId w:val="0"/>
  </w:num>
  <w:num w:numId="20">
    <w:abstractNumId w:val="28"/>
  </w:num>
  <w:num w:numId="21">
    <w:abstractNumId w:val="22"/>
  </w:num>
  <w:num w:numId="22">
    <w:abstractNumId w:val="36"/>
  </w:num>
  <w:num w:numId="23">
    <w:abstractNumId w:val="19"/>
  </w:num>
  <w:num w:numId="24">
    <w:abstractNumId w:val="18"/>
  </w:num>
  <w:num w:numId="25">
    <w:abstractNumId w:val="13"/>
  </w:num>
  <w:num w:numId="26">
    <w:abstractNumId w:val="10"/>
  </w:num>
  <w:num w:numId="27">
    <w:abstractNumId w:val="31"/>
  </w:num>
  <w:num w:numId="28">
    <w:abstractNumId w:val="35"/>
  </w:num>
  <w:num w:numId="29">
    <w:abstractNumId w:val="29"/>
  </w:num>
  <w:num w:numId="30">
    <w:abstractNumId w:val="23"/>
  </w:num>
  <w:num w:numId="31">
    <w:abstractNumId w:val="9"/>
  </w:num>
  <w:num w:numId="32">
    <w:abstractNumId w:val="3"/>
  </w:num>
  <w:num w:numId="33">
    <w:abstractNumId w:val="33"/>
  </w:num>
  <w:num w:numId="34">
    <w:abstractNumId w:val="37"/>
  </w:num>
  <w:num w:numId="35">
    <w:abstractNumId w:val="6"/>
  </w:num>
  <w:num w:numId="36">
    <w:abstractNumId w:val="27"/>
  </w:num>
  <w:num w:numId="37">
    <w:abstractNumId w:val="21"/>
  </w:num>
  <w:num w:numId="38">
    <w:abstractNumId w:val="2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28"/>
    <w:rsid w:val="00022CDF"/>
    <w:rsid w:val="00045756"/>
    <w:rsid w:val="00077687"/>
    <w:rsid w:val="00082E9C"/>
    <w:rsid w:val="00095A11"/>
    <w:rsid w:val="000A3C47"/>
    <w:rsid w:val="000C6013"/>
    <w:rsid w:val="000C6D5C"/>
    <w:rsid w:val="000E2833"/>
    <w:rsid w:val="00154D09"/>
    <w:rsid w:val="00154FF3"/>
    <w:rsid w:val="00170689"/>
    <w:rsid w:val="001835A5"/>
    <w:rsid w:val="001A7583"/>
    <w:rsid w:val="001B419A"/>
    <w:rsid w:val="001C2E0A"/>
    <w:rsid w:val="001D7AFA"/>
    <w:rsid w:val="001E681B"/>
    <w:rsid w:val="00210749"/>
    <w:rsid w:val="00235D16"/>
    <w:rsid w:val="00244CD0"/>
    <w:rsid w:val="002456C9"/>
    <w:rsid w:val="00270F5C"/>
    <w:rsid w:val="002E7F97"/>
    <w:rsid w:val="002F1BE5"/>
    <w:rsid w:val="003643BA"/>
    <w:rsid w:val="003A4A04"/>
    <w:rsid w:val="003C2C53"/>
    <w:rsid w:val="003D4AD7"/>
    <w:rsid w:val="00434F1C"/>
    <w:rsid w:val="00447DFC"/>
    <w:rsid w:val="00454AB6"/>
    <w:rsid w:val="00484131"/>
    <w:rsid w:val="004B041B"/>
    <w:rsid w:val="004E202E"/>
    <w:rsid w:val="004E7145"/>
    <w:rsid w:val="0051557E"/>
    <w:rsid w:val="00523A57"/>
    <w:rsid w:val="005640A2"/>
    <w:rsid w:val="00595328"/>
    <w:rsid w:val="005A0864"/>
    <w:rsid w:val="005E1AE6"/>
    <w:rsid w:val="005E300F"/>
    <w:rsid w:val="005F4AE5"/>
    <w:rsid w:val="0063515E"/>
    <w:rsid w:val="00651E70"/>
    <w:rsid w:val="006B726E"/>
    <w:rsid w:val="006C7CE3"/>
    <w:rsid w:val="007104A6"/>
    <w:rsid w:val="00785F07"/>
    <w:rsid w:val="007D7C92"/>
    <w:rsid w:val="007E17D1"/>
    <w:rsid w:val="007E51AB"/>
    <w:rsid w:val="008241BF"/>
    <w:rsid w:val="00831029"/>
    <w:rsid w:val="008A285D"/>
    <w:rsid w:val="008C3B43"/>
    <w:rsid w:val="008F5537"/>
    <w:rsid w:val="0091315D"/>
    <w:rsid w:val="00955C1D"/>
    <w:rsid w:val="009602F7"/>
    <w:rsid w:val="0099144E"/>
    <w:rsid w:val="00997D3F"/>
    <w:rsid w:val="009A1BF2"/>
    <w:rsid w:val="009C1D9D"/>
    <w:rsid w:val="009D4759"/>
    <w:rsid w:val="009E1FAC"/>
    <w:rsid w:val="00A062B4"/>
    <w:rsid w:val="00A16391"/>
    <w:rsid w:val="00A3677B"/>
    <w:rsid w:val="00A40263"/>
    <w:rsid w:val="00A629F1"/>
    <w:rsid w:val="00A6711F"/>
    <w:rsid w:val="00A77330"/>
    <w:rsid w:val="00AF61AE"/>
    <w:rsid w:val="00B0326F"/>
    <w:rsid w:val="00B17E2A"/>
    <w:rsid w:val="00B231F4"/>
    <w:rsid w:val="00B25103"/>
    <w:rsid w:val="00B55D41"/>
    <w:rsid w:val="00B74071"/>
    <w:rsid w:val="00B76733"/>
    <w:rsid w:val="00B82684"/>
    <w:rsid w:val="00B87271"/>
    <w:rsid w:val="00BB2492"/>
    <w:rsid w:val="00BB485D"/>
    <w:rsid w:val="00BB5D49"/>
    <w:rsid w:val="00C562F1"/>
    <w:rsid w:val="00C62F81"/>
    <w:rsid w:val="00C72CBA"/>
    <w:rsid w:val="00CC1042"/>
    <w:rsid w:val="00D01AF6"/>
    <w:rsid w:val="00D06902"/>
    <w:rsid w:val="00D30969"/>
    <w:rsid w:val="00D4223B"/>
    <w:rsid w:val="00D56D1F"/>
    <w:rsid w:val="00D848D1"/>
    <w:rsid w:val="00DA2F88"/>
    <w:rsid w:val="00DA6A6F"/>
    <w:rsid w:val="00DA6D75"/>
    <w:rsid w:val="00E003A3"/>
    <w:rsid w:val="00E6035D"/>
    <w:rsid w:val="00E616E0"/>
    <w:rsid w:val="00E70F43"/>
    <w:rsid w:val="00EA2C27"/>
    <w:rsid w:val="00ED7F0A"/>
    <w:rsid w:val="00EF05CD"/>
    <w:rsid w:val="00F3009F"/>
    <w:rsid w:val="00F432B4"/>
    <w:rsid w:val="00F5706F"/>
    <w:rsid w:val="00F65624"/>
    <w:rsid w:val="00F92C85"/>
    <w:rsid w:val="00FA3D20"/>
    <w:rsid w:val="00FF44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BC147C2-DAC8-4717-9E83-D425B0AC7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328"/>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210749"/>
    <w:pPr>
      <w:keepNext/>
      <w:spacing w:before="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Heading4">
    <w:name w:val="heading 4"/>
    <w:basedOn w:val="Normal"/>
    <w:next w:val="Normal"/>
    <w:link w:val="Heading4Ch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9"/>
    <w:pPr>
      <w:tabs>
        <w:tab w:val="center" w:pos="4680"/>
        <w:tab w:val="right" w:pos="9360"/>
      </w:tabs>
    </w:pPr>
  </w:style>
  <w:style w:type="character" w:customStyle="1" w:styleId="HeaderChar">
    <w:name w:val="Header Char"/>
    <w:basedOn w:val="DefaultParagraphFont"/>
    <w:link w:val="Header"/>
    <w:uiPriority w:val="99"/>
    <w:rsid w:val="00210749"/>
    <w:rPr>
      <w:color w:val="54575A" w:themeColor="text1"/>
      <w:lang w:val="fr-CA"/>
    </w:rPr>
  </w:style>
  <w:style w:type="paragraph" w:styleId="Footer">
    <w:name w:val="footer"/>
    <w:basedOn w:val="Normal"/>
    <w:link w:val="FooterChar"/>
    <w:uiPriority w:val="99"/>
    <w:unhideWhenUsed/>
    <w:rsid w:val="00210749"/>
    <w:pPr>
      <w:tabs>
        <w:tab w:val="center" w:pos="4680"/>
        <w:tab w:val="right" w:pos="9360"/>
      </w:tabs>
    </w:pPr>
  </w:style>
  <w:style w:type="character" w:customStyle="1" w:styleId="FooterChar">
    <w:name w:val="Footer Char"/>
    <w:basedOn w:val="DefaultParagraphFont"/>
    <w:link w:val="Footer"/>
    <w:uiPriority w:val="99"/>
    <w:rsid w:val="00210749"/>
    <w:rPr>
      <w:color w:val="54575A" w:themeColor="text1"/>
      <w:lang w:val="fr-CA"/>
    </w:rPr>
  </w:style>
  <w:style w:type="paragraph" w:styleId="BalloonText">
    <w:name w:val="Balloon Text"/>
    <w:basedOn w:val="Normal"/>
    <w:link w:val="BalloonTextChar"/>
    <w:uiPriority w:val="99"/>
    <w:semiHidden/>
    <w:unhideWhenUsed/>
    <w:rsid w:val="002107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FootnoteReference">
    <w:name w:val="footnote reference"/>
    <w:basedOn w:val="DefaultParagraphFont"/>
    <w:uiPriority w:val="99"/>
    <w:semiHidden/>
    <w:unhideWhenUsed/>
    <w:rsid w:val="00210749"/>
    <w:rPr>
      <w:vertAlign w:val="superscript"/>
    </w:rPr>
  </w:style>
  <w:style w:type="paragraph" w:styleId="FootnoteText">
    <w:name w:val="footnote text"/>
    <w:basedOn w:val="Normal"/>
    <w:link w:val="FootnoteTextChar"/>
    <w:uiPriority w:val="99"/>
    <w:unhideWhenUsed/>
    <w:rsid w:val="00210749"/>
    <w:rPr>
      <w:sz w:val="20"/>
    </w:rPr>
  </w:style>
  <w:style w:type="character" w:customStyle="1" w:styleId="FootnoteTextChar">
    <w:name w:val="Footnote Text Char"/>
    <w:basedOn w:val="DefaultParagraphFont"/>
    <w:link w:val="FootnoteText"/>
    <w:uiPriority w:val="99"/>
    <w:rsid w:val="00210749"/>
    <w:rPr>
      <w:color w:val="54575A" w:themeColor="text1"/>
      <w:sz w:val="20"/>
      <w:szCs w:val="20"/>
      <w:lang w:val="fr-CA"/>
    </w:rPr>
  </w:style>
  <w:style w:type="character" w:customStyle="1" w:styleId="Heading1Char">
    <w:name w:val="Heading 1 Char"/>
    <w:basedOn w:val="DefaultParagraphFont"/>
    <w:link w:val="Heading1"/>
    <w:uiPriority w:val="9"/>
    <w:rsid w:val="00210749"/>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210749"/>
    <w:rPr>
      <w:rFonts w:ascii="Segoe UI" w:eastAsiaTheme="majorEastAsia" w:hAnsi="Segoe UI" w:cs="Segoe UI"/>
      <w:b/>
      <w:color w:val="5B315E" w:themeColor="accent2"/>
      <w:sz w:val="32"/>
      <w:szCs w:val="32"/>
      <w:lang w:val="fr-CA"/>
    </w:rPr>
  </w:style>
  <w:style w:type="character" w:customStyle="1" w:styleId="Heading3Char">
    <w:name w:val="Heading 3 Char"/>
    <w:basedOn w:val="DefaultParagraphFont"/>
    <w:link w:val="Heading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Heading4Char">
    <w:name w:val="Heading 4 Char"/>
    <w:basedOn w:val="DefaultParagraphFont"/>
    <w:link w:val="Heading4"/>
    <w:uiPriority w:val="9"/>
    <w:rsid w:val="00210749"/>
    <w:rPr>
      <w:rFonts w:asciiTheme="majorHAnsi" w:eastAsiaTheme="majorEastAsia" w:hAnsiTheme="majorHAnsi" w:cstheme="majorBidi"/>
      <w:iCs/>
      <w:color w:val="54575A" w:themeColor="text2"/>
      <w:lang w:val="fr-CA"/>
    </w:rPr>
  </w:style>
  <w:style w:type="character" w:customStyle="1" w:styleId="Heading5Char">
    <w:name w:val="Heading 5 Char"/>
    <w:basedOn w:val="DefaultParagraphFont"/>
    <w:link w:val="Heading5"/>
    <w:uiPriority w:val="9"/>
    <w:rsid w:val="00210749"/>
    <w:rPr>
      <w:rFonts w:asciiTheme="majorHAnsi" w:eastAsiaTheme="majorEastAsia" w:hAnsiTheme="majorHAnsi" w:cstheme="majorBidi"/>
      <w:color w:val="9F0040" w:themeColor="accent1" w:themeShade="BF"/>
      <w:lang w:val="fr-CA"/>
    </w:rPr>
  </w:style>
  <w:style w:type="paragraph" w:styleId="ListParagraph">
    <w:name w:val="List Paragraph"/>
    <w:basedOn w:val="Normal"/>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ListParagraph"/>
    <w:qFormat/>
    <w:rsid w:val="00210749"/>
  </w:style>
  <w:style w:type="paragraph" w:styleId="Subtitle">
    <w:name w:val="Subtitle"/>
    <w:basedOn w:val="Normal"/>
    <w:next w:val="Normal"/>
    <w:link w:val="SubtitleChar"/>
    <w:uiPriority w:val="11"/>
    <w:qFormat/>
    <w:rsid w:val="00210749"/>
    <w:rPr>
      <w:rFonts w:ascii="Segoe UI Light" w:hAnsi="Segoe UI Light" w:cs="Segoe UI Light"/>
      <w:sz w:val="36"/>
      <w:szCs w:val="36"/>
    </w:rPr>
  </w:style>
  <w:style w:type="character" w:customStyle="1" w:styleId="SubtitleChar">
    <w:name w:val="Subtitle Char"/>
    <w:basedOn w:val="DefaultParagraphFont"/>
    <w:link w:val="Subtitle"/>
    <w:uiPriority w:val="11"/>
    <w:rsid w:val="00210749"/>
    <w:rPr>
      <w:rFonts w:ascii="Segoe UI Light" w:hAnsi="Segoe UI Light" w:cs="Segoe UI Light"/>
      <w:color w:val="54575A" w:themeColor="text1"/>
      <w:sz w:val="36"/>
      <w:szCs w:val="36"/>
      <w:lang w:val="fr-CA"/>
    </w:rPr>
  </w:style>
  <w:style w:type="table" w:styleId="TableGrid">
    <w:name w:val="Table Grid"/>
    <w:basedOn w:val="Table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DA6A6F"/>
    <w:rPr>
      <w:rFonts w:ascii="Segoe UI Semibold" w:hAnsi="Segoe UI Semibold"/>
      <w:b w:val="0"/>
      <w:color w:val="auto"/>
      <w:sz w:val="22"/>
    </w:rPr>
  </w:style>
  <w:style w:type="paragraph" w:styleId="Title">
    <w:name w:val="Title"/>
    <w:basedOn w:val="Normal"/>
    <w:next w:val="Normal"/>
    <w:link w:val="TitleChar"/>
    <w:autoRedefine/>
    <w:uiPriority w:val="10"/>
    <w:qFormat/>
    <w:rsid w:val="00595328"/>
    <w:pPr>
      <w:spacing w:before="1200" w:line="1200" w:lineRule="exact"/>
      <w:contextualSpacing/>
    </w:pPr>
    <w:rPr>
      <w:rFonts w:ascii="Segoe UI Light" w:eastAsiaTheme="majorEastAsia" w:hAnsi="Segoe UI Light" w:cs="Segoe UI Light"/>
      <w:spacing w:val="-10"/>
      <w:kern w:val="28"/>
      <w:sz w:val="52"/>
      <w:szCs w:val="52"/>
    </w:rPr>
  </w:style>
  <w:style w:type="character" w:customStyle="1" w:styleId="TitleChar">
    <w:name w:val="Title Char"/>
    <w:basedOn w:val="DefaultParagraphFont"/>
    <w:link w:val="Title"/>
    <w:uiPriority w:val="10"/>
    <w:rsid w:val="00595328"/>
    <w:rPr>
      <w:rFonts w:ascii="Segoe UI Light" w:eastAsiaTheme="majorEastAsia" w:hAnsi="Segoe UI Light" w:cs="Segoe UI Light"/>
      <w:spacing w:val="-10"/>
      <w:kern w:val="28"/>
      <w:sz w:val="52"/>
      <w:szCs w:val="52"/>
      <w:lang w:val="en-US"/>
    </w:rPr>
  </w:style>
  <w:style w:type="paragraph" w:styleId="NormalWeb">
    <w:name w:val="Normal (Web)"/>
    <w:basedOn w:val="Normal"/>
    <w:uiPriority w:val="99"/>
    <w:unhideWhenUsed/>
    <w:rsid w:val="00595328"/>
    <w:pPr>
      <w:spacing w:before="100" w:beforeAutospacing="1" w:after="100" w:afterAutospacing="1"/>
    </w:pPr>
    <w:rPr>
      <w:rFonts w:ascii="Verdana" w:hAnsi="Verdana"/>
      <w:szCs w:val="24"/>
    </w:rPr>
  </w:style>
  <w:style w:type="paragraph" w:customStyle="1" w:styleId="Level1">
    <w:name w:val="Level 1"/>
    <w:basedOn w:val="Normal"/>
    <w:uiPriority w:val="99"/>
    <w:rsid w:val="00595328"/>
    <w:pPr>
      <w:widowControl w:val="0"/>
    </w:pPr>
  </w:style>
  <w:style w:type="character" w:styleId="Hyperlink">
    <w:name w:val="Hyperlink"/>
    <w:uiPriority w:val="99"/>
    <w:unhideWhenUsed/>
    <w:rsid w:val="00595328"/>
    <w:rPr>
      <w:color w:val="0563C1"/>
      <w:u w:val="single"/>
    </w:rPr>
  </w:style>
  <w:style w:type="character" w:styleId="CommentReference">
    <w:name w:val="annotation reference"/>
    <w:uiPriority w:val="99"/>
    <w:semiHidden/>
    <w:unhideWhenUsed/>
    <w:rsid w:val="00595328"/>
    <w:rPr>
      <w:sz w:val="16"/>
      <w:szCs w:val="16"/>
    </w:rPr>
  </w:style>
  <w:style w:type="paragraph" w:styleId="CommentText">
    <w:name w:val="annotation text"/>
    <w:basedOn w:val="Normal"/>
    <w:link w:val="CommentTextChar"/>
    <w:uiPriority w:val="99"/>
    <w:unhideWhenUsed/>
    <w:rsid w:val="00595328"/>
    <w:rPr>
      <w:sz w:val="20"/>
    </w:rPr>
  </w:style>
  <w:style w:type="character" w:customStyle="1" w:styleId="CommentTextChar">
    <w:name w:val="Comment Text Char"/>
    <w:basedOn w:val="DefaultParagraphFont"/>
    <w:link w:val="CommentText"/>
    <w:uiPriority w:val="99"/>
    <w:rsid w:val="0059532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95328"/>
    <w:rPr>
      <w:b/>
      <w:bCs/>
    </w:rPr>
  </w:style>
  <w:style w:type="character" w:customStyle="1" w:styleId="CommentSubjectChar">
    <w:name w:val="Comment Subject Char"/>
    <w:basedOn w:val="CommentTextChar"/>
    <w:link w:val="CommentSubject"/>
    <w:uiPriority w:val="99"/>
    <w:semiHidden/>
    <w:rsid w:val="00595328"/>
    <w:rPr>
      <w:rFonts w:ascii="Times New Roman" w:eastAsia="Times New Roman" w:hAnsi="Times New Roman" w:cs="Times New Roman"/>
      <w:b/>
      <w:bCs/>
      <w:sz w:val="20"/>
      <w:szCs w:val="20"/>
      <w:lang w:val="en-US"/>
    </w:rPr>
  </w:style>
  <w:style w:type="paragraph" w:styleId="NoSpacing">
    <w:name w:val="No Spacing"/>
    <w:uiPriority w:val="1"/>
    <w:qFormat/>
    <w:rsid w:val="00595328"/>
    <w:pPr>
      <w:spacing w:after="0" w:line="240" w:lineRule="auto"/>
    </w:pPr>
    <w:rPr>
      <w:rFonts w:ascii="Times New Roman" w:eastAsia="Times New Roman" w:hAnsi="Times New Roman" w:cs="Times New Roman"/>
      <w:sz w:val="24"/>
      <w:szCs w:val="20"/>
      <w:lang w:val="en-US"/>
    </w:rPr>
  </w:style>
  <w:style w:type="character" w:styleId="FollowedHyperlink">
    <w:name w:val="FollowedHyperlink"/>
    <w:uiPriority w:val="99"/>
    <w:semiHidden/>
    <w:unhideWhenUsed/>
    <w:rsid w:val="00595328"/>
    <w:rPr>
      <w:color w:val="954F72"/>
      <w:u w:val="single"/>
    </w:rPr>
  </w:style>
  <w:style w:type="paragraph" w:styleId="EndnoteText">
    <w:name w:val="endnote text"/>
    <w:basedOn w:val="Normal"/>
    <w:link w:val="EndnoteTextChar"/>
    <w:unhideWhenUsed/>
    <w:rsid w:val="00595328"/>
    <w:rPr>
      <w:rFonts w:ascii="Arial" w:hAnsi="Arial"/>
      <w:sz w:val="20"/>
      <w:lang w:val="en-CA" w:eastAsia="en-CA"/>
    </w:rPr>
  </w:style>
  <w:style w:type="character" w:customStyle="1" w:styleId="EndnoteTextChar">
    <w:name w:val="Endnote Text Char"/>
    <w:basedOn w:val="DefaultParagraphFont"/>
    <w:link w:val="EndnoteText"/>
    <w:rsid w:val="00595328"/>
    <w:rPr>
      <w:rFonts w:ascii="Arial" w:eastAsia="Times New Roman" w:hAnsi="Arial" w:cs="Times New Roman"/>
      <w:sz w:val="20"/>
      <w:szCs w:val="20"/>
      <w:lang w:eastAsia="en-CA"/>
    </w:rPr>
  </w:style>
  <w:style w:type="character" w:styleId="EndnoteReference">
    <w:name w:val="endnote reference"/>
    <w:uiPriority w:val="99"/>
    <w:semiHidden/>
    <w:unhideWhenUsed/>
    <w:rsid w:val="00595328"/>
    <w:rPr>
      <w:vertAlign w:val="superscript"/>
    </w:rPr>
  </w:style>
  <w:style w:type="paragraph" w:customStyle="1" w:styleId="Style1">
    <w:name w:val="Style1"/>
    <w:basedOn w:val="Normal"/>
    <w:link w:val="Style1Char"/>
    <w:qFormat/>
    <w:rsid w:val="00595328"/>
    <w:pPr>
      <w:pBdr>
        <w:bottom w:val="single" w:sz="4" w:space="1" w:color="92D050"/>
      </w:pBdr>
      <w:autoSpaceDE w:val="0"/>
      <w:autoSpaceDN w:val="0"/>
      <w:adjustRightInd w:val="0"/>
      <w:ind w:right="50"/>
    </w:pPr>
    <w:rPr>
      <w:rFonts w:ascii="Arial" w:hAnsi="Arial" w:cs="Arial"/>
      <w:b/>
      <w:caps/>
      <w:color w:val="92D050"/>
      <w:sz w:val="22"/>
      <w:szCs w:val="22"/>
      <w:lang w:val="en-CA"/>
    </w:rPr>
  </w:style>
  <w:style w:type="paragraph" w:customStyle="1" w:styleId="Style2">
    <w:name w:val="Style2"/>
    <w:basedOn w:val="Normal"/>
    <w:link w:val="Style2Char"/>
    <w:qFormat/>
    <w:rsid w:val="00595328"/>
    <w:pPr>
      <w:shd w:val="clear" w:color="auto" w:fill="F2F2F2"/>
    </w:pPr>
    <w:rPr>
      <w:rFonts w:ascii="Arial" w:hAnsi="Arial" w:cs="Arial"/>
      <w:b/>
      <w:color w:val="009999"/>
      <w:spacing w:val="-10"/>
      <w:sz w:val="22"/>
      <w:szCs w:val="22"/>
      <w:lang w:val="en-CA"/>
    </w:rPr>
  </w:style>
  <w:style w:type="character" w:customStyle="1" w:styleId="Style1Char">
    <w:name w:val="Style1 Char"/>
    <w:basedOn w:val="DefaultParagraphFont"/>
    <w:link w:val="Style1"/>
    <w:rsid w:val="00595328"/>
    <w:rPr>
      <w:rFonts w:ascii="Arial" w:eastAsia="Times New Roman" w:hAnsi="Arial" w:cs="Arial"/>
      <w:b/>
      <w:caps/>
      <w:color w:val="92D050"/>
    </w:rPr>
  </w:style>
  <w:style w:type="character" w:customStyle="1" w:styleId="Style2Char">
    <w:name w:val="Style2 Char"/>
    <w:basedOn w:val="DefaultParagraphFont"/>
    <w:link w:val="Style2"/>
    <w:rsid w:val="00595328"/>
    <w:rPr>
      <w:rFonts w:ascii="Arial" w:eastAsia="Times New Roman" w:hAnsi="Arial" w:cs="Arial"/>
      <w:b/>
      <w:color w:val="009999"/>
      <w:spacing w:val="-10"/>
      <w:shd w:val="clear" w:color="auto" w:fill="F2F2F2"/>
    </w:rPr>
  </w:style>
  <w:style w:type="paragraph" w:customStyle="1" w:styleId="Style3">
    <w:name w:val="Style3"/>
    <w:basedOn w:val="Normal"/>
    <w:link w:val="Style3Char"/>
    <w:qFormat/>
    <w:rsid w:val="00595328"/>
    <w:pPr>
      <w:jc w:val="center"/>
    </w:pPr>
    <w:rPr>
      <w:rFonts w:ascii="Arial" w:hAnsi="Arial" w:cs="Arial"/>
      <w:b/>
      <w:sz w:val="22"/>
      <w:szCs w:val="22"/>
      <w:u w:val="single"/>
    </w:rPr>
  </w:style>
  <w:style w:type="paragraph" w:customStyle="1" w:styleId="Style4">
    <w:name w:val="Style4"/>
    <w:basedOn w:val="Normal"/>
    <w:link w:val="Style4Char"/>
    <w:qFormat/>
    <w:rsid w:val="00595328"/>
    <w:rPr>
      <w:rFonts w:ascii="Arial" w:hAnsi="Arial" w:cs="Arial"/>
      <w:sz w:val="22"/>
      <w:szCs w:val="22"/>
      <w:u w:val="single"/>
      <w:lang w:val="en-CA" w:eastAsia="en-CA"/>
    </w:rPr>
  </w:style>
  <w:style w:type="character" w:customStyle="1" w:styleId="Style3Char">
    <w:name w:val="Style3 Char"/>
    <w:basedOn w:val="DefaultParagraphFont"/>
    <w:link w:val="Style3"/>
    <w:rsid w:val="00595328"/>
    <w:rPr>
      <w:rFonts w:ascii="Arial" w:eastAsia="Times New Roman" w:hAnsi="Arial" w:cs="Arial"/>
      <w:b/>
      <w:u w:val="single"/>
      <w:lang w:val="en-US"/>
    </w:rPr>
  </w:style>
  <w:style w:type="paragraph" w:customStyle="1" w:styleId="Style5">
    <w:name w:val="Style5"/>
    <w:basedOn w:val="Normal"/>
    <w:link w:val="Style5Char"/>
    <w:qFormat/>
    <w:rsid w:val="00595328"/>
    <w:pPr>
      <w:jc w:val="center"/>
    </w:pPr>
    <w:rPr>
      <w:rFonts w:ascii="Arial" w:hAnsi="Arial" w:cs="Arial"/>
      <w:b/>
      <w:bCs/>
      <w:sz w:val="22"/>
      <w:szCs w:val="22"/>
      <w:lang w:val="en"/>
    </w:rPr>
  </w:style>
  <w:style w:type="character" w:customStyle="1" w:styleId="Style4Char">
    <w:name w:val="Style4 Char"/>
    <w:basedOn w:val="DefaultParagraphFont"/>
    <w:link w:val="Style4"/>
    <w:rsid w:val="00595328"/>
    <w:rPr>
      <w:rFonts w:ascii="Arial" w:eastAsia="Times New Roman" w:hAnsi="Arial" w:cs="Arial"/>
      <w:u w:val="single"/>
      <w:lang w:eastAsia="en-CA"/>
    </w:rPr>
  </w:style>
  <w:style w:type="paragraph" w:customStyle="1" w:styleId="Style6">
    <w:name w:val="Style6"/>
    <w:basedOn w:val="Normal"/>
    <w:link w:val="Style6Char"/>
    <w:qFormat/>
    <w:rsid w:val="00595328"/>
    <w:pPr>
      <w:jc w:val="center"/>
    </w:pPr>
    <w:rPr>
      <w:rFonts w:ascii="Arial" w:hAnsi="Arial" w:cs="Arial"/>
      <w:b/>
      <w:color w:val="009999"/>
      <w:szCs w:val="24"/>
    </w:rPr>
  </w:style>
  <w:style w:type="character" w:customStyle="1" w:styleId="Style5Char">
    <w:name w:val="Style5 Char"/>
    <w:basedOn w:val="DefaultParagraphFont"/>
    <w:link w:val="Style5"/>
    <w:rsid w:val="00595328"/>
    <w:rPr>
      <w:rFonts w:ascii="Arial" w:eastAsia="Times New Roman" w:hAnsi="Arial" w:cs="Arial"/>
      <w:b/>
      <w:bCs/>
      <w:lang w:val="en"/>
    </w:rPr>
  </w:style>
  <w:style w:type="paragraph" w:customStyle="1" w:styleId="Style7">
    <w:name w:val="Style7"/>
    <w:basedOn w:val="Normal"/>
    <w:link w:val="Style7Char"/>
    <w:qFormat/>
    <w:rsid w:val="00595328"/>
    <w:pPr>
      <w:jc w:val="center"/>
    </w:pPr>
    <w:rPr>
      <w:rFonts w:ascii="Arial" w:hAnsi="Arial" w:cs="Arial"/>
      <w:color w:val="009999"/>
      <w:sz w:val="22"/>
      <w:szCs w:val="32"/>
    </w:rPr>
  </w:style>
  <w:style w:type="character" w:customStyle="1" w:styleId="Style6Char">
    <w:name w:val="Style6 Char"/>
    <w:basedOn w:val="DefaultParagraphFont"/>
    <w:link w:val="Style6"/>
    <w:rsid w:val="00595328"/>
    <w:rPr>
      <w:rFonts w:ascii="Arial" w:eastAsia="Times New Roman" w:hAnsi="Arial" w:cs="Arial"/>
      <w:b/>
      <w:color w:val="009999"/>
      <w:sz w:val="24"/>
      <w:szCs w:val="24"/>
      <w:lang w:val="en-US"/>
    </w:rPr>
  </w:style>
  <w:style w:type="paragraph" w:customStyle="1" w:styleId="Style8">
    <w:name w:val="Style8"/>
    <w:basedOn w:val="Normal"/>
    <w:link w:val="Style8Char"/>
    <w:qFormat/>
    <w:rsid w:val="00595328"/>
    <w:rPr>
      <w:rFonts w:ascii="Arial" w:hAnsi="Arial" w:cs="Arial"/>
      <w:color w:val="767171"/>
      <w:sz w:val="16"/>
      <w:szCs w:val="22"/>
      <w:lang w:val="en-CA"/>
    </w:rPr>
  </w:style>
  <w:style w:type="character" w:customStyle="1" w:styleId="Style7Char">
    <w:name w:val="Style7 Char"/>
    <w:basedOn w:val="DefaultParagraphFont"/>
    <w:link w:val="Style7"/>
    <w:rsid w:val="00595328"/>
    <w:rPr>
      <w:rFonts w:ascii="Arial" w:eastAsia="Times New Roman" w:hAnsi="Arial" w:cs="Arial"/>
      <w:color w:val="009999"/>
      <w:szCs w:val="32"/>
      <w:lang w:val="en-US"/>
    </w:rPr>
  </w:style>
  <w:style w:type="paragraph" w:customStyle="1" w:styleId="Style9">
    <w:name w:val="Style9"/>
    <w:basedOn w:val="Normal"/>
    <w:link w:val="Style9Char"/>
    <w:qFormat/>
    <w:rsid w:val="00595328"/>
    <w:rPr>
      <w:rFonts w:ascii="Arial" w:hAnsi="Arial" w:cs="Arial"/>
      <w:b/>
      <w:color w:val="009999"/>
      <w:spacing w:val="-10"/>
      <w:sz w:val="22"/>
      <w:szCs w:val="22"/>
      <w:lang w:val="en-CA"/>
    </w:rPr>
  </w:style>
  <w:style w:type="character" w:customStyle="1" w:styleId="Style8Char">
    <w:name w:val="Style8 Char"/>
    <w:basedOn w:val="DefaultParagraphFont"/>
    <w:link w:val="Style8"/>
    <w:rsid w:val="00595328"/>
    <w:rPr>
      <w:rFonts w:ascii="Arial" w:eastAsia="Times New Roman" w:hAnsi="Arial" w:cs="Arial"/>
      <w:color w:val="767171"/>
      <w:sz w:val="16"/>
    </w:rPr>
  </w:style>
  <w:style w:type="character" w:customStyle="1" w:styleId="Style9Char">
    <w:name w:val="Style9 Char"/>
    <w:basedOn w:val="DefaultParagraphFont"/>
    <w:link w:val="Style9"/>
    <w:rsid w:val="00595328"/>
    <w:rPr>
      <w:rFonts w:ascii="Arial" w:eastAsia="Times New Roman" w:hAnsi="Arial" w:cs="Arial"/>
      <w:b/>
      <w:color w:val="009999"/>
      <w:spacing w:val="-10"/>
    </w:rPr>
  </w:style>
  <w:style w:type="character" w:styleId="Strong">
    <w:name w:val="Strong"/>
    <w:basedOn w:val="DefaultParagraphFont"/>
    <w:uiPriority w:val="22"/>
    <w:qFormat/>
    <w:rsid w:val="00154D09"/>
    <w:rPr>
      <w:rFonts w:asciiTheme="minorHAnsi" w:hAnsiTheme="minorHAnsi"/>
      <w:b/>
      <w:bCs/>
      <w:sz w:val="22"/>
    </w:rPr>
  </w:style>
  <w:style w:type="character" w:customStyle="1" w:styleId="Style16">
    <w:name w:val="Style16"/>
    <w:basedOn w:val="DefaultParagraphFont"/>
    <w:uiPriority w:val="1"/>
    <w:qFormat/>
    <w:rsid w:val="00595328"/>
    <w:rPr>
      <w:rFonts w:ascii="Arial" w:hAnsi="Arial"/>
      <w:color w:val="FFFFFF" w:themeColor="background1"/>
      <w:sz w:val="22"/>
    </w:rPr>
  </w:style>
  <w:style w:type="character" w:customStyle="1" w:styleId="Style11">
    <w:name w:val="Style11"/>
    <w:basedOn w:val="DefaultParagraphFont"/>
    <w:uiPriority w:val="1"/>
    <w:qFormat/>
    <w:rsid w:val="00595328"/>
    <w:rPr>
      <w:rFonts w:ascii="Arial" w:hAnsi="Arial"/>
      <w:color w:val="54575A" w:themeColor="text1"/>
      <w:sz w:val="22"/>
    </w:rPr>
  </w:style>
  <w:style w:type="character" w:styleId="Emphasis">
    <w:name w:val="Emphasis"/>
    <w:basedOn w:val="DefaultParagraphFont"/>
    <w:uiPriority w:val="20"/>
    <w:qFormat/>
    <w:rsid w:val="009602F7"/>
    <w:rPr>
      <w:rFonts w:asciiTheme="minorHAnsi" w:hAnsiTheme="minorHAnsi"/>
      <w:i/>
      <w:iCs/>
      <w:sz w:val="22"/>
      <w:lang w:val="en-CA"/>
    </w:rPr>
  </w:style>
  <w:style w:type="character" w:customStyle="1" w:styleId="wb-inv1">
    <w:name w:val="wb-inv1"/>
    <w:basedOn w:val="DefaultParagraphFont"/>
    <w:rsid w:val="00595328"/>
  </w:style>
  <w:style w:type="character" w:styleId="SubtleEmphasis">
    <w:name w:val="Subtle Emphasis"/>
    <w:basedOn w:val="DefaultParagraphFont"/>
    <w:uiPriority w:val="19"/>
    <w:qFormat/>
    <w:rsid w:val="00595328"/>
    <w:rPr>
      <w:i/>
      <w:iCs/>
      <w:color w:val="A8ABAE" w:themeColor="text1" w:themeTint="7F"/>
    </w:rPr>
  </w:style>
  <w:style w:type="table" w:customStyle="1" w:styleId="TableGrid1">
    <w:name w:val="Table Grid1"/>
    <w:basedOn w:val="TableNormal"/>
    <w:next w:val="TableGrid"/>
    <w:uiPriority w:val="39"/>
    <w:rsid w:val="0059532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72CBA"/>
    <w:pPr>
      <w:jc w:val="center"/>
    </w:pPr>
    <w:rPr>
      <w:rFonts w:asciiTheme="minorHAnsi" w:hAnsiTheme="minorHAns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51985">
      <w:bodyDiv w:val="1"/>
      <w:marLeft w:val="0"/>
      <w:marRight w:val="0"/>
      <w:marTop w:val="0"/>
      <w:marBottom w:val="0"/>
      <w:divBdr>
        <w:top w:val="none" w:sz="0" w:space="0" w:color="auto"/>
        <w:left w:val="none" w:sz="0" w:space="0" w:color="auto"/>
        <w:bottom w:val="none" w:sz="0" w:space="0" w:color="auto"/>
        <w:right w:val="none" w:sz="0" w:space="0" w:color="auto"/>
      </w:divBdr>
    </w:div>
    <w:div w:id="480853769">
      <w:bodyDiv w:val="1"/>
      <w:marLeft w:val="0"/>
      <w:marRight w:val="0"/>
      <w:marTop w:val="0"/>
      <w:marBottom w:val="0"/>
      <w:divBdr>
        <w:top w:val="none" w:sz="0" w:space="0" w:color="auto"/>
        <w:left w:val="none" w:sz="0" w:space="0" w:color="auto"/>
        <w:bottom w:val="none" w:sz="0" w:space="0" w:color="auto"/>
        <w:right w:val="none" w:sz="0" w:space="0" w:color="auto"/>
      </w:divBdr>
    </w:div>
    <w:div w:id="595018062">
      <w:bodyDiv w:val="1"/>
      <w:marLeft w:val="0"/>
      <w:marRight w:val="0"/>
      <w:marTop w:val="0"/>
      <w:marBottom w:val="0"/>
      <w:divBdr>
        <w:top w:val="none" w:sz="0" w:space="0" w:color="auto"/>
        <w:left w:val="none" w:sz="0" w:space="0" w:color="auto"/>
        <w:bottom w:val="none" w:sz="0" w:space="0" w:color="auto"/>
        <w:right w:val="none" w:sz="0" w:space="0" w:color="auto"/>
      </w:divBdr>
    </w:div>
    <w:div w:id="836117455">
      <w:bodyDiv w:val="1"/>
      <w:marLeft w:val="0"/>
      <w:marRight w:val="0"/>
      <w:marTop w:val="0"/>
      <w:marBottom w:val="0"/>
      <w:divBdr>
        <w:top w:val="none" w:sz="0" w:space="0" w:color="auto"/>
        <w:left w:val="none" w:sz="0" w:space="0" w:color="auto"/>
        <w:bottom w:val="none" w:sz="0" w:space="0" w:color="auto"/>
        <w:right w:val="none" w:sz="0" w:space="0" w:color="auto"/>
      </w:divBdr>
    </w:div>
    <w:div w:id="877934651">
      <w:bodyDiv w:val="1"/>
      <w:marLeft w:val="0"/>
      <w:marRight w:val="0"/>
      <w:marTop w:val="0"/>
      <w:marBottom w:val="0"/>
      <w:divBdr>
        <w:top w:val="none" w:sz="0" w:space="0" w:color="auto"/>
        <w:left w:val="none" w:sz="0" w:space="0" w:color="auto"/>
        <w:bottom w:val="none" w:sz="0" w:space="0" w:color="auto"/>
        <w:right w:val="none" w:sz="0" w:space="0" w:color="auto"/>
      </w:divBdr>
    </w:div>
    <w:div w:id="1005592900">
      <w:bodyDiv w:val="1"/>
      <w:marLeft w:val="0"/>
      <w:marRight w:val="0"/>
      <w:marTop w:val="0"/>
      <w:marBottom w:val="0"/>
      <w:divBdr>
        <w:top w:val="none" w:sz="0" w:space="0" w:color="auto"/>
        <w:left w:val="none" w:sz="0" w:space="0" w:color="auto"/>
        <w:bottom w:val="none" w:sz="0" w:space="0" w:color="auto"/>
        <w:right w:val="none" w:sz="0" w:space="0" w:color="auto"/>
      </w:divBdr>
    </w:div>
    <w:div w:id="1522472960">
      <w:bodyDiv w:val="1"/>
      <w:marLeft w:val="0"/>
      <w:marRight w:val="0"/>
      <w:marTop w:val="0"/>
      <w:marBottom w:val="0"/>
      <w:divBdr>
        <w:top w:val="none" w:sz="0" w:space="0" w:color="auto"/>
        <w:left w:val="none" w:sz="0" w:space="0" w:color="auto"/>
        <w:bottom w:val="none" w:sz="0" w:space="0" w:color="auto"/>
        <w:right w:val="none" w:sz="0" w:space="0" w:color="auto"/>
      </w:divBdr>
    </w:div>
    <w:div w:id="1761750512">
      <w:bodyDiv w:val="1"/>
      <w:marLeft w:val="0"/>
      <w:marRight w:val="0"/>
      <w:marTop w:val="0"/>
      <w:marBottom w:val="0"/>
      <w:divBdr>
        <w:top w:val="none" w:sz="0" w:space="0" w:color="auto"/>
        <w:left w:val="none" w:sz="0" w:space="0" w:color="auto"/>
        <w:bottom w:val="none" w:sz="0" w:space="0" w:color="auto"/>
        <w:right w:val="none" w:sz="0" w:space="0" w:color="auto"/>
      </w:divBdr>
    </w:div>
    <w:div w:id="189045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CA" sz="1200" b="1" i="0" baseline="0">
                <a:solidFill>
                  <a:sysClr val="windowText" lastClr="000000"/>
                </a:solidFill>
                <a:effectLst/>
              </a:rPr>
              <a:t>Population by tenure as of March 31</a:t>
            </a:r>
            <a:endParaRPr lang="en-CA" sz="1200">
              <a:solidFill>
                <a:sysClr val="windowText" lastClr="000000"/>
              </a:solidFill>
              <a:effectLst/>
            </a:endParaRPr>
          </a:p>
        </c:rich>
      </c:tx>
      <c:layout/>
      <c:overlay val="1"/>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820755769669271"/>
          <c:y val="0.11428571428571428"/>
          <c:w val="0.85790458031932704"/>
          <c:h val="0.63086532365272519"/>
        </c:manualLayout>
      </c:layout>
      <c:barChart>
        <c:barDir val="col"/>
        <c:grouping val="stacked"/>
        <c:varyColors val="0"/>
        <c:ser>
          <c:idx val="0"/>
          <c:order val="0"/>
          <c:tx>
            <c:strRef>
              <c:f>Sheet1!$B$1</c:f>
              <c:strCache>
                <c:ptCount val="1"/>
                <c:pt idx="0">
                  <c:v> Indeterminate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(N=77)</c:v>
                </c:pt>
                <c:pt idx="1">
                  <c:v> 2015 
(N=82) </c:v>
                </c:pt>
                <c:pt idx="2">
                  <c:v> 2016 
(N=93)</c:v>
                </c:pt>
                <c:pt idx="3">
                  <c:v> 2017 
(N=98) </c:v>
                </c:pt>
                <c:pt idx="4">
                  <c:v> 2018 
(N=113) </c:v>
                </c:pt>
                <c:pt idx="5">
                  <c:v> 2019
(N=127) </c:v>
                </c:pt>
              </c:strCache>
            </c:strRef>
          </c:cat>
          <c:val>
            <c:numRef>
              <c:f>Sheet1!$B$2:$B$7</c:f>
              <c:numCache>
                <c:formatCode>#\ ###</c:formatCode>
                <c:ptCount val="6"/>
                <c:pt idx="0">
                  <c:v>65</c:v>
                </c:pt>
                <c:pt idx="1">
                  <c:v>71</c:v>
                </c:pt>
                <c:pt idx="2">
                  <c:v>75</c:v>
                </c:pt>
                <c:pt idx="3">
                  <c:v>75</c:v>
                </c:pt>
                <c:pt idx="4">
                  <c:v>90</c:v>
                </c:pt>
                <c:pt idx="5">
                  <c:v>100</c:v>
                </c:pt>
              </c:numCache>
            </c:numRef>
          </c:val>
        </c:ser>
        <c:ser>
          <c:idx val="1"/>
          <c:order val="1"/>
          <c:tx>
            <c:strRef>
              <c:f>Sheet1!$C$1</c:f>
              <c:strCache>
                <c:ptCount val="1"/>
                <c:pt idx="0">
                  <c:v> Term </c:v>
                </c:pt>
              </c:strCache>
            </c:strRef>
          </c:tx>
          <c:spPr>
            <a:solidFill>
              <a:schemeClr val="accent2"/>
            </a:solidFill>
            <a:ln>
              <a:noFill/>
            </a:ln>
            <a:effectLst/>
          </c:spPr>
          <c:invertIfNegative val="0"/>
          <c:dLbls>
            <c:dLbl>
              <c:idx val="0"/>
              <c:layout>
                <c:manualLayout>
                  <c:x val="0"/>
                  <c:y val="4.1558441558441558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4.1558441558441558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5974025974025927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(N=77)</c:v>
                </c:pt>
                <c:pt idx="1">
                  <c:v> 2015 
(N=82) </c:v>
                </c:pt>
                <c:pt idx="2">
                  <c:v> 2016 
(N=93)</c:v>
                </c:pt>
                <c:pt idx="3">
                  <c:v> 2017 
(N=98) </c:v>
                </c:pt>
                <c:pt idx="4">
                  <c:v> 2018 
(N=113) </c:v>
                </c:pt>
                <c:pt idx="5">
                  <c:v> 2019
(N=127) </c:v>
                </c:pt>
              </c:strCache>
            </c:strRef>
          </c:cat>
          <c:val>
            <c:numRef>
              <c:f>Sheet1!$C$2:$C$7</c:f>
              <c:numCache>
                <c:formatCode>#\ ###</c:formatCode>
                <c:ptCount val="6"/>
                <c:pt idx="0">
                  <c:v>4</c:v>
                </c:pt>
                <c:pt idx="1">
                  <c:v>4</c:v>
                </c:pt>
                <c:pt idx="2">
                  <c:v>1</c:v>
                </c:pt>
                <c:pt idx="3">
                  <c:v>6</c:v>
                </c:pt>
                <c:pt idx="4">
                  <c:v>10</c:v>
                </c:pt>
                <c:pt idx="5">
                  <c:v>8</c:v>
                </c:pt>
              </c:numCache>
            </c:numRef>
          </c:val>
        </c:ser>
        <c:ser>
          <c:idx val="2"/>
          <c:order val="2"/>
          <c:tx>
            <c:strRef>
              <c:f>Sheet1!$D$1</c:f>
              <c:strCache>
                <c:ptCount val="1"/>
                <c:pt idx="0">
                  <c:v> Casual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(N=77)</c:v>
                </c:pt>
                <c:pt idx="1">
                  <c:v> 2015 
(N=82) </c:v>
                </c:pt>
                <c:pt idx="2">
                  <c:v> 2016 
(N=93)</c:v>
                </c:pt>
                <c:pt idx="3">
                  <c:v> 2017 
(N=98) </c:v>
                </c:pt>
                <c:pt idx="4">
                  <c:v> 2018 
(N=113) </c:v>
                </c:pt>
                <c:pt idx="5">
                  <c:v> 2019
(N=127) </c:v>
                </c:pt>
              </c:strCache>
            </c:strRef>
          </c:cat>
          <c:val>
            <c:numRef>
              <c:f>Sheet1!$D$2:$D$7</c:f>
              <c:numCache>
                <c:formatCode>#\ ###</c:formatCode>
                <c:ptCount val="6"/>
                <c:pt idx="0">
                  <c:v>8</c:v>
                </c:pt>
                <c:pt idx="1">
                  <c:v>7</c:v>
                </c:pt>
                <c:pt idx="2">
                  <c:v>13</c:v>
                </c:pt>
                <c:pt idx="3">
                  <c:v>15</c:v>
                </c:pt>
                <c:pt idx="4">
                  <c:v>11</c:v>
                </c:pt>
                <c:pt idx="5">
                  <c:v>15</c:v>
                </c:pt>
              </c:numCache>
            </c:numRef>
          </c:val>
        </c:ser>
        <c:ser>
          <c:idx val="3"/>
          <c:order val="3"/>
          <c:tx>
            <c:strRef>
              <c:f>Sheet1!$E$1</c:f>
              <c:strCache>
                <c:ptCount val="1"/>
                <c:pt idx="0">
                  <c:v> Student </c:v>
                </c:pt>
              </c:strCache>
            </c:strRef>
          </c:tx>
          <c:spPr>
            <a:solidFill>
              <a:schemeClr val="accent4"/>
            </a:solidFill>
            <a:ln>
              <a:noFill/>
            </a:ln>
            <a:effectLst/>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layout>
                <c:manualLayout>
                  <c:x val="-5.6479117521715313E-17"/>
                  <c:y val="-4.155844155844157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3.636363636363641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3.6363636363636362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95823504343063E-16"/>
                  <c:y val="-3.116883116883116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(N=77)</c:v>
                </c:pt>
                <c:pt idx="1">
                  <c:v> 2015 
(N=82) </c:v>
                </c:pt>
                <c:pt idx="2">
                  <c:v> 2016 
(N=93)</c:v>
                </c:pt>
                <c:pt idx="3">
                  <c:v> 2017 
(N=98) </c:v>
                </c:pt>
                <c:pt idx="4">
                  <c:v> 2018 
(N=113) </c:v>
                </c:pt>
                <c:pt idx="5">
                  <c:v> 2019
(N=127) </c:v>
                </c:pt>
              </c:strCache>
            </c:strRef>
          </c:cat>
          <c:val>
            <c:numRef>
              <c:f>Sheet1!$E$2:$E$7</c:f>
              <c:numCache>
                <c:formatCode>#\ ###</c:formatCode>
                <c:ptCount val="6"/>
                <c:pt idx="0">
                  <c:v>0</c:v>
                </c:pt>
                <c:pt idx="1">
                  <c:v>0</c:v>
                </c:pt>
                <c:pt idx="2">
                  <c:v>4</c:v>
                </c:pt>
                <c:pt idx="3">
                  <c:v>2</c:v>
                </c:pt>
                <c:pt idx="4">
                  <c:v>2</c:v>
                </c:pt>
                <c:pt idx="5">
                  <c:v>4</c:v>
                </c:pt>
              </c:numCache>
            </c:numRef>
          </c:val>
        </c:ser>
        <c:dLbls>
          <c:dLblPos val="ctr"/>
          <c:showLegendKey val="0"/>
          <c:showVal val="1"/>
          <c:showCatName val="0"/>
          <c:showSerName val="0"/>
          <c:showPercent val="0"/>
          <c:showBubbleSize val="0"/>
        </c:dLbls>
        <c:gapWidth val="150"/>
        <c:overlap val="100"/>
        <c:axId val="661001864"/>
        <c:axId val="661018720"/>
      </c:barChart>
      <c:catAx>
        <c:axId val="661001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1018720"/>
        <c:crosses val="autoZero"/>
        <c:auto val="1"/>
        <c:lblAlgn val="ctr"/>
        <c:lblOffset val="100"/>
        <c:noMultiLvlLbl val="0"/>
      </c:catAx>
      <c:valAx>
        <c:axId val="661018720"/>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10018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CA" sz="1200" b="1">
                <a:solidFill>
                  <a:sysClr val="windowText" lastClr="000000"/>
                </a:solidFill>
              </a:rPr>
              <a:t>Student program hires</a:t>
            </a:r>
          </a:p>
        </c:rich>
      </c:tx>
      <c:layout/>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3588966676906661"/>
          <c:y val="0.12358035061426992"/>
          <c:w val="0.81893579524325377"/>
          <c:h val="0.59127513128395404"/>
        </c:manualLayout>
      </c:layout>
      <c:barChart>
        <c:barDir val="col"/>
        <c:grouping val="stacked"/>
        <c:varyColors val="0"/>
        <c:ser>
          <c:idx val="0"/>
          <c:order val="0"/>
          <c:tx>
            <c:strRef>
              <c:f>Sheet1!$B$1</c:f>
              <c:strCache>
                <c:ptCount val="1"/>
                <c:pt idx="0">
                  <c:v>Federal Student Work Experience Program (FSWEP)</c:v>
                </c:pt>
              </c:strCache>
            </c:strRef>
          </c:tx>
          <c:spPr>
            <a:solidFill>
              <a:schemeClr val="accent1"/>
            </a:solidFill>
            <a:ln>
              <a:noFill/>
            </a:ln>
            <a:effectLst/>
          </c:spPr>
          <c:invertIfNegative val="0"/>
          <c:dLbls>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c:v>
                </c:pt>
                <c:pt idx="1">
                  <c:v>2015-16
 (N=8)</c:v>
                </c:pt>
                <c:pt idx="2">
                  <c:v>2016-17
 (N=4)</c:v>
                </c:pt>
                <c:pt idx="3">
                  <c:v>2017-18
 (N=2)</c:v>
                </c:pt>
                <c:pt idx="4">
                  <c:v>2018-19
 (N=8)</c:v>
                </c:pt>
              </c:strCache>
            </c:strRef>
          </c:cat>
          <c:val>
            <c:numRef>
              <c:f>Sheet1!$B$2:$B$6</c:f>
              <c:numCache>
                <c:formatCode>General</c:formatCode>
                <c:ptCount val="5"/>
                <c:pt idx="0">
                  <c:v>1</c:v>
                </c:pt>
                <c:pt idx="1">
                  <c:v>7</c:v>
                </c:pt>
                <c:pt idx="2">
                  <c:v>0</c:v>
                </c:pt>
                <c:pt idx="3">
                  <c:v>0</c:v>
                </c:pt>
                <c:pt idx="4">
                  <c:v>6</c:v>
                </c:pt>
              </c:numCache>
            </c:numRef>
          </c:val>
        </c:ser>
        <c:ser>
          <c:idx val="1"/>
          <c:order val="1"/>
          <c:tx>
            <c:strRef>
              <c:f>Sheet1!$C$1</c:f>
              <c:strCache>
                <c:ptCount val="1"/>
                <c:pt idx="0">
                  <c:v>Post-Secondary CO-OP/Internship Program (COOP)</c:v>
                </c:pt>
              </c:strCache>
            </c:strRef>
          </c:tx>
          <c:spPr>
            <a:solidFill>
              <a:schemeClr val="accent2"/>
            </a:solidFill>
            <a:ln>
              <a:noFill/>
            </a:ln>
            <a:effectLst/>
          </c:spPr>
          <c:invertIfNegative val="0"/>
          <c:dLbls>
            <c:dLbl>
              <c:idx val="0"/>
              <c:delete val="1"/>
              <c:extLst>
                <c:ext xmlns:c15="http://schemas.microsoft.com/office/drawing/2012/chart" uri="{CE6537A1-D6FC-4f65-9D91-7224C49458BB}"/>
              </c:extLst>
            </c:dLbl>
            <c:dLbl>
              <c:idx val="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c:v>
                </c:pt>
                <c:pt idx="1">
                  <c:v>2015-16
 (N=8)</c:v>
                </c:pt>
                <c:pt idx="2">
                  <c:v>2016-17
 (N=4)</c:v>
                </c:pt>
                <c:pt idx="3">
                  <c:v>2017-18
 (N=2)</c:v>
                </c:pt>
                <c:pt idx="4">
                  <c:v>2018-19
 (N=8)</c:v>
                </c:pt>
              </c:strCache>
            </c:strRef>
          </c:cat>
          <c:val>
            <c:numRef>
              <c:f>Sheet1!$C$2:$C$6</c:f>
              <c:numCache>
                <c:formatCode>General</c:formatCode>
                <c:ptCount val="5"/>
                <c:pt idx="0">
                  <c:v>0</c:v>
                </c:pt>
                <c:pt idx="1">
                  <c:v>1</c:v>
                </c:pt>
                <c:pt idx="2">
                  <c:v>0</c:v>
                </c:pt>
                <c:pt idx="3">
                  <c:v>1</c:v>
                </c:pt>
                <c:pt idx="4">
                  <c:v>1</c:v>
                </c:pt>
              </c:numCache>
            </c:numRef>
          </c:val>
        </c:ser>
        <c:ser>
          <c:idx val="2"/>
          <c:order val="2"/>
          <c:tx>
            <c:strRef>
              <c:f>Sheet1!$D$1</c:f>
              <c:strCache>
                <c:ptCount val="1"/>
                <c:pt idx="0">
                  <c:v>Research Affiliate Program (RAP)</c:v>
                </c:pt>
              </c:strCache>
            </c:strRef>
          </c:tx>
          <c:spPr>
            <a:solidFill>
              <a:schemeClr val="accent3"/>
            </a:solidFill>
            <a:ln>
              <a:noFill/>
            </a:ln>
            <a:effectLst/>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(N=1)</c:v>
                </c:pt>
                <c:pt idx="1">
                  <c:v>2015-16
 (N=8)</c:v>
                </c:pt>
                <c:pt idx="2">
                  <c:v>2016-17
 (N=4)</c:v>
                </c:pt>
                <c:pt idx="3">
                  <c:v>2017-18
 (N=2)</c:v>
                </c:pt>
                <c:pt idx="4">
                  <c:v>2018-19
 (N=8)</c:v>
                </c:pt>
              </c:strCache>
            </c:strRef>
          </c:cat>
          <c:val>
            <c:numRef>
              <c:f>Sheet1!$D$2:$D$6</c:f>
              <c:numCache>
                <c:formatCode>General</c:formatCode>
                <c:ptCount val="5"/>
                <c:pt idx="0">
                  <c:v>0</c:v>
                </c:pt>
                <c:pt idx="1">
                  <c:v>0</c:v>
                </c:pt>
                <c:pt idx="2">
                  <c:v>4</c:v>
                </c:pt>
                <c:pt idx="3">
                  <c:v>1</c:v>
                </c:pt>
                <c:pt idx="4">
                  <c:v>1</c:v>
                </c:pt>
              </c:numCache>
            </c:numRef>
          </c:val>
        </c:ser>
        <c:dLbls>
          <c:dLblPos val="ctr"/>
          <c:showLegendKey val="0"/>
          <c:showVal val="1"/>
          <c:showCatName val="0"/>
          <c:showSerName val="0"/>
          <c:showPercent val="0"/>
          <c:showBubbleSize val="0"/>
        </c:dLbls>
        <c:gapWidth val="150"/>
        <c:overlap val="100"/>
        <c:axId val="461314768"/>
        <c:axId val="461308888"/>
      </c:barChart>
      <c:catAx>
        <c:axId val="461314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1308888"/>
        <c:crosses val="autoZero"/>
        <c:auto val="1"/>
        <c:lblAlgn val="ctr"/>
        <c:lblOffset val="100"/>
        <c:noMultiLvlLbl val="0"/>
      </c:catAx>
      <c:valAx>
        <c:axId val="461308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1314768"/>
        <c:crosses val="autoZero"/>
        <c:crossBetween val="between"/>
      </c:valAx>
      <c:spPr>
        <a:noFill/>
        <a:ln>
          <a:noFill/>
        </a:ln>
        <a:effectLst/>
      </c:spPr>
    </c:plotArea>
    <c:legend>
      <c:legendPos val="b"/>
      <c:layout>
        <c:manualLayout>
          <c:xMode val="edge"/>
          <c:yMode val="edge"/>
          <c:x val="4.2890265000242525E-2"/>
          <c:y val="0.83451514071101818"/>
          <c:w val="0.86904460864363209"/>
          <c:h val="0.138623769496195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b="1">
                <a:solidFill>
                  <a:sysClr val="windowText" lastClr="000000"/>
                </a:solidFill>
                <a:effectLst/>
              </a:rPr>
              <a:t>External indeterminate and term hiring activities: Post-Secondary Recruitment Program and former students by fiscal year</a:t>
            </a:r>
            <a:endParaRPr lang="en-CA" sz="1200">
              <a:solidFill>
                <a:sysClr val="windowText" lastClr="000000"/>
              </a:solidFill>
              <a:effectLst/>
            </a:endParaRPr>
          </a:p>
        </c:rich>
      </c:tx>
      <c:layout>
        <c:manualLayout>
          <c:xMode val="edge"/>
          <c:yMode val="edge"/>
          <c:x val="0.11501385446596334"/>
          <c:y val="2.3023791250959325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32789915352E-2"/>
          <c:y val="0.19540249333760371"/>
          <c:w val="0.90621744112971792"/>
          <c:h val="0.52825822904140041"/>
        </c:manualLayout>
      </c:layout>
      <c:bar3DChart>
        <c:barDir val="col"/>
        <c:grouping val="clustered"/>
        <c:varyColors val="0"/>
        <c:ser>
          <c:idx val="0"/>
          <c:order val="0"/>
          <c:tx>
            <c:strRef>
              <c:f>Sheet1!$B$1</c:f>
              <c:strCache>
                <c:ptCount val="1"/>
                <c:pt idx="0">
                  <c:v>Post-secondary Recruitment (PSR)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7.4280408542248344E-3"/>
                  <c:y val="1.151189562547959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_-* #,##0_-;\-* #,##0_-;_-* "-"??_-;_-@_-</c:formatCode>
                <c:ptCount val="5"/>
                <c:pt idx="0">
                  <c:v>0</c:v>
                </c:pt>
                <c:pt idx="1">
                  <c:v>0</c:v>
                </c:pt>
                <c:pt idx="2">
                  <c:v>0</c:v>
                </c:pt>
                <c:pt idx="3">
                  <c:v>0</c:v>
                </c:pt>
                <c:pt idx="4">
                  <c:v>1</c:v>
                </c:pt>
              </c:numCache>
            </c:numRef>
          </c:val>
        </c:ser>
        <c:ser>
          <c:idx val="1"/>
          <c:order val="1"/>
          <c:tx>
            <c:strRef>
              <c:f>Sheet1!$C$1</c:f>
              <c:strCache>
                <c:ptCount val="1"/>
                <c:pt idx="0">
                  <c:v>Former student hires*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7.6745970836530376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_-* #,##0_-;\-* #,##0_-;_-* "-"??_-;_-@_-</c:formatCode>
                <c:ptCount val="5"/>
                <c:pt idx="0">
                  <c:v>1</c:v>
                </c:pt>
                <c:pt idx="1">
                  <c:v>4</c:v>
                </c:pt>
                <c:pt idx="2">
                  <c:v>5</c:v>
                </c:pt>
                <c:pt idx="3">
                  <c:v>4</c:v>
                </c:pt>
                <c:pt idx="4">
                  <c:v>0</c:v>
                </c:pt>
              </c:numCache>
            </c:numRef>
          </c:val>
        </c:ser>
        <c:dLbls>
          <c:showLegendKey val="0"/>
          <c:showVal val="1"/>
          <c:showCatName val="0"/>
          <c:showSerName val="0"/>
          <c:showPercent val="0"/>
          <c:showBubbleSize val="0"/>
        </c:dLbls>
        <c:gapWidth val="150"/>
        <c:shape val="box"/>
        <c:axId val="643284544"/>
        <c:axId val="643285328"/>
        <c:axId val="0"/>
      </c:bar3DChart>
      <c:catAx>
        <c:axId val="64328454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43285328"/>
        <c:crosses val="autoZero"/>
        <c:auto val="1"/>
        <c:lblAlgn val="ctr"/>
        <c:lblOffset val="100"/>
        <c:noMultiLvlLbl val="0"/>
      </c:catAx>
      <c:valAx>
        <c:axId val="643285328"/>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43284544"/>
        <c:crosses val="autoZero"/>
        <c:crossBetween val="between"/>
        <c:majorUnit val="2"/>
      </c:valAx>
      <c:spPr>
        <a:noFill/>
        <a:ln>
          <a:noFill/>
        </a:ln>
        <a:effectLst/>
      </c:spPr>
    </c:plotArea>
    <c:legend>
      <c:legendPos val="r"/>
      <c:layout>
        <c:manualLayout>
          <c:xMode val="edge"/>
          <c:yMode val="edge"/>
          <c:x val="2.8456707535513492E-2"/>
          <c:y val="0.7903145980505315"/>
          <c:w val="0.94572119989179626"/>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Population by language requirements</a:t>
            </a:r>
            <a:r>
              <a:rPr lang="en-CA" sz="1200" baseline="0">
                <a:solidFill>
                  <a:sysClr val="windowText" lastClr="000000"/>
                </a:solidFill>
              </a:rPr>
              <a:t> as of March 31, 2019 (N=127)</a:t>
            </a:r>
            <a:endParaRPr lang="en-CA" sz="1200">
              <a:solidFill>
                <a:sysClr val="windowText" lastClr="000000"/>
              </a:solidFill>
            </a:endParaRPr>
          </a:p>
        </c:rich>
      </c:tx>
      <c:layout>
        <c:manualLayout>
          <c:xMode val="edge"/>
          <c:yMode val="edge"/>
          <c:x val="0.18484542382811514"/>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0252362821"/>
          <c:y val="0.34485698362114897"/>
          <c:w val="0.81985940137764468"/>
          <c:h val="0.54331361937289602"/>
        </c:manualLayout>
      </c:layout>
      <c:pieChart>
        <c:varyColors val="1"/>
        <c:ser>
          <c:idx val="0"/>
          <c:order val="0"/>
          <c:tx>
            <c:strRef>
              <c:f>Sheet1!$B$1</c:f>
              <c:strCache>
                <c:ptCount val="1"/>
                <c:pt idx="0">
                  <c:v>Population by Language Requirements as of March 31, 2016</c:v>
                </c:pt>
              </c:strCache>
            </c:strRef>
          </c:tx>
          <c:dPt>
            <c:idx val="0"/>
            <c:bubble3D val="0"/>
            <c:spPr>
              <a:solidFill>
                <a:schemeClr val="accent2"/>
              </a:solidFill>
              <a:ln>
                <a:noFill/>
              </a:ln>
              <a:effectLst>
                <a:outerShdw blurRad="57150" dist="19050" dir="5400000" algn="ctr" rotWithShape="0">
                  <a:srgbClr val="000000">
                    <a:alpha val="63000"/>
                  </a:srgbClr>
                </a:outerShdw>
              </a:effectLst>
            </c:spPr>
          </c:dPt>
          <c:dPt>
            <c:idx val="1"/>
            <c:bubble3D val="0"/>
            <c:spPr>
              <a:solidFill>
                <a:schemeClr val="accent1"/>
              </a:solidFill>
              <a:ln>
                <a:noFill/>
              </a:ln>
              <a:effectLst>
                <a:outerShdw blurRad="57150" dist="19050" dir="5400000" algn="ctr" rotWithShape="0">
                  <a:srgbClr val="000000">
                    <a:alpha val="63000"/>
                  </a:srgbClr>
                </a:outerShdw>
              </a:effectLst>
            </c:spPr>
          </c:dPt>
          <c:dLbls>
            <c:dLbl>
              <c:idx val="0"/>
              <c:layout>
                <c:manualLayout>
                  <c:x val="0.10172143974960876"/>
                  <c:y val="4.718366647000341E-2"/>
                </c:manualLayout>
              </c:layout>
              <c:showLegendKey val="0"/>
              <c:showVal val="0"/>
              <c:showCatName val="1"/>
              <c:showSerName val="0"/>
              <c:showPercent val="1"/>
              <c:showBubbleSize val="0"/>
              <c:extLst>
                <c:ext xmlns:c15="http://schemas.microsoft.com/office/drawing/2012/chart" uri="{CE6537A1-D6FC-4f65-9D91-7224C49458BB}">
                  <c15:layout>
                    <c:manualLayout>
                      <c:w val="0.340414402425049"/>
                      <c:h val="0.18644044267606294"/>
                    </c:manualLayout>
                  </c15:layout>
                </c:ext>
              </c:extLst>
            </c:dLbl>
            <c:dLbl>
              <c:idx val="1"/>
              <c:layout>
                <c:manualLayout>
                  <c:x val="-2.347417840375594E-2"/>
                  <c:y val="-3.6375013014480366E-2"/>
                </c:manualLayout>
              </c:layout>
              <c:showLegendKey val="0"/>
              <c:showVal val="0"/>
              <c:showCatName val="1"/>
              <c:showSerName val="0"/>
              <c:showPercent val="1"/>
              <c:showBubbleSize val="0"/>
              <c:extLst>
                <c:ext xmlns:c15="http://schemas.microsoft.com/office/drawing/2012/chart" uri="{CE6537A1-D6FC-4f65-9D91-7224C49458BB}">
                  <c15:layout>
                    <c:manualLayout>
                      <c:w val="0.38145539906103287"/>
                      <c:h val="0.18667358050298158"/>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Bilingual </c:v>
                </c:pt>
                <c:pt idx="1">
                  <c:v>Unilingual</c:v>
                </c:pt>
              </c:strCache>
            </c:strRef>
          </c:cat>
          <c:val>
            <c:numRef>
              <c:f>Sheet1!$B$2:$B$3</c:f>
              <c:numCache>
                <c:formatCode>0</c:formatCode>
                <c:ptCount val="2"/>
                <c:pt idx="0">
                  <c:v>81</c:v>
                </c:pt>
                <c:pt idx="1">
                  <c:v>14</c:v>
                </c:pt>
              </c:numCache>
            </c:numRef>
          </c:val>
        </c:ser>
        <c:dLbls>
          <c:showLegendKey val="0"/>
          <c:showVal val="0"/>
          <c:showCatName val="0"/>
          <c:showSerName val="0"/>
          <c:showPercent val="0"/>
          <c:showBubbleSize val="0"/>
          <c:showLeaderLines val="1"/>
        </c:dLbls>
        <c:firstSliceAng val="1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Population by occupational</a:t>
            </a:r>
            <a:r>
              <a:rPr lang="en-US" sz="1200" baseline="0">
                <a:solidFill>
                  <a:sysClr val="windowText" lastClr="000000"/>
                </a:solidFill>
              </a:rPr>
              <a:t> group</a:t>
            </a:r>
            <a:r>
              <a:rPr lang="en-US" sz="1200">
                <a:solidFill>
                  <a:sysClr val="windowText" lastClr="000000"/>
                </a:solidFill>
              </a:rPr>
              <a:t> as of March 31, 2019</a:t>
            </a:r>
          </a:p>
        </c:rich>
      </c:tx>
      <c:layout>
        <c:manualLayout>
          <c:xMode val="edge"/>
          <c:yMode val="edge"/>
          <c:x val="0.13172881691675334"/>
          <c:y val="3.6236404301602368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by Occupational Group as of March 31, 2016</c:v>
                </c:pt>
              </c:strCache>
            </c:strRef>
          </c:tx>
          <c:spPr>
            <a:ln w="3175"/>
          </c:spPr>
          <c:explosion val="5"/>
          <c:dPt>
            <c:idx val="0"/>
            <c:bubble3D val="0"/>
            <c:spPr>
              <a:solidFill>
                <a:schemeClr val="accent2"/>
              </a:solidFill>
              <a:ln w="3175">
                <a:noFill/>
              </a:ln>
              <a:effectLst/>
            </c:spPr>
          </c:dPt>
          <c:dLbls>
            <c:dLbl>
              <c:idx val="0"/>
              <c:layout>
                <c:manualLayout>
                  <c:x val="0.36795671767444166"/>
                  <c:y val="0.35133613162167959"/>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905660377358491"/>
                      <c:h val="0.19691330412492211"/>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RE</c:v>
                </c:pt>
              </c:strCache>
            </c:strRef>
          </c:cat>
          <c:val>
            <c:numRef>
              <c:f>Sheet1!$B$2</c:f>
              <c:numCache>
                <c:formatCode>General</c:formatCode>
                <c:ptCount val="1"/>
                <c:pt idx="0">
                  <c:v>123</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Population by region as</a:t>
            </a:r>
            <a:r>
              <a:rPr lang="en-CA" sz="1200" baseline="0">
                <a:solidFill>
                  <a:sysClr val="windowText" lastClr="000000"/>
                </a:solidFill>
              </a:rPr>
              <a:t> of March 31, 2019 (N=127)</a:t>
            </a:r>
            <a:endParaRPr lang="en-CA" sz="1200">
              <a:solidFill>
                <a:sysClr val="windowText" lastClr="000000"/>
              </a:solidFill>
            </a:endParaRPr>
          </a:p>
        </c:rich>
      </c:tx>
      <c:layout>
        <c:manualLayout>
          <c:xMode val="edge"/>
          <c:yMode val="edge"/>
          <c:x val="0.151900824776633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4.3280593446945889E-2"/>
          <c:y val="0.29300321125920964"/>
          <c:w val="0.8981066627234976"/>
          <c:h val="0.59516739173483535"/>
        </c:manualLayout>
      </c:layout>
      <c:pieChart>
        <c:varyColors val="1"/>
        <c:ser>
          <c:idx val="0"/>
          <c:order val="0"/>
          <c:tx>
            <c:strRef>
              <c:f>Sheet1!$B$1</c:f>
              <c:strCache>
                <c:ptCount val="1"/>
                <c:pt idx="0">
                  <c:v>Population by Language Requirements as of March 31, 2016</c:v>
                </c:pt>
              </c:strCache>
            </c:strRef>
          </c:tx>
          <c:spPr>
            <a:noFill/>
            <a:ln>
              <a:noFill/>
            </a:ln>
          </c:spPr>
          <c:dPt>
            <c:idx val="0"/>
            <c:bubble3D val="0"/>
            <c:spPr>
              <a:solidFill>
                <a:schemeClr val="accent2"/>
              </a:solidFill>
              <a:ln>
                <a:noFill/>
              </a:ln>
              <a:effectLst>
                <a:outerShdw blurRad="57150" dist="19050" dir="5400000" algn="ctr" rotWithShape="0">
                  <a:srgbClr val="000000">
                    <a:alpha val="63000"/>
                  </a:srgbClr>
                </a:outerShdw>
              </a:effectLst>
            </c:spPr>
          </c:dPt>
          <c:dLbls>
            <c:dLbl>
              <c:idx val="0"/>
              <c:layout>
                <c:manualLayout>
                  <c:x val="-0.36186700650857956"/>
                  <c:y val="0.32927145449831474"/>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7560693641618494"/>
                      <c:h val="0.19162581991225688"/>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NCR</c:v>
                </c:pt>
              </c:strCache>
            </c:strRef>
          </c:cat>
          <c:val>
            <c:numRef>
              <c:f>Sheet1!$B$2</c:f>
              <c:numCache>
                <c:formatCode>0</c:formatCode>
                <c:ptCount val="1"/>
                <c:pt idx="0">
                  <c:v>127</c:v>
                </c:pt>
              </c:numCache>
            </c:numRef>
          </c:val>
        </c:ser>
        <c:dLbls>
          <c:showLegendKey val="0"/>
          <c:showVal val="0"/>
          <c:showCatName val="0"/>
          <c:showSerName val="0"/>
          <c:showPercent val="0"/>
          <c:showBubbleSize val="0"/>
          <c:showLeaderLines val="1"/>
        </c:dLbls>
        <c:firstSliceAng val="213"/>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200">
                <a:solidFill>
                  <a:sysClr val="windowText" lastClr="000000"/>
                </a:solidFill>
              </a:rPr>
              <a:t>External</a:t>
            </a:r>
            <a:r>
              <a:rPr lang="en-US" sz="1200" baseline="0">
                <a:solidFill>
                  <a:sysClr val="windowText" lastClr="000000"/>
                </a:solidFill>
              </a:rPr>
              <a:t> indeterminate hires by </a:t>
            </a:r>
          </a:p>
          <a:p>
            <a:pPr>
              <a:defRPr sz="1200" b="1">
                <a:solidFill>
                  <a:sysClr val="windowText" lastClr="000000"/>
                </a:solidFill>
              </a:defRPr>
            </a:pPr>
            <a:r>
              <a:rPr lang="en-US" sz="1200" baseline="0">
                <a:solidFill>
                  <a:sysClr val="windowText" lastClr="000000"/>
                </a:solidFill>
              </a:rPr>
              <a:t>occupational</a:t>
            </a:r>
            <a:r>
              <a:rPr lang="en-US" sz="1200">
                <a:solidFill>
                  <a:sysClr val="windowText" lastClr="000000"/>
                </a:solidFill>
              </a:rPr>
              <a:t> group,</a:t>
            </a:r>
          </a:p>
          <a:p>
            <a:pPr>
              <a:defRPr sz="1200" b="1">
                <a:solidFill>
                  <a:sysClr val="windowText" lastClr="000000"/>
                </a:solidFill>
              </a:defRPr>
            </a:pPr>
            <a:r>
              <a:rPr lang="en-US" sz="1200">
                <a:solidFill>
                  <a:sysClr val="windowText" lastClr="000000"/>
                </a:solidFill>
              </a:rPr>
              <a:t> 2018-19 (N=13)</a:t>
            </a:r>
          </a:p>
        </c:rich>
      </c:tx>
      <c:layout>
        <c:manualLayout>
          <c:xMode val="edge"/>
          <c:yMode val="edge"/>
          <c:x val="0.14968643412327082"/>
          <c:y val="2.574658482650298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7503245064219434E-2"/>
          <c:y val="0.36781289113461324"/>
          <c:w val="0.8966533531134695"/>
          <c:h val="0.48715812098290862"/>
        </c:manualLayout>
      </c:layout>
      <c:doughnutChart>
        <c:varyColors val="1"/>
        <c:ser>
          <c:idx val="0"/>
          <c:order val="0"/>
          <c:tx>
            <c:strRef>
              <c:f>Sheet1!$B$1</c:f>
              <c:strCache>
                <c:ptCount val="1"/>
                <c:pt idx="0">
                  <c:v>Population by Language Requirements as of March 31, 2016</c:v>
                </c:pt>
              </c:strCache>
            </c:strRef>
          </c:tx>
          <c:spPr>
            <a:solidFill>
              <a:schemeClr val="accent2"/>
            </a:solidFill>
            <a:ln w="6350">
              <a:noFill/>
            </a:ln>
          </c:spPr>
          <c:dPt>
            <c:idx val="0"/>
            <c:bubble3D val="0"/>
            <c:spPr>
              <a:solidFill>
                <a:schemeClr val="accent2"/>
              </a:solidFill>
              <a:ln w="6350">
                <a:noFill/>
              </a:ln>
              <a:effectLst/>
            </c:spPr>
          </c:dPt>
          <c:dLbls>
            <c:dLbl>
              <c:idx val="0"/>
              <c:layout>
                <c:manualLayout>
                  <c:x val="1.2882447665056361E-2"/>
                  <c:y val="1.399825021872266E-2"/>
                </c:manualLayout>
              </c:layou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noFill/>
                    </a:ln>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c:f>
              <c:strCache>
                <c:ptCount val="1"/>
                <c:pt idx="0">
                  <c:v>RE</c:v>
                </c:pt>
              </c:strCache>
            </c:strRef>
          </c:cat>
          <c:val>
            <c:numRef>
              <c:f>Sheet1!$B$2</c:f>
              <c:numCache>
                <c:formatCode>General</c:formatCode>
                <c:ptCount val="1"/>
                <c:pt idx="0">
                  <c:v>13</c:v>
                </c:pt>
              </c:numCache>
            </c:numRef>
          </c:val>
        </c:ser>
        <c:dLbls>
          <c:showLegendKey val="0"/>
          <c:showVal val="1"/>
          <c:showCatName val="0"/>
          <c:showSerName val="0"/>
          <c:showPercent val="0"/>
          <c:showBubbleSize val="0"/>
          <c:showLeaderLines val="1"/>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region</a:t>
            </a:r>
            <a:endParaRPr lang="en-CA" sz="1200">
              <a:solidFill>
                <a:sysClr val="windowText" lastClr="000000"/>
              </a:solidFill>
            </a:endParaRPr>
          </a:p>
        </c:rich>
      </c:tx>
      <c:layout>
        <c:manualLayout>
          <c:xMode val="edge"/>
          <c:yMode val="edge"/>
          <c:x val="0.38179053082108422"/>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6839549778"/>
          <c:y val="0.11572359432992142"/>
          <c:w val="0.84333349635643373"/>
          <c:h val="0.55474858103818014"/>
        </c:manualLayout>
      </c:layout>
      <c:barChart>
        <c:barDir val="col"/>
        <c:grouping val="clustered"/>
        <c:varyColors val="0"/>
        <c:ser>
          <c:idx val="0"/>
          <c:order val="0"/>
          <c:tx>
            <c:strRef>
              <c:f>Sheet1!$B$1</c:f>
              <c:strCache>
                <c:ptCount val="1"/>
                <c:pt idx="0">
                  <c:v>National Capital Region (NCR)</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957784101821655E-3"/>
                  <c:y val="6.996676578625153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8744E-3"/>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0458066355896209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225570473313892E-3"/>
                  <c:y val="1.441508196992255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Sheet1!$B$2:$B$6</c:f>
              <c:numCache>
                <c:formatCode>0%</c:formatCode>
                <c:ptCount val="5"/>
                <c:pt idx="0">
                  <c:v>1</c:v>
                </c:pt>
                <c:pt idx="1">
                  <c:v>1</c:v>
                </c:pt>
                <c:pt idx="2">
                  <c:v>1</c:v>
                </c:pt>
                <c:pt idx="3">
                  <c:v>1</c:v>
                </c:pt>
                <c:pt idx="4">
                  <c:v>1</c:v>
                </c:pt>
              </c:numCache>
            </c:numRef>
          </c:val>
        </c:ser>
        <c:ser>
          <c:idx val="1"/>
          <c:order val="1"/>
          <c:tx>
            <c:strRef>
              <c:f>Sheet1!$C$1</c:f>
              <c:strCache>
                <c:ptCount val="1"/>
                <c:pt idx="0">
                  <c:v>Outside the National Capital Region (Non-NCR)</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496761352724479E-2"/>
                  <c:y val="9.995881877368093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81331075300664E-2"/>
                  <c:y val="1.133847249328222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2004236720964203E-2"/>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086474501108648E-2"/>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987109427286113E-2"/>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c:v>
                </c:pt>
                <c:pt idx="1">
                  <c:v>2015-16</c:v>
                </c:pt>
                <c:pt idx="2">
                  <c:v>2016-17</c:v>
                </c:pt>
                <c:pt idx="3">
                  <c:v>2017-18</c:v>
                </c:pt>
                <c:pt idx="4">
                  <c:v>2018-19</c:v>
                </c:pt>
              </c:strCache>
            </c:strRef>
          </c:cat>
          <c:val>
            <c:numRef>
              <c:f>Sheet1!$C$2:$C$6</c:f>
              <c:numCache>
                <c:formatCode>0%</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axId val="661022248"/>
        <c:axId val="661024208"/>
      </c:barChart>
      <c:catAx>
        <c:axId val="6610222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186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1024208"/>
        <c:crosses val="autoZero"/>
        <c:auto val="1"/>
        <c:lblAlgn val="ctr"/>
        <c:lblOffset val="100"/>
        <c:noMultiLvlLbl val="0"/>
      </c:catAx>
      <c:valAx>
        <c:axId val="661024208"/>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1022248"/>
        <c:crosses val="autoZero"/>
        <c:crossBetween val="between"/>
      </c:valAx>
      <c:spPr>
        <a:noFill/>
        <a:ln>
          <a:noFill/>
        </a:ln>
        <a:effectLst/>
      </c:spPr>
    </c:plotArea>
    <c:legend>
      <c:legendPos val="b"/>
      <c:layout>
        <c:manualLayout>
          <c:xMode val="edge"/>
          <c:yMode val="edge"/>
          <c:x val="0.15808580419858986"/>
          <c:y val="0.81627876082246642"/>
          <c:w val="0.71052254831782391"/>
          <c:h val="0.116320574498766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process type</a:t>
            </a:r>
            <a:endParaRPr lang="en-CA" sz="1200">
              <a:solidFill>
                <a:sysClr val="windowText" lastClr="000000"/>
              </a:solidFill>
            </a:endParaRPr>
          </a:p>
        </c:rich>
      </c:tx>
      <c:layout>
        <c:manualLayout>
          <c:xMode val="edge"/>
          <c:yMode val="edge"/>
          <c:x val="0.35480908056813304"/>
          <c:y val="2.4994792751510102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87844058759671"/>
          <c:y val="5.2914432573661359E-2"/>
          <c:w val="0.84333349635643373"/>
          <c:h val="0.59672864050993113"/>
        </c:manualLayout>
      </c:layout>
      <c:barChart>
        <c:barDir val="col"/>
        <c:grouping val="clustered"/>
        <c:varyColors val="0"/>
        <c:ser>
          <c:idx val="0"/>
          <c:order val="0"/>
          <c:tx>
            <c:strRef>
              <c:f>Sheet1!$B$1</c:f>
              <c:strCache>
                <c:ptCount val="1"/>
                <c:pt idx="0">
                  <c:v>Non-advertised (excludes unknowns)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1.1805555555555555E-2"/>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0912620297462819E-3"/>
                  <c:y val="1.049501486793766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5259459755030621E-2"/>
                  <c:y val="1.399335315725024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5990266841644795E-2"/>
                  <c:y val="1.049501486793769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9155183727034122E-3"/>
                  <c:y val="1.791342025923513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Sheet1!$B$2:$B$6</c:f>
              <c:numCache>
                <c:formatCode>#\ ###</c:formatCode>
                <c:ptCount val="5"/>
                <c:pt idx="0">
                  <c:v>4</c:v>
                </c:pt>
                <c:pt idx="1">
                  <c:v>2</c:v>
                </c:pt>
                <c:pt idx="2">
                  <c:v>2</c:v>
                </c:pt>
                <c:pt idx="3">
                  <c:v>6</c:v>
                </c:pt>
                <c:pt idx="4">
                  <c:v>7</c:v>
                </c:pt>
              </c:numCache>
            </c:numRef>
          </c:val>
        </c:ser>
        <c:ser>
          <c:idx val="1"/>
          <c:order val="1"/>
          <c:tx>
            <c:strRef>
              <c:f>Sheet1!$C$1</c:f>
              <c:strCache>
                <c:ptCount val="1"/>
                <c:pt idx="0">
                  <c:v>Advertised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362642169760613E-5"/>
                  <c:y val="1.349422016668070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902668416447943E-3"/>
                  <c:y val="1.483681078259480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52585395952670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804461942257218E-5"/>
                  <c:y val="1.399335315725030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Sheet1!$C$2:$C$6</c:f>
              <c:numCache>
                <c:formatCode>#\ ###</c:formatCode>
                <c:ptCount val="5"/>
                <c:pt idx="0">
                  <c:v>20</c:v>
                </c:pt>
                <c:pt idx="1">
                  <c:v>14</c:v>
                </c:pt>
                <c:pt idx="2">
                  <c:v>17</c:v>
                </c:pt>
                <c:pt idx="3">
                  <c:v>20</c:v>
                </c:pt>
                <c:pt idx="4">
                  <c:v>10</c:v>
                </c:pt>
              </c:numCache>
            </c:numRef>
          </c:val>
        </c:ser>
        <c:dLbls>
          <c:showLegendKey val="0"/>
          <c:showVal val="0"/>
          <c:showCatName val="0"/>
          <c:showSerName val="0"/>
          <c:showPercent val="0"/>
          <c:showBubbleSize val="0"/>
        </c:dLbls>
        <c:gapWidth val="150"/>
        <c:axId val="661019896"/>
        <c:axId val="661023032"/>
      </c:barChart>
      <c:lineChart>
        <c:grouping val="standard"/>
        <c:varyColors val="0"/>
        <c:ser>
          <c:idx val="2"/>
          <c:order val="2"/>
          <c:tx>
            <c:strRef>
              <c:f>Sheet1!$D$1</c:f>
              <c:strCache>
                <c:ptCount val="1"/>
                <c:pt idx="0">
                  <c:v>% of Non- advertised</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0"/>
              <c:layout>
                <c:manualLayout>
                  <c:x val="-8.5434711286089232E-2"/>
                  <c:y val="-2.26766695268566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9.691874453193354E-2"/>
                  <c:y val="2.153654179619005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1524496937882759E-2"/>
                  <c:y val="-2.883484675487811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4703904199475072E-2"/>
                  <c:y val="-3.468643732809596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9828302712160981E-2"/>
                  <c:y val="-2.64719533811990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c:v>
                </c:pt>
                <c:pt idx="1">
                  <c:v>2015-16 </c:v>
                </c:pt>
                <c:pt idx="2">
                  <c:v>2016-17</c:v>
                </c:pt>
                <c:pt idx="3">
                  <c:v>2017-18</c:v>
                </c:pt>
                <c:pt idx="4">
                  <c:v>2018-19</c:v>
                </c:pt>
              </c:strCache>
            </c:strRef>
          </c:cat>
          <c:val>
            <c:numRef>
              <c:f>Sheet1!$D$2:$D$6</c:f>
              <c:numCache>
                <c:formatCode>0%</c:formatCode>
                <c:ptCount val="5"/>
                <c:pt idx="0">
                  <c:v>0.17</c:v>
                </c:pt>
                <c:pt idx="1">
                  <c:v>0.13</c:v>
                </c:pt>
                <c:pt idx="2">
                  <c:v>0.11</c:v>
                </c:pt>
                <c:pt idx="3">
                  <c:v>0.23</c:v>
                </c:pt>
                <c:pt idx="4">
                  <c:v>0.41</c:v>
                </c:pt>
              </c:numCache>
            </c:numRef>
          </c:val>
          <c:smooth val="0"/>
        </c:ser>
        <c:dLbls>
          <c:showLegendKey val="0"/>
          <c:showVal val="0"/>
          <c:showCatName val="0"/>
          <c:showSerName val="0"/>
          <c:showPercent val="0"/>
          <c:showBubbleSize val="0"/>
        </c:dLbls>
        <c:marker val="1"/>
        <c:smooth val="0"/>
        <c:axId val="661024600"/>
        <c:axId val="661026952"/>
      </c:lineChart>
      <c:catAx>
        <c:axId val="6610198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1023032"/>
        <c:crosses val="autoZero"/>
        <c:auto val="1"/>
        <c:lblAlgn val="ctr"/>
        <c:lblOffset val="100"/>
        <c:noMultiLvlLbl val="0"/>
      </c:catAx>
      <c:valAx>
        <c:axId val="66102303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1019896"/>
        <c:crosses val="autoZero"/>
        <c:crossBetween val="between"/>
      </c:valAx>
      <c:valAx>
        <c:axId val="661026952"/>
        <c:scaling>
          <c:orientation val="minMax"/>
          <c:max val="0.5"/>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61024600"/>
        <c:crosses val="max"/>
        <c:crossBetween val="between"/>
        <c:majorUnit val="0.1"/>
      </c:valAx>
      <c:catAx>
        <c:axId val="661024600"/>
        <c:scaling>
          <c:orientation val="minMax"/>
        </c:scaling>
        <c:delete val="1"/>
        <c:axPos val="b"/>
        <c:numFmt formatCode="General" sourceLinked="1"/>
        <c:majorTickMark val="out"/>
        <c:minorTickMark val="none"/>
        <c:tickLblPos val="nextTo"/>
        <c:crossAx val="661026952"/>
        <c:crosses val="autoZero"/>
        <c:auto val="1"/>
        <c:lblAlgn val="ctr"/>
        <c:lblOffset val="100"/>
        <c:noMultiLvlLbl val="0"/>
      </c:catAx>
      <c:spPr>
        <a:noFill/>
        <a:ln>
          <a:noFill/>
        </a:ln>
        <a:effectLst/>
      </c:spPr>
    </c:plotArea>
    <c:legend>
      <c:legendPos val="b"/>
      <c:layout>
        <c:manualLayout>
          <c:xMode val="edge"/>
          <c:yMode val="edge"/>
          <c:x val="1.3961605584642234E-2"/>
          <c:y val="0.70815236778278368"/>
          <c:w val="0.98603839441535779"/>
          <c:h val="0.1116294956745939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Staffing</a:t>
            </a:r>
            <a:r>
              <a:rPr lang="en-CA" sz="1200" baseline="0">
                <a:solidFill>
                  <a:sysClr val="windowText" lastClr="000000"/>
                </a:solidFill>
              </a:rPr>
              <a:t> by appointment type</a:t>
            </a:r>
            <a:endParaRPr lang="en-CA" sz="1200">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659525943872401"/>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2405074365704287E-2"/>
                  <c:y val="2.178526145770240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111111111111112E-2"/>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3333333333332E-3"/>
                  <c:y val="1.5680193821926106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(N=56)</c:v>
                </c:pt>
                <c:pt idx="1">
                  <c:v>2015-16
(N=65)</c:v>
                </c:pt>
                <c:pt idx="2">
                  <c:v>2016-17 
(N=71)</c:v>
                </c:pt>
                <c:pt idx="3">
                  <c:v>2017-18
(N=89)</c:v>
                </c:pt>
                <c:pt idx="4">
                  <c:v>2018-19
(N=91)</c:v>
                </c:pt>
              </c:strCache>
            </c:strRef>
          </c:cat>
          <c:val>
            <c:numRef>
              <c:f>Sheet1!$B$3:$B$7</c:f>
              <c:numCache>
                <c:formatCode>#\ ###</c:formatCode>
                <c:ptCount val="5"/>
                <c:pt idx="0">
                  <c:v>11</c:v>
                </c:pt>
                <c:pt idx="1">
                  <c:v>12</c:v>
                </c:pt>
                <c:pt idx="2">
                  <c:v>9</c:v>
                </c:pt>
                <c:pt idx="3">
                  <c:v>12</c:v>
                </c:pt>
                <c:pt idx="4">
                  <c:v>13</c:v>
                </c:pt>
              </c:numCache>
            </c:numRef>
          </c:val>
        </c:ser>
        <c:ser>
          <c:idx val="1"/>
          <c:order val="1"/>
          <c:tx>
            <c:strRef>
              <c:f>Sheet1!$C$1</c:f>
              <c:strCache>
                <c:ptCount val="1"/>
                <c:pt idx="0">
                  <c:v>Lateral and downward movements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7777777777777779E-3"/>
                  <c:y val="1.941772663032497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1.996527357157278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996527357157278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676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(N=56)</c:v>
                </c:pt>
                <c:pt idx="1">
                  <c:v>2015-16
(N=65)</c:v>
                </c:pt>
                <c:pt idx="2">
                  <c:v>2016-17 
(N=71)</c:v>
                </c:pt>
                <c:pt idx="3">
                  <c:v>2017-18
(N=89)</c:v>
                </c:pt>
                <c:pt idx="4">
                  <c:v>2018-19
(N=91)</c:v>
                </c:pt>
              </c:strCache>
            </c:strRef>
          </c:cat>
          <c:val>
            <c:numRef>
              <c:f>Sheet1!$C$3:$C$7</c:f>
              <c:numCache>
                <c:formatCode>#\ ###</c:formatCode>
                <c:ptCount val="5"/>
                <c:pt idx="0">
                  <c:v>10</c:v>
                </c:pt>
                <c:pt idx="1">
                  <c:v>9</c:v>
                </c:pt>
                <c:pt idx="2">
                  <c:v>2</c:v>
                </c:pt>
                <c:pt idx="3">
                  <c:v>16</c:v>
                </c:pt>
                <c:pt idx="4">
                  <c:v>16</c:v>
                </c:pt>
              </c:numCache>
            </c:numRef>
          </c:val>
        </c:ser>
        <c:ser>
          <c:idx val="2"/>
          <c:order val="2"/>
          <c:tx>
            <c:strRef>
              <c:f>Sheet1!$D$1</c:f>
              <c:strCache>
                <c:ptCount val="1"/>
                <c:pt idx="0">
                  <c:v>Appointments to the public service  (includes casuals and students)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8853220270542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6062992125984253E-3"/>
                  <c:y val="2.3885322027054293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(N=56)</c:v>
                </c:pt>
                <c:pt idx="1">
                  <c:v>2015-16
(N=65)</c:v>
                </c:pt>
                <c:pt idx="2">
                  <c:v>2016-17 
(N=71)</c:v>
                </c:pt>
                <c:pt idx="3">
                  <c:v>2017-18
(N=89)</c:v>
                </c:pt>
                <c:pt idx="4">
                  <c:v>2018-19
(N=91)</c:v>
                </c:pt>
              </c:strCache>
            </c:strRef>
          </c:cat>
          <c:val>
            <c:numRef>
              <c:f>Sheet1!$D$3:$D$7</c:f>
              <c:numCache>
                <c:formatCode>#\ ###</c:formatCode>
                <c:ptCount val="5"/>
                <c:pt idx="0">
                  <c:v>25</c:v>
                </c:pt>
                <c:pt idx="1">
                  <c:v>40</c:v>
                </c:pt>
                <c:pt idx="2">
                  <c:v>54</c:v>
                </c:pt>
                <c:pt idx="3">
                  <c:v>57</c:v>
                </c:pt>
                <c:pt idx="4">
                  <c:v>57</c:v>
                </c:pt>
              </c:numCache>
            </c:numRef>
          </c:val>
        </c:ser>
        <c:ser>
          <c:idx val="3"/>
          <c:order val="3"/>
          <c:tx>
            <c:strRef>
              <c:f>Sheet1!$E$1</c:f>
              <c:strCache>
                <c:ptCount val="1"/>
                <c:pt idx="0">
                  <c:v>Acting appointments (excludes appointments of less than 4 months)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297E-3"/>
                  <c:y val="1.549767817484345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3332E-3"/>
                  <c:y val="2.06953361599030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062992125985272E-3"/>
                  <c:y val="2.449521502119927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717410323709537E-2"/>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2014-15 
(N=56)</c:v>
                </c:pt>
                <c:pt idx="1">
                  <c:v>2015-16
(N=65)</c:v>
                </c:pt>
                <c:pt idx="2">
                  <c:v>2016-17 
(N=71)</c:v>
                </c:pt>
                <c:pt idx="3">
                  <c:v>2017-18
(N=89)</c:v>
                </c:pt>
                <c:pt idx="4">
                  <c:v>2018-19
(N=91)</c:v>
                </c:pt>
              </c:strCache>
            </c:strRef>
          </c:cat>
          <c:val>
            <c:numRef>
              <c:f>Sheet1!$E$3:$E$7</c:f>
              <c:numCache>
                <c:formatCode>#\ ###</c:formatCode>
                <c:ptCount val="5"/>
                <c:pt idx="0">
                  <c:v>10</c:v>
                </c:pt>
                <c:pt idx="1">
                  <c:v>4</c:v>
                </c:pt>
                <c:pt idx="2">
                  <c:v>6</c:v>
                </c:pt>
                <c:pt idx="3">
                  <c:v>4</c:v>
                </c:pt>
                <c:pt idx="4">
                  <c:v>5</c:v>
                </c:pt>
              </c:numCache>
            </c:numRef>
          </c:val>
        </c:ser>
        <c:dLbls>
          <c:showLegendKey val="0"/>
          <c:showVal val="0"/>
          <c:showCatName val="0"/>
          <c:showSerName val="0"/>
          <c:showPercent val="0"/>
          <c:showBubbleSize val="0"/>
        </c:dLbls>
        <c:gapWidth val="150"/>
        <c:shape val="box"/>
        <c:axId val="461312416"/>
        <c:axId val="461313592"/>
        <c:axId val="0"/>
      </c:bar3DChart>
      <c:catAx>
        <c:axId val="4613124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1313592"/>
        <c:crosses val="autoZero"/>
        <c:auto val="0"/>
        <c:lblAlgn val="ctr"/>
        <c:lblOffset val="100"/>
        <c:noMultiLvlLbl val="0"/>
      </c:catAx>
      <c:valAx>
        <c:axId val="461313592"/>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1312416"/>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CA" sz="1200">
                <a:solidFill>
                  <a:sysClr val="windowText" lastClr="000000"/>
                </a:solidFill>
              </a:rPr>
              <a:t>Staffing by</a:t>
            </a:r>
            <a:r>
              <a:rPr lang="en-CA" sz="1200" baseline="0">
                <a:solidFill>
                  <a:sysClr val="windowText" lastClr="000000"/>
                </a:solidFill>
              </a:rPr>
              <a:t> tenure</a:t>
            </a:r>
            <a:endParaRPr lang="en-CA" sz="1200">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132759943468605"/>
          <c:w val="0.86277799650043729"/>
          <c:h val="0.57944227740763177"/>
        </c:manualLayout>
      </c:layout>
      <c:bar3DChart>
        <c:barDir val="col"/>
        <c:grouping val="clustered"/>
        <c:varyColors val="0"/>
        <c:ser>
          <c:idx val="0"/>
          <c:order val="0"/>
          <c:tx>
            <c:strRef>
              <c:f>Sheet1!$B$1</c:f>
              <c:strCache>
                <c:ptCount val="1"/>
                <c:pt idx="0">
                  <c:v>Indeterminate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1.960024227740761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(N=56)</c:v>
                </c:pt>
                <c:pt idx="1">
                  <c:v>2015-16
 (N=65)</c:v>
                </c:pt>
                <c:pt idx="2">
                  <c:v>2016-17
 (N=71)</c:v>
                </c:pt>
                <c:pt idx="3">
                  <c:v>2017-18
 (N=89)</c:v>
                </c:pt>
                <c:pt idx="4">
                  <c:v>2018-19
 (N=91)</c:v>
                </c:pt>
              </c:strCache>
            </c:strRef>
          </c:cat>
          <c:val>
            <c:numRef>
              <c:f>Sheet1!$B$2:$B$6</c:f>
              <c:numCache>
                <c:formatCode>#\ ###</c:formatCode>
                <c:ptCount val="5"/>
                <c:pt idx="0">
                  <c:v>35</c:v>
                </c:pt>
                <c:pt idx="1">
                  <c:v>30</c:v>
                </c:pt>
                <c:pt idx="2">
                  <c:v>23</c:v>
                </c:pt>
                <c:pt idx="3">
                  <c:v>42</c:v>
                </c:pt>
                <c:pt idx="4">
                  <c:v>46</c:v>
                </c:pt>
              </c:numCache>
            </c:numRef>
          </c:val>
        </c:ser>
        <c:ser>
          <c:idx val="1"/>
          <c:order val="1"/>
          <c:tx>
            <c:strRef>
              <c:f>Sheet1!$C$1</c:f>
              <c:strCache>
                <c:ptCount val="1"/>
                <c:pt idx="0">
                  <c:v>Term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5462668816039986E-17"/>
                  <c:y val="1.1212598425196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0185067526415994E-16"/>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(N=56)</c:v>
                </c:pt>
                <c:pt idx="1">
                  <c:v>2015-16
 (N=65)</c:v>
                </c:pt>
                <c:pt idx="2">
                  <c:v>2016-17
 (N=71)</c:v>
                </c:pt>
                <c:pt idx="3">
                  <c:v>2017-18
 (N=89)</c:v>
                </c:pt>
                <c:pt idx="4">
                  <c:v>2018-19
 (N=91)</c:v>
                </c:pt>
              </c:strCache>
            </c:strRef>
          </c:cat>
          <c:val>
            <c:numRef>
              <c:f>Sheet1!$C$2:$C$6</c:f>
              <c:numCache>
                <c:formatCode>#\ ###</c:formatCode>
                <c:ptCount val="5"/>
                <c:pt idx="0">
                  <c:v>5</c:v>
                </c:pt>
                <c:pt idx="1">
                  <c:v>4</c:v>
                </c:pt>
                <c:pt idx="2">
                  <c:v>13</c:v>
                </c:pt>
                <c:pt idx="3">
                  <c:v>17</c:v>
                </c:pt>
                <c:pt idx="4">
                  <c:v>12</c:v>
                </c:pt>
              </c:numCache>
            </c:numRef>
          </c:val>
        </c:ser>
        <c:ser>
          <c:idx val="2"/>
          <c:order val="2"/>
          <c:tx>
            <c:strRef>
              <c:f>Sheet1!$D$1</c:f>
              <c:strCache>
                <c:ptCount val="1"/>
                <c:pt idx="0">
                  <c:v>Casual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4328689683019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(N=56)</c:v>
                </c:pt>
                <c:pt idx="1">
                  <c:v>2015-16
 (N=65)</c:v>
                </c:pt>
                <c:pt idx="2">
                  <c:v>2016-17
 (N=71)</c:v>
                </c:pt>
                <c:pt idx="3">
                  <c:v>2017-18
 (N=89)</c:v>
                </c:pt>
                <c:pt idx="4">
                  <c:v>2018-19
 (N=91)</c:v>
                </c:pt>
              </c:strCache>
            </c:strRef>
          </c:cat>
          <c:val>
            <c:numRef>
              <c:f>Sheet1!$D$2:$D$6</c:f>
              <c:numCache>
                <c:formatCode>#\ ###</c:formatCode>
                <c:ptCount val="5"/>
                <c:pt idx="0">
                  <c:v>15</c:v>
                </c:pt>
                <c:pt idx="1">
                  <c:v>23</c:v>
                </c:pt>
                <c:pt idx="2">
                  <c:v>31</c:v>
                </c:pt>
                <c:pt idx="3">
                  <c:v>28</c:v>
                </c:pt>
                <c:pt idx="4">
                  <c:v>25</c:v>
                </c:pt>
              </c:numCache>
            </c:numRef>
          </c:val>
        </c:ser>
        <c:ser>
          <c:idx val="3"/>
          <c:order val="3"/>
          <c:tx>
            <c:strRef>
              <c:f>Sheet1!$E$1</c:f>
              <c:strCache>
                <c:ptCount val="1"/>
                <c:pt idx="0">
                  <c:v>Student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046E-3"/>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676E-3"/>
                  <c:y val="2.762285483545318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4356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2014-15
 (N=56)</c:v>
                </c:pt>
                <c:pt idx="1">
                  <c:v>2015-16
 (N=65)</c:v>
                </c:pt>
                <c:pt idx="2">
                  <c:v>2016-17
 (N=71)</c:v>
                </c:pt>
                <c:pt idx="3">
                  <c:v>2017-18
 (N=89)</c:v>
                </c:pt>
                <c:pt idx="4">
                  <c:v>2018-19
 (N=91)</c:v>
                </c:pt>
              </c:strCache>
            </c:strRef>
          </c:cat>
          <c:val>
            <c:numRef>
              <c:f>Sheet1!$E$2:$E$6</c:f>
              <c:numCache>
                <c:formatCode>#\ ###</c:formatCode>
                <c:ptCount val="5"/>
                <c:pt idx="0">
                  <c:v>1</c:v>
                </c:pt>
                <c:pt idx="1">
                  <c:v>8</c:v>
                </c:pt>
                <c:pt idx="2">
                  <c:v>4</c:v>
                </c:pt>
                <c:pt idx="3">
                  <c:v>2</c:v>
                </c:pt>
                <c:pt idx="4">
                  <c:v>8</c:v>
                </c:pt>
              </c:numCache>
            </c:numRef>
          </c:val>
        </c:ser>
        <c:dLbls>
          <c:showLegendKey val="0"/>
          <c:showVal val="1"/>
          <c:showCatName val="0"/>
          <c:showSerName val="0"/>
          <c:showPercent val="0"/>
          <c:showBubbleSize val="0"/>
        </c:dLbls>
        <c:gapWidth val="150"/>
        <c:shape val="box"/>
        <c:axId val="461312808"/>
        <c:axId val="461308104"/>
        <c:axId val="0"/>
      </c:bar3DChart>
      <c:catAx>
        <c:axId val="4613128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1308104"/>
        <c:crosses val="autoZero"/>
        <c:auto val="1"/>
        <c:lblAlgn val="ctr"/>
        <c:lblOffset val="100"/>
        <c:noMultiLvlLbl val="0"/>
      </c:catAx>
      <c:valAx>
        <c:axId val="46130810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61312808"/>
        <c:crosses val="autoZero"/>
        <c:crossBetween val="between"/>
      </c:valAx>
      <c:spPr>
        <a:noFill/>
        <a:ln>
          <a:noFill/>
        </a:ln>
        <a:effectLst/>
      </c:spPr>
    </c:plotArea>
    <c:legend>
      <c:legendPos val="r"/>
      <c:layout>
        <c:manualLayout>
          <c:xMode val="edge"/>
          <c:yMode val="edge"/>
          <c:x val="8.3333333333333329E-2"/>
          <c:y val="0.81526638400969109"/>
          <c:w val="0.84867125984251957"/>
          <c:h val="0.143707974964667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solidFill>
                <a:sysClr val="windowText" lastClr="000000"/>
              </a:solidFill>
            </a:rPr>
            <a:t>Unknowns= 32</a:t>
          </a:r>
        </a:p>
      </cdr:txBody>
    </cdr:sp>
  </cdr:relSizeAnchor>
</c:userShapes>
</file>

<file path=word/drawings/drawing2.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gn="ctr">
            <a:lnSpc>
              <a:spcPts val="900"/>
            </a:lnSpc>
          </a:pPr>
          <a:r>
            <a:rPr lang="en-CA" sz="850"/>
            <a:t>Unknowns= 0</a:t>
          </a:r>
        </a:p>
      </cdr:txBody>
    </cdr:sp>
  </cdr:relSizeAnchor>
</c:userShapes>
</file>

<file path=word/drawings/drawing3.xml><?xml version="1.0" encoding="utf-8"?>
<c:userShapes xmlns:c="http://schemas.openxmlformats.org/drawingml/2006/chart">
  <cdr:relSizeAnchor xmlns:cdr="http://schemas.openxmlformats.org/drawingml/2006/chartDrawing">
    <cdr:from>
      <cdr:x>0.01772</cdr:x>
      <cdr:y>0.94455</cdr:y>
    </cdr:from>
    <cdr:to>
      <cdr:x>0.9823</cdr:x>
      <cdr:y>1</cdr:y>
    </cdr:to>
    <cdr:sp macro="" textlink="">
      <cdr:nvSpPr>
        <cdr:cNvPr id="2" name="Text Box 1"/>
        <cdr:cNvSpPr txBox="1"/>
      </cdr:nvSpPr>
      <cdr:spPr>
        <a:xfrm xmlns:a="http://schemas.openxmlformats.org/drawingml/2006/main">
          <a:off x="60897" y="3429000"/>
          <a:ext cx="3314895" cy="2012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-Regional distribution excludes unknowns</a:t>
          </a:r>
        </a:p>
      </cdr:txBody>
    </cdr:sp>
  </cdr:relSizeAnchor>
</c:userShapes>
</file>

<file path=word/drawings/drawing4.xml><?xml version="1.0" encoding="utf-8"?>
<c:userShapes xmlns:c="http://schemas.openxmlformats.org/drawingml/2006/chart">
  <cdr:relSizeAnchor xmlns:cdr="http://schemas.openxmlformats.org/drawingml/2006/chartDrawing">
    <cdr:from>
      <cdr:x>0.01772</cdr:x>
      <cdr:y>0.81861</cdr:y>
    </cdr:from>
    <cdr:to>
      <cdr:x>0.9823</cdr:x>
      <cdr:y>1</cdr:y>
    </cdr:to>
    <cdr:sp macro="" textlink="">
      <cdr:nvSpPr>
        <cdr:cNvPr id="2" name="Text Box 1"/>
        <cdr:cNvSpPr txBox="1"/>
      </cdr:nvSpPr>
      <cdr:spPr>
        <a:xfrm xmlns:a="http://schemas.openxmlformats.org/drawingml/2006/main">
          <a:off x="64475" y="2971800"/>
          <a:ext cx="3509673" cy="658495"/>
        </a:xfrm>
        <a:prstGeom xmlns:a="http://schemas.openxmlformats.org/drawingml/2006/main" prst="rect">
          <a:avLst/>
        </a:prstGeom>
      </cdr:spPr>
      <cdr:txBody>
        <a:bodyPr xmlns:a="http://schemas.openxmlformats.org/drawingml/2006/main" vertOverflow="clip" wrap="square" tIns="0" bIns="0" rtlCol="0"/>
        <a:lstStyle xmlns:a="http://schemas.openxmlformats.org/drawingml/2006/main"/>
        <a:p xmlns:a="http://schemas.openxmlformats.org/drawingml/2006/main">
          <a:pPr>
            <a:lnSpc>
              <a:spcPts val="900"/>
            </a:lnSpc>
          </a:pPr>
          <a:r>
            <a:rPr lang="en-CA" sz="850"/>
            <a:t>-</a:t>
          </a:r>
          <a:r>
            <a:rPr lang="en-CA" sz="850" baseline="0"/>
            <a:t>Includes indeterminate and specified term appointments</a:t>
          </a:r>
        </a:p>
        <a:p xmlns:a="http://schemas.openxmlformats.org/drawingml/2006/main">
          <a:pPr>
            <a:lnSpc>
              <a:spcPts val="900"/>
            </a:lnSpc>
          </a:pPr>
          <a:r>
            <a:rPr lang="en-CA" sz="850" baseline="0"/>
            <a:t>-Excludes lateral and downward movements, deployments and acting appointments  of less than 4 months</a:t>
          </a:r>
        </a:p>
        <a:p xmlns:a="http://schemas.openxmlformats.org/drawingml/2006/main">
          <a:pPr>
            <a:lnSpc>
              <a:spcPts val="900"/>
            </a:lnSpc>
          </a:pPr>
          <a:r>
            <a:rPr lang="en-CA" sz="850" baseline="0"/>
            <a:t>-Includes only appointments where the staffing process type is known </a:t>
          </a:r>
          <a:r>
            <a:rPr lang="en-CA" sz="850" baseline="0">
              <a:solidFill>
                <a:sysClr val="windowText" lastClr="000000"/>
              </a:solidFill>
            </a:rPr>
            <a:t>(40% to 80</a:t>
          </a:r>
          <a:r>
            <a:rPr lang="en-CA" sz="850" baseline="0"/>
            <a:t>% of appointments)</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0.00086</cdr:x>
      <cdr:y>0.85764</cdr:y>
    </cdr:from>
    <cdr:to>
      <cdr:x>0.92201</cdr:x>
      <cdr:y>0.97276</cdr:y>
    </cdr:to>
    <cdr:sp macro="" textlink="">
      <cdr:nvSpPr>
        <cdr:cNvPr id="2" name="Text Box 1" descr="* Indeterminate and term hires with experience in a federal student recruitment program within the last 10 years.&#10;"/>
        <cdr:cNvSpPr txBox="1"/>
      </cdr:nvSpPr>
      <cdr:spPr>
        <a:xfrm xmlns:a="http://schemas.openxmlformats.org/drawingml/2006/main">
          <a:off x="2941" y="2838462"/>
          <a:ext cx="3149834" cy="3809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*Hires with experience in a federal student recruitment program within the last 10 years.</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3DAF5260F944489885DC043B403146"/>
        <w:category>
          <w:name w:val="General"/>
          <w:gallery w:val="placeholder"/>
        </w:category>
        <w:types>
          <w:type w:val="bbPlcHdr"/>
        </w:types>
        <w:behaviors>
          <w:behavior w:val="content"/>
        </w:behaviors>
        <w:guid w:val="{EAEBCFBC-7DA8-4E2F-B506-5E94214BC6BB}"/>
      </w:docPartPr>
      <w:docPartBody>
        <w:p w:rsidR="00BF2B49" w:rsidRDefault="00BF2B49" w:rsidP="00BF2B49">
          <w:pPr>
            <w:pStyle w:val="DC3DAF5260F944489885DC043B403146"/>
          </w:pPr>
          <w:r w:rsidRPr="00F61880">
            <w:rPr>
              <w:rFonts w:ascii="Arial" w:eastAsia="Arial" w:hAnsi="Arial" w:cs="Arial"/>
              <w:color w:val="A6A6A6" w:themeColor="background1" w:themeShade="A6"/>
              <w:kern w:val="2"/>
              <w:lang w:val="en-US" w:eastAsia="ja-JP"/>
              <w14:ligatures w14:val="standard"/>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49"/>
    <w:rsid w:val="00032BA2"/>
    <w:rsid w:val="002C548E"/>
    <w:rsid w:val="006B2550"/>
    <w:rsid w:val="006D09E9"/>
    <w:rsid w:val="008057A8"/>
    <w:rsid w:val="00941A9D"/>
    <w:rsid w:val="009C7BC9"/>
    <w:rsid w:val="00A42EDE"/>
    <w:rsid w:val="00BA16EF"/>
    <w:rsid w:val="00BF2B49"/>
    <w:rsid w:val="00DA1A90"/>
    <w:rsid w:val="00FF40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3DAF5260F944489885DC043B403146">
    <w:name w:val="DC3DAF5260F944489885DC043B403146"/>
    <w:rsid w:val="00BF2B49"/>
  </w:style>
  <w:style w:type="paragraph" w:customStyle="1" w:styleId="73E7770BB1E54E1A88DFF00DB6AE6DFC">
    <w:name w:val="73E7770BB1E54E1A88DFF00DB6AE6DFC"/>
    <w:rsid w:val="006B2550"/>
  </w:style>
  <w:style w:type="paragraph" w:customStyle="1" w:styleId="BB55214196764299B6109196B1E220DD">
    <w:name w:val="BB55214196764299B6109196B1E220DD"/>
    <w:rsid w:val="006B2550"/>
  </w:style>
  <w:style w:type="paragraph" w:customStyle="1" w:styleId="F5C4A91449A04B3598819AC5F0BE7B83">
    <w:name w:val="F5C4A91449A04B3598819AC5F0BE7B83"/>
    <w:rsid w:val="006B2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99413-DCE1-4BB7-902F-CB0C1432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806</TotalTime>
  <Pages>24</Pages>
  <Words>3752</Words>
  <Characters>21393</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25095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Olga Paraskis</cp:lastModifiedBy>
  <cp:revision>78</cp:revision>
  <dcterms:created xsi:type="dcterms:W3CDTF">2020-08-04T14:16:00Z</dcterms:created>
  <dcterms:modified xsi:type="dcterms:W3CDTF">2021-02-10T21:18:00Z</dcterms:modified>
</cp:coreProperties>
</file>