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3.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4.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5.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0B1" w:rsidRPr="004B6E75" w:rsidRDefault="002730B1" w:rsidP="00D7525F">
      <w:pPr>
        <w:pStyle w:val="Title"/>
        <w:spacing w:before="120" w:after="120" w:line="240" w:lineRule="auto"/>
        <w:contextualSpacing w:val="0"/>
        <w:jc w:val="center"/>
        <w:rPr>
          <w:sz w:val="52"/>
          <w:szCs w:val="52"/>
          <w:lang w:val="fr-CA"/>
        </w:rPr>
      </w:pPr>
      <w:r w:rsidRPr="004B6E75">
        <w:rPr>
          <w:sz w:val="52"/>
          <w:szCs w:val="52"/>
          <w:lang w:val="fr-CA"/>
        </w:rPr>
        <w:t>R</w:t>
      </w:r>
      <w:r w:rsidR="009D3D2F" w:rsidRPr="004B6E75">
        <w:rPr>
          <w:sz w:val="52"/>
          <w:szCs w:val="52"/>
          <w:lang w:val="fr-CA"/>
        </w:rPr>
        <w:t>é</w:t>
      </w:r>
      <w:bookmarkStart w:id="0" w:name="_GoBack"/>
      <w:bookmarkEnd w:id="0"/>
      <w:r w:rsidR="009D3D2F" w:rsidRPr="004B6E75">
        <w:rPr>
          <w:sz w:val="52"/>
          <w:szCs w:val="52"/>
          <w:lang w:val="fr-CA"/>
        </w:rPr>
        <w:t>union du président avec</w:t>
      </w:r>
    </w:p>
    <w:p w:rsidR="002730B1" w:rsidRPr="004B6E75" w:rsidRDefault="002730B1" w:rsidP="00D7525F">
      <w:pPr>
        <w:pStyle w:val="Title"/>
        <w:spacing w:before="120" w:after="120" w:line="240" w:lineRule="auto"/>
        <w:contextualSpacing w:val="0"/>
        <w:jc w:val="center"/>
        <w:rPr>
          <w:sz w:val="52"/>
          <w:szCs w:val="52"/>
          <w:lang w:val="fr-CA"/>
        </w:rPr>
      </w:pPr>
      <w:r w:rsidRPr="004B6E75">
        <w:rPr>
          <w:sz w:val="52"/>
          <w:szCs w:val="52"/>
          <w:lang w:val="fr-CA"/>
        </w:rPr>
        <w:t>J</w:t>
      </w:r>
      <w:r w:rsidR="009D3D2F" w:rsidRPr="004B6E75">
        <w:rPr>
          <w:sz w:val="52"/>
          <w:szCs w:val="52"/>
          <w:lang w:val="fr-CA"/>
        </w:rPr>
        <w:t>udith</w:t>
      </w:r>
      <w:r w:rsidRPr="004B6E75">
        <w:rPr>
          <w:sz w:val="52"/>
          <w:szCs w:val="52"/>
          <w:lang w:val="fr-CA"/>
        </w:rPr>
        <w:t xml:space="preserve"> R</w:t>
      </w:r>
      <w:r w:rsidR="009D3D2F" w:rsidRPr="004B6E75">
        <w:rPr>
          <w:sz w:val="52"/>
          <w:szCs w:val="52"/>
          <w:lang w:val="fr-CA"/>
        </w:rPr>
        <w:t>obertson,</w:t>
      </w:r>
      <w:r w:rsidRPr="004B6E75">
        <w:rPr>
          <w:sz w:val="52"/>
          <w:szCs w:val="52"/>
          <w:lang w:val="fr-CA"/>
        </w:rPr>
        <w:t xml:space="preserve"> C</w:t>
      </w:r>
      <w:r w:rsidR="009D3D2F" w:rsidRPr="004B6E75">
        <w:rPr>
          <w:sz w:val="52"/>
          <w:szCs w:val="52"/>
          <w:lang w:val="fr-CA"/>
        </w:rPr>
        <w:t>ommissaire</w:t>
      </w:r>
      <w:r w:rsidRPr="004B6E75">
        <w:rPr>
          <w:sz w:val="52"/>
          <w:szCs w:val="52"/>
          <w:lang w:val="fr-CA"/>
        </w:rPr>
        <w:t>, A</w:t>
      </w:r>
      <w:r w:rsidR="009D3D2F" w:rsidRPr="004B6E75">
        <w:rPr>
          <w:sz w:val="52"/>
          <w:szCs w:val="52"/>
          <w:lang w:val="fr-CA"/>
        </w:rPr>
        <w:t>gence de la</w:t>
      </w:r>
      <w:r w:rsidRPr="004B6E75">
        <w:rPr>
          <w:sz w:val="52"/>
          <w:szCs w:val="52"/>
          <w:lang w:val="fr-CA"/>
        </w:rPr>
        <w:t xml:space="preserve"> C</w:t>
      </w:r>
      <w:r w:rsidR="009D3D2F" w:rsidRPr="004B6E75">
        <w:rPr>
          <w:sz w:val="52"/>
          <w:szCs w:val="52"/>
          <w:lang w:val="fr-CA"/>
        </w:rPr>
        <w:t>onsommation</w:t>
      </w:r>
      <w:r w:rsidRPr="004B6E75">
        <w:rPr>
          <w:sz w:val="52"/>
          <w:szCs w:val="52"/>
          <w:lang w:val="fr-CA"/>
        </w:rPr>
        <w:t xml:space="preserve"> F</w:t>
      </w:r>
      <w:r w:rsidR="009D3D2F" w:rsidRPr="004B6E75">
        <w:rPr>
          <w:sz w:val="52"/>
          <w:szCs w:val="52"/>
          <w:lang w:val="fr-CA"/>
        </w:rPr>
        <w:t>inancière du</w:t>
      </w:r>
      <w:r w:rsidRPr="004B6E75">
        <w:rPr>
          <w:sz w:val="52"/>
          <w:szCs w:val="52"/>
          <w:lang w:val="fr-CA"/>
        </w:rPr>
        <w:t xml:space="preserve"> C</w:t>
      </w:r>
      <w:r w:rsidR="009D3D2F" w:rsidRPr="004B6E75">
        <w:rPr>
          <w:sz w:val="52"/>
          <w:szCs w:val="52"/>
          <w:lang w:val="fr-CA"/>
        </w:rPr>
        <w:t>anada</w:t>
      </w:r>
    </w:p>
    <w:p w:rsidR="002730B1" w:rsidRPr="004B6E75" w:rsidRDefault="002730B1" w:rsidP="00D7525F">
      <w:pPr>
        <w:pStyle w:val="Title"/>
        <w:spacing w:before="120" w:after="120" w:line="240" w:lineRule="auto"/>
        <w:contextualSpacing w:val="0"/>
        <w:jc w:val="center"/>
        <w:rPr>
          <w:sz w:val="52"/>
          <w:szCs w:val="52"/>
          <w:lang w:val="fr-CA"/>
        </w:rPr>
      </w:pPr>
      <w:r w:rsidRPr="004B6E75">
        <w:rPr>
          <w:sz w:val="52"/>
          <w:szCs w:val="52"/>
          <w:lang w:val="fr-CA"/>
        </w:rPr>
        <w:t>16 S</w:t>
      </w:r>
      <w:r w:rsidR="009D3D2F" w:rsidRPr="004B6E75">
        <w:rPr>
          <w:sz w:val="52"/>
          <w:szCs w:val="52"/>
          <w:lang w:val="fr-CA"/>
        </w:rPr>
        <w:t>eptembre</w:t>
      </w:r>
      <w:r w:rsidRPr="004B6E75">
        <w:rPr>
          <w:sz w:val="52"/>
          <w:szCs w:val="52"/>
          <w:lang w:val="fr-CA"/>
        </w:rPr>
        <w:t xml:space="preserve"> 2019</w:t>
      </w:r>
    </w:p>
    <w:p w:rsidR="002730B1" w:rsidRPr="004B6E75" w:rsidRDefault="002730B1" w:rsidP="00871A72">
      <w:pPr>
        <w:pStyle w:val="Heading1"/>
        <w:spacing w:after="120"/>
        <w:rPr>
          <w:lang w:val="fr-CA"/>
        </w:rPr>
      </w:pPr>
      <w:r w:rsidRPr="004B6E75">
        <w:rPr>
          <w:lang w:val="fr-CA"/>
        </w:rPr>
        <w:t>Introduction </w:t>
      </w:r>
    </w:p>
    <w:p w:rsidR="002730B1" w:rsidRPr="004B6E75" w:rsidRDefault="002730B1" w:rsidP="00D7525F">
      <w:pPr>
        <w:pStyle w:val="Heading2"/>
        <w:spacing w:before="120" w:after="120"/>
        <w:rPr>
          <w:u w:val="single"/>
          <w:lang w:val="fr-CA"/>
        </w:rPr>
      </w:pPr>
      <w:r w:rsidRPr="004B6E75">
        <w:rPr>
          <w:lang w:val="fr-CA"/>
        </w:rPr>
        <w:t>Administrateur général/Administratrice générale</w:t>
      </w:r>
    </w:p>
    <w:p w:rsidR="002730B1" w:rsidRPr="004B6E75" w:rsidRDefault="00A24B59" w:rsidP="00D7525F">
      <w:pPr>
        <w:pStyle w:val="NoSpacing"/>
        <w:spacing w:before="120" w:after="120"/>
        <w:rPr>
          <w:rFonts w:asciiTheme="minorHAnsi" w:hAnsiTheme="minorHAnsi" w:cstheme="minorHAnsi"/>
          <w:sz w:val="22"/>
          <w:szCs w:val="22"/>
          <w:lang w:val="fr-CA" w:eastAsia="en-CA"/>
        </w:rPr>
      </w:pPr>
      <w:r w:rsidRPr="004B6E75">
        <w:rPr>
          <w:rFonts w:asciiTheme="minorHAnsi" w:hAnsiTheme="minorHAnsi" w:cstheme="minorHAnsi"/>
          <w:sz w:val="22"/>
          <w:szCs w:val="22"/>
          <w:lang w:val="fr-CA" w:eastAsia="en-CA"/>
        </w:rPr>
        <w:t>Mme</w:t>
      </w:r>
      <w:r w:rsidR="002730B1" w:rsidRPr="004B6E75">
        <w:rPr>
          <w:rFonts w:asciiTheme="minorHAnsi" w:hAnsiTheme="minorHAnsi" w:cstheme="minorHAnsi"/>
          <w:sz w:val="22"/>
          <w:szCs w:val="22"/>
          <w:lang w:val="fr-CA" w:eastAsia="en-CA"/>
        </w:rPr>
        <w:t xml:space="preserve"> Judith Robertson a été nommée</w:t>
      </w:r>
      <w:r w:rsidR="002730B1" w:rsidRPr="004B6E75">
        <w:rPr>
          <w:rFonts w:asciiTheme="minorHAnsi" w:hAnsiTheme="minorHAnsi" w:cstheme="minorHAnsi"/>
          <w:b/>
          <w:i/>
          <w:sz w:val="22"/>
          <w:szCs w:val="22"/>
          <w:lang w:val="fr-CA" w:eastAsia="en-CA"/>
        </w:rPr>
        <w:t xml:space="preserve"> </w:t>
      </w:r>
      <w:r w:rsidR="002730B1" w:rsidRPr="004B6E75">
        <w:rPr>
          <w:rFonts w:asciiTheme="minorHAnsi" w:hAnsiTheme="minorHAnsi" w:cstheme="minorHAnsi"/>
          <w:sz w:val="22"/>
          <w:szCs w:val="22"/>
          <w:lang w:val="fr-CA" w:eastAsia="en-CA"/>
        </w:rPr>
        <w:t xml:space="preserve">au poste de Commissaire, Agence de la consommation financière du Canada (ACFC) le 19 août 2019. </w:t>
      </w:r>
    </w:p>
    <w:p w:rsidR="00A24B59" w:rsidRPr="004B6E75" w:rsidRDefault="00A24B59" w:rsidP="00A24B59">
      <w:pPr>
        <w:keepLines/>
        <w:spacing w:before="120"/>
        <w:rPr>
          <w:rFonts w:asciiTheme="minorHAnsi" w:eastAsiaTheme="minorHAnsi" w:hAnsiTheme="minorHAnsi" w:cstheme="minorHAnsi"/>
          <w:sz w:val="22"/>
          <w:szCs w:val="22"/>
          <w:lang w:val="fr-CA" w:eastAsia="en-CA"/>
        </w:rPr>
      </w:pPr>
      <w:r w:rsidRPr="004B6E75">
        <w:rPr>
          <w:rFonts w:asciiTheme="minorHAnsi" w:eastAsiaTheme="minorHAnsi" w:hAnsiTheme="minorHAnsi" w:cstheme="minorHAnsi"/>
          <w:sz w:val="22"/>
          <w:szCs w:val="22"/>
          <w:lang w:val="fr-CA" w:eastAsia="en-CA"/>
        </w:rPr>
        <w:t>Mme Judith Robertson exerce l’autorité de la Commission de la fonction publique (CFP) pour la première fois en tant qu’Administratrice générale (AG</w:t>
      </w:r>
      <w:r w:rsidR="00A333CD" w:rsidRPr="004B6E75">
        <w:rPr>
          <w:rFonts w:asciiTheme="minorHAnsi" w:eastAsiaTheme="minorHAnsi" w:hAnsiTheme="minorHAnsi" w:cstheme="minorHAnsi"/>
          <w:sz w:val="22"/>
          <w:szCs w:val="22"/>
          <w:lang w:val="fr-CA" w:eastAsia="en-CA"/>
        </w:rPr>
        <w:t>).</w:t>
      </w:r>
      <w:r w:rsidRPr="004B6E75">
        <w:rPr>
          <w:rFonts w:asciiTheme="minorHAnsi" w:eastAsiaTheme="minorHAnsi" w:hAnsiTheme="minorHAnsi" w:cstheme="minorHAnsi"/>
          <w:sz w:val="22"/>
          <w:szCs w:val="22"/>
          <w:lang w:val="fr-CA" w:eastAsia="en-CA"/>
        </w:rPr>
        <w:t xml:space="preserve"> Une copie du document Faits Saillants de la Nouvelle orientation en dotation (NOD) pour les AG est jointe à </w:t>
      </w:r>
      <w:hyperlink w:anchor="AnnexA" w:history="1">
        <w:r w:rsidRPr="004B6E75">
          <w:rPr>
            <w:rStyle w:val="Hyperlink"/>
            <w:rFonts w:asciiTheme="minorHAnsi" w:hAnsiTheme="minorHAnsi" w:cstheme="minorHAnsi"/>
            <w:sz w:val="22"/>
            <w:szCs w:val="22"/>
            <w:lang w:val="fr-CA"/>
          </w:rPr>
          <w:t>l’annexe A.</w:t>
        </w:r>
      </w:hyperlink>
    </w:p>
    <w:p w:rsidR="002730B1" w:rsidRPr="004B6E75" w:rsidRDefault="002730B1" w:rsidP="00D7525F">
      <w:pPr>
        <w:pStyle w:val="Heading1"/>
        <w:spacing w:before="120" w:after="120"/>
        <w:rPr>
          <w:lang w:val="fr-CA"/>
        </w:rPr>
      </w:pPr>
      <w:r w:rsidRPr="004B6E75">
        <w:rPr>
          <w:lang w:val="fr-CA"/>
        </w:rPr>
        <w:t>Contexte organisationnel</w:t>
      </w:r>
    </w:p>
    <w:p w:rsidR="002730B1" w:rsidRPr="004B6E75" w:rsidRDefault="002730B1" w:rsidP="00D7525F">
      <w:pPr>
        <w:pStyle w:val="Heading2"/>
        <w:spacing w:before="120" w:after="120"/>
        <w:rPr>
          <w:u w:val="single"/>
          <w:lang w:val="fr-CA"/>
        </w:rPr>
      </w:pPr>
      <w:r w:rsidRPr="004B6E75">
        <w:rPr>
          <w:lang w:val="fr-CA"/>
        </w:rPr>
        <w:t>Mandat</w:t>
      </w:r>
    </w:p>
    <w:p w:rsidR="002730B1" w:rsidRPr="004B6E75" w:rsidRDefault="002730B1" w:rsidP="00D7525F">
      <w:pPr>
        <w:spacing w:before="120" w:after="120"/>
        <w:rPr>
          <w:rFonts w:asciiTheme="minorHAnsi" w:hAnsiTheme="minorHAnsi" w:cstheme="minorHAnsi"/>
          <w:sz w:val="22"/>
          <w:szCs w:val="22"/>
          <w:lang w:val="fr-CA" w:eastAsia="en-CA"/>
        </w:rPr>
      </w:pPr>
      <w:r w:rsidRPr="004B6E75">
        <w:rPr>
          <w:rFonts w:asciiTheme="minorHAnsi" w:hAnsiTheme="minorHAnsi" w:cstheme="minorHAnsi"/>
          <w:sz w:val="22"/>
          <w:szCs w:val="22"/>
          <w:lang w:val="fr-CA"/>
        </w:rPr>
        <w:t xml:space="preserve">L’ACFC est une agence du gouvernement fédéral responsable de la protection des consommateurs en matière de produits et services financiers et de la promotion de l’éducation financière. Elle a été créée en 2001 </w:t>
      </w:r>
      <w:r w:rsidRPr="004B6E75">
        <w:rPr>
          <w:rFonts w:asciiTheme="minorHAnsi" w:hAnsiTheme="minorHAnsi" w:cstheme="minorHAnsi"/>
          <w:sz w:val="22"/>
          <w:szCs w:val="22"/>
          <w:lang w:val="fr-CA" w:eastAsia="en-CA"/>
        </w:rPr>
        <w:t xml:space="preserve">par le gouvernement fédéral pour renforcer la surveillance des problèmes des consommateurs et pour davantage sensibiliser ces derniers au secteur financier. </w:t>
      </w:r>
    </w:p>
    <w:p w:rsidR="002730B1" w:rsidRPr="004B6E75" w:rsidRDefault="002730B1" w:rsidP="00D7525F">
      <w:pPr>
        <w:spacing w:before="120" w:after="120"/>
        <w:rPr>
          <w:rFonts w:asciiTheme="minorHAnsi" w:hAnsiTheme="minorHAnsi" w:cstheme="minorHAnsi"/>
          <w:sz w:val="22"/>
          <w:szCs w:val="22"/>
          <w:lang w:val="fr-CA"/>
        </w:rPr>
      </w:pPr>
      <w:r w:rsidRPr="004B6E75">
        <w:rPr>
          <w:rFonts w:asciiTheme="minorHAnsi" w:hAnsiTheme="minorHAnsi" w:cstheme="minorHAnsi"/>
          <w:sz w:val="22"/>
          <w:szCs w:val="22"/>
          <w:lang w:val="fr-CA"/>
        </w:rPr>
        <w:t>ACFC veille à ce que les institutions financières sous réglementation fédérale respectent les mesures de protection des consommateurs, de même qu’à promouvoir l’éducation financière et à sensibiliser les consommateurs à l’égard de leurs droits et de leurs responsabilités.</w:t>
      </w:r>
    </w:p>
    <w:p w:rsidR="002730B1" w:rsidRPr="004B6E75" w:rsidRDefault="002730B1" w:rsidP="00D7525F">
      <w:pPr>
        <w:spacing w:before="120" w:after="120"/>
        <w:rPr>
          <w:rFonts w:asciiTheme="minorHAnsi" w:hAnsiTheme="minorHAnsi" w:cstheme="minorHAnsi"/>
          <w:sz w:val="22"/>
          <w:szCs w:val="22"/>
          <w:lang w:val="fr-CA" w:eastAsia="en-CA"/>
        </w:rPr>
      </w:pPr>
      <w:r w:rsidRPr="004B6E75">
        <w:rPr>
          <w:rFonts w:asciiTheme="minorHAnsi" w:hAnsiTheme="minorHAnsi" w:cstheme="minorHAnsi"/>
          <w:sz w:val="22"/>
          <w:szCs w:val="22"/>
          <w:lang w:val="fr-CA" w:eastAsia="en-CA"/>
        </w:rPr>
        <w:t>En 2018, le gouvernement a adopté des mesures pour renforcer les droits et intérêts des consommateurs lorsqu’ils font affaire avec leur banque, et pour améliorer la capacité de l’ACFC de les protéger en s’assurant que cette dernière dispose des outils dont elle a besoin pour mettre en œuvre les pratiques exemplaires en matière de supervision, y compris en demandant aux banques de remplir leurs obligations légales.</w:t>
      </w:r>
    </w:p>
    <w:p w:rsidR="002730B1" w:rsidRPr="004B6E75" w:rsidRDefault="002730B1" w:rsidP="00D7525F">
      <w:pPr>
        <w:pStyle w:val="Heading2"/>
        <w:spacing w:before="120" w:after="120"/>
        <w:rPr>
          <w:u w:val="single"/>
          <w:lang w:val="fr-CA"/>
        </w:rPr>
      </w:pPr>
      <w:r w:rsidRPr="004B6E75">
        <w:rPr>
          <w:lang w:val="fr-CA"/>
        </w:rPr>
        <w:t>Défis</w:t>
      </w:r>
    </w:p>
    <w:p w:rsidR="00F978A8" w:rsidRPr="004B6E75" w:rsidRDefault="002730B1" w:rsidP="00D7525F">
      <w:pPr>
        <w:pStyle w:val="NoSpacing"/>
        <w:spacing w:before="120" w:after="120"/>
        <w:rPr>
          <w:rFonts w:asciiTheme="minorHAnsi" w:hAnsiTheme="minorHAnsi" w:cstheme="minorHAnsi"/>
          <w:sz w:val="22"/>
          <w:szCs w:val="22"/>
          <w:lang w:val="fr-CA"/>
        </w:rPr>
      </w:pPr>
      <w:r w:rsidRPr="004B6E75">
        <w:rPr>
          <w:rFonts w:asciiTheme="minorHAnsi" w:hAnsiTheme="minorHAnsi" w:cstheme="minorHAnsi"/>
          <w:sz w:val="22"/>
          <w:szCs w:val="22"/>
          <w:lang w:val="fr-CA"/>
        </w:rPr>
        <w:t xml:space="preserve">L’ACFC s’agrandit rapidement, et elle a embauché son premier cadre supérieur des ressources humaines (RH) en novembre 2018. Il est devenu évident que les ressources actuelles ne sont pas capables de </w:t>
      </w:r>
      <w:r w:rsidRPr="004B6E75">
        <w:rPr>
          <w:rFonts w:asciiTheme="minorHAnsi" w:hAnsiTheme="minorHAnsi" w:cstheme="minorHAnsi"/>
          <w:sz w:val="22"/>
          <w:szCs w:val="22"/>
          <w:lang w:val="fr-CA"/>
        </w:rPr>
        <w:lastRenderedPageBreak/>
        <w:t xml:space="preserve">répondre adéquatement aux besoins opérationnels de l’Agence et à ses obligations législatives et pangouvernementales à mesure qu’elle s’élargit. En se basant sur une évaluation rigoureuse des besoins actuels et futurs de l’Agence, une nouvelle structure et des ressources supplémentaires ont été approuvées, ce qui a entraîné une réorganisation des services de RH. </w:t>
      </w:r>
    </w:p>
    <w:p w:rsidR="002730B1" w:rsidRPr="004B6E75" w:rsidRDefault="002730B1" w:rsidP="00D7525F">
      <w:pPr>
        <w:pStyle w:val="NoSpacing"/>
        <w:spacing w:before="120" w:after="120"/>
        <w:rPr>
          <w:rFonts w:asciiTheme="minorHAnsi" w:hAnsiTheme="minorHAnsi" w:cstheme="minorHAnsi"/>
          <w:sz w:val="22"/>
          <w:szCs w:val="22"/>
          <w:lang w:val="fr-CA"/>
        </w:rPr>
      </w:pPr>
      <w:r w:rsidRPr="004B6E75">
        <w:rPr>
          <w:rFonts w:asciiTheme="minorHAnsi" w:hAnsiTheme="minorHAnsi" w:cstheme="minorHAnsi"/>
          <w:sz w:val="22"/>
          <w:szCs w:val="22"/>
          <w:lang w:val="fr-CA"/>
        </w:rPr>
        <w:t>Le plan d’activité 2019-2020 de l’ACFC inclut trois domaines d’orientation stratégiques; intégrer le changement, renforcer l’organisation et produire des résultats pour les Canadiens, résultant en 13 priorités. Une priorité importante sera de supporter l’implantation de la nouvelle législation qui crée un régime fédéral de protection des consommateurs de produits et de services financiers plus solide.</w:t>
      </w:r>
    </w:p>
    <w:p w:rsidR="002730B1" w:rsidRPr="004B6E75" w:rsidRDefault="002730B1" w:rsidP="00D7525F">
      <w:pPr>
        <w:pStyle w:val="Heading2"/>
        <w:spacing w:before="120" w:after="120"/>
        <w:rPr>
          <w:u w:val="single"/>
          <w:lang w:val="fr-CA"/>
        </w:rPr>
      </w:pPr>
      <w:r w:rsidRPr="004B6E75">
        <w:rPr>
          <w:lang w:val="fr-CA"/>
        </w:rPr>
        <w:t>Expérimentation</w:t>
      </w:r>
    </w:p>
    <w:p w:rsidR="002730B1" w:rsidRPr="004B6E75" w:rsidRDefault="002730B1" w:rsidP="00D7525F">
      <w:pPr>
        <w:spacing w:before="120" w:after="120"/>
        <w:rPr>
          <w:rFonts w:asciiTheme="minorHAnsi" w:hAnsiTheme="minorHAnsi" w:cstheme="minorHAnsi"/>
          <w:sz w:val="22"/>
          <w:szCs w:val="22"/>
          <w:lang w:val="fr-CA"/>
        </w:rPr>
      </w:pPr>
      <w:r w:rsidRPr="004B6E75">
        <w:rPr>
          <w:rFonts w:asciiTheme="minorHAnsi" w:hAnsiTheme="minorHAnsi" w:cstheme="minorHAnsi"/>
          <w:sz w:val="22"/>
          <w:szCs w:val="22"/>
          <w:lang w:val="fr-CA"/>
        </w:rPr>
        <w:t>L’ACFC a créé des répertoires de dotation anticipée. Des ententes de rendements, des échantillons d’activités professionnelles et des lettres de recommandation ont été utilisés dans les évaluations des processus internes de nomination, et l’information comprise dans les mises en candidatures pour des prix et des activités de reconnaissances a également été prise en compte.</w:t>
      </w:r>
    </w:p>
    <w:p w:rsidR="002730B1" w:rsidRPr="004B6E75" w:rsidRDefault="002730B1" w:rsidP="00D7525F">
      <w:pPr>
        <w:spacing w:before="120" w:after="120"/>
        <w:rPr>
          <w:rFonts w:asciiTheme="minorHAnsi" w:hAnsiTheme="minorHAnsi" w:cstheme="minorHAnsi"/>
          <w:sz w:val="22"/>
          <w:szCs w:val="22"/>
          <w:lang w:val="fr-CA"/>
        </w:rPr>
      </w:pPr>
      <w:r w:rsidRPr="004B6E75">
        <w:rPr>
          <w:rFonts w:asciiTheme="minorHAnsi" w:hAnsiTheme="minorHAnsi" w:cstheme="minorHAnsi"/>
          <w:sz w:val="22"/>
          <w:szCs w:val="22"/>
          <w:lang w:val="fr-CA"/>
        </w:rPr>
        <w:t>Bien qu’elle publie ses occasions d’emploi sur le site Web de la CFP, l’ACFC fait également appel à la communauté de pratique et aux médias sociaux pour toucher plus de candidats et pour favoriser des résultats plus optimaux en matière de recrutement.</w:t>
      </w:r>
    </w:p>
    <w:p w:rsidR="002730B1" w:rsidRPr="004B6E75" w:rsidRDefault="002730B1" w:rsidP="00D7525F">
      <w:pPr>
        <w:pStyle w:val="Heading1"/>
        <w:spacing w:before="120" w:after="120"/>
        <w:rPr>
          <w:rFonts w:ascii="Arial" w:hAnsi="Arial" w:cs="Arial"/>
          <w:b/>
          <w:caps/>
          <w:sz w:val="22"/>
          <w:szCs w:val="22"/>
          <w:lang w:val="fr-CA"/>
        </w:rPr>
      </w:pPr>
      <w:r w:rsidRPr="004B6E75">
        <w:rPr>
          <w:rStyle w:val="Heading1Char"/>
          <w:color w:val="auto"/>
        </w:rPr>
        <w:t>Effectif et activités de dotation</w:t>
      </w:r>
    </w:p>
    <w:p w:rsidR="002730B1" w:rsidRPr="004B6E75" w:rsidRDefault="002730B1" w:rsidP="00D7525F">
      <w:pPr>
        <w:pStyle w:val="NoSpacing"/>
        <w:spacing w:before="120" w:after="120"/>
        <w:rPr>
          <w:rFonts w:asciiTheme="minorHAnsi" w:hAnsiTheme="minorHAnsi" w:cstheme="minorHAnsi"/>
          <w:color w:val="000000"/>
          <w:sz w:val="22"/>
          <w:szCs w:val="22"/>
          <w:lang w:val="fr-CA"/>
        </w:rPr>
      </w:pPr>
      <w:r w:rsidRPr="004B6E75">
        <w:rPr>
          <w:rFonts w:asciiTheme="minorHAnsi" w:hAnsiTheme="minorHAnsi" w:cstheme="minorHAnsi"/>
          <w:color w:val="000000"/>
          <w:sz w:val="22"/>
          <w:szCs w:val="22"/>
          <w:lang w:val="fr-CA"/>
        </w:rPr>
        <w:t xml:space="preserve">ACFC est une organisation de petite taille avec un effectif de 127 employés. Étant donné que l’ACFC est un organisme distinct qui n’est pas assujetti à la </w:t>
      </w:r>
      <w:r w:rsidR="004F5A03" w:rsidRPr="004F5A03">
        <w:rPr>
          <w:rStyle w:val="Emphasis"/>
          <w:lang w:val="fr-CA"/>
        </w:rPr>
        <w:t xml:space="preserve">Loi sur l’emploi dans la fonction publique </w:t>
      </w:r>
      <w:r w:rsidR="004F5A03" w:rsidRPr="00F337FF">
        <w:rPr>
          <w:rFonts w:asciiTheme="minorHAnsi" w:hAnsiTheme="minorHAnsi" w:cstheme="minorHAnsi"/>
          <w:iCs/>
          <w:color w:val="000000"/>
          <w:sz w:val="22"/>
          <w:szCs w:val="22"/>
          <w:lang w:val="fr-CA"/>
        </w:rPr>
        <w:t>(</w:t>
      </w:r>
      <w:r w:rsidRPr="004B6E75">
        <w:rPr>
          <w:rFonts w:asciiTheme="minorHAnsi" w:hAnsiTheme="minorHAnsi" w:cstheme="minorHAnsi"/>
          <w:color w:val="000000"/>
          <w:sz w:val="22"/>
          <w:szCs w:val="22"/>
          <w:lang w:val="fr-CA"/>
        </w:rPr>
        <w:t>LEFP</w:t>
      </w:r>
      <w:r w:rsidR="004F5A03">
        <w:rPr>
          <w:rFonts w:asciiTheme="minorHAnsi" w:hAnsiTheme="minorHAnsi" w:cstheme="minorHAnsi"/>
          <w:color w:val="000000"/>
          <w:sz w:val="22"/>
          <w:szCs w:val="22"/>
          <w:lang w:val="fr-CA"/>
        </w:rPr>
        <w:t>)</w:t>
      </w:r>
      <w:r w:rsidRPr="004B6E75">
        <w:rPr>
          <w:rFonts w:asciiTheme="minorHAnsi" w:hAnsiTheme="minorHAnsi" w:cstheme="minorHAnsi"/>
          <w:color w:val="000000"/>
          <w:sz w:val="22"/>
          <w:szCs w:val="22"/>
          <w:lang w:val="fr-CA"/>
        </w:rPr>
        <w:t xml:space="preserve">, leur système de classification est différent de celui de l’administration publique centrale. Le groupe occupationnel au sein de l’organisation est </w:t>
      </w:r>
      <w:r w:rsidRPr="004B6E75">
        <w:rPr>
          <w:rFonts w:asciiTheme="minorHAnsi" w:hAnsiTheme="minorHAnsi" w:cstheme="minorHAnsi"/>
          <w:sz w:val="22"/>
          <w:szCs w:val="22"/>
          <w:lang w:val="fr-CA"/>
        </w:rPr>
        <w:t>Groupe d’exécution de la réglementation</w:t>
      </w:r>
      <w:r w:rsidRPr="004B6E75">
        <w:rPr>
          <w:rFonts w:asciiTheme="minorHAnsi" w:hAnsiTheme="minorHAnsi" w:cstheme="minorHAnsi"/>
          <w:color w:val="FF0000"/>
          <w:sz w:val="22"/>
          <w:szCs w:val="22"/>
          <w:lang w:val="fr-CA"/>
        </w:rPr>
        <w:t xml:space="preserve"> </w:t>
      </w:r>
      <w:r w:rsidRPr="004B6E75">
        <w:rPr>
          <w:rFonts w:asciiTheme="minorHAnsi" w:hAnsiTheme="minorHAnsi" w:cstheme="minorHAnsi"/>
          <w:color w:val="000000"/>
          <w:sz w:val="22"/>
          <w:szCs w:val="22"/>
          <w:lang w:val="fr-CA"/>
        </w:rPr>
        <w:t>(RE). Au 31 mars 2019, la population était la suivante :</w:t>
      </w:r>
    </w:p>
    <w:p w:rsidR="002730B1" w:rsidRPr="004B6E75" w:rsidRDefault="002730B1" w:rsidP="00D7525F">
      <w:pPr>
        <w:pStyle w:val="ListParagraph"/>
        <w:numPr>
          <w:ilvl w:val="0"/>
          <w:numId w:val="4"/>
        </w:numPr>
        <w:spacing w:after="0"/>
        <w:contextualSpacing w:val="0"/>
        <w:rPr>
          <w:rFonts w:asciiTheme="minorHAnsi" w:hAnsiTheme="minorHAnsi" w:cstheme="minorHAnsi"/>
          <w:color w:val="000000"/>
          <w:sz w:val="22"/>
          <w:szCs w:val="22"/>
          <w:lang w:val="fr-CA"/>
        </w:rPr>
      </w:pPr>
      <w:r w:rsidRPr="004B6E75">
        <w:rPr>
          <w:rFonts w:asciiTheme="minorHAnsi" w:hAnsiTheme="minorHAnsi" w:cstheme="minorHAnsi"/>
          <w:color w:val="000000"/>
          <w:sz w:val="22"/>
          <w:szCs w:val="22"/>
          <w:lang w:val="fr-CA"/>
        </w:rPr>
        <w:t>100 employés indéterminés</w:t>
      </w:r>
    </w:p>
    <w:p w:rsidR="002730B1" w:rsidRPr="004B6E75" w:rsidRDefault="002730B1" w:rsidP="00D7525F">
      <w:pPr>
        <w:pStyle w:val="ListParagraph"/>
        <w:numPr>
          <w:ilvl w:val="0"/>
          <w:numId w:val="4"/>
        </w:numPr>
        <w:spacing w:after="0"/>
        <w:contextualSpacing w:val="0"/>
        <w:rPr>
          <w:rFonts w:asciiTheme="minorHAnsi" w:hAnsiTheme="minorHAnsi" w:cstheme="minorHAnsi"/>
          <w:color w:val="000000"/>
          <w:sz w:val="22"/>
          <w:szCs w:val="22"/>
          <w:lang w:val="fr-CA"/>
        </w:rPr>
      </w:pPr>
      <w:r w:rsidRPr="004B6E75">
        <w:rPr>
          <w:rFonts w:asciiTheme="minorHAnsi" w:hAnsiTheme="minorHAnsi" w:cstheme="minorHAnsi"/>
          <w:color w:val="000000"/>
          <w:sz w:val="22"/>
          <w:szCs w:val="22"/>
          <w:lang w:val="fr-CA"/>
        </w:rPr>
        <w:t>8 employés termes</w:t>
      </w:r>
    </w:p>
    <w:p w:rsidR="002730B1" w:rsidRPr="004B6E75" w:rsidRDefault="002730B1" w:rsidP="00D7525F">
      <w:pPr>
        <w:pStyle w:val="ListParagraph"/>
        <w:numPr>
          <w:ilvl w:val="0"/>
          <w:numId w:val="4"/>
        </w:numPr>
        <w:spacing w:after="0"/>
        <w:contextualSpacing w:val="0"/>
        <w:rPr>
          <w:rFonts w:asciiTheme="minorHAnsi" w:hAnsiTheme="minorHAnsi" w:cstheme="minorHAnsi"/>
          <w:color w:val="000000"/>
          <w:sz w:val="22"/>
          <w:szCs w:val="22"/>
          <w:lang w:val="fr-CA"/>
        </w:rPr>
      </w:pPr>
      <w:r w:rsidRPr="004B6E75">
        <w:rPr>
          <w:rFonts w:asciiTheme="minorHAnsi" w:hAnsiTheme="minorHAnsi" w:cstheme="minorHAnsi"/>
          <w:color w:val="000000"/>
          <w:sz w:val="22"/>
          <w:szCs w:val="22"/>
          <w:lang w:val="fr-CA"/>
        </w:rPr>
        <w:t>15 employés occasionnels</w:t>
      </w:r>
    </w:p>
    <w:p w:rsidR="002730B1" w:rsidRPr="004B6E75" w:rsidRDefault="002730B1" w:rsidP="00D7525F">
      <w:pPr>
        <w:pStyle w:val="ListParagraph"/>
        <w:numPr>
          <w:ilvl w:val="0"/>
          <w:numId w:val="4"/>
        </w:numPr>
        <w:spacing w:after="0"/>
        <w:contextualSpacing w:val="0"/>
        <w:rPr>
          <w:rFonts w:asciiTheme="minorHAnsi" w:hAnsiTheme="minorHAnsi" w:cstheme="minorHAnsi"/>
          <w:color w:val="000000"/>
          <w:sz w:val="22"/>
          <w:szCs w:val="22"/>
          <w:lang w:val="fr-CA"/>
        </w:rPr>
      </w:pPr>
      <w:r w:rsidRPr="004B6E75">
        <w:rPr>
          <w:rFonts w:asciiTheme="minorHAnsi" w:hAnsiTheme="minorHAnsi" w:cstheme="minorHAnsi"/>
          <w:color w:val="000000"/>
          <w:sz w:val="22"/>
          <w:szCs w:val="22"/>
          <w:lang w:val="fr-CA"/>
        </w:rPr>
        <w:t>4 étudiants</w:t>
      </w:r>
    </w:p>
    <w:p w:rsidR="002730B1" w:rsidRPr="004B6E75" w:rsidRDefault="002730B1" w:rsidP="00D7525F">
      <w:pPr>
        <w:spacing w:before="120" w:after="120"/>
        <w:rPr>
          <w:rFonts w:asciiTheme="minorHAnsi" w:hAnsiTheme="minorHAnsi" w:cstheme="minorHAnsi"/>
          <w:color w:val="000000"/>
          <w:sz w:val="22"/>
          <w:szCs w:val="22"/>
          <w:lang w:val="fr-CA"/>
        </w:rPr>
      </w:pPr>
      <w:r w:rsidRPr="004B6E75">
        <w:rPr>
          <w:rFonts w:asciiTheme="minorHAnsi" w:hAnsiTheme="minorHAnsi" w:cstheme="minorHAnsi"/>
          <w:color w:val="000000"/>
          <w:sz w:val="22"/>
          <w:szCs w:val="22"/>
          <w:lang w:val="fr-CA"/>
        </w:rPr>
        <w:t xml:space="preserve">En 2018-2019, ACFC a entrepris au total de 91 activités de dotation : </w:t>
      </w:r>
    </w:p>
    <w:p w:rsidR="002730B1" w:rsidRPr="004B6E75" w:rsidRDefault="002730B1" w:rsidP="00D7525F">
      <w:pPr>
        <w:numPr>
          <w:ilvl w:val="0"/>
          <w:numId w:val="2"/>
        </w:numPr>
        <w:rPr>
          <w:rFonts w:asciiTheme="minorHAnsi" w:hAnsiTheme="minorHAnsi" w:cstheme="minorHAnsi"/>
          <w:color w:val="000000"/>
          <w:sz w:val="22"/>
          <w:szCs w:val="22"/>
          <w:lang w:val="fr-CA"/>
        </w:rPr>
      </w:pPr>
      <w:r w:rsidRPr="004B6E75">
        <w:rPr>
          <w:rFonts w:asciiTheme="minorHAnsi" w:hAnsiTheme="minorHAnsi" w:cstheme="minorHAnsi"/>
          <w:color w:val="000000"/>
          <w:sz w:val="22"/>
          <w:szCs w:val="22"/>
          <w:lang w:val="fr-CA"/>
        </w:rPr>
        <w:t>24 nominations à la fonction publique;</w:t>
      </w:r>
    </w:p>
    <w:p w:rsidR="002730B1" w:rsidRPr="004B6E75" w:rsidRDefault="002730B1" w:rsidP="00D7525F">
      <w:pPr>
        <w:numPr>
          <w:ilvl w:val="0"/>
          <w:numId w:val="2"/>
        </w:numPr>
        <w:rPr>
          <w:rFonts w:asciiTheme="minorHAnsi" w:hAnsiTheme="minorHAnsi" w:cstheme="minorHAnsi"/>
          <w:color w:val="000000"/>
          <w:sz w:val="22"/>
          <w:szCs w:val="22"/>
          <w:lang w:val="fr-CA"/>
        </w:rPr>
      </w:pPr>
      <w:r w:rsidRPr="004B6E75">
        <w:rPr>
          <w:rFonts w:asciiTheme="minorHAnsi" w:hAnsiTheme="minorHAnsi" w:cstheme="minorHAnsi"/>
          <w:color w:val="000000"/>
          <w:sz w:val="22"/>
          <w:szCs w:val="22"/>
          <w:lang w:val="fr-CA"/>
        </w:rPr>
        <w:t>13 promotions;</w:t>
      </w:r>
    </w:p>
    <w:p w:rsidR="002730B1" w:rsidRPr="004B6E75" w:rsidRDefault="002730B1" w:rsidP="00D7525F">
      <w:pPr>
        <w:numPr>
          <w:ilvl w:val="0"/>
          <w:numId w:val="2"/>
        </w:numPr>
        <w:rPr>
          <w:rFonts w:asciiTheme="minorHAnsi" w:hAnsiTheme="minorHAnsi" w:cstheme="minorHAnsi"/>
          <w:color w:val="000000"/>
          <w:sz w:val="22"/>
          <w:szCs w:val="22"/>
          <w:lang w:val="fr-CA"/>
        </w:rPr>
      </w:pPr>
      <w:r w:rsidRPr="004B6E75">
        <w:rPr>
          <w:rFonts w:asciiTheme="minorHAnsi" w:hAnsiTheme="minorHAnsi" w:cstheme="minorHAnsi"/>
          <w:color w:val="000000"/>
          <w:sz w:val="22"/>
          <w:szCs w:val="22"/>
          <w:lang w:val="fr-CA"/>
        </w:rPr>
        <w:t xml:space="preserve">5 nominations intérimaires; </w:t>
      </w:r>
    </w:p>
    <w:p w:rsidR="002730B1" w:rsidRPr="004B6E75" w:rsidRDefault="002730B1" w:rsidP="00D7525F">
      <w:pPr>
        <w:numPr>
          <w:ilvl w:val="0"/>
          <w:numId w:val="2"/>
        </w:numPr>
        <w:rPr>
          <w:rFonts w:asciiTheme="minorHAnsi" w:hAnsiTheme="minorHAnsi" w:cstheme="minorHAnsi"/>
          <w:color w:val="000000"/>
          <w:sz w:val="22"/>
          <w:szCs w:val="22"/>
          <w:lang w:val="fr-CA"/>
        </w:rPr>
      </w:pPr>
      <w:r w:rsidRPr="004B6E75">
        <w:rPr>
          <w:rFonts w:asciiTheme="minorHAnsi" w:hAnsiTheme="minorHAnsi" w:cstheme="minorHAnsi"/>
          <w:color w:val="000000"/>
          <w:sz w:val="22"/>
          <w:szCs w:val="22"/>
          <w:lang w:val="fr-CA"/>
        </w:rPr>
        <w:t>25 embauches d’employés occasionnels;</w:t>
      </w:r>
    </w:p>
    <w:p w:rsidR="002730B1" w:rsidRPr="004B6E75" w:rsidRDefault="002730B1" w:rsidP="00D7525F">
      <w:pPr>
        <w:numPr>
          <w:ilvl w:val="0"/>
          <w:numId w:val="2"/>
        </w:numPr>
        <w:rPr>
          <w:rFonts w:asciiTheme="minorHAnsi" w:hAnsiTheme="minorHAnsi" w:cstheme="minorHAnsi"/>
          <w:color w:val="000000"/>
          <w:sz w:val="22"/>
          <w:szCs w:val="22"/>
          <w:lang w:val="fr-CA"/>
        </w:rPr>
      </w:pPr>
      <w:r w:rsidRPr="004B6E75">
        <w:rPr>
          <w:rFonts w:asciiTheme="minorHAnsi" w:hAnsiTheme="minorHAnsi" w:cstheme="minorHAnsi"/>
          <w:color w:val="000000"/>
          <w:sz w:val="22"/>
          <w:szCs w:val="22"/>
          <w:lang w:val="fr-CA"/>
        </w:rPr>
        <w:t>8 embauches d’étudiants;</w:t>
      </w:r>
    </w:p>
    <w:p w:rsidR="002730B1" w:rsidRPr="004B6E75" w:rsidRDefault="002730B1" w:rsidP="00D7525F">
      <w:pPr>
        <w:numPr>
          <w:ilvl w:val="0"/>
          <w:numId w:val="2"/>
        </w:numPr>
        <w:rPr>
          <w:rFonts w:asciiTheme="minorHAnsi" w:hAnsiTheme="minorHAnsi" w:cstheme="minorHAnsi"/>
          <w:color w:val="000000"/>
          <w:sz w:val="22"/>
          <w:szCs w:val="22"/>
          <w:lang w:val="fr-CA"/>
        </w:rPr>
      </w:pPr>
      <w:r w:rsidRPr="004B6E75">
        <w:rPr>
          <w:rFonts w:asciiTheme="minorHAnsi" w:hAnsiTheme="minorHAnsi" w:cstheme="minorHAnsi"/>
          <w:color w:val="000000"/>
          <w:sz w:val="22"/>
          <w:szCs w:val="22"/>
          <w:lang w:val="fr-CA"/>
        </w:rPr>
        <w:t>16 déplacements latéraux et vers un échelon inférieur.</w:t>
      </w:r>
    </w:p>
    <w:p w:rsidR="002730B1" w:rsidRPr="004B6E75" w:rsidRDefault="002730B1" w:rsidP="00D7525F">
      <w:pPr>
        <w:pStyle w:val="NoSpacing"/>
        <w:spacing w:before="120" w:after="120"/>
        <w:rPr>
          <w:rFonts w:asciiTheme="minorHAnsi" w:hAnsiTheme="minorHAnsi" w:cstheme="minorHAnsi"/>
          <w:color w:val="000000"/>
          <w:sz w:val="22"/>
          <w:szCs w:val="22"/>
          <w:lang w:val="fr-CA"/>
        </w:rPr>
      </w:pPr>
      <w:r w:rsidRPr="004B6E75">
        <w:rPr>
          <w:rFonts w:asciiTheme="minorHAnsi" w:hAnsiTheme="minorHAnsi" w:cstheme="minorHAnsi"/>
          <w:sz w:val="22"/>
          <w:szCs w:val="22"/>
          <w:lang w:val="fr-CA"/>
        </w:rPr>
        <w:t xml:space="preserve">Se reporter à </w:t>
      </w:r>
      <w:hyperlink w:anchor="AnnexB" w:history="1">
        <w:r w:rsidR="00252164" w:rsidRPr="004B6E75">
          <w:rPr>
            <w:rStyle w:val="Hyperlink"/>
            <w:rFonts w:asciiTheme="minorHAnsi" w:hAnsiTheme="minorHAnsi" w:cstheme="minorHAnsi"/>
            <w:sz w:val="22"/>
            <w:szCs w:val="22"/>
            <w:lang w:val="fr-CA"/>
          </w:rPr>
          <w:t>l’annexe B</w:t>
        </w:r>
      </w:hyperlink>
      <w:r w:rsidRPr="004B6E75">
        <w:rPr>
          <w:rFonts w:asciiTheme="minorHAnsi" w:hAnsiTheme="minorHAnsi" w:cstheme="minorHAnsi"/>
          <w:color w:val="0070C0"/>
          <w:sz w:val="22"/>
          <w:szCs w:val="22"/>
          <w:lang w:val="fr-CA" w:eastAsia="en-CA"/>
        </w:rPr>
        <w:t xml:space="preserve"> </w:t>
      </w:r>
      <w:r w:rsidRPr="004B6E75">
        <w:rPr>
          <w:rFonts w:asciiTheme="minorHAnsi" w:hAnsiTheme="minorHAnsi" w:cstheme="minorHAnsi"/>
          <w:sz w:val="22"/>
          <w:szCs w:val="22"/>
          <w:lang w:val="fr-CA" w:eastAsia="en-CA"/>
        </w:rPr>
        <w:t xml:space="preserve">pour obtenir </w:t>
      </w:r>
      <w:r w:rsidR="00F75322" w:rsidRPr="004B6E75">
        <w:rPr>
          <w:rFonts w:asciiTheme="minorHAnsi" w:hAnsiTheme="minorHAnsi" w:cstheme="minorHAnsi"/>
          <w:sz w:val="22"/>
          <w:szCs w:val="22"/>
          <w:lang w:val="fr-CA" w:eastAsia="en-CA"/>
        </w:rPr>
        <w:t>plus de détails sur les activités de dotation</w:t>
      </w:r>
      <w:r w:rsidRPr="004B6E75">
        <w:rPr>
          <w:rFonts w:asciiTheme="minorHAnsi" w:hAnsiTheme="minorHAnsi" w:cstheme="minorHAnsi"/>
          <w:sz w:val="22"/>
          <w:szCs w:val="22"/>
          <w:lang w:val="fr-CA" w:eastAsia="en-CA"/>
        </w:rPr>
        <w:t>. </w:t>
      </w:r>
    </w:p>
    <w:p w:rsidR="002730B1" w:rsidRPr="004B6E75" w:rsidRDefault="002730B1" w:rsidP="00D7525F">
      <w:pPr>
        <w:pStyle w:val="Heading1"/>
        <w:spacing w:before="120" w:after="120"/>
        <w:rPr>
          <w:lang w:val="fr-CA"/>
        </w:rPr>
      </w:pPr>
      <w:r w:rsidRPr="004B6E75">
        <w:rPr>
          <w:lang w:val="fr-CA"/>
        </w:rPr>
        <w:lastRenderedPageBreak/>
        <w:t>Durée du processus de dotation</w:t>
      </w:r>
    </w:p>
    <w:p w:rsidR="002730B1" w:rsidRPr="004B6E75" w:rsidRDefault="002730B1" w:rsidP="00D7525F">
      <w:pPr>
        <w:pStyle w:val="NormalWeb"/>
        <w:spacing w:before="120" w:beforeAutospacing="0" w:after="120" w:afterAutospacing="0"/>
        <w:rPr>
          <w:rFonts w:asciiTheme="minorHAnsi" w:hAnsiTheme="minorHAnsi" w:cstheme="minorHAnsi"/>
          <w:color w:val="000000"/>
          <w:sz w:val="22"/>
          <w:szCs w:val="22"/>
          <w:lang w:val="fr-CA"/>
        </w:rPr>
      </w:pPr>
      <w:r w:rsidRPr="004B6E75">
        <w:rPr>
          <w:rFonts w:asciiTheme="minorHAnsi" w:hAnsiTheme="minorHAnsi" w:cstheme="minorHAnsi"/>
          <w:color w:val="000000"/>
          <w:sz w:val="22"/>
          <w:szCs w:val="22"/>
          <w:lang w:val="fr-CA"/>
        </w:rPr>
        <w:t>Les données sont insuffisantes pour fournir des résultats sur la durée des processus internes ou externes pour ACFC.</w:t>
      </w:r>
    </w:p>
    <w:p w:rsidR="002730B1" w:rsidRPr="004B6E75" w:rsidRDefault="002730B1" w:rsidP="00D7525F">
      <w:pPr>
        <w:pStyle w:val="Heading1"/>
        <w:spacing w:before="120" w:after="120"/>
        <w:rPr>
          <w:lang w:val="fr-CA"/>
        </w:rPr>
      </w:pPr>
      <w:r w:rsidRPr="004B6E75">
        <w:rPr>
          <w:lang w:val="fr-CA"/>
        </w:rPr>
        <w:t>Cadre de dotation</w:t>
      </w:r>
    </w:p>
    <w:p w:rsidR="002730B1" w:rsidRPr="004B6E75" w:rsidRDefault="002730B1" w:rsidP="00D7525F">
      <w:pPr>
        <w:pStyle w:val="Heading2"/>
        <w:spacing w:before="120" w:after="120"/>
        <w:rPr>
          <w:lang w:val="fr-CA"/>
        </w:rPr>
      </w:pPr>
      <w:r w:rsidRPr="004B6E75">
        <w:rPr>
          <w:lang w:val="fr-CA"/>
        </w:rPr>
        <w:t xml:space="preserve">Mise en œuvre de la Nouvelle orientation en dotation </w:t>
      </w:r>
    </w:p>
    <w:p w:rsidR="002730B1" w:rsidRPr="004B6E75" w:rsidRDefault="002730B1" w:rsidP="00D7525F">
      <w:pPr>
        <w:pStyle w:val="NormalWeb"/>
        <w:spacing w:before="120" w:beforeAutospacing="0" w:after="120" w:afterAutospacing="0"/>
        <w:rPr>
          <w:rFonts w:asciiTheme="minorHAnsi" w:hAnsiTheme="minorHAnsi" w:cstheme="minorHAnsi"/>
          <w:sz w:val="22"/>
          <w:szCs w:val="22"/>
          <w:lang w:val="fr-CA"/>
        </w:rPr>
      </w:pPr>
      <w:r w:rsidRPr="004B6E75">
        <w:rPr>
          <w:rFonts w:asciiTheme="minorHAnsi" w:hAnsiTheme="minorHAnsi" w:cstheme="minorHAnsi"/>
          <w:sz w:val="22"/>
          <w:szCs w:val="22"/>
          <w:lang w:val="fr-CA"/>
        </w:rPr>
        <w:t xml:space="preserve">L’ACFC a créé une politique unique de dotation qui est entrée en vigueur en avril 2016, et elle a </w:t>
      </w:r>
      <w:r w:rsidR="005D05F2" w:rsidRPr="004B6E75">
        <w:rPr>
          <w:rFonts w:asciiTheme="minorHAnsi" w:hAnsiTheme="minorHAnsi" w:cstheme="minorHAnsi"/>
          <w:sz w:val="22"/>
          <w:szCs w:val="22"/>
          <w:lang w:val="fr-CA"/>
        </w:rPr>
        <w:t xml:space="preserve">partagé </w:t>
      </w:r>
      <w:r w:rsidRPr="004B6E75">
        <w:rPr>
          <w:rFonts w:asciiTheme="minorHAnsi" w:hAnsiTheme="minorHAnsi" w:cstheme="minorHAnsi"/>
          <w:sz w:val="22"/>
          <w:szCs w:val="22"/>
          <w:lang w:val="fr-CA"/>
        </w:rPr>
        <w:t>le document à la CFP.</w:t>
      </w:r>
    </w:p>
    <w:p w:rsidR="002730B1" w:rsidRPr="004B6E75" w:rsidRDefault="002730B1" w:rsidP="00D7525F">
      <w:pPr>
        <w:pStyle w:val="NormalWeb"/>
        <w:spacing w:before="120" w:beforeAutospacing="0" w:after="120" w:afterAutospacing="0"/>
        <w:rPr>
          <w:rFonts w:asciiTheme="minorHAnsi" w:hAnsiTheme="minorHAnsi" w:cstheme="minorHAnsi"/>
          <w:sz w:val="22"/>
          <w:szCs w:val="22"/>
          <w:lang w:val="fr-CA"/>
        </w:rPr>
      </w:pPr>
      <w:r w:rsidRPr="004B6E75">
        <w:rPr>
          <w:rFonts w:asciiTheme="minorHAnsi" w:hAnsiTheme="minorHAnsi" w:cstheme="minorHAnsi"/>
          <w:sz w:val="22"/>
          <w:szCs w:val="22"/>
          <w:lang w:val="fr-CA"/>
        </w:rPr>
        <w:t>L’organisation a eu du mal à mettre en œuvre la NOD en raison de sa capacité, des priorités concurrentes en matière de RH et de sa culture traditionnelle de dotation — la plupart des gestionnaires étaient réticents à promouvoir l’usage de nouvelles mesures d’assouplissement.</w:t>
      </w:r>
    </w:p>
    <w:p w:rsidR="002730B1" w:rsidRPr="004B6E75" w:rsidRDefault="002730B1" w:rsidP="00D7525F">
      <w:pPr>
        <w:pStyle w:val="CommentText"/>
        <w:spacing w:before="120" w:after="120"/>
        <w:rPr>
          <w:rFonts w:asciiTheme="minorHAnsi" w:hAnsiTheme="minorHAnsi" w:cstheme="minorHAnsi"/>
          <w:lang w:val="fr-CA"/>
        </w:rPr>
      </w:pPr>
      <w:r w:rsidRPr="004B6E75">
        <w:rPr>
          <w:rFonts w:asciiTheme="minorHAnsi" w:hAnsiTheme="minorHAnsi" w:cstheme="minorHAnsi"/>
          <w:sz w:val="22"/>
          <w:szCs w:val="22"/>
          <w:lang w:val="fr-CA"/>
        </w:rPr>
        <w:t>Dans son effort pour appuyer l’ACFC, la CFP a fourni de la formation sur la NOD à des conseillers et des gestionnaires en RH, et elle a fait une présentation lors d’une réunion de tout le personnel. Après ces séances initiales, les conseillers en RH de l’organisation ont continué de transmettre des messages sur la NOD au sein de l’ACFC. Ces efforts soutenus ont contribué à l’amélioration des pratiques de dotation et à une meilleure compréhension générale de la NOD. Il s’agissait également d’un objectif inscrit dans les ententes de rendement. Pour le moment, l’ACFC a demandé plus de formation sur les divers sujets liés au recrutement et à la dotation. La CFP offrira plus de séances dans les prochains mois.</w:t>
      </w:r>
    </w:p>
    <w:p w:rsidR="002730B1" w:rsidRPr="004B6E75" w:rsidRDefault="002730B1" w:rsidP="00D7525F">
      <w:pPr>
        <w:pStyle w:val="CommentText"/>
        <w:spacing w:before="120" w:after="120"/>
        <w:rPr>
          <w:rFonts w:asciiTheme="minorHAnsi" w:hAnsiTheme="minorHAnsi" w:cstheme="minorHAnsi"/>
          <w:lang w:val="fr-CA"/>
        </w:rPr>
      </w:pPr>
      <w:r w:rsidRPr="004B6E75">
        <w:rPr>
          <w:rFonts w:asciiTheme="minorHAnsi" w:hAnsiTheme="minorHAnsi" w:cstheme="minorHAnsi"/>
          <w:sz w:val="22"/>
          <w:szCs w:val="22"/>
          <w:lang w:val="fr-CA"/>
        </w:rPr>
        <w:t>Comme la signature de l’instrument de subdélégation remonte à mai 2015, l’ACFC a entrepris un examen du contenu de l’instrument en fonction des exigences opérationnelles d’accroître l’efficacité tout en veillant à ce qu’une formation adéquate soit offerte aux gestionnaires subdélégués. Entre autres choses, il sera proposé de subdéléguer certains pouvoirs de dotation à un poste inférieur que celui de directeur en vue d’assouplir le processus décisionnel. La CFP a offert d’examiner les changements proposés avant l’approbation de la nouvelle commissaire.</w:t>
      </w:r>
    </w:p>
    <w:p w:rsidR="002730B1" w:rsidRPr="004B6E75" w:rsidRDefault="002730B1" w:rsidP="00D7525F">
      <w:pPr>
        <w:pStyle w:val="NormalWeb"/>
        <w:spacing w:before="120" w:beforeAutospacing="0" w:after="120" w:afterAutospacing="0"/>
        <w:rPr>
          <w:rFonts w:asciiTheme="minorHAnsi" w:hAnsiTheme="minorHAnsi" w:cstheme="minorHAnsi"/>
          <w:sz w:val="22"/>
          <w:szCs w:val="22"/>
          <w:lang w:val="fr-CA"/>
        </w:rPr>
      </w:pPr>
      <w:r w:rsidRPr="004B6E75">
        <w:rPr>
          <w:rFonts w:asciiTheme="minorHAnsi" w:hAnsiTheme="minorHAnsi" w:cstheme="minorHAnsi"/>
          <w:sz w:val="22"/>
          <w:szCs w:val="22"/>
          <w:lang w:val="fr-CA"/>
        </w:rPr>
        <w:t xml:space="preserve">L’ACFC prépare un cadre pour améliorer les procédures de surveillances qui sont déjà en place, à savoir les suivantes : une liste de vérification relative à la dotation pour les conseillers en RH, un processus d’examen par les pairs des dossiers de dotation à traiter régulièrement, un examen de tous les dossiers des processus de nominations non annoncés effectué par la gestionnaire de RH et la chef des RH. </w:t>
      </w:r>
    </w:p>
    <w:p w:rsidR="002730B1" w:rsidRPr="004B6E75" w:rsidRDefault="002730B1" w:rsidP="00D7525F">
      <w:pPr>
        <w:pStyle w:val="Heading1"/>
        <w:spacing w:before="120" w:after="120"/>
        <w:rPr>
          <w:lang w:val="fr-CA"/>
        </w:rPr>
      </w:pPr>
      <w:r w:rsidRPr="004B6E75">
        <w:rPr>
          <w:lang w:val="fr-CA"/>
        </w:rPr>
        <w:lastRenderedPageBreak/>
        <w:t xml:space="preserve">Rapport prévus par l’annexe D de l’instrument de délégation et de responsabilisation en matière de nomination </w:t>
      </w:r>
    </w:p>
    <w:p w:rsidR="002730B1" w:rsidRPr="004B6E75" w:rsidRDefault="002730B1" w:rsidP="00D7525F">
      <w:pPr>
        <w:pStyle w:val="Heading2"/>
        <w:spacing w:before="120" w:after="120"/>
        <w:rPr>
          <w:lang w:val="fr-CA"/>
        </w:rPr>
      </w:pPr>
      <w:r w:rsidRPr="004B6E75">
        <w:rPr>
          <w:lang w:val="fr-CA"/>
        </w:rPr>
        <w:t xml:space="preserve">Recours au Décret d’exemption concernant les langues officielles dans la fonction publique et au Règlement sur les langues officielles — nominations dans la fonction publique </w:t>
      </w:r>
    </w:p>
    <w:p w:rsidR="002730B1" w:rsidRPr="004B6E75" w:rsidRDefault="002730B1" w:rsidP="00D7525F">
      <w:pPr>
        <w:pStyle w:val="NoSpacing"/>
        <w:spacing w:before="120" w:after="120"/>
        <w:rPr>
          <w:rFonts w:asciiTheme="minorHAnsi" w:hAnsiTheme="minorHAnsi" w:cstheme="minorHAnsi"/>
          <w:sz w:val="22"/>
          <w:szCs w:val="22"/>
          <w:lang w:val="fr-CA"/>
        </w:rPr>
      </w:pPr>
      <w:r w:rsidRPr="004B6E75">
        <w:rPr>
          <w:rFonts w:asciiTheme="minorHAnsi" w:hAnsiTheme="minorHAnsi" w:cstheme="minorHAnsi"/>
          <w:sz w:val="22"/>
          <w:szCs w:val="22"/>
          <w:lang w:val="fr-CA"/>
        </w:rPr>
        <w:t xml:space="preserve">Le plus récent rapport sur l’annexe D indique que l’ACFC gère des exclusions en vertu du </w:t>
      </w:r>
      <w:r w:rsidRPr="004B6E75">
        <w:rPr>
          <w:rStyle w:val="Emphasis"/>
          <w:lang w:val="fr-CA"/>
        </w:rPr>
        <w:t>Décret d’exemption concernant les langues officielles dans la fonction publique</w:t>
      </w:r>
      <w:r w:rsidRPr="004B6E75">
        <w:rPr>
          <w:rFonts w:asciiTheme="minorHAnsi" w:hAnsiTheme="minorHAnsi" w:cstheme="minorHAnsi"/>
          <w:sz w:val="22"/>
          <w:szCs w:val="22"/>
          <w:lang w:val="fr-CA"/>
        </w:rPr>
        <w:t xml:space="preserve"> (DELOFP) et du </w:t>
      </w:r>
      <w:r w:rsidRPr="004B6E75">
        <w:rPr>
          <w:rStyle w:val="Emphasis"/>
          <w:lang w:val="fr-CA"/>
        </w:rPr>
        <w:t>Règlement sur les langues officielles — nominations dans la fonction publique</w:t>
      </w:r>
      <w:r w:rsidRPr="004B6E75">
        <w:rPr>
          <w:rFonts w:asciiTheme="minorHAnsi" w:hAnsiTheme="minorHAnsi" w:cstheme="minorHAnsi"/>
          <w:sz w:val="22"/>
          <w:szCs w:val="22"/>
          <w:lang w:val="fr-CA"/>
        </w:rPr>
        <w:t xml:space="preserve"> (RLONFP). Il évoque un cas où la période initiale de deux ans dont il est question dans l’engagement d’une personne à devenir bilingue a expiré en 2014; toutefois, l’employé était en congé depuis janvier 2013.</w:t>
      </w:r>
    </w:p>
    <w:p w:rsidR="002730B1" w:rsidRPr="004B6E75" w:rsidRDefault="002730B1" w:rsidP="00D7525F">
      <w:pPr>
        <w:pStyle w:val="Heading2"/>
        <w:spacing w:before="120" w:after="120"/>
        <w:rPr>
          <w:lang w:val="fr-CA"/>
        </w:rPr>
      </w:pPr>
      <w:r w:rsidRPr="004B6E75">
        <w:rPr>
          <w:lang w:val="fr-CA"/>
        </w:rPr>
        <w:t>Exceptions approuvées par l’Administrateur général aux exigences de la Zone nationale de sélection pour un processus de nomination externe annoncé</w:t>
      </w:r>
    </w:p>
    <w:p w:rsidR="002730B1" w:rsidRPr="004B6E75" w:rsidRDefault="002730B1" w:rsidP="00D7525F">
      <w:pPr>
        <w:pStyle w:val="NoSpacing"/>
        <w:spacing w:before="120" w:after="120"/>
        <w:rPr>
          <w:rFonts w:asciiTheme="minorHAnsi" w:hAnsiTheme="minorHAnsi" w:cstheme="minorHAnsi"/>
          <w:b/>
          <w:color w:val="222222"/>
          <w:sz w:val="22"/>
          <w:szCs w:val="22"/>
          <w:lang w:val="fr-CA"/>
        </w:rPr>
      </w:pPr>
      <w:r w:rsidRPr="004B6E75">
        <w:rPr>
          <w:rFonts w:asciiTheme="minorHAnsi" w:hAnsiTheme="minorHAnsi" w:cstheme="minorHAnsi"/>
          <w:color w:val="222222"/>
          <w:sz w:val="22"/>
          <w:szCs w:val="22"/>
          <w:lang w:val="fr-CA"/>
        </w:rPr>
        <w:t>ACFC a déclaré que l’AG a approuvé une</w:t>
      </w:r>
      <w:r w:rsidRPr="004B6E75">
        <w:rPr>
          <w:rFonts w:asciiTheme="minorHAnsi" w:hAnsiTheme="minorHAnsi" w:cstheme="minorHAnsi"/>
          <w:b/>
          <w:i/>
          <w:color w:val="222222"/>
          <w:sz w:val="22"/>
          <w:szCs w:val="22"/>
          <w:lang w:val="fr-CA"/>
        </w:rPr>
        <w:t xml:space="preserve"> </w:t>
      </w:r>
      <w:r w:rsidRPr="004B6E75">
        <w:rPr>
          <w:rFonts w:asciiTheme="minorHAnsi" w:hAnsiTheme="minorHAnsi" w:cstheme="minorHAnsi"/>
          <w:color w:val="000000"/>
          <w:sz w:val="22"/>
          <w:szCs w:val="22"/>
          <w:lang w:val="fr-CA"/>
        </w:rPr>
        <w:t>exception à la zone nationale de sélection en 2018-2019 pour une opportunité d’emploi d’une durée de deux ans afin de doter le poste de Directeur, Ressources humaines. Cependant, aucune nomination n’a été faite à partir de ce processus.</w:t>
      </w:r>
    </w:p>
    <w:p w:rsidR="002730B1" w:rsidRPr="004B6E75" w:rsidRDefault="002730B1" w:rsidP="00D7525F">
      <w:pPr>
        <w:pStyle w:val="Heading2"/>
        <w:spacing w:before="120" w:after="120"/>
        <w:rPr>
          <w:lang w:val="fr-CA"/>
        </w:rPr>
      </w:pPr>
      <w:r w:rsidRPr="004B6E75">
        <w:rPr>
          <w:lang w:val="fr-CA"/>
        </w:rPr>
        <w:t>Résultats de l’évaluation cyclique de l’organisation</w:t>
      </w:r>
    </w:p>
    <w:p w:rsidR="002730B1" w:rsidRPr="004B6E75" w:rsidRDefault="002730B1" w:rsidP="00D7525F">
      <w:pPr>
        <w:spacing w:before="120" w:after="120"/>
        <w:rPr>
          <w:rFonts w:asciiTheme="minorHAnsi" w:hAnsiTheme="minorHAnsi" w:cstheme="minorHAnsi"/>
          <w:sz w:val="22"/>
          <w:szCs w:val="22"/>
          <w:lang w:val="fr-CA"/>
        </w:rPr>
      </w:pPr>
      <w:r w:rsidRPr="004B6E75">
        <w:rPr>
          <w:rFonts w:asciiTheme="minorHAnsi" w:hAnsiTheme="minorHAnsi" w:cstheme="minorHAnsi"/>
          <w:sz w:val="22"/>
          <w:szCs w:val="22"/>
          <w:lang w:val="fr-CA"/>
        </w:rPr>
        <w:t xml:space="preserve">En tant qu’organisation de petite taille, l’ACFC s’est vu proposer de participer au projet pilote d’évaluation cyclique de la CFP, conformément à la section 3 de l’instrument de délégation et de responsabilisation en matière de nomination. </w:t>
      </w:r>
    </w:p>
    <w:p w:rsidR="002730B1" w:rsidRPr="004B6E75" w:rsidRDefault="002730B1" w:rsidP="00D7525F">
      <w:pPr>
        <w:spacing w:before="120" w:after="120"/>
        <w:rPr>
          <w:rFonts w:asciiTheme="minorHAnsi" w:hAnsiTheme="minorHAnsi" w:cstheme="minorHAnsi"/>
          <w:sz w:val="22"/>
          <w:szCs w:val="22"/>
          <w:lang w:val="fr-CA"/>
        </w:rPr>
      </w:pPr>
      <w:r w:rsidRPr="004B6E75">
        <w:rPr>
          <w:rFonts w:asciiTheme="minorHAnsi" w:hAnsiTheme="minorHAnsi" w:cstheme="minorHAnsi"/>
          <w:sz w:val="22"/>
          <w:szCs w:val="22"/>
          <w:lang w:val="fr-CA"/>
        </w:rPr>
        <w:t>Cependant, ACFC a décidé de ne pas participer au projet pilote, car l’Agence a les ressources internes pour produire le rapport avant la date d’échéance du 1</w:t>
      </w:r>
      <w:r w:rsidRPr="004B6E75">
        <w:rPr>
          <w:rFonts w:asciiTheme="minorHAnsi" w:hAnsiTheme="minorHAnsi" w:cstheme="minorHAnsi"/>
          <w:sz w:val="22"/>
          <w:szCs w:val="22"/>
          <w:vertAlign w:val="superscript"/>
          <w:lang w:val="fr-CA"/>
        </w:rPr>
        <w:t>er</w:t>
      </w:r>
      <w:r w:rsidRPr="004B6E75">
        <w:rPr>
          <w:rFonts w:asciiTheme="minorHAnsi" w:hAnsiTheme="minorHAnsi" w:cstheme="minorHAnsi"/>
          <w:sz w:val="22"/>
          <w:szCs w:val="22"/>
          <w:lang w:val="fr-CA"/>
        </w:rPr>
        <w:t> mai 2021. La conseillère au soutien en dotation (CSD) a déjà discuté de l’évaluation cyclique avec les représentants de l’ACFC et fournira du soutien au besoin.</w:t>
      </w:r>
    </w:p>
    <w:p w:rsidR="002730B1" w:rsidRPr="004B6E75" w:rsidRDefault="002730B1" w:rsidP="00D7525F">
      <w:pPr>
        <w:pStyle w:val="Heading2"/>
        <w:spacing w:before="120" w:after="120"/>
        <w:rPr>
          <w:lang w:val="fr-CA"/>
        </w:rPr>
      </w:pPr>
      <w:r w:rsidRPr="004B6E75">
        <w:rPr>
          <w:lang w:val="fr-CA"/>
        </w:rPr>
        <w:t>Demandes de renseignements et tendances</w:t>
      </w:r>
    </w:p>
    <w:p w:rsidR="002730B1" w:rsidRPr="004B6E75" w:rsidRDefault="002730B1" w:rsidP="00D7525F">
      <w:pPr>
        <w:pStyle w:val="NoSpacing"/>
        <w:spacing w:before="120" w:after="120"/>
        <w:rPr>
          <w:rFonts w:asciiTheme="minorHAnsi" w:hAnsiTheme="minorHAnsi" w:cstheme="minorHAnsi"/>
          <w:sz w:val="22"/>
          <w:szCs w:val="22"/>
          <w:lang w:val="fr-CA" w:eastAsia="en-CA"/>
        </w:rPr>
      </w:pPr>
      <w:r w:rsidRPr="004B6E75">
        <w:rPr>
          <w:rFonts w:asciiTheme="minorHAnsi" w:hAnsiTheme="minorHAnsi" w:cstheme="minorHAnsi"/>
          <w:sz w:val="22"/>
          <w:szCs w:val="22"/>
          <w:lang w:val="fr-CA"/>
        </w:rPr>
        <w:t>La CFP a reçu sept demandes de l’ACFC d’avril 2017 à janvier 2019. L’ACFC entretient une relation de collaboration avec la CSD et communique avec cette dernière au besoin pour approfondir ses connaissances des exigences en matière de dotation.</w:t>
      </w:r>
    </w:p>
    <w:p w:rsidR="002730B1" w:rsidRPr="004B6E75" w:rsidRDefault="008A0A9C" w:rsidP="00D7525F">
      <w:pPr>
        <w:pStyle w:val="Heading1"/>
        <w:spacing w:before="120" w:after="120"/>
        <w:rPr>
          <w:lang w:val="fr-CA"/>
        </w:rPr>
      </w:pPr>
      <w:r w:rsidRPr="004B6E75">
        <w:rPr>
          <w:lang w:val="fr-CA"/>
        </w:rPr>
        <w:lastRenderedPageBreak/>
        <w:t>Surveillance</w:t>
      </w:r>
    </w:p>
    <w:p w:rsidR="002730B1" w:rsidRPr="004B6E75" w:rsidRDefault="002730B1" w:rsidP="00D7525F">
      <w:pPr>
        <w:pStyle w:val="Heading2"/>
        <w:spacing w:before="120" w:after="120"/>
        <w:rPr>
          <w:u w:val="single"/>
          <w:lang w:val="fr-CA"/>
        </w:rPr>
      </w:pPr>
      <w:r w:rsidRPr="004B6E75">
        <w:rPr>
          <w:lang w:val="fr-CA"/>
        </w:rPr>
        <w:t xml:space="preserve">Vérifications </w:t>
      </w:r>
    </w:p>
    <w:p w:rsidR="002730B1" w:rsidRPr="004B6E75" w:rsidRDefault="002730B1" w:rsidP="00D7525F">
      <w:pPr>
        <w:spacing w:before="120" w:after="120"/>
        <w:rPr>
          <w:rFonts w:asciiTheme="minorHAnsi" w:hAnsiTheme="minorHAnsi" w:cstheme="minorHAnsi"/>
          <w:sz w:val="22"/>
          <w:szCs w:val="22"/>
          <w:lang w:val="fr-CA" w:eastAsia="en-CA"/>
        </w:rPr>
      </w:pPr>
      <w:r w:rsidRPr="004B6E75">
        <w:rPr>
          <w:rFonts w:asciiTheme="minorHAnsi" w:hAnsiTheme="minorHAnsi" w:cstheme="minorHAnsi"/>
          <w:sz w:val="22"/>
          <w:szCs w:val="22"/>
          <w:lang w:val="fr-CA" w:eastAsia="en-CA"/>
        </w:rPr>
        <w:t xml:space="preserve">L’ACFC a fait l’objet d’une vérification de la part de la CFP en 2011. Cette vérification a donné lieu à la recommandation que l’ACFC établisse et mette en œuvre, avec son fournisseur de services (à l’époque, l’ACFC en avait un), un mécanisme de contrôle au niveau transactionnel pour veiller à ce que les documents à l’appui relatifs aux nominations soient exacts et qu’ils soient conformes à la </w:t>
      </w:r>
      <w:r w:rsidRPr="004B6E75">
        <w:rPr>
          <w:rStyle w:val="Emphasis"/>
          <w:lang w:val="fr-CA"/>
        </w:rPr>
        <w:t xml:space="preserve">Loi sur l’emploi dans la fonction publique </w:t>
      </w:r>
      <w:r w:rsidRPr="004B6E75">
        <w:rPr>
          <w:rFonts w:asciiTheme="minorHAnsi" w:hAnsiTheme="minorHAnsi" w:cstheme="minorHAnsi"/>
          <w:sz w:val="22"/>
          <w:szCs w:val="22"/>
          <w:lang w:val="fr-CA" w:eastAsia="en-CA"/>
        </w:rPr>
        <w:t>(LEFP) et aux autres autorisations en vigueur.</w:t>
      </w:r>
    </w:p>
    <w:p w:rsidR="002730B1" w:rsidRPr="004B6E75" w:rsidRDefault="002730B1" w:rsidP="00D7525F">
      <w:pPr>
        <w:spacing w:before="120" w:after="120"/>
        <w:rPr>
          <w:rFonts w:asciiTheme="minorHAnsi" w:hAnsiTheme="minorHAnsi" w:cstheme="minorHAnsi"/>
          <w:sz w:val="22"/>
          <w:szCs w:val="22"/>
          <w:lang w:val="fr-CA"/>
        </w:rPr>
      </w:pPr>
      <w:r w:rsidRPr="004B6E75">
        <w:rPr>
          <w:rFonts w:asciiTheme="minorHAnsi" w:hAnsiTheme="minorHAnsi" w:cstheme="minorHAnsi"/>
          <w:sz w:val="22"/>
          <w:szCs w:val="22"/>
          <w:lang w:val="fr-CA"/>
        </w:rPr>
        <w:t>En 2015, la CFP a déterminé qu’elle était satisfaite du progrès de l’organisation en ce qui concerne la mise en œuvre des recommandations de la vérification.</w:t>
      </w:r>
    </w:p>
    <w:p w:rsidR="002730B1" w:rsidRPr="004B6E75" w:rsidRDefault="002730B1" w:rsidP="00D7525F">
      <w:pPr>
        <w:pStyle w:val="Heading2"/>
        <w:spacing w:before="120" w:after="120"/>
        <w:rPr>
          <w:u w:val="single"/>
          <w:lang w:val="fr-CA"/>
        </w:rPr>
      </w:pPr>
      <w:r w:rsidRPr="004B6E75">
        <w:rPr>
          <w:lang w:val="fr-CA"/>
        </w:rPr>
        <w:t>Enquêtes</w:t>
      </w:r>
    </w:p>
    <w:p w:rsidR="002730B1" w:rsidRPr="004B6E75" w:rsidRDefault="002730B1" w:rsidP="00D7525F">
      <w:pPr>
        <w:spacing w:before="120" w:after="120"/>
        <w:rPr>
          <w:rFonts w:asciiTheme="minorHAnsi" w:hAnsiTheme="minorHAnsi" w:cstheme="minorHAnsi"/>
          <w:i/>
          <w:color w:val="000000"/>
          <w:sz w:val="22"/>
          <w:szCs w:val="22"/>
          <w:lang w:val="fr-CA"/>
        </w:rPr>
      </w:pPr>
      <w:r w:rsidRPr="004B6E75">
        <w:rPr>
          <w:rFonts w:asciiTheme="minorHAnsi" w:hAnsiTheme="minorHAnsi" w:cstheme="minorHAnsi"/>
          <w:sz w:val="22"/>
          <w:szCs w:val="22"/>
          <w:lang w:val="fr-CA"/>
        </w:rPr>
        <w:t>Aucune enquête n’a été demandée ni menée</w:t>
      </w:r>
      <w:r w:rsidRPr="004B6E75">
        <w:rPr>
          <w:rFonts w:asciiTheme="minorHAnsi" w:hAnsiTheme="minorHAnsi" w:cstheme="minorHAnsi"/>
          <w:color w:val="000000"/>
          <w:sz w:val="22"/>
          <w:szCs w:val="22"/>
          <w:lang w:val="fr-CA"/>
        </w:rPr>
        <w:t xml:space="preserve"> pour cette organisation depuis 2016.</w:t>
      </w:r>
    </w:p>
    <w:p w:rsidR="002730B1" w:rsidRPr="004B6E75" w:rsidRDefault="002730B1" w:rsidP="00D7525F">
      <w:pPr>
        <w:pStyle w:val="Heading2"/>
        <w:spacing w:before="120" w:after="120"/>
        <w:rPr>
          <w:u w:val="single"/>
          <w:lang w:val="fr-CA"/>
        </w:rPr>
      </w:pPr>
      <w:r w:rsidRPr="004B6E75">
        <w:rPr>
          <w:lang w:val="fr-CA"/>
        </w:rPr>
        <w:t>Résultats du sondage sur la dotation et l’impartialité politique</w:t>
      </w:r>
    </w:p>
    <w:p w:rsidR="002730B1" w:rsidRPr="004B6E75" w:rsidRDefault="002730B1" w:rsidP="00D7525F">
      <w:pPr>
        <w:spacing w:before="120" w:after="120"/>
        <w:rPr>
          <w:rFonts w:asciiTheme="minorHAnsi" w:hAnsiTheme="minorHAnsi" w:cstheme="minorHAnsi"/>
          <w:sz w:val="22"/>
          <w:szCs w:val="22"/>
          <w:lang w:val="fr-CA"/>
        </w:rPr>
      </w:pPr>
      <w:r w:rsidRPr="004B6E75">
        <w:rPr>
          <w:rFonts w:asciiTheme="minorHAnsi" w:hAnsiTheme="minorHAnsi" w:cstheme="minorHAnsi"/>
          <w:sz w:val="22"/>
          <w:szCs w:val="22"/>
          <w:lang w:val="fr-CA"/>
        </w:rPr>
        <w:t>Les résultats du sondage sur la dotation et l’impartialité politique (SDIP) de l’ACFC sont basés sur un taux final de réponse de 59 %. À noter que l’ACFP n’a pas reçu de résultats pour toutes les questions, car seulement les questions ayant un minimum de 10 répondants sont partagées.</w:t>
      </w:r>
    </w:p>
    <w:p w:rsidR="002730B1" w:rsidRPr="004B6E75" w:rsidRDefault="002730B1" w:rsidP="00D7525F">
      <w:pPr>
        <w:spacing w:before="120" w:after="120"/>
        <w:rPr>
          <w:rFonts w:asciiTheme="minorHAnsi" w:hAnsiTheme="minorHAnsi" w:cstheme="minorHAnsi"/>
          <w:sz w:val="22"/>
          <w:szCs w:val="22"/>
          <w:lang w:val="fr-CA"/>
        </w:rPr>
      </w:pPr>
      <w:r w:rsidRPr="004B6E75">
        <w:rPr>
          <w:rFonts w:asciiTheme="minorHAnsi" w:hAnsiTheme="minorHAnsi" w:cstheme="minorHAnsi"/>
          <w:sz w:val="22"/>
          <w:szCs w:val="22"/>
          <w:lang w:val="fr-CA"/>
        </w:rPr>
        <w:t>Les résultats de l’Agence sont positifs par rapport à d’autres organisations de taille similaire et à l’ensemble de la fonction publique.</w:t>
      </w:r>
      <w:r w:rsidRPr="004B6E75">
        <w:rPr>
          <w:rFonts w:asciiTheme="minorHAnsi" w:hAnsiTheme="minorHAnsi" w:cstheme="minorHAnsi"/>
          <w:sz w:val="22"/>
          <w:szCs w:val="22"/>
          <w:lang w:val="fr-CA"/>
        </w:rPr>
        <w:br/>
        <w:t xml:space="preserve">Vous trouverez ci-dessous les principales conclusions des résultats du SDIP 2018 de l’ACFC : </w:t>
      </w:r>
    </w:p>
    <w:p w:rsidR="002730B1" w:rsidRPr="004B6E75" w:rsidRDefault="002730B1" w:rsidP="008A0A9C">
      <w:pPr>
        <w:numPr>
          <w:ilvl w:val="0"/>
          <w:numId w:val="3"/>
        </w:numPr>
        <w:rPr>
          <w:rFonts w:asciiTheme="minorHAnsi" w:hAnsiTheme="minorHAnsi" w:cstheme="minorHAnsi"/>
          <w:sz w:val="22"/>
          <w:szCs w:val="22"/>
          <w:lang w:val="fr-CA" w:eastAsia="en-CA"/>
        </w:rPr>
      </w:pPr>
      <w:r w:rsidRPr="004B6E75">
        <w:rPr>
          <w:rFonts w:asciiTheme="minorHAnsi" w:hAnsiTheme="minorHAnsi" w:cstheme="minorHAnsi"/>
          <w:sz w:val="22"/>
          <w:szCs w:val="22"/>
          <w:lang w:val="fr-CA" w:eastAsia="en-CA"/>
        </w:rPr>
        <w:t xml:space="preserve">92 % des </w:t>
      </w:r>
      <w:r w:rsidRPr="004B6E75">
        <w:rPr>
          <w:rStyle w:val="Strong"/>
          <w:sz w:val="22"/>
          <w:lang w:val="fr-CA"/>
        </w:rPr>
        <w:t>gestionnaires</w:t>
      </w:r>
      <w:r w:rsidRPr="004B6E75">
        <w:rPr>
          <w:rFonts w:asciiTheme="minorHAnsi" w:hAnsiTheme="minorHAnsi" w:cstheme="minorHAnsi"/>
          <w:sz w:val="22"/>
          <w:szCs w:val="22"/>
          <w:lang w:val="fr-CA" w:eastAsia="en-CA"/>
        </w:rPr>
        <w:t xml:space="preserve"> ont indiqué qu’ils comprenaient la NOD, alors que la proportion était de 67,9 % dans des organisations de taille semblable et de 61,4 % dans l’ensemble des organisations de la fonction publique fédérale.</w:t>
      </w:r>
    </w:p>
    <w:p w:rsidR="002730B1" w:rsidRPr="004B6E75" w:rsidRDefault="002730B1" w:rsidP="008A0A9C">
      <w:pPr>
        <w:numPr>
          <w:ilvl w:val="0"/>
          <w:numId w:val="3"/>
        </w:numPr>
        <w:rPr>
          <w:rFonts w:asciiTheme="minorHAnsi" w:hAnsiTheme="minorHAnsi" w:cstheme="minorHAnsi"/>
          <w:sz w:val="22"/>
          <w:szCs w:val="22"/>
          <w:lang w:val="fr-CA" w:eastAsia="en-CA"/>
        </w:rPr>
      </w:pPr>
      <w:r w:rsidRPr="004B6E75">
        <w:rPr>
          <w:rFonts w:asciiTheme="minorHAnsi" w:eastAsia="Calibri" w:hAnsiTheme="minorHAnsi" w:cstheme="minorHAnsi"/>
          <w:bCs/>
          <w:sz w:val="22"/>
          <w:szCs w:val="22"/>
          <w:lang w:val="fr-CA" w:eastAsia="en-CA"/>
        </w:rPr>
        <w:t xml:space="preserve">100 % des </w:t>
      </w:r>
      <w:r w:rsidRPr="004B6E75">
        <w:rPr>
          <w:rStyle w:val="Strong"/>
          <w:rFonts w:eastAsia="Calibri"/>
          <w:sz w:val="22"/>
          <w:lang w:val="fr-CA"/>
        </w:rPr>
        <w:t>gestionnaires</w:t>
      </w:r>
      <w:r w:rsidRPr="004B6E75">
        <w:rPr>
          <w:rFonts w:asciiTheme="minorHAnsi" w:eastAsia="Calibri" w:hAnsiTheme="minorHAnsi" w:cstheme="minorHAnsi"/>
          <w:bCs/>
          <w:sz w:val="22"/>
          <w:szCs w:val="22"/>
          <w:lang w:val="fr-CA" w:eastAsia="en-CA"/>
        </w:rPr>
        <w:t xml:space="preserve"> </w:t>
      </w:r>
      <w:r w:rsidRPr="004B6E75">
        <w:rPr>
          <w:rFonts w:asciiTheme="minorHAnsi" w:eastAsia="Calibri" w:hAnsiTheme="minorHAnsi" w:cstheme="minorHAnsi"/>
          <w:sz w:val="22"/>
          <w:szCs w:val="22"/>
          <w:lang w:val="fr-CA" w:eastAsia="en-CA"/>
        </w:rPr>
        <w:t xml:space="preserve">ont indiqué qu’ils comprennent les politiques de leur organisation en matière de dotation, </w:t>
      </w:r>
      <w:r w:rsidRPr="004B6E75">
        <w:rPr>
          <w:rFonts w:asciiTheme="minorHAnsi" w:hAnsiTheme="minorHAnsi" w:cstheme="minorHAnsi"/>
          <w:sz w:val="22"/>
          <w:szCs w:val="22"/>
          <w:lang w:val="fr-CA" w:eastAsia="en-CA"/>
        </w:rPr>
        <w:t>alors que la proportion était de 84,3 % dans des organisations de taille semblable et de 73,1 % dans l’ensemble des organisations de la fonction publique fédérale.</w:t>
      </w:r>
    </w:p>
    <w:p w:rsidR="002730B1" w:rsidRPr="004B6E75" w:rsidRDefault="002730B1" w:rsidP="008A0A9C">
      <w:pPr>
        <w:numPr>
          <w:ilvl w:val="0"/>
          <w:numId w:val="3"/>
        </w:numPr>
        <w:rPr>
          <w:rFonts w:asciiTheme="minorHAnsi" w:hAnsiTheme="minorHAnsi" w:cstheme="minorHAnsi"/>
          <w:sz w:val="22"/>
          <w:szCs w:val="22"/>
          <w:lang w:val="fr-CA" w:eastAsia="en-CA"/>
        </w:rPr>
      </w:pPr>
      <w:r w:rsidRPr="004B6E75">
        <w:rPr>
          <w:rFonts w:asciiTheme="minorHAnsi" w:eastAsia="Calibri" w:hAnsiTheme="minorHAnsi" w:cstheme="minorHAnsi"/>
          <w:bCs/>
          <w:sz w:val="22"/>
          <w:szCs w:val="22"/>
          <w:lang w:val="fr-CA" w:eastAsia="en-CA"/>
        </w:rPr>
        <w:t xml:space="preserve">80,8 % des </w:t>
      </w:r>
      <w:r w:rsidRPr="004B6E75">
        <w:rPr>
          <w:rStyle w:val="Strong"/>
          <w:rFonts w:eastAsia="Calibri"/>
          <w:sz w:val="22"/>
          <w:lang w:val="fr-CA"/>
        </w:rPr>
        <w:t>gestionnaires</w:t>
      </w:r>
      <w:r w:rsidRPr="004B6E75">
        <w:rPr>
          <w:rFonts w:asciiTheme="minorHAnsi" w:eastAsia="Calibri" w:hAnsiTheme="minorHAnsi" w:cstheme="minorHAnsi"/>
          <w:bCs/>
          <w:sz w:val="22"/>
          <w:szCs w:val="22"/>
          <w:lang w:val="fr-CA" w:eastAsia="en-CA"/>
        </w:rPr>
        <w:t xml:space="preserve"> </w:t>
      </w:r>
      <w:r w:rsidRPr="004B6E75">
        <w:rPr>
          <w:rFonts w:asciiTheme="minorHAnsi" w:eastAsia="Calibri" w:hAnsiTheme="minorHAnsi" w:cstheme="minorHAnsi"/>
          <w:sz w:val="22"/>
          <w:szCs w:val="22"/>
          <w:lang w:val="fr-CA" w:eastAsia="en-CA"/>
        </w:rPr>
        <w:t xml:space="preserve">ont dit que les options de dotation dans leur organisation leur permettent de répondre à leurs besoins en dotation aussi rapidement qu’il le faut, </w:t>
      </w:r>
      <w:r w:rsidRPr="004B6E75">
        <w:rPr>
          <w:rFonts w:asciiTheme="minorHAnsi" w:hAnsiTheme="minorHAnsi" w:cstheme="minorHAnsi"/>
          <w:sz w:val="22"/>
          <w:szCs w:val="22"/>
          <w:lang w:val="fr-CA" w:eastAsia="en-CA"/>
        </w:rPr>
        <w:t>alors que la proportion était de 58,2 % dans des organisations de taille semblable et de 37,6 % dans l’ensemble des organisations de la fonction publique fédérale.</w:t>
      </w:r>
    </w:p>
    <w:p w:rsidR="002730B1" w:rsidRPr="004B6E75" w:rsidRDefault="002730B1" w:rsidP="008A0A9C">
      <w:pPr>
        <w:numPr>
          <w:ilvl w:val="0"/>
          <w:numId w:val="3"/>
        </w:numPr>
        <w:rPr>
          <w:rFonts w:asciiTheme="minorHAnsi" w:hAnsiTheme="minorHAnsi" w:cstheme="minorHAnsi"/>
          <w:sz w:val="22"/>
          <w:szCs w:val="22"/>
          <w:lang w:val="fr-CA" w:eastAsia="en-CA"/>
        </w:rPr>
      </w:pPr>
      <w:r w:rsidRPr="004B6E75">
        <w:rPr>
          <w:rFonts w:asciiTheme="minorHAnsi" w:hAnsiTheme="minorHAnsi" w:cstheme="minorHAnsi"/>
          <w:bCs/>
          <w:sz w:val="22"/>
          <w:szCs w:val="22"/>
          <w:lang w:val="fr-CA" w:eastAsia="en-CA"/>
        </w:rPr>
        <w:t xml:space="preserve">91,3 % des </w:t>
      </w:r>
      <w:r w:rsidRPr="004B6E75">
        <w:rPr>
          <w:rStyle w:val="Strong"/>
          <w:rFonts w:eastAsia="Calibri"/>
          <w:sz w:val="22"/>
          <w:lang w:val="fr-CA"/>
        </w:rPr>
        <w:t xml:space="preserve">gestionnaires </w:t>
      </w:r>
      <w:r w:rsidRPr="004B6E75">
        <w:rPr>
          <w:rFonts w:asciiTheme="minorHAnsi" w:eastAsia="Calibri" w:hAnsiTheme="minorHAnsi" w:cstheme="minorHAnsi"/>
          <w:sz w:val="22"/>
          <w:szCs w:val="22"/>
          <w:lang w:val="fr-CA" w:eastAsia="en-CA"/>
        </w:rPr>
        <w:t>ont indiqué que les options de dotation dans</w:t>
      </w:r>
      <w:r w:rsidRPr="004B6E75">
        <w:rPr>
          <w:rFonts w:asciiTheme="minorHAnsi" w:hAnsiTheme="minorHAnsi" w:cstheme="minorHAnsi"/>
          <w:sz w:val="22"/>
          <w:szCs w:val="22"/>
          <w:lang w:val="fr-CA" w:eastAsia="en-CA"/>
        </w:rPr>
        <w:t xml:space="preserve"> </w:t>
      </w:r>
      <w:r w:rsidRPr="004B6E75">
        <w:rPr>
          <w:rFonts w:asciiTheme="minorHAnsi" w:eastAsia="Calibri" w:hAnsiTheme="minorHAnsi" w:cstheme="minorHAnsi"/>
          <w:sz w:val="22"/>
          <w:szCs w:val="22"/>
          <w:lang w:val="fr-CA" w:eastAsia="en-CA"/>
        </w:rPr>
        <w:t>leur organisation leur donnent la latitude nécessaire pour nommer des personnes qui s’intègrent</w:t>
      </w:r>
      <w:r w:rsidRPr="004B6E75">
        <w:rPr>
          <w:rFonts w:asciiTheme="minorHAnsi" w:hAnsiTheme="minorHAnsi" w:cstheme="minorHAnsi"/>
          <w:sz w:val="22"/>
          <w:szCs w:val="22"/>
          <w:lang w:val="fr-CA" w:eastAsia="en-CA"/>
        </w:rPr>
        <w:t xml:space="preserve"> </w:t>
      </w:r>
      <w:r w:rsidRPr="004B6E75">
        <w:rPr>
          <w:rFonts w:asciiTheme="minorHAnsi" w:eastAsia="Calibri" w:hAnsiTheme="minorHAnsi" w:cstheme="minorHAnsi"/>
          <w:sz w:val="22"/>
          <w:szCs w:val="22"/>
          <w:lang w:val="fr-CA" w:eastAsia="en-CA"/>
        </w:rPr>
        <w:t>bien dans leur unité de travail</w:t>
      </w:r>
      <w:r w:rsidRPr="004B6E75">
        <w:rPr>
          <w:rFonts w:asciiTheme="minorHAnsi" w:hAnsiTheme="minorHAnsi" w:cstheme="minorHAnsi"/>
          <w:sz w:val="22"/>
          <w:szCs w:val="22"/>
          <w:lang w:val="fr-CA" w:eastAsia="en-CA"/>
        </w:rPr>
        <w:t>, alors que la proportion était de 74,9 % dans des organisations de taille semblable et de 60 % dans l’ensemble des organisations de la fonction publique fédérale.</w:t>
      </w:r>
    </w:p>
    <w:p w:rsidR="002730B1" w:rsidRPr="004B6E75" w:rsidRDefault="002730B1" w:rsidP="008A0A9C">
      <w:pPr>
        <w:numPr>
          <w:ilvl w:val="0"/>
          <w:numId w:val="3"/>
        </w:numPr>
        <w:rPr>
          <w:rFonts w:asciiTheme="minorHAnsi" w:hAnsiTheme="minorHAnsi" w:cstheme="minorHAnsi"/>
          <w:sz w:val="22"/>
          <w:szCs w:val="22"/>
          <w:lang w:val="fr-CA" w:eastAsia="en-CA"/>
        </w:rPr>
      </w:pPr>
      <w:r w:rsidRPr="004B6E75">
        <w:rPr>
          <w:rFonts w:asciiTheme="minorHAnsi" w:hAnsiTheme="minorHAnsi" w:cstheme="minorHAnsi"/>
          <w:bCs/>
          <w:sz w:val="22"/>
          <w:szCs w:val="22"/>
          <w:lang w:val="fr-CA" w:eastAsia="en-CA"/>
        </w:rPr>
        <w:t xml:space="preserve">100 % des </w:t>
      </w:r>
      <w:r w:rsidRPr="004B6E75">
        <w:rPr>
          <w:rStyle w:val="Strong"/>
          <w:rFonts w:eastAsia="Calibri"/>
          <w:sz w:val="22"/>
          <w:lang w:val="fr-CA"/>
        </w:rPr>
        <w:t>gestionnaires</w:t>
      </w:r>
      <w:r w:rsidRPr="004B6E75">
        <w:rPr>
          <w:rFonts w:asciiTheme="minorHAnsi" w:eastAsia="Calibri" w:hAnsiTheme="minorHAnsi" w:cstheme="minorHAnsi"/>
          <w:bCs/>
          <w:sz w:val="22"/>
          <w:szCs w:val="22"/>
          <w:lang w:val="fr-CA" w:eastAsia="en-CA"/>
        </w:rPr>
        <w:t xml:space="preserve"> </w:t>
      </w:r>
      <w:r w:rsidRPr="004B6E75">
        <w:rPr>
          <w:rFonts w:asciiTheme="minorHAnsi" w:eastAsia="Calibri" w:hAnsiTheme="minorHAnsi" w:cstheme="minorHAnsi"/>
          <w:sz w:val="22"/>
          <w:szCs w:val="22"/>
          <w:lang w:val="fr-CA" w:eastAsia="en-CA"/>
        </w:rPr>
        <w:t>ont convenu que les conseillers en dotation de</w:t>
      </w:r>
      <w:r w:rsidRPr="004B6E75">
        <w:rPr>
          <w:rFonts w:asciiTheme="minorHAnsi" w:hAnsiTheme="minorHAnsi" w:cstheme="minorHAnsi"/>
          <w:sz w:val="22"/>
          <w:szCs w:val="22"/>
          <w:lang w:val="fr-CA" w:eastAsia="en-CA"/>
        </w:rPr>
        <w:t xml:space="preserve"> </w:t>
      </w:r>
      <w:r w:rsidRPr="004B6E75">
        <w:rPr>
          <w:rFonts w:asciiTheme="minorHAnsi" w:eastAsia="Calibri" w:hAnsiTheme="minorHAnsi" w:cstheme="minorHAnsi"/>
          <w:sz w:val="22"/>
          <w:szCs w:val="22"/>
          <w:lang w:val="fr-CA" w:eastAsia="en-CA"/>
        </w:rPr>
        <w:t>leur organisation leur ont donné des conseils cohérents en matière de dotation</w:t>
      </w:r>
      <w:r w:rsidRPr="004B6E75">
        <w:rPr>
          <w:rFonts w:asciiTheme="minorHAnsi" w:hAnsiTheme="minorHAnsi" w:cstheme="minorHAnsi"/>
          <w:sz w:val="22"/>
          <w:szCs w:val="22"/>
          <w:lang w:val="fr-CA" w:eastAsia="en-CA"/>
        </w:rPr>
        <w:t>, alors que la proportion était de 89 % dans des organisations de taille semblable et de 68,8 % dans l’ensemble des organisations de la fonction publique fédérale.</w:t>
      </w:r>
    </w:p>
    <w:p w:rsidR="002730B1" w:rsidRPr="004B6E75" w:rsidRDefault="002730B1" w:rsidP="008A0A9C">
      <w:pPr>
        <w:numPr>
          <w:ilvl w:val="0"/>
          <w:numId w:val="3"/>
        </w:numPr>
        <w:rPr>
          <w:rFonts w:asciiTheme="minorHAnsi" w:hAnsiTheme="minorHAnsi" w:cstheme="minorHAnsi"/>
          <w:sz w:val="22"/>
          <w:szCs w:val="22"/>
          <w:lang w:val="fr-CA" w:eastAsia="en-CA"/>
        </w:rPr>
      </w:pPr>
      <w:r w:rsidRPr="004B6E75">
        <w:rPr>
          <w:rFonts w:asciiTheme="minorHAnsi" w:hAnsiTheme="minorHAnsi" w:cstheme="minorHAnsi"/>
          <w:bCs/>
          <w:sz w:val="22"/>
          <w:szCs w:val="22"/>
          <w:lang w:val="fr-CA" w:eastAsia="en-CA"/>
        </w:rPr>
        <w:t xml:space="preserve">90,3 % des </w:t>
      </w:r>
      <w:r w:rsidRPr="004B6E75">
        <w:rPr>
          <w:rStyle w:val="Strong"/>
          <w:rFonts w:eastAsia="Calibri"/>
          <w:sz w:val="22"/>
          <w:lang w:val="fr-CA"/>
        </w:rPr>
        <w:t>gestionnaires</w:t>
      </w:r>
      <w:r w:rsidRPr="004B6E75">
        <w:rPr>
          <w:rFonts w:asciiTheme="minorHAnsi" w:eastAsia="Calibri" w:hAnsiTheme="minorHAnsi" w:cstheme="minorHAnsi"/>
          <w:bCs/>
          <w:sz w:val="22"/>
          <w:szCs w:val="22"/>
          <w:lang w:val="fr-CA" w:eastAsia="en-CA"/>
        </w:rPr>
        <w:t xml:space="preserve"> </w:t>
      </w:r>
      <w:r w:rsidRPr="004B6E75">
        <w:rPr>
          <w:rFonts w:asciiTheme="minorHAnsi" w:eastAsia="Calibri" w:hAnsiTheme="minorHAnsi" w:cstheme="minorHAnsi"/>
          <w:sz w:val="22"/>
          <w:szCs w:val="22"/>
          <w:lang w:val="fr-CA" w:eastAsia="en-CA"/>
        </w:rPr>
        <w:t>ont convenu que, dans l’ensemble, ils étaient</w:t>
      </w:r>
      <w:r w:rsidRPr="004B6E75">
        <w:rPr>
          <w:rFonts w:asciiTheme="minorHAnsi" w:hAnsiTheme="minorHAnsi" w:cstheme="minorHAnsi"/>
          <w:sz w:val="22"/>
          <w:szCs w:val="22"/>
          <w:lang w:val="fr-CA" w:eastAsia="en-CA"/>
        </w:rPr>
        <w:t xml:space="preserve"> </w:t>
      </w:r>
      <w:r w:rsidRPr="004B6E75">
        <w:rPr>
          <w:rFonts w:asciiTheme="minorHAnsi" w:eastAsia="Calibri" w:hAnsiTheme="minorHAnsi" w:cstheme="minorHAnsi"/>
          <w:sz w:val="22"/>
          <w:szCs w:val="22"/>
          <w:lang w:val="fr-CA" w:eastAsia="en-CA"/>
        </w:rPr>
        <w:t>satisfaits des services de dotation qu’ils ont reçus de leur organisation</w:t>
      </w:r>
      <w:r w:rsidRPr="004B6E75">
        <w:rPr>
          <w:rFonts w:asciiTheme="minorHAnsi" w:hAnsiTheme="minorHAnsi" w:cstheme="minorHAnsi"/>
          <w:sz w:val="22"/>
          <w:szCs w:val="22"/>
          <w:lang w:val="fr-CA" w:eastAsia="en-CA"/>
        </w:rPr>
        <w:t xml:space="preserve">, alors que la proportion était de 82,1 % dans des </w:t>
      </w:r>
      <w:r w:rsidRPr="004B6E75">
        <w:rPr>
          <w:rFonts w:asciiTheme="minorHAnsi" w:hAnsiTheme="minorHAnsi" w:cstheme="minorHAnsi"/>
          <w:sz w:val="22"/>
          <w:szCs w:val="22"/>
          <w:lang w:val="fr-CA" w:eastAsia="en-CA"/>
        </w:rPr>
        <w:lastRenderedPageBreak/>
        <w:t>organisations de taille semblable et de 59,4 % dans l’ensemble des organisations de la fonction publique fédérale.</w:t>
      </w:r>
    </w:p>
    <w:p w:rsidR="002730B1" w:rsidRPr="004B6E75" w:rsidRDefault="002730B1" w:rsidP="004B6E75">
      <w:pPr>
        <w:autoSpaceDE w:val="0"/>
        <w:autoSpaceDN w:val="0"/>
        <w:adjustRightInd w:val="0"/>
        <w:spacing w:before="120" w:line="259" w:lineRule="auto"/>
        <w:ind w:left="360"/>
        <w:rPr>
          <w:rFonts w:asciiTheme="minorHAnsi" w:hAnsiTheme="minorHAnsi" w:cstheme="minorHAnsi"/>
          <w:sz w:val="22"/>
          <w:szCs w:val="22"/>
          <w:lang w:val="fr-CA" w:eastAsia="en-CA"/>
        </w:rPr>
      </w:pPr>
      <w:r w:rsidRPr="004B6E75">
        <w:rPr>
          <w:rFonts w:asciiTheme="minorHAnsi" w:hAnsiTheme="minorHAnsi" w:cstheme="minorHAnsi"/>
          <w:sz w:val="22"/>
          <w:szCs w:val="22"/>
          <w:lang w:val="fr-CA" w:eastAsia="en-CA"/>
        </w:rPr>
        <w:t xml:space="preserve">En matière de perceptions du mérite, de l’équité et de la transparence, 70,2 % des </w:t>
      </w:r>
      <w:r w:rsidRPr="004B6E75">
        <w:rPr>
          <w:rFonts w:asciiTheme="minorHAnsi" w:hAnsiTheme="minorHAnsi" w:cstheme="minorHAnsi"/>
          <w:bCs/>
          <w:sz w:val="22"/>
          <w:szCs w:val="22"/>
          <w:lang w:val="fr-CA" w:eastAsia="en-CA"/>
        </w:rPr>
        <w:t xml:space="preserve">employés </w:t>
      </w:r>
      <w:r w:rsidRPr="004B6E75">
        <w:rPr>
          <w:rFonts w:asciiTheme="minorHAnsi" w:hAnsiTheme="minorHAnsi" w:cstheme="minorHAnsi"/>
          <w:sz w:val="22"/>
          <w:szCs w:val="22"/>
          <w:lang w:val="fr-CA" w:eastAsia="en-CA"/>
        </w:rPr>
        <w:t>ont indiqué que les personnes embauchées dans leur unité de travail peuvent effectuer le travail alors que la proportion était de 69,8 % dans des organisations de taille semblable et de 53,8 % dans l’ensemble des organisations de la fonction publique fédérale.</w:t>
      </w:r>
    </w:p>
    <w:p w:rsidR="002730B1" w:rsidRPr="004B6E75" w:rsidRDefault="00ED3C47" w:rsidP="00D7525F">
      <w:pPr>
        <w:pStyle w:val="Heading1"/>
        <w:spacing w:before="120" w:after="120"/>
        <w:rPr>
          <w:lang w:val="fr-CA"/>
        </w:rPr>
      </w:pPr>
      <w:r w:rsidRPr="004B6E75">
        <w:rPr>
          <w:lang w:val="fr-CA"/>
        </w:rPr>
        <w:t>Profil de la diversité</w:t>
      </w:r>
    </w:p>
    <w:p w:rsidR="002730B1" w:rsidRPr="004B6E75" w:rsidRDefault="002730B1" w:rsidP="00D7525F">
      <w:pPr>
        <w:spacing w:before="120" w:after="120"/>
        <w:rPr>
          <w:rFonts w:asciiTheme="minorHAnsi" w:hAnsiTheme="minorHAnsi" w:cstheme="minorHAnsi"/>
          <w:sz w:val="22"/>
          <w:szCs w:val="22"/>
          <w:lang w:val="fr-CA"/>
        </w:rPr>
      </w:pPr>
      <w:r w:rsidRPr="004B6E75">
        <w:rPr>
          <w:rFonts w:asciiTheme="minorHAnsi" w:hAnsiTheme="minorHAnsi" w:cstheme="minorHAnsi"/>
          <w:sz w:val="22"/>
          <w:szCs w:val="22"/>
          <w:lang w:val="fr-CA"/>
        </w:rPr>
        <w:t>À l’heure actuelle, il n’existe aucune donnée pour 2017-2018. Sachant que l’ACFC comptait 98 employés en date du 31 mars 2017, et qu’en date du 31 mars 2018 cet effectif avait atteint 113 personnes, l’organisation a soumis son premier rapport annuel sur l’équité en matière d’emploi au Parlement en 2018.</w:t>
      </w:r>
    </w:p>
    <w:p w:rsidR="002730B1" w:rsidRPr="004B6E75" w:rsidRDefault="00ED3C47" w:rsidP="00D7525F">
      <w:pPr>
        <w:pStyle w:val="Heading1"/>
        <w:spacing w:before="120" w:after="120"/>
        <w:rPr>
          <w:lang w:val="fr-CA"/>
        </w:rPr>
      </w:pPr>
      <w:r w:rsidRPr="004B6E75">
        <w:rPr>
          <w:lang w:val="fr-CA"/>
        </w:rPr>
        <w:t>Droits de priorité et vétérans</w:t>
      </w:r>
    </w:p>
    <w:p w:rsidR="002730B1" w:rsidRPr="004B6E75" w:rsidRDefault="002730B1" w:rsidP="00D7525F">
      <w:pPr>
        <w:spacing w:before="120" w:after="120"/>
        <w:rPr>
          <w:rFonts w:asciiTheme="minorHAnsi" w:eastAsiaTheme="minorHAnsi" w:hAnsiTheme="minorHAnsi" w:cstheme="minorHAnsi"/>
          <w:sz w:val="22"/>
          <w:szCs w:val="22"/>
          <w:lang w:val="fr-CA"/>
        </w:rPr>
      </w:pPr>
      <w:r w:rsidRPr="004B6E75">
        <w:rPr>
          <w:rFonts w:asciiTheme="minorHAnsi" w:eastAsiaTheme="minorHAnsi" w:hAnsiTheme="minorHAnsi" w:cstheme="minorHAnsi"/>
          <w:sz w:val="22"/>
          <w:szCs w:val="22"/>
          <w:lang w:val="fr-CA"/>
        </w:rPr>
        <w:t>Du 1</w:t>
      </w:r>
      <w:r w:rsidRPr="004B6E75">
        <w:rPr>
          <w:rFonts w:asciiTheme="minorHAnsi" w:eastAsiaTheme="minorHAnsi" w:hAnsiTheme="minorHAnsi" w:cstheme="minorHAnsi"/>
          <w:sz w:val="22"/>
          <w:szCs w:val="22"/>
          <w:vertAlign w:val="superscript"/>
          <w:lang w:val="fr-CA"/>
        </w:rPr>
        <w:t>er</w:t>
      </w:r>
      <w:r w:rsidRPr="004B6E75">
        <w:rPr>
          <w:rFonts w:asciiTheme="minorHAnsi" w:eastAsiaTheme="minorHAnsi" w:hAnsiTheme="minorHAnsi" w:cstheme="minorHAnsi"/>
          <w:sz w:val="22"/>
          <w:szCs w:val="22"/>
          <w:lang w:val="fr-CA"/>
        </w:rPr>
        <w:t> avril 2018 au 17 juillet 2019, l’ACFC a nommé une personne bénéficiant d’un droit de priorité. Pendant cette même période, elle a présenté 69 demandes d’autorisation en matière de priorité.</w:t>
      </w:r>
    </w:p>
    <w:p w:rsidR="002730B1" w:rsidRPr="004B6E75" w:rsidRDefault="002730B1" w:rsidP="00D7525F">
      <w:pPr>
        <w:pStyle w:val="ListParagraph"/>
        <w:spacing w:before="120" w:after="120"/>
        <w:contextualSpacing w:val="0"/>
        <w:rPr>
          <w:rFonts w:asciiTheme="minorHAnsi" w:hAnsiTheme="minorHAnsi" w:cstheme="minorHAnsi"/>
          <w:iCs/>
          <w:sz w:val="22"/>
          <w:szCs w:val="22"/>
          <w:lang w:val="fr-CA"/>
        </w:rPr>
      </w:pPr>
      <w:r w:rsidRPr="004B6E75">
        <w:rPr>
          <w:rFonts w:asciiTheme="minorHAnsi" w:eastAsiaTheme="minorHAnsi" w:hAnsiTheme="minorHAnsi" w:cstheme="minorHAnsi"/>
          <w:sz w:val="22"/>
          <w:szCs w:val="22"/>
          <w:lang w:val="fr-CA"/>
        </w:rPr>
        <w:t xml:space="preserve">En date du 30 juin 2019, l’ACFC n’a nommé aucun membre des Forces armées canadiennes libéré pour raisons médicales attribuables ou non au service, et ce depuis la date d’entrée en vigueur de la </w:t>
      </w:r>
      <w:r w:rsidRPr="004B6E75">
        <w:rPr>
          <w:rStyle w:val="Emphasis"/>
          <w:rFonts w:eastAsiaTheme="minorHAnsi"/>
          <w:lang w:val="fr-CA"/>
        </w:rPr>
        <w:t>Loi sur l’embauche des anciens combattants</w:t>
      </w:r>
      <w:r w:rsidRPr="004B6E75">
        <w:rPr>
          <w:rFonts w:asciiTheme="minorHAnsi" w:eastAsiaTheme="minorHAnsi" w:hAnsiTheme="minorHAnsi" w:cstheme="minorHAnsi"/>
          <w:sz w:val="22"/>
          <w:szCs w:val="22"/>
          <w:lang w:val="fr-CA"/>
        </w:rPr>
        <w:t>, le 1er juillet 2015.</w:t>
      </w:r>
    </w:p>
    <w:p w:rsidR="002730B1" w:rsidRPr="004B6E75" w:rsidRDefault="002730B1" w:rsidP="00D7525F">
      <w:pPr>
        <w:spacing w:before="120" w:after="120"/>
        <w:rPr>
          <w:rFonts w:asciiTheme="minorHAnsi" w:hAnsiTheme="minorHAnsi" w:cstheme="minorHAnsi"/>
          <w:sz w:val="22"/>
          <w:szCs w:val="22"/>
          <w:lang w:val="fr-CA"/>
        </w:rPr>
      </w:pPr>
      <w:r w:rsidRPr="004B6E75">
        <w:rPr>
          <w:rFonts w:asciiTheme="minorHAnsi" w:hAnsiTheme="minorHAnsi" w:cstheme="minorHAnsi"/>
          <w:sz w:val="22"/>
          <w:szCs w:val="22"/>
          <w:lang w:val="fr-CA"/>
        </w:rPr>
        <w:t>Le 16 août 2019, l’ACFC avait un total de deux personnes bénéficiaires d’un droit de priorité : l’une était bénéficiaire d’un droit de priorité accordé aux personnes revenant d’un congé, et l’autre, d’un droit de priorité de réintégration.</w:t>
      </w:r>
    </w:p>
    <w:p w:rsidR="002730B1" w:rsidRPr="004B6E75" w:rsidRDefault="002730B1" w:rsidP="00D7525F">
      <w:pPr>
        <w:spacing w:before="120" w:after="120"/>
        <w:rPr>
          <w:rFonts w:asciiTheme="minorHAnsi" w:hAnsiTheme="minorHAnsi" w:cstheme="minorHAnsi"/>
          <w:sz w:val="22"/>
          <w:szCs w:val="22"/>
          <w:lang w:val="fr-CA"/>
        </w:rPr>
      </w:pPr>
      <w:r w:rsidRPr="004B6E75">
        <w:rPr>
          <w:rFonts w:asciiTheme="minorHAnsi" w:hAnsiTheme="minorHAnsi" w:cstheme="minorHAnsi"/>
          <w:sz w:val="22"/>
          <w:szCs w:val="22"/>
          <w:lang w:val="fr-CA"/>
        </w:rPr>
        <w:t>Comme l’ACFC est une agence distincte assujettie à la LEFP, elle n’a pas le même système de classification que l’administration publique centrale. Elle transmet régulièrement les plus récentes échelles salariales pour sa classification pour veiller à ce qu’elles correspondent adéquatement aux postes.</w:t>
      </w:r>
    </w:p>
    <w:p w:rsidR="002730B1" w:rsidRPr="004B6E75" w:rsidRDefault="00ED3C47" w:rsidP="00D7525F">
      <w:pPr>
        <w:pStyle w:val="Heading1"/>
        <w:spacing w:before="120" w:after="120"/>
        <w:rPr>
          <w:lang w:val="fr-CA"/>
        </w:rPr>
      </w:pPr>
      <w:r w:rsidRPr="004B6E75">
        <w:rPr>
          <w:lang w:val="fr-CA"/>
        </w:rPr>
        <w:t xml:space="preserve">Impartialité de la fonction publique </w:t>
      </w:r>
    </w:p>
    <w:p w:rsidR="002730B1" w:rsidRPr="004B6E75" w:rsidRDefault="002730B1" w:rsidP="00D7525F">
      <w:pPr>
        <w:spacing w:before="120" w:after="120"/>
        <w:rPr>
          <w:rFonts w:asciiTheme="minorHAnsi" w:eastAsia="Calibri" w:hAnsiTheme="minorHAnsi" w:cstheme="minorHAnsi"/>
          <w:sz w:val="22"/>
          <w:szCs w:val="22"/>
          <w:lang w:val="fr-CA" w:eastAsia="en-CA"/>
        </w:rPr>
      </w:pPr>
      <w:r w:rsidRPr="004B6E75">
        <w:rPr>
          <w:rFonts w:asciiTheme="minorHAnsi" w:eastAsia="Calibri" w:hAnsiTheme="minorHAnsi" w:cstheme="minorHAnsi"/>
          <w:sz w:val="22"/>
          <w:szCs w:val="22"/>
          <w:lang w:val="fr-CA" w:eastAsia="en-CA"/>
        </w:rPr>
        <w:t>A</w:t>
      </w:r>
      <w:r w:rsidR="001D7965" w:rsidRPr="004B6E75">
        <w:rPr>
          <w:rFonts w:asciiTheme="minorHAnsi" w:eastAsia="Calibri" w:hAnsiTheme="minorHAnsi" w:cstheme="minorHAnsi"/>
          <w:sz w:val="22"/>
          <w:szCs w:val="22"/>
          <w:lang w:val="fr-CA" w:eastAsia="en-CA"/>
        </w:rPr>
        <w:t>nnie Grenier</w:t>
      </w:r>
      <w:r w:rsidRPr="004B6E75">
        <w:rPr>
          <w:rFonts w:asciiTheme="minorHAnsi" w:eastAsia="Calibri" w:hAnsiTheme="minorHAnsi" w:cstheme="minorHAnsi"/>
          <w:sz w:val="22"/>
          <w:szCs w:val="22"/>
          <w:lang w:val="fr-CA" w:eastAsia="en-CA"/>
        </w:rPr>
        <w:t xml:space="preserve"> est l</w:t>
      </w:r>
      <w:r w:rsidR="001D7965" w:rsidRPr="004B6E75">
        <w:rPr>
          <w:rFonts w:asciiTheme="minorHAnsi" w:eastAsia="Calibri" w:hAnsiTheme="minorHAnsi" w:cstheme="minorHAnsi"/>
          <w:sz w:val="22"/>
          <w:szCs w:val="22"/>
          <w:lang w:val="fr-CA" w:eastAsia="en-CA"/>
        </w:rPr>
        <w:t>a</w:t>
      </w:r>
      <w:r w:rsidRPr="004B6E75">
        <w:rPr>
          <w:rFonts w:asciiTheme="minorHAnsi" w:eastAsia="Calibri" w:hAnsiTheme="minorHAnsi" w:cstheme="minorHAnsi"/>
          <w:sz w:val="22"/>
          <w:szCs w:val="22"/>
          <w:lang w:val="fr-CA" w:eastAsia="en-CA"/>
        </w:rPr>
        <w:t xml:space="preserve"> représentant</w:t>
      </w:r>
      <w:r w:rsidR="001D7965" w:rsidRPr="004B6E75">
        <w:rPr>
          <w:rFonts w:asciiTheme="minorHAnsi" w:eastAsia="Calibri" w:hAnsiTheme="minorHAnsi" w:cstheme="minorHAnsi"/>
          <w:sz w:val="22"/>
          <w:szCs w:val="22"/>
          <w:lang w:val="fr-CA" w:eastAsia="en-CA"/>
        </w:rPr>
        <w:t>e</w:t>
      </w:r>
      <w:r w:rsidRPr="004B6E75">
        <w:rPr>
          <w:rFonts w:asciiTheme="minorHAnsi" w:eastAsia="Calibri" w:hAnsiTheme="minorHAnsi" w:cstheme="minorHAnsi"/>
          <w:sz w:val="22"/>
          <w:szCs w:val="22"/>
          <w:lang w:val="fr-CA" w:eastAsia="en-CA"/>
        </w:rPr>
        <w:t xml:space="preserve"> désigné</w:t>
      </w:r>
      <w:r w:rsidR="001D7965" w:rsidRPr="004B6E75">
        <w:rPr>
          <w:rFonts w:asciiTheme="minorHAnsi" w:eastAsia="Calibri" w:hAnsiTheme="minorHAnsi" w:cstheme="minorHAnsi"/>
          <w:sz w:val="22"/>
          <w:szCs w:val="22"/>
          <w:lang w:val="fr-CA" w:eastAsia="en-CA"/>
        </w:rPr>
        <w:t>e</w:t>
      </w:r>
      <w:r w:rsidRPr="004B6E75">
        <w:rPr>
          <w:rFonts w:asciiTheme="minorHAnsi" w:eastAsia="Calibri" w:hAnsiTheme="minorHAnsi" w:cstheme="minorHAnsi"/>
          <w:sz w:val="22"/>
          <w:szCs w:val="22"/>
          <w:lang w:val="fr-CA" w:eastAsia="en-CA"/>
        </w:rPr>
        <w:t xml:space="preserve"> en matière d’activités politiques (RDAP) de l’ACFC. Le RDAP assure la liaison avec la CFP sur des questions liées aux activités politiques et à l’impartialité.</w:t>
      </w:r>
    </w:p>
    <w:p w:rsidR="002730B1" w:rsidRPr="004B6E75" w:rsidRDefault="002730B1" w:rsidP="00D7525F">
      <w:pPr>
        <w:spacing w:before="120" w:after="120"/>
        <w:rPr>
          <w:rFonts w:asciiTheme="minorHAnsi" w:eastAsia="Calibri" w:hAnsiTheme="minorHAnsi" w:cstheme="minorHAnsi"/>
          <w:sz w:val="22"/>
          <w:szCs w:val="22"/>
          <w:lang w:val="fr-CA" w:eastAsia="en-CA"/>
        </w:rPr>
      </w:pPr>
      <w:r w:rsidRPr="004B6E75">
        <w:rPr>
          <w:rFonts w:asciiTheme="minorHAnsi" w:eastAsia="Calibri" w:hAnsiTheme="minorHAnsi" w:cstheme="minorHAnsi"/>
          <w:sz w:val="22"/>
          <w:szCs w:val="22"/>
          <w:lang w:val="fr-CA" w:eastAsia="en-CA"/>
        </w:rPr>
        <w:t>Depuis le 1er avril 2015, la CFP n’a traité aucune demande de permission fédérale, provinciale, territoriale ou municipale provenant de cette organisation.</w:t>
      </w:r>
    </w:p>
    <w:p w:rsidR="002730B1" w:rsidRPr="004B6E75" w:rsidRDefault="002730B1" w:rsidP="00D7525F">
      <w:pPr>
        <w:autoSpaceDE w:val="0"/>
        <w:autoSpaceDN w:val="0"/>
        <w:adjustRightInd w:val="0"/>
        <w:spacing w:before="120" w:after="120"/>
        <w:rPr>
          <w:rFonts w:asciiTheme="minorHAnsi" w:eastAsia="Calibri" w:hAnsiTheme="minorHAnsi" w:cstheme="minorHAnsi"/>
          <w:sz w:val="22"/>
          <w:szCs w:val="22"/>
          <w:lang w:val="fr-CA" w:eastAsia="en-CA"/>
        </w:rPr>
      </w:pPr>
      <w:r w:rsidRPr="004B6E75">
        <w:rPr>
          <w:rFonts w:asciiTheme="minorHAnsi" w:hAnsiTheme="minorHAnsi" w:cstheme="minorHAnsi"/>
          <w:sz w:val="22"/>
          <w:szCs w:val="22"/>
          <w:lang w:val="fr-CA"/>
        </w:rPr>
        <w:t xml:space="preserve">Les résultats du sondage sur la dotation et l’impartialité politique de 2018 indiquent que 82,2 % des employés de l’ACFC comprennent </w:t>
      </w:r>
      <w:r w:rsidRPr="004B6E75">
        <w:rPr>
          <w:rFonts w:asciiTheme="minorHAnsi" w:eastAsia="Calibri" w:hAnsiTheme="minorHAnsi" w:cstheme="minorHAnsi"/>
          <w:sz w:val="22"/>
          <w:szCs w:val="22"/>
          <w:lang w:val="fr-CA" w:eastAsia="en-CA"/>
        </w:rPr>
        <w:t xml:space="preserve">leurs droits et responsabilités concernant la participation à des activités politiques, </w:t>
      </w:r>
      <w:r w:rsidRPr="004B6E75">
        <w:rPr>
          <w:rFonts w:asciiTheme="minorHAnsi" w:hAnsiTheme="minorHAnsi" w:cstheme="minorHAnsi"/>
          <w:sz w:val="22"/>
          <w:szCs w:val="22"/>
          <w:lang w:val="fr-CA" w:eastAsia="en-CA"/>
        </w:rPr>
        <w:t>comparé à 80,1 % dans l’ensemble des organisations de la fonction publique.</w:t>
      </w:r>
    </w:p>
    <w:p w:rsidR="002730B1" w:rsidRPr="004B6E75" w:rsidRDefault="00ED3C47" w:rsidP="00D7525F">
      <w:pPr>
        <w:pStyle w:val="Heading1"/>
        <w:spacing w:before="120" w:after="120"/>
        <w:rPr>
          <w:lang w:val="fr-CA"/>
        </w:rPr>
      </w:pPr>
      <w:r w:rsidRPr="004B6E75">
        <w:rPr>
          <w:lang w:val="fr-CA"/>
        </w:rPr>
        <w:t>Initiatives de la CFP</w:t>
      </w:r>
    </w:p>
    <w:p w:rsidR="002730B1" w:rsidRPr="004B6E75" w:rsidRDefault="002730B1" w:rsidP="00D7525F">
      <w:pPr>
        <w:pStyle w:val="NoSpacing"/>
        <w:spacing w:before="120" w:after="120"/>
        <w:rPr>
          <w:rFonts w:asciiTheme="minorHAnsi" w:hAnsiTheme="minorHAnsi" w:cstheme="minorHAnsi"/>
          <w:color w:val="000000"/>
          <w:sz w:val="22"/>
          <w:szCs w:val="22"/>
          <w:lang w:val="fr-CA"/>
        </w:rPr>
      </w:pPr>
      <w:r w:rsidRPr="004B6E75">
        <w:rPr>
          <w:rFonts w:asciiTheme="minorHAnsi" w:hAnsiTheme="minorHAnsi" w:cstheme="minorHAnsi"/>
          <w:color w:val="000000"/>
          <w:sz w:val="22"/>
          <w:szCs w:val="22"/>
          <w:lang w:val="fr-CA"/>
        </w:rPr>
        <w:t>ACFC ne fait partie d’aucune initiative dirigée par la CFP.</w:t>
      </w:r>
    </w:p>
    <w:p w:rsidR="002730B1" w:rsidRPr="004B6E75" w:rsidRDefault="00ED3C47" w:rsidP="00D7525F">
      <w:pPr>
        <w:pStyle w:val="Heading1"/>
        <w:spacing w:before="120" w:after="120"/>
        <w:rPr>
          <w:lang w:val="fr-CA"/>
        </w:rPr>
      </w:pPr>
      <w:r w:rsidRPr="004B6E75">
        <w:rPr>
          <w:lang w:val="fr-CA"/>
        </w:rPr>
        <w:lastRenderedPageBreak/>
        <w:t xml:space="preserve">Soutien en dotation </w:t>
      </w:r>
    </w:p>
    <w:p w:rsidR="00ED3C47" w:rsidRPr="004B6E75" w:rsidRDefault="002730B1" w:rsidP="00D7525F">
      <w:pPr>
        <w:pStyle w:val="HTMLPreformatted"/>
        <w:spacing w:before="120" w:after="120"/>
        <w:rPr>
          <w:rFonts w:asciiTheme="minorHAnsi" w:hAnsiTheme="minorHAnsi" w:cstheme="minorHAnsi"/>
          <w:sz w:val="22"/>
          <w:szCs w:val="22"/>
          <w:lang w:val="fr-CA"/>
        </w:rPr>
      </w:pPr>
      <w:r w:rsidRPr="004B6E75">
        <w:rPr>
          <w:rFonts w:asciiTheme="minorHAnsi" w:hAnsiTheme="minorHAnsi" w:cstheme="minorHAnsi"/>
          <w:sz w:val="22"/>
          <w:szCs w:val="22"/>
          <w:lang w:val="fr-CA"/>
        </w:rPr>
        <w:t xml:space="preserve">La CSD </w:t>
      </w:r>
      <w:r w:rsidR="005D05F2" w:rsidRPr="004B6E75">
        <w:rPr>
          <w:rFonts w:asciiTheme="minorHAnsi" w:hAnsiTheme="minorHAnsi" w:cstheme="minorHAnsi"/>
          <w:sz w:val="22"/>
          <w:szCs w:val="22"/>
          <w:lang w:val="fr-CA"/>
        </w:rPr>
        <w:t xml:space="preserve">assignée </w:t>
      </w:r>
      <w:r w:rsidRPr="004B6E75">
        <w:rPr>
          <w:rFonts w:asciiTheme="minorHAnsi" w:hAnsiTheme="minorHAnsi" w:cstheme="minorHAnsi"/>
          <w:sz w:val="22"/>
          <w:szCs w:val="22"/>
          <w:lang w:val="fr-CA"/>
        </w:rPr>
        <w:t>à cette organisation est Gaétane Clément</w:t>
      </w:r>
      <w:r w:rsidRPr="004B6E75">
        <w:rPr>
          <w:rFonts w:asciiTheme="minorHAnsi" w:hAnsiTheme="minorHAnsi" w:cstheme="minorHAnsi"/>
          <w:i/>
          <w:sz w:val="22"/>
          <w:szCs w:val="22"/>
          <w:lang w:val="fr-CA"/>
        </w:rPr>
        <w:t xml:space="preserve">, </w:t>
      </w:r>
      <w:r w:rsidRPr="004B6E75">
        <w:rPr>
          <w:rFonts w:asciiTheme="minorHAnsi" w:hAnsiTheme="minorHAnsi" w:cstheme="minorHAnsi"/>
          <w:sz w:val="22"/>
          <w:szCs w:val="22"/>
          <w:lang w:val="fr-CA"/>
        </w:rPr>
        <w:t>la personne-ressource de l’organisation est Julie Guillerm-</w:t>
      </w:r>
      <w:proofErr w:type="spellStart"/>
      <w:r w:rsidRPr="004B6E75">
        <w:rPr>
          <w:rFonts w:asciiTheme="minorHAnsi" w:hAnsiTheme="minorHAnsi" w:cstheme="minorHAnsi"/>
          <w:sz w:val="22"/>
          <w:szCs w:val="22"/>
          <w:lang w:val="fr-CA"/>
        </w:rPr>
        <w:t>Therrien</w:t>
      </w:r>
      <w:proofErr w:type="spellEnd"/>
      <w:r w:rsidRPr="004B6E75">
        <w:rPr>
          <w:rFonts w:asciiTheme="minorHAnsi" w:hAnsiTheme="minorHAnsi" w:cstheme="minorHAnsi"/>
          <w:sz w:val="22"/>
          <w:szCs w:val="22"/>
          <w:lang w:val="fr-CA"/>
        </w:rPr>
        <w:t>, Gestionnaire des opérations en ressources humaines. Madame</w:t>
      </w:r>
      <w:r w:rsidRPr="004B6E75">
        <w:rPr>
          <w:rFonts w:asciiTheme="minorHAnsi" w:hAnsiTheme="minorHAnsi" w:cstheme="minorHAnsi"/>
          <w:b/>
          <w:i/>
          <w:sz w:val="22"/>
          <w:szCs w:val="22"/>
          <w:lang w:val="fr-CA"/>
        </w:rPr>
        <w:t xml:space="preserve"> </w:t>
      </w:r>
      <w:r w:rsidRPr="004B6E75">
        <w:rPr>
          <w:rFonts w:asciiTheme="minorHAnsi" w:hAnsiTheme="minorHAnsi" w:cstheme="minorHAnsi"/>
          <w:sz w:val="22"/>
          <w:szCs w:val="22"/>
          <w:lang w:val="fr-CA"/>
        </w:rPr>
        <w:t>Julie Neveu est la chef des ressources humaines pour ACFC</w:t>
      </w:r>
      <w:r w:rsidRPr="004B6E75">
        <w:rPr>
          <w:rFonts w:asciiTheme="minorHAnsi" w:hAnsiTheme="minorHAnsi" w:cstheme="minorHAnsi"/>
          <w:b/>
          <w:i/>
          <w:sz w:val="22"/>
          <w:szCs w:val="22"/>
          <w:lang w:val="fr-CA"/>
        </w:rPr>
        <w:t>.</w:t>
      </w:r>
      <w:r w:rsidRPr="004B6E75">
        <w:rPr>
          <w:rFonts w:asciiTheme="minorHAnsi" w:hAnsiTheme="minorHAnsi" w:cstheme="minorHAnsi"/>
          <w:sz w:val="22"/>
          <w:szCs w:val="22"/>
          <w:lang w:val="fr-CA"/>
        </w:rPr>
        <w:t xml:space="preserve"> À noter que Mme Neveu a remporté le prix Michelle C. Comeau pour l’excellence en leadership RH l’an dernier.</w:t>
      </w:r>
      <w:r w:rsidR="00ED3C47" w:rsidRPr="004B6E75">
        <w:rPr>
          <w:rFonts w:asciiTheme="minorHAnsi" w:hAnsiTheme="minorHAnsi" w:cstheme="minorHAnsi"/>
          <w:sz w:val="22"/>
          <w:szCs w:val="22"/>
          <w:lang w:val="fr-CA"/>
        </w:rPr>
        <w:br w:type="page"/>
      </w:r>
    </w:p>
    <w:p w:rsidR="002730B1" w:rsidRPr="004B6E75" w:rsidRDefault="002730B1" w:rsidP="00D7525F">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asciiTheme="minorHAnsi" w:hAnsiTheme="minorHAnsi" w:cstheme="minorHAnsi"/>
          <w:sz w:val="22"/>
          <w:szCs w:val="22"/>
          <w:lang w:val="fr-CA"/>
        </w:rPr>
      </w:pPr>
      <w:r w:rsidRPr="001D6BF4">
        <w:rPr>
          <w:rStyle w:val="Strong"/>
          <w:sz w:val="22"/>
          <w:lang w:val="fr-CA"/>
        </w:rPr>
        <w:lastRenderedPageBreak/>
        <w:t>PRÉPARÉ PAR</w:t>
      </w:r>
      <w:r w:rsidRPr="001D6BF4">
        <w:rPr>
          <w:rFonts w:asciiTheme="minorHAnsi" w:hAnsiTheme="minorHAnsi" w:cstheme="minorHAnsi"/>
          <w:b/>
          <w:bCs/>
          <w:sz w:val="20"/>
          <w:szCs w:val="22"/>
          <w:lang w:val="fr-CA"/>
        </w:rPr>
        <w:t> </w:t>
      </w:r>
      <w:r w:rsidRPr="004B6E75">
        <w:rPr>
          <w:rFonts w:asciiTheme="minorHAnsi" w:hAnsiTheme="minorHAnsi" w:cstheme="minorHAnsi"/>
          <w:b/>
          <w:bCs/>
          <w:sz w:val="22"/>
          <w:szCs w:val="22"/>
          <w:lang w:val="fr-CA"/>
        </w:rPr>
        <w:t>:</w:t>
      </w:r>
    </w:p>
    <w:p w:rsidR="002730B1" w:rsidRPr="004B6E75" w:rsidRDefault="002730B1" w:rsidP="008A0A9C">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rPr>
          <w:rFonts w:asciiTheme="minorHAnsi" w:hAnsiTheme="minorHAnsi" w:cstheme="minorHAnsi"/>
          <w:sz w:val="22"/>
          <w:szCs w:val="22"/>
          <w:lang w:val="fr-CA"/>
        </w:rPr>
      </w:pPr>
      <w:r w:rsidRPr="004B6E75">
        <w:rPr>
          <w:rFonts w:asciiTheme="minorHAnsi" w:hAnsiTheme="minorHAnsi" w:cstheme="minorHAnsi"/>
          <w:sz w:val="22"/>
          <w:szCs w:val="22"/>
          <w:lang w:val="fr-CA"/>
        </w:rPr>
        <w:t>Gaétane Clément</w:t>
      </w:r>
    </w:p>
    <w:p w:rsidR="008A0A9C" w:rsidRPr="004B6E75" w:rsidRDefault="002730B1" w:rsidP="008A0A9C">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heme="minorHAnsi" w:hAnsiTheme="minorHAnsi" w:cstheme="minorHAnsi"/>
          <w:sz w:val="22"/>
          <w:szCs w:val="22"/>
          <w:lang w:val="fr-CA"/>
        </w:rPr>
      </w:pPr>
      <w:r w:rsidRPr="004B6E75">
        <w:rPr>
          <w:rFonts w:asciiTheme="minorHAnsi" w:hAnsiTheme="minorHAnsi" w:cstheme="minorHAnsi"/>
          <w:sz w:val="22"/>
          <w:szCs w:val="22"/>
          <w:lang w:val="fr-CA"/>
        </w:rPr>
        <w:t>Conseillère au soutien en dotation</w:t>
      </w:r>
    </w:p>
    <w:p w:rsidR="002730B1" w:rsidRPr="004B6E75" w:rsidRDefault="002730B1" w:rsidP="00592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0"/>
        <w:rPr>
          <w:rFonts w:asciiTheme="minorHAnsi" w:hAnsiTheme="minorHAnsi" w:cstheme="minorHAnsi"/>
          <w:sz w:val="22"/>
          <w:szCs w:val="22"/>
          <w:lang w:val="fr-CA"/>
        </w:rPr>
      </w:pPr>
      <w:r w:rsidRPr="004B6E75">
        <w:rPr>
          <w:rFonts w:asciiTheme="minorHAnsi" w:hAnsiTheme="minorHAnsi" w:cstheme="minorHAnsi"/>
          <w:sz w:val="22"/>
          <w:szCs w:val="22"/>
          <w:lang w:val="fr-CA"/>
        </w:rPr>
        <w:t>Annexes :</w:t>
      </w:r>
    </w:p>
    <w:p w:rsidR="00F75322" w:rsidRPr="004B6E75" w:rsidRDefault="00F337FF" w:rsidP="00F75322">
      <w:pPr>
        <w:pStyle w:val="ListParagraph"/>
        <w:numPr>
          <w:ilvl w:val="0"/>
          <w:numId w:val="22"/>
        </w:numPr>
        <w:rPr>
          <w:rStyle w:val="Hyperlink"/>
          <w:rFonts w:asciiTheme="minorHAnsi" w:hAnsiTheme="minorHAnsi" w:cstheme="minorHAnsi"/>
          <w:bCs/>
          <w:sz w:val="22"/>
          <w:szCs w:val="22"/>
          <w:lang w:val="fr-CA"/>
        </w:rPr>
      </w:pPr>
      <w:hyperlink w:anchor="AnnexA" w:history="1">
        <w:r w:rsidR="00F75322" w:rsidRPr="004B6E75">
          <w:rPr>
            <w:rStyle w:val="Hyperlink"/>
            <w:rFonts w:asciiTheme="minorHAnsi" w:hAnsiTheme="minorHAnsi" w:cstheme="minorHAnsi"/>
            <w:sz w:val="22"/>
            <w:szCs w:val="22"/>
            <w:lang w:val="fr-CA"/>
          </w:rPr>
          <w:t xml:space="preserve">Annexe A –  Document Faits Saillants de la Nouvelle orientation en dotation (NOD) pour les AG </w:t>
        </w:r>
      </w:hyperlink>
    </w:p>
    <w:p w:rsidR="00F75322" w:rsidRPr="004B6E75" w:rsidRDefault="00F337FF" w:rsidP="00F75322">
      <w:pPr>
        <w:pStyle w:val="ListParagraph"/>
        <w:numPr>
          <w:ilvl w:val="0"/>
          <w:numId w:val="22"/>
        </w:numPr>
        <w:rPr>
          <w:rFonts w:asciiTheme="minorHAnsi" w:hAnsiTheme="minorHAnsi" w:cstheme="minorHAnsi"/>
          <w:bCs/>
          <w:sz w:val="22"/>
          <w:szCs w:val="22"/>
          <w:lang w:val="fr-CA"/>
        </w:rPr>
        <w:sectPr w:rsidR="00F75322" w:rsidRPr="004B6E75" w:rsidSect="00483378">
          <w:footerReference w:type="default" r:id="rId8"/>
          <w:footerReference w:type="first" r:id="rId9"/>
          <w:footnotePr>
            <w:numFmt w:val="lowerLetter"/>
          </w:footnotePr>
          <w:endnotePr>
            <w:numFmt w:val="lowerLetter"/>
          </w:endnotePr>
          <w:pgSz w:w="12240" w:h="15840" w:code="1"/>
          <w:pgMar w:top="1440" w:right="1077" w:bottom="1440" w:left="1077" w:header="284" w:footer="284" w:gutter="0"/>
          <w:cols w:space="720"/>
          <w:docGrid w:linePitch="326"/>
        </w:sectPr>
      </w:pPr>
      <w:hyperlink w:anchor="AnnexB" w:history="1">
        <w:r w:rsidR="00F75322" w:rsidRPr="004B6E75">
          <w:rPr>
            <w:rStyle w:val="Hyperlink"/>
            <w:rFonts w:asciiTheme="minorHAnsi" w:hAnsiTheme="minorHAnsi" w:cstheme="minorHAnsi"/>
            <w:sz w:val="22"/>
            <w:szCs w:val="22"/>
            <w:lang w:val="fr-CA"/>
          </w:rPr>
          <w:t>Annexe B - Données sur l’effectif et les activités de dotation</w:t>
        </w:r>
      </w:hyperlink>
    </w:p>
    <w:p w:rsidR="002730B1" w:rsidRPr="004B6E75" w:rsidRDefault="002730B1" w:rsidP="001D6BF4">
      <w:pPr>
        <w:pStyle w:val="Heading3"/>
        <w:jc w:val="right"/>
        <w:rPr>
          <w:lang w:val="fr-CA"/>
        </w:rPr>
      </w:pPr>
      <w:r w:rsidRPr="004B6E75">
        <w:rPr>
          <w:rFonts w:asciiTheme="minorHAnsi" w:hAnsiTheme="minorHAnsi" w:cstheme="minorHAnsi"/>
          <w:sz w:val="22"/>
          <w:szCs w:val="22"/>
          <w:lang w:val="fr-CA"/>
        </w:rPr>
        <w:lastRenderedPageBreak/>
        <w:t xml:space="preserve"> </w:t>
      </w:r>
      <w:bookmarkStart w:id="1" w:name="AnnexA"/>
      <w:r w:rsidR="00252164" w:rsidRPr="004B6E75">
        <w:rPr>
          <w:lang w:val="fr-CA"/>
        </w:rPr>
        <w:t>Annexe A</w:t>
      </w:r>
    </w:p>
    <w:bookmarkEnd w:id="1"/>
    <w:p w:rsidR="004361DD" w:rsidRPr="004B6E75" w:rsidRDefault="004361DD" w:rsidP="00D7525F">
      <w:pPr>
        <w:pStyle w:val="Heading2"/>
        <w:spacing w:before="120" w:after="120"/>
        <w:jc w:val="center"/>
        <w:rPr>
          <w:lang w:val="fr-CA"/>
        </w:rPr>
      </w:pPr>
      <w:r w:rsidRPr="004B6E75">
        <w:rPr>
          <w:lang w:val="fr-CA"/>
        </w:rPr>
        <w:t>Une nouvelle orientation en dotation - un système fondé sur le mérite</w:t>
      </w:r>
      <w:r w:rsidRPr="004B6E75">
        <w:rPr>
          <w:rFonts w:asciiTheme="majorHAnsi" w:hAnsiTheme="majorHAnsi" w:cstheme="majorBidi"/>
          <w:color w:val="54575A" w:themeColor="text1"/>
          <w:lang w:val="fr-CA"/>
        </w:rPr>
        <w:t xml:space="preserve"> </w:t>
      </w:r>
      <w:r w:rsidRPr="004B6E75">
        <w:rPr>
          <w:lang w:val="fr-CA"/>
        </w:rPr>
        <w:t>et axé sur l’efficacité, l’efficience et la justice</w:t>
      </w:r>
    </w:p>
    <w:p w:rsidR="004361DD" w:rsidRPr="004B6E75" w:rsidRDefault="004361DD" w:rsidP="00D7525F">
      <w:pPr>
        <w:pStyle w:val="Heading3"/>
        <w:spacing w:before="120" w:after="120"/>
        <w:rPr>
          <w:sz w:val="22"/>
          <w:szCs w:val="22"/>
          <w:lang w:val="fr-CA"/>
        </w:rPr>
      </w:pPr>
      <w:r w:rsidRPr="004B6E75">
        <w:rPr>
          <w:sz w:val="22"/>
          <w:szCs w:val="22"/>
          <w:lang w:val="fr-CA"/>
        </w:rPr>
        <w:t>Politique de nomination</w:t>
      </w:r>
    </w:p>
    <w:p w:rsidR="004361DD" w:rsidRPr="004B6E75" w:rsidRDefault="004361DD" w:rsidP="00D7525F">
      <w:pPr>
        <w:keepLines/>
        <w:spacing w:before="120" w:after="120" w:line="259" w:lineRule="auto"/>
        <w:rPr>
          <w:rFonts w:asciiTheme="minorHAnsi" w:eastAsiaTheme="minorHAnsi" w:hAnsiTheme="minorHAnsi" w:cstheme="minorHAnsi"/>
          <w:spacing w:val="-6"/>
          <w:sz w:val="22"/>
          <w:szCs w:val="22"/>
          <w:lang w:val="fr-CA"/>
        </w:rPr>
      </w:pPr>
      <w:r w:rsidRPr="001D6BF4">
        <w:rPr>
          <w:rStyle w:val="Strong"/>
          <w:rFonts w:eastAsiaTheme="minorHAnsi"/>
          <w:sz w:val="22"/>
          <w:lang w:val="fr-CA"/>
        </w:rPr>
        <w:t>L’accent est davantage mis sur  les exigences de base</w:t>
      </w:r>
      <w:r w:rsidRPr="001D6BF4">
        <w:rPr>
          <w:rFonts w:asciiTheme="minorHAnsi" w:eastAsiaTheme="minorHAnsi" w:hAnsiTheme="minorHAnsi" w:cstheme="minorHAnsi"/>
          <w:spacing w:val="-6"/>
          <w:sz w:val="20"/>
          <w:szCs w:val="22"/>
          <w:lang w:val="fr-CA"/>
        </w:rPr>
        <w:t xml:space="preserve"> </w:t>
      </w:r>
      <w:r w:rsidRPr="004B6E75">
        <w:rPr>
          <w:rFonts w:asciiTheme="minorHAnsi" w:eastAsiaTheme="minorHAnsi" w:hAnsiTheme="minorHAnsi" w:cstheme="minorHAnsi"/>
          <w:spacing w:val="-6"/>
          <w:sz w:val="22"/>
          <w:szCs w:val="22"/>
          <w:lang w:val="fr-CA"/>
        </w:rPr>
        <w:t>afin de fournir aux personnes subdéléguées une plus grande  latitude à l’égard des nominations</w:t>
      </w:r>
    </w:p>
    <w:p w:rsidR="004361DD" w:rsidRPr="004B6E75" w:rsidRDefault="004361DD" w:rsidP="00B03FEE">
      <w:pPr>
        <w:keepLines/>
        <w:numPr>
          <w:ilvl w:val="0"/>
          <w:numId w:val="15"/>
        </w:numPr>
        <w:spacing w:line="259" w:lineRule="auto"/>
        <w:rPr>
          <w:rFonts w:asciiTheme="minorHAnsi" w:eastAsiaTheme="minorHAnsi" w:hAnsiTheme="minorHAnsi" w:cstheme="minorHAnsi"/>
          <w:spacing w:val="-6"/>
          <w:sz w:val="22"/>
          <w:szCs w:val="22"/>
          <w:lang w:val="fr-CA"/>
        </w:rPr>
      </w:pPr>
      <w:r w:rsidRPr="001D6BF4">
        <w:rPr>
          <w:rStyle w:val="Strong"/>
          <w:rFonts w:eastAsiaTheme="minorHAnsi"/>
          <w:sz w:val="22"/>
          <w:lang w:val="fr-CA"/>
        </w:rPr>
        <w:t>Une seule politique de nomination</w:t>
      </w:r>
      <w:r w:rsidRPr="004B6E75">
        <w:rPr>
          <w:rFonts w:asciiTheme="minorHAnsi" w:eastAsiaTheme="minorHAnsi" w:hAnsiTheme="minorHAnsi" w:cstheme="minorHAnsi"/>
          <w:spacing w:val="-6"/>
          <w:sz w:val="22"/>
          <w:szCs w:val="22"/>
          <w:lang w:val="fr-CA"/>
        </w:rPr>
        <w:t xml:space="preserve">, sans chevauchement des obligations juridiques </w:t>
      </w:r>
    </w:p>
    <w:p w:rsidR="004361DD" w:rsidRPr="004B6E75" w:rsidRDefault="004361DD" w:rsidP="00B03FEE">
      <w:pPr>
        <w:keepLines/>
        <w:numPr>
          <w:ilvl w:val="0"/>
          <w:numId w:val="15"/>
        </w:numPr>
        <w:spacing w:line="259" w:lineRule="auto"/>
        <w:rPr>
          <w:rFonts w:asciiTheme="minorHAnsi" w:eastAsiaTheme="minorHAnsi" w:hAnsiTheme="minorHAnsi" w:cstheme="minorHAnsi"/>
          <w:spacing w:val="-6"/>
          <w:sz w:val="22"/>
          <w:szCs w:val="22"/>
          <w:lang w:val="fr-CA"/>
        </w:rPr>
      </w:pPr>
      <w:r w:rsidRPr="001D6BF4">
        <w:rPr>
          <w:rStyle w:val="Strong"/>
          <w:rFonts w:eastAsiaTheme="minorHAnsi"/>
          <w:sz w:val="22"/>
          <w:lang w:val="fr-CA"/>
        </w:rPr>
        <w:t>Accent accru sur un système axé sur les valeurs</w:t>
      </w:r>
      <w:r w:rsidRPr="001D6BF4">
        <w:rPr>
          <w:rFonts w:asciiTheme="minorHAnsi" w:eastAsiaTheme="minorHAnsi" w:hAnsiTheme="minorHAnsi" w:cstheme="minorHAnsi"/>
          <w:sz w:val="20"/>
          <w:szCs w:val="22"/>
          <w:lang w:val="fr-CA"/>
        </w:rPr>
        <w:t xml:space="preserve"> </w:t>
      </w:r>
      <w:r w:rsidRPr="004B6E75">
        <w:rPr>
          <w:rFonts w:asciiTheme="minorHAnsi" w:eastAsiaTheme="minorHAnsi" w:hAnsiTheme="minorHAnsi" w:cstheme="minorHAnsi"/>
          <w:sz w:val="22"/>
          <w:szCs w:val="22"/>
          <w:lang w:val="fr-CA"/>
        </w:rPr>
        <w:t xml:space="preserve">plutôt que sur un </w:t>
      </w:r>
      <w:r w:rsidRPr="004B6E75">
        <w:rPr>
          <w:rFonts w:asciiTheme="minorHAnsi" w:eastAsiaTheme="minorHAnsi" w:hAnsiTheme="minorHAnsi" w:cstheme="minorHAnsi"/>
          <w:spacing w:val="-6"/>
          <w:sz w:val="22"/>
          <w:szCs w:val="22"/>
          <w:lang w:val="fr-CA"/>
        </w:rPr>
        <w:t>système axé sur les règles</w:t>
      </w:r>
      <w:r w:rsidRPr="004B6E75">
        <w:rPr>
          <w:rFonts w:asciiTheme="minorHAnsi" w:eastAsiaTheme="minorHAnsi" w:hAnsiTheme="minorHAnsi" w:cstheme="minorHAnsi"/>
          <w:b/>
          <w:spacing w:val="-6"/>
          <w:sz w:val="22"/>
          <w:szCs w:val="22"/>
          <w:lang w:val="fr-CA"/>
        </w:rPr>
        <w:t xml:space="preserve"> </w:t>
      </w:r>
    </w:p>
    <w:p w:rsidR="004361DD" w:rsidRPr="004B6E75" w:rsidRDefault="004361DD" w:rsidP="00B03FEE">
      <w:pPr>
        <w:keepLines/>
        <w:numPr>
          <w:ilvl w:val="0"/>
          <w:numId w:val="15"/>
        </w:numPr>
        <w:spacing w:line="259" w:lineRule="auto"/>
        <w:rPr>
          <w:rFonts w:asciiTheme="minorHAnsi" w:eastAsiaTheme="minorHAnsi" w:hAnsiTheme="minorHAnsi" w:cstheme="minorHAnsi"/>
          <w:spacing w:val="-6"/>
          <w:sz w:val="22"/>
          <w:szCs w:val="22"/>
          <w:lang w:val="fr-CA"/>
        </w:rPr>
      </w:pPr>
      <w:r w:rsidRPr="004B6E75">
        <w:rPr>
          <w:rFonts w:asciiTheme="minorHAnsi" w:eastAsiaTheme="minorHAnsi" w:hAnsiTheme="minorHAnsi" w:cstheme="minorHAnsi"/>
          <w:spacing w:val="-6"/>
          <w:sz w:val="22"/>
          <w:szCs w:val="22"/>
          <w:lang w:val="fr-CA"/>
        </w:rPr>
        <w:t xml:space="preserve">Politique de nomination appuyée par une </w:t>
      </w:r>
      <w:r w:rsidRPr="001D6BF4">
        <w:rPr>
          <w:rStyle w:val="Strong"/>
          <w:rFonts w:eastAsiaTheme="minorHAnsi"/>
          <w:sz w:val="22"/>
          <w:lang w:val="fr-CA"/>
        </w:rPr>
        <w:t>orientation rationalisée</w:t>
      </w:r>
      <w:r w:rsidRPr="001D6BF4">
        <w:rPr>
          <w:rFonts w:asciiTheme="minorHAnsi" w:eastAsiaTheme="minorHAnsi" w:hAnsiTheme="minorHAnsi" w:cstheme="minorHAnsi"/>
          <w:b/>
          <w:spacing w:val="-6"/>
          <w:sz w:val="20"/>
          <w:szCs w:val="22"/>
          <w:lang w:val="fr-CA"/>
        </w:rPr>
        <w:t xml:space="preserve"> </w:t>
      </w:r>
      <w:r w:rsidRPr="004B6E75">
        <w:rPr>
          <w:rFonts w:asciiTheme="minorHAnsi" w:eastAsiaTheme="minorHAnsi" w:hAnsiTheme="minorHAnsi" w:cstheme="minorHAnsi"/>
          <w:spacing w:val="-6"/>
          <w:sz w:val="22"/>
          <w:szCs w:val="22"/>
          <w:lang w:val="fr-CA"/>
        </w:rPr>
        <w:t>:</w:t>
      </w:r>
    </w:p>
    <w:p w:rsidR="004361DD" w:rsidRPr="004B6E75" w:rsidRDefault="004361DD" w:rsidP="00B03FEE">
      <w:pPr>
        <w:keepLines/>
        <w:numPr>
          <w:ilvl w:val="1"/>
          <w:numId w:val="6"/>
        </w:numPr>
        <w:spacing w:line="259" w:lineRule="auto"/>
        <w:ind w:left="1508" w:hanging="425"/>
        <w:rPr>
          <w:rFonts w:asciiTheme="minorHAnsi" w:eastAsiaTheme="minorHAnsi" w:hAnsiTheme="minorHAnsi" w:cstheme="minorHAnsi"/>
          <w:spacing w:val="-6"/>
          <w:sz w:val="22"/>
          <w:szCs w:val="22"/>
          <w:lang w:val="fr-CA"/>
        </w:rPr>
      </w:pPr>
      <w:r w:rsidRPr="004B6E75">
        <w:rPr>
          <w:rFonts w:asciiTheme="minorHAnsi" w:eastAsiaTheme="minorHAnsi" w:hAnsiTheme="minorHAnsi" w:cstheme="minorHAnsi"/>
          <w:spacing w:val="-6"/>
          <w:sz w:val="22"/>
          <w:szCs w:val="22"/>
          <w:lang w:val="fr-CA"/>
        </w:rPr>
        <w:t>Feuille de route précisant les exigences relatives aux lois, règlements et politiques</w:t>
      </w:r>
    </w:p>
    <w:p w:rsidR="004361DD" w:rsidRPr="004B6E75" w:rsidRDefault="004361DD" w:rsidP="00B03FEE">
      <w:pPr>
        <w:keepLines/>
        <w:numPr>
          <w:ilvl w:val="1"/>
          <w:numId w:val="6"/>
        </w:numPr>
        <w:spacing w:line="259" w:lineRule="auto"/>
        <w:ind w:left="1508" w:hanging="425"/>
        <w:rPr>
          <w:rFonts w:asciiTheme="minorHAnsi" w:eastAsiaTheme="minorHAnsi" w:hAnsiTheme="minorHAnsi" w:cstheme="minorHAnsi"/>
          <w:spacing w:val="-6"/>
          <w:sz w:val="22"/>
          <w:szCs w:val="22"/>
          <w:lang w:val="fr-CA"/>
        </w:rPr>
      </w:pPr>
      <w:r w:rsidRPr="004B6E75">
        <w:rPr>
          <w:rFonts w:asciiTheme="minorHAnsi" w:eastAsiaTheme="minorHAnsi" w:hAnsiTheme="minorHAnsi" w:cstheme="minorHAnsi"/>
          <w:spacing w:val="-6"/>
          <w:sz w:val="22"/>
          <w:szCs w:val="22"/>
          <w:lang w:val="fr-CA"/>
        </w:rPr>
        <w:t>Options et considérations relatives à  la prise de décisions dans les cas où il existe une certaine latitude</w:t>
      </w:r>
    </w:p>
    <w:p w:rsidR="004361DD" w:rsidRPr="004B6E75" w:rsidRDefault="004361DD" w:rsidP="00B03FEE">
      <w:pPr>
        <w:keepLines/>
        <w:numPr>
          <w:ilvl w:val="0"/>
          <w:numId w:val="16"/>
        </w:numPr>
        <w:spacing w:line="259" w:lineRule="auto"/>
        <w:rPr>
          <w:rFonts w:asciiTheme="minorHAnsi" w:eastAsiaTheme="minorHAnsi" w:hAnsiTheme="minorHAnsi" w:cstheme="minorHAnsi"/>
          <w:spacing w:val="-6"/>
          <w:sz w:val="22"/>
          <w:szCs w:val="22"/>
          <w:lang w:val="fr-CA"/>
        </w:rPr>
      </w:pPr>
      <w:r w:rsidRPr="001D6BF4">
        <w:rPr>
          <w:rStyle w:val="Strong"/>
          <w:rFonts w:eastAsiaTheme="minorHAnsi"/>
          <w:sz w:val="22"/>
          <w:lang w:val="fr-CA"/>
        </w:rPr>
        <w:t>Attentes clairement définies</w:t>
      </w:r>
      <w:r w:rsidRPr="001D6BF4">
        <w:rPr>
          <w:rFonts w:asciiTheme="minorHAnsi" w:eastAsiaTheme="minorHAnsi" w:hAnsiTheme="minorHAnsi" w:cstheme="minorHAnsi"/>
          <w:spacing w:val="-6"/>
          <w:sz w:val="20"/>
          <w:szCs w:val="22"/>
          <w:lang w:val="fr-CA"/>
        </w:rPr>
        <w:t xml:space="preserve"> </w:t>
      </w:r>
      <w:r w:rsidRPr="004B6E75">
        <w:rPr>
          <w:rFonts w:asciiTheme="minorHAnsi" w:eastAsiaTheme="minorHAnsi" w:hAnsiTheme="minorHAnsi" w:cstheme="minorHAnsi"/>
          <w:spacing w:val="-6"/>
          <w:sz w:val="22"/>
          <w:szCs w:val="22"/>
          <w:lang w:val="fr-CA"/>
        </w:rPr>
        <w:t>quant aux droits de priorité</w:t>
      </w:r>
    </w:p>
    <w:p w:rsidR="004361DD" w:rsidRPr="004B6E75" w:rsidRDefault="004361DD" w:rsidP="00B03FEE">
      <w:pPr>
        <w:keepLines/>
        <w:numPr>
          <w:ilvl w:val="0"/>
          <w:numId w:val="16"/>
        </w:numPr>
        <w:spacing w:line="259" w:lineRule="auto"/>
        <w:rPr>
          <w:rFonts w:asciiTheme="minorHAnsi" w:eastAsiaTheme="minorHAnsi" w:hAnsiTheme="minorHAnsi" w:cstheme="minorHAnsi"/>
          <w:spacing w:val="-6"/>
          <w:sz w:val="22"/>
          <w:szCs w:val="22"/>
          <w:lang w:val="fr-CA"/>
        </w:rPr>
      </w:pPr>
      <w:r w:rsidRPr="004B6E75">
        <w:rPr>
          <w:rFonts w:asciiTheme="minorHAnsi" w:eastAsiaTheme="minorHAnsi" w:hAnsiTheme="minorHAnsi" w:cstheme="minorHAnsi"/>
          <w:spacing w:val="-6"/>
          <w:sz w:val="22"/>
          <w:szCs w:val="22"/>
          <w:lang w:val="fr-CA"/>
        </w:rPr>
        <w:t>Aucune restriction quant aux méthodes d’évaluation pour la  nomination des cadres de direction (EX)</w:t>
      </w:r>
    </w:p>
    <w:p w:rsidR="004361DD" w:rsidRPr="004B6E75" w:rsidRDefault="004361DD" w:rsidP="00B03FEE">
      <w:pPr>
        <w:keepLines/>
        <w:numPr>
          <w:ilvl w:val="0"/>
          <w:numId w:val="16"/>
        </w:numPr>
        <w:spacing w:line="259" w:lineRule="auto"/>
        <w:rPr>
          <w:rFonts w:asciiTheme="minorHAnsi" w:eastAsiaTheme="minorHAnsi" w:hAnsiTheme="minorHAnsi" w:cstheme="minorHAnsi"/>
          <w:spacing w:val="-6"/>
          <w:sz w:val="22"/>
          <w:szCs w:val="22"/>
          <w:lang w:val="fr-CA"/>
        </w:rPr>
      </w:pPr>
      <w:r w:rsidRPr="004B6E75">
        <w:rPr>
          <w:rFonts w:asciiTheme="minorHAnsi" w:eastAsiaTheme="minorHAnsi" w:hAnsiTheme="minorHAnsi" w:cstheme="minorHAnsi"/>
          <w:spacing w:val="-6"/>
          <w:sz w:val="22"/>
          <w:szCs w:val="22"/>
          <w:lang w:val="fr-CA"/>
        </w:rPr>
        <w:t>Exceptions à la zone nationale de sélection approuvées</w:t>
      </w:r>
    </w:p>
    <w:p w:rsidR="004361DD" w:rsidRPr="004B6E75" w:rsidRDefault="004361DD" w:rsidP="00D7525F">
      <w:pPr>
        <w:pStyle w:val="Heading3"/>
        <w:spacing w:before="120" w:after="120"/>
        <w:rPr>
          <w:sz w:val="22"/>
          <w:szCs w:val="22"/>
          <w:lang w:val="fr-CA"/>
        </w:rPr>
      </w:pPr>
      <w:r w:rsidRPr="004B6E75">
        <w:rPr>
          <w:sz w:val="22"/>
          <w:szCs w:val="22"/>
          <w:lang w:val="fr-CA"/>
        </w:rPr>
        <w:t>Délégation</w:t>
      </w:r>
    </w:p>
    <w:p w:rsidR="004361DD" w:rsidRPr="004B6E75" w:rsidRDefault="004361DD" w:rsidP="00B03FEE">
      <w:pPr>
        <w:pStyle w:val="ListParagraph"/>
        <w:keepLines/>
        <w:numPr>
          <w:ilvl w:val="0"/>
          <w:numId w:val="17"/>
        </w:numPr>
        <w:spacing w:after="0" w:line="259" w:lineRule="auto"/>
        <w:contextualSpacing w:val="0"/>
        <w:rPr>
          <w:rFonts w:asciiTheme="minorHAnsi" w:eastAsiaTheme="minorHAnsi" w:hAnsiTheme="minorHAnsi" w:cstheme="minorHAnsi"/>
          <w:spacing w:val="-8"/>
          <w:sz w:val="22"/>
          <w:szCs w:val="22"/>
          <w:lang w:val="fr-CA"/>
        </w:rPr>
      </w:pPr>
      <w:r w:rsidRPr="001D6BF4">
        <w:rPr>
          <w:rStyle w:val="Strong"/>
          <w:rFonts w:eastAsiaTheme="minorHAnsi"/>
          <w:sz w:val="22"/>
          <w:lang w:val="fr-CA"/>
        </w:rPr>
        <w:t>L’accent est davantage mis sur la capacité d’adapter le système de dotation</w:t>
      </w:r>
      <w:r w:rsidRPr="001D6BF4">
        <w:rPr>
          <w:rStyle w:val="Strong"/>
          <w:rFonts w:asciiTheme="minorHAnsi" w:eastAsiaTheme="minorHAnsi" w:hAnsiTheme="minorHAnsi" w:cstheme="minorHAnsi"/>
          <w:sz w:val="20"/>
          <w:szCs w:val="22"/>
          <w:lang w:val="fr-CA"/>
        </w:rPr>
        <w:t xml:space="preserve">  </w:t>
      </w:r>
      <w:r w:rsidRPr="004B6E75">
        <w:rPr>
          <w:rStyle w:val="Strong"/>
          <w:rFonts w:asciiTheme="minorHAnsi" w:eastAsiaTheme="minorHAnsi" w:hAnsiTheme="minorHAnsi" w:cstheme="minorHAnsi"/>
          <w:sz w:val="22"/>
          <w:szCs w:val="22"/>
          <w:lang w:val="fr-CA"/>
        </w:rPr>
        <w:t>de l’organisation</w:t>
      </w:r>
      <w:r w:rsidRPr="004B6E75">
        <w:rPr>
          <w:rFonts w:asciiTheme="minorHAnsi" w:eastAsiaTheme="minorHAnsi" w:hAnsiTheme="minorHAnsi" w:cstheme="minorHAnsi"/>
          <w:b/>
          <w:bCs/>
          <w:spacing w:val="-8"/>
          <w:sz w:val="22"/>
          <w:szCs w:val="22"/>
          <w:lang w:val="fr-CA"/>
        </w:rPr>
        <w:t xml:space="preserve"> </w:t>
      </w:r>
      <w:r w:rsidRPr="004B6E75">
        <w:rPr>
          <w:rFonts w:asciiTheme="minorHAnsi" w:eastAsiaTheme="minorHAnsi" w:hAnsiTheme="minorHAnsi" w:cstheme="minorHAnsi"/>
          <w:spacing w:val="-8"/>
          <w:sz w:val="22"/>
          <w:szCs w:val="22"/>
          <w:lang w:val="fr-CA"/>
        </w:rPr>
        <w:t xml:space="preserve">en fonction du contexte particulier et des besoins opérationnels en évolution </w:t>
      </w:r>
    </w:p>
    <w:p w:rsidR="004361DD" w:rsidRPr="004B6E75" w:rsidRDefault="004361DD" w:rsidP="00B03FEE">
      <w:pPr>
        <w:keepLines/>
        <w:numPr>
          <w:ilvl w:val="0"/>
          <w:numId w:val="17"/>
        </w:numPr>
        <w:spacing w:line="259" w:lineRule="auto"/>
        <w:rPr>
          <w:rStyle w:val="Strong"/>
          <w:rFonts w:asciiTheme="minorHAnsi" w:eastAsiaTheme="minorHAnsi" w:hAnsiTheme="minorHAnsi" w:cstheme="minorHAnsi"/>
          <w:sz w:val="22"/>
          <w:szCs w:val="22"/>
          <w:lang w:val="fr-CA"/>
        </w:rPr>
      </w:pPr>
      <w:r w:rsidRPr="004B6E75">
        <w:rPr>
          <w:rFonts w:asciiTheme="minorHAnsi" w:eastAsiaTheme="minorHAnsi" w:hAnsiTheme="minorHAnsi" w:cstheme="minorHAnsi"/>
          <w:spacing w:val="-8"/>
          <w:sz w:val="22"/>
          <w:szCs w:val="22"/>
          <w:lang w:val="fr-CA"/>
        </w:rPr>
        <w:t xml:space="preserve">L’administrateur général établit une orientation quant à </w:t>
      </w:r>
      <w:r w:rsidRPr="001D6BF4">
        <w:rPr>
          <w:rStyle w:val="Strong"/>
          <w:rFonts w:eastAsiaTheme="minorHAnsi"/>
          <w:sz w:val="22"/>
          <w:lang w:val="fr-CA"/>
        </w:rPr>
        <w:t xml:space="preserve">l’utilisation des processus de nomination annoncés et non annoncés </w:t>
      </w:r>
    </w:p>
    <w:p w:rsidR="004361DD" w:rsidRPr="004B6E75" w:rsidRDefault="004361DD" w:rsidP="00B03FEE">
      <w:pPr>
        <w:keepLines/>
        <w:numPr>
          <w:ilvl w:val="0"/>
          <w:numId w:val="17"/>
        </w:numPr>
        <w:spacing w:line="259" w:lineRule="auto"/>
        <w:rPr>
          <w:rStyle w:val="Strong"/>
          <w:rFonts w:asciiTheme="minorHAnsi" w:eastAsiaTheme="minorHAnsi" w:hAnsiTheme="minorHAnsi" w:cstheme="minorHAnsi"/>
          <w:sz w:val="22"/>
          <w:szCs w:val="22"/>
          <w:lang w:val="fr-CA"/>
        </w:rPr>
      </w:pPr>
      <w:r w:rsidRPr="004B6E75">
        <w:rPr>
          <w:rFonts w:asciiTheme="minorHAnsi" w:eastAsiaTheme="minorHAnsi" w:hAnsiTheme="minorHAnsi" w:cstheme="minorHAnsi"/>
          <w:spacing w:val="-8"/>
          <w:sz w:val="22"/>
          <w:szCs w:val="22"/>
          <w:lang w:val="fr-CA"/>
        </w:rPr>
        <w:t xml:space="preserve">L’administrateur général établit les exigences pour les personnes subdéléguées </w:t>
      </w:r>
      <w:r w:rsidRPr="004B6E75">
        <w:rPr>
          <w:rStyle w:val="Strong"/>
          <w:rFonts w:asciiTheme="minorHAnsi" w:eastAsiaTheme="minorHAnsi" w:hAnsiTheme="minorHAnsi" w:cstheme="minorHAnsi"/>
          <w:sz w:val="22"/>
          <w:szCs w:val="22"/>
          <w:lang w:val="fr-CA"/>
        </w:rPr>
        <w:t xml:space="preserve">de </w:t>
      </w:r>
      <w:r w:rsidRPr="001D6BF4">
        <w:rPr>
          <w:rStyle w:val="Strong"/>
          <w:rFonts w:eastAsiaTheme="minorHAnsi"/>
          <w:sz w:val="22"/>
          <w:lang w:val="fr-CA"/>
        </w:rPr>
        <w:t>formuler, par écrit, la décision de sélection</w:t>
      </w:r>
    </w:p>
    <w:p w:rsidR="004361DD" w:rsidRPr="004B6E75" w:rsidRDefault="004361DD" w:rsidP="00B03FEE">
      <w:pPr>
        <w:keepLines/>
        <w:numPr>
          <w:ilvl w:val="0"/>
          <w:numId w:val="17"/>
        </w:numPr>
        <w:spacing w:line="259" w:lineRule="auto"/>
        <w:rPr>
          <w:rFonts w:asciiTheme="minorHAnsi" w:eastAsiaTheme="minorHAnsi" w:hAnsiTheme="minorHAnsi" w:cstheme="minorHAnsi"/>
          <w:spacing w:val="-8"/>
          <w:sz w:val="22"/>
          <w:szCs w:val="22"/>
          <w:lang w:val="fr-CA"/>
        </w:rPr>
      </w:pPr>
      <w:r w:rsidRPr="004B6E75">
        <w:rPr>
          <w:rFonts w:asciiTheme="minorHAnsi" w:eastAsiaTheme="minorHAnsi" w:hAnsiTheme="minorHAnsi" w:cstheme="minorHAnsi"/>
          <w:spacing w:val="-8"/>
          <w:sz w:val="22"/>
          <w:szCs w:val="22"/>
          <w:lang w:val="fr-CA"/>
        </w:rPr>
        <w:t>Exigences plus claires concernant les enquêtes</w:t>
      </w:r>
    </w:p>
    <w:p w:rsidR="004361DD" w:rsidRPr="004B6E75" w:rsidRDefault="004361DD" w:rsidP="00B03FEE">
      <w:pPr>
        <w:keepLines/>
        <w:numPr>
          <w:ilvl w:val="0"/>
          <w:numId w:val="17"/>
        </w:numPr>
        <w:spacing w:line="259" w:lineRule="auto"/>
        <w:rPr>
          <w:rFonts w:asciiTheme="minorHAnsi" w:eastAsiaTheme="minorHAnsi" w:hAnsiTheme="minorHAnsi" w:cstheme="minorHAnsi"/>
          <w:spacing w:val="-8"/>
          <w:sz w:val="22"/>
          <w:szCs w:val="22"/>
          <w:lang w:val="fr-CA"/>
        </w:rPr>
      </w:pPr>
      <w:r w:rsidRPr="001D6BF4">
        <w:rPr>
          <w:rStyle w:val="Strong"/>
          <w:rFonts w:eastAsiaTheme="minorHAnsi"/>
          <w:sz w:val="22"/>
          <w:lang w:val="fr-CA"/>
        </w:rPr>
        <w:t>Formulaire d’attestation</w:t>
      </w:r>
      <w:r w:rsidRPr="001D6BF4">
        <w:rPr>
          <w:rFonts w:asciiTheme="minorHAnsi" w:eastAsiaTheme="minorHAnsi" w:hAnsiTheme="minorHAnsi" w:cstheme="minorHAnsi"/>
          <w:spacing w:val="-8"/>
          <w:sz w:val="20"/>
          <w:szCs w:val="22"/>
          <w:lang w:val="fr-CA"/>
        </w:rPr>
        <w:t xml:space="preserve"> </w:t>
      </w:r>
      <w:r w:rsidRPr="004B6E75">
        <w:rPr>
          <w:rFonts w:asciiTheme="minorHAnsi" w:eastAsiaTheme="minorHAnsi" w:hAnsiTheme="minorHAnsi" w:cstheme="minorHAnsi"/>
          <w:spacing w:val="-8"/>
          <w:sz w:val="22"/>
          <w:szCs w:val="22"/>
          <w:lang w:val="fr-CA"/>
        </w:rPr>
        <w:t>réitérant les responsabilités des personnes subdéléguées</w:t>
      </w:r>
    </w:p>
    <w:p w:rsidR="004361DD" w:rsidRPr="004B6E75" w:rsidRDefault="004361DD" w:rsidP="00D7525F">
      <w:pPr>
        <w:keepLines/>
        <w:spacing w:before="120" w:after="120" w:line="259" w:lineRule="auto"/>
        <w:ind w:right="-202"/>
        <w:rPr>
          <w:rFonts w:asciiTheme="minorHAnsi" w:eastAsiaTheme="minorHAnsi" w:hAnsiTheme="minorHAnsi" w:cstheme="minorHAnsi"/>
          <w:spacing w:val="-8"/>
          <w:sz w:val="22"/>
          <w:szCs w:val="22"/>
          <w:lang w:val="fr-CA"/>
        </w:rPr>
      </w:pPr>
      <w:r w:rsidRPr="004B6E75">
        <w:rPr>
          <w:rFonts w:asciiTheme="minorHAnsi" w:eastAsiaTheme="minorHAnsi" w:hAnsiTheme="minorHAnsi" w:cstheme="minorHAnsi"/>
          <w:spacing w:val="-8"/>
          <w:sz w:val="22"/>
          <w:szCs w:val="22"/>
          <w:lang w:val="fr-CA"/>
        </w:rPr>
        <w:t>Toutes les exigences de la CFP en matière de surveillance et de présentation de rapports figurent maintenant dans l’Instrument de délégation et de responsabilisation en matière de nomination</w:t>
      </w:r>
    </w:p>
    <w:p w:rsidR="004361DD" w:rsidRPr="004B6E75" w:rsidRDefault="004361DD" w:rsidP="00D7525F">
      <w:pPr>
        <w:pStyle w:val="Heading3"/>
        <w:spacing w:before="120" w:after="120"/>
        <w:rPr>
          <w:sz w:val="22"/>
          <w:szCs w:val="22"/>
          <w:lang w:val="fr-CA"/>
        </w:rPr>
      </w:pPr>
      <w:r w:rsidRPr="004B6E75">
        <w:rPr>
          <w:sz w:val="22"/>
          <w:szCs w:val="22"/>
          <w:lang w:val="fr-CA"/>
        </w:rPr>
        <w:t>Surveillance et rapports</w:t>
      </w:r>
    </w:p>
    <w:p w:rsidR="004361DD" w:rsidRPr="004B6E75" w:rsidRDefault="004361DD" w:rsidP="00D7525F">
      <w:pPr>
        <w:spacing w:before="120" w:after="120"/>
        <w:rPr>
          <w:rFonts w:asciiTheme="minorHAnsi" w:eastAsiaTheme="minorHAnsi" w:hAnsiTheme="minorHAnsi" w:cstheme="minorHAnsi"/>
          <w:sz w:val="22"/>
          <w:szCs w:val="22"/>
          <w:highlight w:val="yellow"/>
          <w:lang w:val="fr-CA"/>
        </w:rPr>
      </w:pPr>
      <w:r w:rsidRPr="001D6BF4">
        <w:rPr>
          <w:rStyle w:val="Strong"/>
          <w:rFonts w:eastAsiaTheme="minorHAnsi"/>
          <w:sz w:val="22"/>
          <w:lang w:val="fr-CA"/>
        </w:rPr>
        <w:t>La surveillance est établie par les organisations</w:t>
      </w:r>
      <w:r w:rsidRPr="004B6E75">
        <w:rPr>
          <w:rFonts w:asciiTheme="minorHAnsi" w:eastAsiaTheme="minorHAnsi" w:hAnsiTheme="minorHAnsi" w:cstheme="minorHAnsi"/>
          <w:sz w:val="22"/>
          <w:szCs w:val="22"/>
          <w:lang w:val="fr-CA"/>
        </w:rPr>
        <w:t>, ciblée à leurs besoins</w:t>
      </w:r>
    </w:p>
    <w:p w:rsidR="004361DD" w:rsidRPr="004B6E75" w:rsidRDefault="004361DD" w:rsidP="00B03FEE">
      <w:pPr>
        <w:pStyle w:val="ListParagraph"/>
        <w:numPr>
          <w:ilvl w:val="0"/>
          <w:numId w:val="18"/>
        </w:numPr>
        <w:spacing w:after="0"/>
        <w:contextualSpacing w:val="0"/>
        <w:rPr>
          <w:rFonts w:asciiTheme="minorHAnsi" w:eastAsiaTheme="minorHAnsi" w:hAnsiTheme="minorHAnsi" w:cstheme="minorHAnsi"/>
          <w:sz w:val="22"/>
          <w:szCs w:val="22"/>
          <w:lang w:val="fr-CA"/>
        </w:rPr>
      </w:pPr>
      <w:r w:rsidRPr="004B6E75">
        <w:rPr>
          <w:rFonts w:asciiTheme="minorHAnsi" w:eastAsiaTheme="minorHAnsi" w:hAnsiTheme="minorHAnsi" w:cstheme="minorHAnsi"/>
          <w:sz w:val="22"/>
          <w:szCs w:val="22"/>
          <w:lang w:val="fr-CA"/>
        </w:rPr>
        <w:t>Le Rapport ministériel sur l’obligation de rendre compte en dotation n’est plus requis</w:t>
      </w:r>
    </w:p>
    <w:p w:rsidR="004361DD" w:rsidRPr="004B6E75" w:rsidRDefault="004361DD" w:rsidP="00B03FEE">
      <w:pPr>
        <w:pStyle w:val="ListParagraph"/>
        <w:numPr>
          <w:ilvl w:val="0"/>
          <w:numId w:val="18"/>
        </w:numPr>
        <w:spacing w:after="0"/>
        <w:contextualSpacing w:val="0"/>
        <w:rPr>
          <w:rFonts w:asciiTheme="minorHAnsi" w:eastAsiaTheme="minorHAnsi" w:hAnsiTheme="minorHAnsi" w:cstheme="minorHAnsi"/>
          <w:sz w:val="22"/>
          <w:szCs w:val="22"/>
          <w:lang w:val="fr-CA"/>
        </w:rPr>
      </w:pPr>
      <w:r w:rsidRPr="001D6BF4">
        <w:rPr>
          <w:rStyle w:val="Strong"/>
          <w:rFonts w:eastAsiaTheme="minorHAnsi"/>
          <w:sz w:val="22"/>
          <w:lang w:val="fr-CA"/>
        </w:rPr>
        <w:t>Le rapport annuel à la CFP</w:t>
      </w:r>
      <w:r w:rsidRPr="001D6BF4">
        <w:rPr>
          <w:rStyle w:val="Strong"/>
          <w:rFonts w:asciiTheme="minorHAnsi" w:eastAsiaTheme="minorHAnsi" w:hAnsiTheme="minorHAnsi" w:cstheme="minorHAnsi"/>
          <w:sz w:val="20"/>
          <w:szCs w:val="22"/>
          <w:lang w:val="fr-CA"/>
        </w:rPr>
        <w:t xml:space="preserve"> </w:t>
      </w:r>
      <w:r w:rsidRPr="004B6E75">
        <w:rPr>
          <w:rStyle w:val="Strong"/>
          <w:rFonts w:asciiTheme="minorHAnsi" w:eastAsiaTheme="minorHAnsi" w:hAnsiTheme="minorHAnsi" w:cstheme="minorHAnsi"/>
          <w:sz w:val="22"/>
          <w:szCs w:val="22"/>
          <w:lang w:val="fr-CA"/>
        </w:rPr>
        <w:t>portera seulement</w:t>
      </w:r>
      <w:r w:rsidRPr="004B6E75">
        <w:rPr>
          <w:rFonts w:asciiTheme="minorHAnsi" w:eastAsiaTheme="minorHAnsi" w:hAnsiTheme="minorHAnsi" w:cstheme="minorHAnsi"/>
          <w:sz w:val="22"/>
          <w:szCs w:val="22"/>
          <w:lang w:val="fr-CA"/>
        </w:rPr>
        <w:t xml:space="preserve"> sur :</w:t>
      </w:r>
    </w:p>
    <w:p w:rsidR="004361DD" w:rsidRPr="004B6E75" w:rsidRDefault="004361DD" w:rsidP="00B03FEE">
      <w:pPr>
        <w:pStyle w:val="ListParagraph"/>
        <w:numPr>
          <w:ilvl w:val="0"/>
          <w:numId w:val="12"/>
        </w:numPr>
        <w:spacing w:after="0"/>
        <w:contextualSpacing w:val="0"/>
        <w:rPr>
          <w:rFonts w:asciiTheme="minorHAnsi" w:eastAsiaTheme="minorHAnsi" w:hAnsiTheme="minorHAnsi" w:cstheme="minorHAnsi"/>
          <w:sz w:val="22"/>
          <w:szCs w:val="22"/>
          <w:lang w:val="fr-CA"/>
        </w:rPr>
      </w:pPr>
      <w:r w:rsidRPr="004B6E75">
        <w:rPr>
          <w:rFonts w:asciiTheme="minorHAnsi" w:eastAsiaTheme="minorHAnsi" w:hAnsiTheme="minorHAnsi" w:cstheme="minorHAnsi"/>
          <w:sz w:val="22"/>
          <w:szCs w:val="22"/>
          <w:lang w:val="fr-CA"/>
        </w:rPr>
        <w:t>l’utilisation du Décret d’exemption concernant les langues officielles dans la fonction publique</w:t>
      </w:r>
    </w:p>
    <w:p w:rsidR="004361DD" w:rsidRPr="004B6E75" w:rsidRDefault="004361DD" w:rsidP="00B03FEE">
      <w:pPr>
        <w:pStyle w:val="ListParagraph"/>
        <w:numPr>
          <w:ilvl w:val="0"/>
          <w:numId w:val="12"/>
        </w:numPr>
        <w:spacing w:after="0"/>
        <w:contextualSpacing w:val="0"/>
        <w:rPr>
          <w:rFonts w:asciiTheme="minorHAnsi" w:eastAsiaTheme="minorHAnsi" w:hAnsiTheme="minorHAnsi" w:cstheme="minorHAnsi"/>
          <w:sz w:val="22"/>
          <w:szCs w:val="22"/>
          <w:lang w:val="fr-CA"/>
        </w:rPr>
      </w:pPr>
      <w:r w:rsidRPr="004B6E75">
        <w:rPr>
          <w:rFonts w:asciiTheme="minorHAnsi" w:eastAsiaTheme="minorHAnsi" w:hAnsiTheme="minorHAnsi" w:cstheme="minorHAnsi"/>
          <w:sz w:val="22"/>
          <w:szCs w:val="22"/>
          <w:lang w:val="fr-CA"/>
        </w:rPr>
        <w:t>les exceptions à la zone nationale de sélection approuvée par l’administrateur général</w:t>
      </w:r>
    </w:p>
    <w:p w:rsidR="004361DD" w:rsidRPr="004B6E75" w:rsidRDefault="004361DD" w:rsidP="00B03FEE">
      <w:pPr>
        <w:pStyle w:val="ListParagraph"/>
        <w:numPr>
          <w:ilvl w:val="0"/>
          <w:numId w:val="12"/>
        </w:numPr>
        <w:spacing w:after="0"/>
        <w:contextualSpacing w:val="0"/>
        <w:rPr>
          <w:rFonts w:asciiTheme="minorHAnsi" w:eastAsiaTheme="minorHAnsi" w:hAnsiTheme="minorHAnsi" w:cstheme="minorHAnsi"/>
          <w:sz w:val="22"/>
          <w:szCs w:val="22"/>
          <w:lang w:val="fr-CA"/>
        </w:rPr>
      </w:pPr>
      <w:r w:rsidRPr="004B6E75">
        <w:rPr>
          <w:rFonts w:asciiTheme="minorHAnsi" w:eastAsiaTheme="minorHAnsi" w:hAnsiTheme="minorHAnsi" w:cstheme="minorHAnsi"/>
          <w:sz w:val="22"/>
          <w:szCs w:val="22"/>
          <w:lang w:val="fr-CA"/>
        </w:rPr>
        <w:t xml:space="preserve">les résultats de toutes enquêtes internes </w:t>
      </w:r>
    </w:p>
    <w:p w:rsidR="004361DD" w:rsidRPr="004B6E75" w:rsidRDefault="004361DD" w:rsidP="00B03FEE">
      <w:pPr>
        <w:pStyle w:val="ListParagraph"/>
        <w:numPr>
          <w:ilvl w:val="0"/>
          <w:numId w:val="12"/>
        </w:numPr>
        <w:spacing w:after="0"/>
        <w:contextualSpacing w:val="0"/>
        <w:rPr>
          <w:rFonts w:asciiTheme="minorHAnsi" w:eastAsiaTheme="minorHAnsi" w:hAnsiTheme="minorHAnsi" w:cstheme="minorHAnsi"/>
          <w:sz w:val="22"/>
          <w:szCs w:val="22"/>
          <w:lang w:val="fr-CA"/>
        </w:rPr>
      </w:pPr>
      <w:r w:rsidRPr="004B6E75">
        <w:rPr>
          <w:rFonts w:asciiTheme="minorHAnsi" w:eastAsiaTheme="minorHAnsi" w:hAnsiTheme="minorHAnsi" w:cstheme="minorHAnsi"/>
          <w:sz w:val="22"/>
          <w:szCs w:val="22"/>
          <w:lang w:val="fr-CA"/>
        </w:rPr>
        <w:t>les mesures prises à la suite de toutes enquêtes ou vérifications menées par la CFP</w:t>
      </w:r>
    </w:p>
    <w:p w:rsidR="004361DD" w:rsidRPr="004B6E75" w:rsidRDefault="004361DD" w:rsidP="00B03FEE">
      <w:pPr>
        <w:pStyle w:val="ListParagraph"/>
        <w:numPr>
          <w:ilvl w:val="0"/>
          <w:numId w:val="13"/>
        </w:numPr>
        <w:spacing w:after="0"/>
        <w:contextualSpacing w:val="0"/>
        <w:rPr>
          <w:rFonts w:asciiTheme="minorHAnsi" w:eastAsiaTheme="minorHAnsi" w:hAnsiTheme="minorHAnsi" w:cstheme="minorHAnsi"/>
          <w:sz w:val="22"/>
          <w:szCs w:val="22"/>
          <w:lang w:val="fr-CA"/>
        </w:rPr>
      </w:pPr>
      <w:r w:rsidRPr="004B6E75">
        <w:rPr>
          <w:rFonts w:asciiTheme="minorHAnsi" w:eastAsiaTheme="minorHAnsi" w:hAnsiTheme="minorHAnsi" w:cstheme="minorHAnsi"/>
          <w:sz w:val="22"/>
          <w:szCs w:val="22"/>
          <w:lang w:val="fr-CA"/>
        </w:rPr>
        <w:lastRenderedPageBreak/>
        <w:t xml:space="preserve">L’administrateur général est responsable </w:t>
      </w:r>
      <w:r w:rsidRPr="00DB2449">
        <w:rPr>
          <w:rStyle w:val="Strong"/>
          <w:rFonts w:eastAsiaTheme="minorHAnsi"/>
          <w:sz w:val="22"/>
          <w:lang w:val="fr-CA"/>
        </w:rPr>
        <w:t>de la surveillance continue du système de dotation de l’organisation</w:t>
      </w:r>
      <w:r w:rsidRPr="004B6E75">
        <w:rPr>
          <w:rFonts w:asciiTheme="minorHAnsi" w:eastAsiaTheme="minorHAnsi" w:hAnsiTheme="minorHAnsi" w:cstheme="minorHAnsi"/>
          <w:sz w:val="22"/>
          <w:szCs w:val="22"/>
          <w:lang w:val="fr-CA"/>
        </w:rPr>
        <w:t xml:space="preserve"> en fonction de son contexte particulier</w:t>
      </w:r>
    </w:p>
    <w:p w:rsidR="004361DD" w:rsidRPr="004B6E75" w:rsidRDefault="004361DD" w:rsidP="00B03FEE">
      <w:pPr>
        <w:pStyle w:val="ListParagraph"/>
        <w:numPr>
          <w:ilvl w:val="0"/>
          <w:numId w:val="14"/>
        </w:numPr>
        <w:spacing w:after="0"/>
        <w:contextualSpacing w:val="0"/>
        <w:rPr>
          <w:rFonts w:asciiTheme="minorHAnsi" w:eastAsiaTheme="minorHAnsi" w:hAnsiTheme="minorHAnsi" w:cstheme="minorHAnsi"/>
          <w:sz w:val="22"/>
          <w:szCs w:val="22"/>
          <w:lang w:val="fr-CA"/>
        </w:rPr>
      </w:pPr>
      <w:r w:rsidRPr="00DB2449">
        <w:rPr>
          <w:rStyle w:val="Strong"/>
          <w:rFonts w:eastAsiaTheme="minorHAnsi"/>
          <w:sz w:val="22"/>
          <w:lang w:val="fr-CA"/>
        </w:rPr>
        <w:t>examen de la conformité aux exigences</w:t>
      </w:r>
      <w:r w:rsidRPr="004B6E75">
        <w:rPr>
          <w:rFonts w:asciiTheme="minorHAnsi" w:eastAsiaTheme="minorHAnsi" w:hAnsiTheme="minorHAnsi" w:cstheme="minorHAnsi"/>
          <w:sz w:val="22"/>
          <w:szCs w:val="22"/>
          <w:lang w:val="fr-CA"/>
        </w:rPr>
        <w:t>, fondé sur les risques spécifiques de l’organisation, au moins une fois tous les cinq ans</w:t>
      </w:r>
    </w:p>
    <w:p w:rsidR="004361DD" w:rsidRPr="004B6E75" w:rsidRDefault="004361DD" w:rsidP="00D7525F">
      <w:pPr>
        <w:pStyle w:val="Heading3"/>
        <w:spacing w:before="120" w:after="120"/>
        <w:rPr>
          <w:sz w:val="22"/>
          <w:szCs w:val="22"/>
          <w:lang w:val="fr-CA"/>
        </w:rPr>
      </w:pPr>
      <w:r w:rsidRPr="004B6E75">
        <w:rPr>
          <w:sz w:val="22"/>
          <w:szCs w:val="22"/>
          <w:lang w:val="fr-CA"/>
        </w:rPr>
        <w:t>Surveillance de la CFP</w:t>
      </w:r>
    </w:p>
    <w:p w:rsidR="004361DD" w:rsidRPr="004B6E75" w:rsidRDefault="004361DD" w:rsidP="00D7525F">
      <w:pPr>
        <w:spacing w:before="120" w:after="120"/>
        <w:rPr>
          <w:rFonts w:asciiTheme="minorHAnsi" w:hAnsiTheme="minorHAnsi" w:cstheme="minorHAnsi"/>
          <w:sz w:val="22"/>
          <w:szCs w:val="22"/>
          <w:lang w:val="fr-CA"/>
        </w:rPr>
      </w:pPr>
      <w:r w:rsidRPr="004B6E75">
        <w:rPr>
          <w:rFonts w:asciiTheme="minorHAnsi" w:hAnsiTheme="minorHAnsi" w:cstheme="minorHAnsi"/>
          <w:sz w:val="22"/>
          <w:szCs w:val="22"/>
          <w:lang w:val="fr-CA"/>
        </w:rPr>
        <w:t>Axée sur l’ensemble du système</w:t>
      </w:r>
    </w:p>
    <w:p w:rsidR="004361DD" w:rsidRPr="004B6E75" w:rsidRDefault="004361DD" w:rsidP="00B03FEE">
      <w:pPr>
        <w:pStyle w:val="ListParagraph"/>
        <w:numPr>
          <w:ilvl w:val="0"/>
          <w:numId w:val="19"/>
        </w:numPr>
        <w:spacing w:after="0"/>
        <w:ind w:left="723"/>
        <w:contextualSpacing w:val="0"/>
        <w:rPr>
          <w:rStyle w:val="Strong"/>
          <w:rFonts w:asciiTheme="minorHAnsi" w:eastAsiaTheme="minorHAnsi" w:hAnsiTheme="minorHAnsi" w:cstheme="minorHAnsi"/>
          <w:sz w:val="22"/>
          <w:szCs w:val="22"/>
          <w:lang w:val="fr-CA"/>
        </w:rPr>
      </w:pPr>
      <w:r w:rsidRPr="00DB2449">
        <w:rPr>
          <w:rStyle w:val="Strong"/>
          <w:rFonts w:eastAsiaTheme="minorHAnsi"/>
          <w:sz w:val="22"/>
          <w:lang w:val="fr-CA"/>
        </w:rPr>
        <w:t>Vérification de la conformité pangouvernementale</w:t>
      </w:r>
      <w:r w:rsidRPr="00DB2449">
        <w:rPr>
          <w:rStyle w:val="Strong"/>
          <w:rFonts w:asciiTheme="minorHAnsi" w:eastAsiaTheme="minorHAnsi" w:hAnsiTheme="minorHAnsi" w:cstheme="minorHAnsi"/>
          <w:sz w:val="20"/>
          <w:szCs w:val="22"/>
          <w:lang w:val="fr-CA"/>
        </w:rPr>
        <w:t xml:space="preserve"> </w:t>
      </w:r>
      <w:r w:rsidRPr="004B6E75">
        <w:rPr>
          <w:rStyle w:val="Strong"/>
          <w:rFonts w:asciiTheme="minorHAnsi" w:eastAsiaTheme="minorHAnsi" w:hAnsiTheme="minorHAnsi" w:cstheme="minorHAnsi"/>
          <w:sz w:val="22"/>
          <w:szCs w:val="22"/>
          <w:lang w:val="fr-CA"/>
        </w:rPr>
        <w:t xml:space="preserve">tous les deux ans </w:t>
      </w:r>
    </w:p>
    <w:p w:rsidR="004361DD" w:rsidRPr="004B6E75" w:rsidRDefault="004361DD" w:rsidP="00B03FEE">
      <w:pPr>
        <w:pStyle w:val="ListParagraph"/>
        <w:numPr>
          <w:ilvl w:val="0"/>
          <w:numId w:val="19"/>
        </w:numPr>
        <w:spacing w:after="0"/>
        <w:ind w:left="723"/>
        <w:contextualSpacing w:val="0"/>
        <w:rPr>
          <w:rFonts w:asciiTheme="minorHAnsi" w:eastAsiaTheme="minorHAnsi" w:hAnsiTheme="minorHAnsi" w:cstheme="minorHAnsi"/>
          <w:sz w:val="22"/>
          <w:szCs w:val="22"/>
          <w:lang w:val="fr-CA"/>
        </w:rPr>
      </w:pPr>
      <w:r w:rsidRPr="00DB2449">
        <w:rPr>
          <w:rStyle w:val="Strong"/>
          <w:rFonts w:eastAsiaTheme="minorHAnsi"/>
          <w:sz w:val="22"/>
          <w:lang w:val="fr-CA"/>
        </w:rPr>
        <w:t>Nouveau Sondage sur la dotation</w:t>
      </w:r>
      <w:r w:rsidRPr="00DB2449">
        <w:rPr>
          <w:rFonts w:asciiTheme="minorHAnsi" w:eastAsiaTheme="minorHAnsi" w:hAnsiTheme="minorHAnsi" w:cstheme="minorHAnsi"/>
          <w:sz w:val="20"/>
          <w:szCs w:val="22"/>
          <w:lang w:val="fr-CA"/>
        </w:rPr>
        <w:t xml:space="preserve"> </w:t>
      </w:r>
      <w:r w:rsidRPr="004B6E75">
        <w:rPr>
          <w:rFonts w:asciiTheme="minorHAnsi" w:eastAsiaTheme="minorHAnsi" w:hAnsiTheme="minorHAnsi" w:cstheme="minorHAnsi"/>
          <w:sz w:val="22"/>
          <w:szCs w:val="22"/>
          <w:lang w:val="fr-CA"/>
        </w:rPr>
        <w:t>administré en alternance avec la vérification pangouvernementale</w:t>
      </w:r>
    </w:p>
    <w:p w:rsidR="004361DD" w:rsidRPr="004B6E75" w:rsidRDefault="004361DD" w:rsidP="00B03FEE">
      <w:pPr>
        <w:pStyle w:val="ListParagraph"/>
        <w:numPr>
          <w:ilvl w:val="0"/>
          <w:numId w:val="19"/>
        </w:numPr>
        <w:spacing w:after="0"/>
        <w:ind w:left="723"/>
        <w:contextualSpacing w:val="0"/>
        <w:rPr>
          <w:rFonts w:asciiTheme="minorHAnsi" w:eastAsiaTheme="minorHAnsi" w:hAnsiTheme="minorHAnsi" w:cstheme="minorHAnsi"/>
          <w:sz w:val="22"/>
          <w:szCs w:val="22"/>
          <w:lang w:val="fr-CA"/>
        </w:rPr>
      </w:pPr>
      <w:r w:rsidRPr="00DB2449">
        <w:rPr>
          <w:rStyle w:val="Strong"/>
          <w:rFonts w:eastAsiaTheme="minorHAnsi"/>
          <w:sz w:val="22"/>
          <w:lang w:val="fr-CA"/>
        </w:rPr>
        <w:t>Examens de l’efficacité et de l’efficience</w:t>
      </w:r>
      <w:r w:rsidRPr="00DB2449">
        <w:rPr>
          <w:rStyle w:val="Strong"/>
          <w:rFonts w:asciiTheme="minorHAnsi" w:eastAsiaTheme="minorHAnsi" w:hAnsiTheme="minorHAnsi" w:cstheme="minorHAnsi"/>
          <w:sz w:val="20"/>
          <w:szCs w:val="22"/>
          <w:lang w:val="fr-CA"/>
        </w:rPr>
        <w:t xml:space="preserve"> </w:t>
      </w:r>
      <w:r w:rsidRPr="004B6E75">
        <w:rPr>
          <w:rStyle w:val="Strong"/>
          <w:rFonts w:asciiTheme="minorHAnsi" w:eastAsiaTheme="minorHAnsi" w:hAnsiTheme="minorHAnsi" w:cstheme="minorHAnsi"/>
          <w:sz w:val="22"/>
          <w:szCs w:val="22"/>
          <w:lang w:val="fr-CA"/>
        </w:rPr>
        <w:t>de l’ensemble du système</w:t>
      </w:r>
      <w:r w:rsidRPr="004B6E75">
        <w:rPr>
          <w:rFonts w:asciiTheme="minorHAnsi" w:eastAsiaTheme="minorHAnsi" w:hAnsiTheme="minorHAnsi" w:cstheme="minorHAnsi"/>
          <w:sz w:val="22"/>
          <w:szCs w:val="22"/>
          <w:lang w:val="fr-CA"/>
        </w:rPr>
        <w:t xml:space="preserve"> pour appuyer l’amélioration continue</w:t>
      </w:r>
    </w:p>
    <w:p w:rsidR="004361DD" w:rsidRPr="004B6E75" w:rsidRDefault="004361DD" w:rsidP="00B03FEE">
      <w:pPr>
        <w:pStyle w:val="ListParagraph"/>
        <w:numPr>
          <w:ilvl w:val="0"/>
          <w:numId w:val="19"/>
        </w:numPr>
        <w:spacing w:after="0"/>
        <w:ind w:left="723"/>
        <w:contextualSpacing w:val="0"/>
        <w:rPr>
          <w:rFonts w:asciiTheme="minorHAnsi" w:eastAsiaTheme="minorHAnsi" w:hAnsiTheme="minorHAnsi" w:cstheme="minorHAnsi"/>
          <w:sz w:val="22"/>
          <w:szCs w:val="22"/>
          <w:lang w:val="fr-CA"/>
        </w:rPr>
      </w:pPr>
      <w:r w:rsidRPr="00DB2449">
        <w:rPr>
          <w:rStyle w:val="Strong"/>
          <w:rFonts w:eastAsiaTheme="minorHAnsi"/>
          <w:sz w:val="22"/>
          <w:lang w:val="fr-CA"/>
        </w:rPr>
        <w:t>Vérifications ciblées de la CFP</w:t>
      </w:r>
      <w:r w:rsidRPr="00DB2449">
        <w:rPr>
          <w:rFonts w:asciiTheme="minorHAnsi" w:eastAsiaTheme="minorHAnsi" w:hAnsiTheme="minorHAnsi" w:cstheme="minorHAnsi"/>
          <w:sz w:val="20"/>
          <w:szCs w:val="22"/>
          <w:lang w:val="fr-CA"/>
        </w:rPr>
        <w:t xml:space="preserve"> </w:t>
      </w:r>
      <w:r w:rsidRPr="004B6E75">
        <w:rPr>
          <w:rFonts w:asciiTheme="minorHAnsi" w:eastAsiaTheme="minorHAnsi" w:hAnsiTheme="minorHAnsi" w:cstheme="minorHAnsi"/>
          <w:sz w:val="22"/>
          <w:szCs w:val="22"/>
          <w:lang w:val="fr-CA"/>
        </w:rPr>
        <w:t xml:space="preserve">suite aux risques pangouvernementaux ou organisationnels identifiés, ou à la demande de l’administrateur général </w:t>
      </w:r>
    </w:p>
    <w:p w:rsidR="004361DD" w:rsidRPr="004B6E75" w:rsidRDefault="004361DD" w:rsidP="00450EAF">
      <w:pPr>
        <w:pStyle w:val="ListParagraph"/>
        <w:numPr>
          <w:ilvl w:val="0"/>
          <w:numId w:val="19"/>
        </w:numPr>
        <w:spacing w:before="240" w:after="120"/>
        <w:ind w:left="723"/>
        <w:contextualSpacing w:val="0"/>
        <w:rPr>
          <w:rFonts w:asciiTheme="minorHAnsi" w:eastAsiaTheme="minorHAnsi" w:hAnsiTheme="minorHAnsi" w:cstheme="minorHAnsi"/>
          <w:sz w:val="22"/>
          <w:szCs w:val="22"/>
          <w:lang w:val="fr-CA"/>
        </w:rPr>
      </w:pPr>
      <w:r w:rsidRPr="00DB2449">
        <w:rPr>
          <w:rStyle w:val="Strong"/>
          <w:rFonts w:eastAsiaTheme="minorHAnsi"/>
          <w:sz w:val="22"/>
          <w:lang w:val="fr-CA"/>
        </w:rPr>
        <w:t>Enquêtes menées</w:t>
      </w:r>
      <w:r w:rsidRPr="00DB2449">
        <w:rPr>
          <w:rFonts w:asciiTheme="minorHAnsi" w:eastAsiaTheme="minorHAnsi" w:hAnsiTheme="minorHAnsi" w:cstheme="minorHAnsi"/>
          <w:sz w:val="20"/>
          <w:szCs w:val="22"/>
          <w:lang w:val="fr-CA"/>
        </w:rPr>
        <w:t xml:space="preserve"> </w:t>
      </w:r>
      <w:r w:rsidRPr="004B6E75">
        <w:rPr>
          <w:rFonts w:asciiTheme="minorHAnsi" w:eastAsiaTheme="minorHAnsi" w:hAnsiTheme="minorHAnsi" w:cstheme="minorHAnsi"/>
          <w:sz w:val="22"/>
          <w:szCs w:val="22"/>
          <w:lang w:val="fr-CA"/>
        </w:rPr>
        <w:t>lorsqu’il y a lieu de croire  qu’il pourrait y avoir ingérence politique, fraude ou conduite irrégulière dans le cadre d’un  processus de nomination</w:t>
      </w:r>
    </w:p>
    <w:p w:rsidR="004361DD" w:rsidRPr="004B6E75" w:rsidRDefault="004361DD" w:rsidP="00D7525F">
      <w:pPr>
        <w:spacing w:before="120" w:after="120"/>
        <w:rPr>
          <w:lang w:val="fr-CA"/>
        </w:rPr>
      </w:pPr>
      <w:r w:rsidRPr="004B6E75">
        <w:rPr>
          <w:rStyle w:val="Strong"/>
          <w:rFonts w:asciiTheme="minorHAnsi" w:eastAsiaTheme="minorHAnsi" w:hAnsiTheme="minorHAnsi" w:cstheme="minorHAnsi"/>
          <w:sz w:val="22"/>
          <w:szCs w:val="22"/>
          <w:lang w:val="fr-CA"/>
        </w:rPr>
        <w:t xml:space="preserve">Ce document doit être lu conjointement avec la </w:t>
      </w:r>
      <w:r w:rsidRPr="004B6E75">
        <w:rPr>
          <w:rStyle w:val="Emphasis"/>
          <w:rFonts w:eastAsiaTheme="minorHAnsi"/>
          <w:lang w:val="fr-CA"/>
        </w:rPr>
        <w:t>Loi sur l’emploi dans la fonction publique</w:t>
      </w:r>
      <w:r w:rsidRPr="004B6E75">
        <w:rPr>
          <w:rStyle w:val="Strong"/>
          <w:rFonts w:asciiTheme="minorHAnsi" w:eastAsiaTheme="minorHAnsi" w:hAnsiTheme="minorHAnsi" w:cstheme="minorHAnsi"/>
          <w:sz w:val="22"/>
          <w:szCs w:val="22"/>
          <w:lang w:val="fr-CA"/>
        </w:rPr>
        <w:t xml:space="preserve">, le </w:t>
      </w:r>
      <w:r w:rsidRPr="004B6E75">
        <w:rPr>
          <w:rStyle w:val="Emphasis"/>
          <w:rFonts w:eastAsiaTheme="minorHAnsi"/>
          <w:lang w:val="fr-CA"/>
        </w:rPr>
        <w:t>Règlement sur l'emploi dans la fonction publique</w:t>
      </w:r>
      <w:r w:rsidRPr="004B6E75">
        <w:rPr>
          <w:rStyle w:val="Strong"/>
          <w:rFonts w:asciiTheme="minorHAnsi" w:eastAsiaTheme="minorHAnsi" w:hAnsiTheme="minorHAnsi" w:cstheme="minorHAnsi"/>
          <w:sz w:val="22"/>
          <w:szCs w:val="22"/>
          <w:lang w:val="fr-CA"/>
        </w:rPr>
        <w:t>, la ligne directrice en matière de nomination de la CFP ainsi que l’</w:t>
      </w:r>
      <w:r w:rsidRPr="004B6E75">
        <w:rPr>
          <w:rStyle w:val="Emphasis"/>
          <w:rFonts w:eastAsiaTheme="minorHAnsi"/>
          <w:lang w:val="fr-CA"/>
        </w:rPr>
        <w:t>Instrument de délégation et de responsabilisation en matière de nomination</w:t>
      </w:r>
      <w:r w:rsidRPr="004B6E75">
        <w:rPr>
          <w:rStyle w:val="Strong"/>
          <w:rFonts w:asciiTheme="minorHAnsi" w:eastAsiaTheme="minorHAnsi" w:hAnsiTheme="minorHAnsi" w:cstheme="minorHAnsi"/>
          <w:sz w:val="22"/>
          <w:szCs w:val="22"/>
          <w:lang w:val="fr-CA"/>
        </w:rPr>
        <w:t xml:space="preserve"> de la CFP</w:t>
      </w:r>
      <w:r w:rsidR="00450EAF" w:rsidRPr="004B6E75">
        <w:rPr>
          <w:rStyle w:val="Strong"/>
          <w:rFonts w:asciiTheme="minorHAnsi" w:eastAsiaTheme="minorHAnsi" w:hAnsiTheme="minorHAnsi" w:cstheme="minorHAnsi"/>
          <w:sz w:val="22"/>
          <w:szCs w:val="22"/>
          <w:lang w:val="fr-CA"/>
        </w:rPr>
        <w:t>.</w:t>
      </w:r>
    </w:p>
    <w:p w:rsidR="00ED3C47" w:rsidRPr="004B6E75" w:rsidRDefault="00ED3C47" w:rsidP="00D7525F">
      <w:pPr>
        <w:spacing w:before="120" w:after="120"/>
        <w:rPr>
          <w:rFonts w:ascii="Arial" w:hAnsi="Arial" w:cs="Arial"/>
          <w:b/>
          <w:color w:val="0070C0"/>
          <w:sz w:val="22"/>
          <w:szCs w:val="22"/>
          <w:lang w:val="fr-CA"/>
        </w:rPr>
        <w:sectPr w:rsidR="00ED3C47" w:rsidRPr="004B6E75" w:rsidSect="00637E9F">
          <w:headerReference w:type="default" r:id="rId10"/>
          <w:footerReference w:type="default" r:id="rId11"/>
          <w:pgSz w:w="12240" w:h="15840"/>
          <w:pgMar w:top="1440" w:right="1440" w:bottom="1440" w:left="1440" w:header="709" w:footer="284" w:gutter="0"/>
          <w:cols w:space="708"/>
          <w:titlePg/>
          <w:docGrid w:linePitch="360"/>
        </w:sectPr>
      </w:pPr>
    </w:p>
    <w:p w:rsidR="00FE5A30" w:rsidRPr="004B6E75" w:rsidRDefault="00252164" w:rsidP="00D7525F">
      <w:pPr>
        <w:pStyle w:val="Heading3"/>
        <w:spacing w:before="120" w:after="120"/>
        <w:jc w:val="right"/>
        <w:rPr>
          <w:lang w:val="fr-CA"/>
        </w:rPr>
      </w:pPr>
      <w:bookmarkStart w:id="2" w:name="AnnexD"/>
      <w:bookmarkStart w:id="3" w:name="AnnexB"/>
      <w:r w:rsidRPr="004B6E75">
        <w:rPr>
          <w:lang w:val="fr-CA"/>
        </w:rPr>
        <w:lastRenderedPageBreak/>
        <w:t>Annexe B</w:t>
      </w:r>
    </w:p>
    <w:bookmarkEnd w:id="2"/>
    <w:bookmarkEnd w:id="3"/>
    <w:p w:rsidR="00F75322" w:rsidRPr="004B6E75" w:rsidRDefault="00F75322" w:rsidP="00F75322">
      <w:pPr>
        <w:pStyle w:val="Heading1"/>
        <w:spacing w:before="120" w:after="120"/>
        <w:rPr>
          <w:sz w:val="40"/>
          <w:lang w:val="fr-CA"/>
        </w:rPr>
      </w:pPr>
      <w:r w:rsidRPr="004B6E75">
        <w:rPr>
          <w:sz w:val="40"/>
          <w:lang w:val="fr-CA"/>
        </w:rPr>
        <w:t>Population selon la durée d'emploi au 31 mars</w:t>
      </w:r>
    </w:p>
    <w:p w:rsidR="00D47D2C" w:rsidRPr="004B6E75" w:rsidRDefault="002730B1" w:rsidP="008F7415">
      <w:pPr>
        <w:pStyle w:val="Heading3"/>
        <w:jc w:val="center"/>
        <w:rPr>
          <w:lang w:val="fr-CA"/>
        </w:rPr>
      </w:pPr>
      <w:r w:rsidRPr="004B6E75">
        <w:rPr>
          <w:rStyle w:val="Strong"/>
          <w:noProof/>
          <w:lang w:val="en-CA" w:eastAsia="en-CA"/>
        </w:rPr>
        <w:drawing>
          <wp:inline distT="0" distB="0" distL="0" distR="0" wp14:anchorId="4CD999EA" wp14:editId="52F28F35">
            <wp:extent cx="5648400" cy="3049200"/>
            <wp:effectExtent l="0" t="0" r="9525" b="18415"/>
            <wp:docPr id="13" name="Chart 13" descr="Population selon la durée d'emploi au 31 mars"/>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D1257" w:rsidRPr="004B6E75" w:rsidRDefault="00D47D2C" w:rsidP="00D47D2C">
      <w:pPr>
        <w:pStyle w:val="Caption"/>
        <w:jc w:val="center"/>
        <w:rPr>
          <w:lang w:val="fr-CA"/>
        </w:rPr>
      </w:pPr>
      <w:r w:rsidRPr="004B6E75">
        <w:rPr>
          <w:lang w:val="fr-CA"/>
        </w:rPr>
        <w:t xml:space="preserve">Figure </w:t>
      </w:r>
      <w:r w:rsidRPr="004B6E75">
        <w:rPr>
          <w:lang w:val="fr-CA"/>
        </w:rPr>
        <w:fldChar w:fldCharType="begin"/>
      </w:r>
      <w:r w:rsidRPr="004B6E75">
        <w:rPr>
          <w:lang w:val="fr-CA"/>
        </w:rPr>
        <w:instrText xml:space="preserve"> SEQ Figure \* ARABIC </w:instrText>
      </w:r>
      <w:r w:rsidRPr="004B6E75">
        <w:rPr>
          <w:lang w:val="fr-CA"/>
        </w:rPr>
        <w:fldChar w:fldCharType="separate"/>
      </w:r>
      <w:r w:rsidR="00224B48" w:rsidRPr="004B6E75">
        <w:rPr>
          <w:noProof/>
          <w:lang w:val="fr-CA"/>
        </w:rPr>
        <w:t>1</w:t>
      </w:r>
      <w:r w:rsidRPr="004B6E75">
        <w:rPr>
          <w:lang w:val="fr-CA"/>
        </w:rPr>
        <w:fldChar w:fldCharType="end"/>
      </w:r>
      <w:r w:rsidRPr="004B6E75">
        <w:rPr>
          <w:lang w:val="fr-CA"/>
        </w:rPr>
        <w:t xml:space="preserve"> - Population selon la durée d'emploi au 31 mars</w:t>
      </w:r>
    </w:p>
    <w:p w:rsidR="00D47D2C" w:rsidRPr="004B6E75" w:rsidRDefault="00D47D2C" w:rsidP="00C37ED4">
      <w:pPr>
        <w:pStyle w:val="Caption"/>
        <w:keepNext/>
        <w:spacing w:before="240"/>
        <w:jc w:val="center"/>
        <w:rPr>
          <w:lang w:val="fr-CA"/>
        </w:rPr>
      </w:pPr>
      <w:r w:rsidRPr="004B6E75">
        <w:rPr>
          <w:lang w:val="fr-CA"/>
        </w:rPr>
        <w:t xml:space="preserve">Table </w:t>
      </w:r>
      <w:r w:rsidRPr="004B6E75">
        <w:rPr>
          <w:lang w:val="fr-CA"/>
        </w:rPr>
        <w:fldChar w:fldCharType="begin"/>
      </w:r>
      <w:r w:rsidRPr="004B6E75">
        <w:rPr>
          <w:lang w:val="fr-CA"/>
        </w:rPr>
        <w:instrText xml:space="preserve"> SEQ Table \* ARABIC </w:instrText>
      </w:r>
      <w:r w:rsidRPr="004B6E75">
        <w:rPr>
          <w:lang w:val="fr-CA"/>
        </w:rPr>
        <w:fldChar w:fldCharType="separate"/>
      </w:r>
      <w:r w:rsidR="00871A72" w:rsidRPr="004B6E75">
        <w:rPr>
          <w:noProof/>
          <w:lang w:val="fr-CA"/>
        </w:rPr>
        <w:t>1</w:t>
      </w:r>
      <w:r w:rsidRPr="004B6E75">
        <w:rPr>
          <w:lang w:val="fr-CA"/>
        </w:rPr>
        <w:fldChar w:fldCharType="end"/>
      </w:r>
      <w:r w:rsidRPr="004B6E75">
        <w:rPr>
          <w:lang w:val="fr-CA"/>
        </w:rPr>
        <w:t xml:space="preserve"> - Effectif régi par la Loi sur l’emploi dans la fonction publique au 31 mars selon la durée d’emploi</w:t>
      </w:r>
    </w:p>
    <w:tbl>
      <w:tblPr>
        <w:tblStyle w:val="TableGrid"/>
        <w:tblW w:w="5000" w:type="pct"/>
        <w:jc w:val="center"/>
        <w:tblLook w:val="04A0" w:firstRow="1" w:lastRow="0" w:firstColumn="1" w:lastColumn="0" w:noHBand="0" w:noVBand="1"/>
        <w:tblDescription w:val="Effectif selon la durée d'emploi en date du 31 mars 2014 à 2019"/>
      </w:tblPr>
      <w:tblGrid>
        <w:gridCol w:w="3160"/>
        <w:gridCol w:w="2800"/>
        <w:gridCol w:w="2498"/>
        <w:gridCol w:w="2734"/>
        <w:gridCol w:w="1897"/>
        <w:gridCol w:w="1301"/>
      </w:tblGrid>
      <w:tr w:rsidR="00C37ED4" w:rsidRPr="004B6E75" w:rsidTr="00F75322">
        <w:trPr>
          <w:cantSplit/>
          <w:tblHeader/>
          <w:jc w:val="center"/>
        </w:trPr>
        <w:tc>
          <w:tcPr>
            <w:tcW w:w="1098" w:type="pct"/>
          </w:tcPr>
          <w:p w:rsidR="00C37ED4" w:rsidRPr="004B6E75" w:rsidRDefault="00C37ED4" w:rsidP="00C37ED4">
            <w:pPr>
              <w:pStyle w:val="TableTitle"/>
              <w:rPr>
                <w:lang w:val="fr-CA"/>
              </w:rPr>
            </w:pPr>
            <w:r w:rsidRPr="004B6E75">
              <w:rPr>
                <w:lang w:val="fr-CA"/>
              </w:rPr>
              <w:t>Année</w:t>
            </w:r>
          </w:p>
        </w:tc>
        <w:tc>
          <w:tcPr>
            <w:tcW w:w="973" w:type="pct"/>
          </w:tcPr>
          <w:p w:rsidR="00C37ED4" w:rsidRPr="004B6E75" w:rsidRDefault="00C37ED4" w:rsidP="00C37ED4">
            <w:pPr>
              <w:pStyle w:val="TableTitle"/>
              <w:rPr>
                <w:lang w:val="fr-CA"/>
              </w:rPr>
            </w:pPr>
            <w:r w:rsidRPr="004B6E75">
              <w:rPr>
                <w:lang w:val="fr-CA"/>
              </w:rPr>
              <w:t>Indéterminée</w:t>
            </w:r>
          </w:p>
        </w:tc>
        <w:tc>
          <w:tcPr>
            <w:tcW w:w="868" w:type="pct"/>
          </w:tcPr>
          <w:p w:rsidR="00C37ED4" w:rsidRPr="004B6E75" w:rsidRDefault="00C37ED4" w:rsidP="00C37ED4">
            <w:pPr>
              <w:pStyle w:val="TableTitle"/>
              <w:rPr>
                <w:lang w:val="fr-CA"/>
              </w:rPr>
            </w:pPr>
            <w:r w:rsidRPr="004B6E75">
              <w:rPr>
                <w:lang w:val="fr-CA"/>
              </w:rPr>
              <w:t>Déterminée</w:t>
            </w:r>
          </w:p>
        </w:tc>
        <w:tc>
          <w:tcPr>
            <w:tcW w:w="950" w:type="pct"/>
          </w:tcPr>
          <w:p w:rsidR="00C37ED4" w:rsidRPr="004B6E75" w:rsidRDefault="00C37ED4" w:rsidP="00C37ED4">
            <w:pPr>
              <w:pStyle w:val="TableTitle"/>
              <w:rPr>
                <w:lang w:val="fr-CA"/>
              </w:rPr>
            </w:pPr>
            <w:r w:rsidRPr="004B6E75">
              <w:rPr>
                <w:lang w:val="fr-CA"/>
              </w:rPr>
              <w:t>Occasionnels</w:t>
            </w:r>
          </w:p>
        </w:tc>
        <w:tc>
          <w:tcPr>
            <w:tcW w:w="659" w:type="pct"/>
          </w:tcPr>
          <w:p w:rsidR="00C37ED4" w:rsidRPr="004B6E75" w:rsidRDefault="00C37ED4" w:rsidP="00C37ED4">
            <w:pPr>
              <w:pStyle w:val="TableTitle"/>
              <w:rPr>
                <w:lang w:val="fr-CA"/>
              </w:rPr>
            </w:pPr>
            <w:r w:rsidRPr="004B6E75">
              <w:rPr>
                <w:lang w:val="fr-CA"/>
              </w:rPr>
              <w:t>Étudiant</w:t>
            </w:r>
          </w:p>
        </w:tc>
        <w:tc>
          <w:tcPr>
            <w:tcW w:w="452" w:type="pct"/>
          </w:tcPr>
          <w:p w:rsidR="00C37ED4" w:rsidRPr="004B6E75" w:rsidRDefault="00C37ED4" w:rsidP="00C37ED4">
            <w:pPr>
              <w:pStyle w:val="TableTitle"/>
              <w:rPr>
                <w:lang w:val="fr-CA"/>
              </w:rPr>
            </w:pPr>
            <w:r w:rsidRPr="004B6E75">
              <w:rPr>
                <w:lang w:val="fr-CA"/>
              </w:rPr>
              <w:t>Total</w:t>
            </w:r>
          </w:p>
        </w:tc>
      </w:tr>
      <w:tr w:rsidR="00C37ED4" w:rsidRPr="004B6E75" w:rsidTr="00F75322">
        <w:trPr>
          <w:cantSplit/>
          <w:tblHeader/>
          <w:jc w:val="center"/>
        </w:trPr>
        <w:tc>
          <w:tcPr>
            <w:tcW w:w="1098" w:type="pct"/>
          </w:tcPr>
          <w:p w:rsidR="00C37ED4" w:rsidRPr="004B6E75" w:rsidRDefault="00C37ED4" w:rsidP="00C37ED4">
            <w:pPr>
              <w:rPr>
                <w:rFonts w:asciiTheme="minorHAnsi" w:hAnsiTheme="minorHAnsi" w:cstheme="minorHAnsi"/>
                <w:sz w:val="22"/>
                <w:szCs w:val="22"/>
                <w:lang w:val="fr-CA"/>
              </w:rPr>
            </w:pPr>
            <w:r w:rsidRPr="004B6E75">
              <w:rPr>
                <w:rFonts w:asciiTheme="minorHAnsi" w:hAnsiTheme="minorHAnsi" w:cstheme="minorHAnsi"/>
                <w:sz w:val="22"/>
                <w:szCs w:val="22"/>
                <w:lang w:val="fr-CA"/>
              </w:rPr>
              <w:t>Au 31 mars 2014</w:t>
            </w:r>
          </w:p>
        </w:tc>
        <w:tc>
          <w:tcPr>
            <w:tcW w:w="973" w:type="pct"/>
          </w:tcPr>
          <w:p w:rsidR="00C37ED4" w:rsidRPr="004B6E75" w:rsidRDefault="00C37ED4" w:rsidP="003C6ED7">
            <w:pPr>
              <w:jc w:val="center"/>
              <w:rPr>
                <w:rFonts w:asciiTheme="minorHAnsi" w:hAnsiTheme="minorHAnsi" w:cstheme="minorHAnsi"/>
                <w:sz w:val="22"/>
                <w:szCs w:val="22"/>
                <w:lang w:val="fr-CA"/>
              </w:rPr>
            </w:pPr>
            <w:r w:rsidRPr="004B6E75">
              <w:rPr>
                <w:rFonts w:asciiTheme="minorHAnsi" w:hAnsiTheme="minorHAnsi" w:cstheme="minorHAnsi"/>
                <w:sz w:val="22"/>
                <w:szCs w:val="22"/>
                <w:lang w:val="fr-CA"/>
              </w:rPr>
              <w:t>65</w:t>
            </w:r>
          </w:p>
        </w:tc>
        <w:tc>
          <w:tcPr>
            <w:tcW w:w="868" w:type="pct"/>
          </w:tcPr>
          <w:p w:rsidR="00C37ED4" w:rsidRPr="004B6E75" w:rsidRDefault="00C37ED4" w:rsidP="003C6ED7">
            <w:pPr>
              <w:jc w:val="center"/>
              <w:rPr>
                <w:rFonts w:asciiTheme="minorHAnsi" w:hAnsiTheme="minorHAnsi" w:cstheme="minorHAnsi"/>
                <w:sz w:val="22"/>
                <w:szCs w:val="22"/>
                <w:lang w:val="fr-CA"/>
              </w:rPr>
            </w:pPr>
            <w:r w:rsidRPr="004B6E75">
              <w:rPr>
                <w:rFonts w:asciiTheme="minorHAnsi" w:hAnsiTheme="minorHAnsi" w:cstheme="minorHAnsi"/>
                <w:sz w:val="22"/>
                <w:szCs w:val="22"/>
                <w:lang w:val="fr-CA"/>
              </w:rPr>
              <w:t>4</w:t>
            </w:r>
          </w:p>
        </w:tc>
        <w:tc>
          <w:tcPr>
            <w:tcW w:w="950" w:type="pct"/>
          </w:tcPr>
          <w:p w:rsidR="00C37ED4" w:rsidRPr="004B6E75" w:rsidRDefault="00C37ED4" w:rsidP="003C6ED7">
            <w:pPr>
              <w:jc w:val="center"/>
              <w:rPr>
                <w:rFonts w:asciiTheme="minorHAnsi" w:hAnsiTheme="minorHAnsi" w:cstheme="minorHAnsi"/>
                <w:sz w:val="22"/>
                <w:szCs w:val="22"/>
                <w:lang w:val="fr-CA"/>
              </w:rPr>
            </w:pPr>
            <w:r w:rsidRPr="004B6E75">
              <w:rPr>
                <w:rFonts w:asciiTheme="minorHAnsi" w:hAnsiTheme="minorHAnsi" w:cstheme="minorHAnsi"/>
                <w:sz w:val="22"/>
                <w:szCs w:val="22"/>
                <w:lang w:val="fr-CA"/>
              </w:rPr>
              <w:t>8</w:t>
            </w:r>
          </w:p>
        </w:tc>
        <w:tc>
          <w:tcPr>
            <w:tcW w:w="659" w:type="pct"/>
          </w:tcPr>
          <w:p w:rsidR="00C37ED4" w:rsidRPr="004B6E75" w:rsidRDefault="00C37ED4" w:rsidP="003C6ED7">
            <w:pPr>
              <w:jc w:val="center"/>
              <w:rPr>
                <w:rFonts w:asciiTheme="minorHAnsi" w:hAnsiTheme="minorHAnsi" w:cstheme="minorHAnsi"/>
                <w:sz w:val="22"/>
                <w:szCs w:val="22"/>
                <w:lang w:val="fr-CA"/>
              </w:rPr>
            </w:pPr>
            <w:r w:rsidRPr="004B6E75">
              <w:rPr>
                <w:rFonts w:asciiTheme="minorHAnsi" w:hAnsiTheme="minorHAnsi" w:cstheme="minorHAnsi"/>
                <w:sz w:val="22"/>
                <w:szCs w:val="22"/>
                <w:lang w:val="fr-CA"/>
              </w:rPr>
              <w:t>0</w:t>
            </w:r>
          </w:p>
        </w:tc>
        <w:tc>
          <w:tcPr>
            <w:tcW w:w="452" w:type="pct"/>
          </w:tcPr>
          <w:p w:rsidR="00C37ED4" w:rsidRPr="004B6E75" w:rsidRDefault="00C37ED4" w:rsidP="003C6ED7">
            <w:pPr>
              <w:jc w:val="center"/>
              <w:rPr>
                <w:rFonts w:asciiTheme="minorHAnsi" w:hAnsiTheme="minorHAnsi" w:cstheme="minorHAnsi"/>
                <w:sz w:val="22"/>
                <w:szCs w:val="22"/>
                <w:lang w:val="fr-CA"/>
              </w:rPr>
            </w:pPr>
            <w:r w:rsidRPr="004B6E75">
              <w:rPr>
                <w:rFonts w:asciiTheme="minorHAnsi" w:hAnsiTheme="minorHAnsi" w:cstheme="minorHAnsi"/>
                <w:sz w:val="22"/>
                <w:szCs w:val="22"/>
                <w:lang w:val="fr-CA"/>
              </w:rPr>
              <w:t>77</w:t>
            </w:r>
          </w:p>
        </w:tc>
      </w:tr>
      <w:tr w:rsidR="00C37ED4" w:rsidRPr="004B6E75" w:rsidTr="00F75322">
        <w:trPr>
          <w:cantSplit/>
          <w:tblHeader/>
          <w:jc w:val="center"/>
        </w:trPr>
        <w:tc>
          <w:tcPr>
            <w:tcW w:w="1098" w:type="pct"/>
          </w:tcPr>
          <w:p w:rsidR="00C37ED4" w:rsidRPr="004B6E75" w:rsidRDefault="00C37ED4" w:rsidP="00C37ED4">
            <w:pPr>
              <w:rPr>
                <w:rFonts w:asciiTheme="minorHAnsi" w:hAnsiTheme="minorHAnsi" w:cstheme="minorHAnsi"/>
                <w:sz w:val="22"/>
                <w:szCs w:val="22"/>
                <w:lang w:val="fr-CA"/>
              </w:rPr>
            </w:pPr>
            <w:r w:rsidRPr="004B6E75">
              <w:rPr>
                <w:rFonts w:asciiTheme="minorHAnsi" w:hAnsiTheme="minorHAnsi" w:cstheme="minorHAnsi"/>
                <w:sz w:val="22"/>
                <w:szCs w:val="22"/>
                <w:lang w:val="fr-CA"/>
              </w:rPr>
              <w:t>Au 31 mars 2015</w:t>
            </w:r>
          </w:p>
        </w:tc>
        <w:tc>
          <w:tcPr>
            <w:tcW w:w="973" w:type="pct"/>
          </w:tcPr>
          <w:p w:rsidR="00C37ED4" w:rsidRPr="004B6E75" w:rsidRDefault="00C37ED4" w:rsidP="003C6ED7">
            <w:pPr>
              <w:jc w:val="center"/>
              <w:rPr>
                <w:rFonts w:asciiTheme="minorHAnsi" w:hAnsiTheme="minorHAnsi" w:cstheme="minorHAnsi"/>
                <w:sz w:val="22"/>
                <w:szCs w:val="22"/>
                <w:lang w:val="fr-CA"/>
              </w:rPr>
            </w:pPr>
            <w:r w:rsidRPr="004B6E75">
              <w:rPr>
                <w:rFonts w:asciiTheme="minorHAnsi" w:hAnsiTheme="minorHAnsi" w:cstheme="minorHAnsi"/>
                <w:sz w:val="22"/>
                <w:szCs w:val="22"/>
                <w:lang w:val="fr-CA"/>
              </w:rPr>
              <w:t>71</w:t>
            </w:r>
          </w:p>
        </w:tc>
        <w:tc>
          <w:tcPr>
            <w:tcW w:w="868" w:type="pct"/>
          </w:tcPr>
          <w:p w:rsidR="00C37ED4" w:rsidRPr="004B6E75" w:rsidRDefault="00C37ED4" w:rsidP="003C6ED7">
            <w:pPr>
              <w:jc w:val="center"/>
              <w:rPr>
                <w:rFonts w:asciiTheme="minorHAnsi" w:hAnsiTheme="minorHAnsi" w:cstheme="minorHAnsi"/>
                <w:sz w:val="22"/>
                <w:szCs w:val="22"/>
                <w:lang w:val="fr-CA"/>
              </w:rPr>
            </w:pPr>
            <w:r w:rsidRPr="004B6E75">
              <w:rPr>
                <w:rFonts w:asciiTheme="minorHAnsi" w:hAnsiTheme="minorHAnsi" w:cstheme="minorHAnsi"/>
                <w:sz w:val="22"/>
                <w:szCs w:val="22"/>
                <w:lang w:val="fr-CA"/>
              </w:rPr>
              <w:t>4</w:t>
            </w:r>
          </w:p>
        </w:tc>
        <w:tc>
          <w:tcPr>
            <w:tcW w:w="950" w:type="pct"/>
          </w:tcPr>
          <w:p w:rsidR="00C37ED4" w:rsidRPr="004B6E75" w:rsidRDefault="00C37ED4" w:rsidP="003C6ED7">
            <w:pPr>
              <w:jc w:val="center"/>
              <w:rPr>
                <w:rFonts w:asciiTheme="minorHAnsi" w:hAnsiTheme="minorHAnsi" w:cstheme="minorHAnsi"/>
                <w:sz w:val="22"/>
                <w:szCs w:val="22"/>
                <w:lang w:val="fr-CA"/>
              </w:rPr>
            </w:pPr>
            <w:r w:rsidRPr="004B6E75">
              <w:rPr>
                <w:rFonts w:asciiTheme="minorHAnsi" w:hAnsiTheme="minorHAnsi" w:cstheme="minorHAnsi"/>
                <w:sz w:val="22"/>
                <w:szCs w:val="22"/>
                <w:lang w:val="fr-CA"/>
              </w:rPr>
              <w:t>7</w:t>
            </w:r>
          </w:p>
        </w:tc>
        <w:tc>
          <w:tcPr>
            <w:tcW w:w="659" w:type="pct"/>
          </w:tcPr>
          <w:p w:rsidR="00C37ED4" w:rsidRPr="004B6E75" w:rsidRDefault="00C37ED4" w:rsidP="003C6ED7">
            <w:pPr>
              <w:jc w:val="center"/>
              <w:rPr>
                <w:rFonts w:asciiTheme="minorHAnsi" w:hAnsiTheme="minorHAnsi" w:cstheme="minorHAnsi"/>
                <w:sz w:val="22"/>
                <w:szCs w:val="22"/>
                <w:lang w:val="fr-CA"/>
              </w:rPr>
            </w:pPr>
            <w:r w:rsidRPr="004B6E75">
              <w:rPr>
                <w:rFonts w:asciiTheme="minorHAnsi" w:hAnsiTheme="minorHAnsi" w:cstheme="minorHAnsi"/>
                <w:sz w:val="22"/>
                <w:szCs w:val="22"/>
                <w:lang w:val="fr-CA"/>
              </w:rPr>
              <w:t>0</w:t>
            </w:r>
          </w:p>
        </w:tc>
        <w:tc>
          <w:tcPr>
            <w:tcW w:w="452" w:type="pct"/>
          </w:tcPr>
          <w:p w:rsidR="00C37ED4" w:rsidRPr="004B6E75" w:rsidRDefault="00C37ED4" w:rsidP="003C6ED7">
            <w:pPr>
              <w:jc w:val="center"/>
              <w:rPr>
                <w:rFonts w:asciiTheme="minorHAnsi" w:hAnsiTheme="minorHAnsi" w:cstheme="minorHAnsi"/>
                <w:sz w:val="22"/>
                <w:szCs w:val="22"/>
                <w:lang w:val="fr-CA"/>
              </w:rPr>
            </w:pPr>
            <w:r w:rsidRPr="004B6E75">
              <w:rPr>
                <w:rFonts w:asciiTheme="minorHAnsi" w:hAnsiTheme="minorHAnsi" w:cstheme="minorHAnsi"/>
                <w:sz w:val="22"/>
                <w:szCs w:val="22"/>
                <w:lang w:val="fr-CA"/>
              </w:rPr>
              <w:t>82</w:t>
            </w:r>
          </w:p>
        </w:tc>
      </w:tr>
      <w:tr w:rsidR="00C37ED4" w:rsidRPr="004B6E75" w:rsidTr="00F75322">
        <w:trPr>
          <w:cantSplit/>
          <w:tblHeader/>
          <w:jc w:val="center"/>
        </w:trPr>
        <w:tc>
          <w:tcPr>
            <w:tcW w:w="1098" w:type="pct"/>
          </w:tcPr>
          <w:p w:rsidR="00C37ED4" w:rsidRPr="004B6E75" w:rsidRDefault="00C37ED4" w:rsidP="00C37ED4">
            <w:pPr>
              <w:rPr>
                <w:rFonts w:asciiTheme="minorHAnsi" w:hAnsiTheme="minorHAnsi" w:cstheme="minorHAnsi"/>
                <w:sz w:val="22"/>
                <w:szCs w:val="22"/>
                <w:lang w:val="fr-CA"/>
              </w:rPr>
            </w:pPr>
            <w:r w:rsidRPr="004B6E75">
              <w:rPr>
                <w:rFonts w:asciiTheme="minorHAnsi" w:hAnsiTheme="minorHAnsi" w:cstheme="minorHAnsi"/>
                <w:sz w:val="22"/>
                <w:szCs w:val="22"/>
                <w:lang w:val="fr-CA"/>
              </w:rPr>
              <w:t>Au 31 mars 2016</w:t>
            </w:r>
          </w:p>
        </w:tc>
        <w:tc>
          <w:tcPr>
            <w:tcW w:w="973" w:type="pct"/>
          </w:tcPr>
          <w:p w:rsidR="00C37ED4" w:rsidRPr="004B6E75" w:rsidRDefault="00C37ED4" w:rsidP="003C6ED7">
            <w:pPr>
              <w:jc w:val="center"/>
              <w:rPr>
                <w:rFonts w:asciiTheme="minorHAnsi" w:hAnsiTheme="minorHAnsi" w:cstheme="minorHAnsi"/>
                <w:sz w:val="22"/>
                <w:szCs w:val="22"/>
                <w:lang w:val="fr-CA"/>
              </w:rPr>
            </w:pPr>
            <w:r w:rsidRPr="004B6E75">
              <w:rPr>
                <w:rFonts w:asciiTheme="minorHAnsi" w:hAnsiTheme="minorHAnsi" w:cstheme="minorHAnsi"/>
                <w:sz w:val="22"/>
                <w:szCs w:val="22"/>
                <w:lang w:val="fr-CA"/>
              </w:rPr>
              <w:t>75</w:t>
            </w:r>
          </w:p>
        </w:tc>
        <w:tc>
          <w:tcPr>
            <w:tcW w:w="868" w:type="pct"/>
          </w:tcPr>
          <w:p w:rsidR="00C37ED4" w:rsidRPr="004B6E75" w:rsidRDefault="00C37ED4" w:rsidP="003C6ED7">
            <w:pPr>
              <w:jc w:val="center"/>
              <w:rPr>
                <w:rFonts w:asciiTheme="minorHAnsi" w:hAnsiTheme="minorHAnsi" w:cstheme="minorHAnsi"/>
                <w:sz w:val="22"/>
                <w:szCs w:val="22"/>
                <w:lang w:val="fr-CA"/>
              </w:rPr>
            </w:pPr>
            <w:r w:rsidRPr="004B6E75">
              <w:rPr>
                <w:rFonts w:asciiTheme="minorHAnsi" w:hAnsiTheme="minorHAnsi" w:cstheme="minorHAnsi"/>
                <w:sz w:val="22"/>
                <w:szCs w:val="22"/>
                <w:lang w:val="fr-CA"/>
              </w:rPr>
              <w:t>1</w:t>
            </w:r>
          </w:p>
        </w:tc>
        <w:tc>
          <w:tcPr>
            <w:tcW w:w="950" w:type="pct"/>
          </w:tcPr>
          <w:p w:rsidR="00C37ED4" w:rsidRPr="004B6E75" w:rsidRDefault="00C37ED4" w:rsidP="003C6ED7">
            <w:pPr>
              <w:jc w:val="center"/>
              <w:rPr>
                <w:rFonts w:asciiTheme="minorHAnsi" w:hAnsiTheme="minorHAnsi" w:cstheme="minorHAnsi"/>
                <w:sz w:val="22"/>
                <w:szCs w:val="22"/>
                <w:lang w:val="fr-CA"/>
              </w:rPr>
            </w:pPr>
            <w:r w:rsidRPr="004B6E75">
              <w:rPr>
                <w:rFonts w:asciiTheme="minorHAnsi" w:hAnsiTheme="minorHAnsi" w:cstheme="minorHAnsi"/>
                <w:sz w:val="22"/>
                <w:szCs w:val="22"/>
                <w:lang w:val="fr-CA"/>
              </w:rPr>
              <w:t>13</w:t>
            </w:r>
          </w:p>
        </w:tc>
        <w:tc>
          <w:tcPr>
            <w:tcW w:w="659" w:type="pct"/>
          </w:tcPr>
          <w:p w:rsidR="00C37ED4" w:rsidRPr="004B6E75" w:rsidRDefault="00C37ED4" w:rsidP="003C6ED7">
            <w:pPr>
              <w:jc w:val="center"/>
              <w:rPr>
                <w:rFonts w:asciiTheme="minorHAnsi" w:hAnsiTheme="minorHAnsi" w:cstheme="minorHAnsi"/>
                <w:sz w:val="22"/>
                <w:szCs w:val="22"/>
                <w:lang w:val="fr-CA"/>
              </w:rPr>
            </w:pPr>
            <w:r w:rsidRPr="004B6E75">
              <w:rPr>
                <w:rFonts w:asciiTheme="minorHAnsi" w:hAnsiTheme="minorHAnsi" w:cstheme="minorHAnsi"/>
                <w:sz w:val="22"/>
                <w:szCs w:val="22"/>
                <w:lang w:val="fr-CA"/>
              </w:rPr>
              <w:t>4</w:t>
            </w:r>
          </w:p>
        </w:tc>
        <w:tc>
          <w:tcPr>
            <w:tcW w:w="452" w:type="pct"/>
          </w:tcPr>
          <w:p w:rsidR="00C37ED4" w:rsidRPr="004B6E75" w:rsidRDefault="00C37ED4" w:rsidP="003C6ED7">
            <w:pPr>
              <w:jc w:val="center"/>
              <w:rPr>
                <w:rFonts w:asciiTheme="minorHAnsi" w:hAnsiTheme="minorHAnsi" w:cstheme="minorHAnsi"/>
                <w:sz w:val="22"/>
                <w:szCs w:val="22"/>
                <w:lang w:val="fr-CA"/>
              </w:rPr>
            </w:pPr>
            <w:r w:rsidRPr="004B6E75">
              <w:rPr>
                <w:rFonts w:asciiTheme="minorHAnsi" w:hAnsiTheme="minorHAnsi" w:cstheme="minorHAnsi"/>
                <w:sz w:val="22"/>
                <w:szCs w:val="22"/>
                <w:lang w:val="fr-CA"/>
              </w:rPr>
              <w:t>93</w:t>
            </w:r>
          </w:p>
        </w:tc>
      </w:tr>
      <w:tr w:rsidR="00C37ED4" w:rsidRPr="004B6E75" w:rsidTr="00F75322">
        <w:trPr>
          <w:cantSplit/>
          <w:tblHeader/>
          <w:jc w:val="center"/>
        </w:trPr>
        <w:tc>
          <w:tcPr>
            <w:tcW w:w="1098" w:type="pct"/>
          </w:tcPr>
          <w:p w:rsidR="00C37ED4" w:rsidRPr="004B6E75" w:rsidRDefault="00C37ED4" w:rsidP="00C37ED4">
            <w:pPr>
              <w:rPr>
                <w:rFonts w:asciiTheme="minorHAnsi" w:hAnsiTheme="minorHAnsi" w:cstheme="minorHAnsi"/>
                <w:sz w:val="22"/>
                <w:szCs w:val="22"/>
                <w:lang w:val="fr-CA"/>
              </w:rPr>
            </w:pPr>
            <w:r w:rsidRPr="004B6E75">
              <w:rPr>
                <w:rFonts w:asciiTheme="minorHAnsi" w:hAnsiTheme="minorHAnsi" w:cstheme="minorHAnsi"/>
                <w:sz w:val="22"/>
                <w:szCs w:val="22"/>
                <w:lang w:val="fr-CA"/>
              </w:rPr>
              <w:t>Au 31 mars 2017</w:t>
            </w:r>
          </w:p>
        </w:tc>
        <w:tc>
          <w:tcPr>
            <w:tcW w:w="973" w:type="pct"/>
          </w:tcPr>
          <w:p w:rsidR="00C37ED4" w:rsidRPr="004B6E75" w:rsidRDefault="00C37ED4" w:rsidP="003C6ED7">
            <w:pPr>
              <w:jc w:val="center"/>
              <w:rPr>
                <w:rFonts w:asciiTheme="minorHAnsi" w:hAnsiTheme="minorHAnsi" w:cstheme="minorHAnsi"/>
                <w:sz w:val="22"/>
                <w:szCs w:val="22"/>
                <w:lang w:val="fr-CA"/>
              </w:rPr>
            </w:pPr>
            <w:r w:rsidRPr="004B6E75">
              <w:rPr>
                <w:rFonts w:asciiTheme="minorHAnsi" w:hAnsiTheme="minorHAnsi" w:cstheme="minorHAnsi"/>
                <w:sz w:val="22"/>
                <w:szCs w:val="22"/>
                <w:lang w:val="fr-CA"/>
              </w:rPr>
              <w:t>75</w:t>
            </w:r>
          </w:p>
        </w:tc>
        <w:tc>
          <w:tcPr>
            <w:tcW w:w="868" w:type="pct"/>
          </w:tcPr>
          <w:p w:rsidR="00C37ED4" w:rsidRPr="004B6E75" w:rsidRDefault="00C37ED4" w:rsidP="003C6ED7">
            <w:pPr>
              <w:jc w:val="center"/>
              <w:rPr>
                <w:rFonts w:asciiTheme="minorHAnsi" w:hAnsiTheme="minorHAnsi" w:cstheme="minorHAnsi"/>
                <w:sz w:val="22"/>
                <w:szCs w:val="22"/>
                <w:lang w:val="fr-CA"/>
              </w:rPr>
            </w:pPr>
            <w:r w:rsidRPr="004B6E75">
              <w:rPr>
                <w:rFonts w:asciiTheme="minorHAnsi" w:hAnsiTheme="minorHAnsi" w:cstheme="minorHAnsi"/>
                <w:sz w:val="22"/>
                <w:szCs w:val="22"/>
                <w:lang w:val="fr-CA"/>
              </w:rPr>
              <w:t>6</w:t>
            </w:r>
          </w:p>
        </w:tc>
        <w:tc>
          <w:tcPr>
            <w:tcW w:w="950" w:type="pct"/>
          </w:tcPr>
          <w:p w:rsidR="00C37ED4" w:rsidRPr="004B6E75" w:rsidRDefault="00C37ED4" w:rsidP="003C6ED7">
            <w:pPr>
              <w:jc w:val="center"/>
              <w:rPr>
                <w:rFonts w:asciiTheme="minorHAnsi" w:hAnsiTheme="minorHAnsi" w:cstheme="minorHAnsi"/>
                <w:sz w:val="22"/>
                <w:szCs w:val="22"/>
                <w:lang w:val="fr-CA"/>
              </w:rPr>
            </w:pPr>
            <w:r w:rsidRPr="004B6E75">
              <w:rPr>
                <w:rFonts w:asciiTheme="minorHAnsi" w:hAnsiTheme="minorHAnsi" w:cstheme="minorHAnsi"/>
                <w:sz w:val="22"/>
                <w:szCs w:val="22"/>
                <w:lang w:val="fr-CA"/>
              </w:rPr>
              <w:t>15</w:t>
            </w:r>
          </w:p>
        </w:tc>
        <w:tc>
          <w:tcPr>
            <w:tcW w:w="659" w:type="pct"/>
          </w:tcPr>
          <w:p w:rsidR="00C37ED4" w:rsidRPr="004B6E75" w:rsidRDefault="00C37ED4" w:rsidP="003C6ED7">
            <w:pPr>
              <w:jc w:val="center"/>
              <w:rPr>
                <w:rFonts w:asciiTheme="minorHAnsi" w:hAnsiTheme="minorHAnsi" w:cstheme="minorHAnsi"/>
                <w:sz w:val="22"/>
                <w:szCs w:val="22"/>
                <w:lang w:val="fr-CA"/>
              </w:rPr>
            </w:pPr>
            <w:r w:rsidRPr="004B6E75">
              <w:rPr>
                <w:rFonts w:asciiTheme="minorHAnsi" w:hAnsiTheme="minorHAnsi" w:cstheme="minorHAnsi"/>
                <w:sz w:val="22"/>
                <w:szCs w:val="22"/>
                <w:lang w:val="fr-CA"/>
              </w:rPr>
              <w:t>2</w:t>
            </w:r>
          </w:p>
        </w:tc>
        <w:tc>
          <w:tcPr>
            <w:tcW w:w="452" w:type="pct"/>
          </w:tcPr>
          <w:p w:rsidR="00C37ED4" w:rsidRPr="004B6E75" w:rsidRDefault="00C37ED4" w:rsidP="003C6ED7">
            <w:pPr>
              <w:jc w:val="center"/>
              <w:rPr>
                <w:rFonts w:asciiTheme="minorHAnsi" w:hAnsiTheme="minorHAnsi" w:cstheme="minorHAnsi"/>
                <w:sz w:val="22"/>
                <w:szCs w:val="22"/>
                <w:lang w:val="fr-CA"/>
              </w:rPr>
            </w:pPr>
            <w:r w:rsidRPr="004B6E75">
              <w:rPr>
                <w:rFonts w:asciiTheme="minorHAnsi" w:hAnsiTheme="minorHAnsi" w:cstheme="minorHAnsi"/>
                <w:sz w:val="22"/>
                <w:szCs w:val="22"/>
                <w:lang w:val="fr-CA"/>
              </w:rPr>
              <w:t>98</w:t>
            </w:r>
          </w:p>
        </w:tc>
      </w:tr>
      <w:tr w:rsidR="00C37ED4" w:rsidRPr="004B6E75" w:rsidTr="00F75322">
        <w:trPr>
          <w:cantSplit/>
          <w:tblHeader/>
          <w:jc w:val="center"/>
        </w:trPr>
        <w:tc>
          <w:tcPr>
            <w:tcW w:w="1098" w:type="pct"/>
          </w:tcPr>
          <w:p w:rsidR="00C37ED4" w:rsidRPr="004B6E75" w:rsidRDefault="00C37ED4" w:rsidP="00C37ED4">
            <w:pPr>
              <w:rPr>
                <w:rFonts w:asciiTheme="minorHAnsi" w:hAnsiTheme="minorHAnsi" w:cstheme="minorHAnsi"/>
                <w:sz w:val="22"/>
                <w:szCs w:val="22"/>
                <w:lang w:val="fr-CA"/>
              </w:rPr>
            </w:pPr>
            <w:r w:rsidRPr="004B6E75">
              <w:rPr>
                <w:rFonts w:asciiTheme="minorHAnsi" w:hAnsiTheme="minorHAnsi" w:cstheme="minorHAnsi"/>
                <w:sz w:val="22"/>
                <w:szCs w:val="22"/>
                <w:lang w:val="fr-CA"/>
              </w:rPr>
              <w:t>Au 31 mars 2018</w:t>
            </w:r>
          </w:p>
        </w:tc>
        <w:tc>
          <w:tcPr>
            <w:tcW w:w="973" w:type="pct"/>
          </w:tcPr>
          <w:p w:rsidR="00C37ED4" w:rsidRPr="004B6E75" w:rsidRDefault="00C37ED4" w:rsidP="003C6ED7">
            <w:pPr>
              <w:jc w:val="center"/>
              <w:rPr>
                <w:rFonts w:asciiTheme="minorHAnsi" w:hAnsiTheme="minorHAnsi" w:cstheme="minorHAnsi"/>
                <w:sz w:val="22"/>
                <w:szCs w:val="22"/>
                <w:lang w:val="fr-CA"/>
              </w:rPr>
            </w:pPr>
            <w:r w:rsidRPr="004B6E75">
              <w:rPr>
                <w:rFonts w:asciiTheme="minorHAnsi" w:hAnsiTheme="minorHAnsi" w:cstheme="minorHAnsi"/>
                <w:sz w:val="22"/>
                <w:szCs w:val="22"/>
                <w:lang w:val="fr-CA"/>
              </w:rPr>
              <w:t>90</w:t>
            </w:r>
          </w:p>
        </w:tc>
        <w:tc>
          <w:tcPr>
            <w:tcW w:w="868" w:type="pct"/>
          </w:tcPr>
          <w:p w:rsidR="00C37ED4" w:rsidRPr="004B6E75" w:rsidRDefault="00C37ED4" w:rsidP="003C6ED7">
            <w:pPr>
              <w:jc w:val="center"/>
              <w:rPr>
                <w:rFonts w:asciiTheme="minorHAnsi" w:hAnsiTheme="minorHAnsi" w:cstheme="minorHAnsi"/>
                <w:sz w:val="22"/>
                <w:szCs w:val="22"/>
                <w:lang w:val="fr-CA"/>
              </w:rPr>
            </w:pPr>
            <w:r w:rsidRPr="004B6E75">
              <w:rPr>
                <w:rFonts w:asciiTheme="minorHAnsi" w:hAnsiTheme="minorHAnsi" w:cstheme="minorHAnsi"/>
                <w:sz w:val="22"/>
                <w:szCs w:val="22"/>
                <w:lang w:val="fr-CA"/>
              </w:rPr>
              <w:t>10</w:t>
            </w:r>
          </w:p>
        </w:tc>
        <w:tc>
          <w:tcPr>
            <w:tcW w:w="950" w:type="pct"/>
          </w:tcPr>
          <w:p w:rsidR="00C37ED4" w:rsidRPr="004B6E75" w:rsidRDefault="00C37ED4" w:rsidP="003C6ED7">
            <w:pPr>
              <w:jc w:val="center"/>
              <w:rPr>
                <w:rFonts w:asciiTheme="minorHAnsi" w:hAnsiTheme="minorHAnsi" w:cstheme="minorHAnsi"/>
                <w:sz w:val="22"/>
                <w:szCs w:val="22"/>
                <w:lang w:val="fr-CA"/>
              </w:rPr>
            </w:pPr>
            <w:r w:rsidRPr="004B6E75">
              <w:rPr>
                <w:rFonts w:asciiTheme="minorHAnsi" w:hAnsiTheme="minorHAnsi" w:cstheme="minorHAnsi"/>
                <w:sz w:val="22"/>
                <w:szCs w:val="22"/>
                <w:lang w:val="fr-CA"/>
              </w:rPr>
              <w:t>11</w:t>
            </w:r>
          </w:p>
        </w:tc>
        <w:tc>
          <w:tcPr>
            <w:tcW w:w="659" w:type="pct"/>
          </w:tcPr>
          <w:p w:rsidR="00C37ED4" w:rsidRPr="004B6E75" w:rsidRDefault="00C37ED4" w:rsidP="003C6ED7">
            <w:pPr>
              <w:jc w:val="center"/>
              <w:rPr>
                <w:rFonts w:asciiTheme="minorHAnsi" w:hAnsiTheme="minorHAnsi" w:cstheme="minorHAnsi"/>
                <w:sz w:val="22"/>
                <w:szCs w:val="22"/>
                <w:lang w:val="fr-CA"/>
              </w:rPr>
            </w:pPr>
            <w:r w:rsidRPr="004B6E75">
              <w:rPr>
                <w:rFonts w:asciiTheme="minorHAnsi" w:hAnsiTheme="minorHAnsi" w:cstheme="minorHAnsi"/>
                <w:sz w:val="22"/>
                <w:szCs w:val="22"/>
                <w:lang w:val="fr-CA"/>
              </w:rPr>
              <w:t>2</w:t>
            </w:r>
          </w:p>
        </w:tc>
        <w:tc>
          <w:tcPr>
            <w:tcW w:w="452" w:type="pct"/>
          </w:tcPr>
          <w:p w:rsidR="00C37ED4" w:rsidRPr="004B6E75" w:rsidRDefault="00C37ED4" w:rsidP="003C6ED7">
            <w:pPr>
              <w:jc w:val="center"/>
              <w:rPr>
                <w:rFonts w:asciiTheme="minorHAnsi" w:hAnsiTheme="minorHAnsi" w:cstheme="minorHAnsi"/>
                <w:sz w:val="22"/>
                <w:szCs w:val="22"/>
                <w:lang w:val="fr-CA"/>
              </w:rPr>
            </w:pPr>
            <w:r w:rsidRPr="004B6E75">
              <w:rPr>
                <w:rFonts w:asciiTheme="minorHAnsi" w:hAnsiTheme="minorHAnsi" w:cstheme="minorHAnsi"/>
                <w:sz w:val="22"/>
                <w:szCs w:val="22"/>
                <w:lang w:val="fr-CA"/>
              </w:rPr>
              <w:t>113</w:t>
            </w:r>
          </w:p>
        </w:tc>
      </w:tr>
      <w:tr w:rsidR="00C37ED4" w:rsidRPr="004B6E75" w:rsidTr="00F75322">
        <w:trPr>
          <w:cantSplit/>
          <w:tblHeader/>
          <w:jc w:val="center"/>
        </w:trPr>
        <w:tc>
          <w:tcPr>
            <w:tcW w:w="1098" w:type="pct"/>
          </w:tcPr>
          <w:p w:rsidR="00C37ED4" w:rsidRPr="004B6E75" w:rsidRDefault="00C37ED4" w:rsidP="00C37ED4">
            <w:pPr>
              <w:rPr>
                <w:rFonts w:asciiTheme="minorHAnsi" w:hAnsiTheme="minorHAnsi" w:cstheme="minorHAnsi"/>
                <w:sz w:val="22"/>
                <w:szCs w:val="22"/>
                <w:lang w:val="fr-CA"/>
              </w:rPr>
            </w:pPr>
            <w:r w:rsidRPr="004B6E75">
              <w:rPr>
                <w:rFonts w:asciiTheme="minorHAnsi" w:hAnsiTheme="minorHAnsi" w:cstheme="minorHAnsi"/>
                <w:sz w:val="22"/>
                <w:szCs w:val="22"/>
                <w:lang w:val="fr-CA"/>
              </w:rPr>
              <w:t>Au 31 mars 2019</w:t>
            </w:r>
          </w:p>
        </w:tc>
        <w:tc>
          <w:tcPr>
            <w:tcW w:w="973" w:type="pct"/>
          </w:tcPr>
          <w:p w:rsidR="00C37ED4" w:rsidRPr="004B6E75" w:rsidRDefault="00C37ED4" w:rsidP="003C6ED7">
            <w:pPr>
              <w:jc w:val="center"/>
              <w:rPr>
                <w:rFonts w:asciiTheme="minorHAnsi" w:hAnsiTheme="minorHAnsi" w:cstheme="minorHAnsi"/>
                <w:sz w:val="22"/>
                <w:szCs w:val="22"/>
                <w:lang w:val="fr-CA"/>
              </w:rPr>
            </w:pPr>
            <w:r w:rsidRPr="004B6E75">
              <w:rPr>
                <w:rFonts w:asciiTheme="minorHAnsi" w:hAnsiTheme="minorHAnsi" w:cstheme="minorHAnsi"/>
                <w:sz w:val="22"/>
                <w:szCs w:val="22"/>
                <w:lang w:val="fr-CA"/>
              </w:rPr>
              <w:t>100</w:t>
            </w:r>
          </w:p>
        </w:tc>
        <w:tc>
          <w:tcPr>
            <w:tcW w:w="868" w:type="pct"/>
          </w:tcPr>
          <w:p w:rsidR="00C37ED4" w:rsidRPr="004B6E75" w:rsidRDefault="00C37ED4" w:rsidP="003C6ED7">
            <w:pPr>
              <w:jc w:val="center"/>
              <w:rPr>
                <w:rFonts w:asciiTheme="minorHAnsi" w:hAnsiTheme="minorHAnsi" w:cstheme="minorHAnsi"/>
                <w:sz w:val="22"/>
                <w:szCs w:val="22"/>
                <w:lang w:val="fr-CA"/>
              </w:rPr>
            </w:pPr>
            <w:r w:rsidRPr="004B6E75">
              <w:rPr>
                <w:rFonts w:asciiTheme="minorHAnsi" w:hAnsiTheme="minorHAnsi" w:cstheme="minorHAnsi"/>
                <w:sz w:val="22"/>
                <w:szCs w:val="22"/>
                <w:lang w:val="fr-CA"/>
              </w:rPr>
              <w:t>8</w:t>
            </w:r>
          </w:p>
        </w:tc>
        <w:tc>
          <w:tcPr>
            <w:tcW w:w="950" w:type="pct"/>
          </w:tcPr>
          <w:p w:rsidR="00C37ED4" w:rsidRPr="004B6E75" w:rsidRDefault="00C37ED4" w:rsidP="003C6ED7">
            <w:pPr>
              <w:jc w:val="center"/>
              <w:rPr>
                <w:rFonts w:asciiTheme="minorHAnsi" w:hAnsiTheme="minorHAnsi" w:cstheme="minorHAnsi"/>
                <w:sz w:val="22"/>
                <w:szCs w:val="22"/>
                <w:lang w:val="fr-CA"/>
              </w:rPr>
            </w:pPr>
            <w:r w:rsidRPr="004B6E75">
              <w:rPr>
                <w:rFonts w:asciiTheme="minorHAnsi" w:hAnsiTheme="minorHAnsi" w:cstheme="minorHAnsi"/>
                <w:sz w:val="22"/>
                <w:szCs w:val="22"/>
                <w:lang w:val="fr-CA"/>
              </w:rPr>
              <w:t>15</w:t>
            </w:r>
          </w:p>
        </w:tc>
        <w:tc>
          <w:tcPr>
            <w:tcW w:w="659" w:type="pct"/>
          </w:tcPr>
          <w:p w:rsidR="00C37ED4" w:rsidRPr="004B6E75" w:rsidRDefault="00C37ED4" w:rsidP="003C6ED7">
            <w:pPr>
              <w:jc w:val="center"/>
              <w:rPr>
                <w:rFonts w:asciiTheme="minorHAnsi" w:hAnsiTheme="minorHAnsi" w:cstheme="minorHAnsi"/>
                <w:sz w:val="22"/>
                <w:szCs w:val="22"/>
                <w:lang w:val="fr-CA"/>
              </w:rPr>
            </w:pPr>
            <w:r w:rsidRPr="004B6E75">
              <w:rPr>
                <w:rFonts w:asciiTheme="minorHAnsi" w:hAnsiTheme="minorHAnsi" w:cstheme="minorHAnsi"/>
                <w:sz w:val="22"/>
                <w:szCs w:val="22"/>
                <w:lang w:val="fr-CA"/>
              </w:rPr>
              <w:t>4</w:t>
            </w:r>
          </w:p>
        </w:tc>
        <w:tc>
          <w:tcPr>
            <w:tcW w:w="452" w:type="pct"/>
          </w:tcPr>
          <w:p w:rsidR="00C37ED4" w:rsidRPr="004B6E75" w:rsidRDefault="00C37ED4" w:rsidP="003C6ED7">
            <w:pPr>
              <w:jc w:val="center"/>
              <w:rPr>
                <w:rFonts w:asciiTheme="minorHAnsi" w:hAnsiTheme="minorHAnsi" w:cstheme="minorHAnsi"/>
                <w:sz w:val="22"/>
                <w:szCs w:val="22"/>
                <w:lang w:val="fr-CA"/>
              </w:rPr>
            </w:pPr>
            <w:r w:rsidRPr="004B6E75">
              <w:rPr>
                <w:rFonts w:asciiTheme="minorHAnsi" w:hAnsiTheme="minorHAnsi" w:cstheme="minorHAnsi"/>
                <w:sz w:val="22"/>
                <w:szCs w:val="22"/>
                <w:lang w:val="fr-CA"/>
              </w:rPr>
              <w:t>127</w:t>
            </w:r>
          </w:p>
        </w:tc>
      </w:tr>
    </w:tbl>
    <w:p w:rsidR="00F75322" w:rsidRPr="004B6E75" w:rsidRDefault="00F75322" w:rsidP="00F75322">
      <w:pPr>
        <w:pStyle w:val="Heading1"/>
        <w:spacing w:before="120" w:after="120"/>
        <w:rPr>
          <w:sz w:val="40"/>
          <w:lang w:val="fr-CA"/>
        </w:rPr>
      </w:pPr>
      <w:r w:rsidRPr="004B6E75">
        <w:rPr>
          <w:sz w:val="40"/>
          <w:lang w:val="fr-CA"/>
        </w:rPr>
        <w:lastRenderedPageBreak/>
        <w:t>Population selon le profil linguistique au 31 mars 2019</w:t>
      </w:r>
    </w:p>
    <w:p w:rsidR="001B7377" w:rsidRPr="004B6E75" w:rsidRDefault="002730B1" w:rsidP="008F7415">
      <w:pPr>
        <w:pStyle w:val="Heading3"/>
        <w:jc w:val="center"/>
        <w:rPr>
          <w:lang w:val="fr-CA"/>
        </w:rPr>
      </w:pPr>
      <w:r w:rsidRPr="004B6E75">
        <w:rPr>
          <w:rStyle w:val="Strong"/>
          <w:noProof/>
          <w:lang w:val="en-CA" w:eastAsia="en-CA"/>
        </w:rPr>
        <w:drawing>
          <wp:inline distT="0" distB="0" distL="0" distR="0">
            <wp:extent cx="1980000" cy="3020400"/>
            <wp:effectExtent l="0" t="0" r="1270" b="8890"/>
            <wp:docPr id="18" name="Chart 18" descr="Population selon le profil linguistique au 31 mars 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B7377" w:rsidRPr="004B6E75" w:rsidRDefault="001B7377" w:rsidP="001B7377">
      <w:pPr>
        <w:pStyle w:val="Caption"/>
        <w:jc w:val="center"/>
        <w:rPr>
          <w:lang w:val="fr-CA"/>
        </w:rPr>
      </w:pPr>
      <w:r w:rsidRPr="004B6E75">
        <w:rPr>
          <w:lang w:val="fr-CA"/>
        </w:rPr>
        <w:t xml:space="preserve">Figure </w:t>
      </w:r>
      <w:r w:rsidRPr="004B6E75">
        <w:rPr>
          <w:lang w:val="fr-CA"/>
        </w:rPr>
        <w:fldChar w:fldCharType="begin"/>
      </w:r>
      <w:r w:rsidRPr="004B6E75">
        <w:rPr>
          <w:lang w:val="fr-CA"/>
        </w:rPr>
        <w:instrText xml:space="preserve"> SEQ Figure \* ARABIC </w:instrText>
      </w:r>
      <w:r w:rsidRPr="004B6E75">
        <w:rPr>
          <w:lang w:val="fr-CA"/>
        </w:rPr>
        <w:fldChar w:fldCharType="separate"/>
      </w:r>
      <w:r w:rsidR="00224B48" w:rsidRPr="004B6E75">
        <w:rPr>
          <w:noProof/>
          <w:lang w:val="fr-CA"/>
        </w:rPr>
        <w:t>2</w:t>
      </w:r>
      <w:r w:rsidRPr="004B6E75">
        <w:rPr>
          <w:lang w:val="fr-CA"/>
        </w:rPr>
        <w:fldChar w:fldCharType="end"/>
      </w:r>
      <w:r w:rsidRPr="004B6E75">
        <w:rPr>
          <w:lang w:val="fr-CA"/>
        </w:rPr>
        <w:t>- Population selon le profil linguistique au 31 mars 2019</w:t>
      </w:r>
    </w:p>
    <w:p w:rsidR="001B7377" w:rsidRPr="004B6E75" w:rsidRDefault="001B7377" w:rsidP="001B7377">
      <w:pPr>
        <w:pStyle w:val="Caption"/>
        <w:keepNext/>
        <w:spacing w:before="240"/>
        <w:jc w:val="center"/>
        <w:rPr>
          <w:lang w:val="fr-CA"/>
        </w:rPr>
      </w:pPr>
      <w:r w:rsidRPr="004B6E75">
        <w:rPr>
          <w:lang w:val="fr-CA"/>
        </w:rPr>
        <w:t xml:space="preserve">Table </w:t>
      </w:r>
      <w:r w:rsidRPr="004B6E75">
        <w:rPr>
          <w:lang w:val="fr-CA"/>
        </w:rPr>
        <w:fldChar w:fldCharType="begin"/>
      </w:r>
      <w:r w:rsidRPr="004B6E75">
        <w:rPr>
          <w:lang w:val="fr-CA"/>
        </w:rPr>
        <w:instrText xml:space="preserve"> SEQ Table \* ARABIC </w:instrText>
      </w:r>
      <w:r w:rsidRPr="004B6E75">
        <w:rPr>
          <w:lang w:val="fr-CA"/>
        </w:rPr>
        <w:fldChar w:fldCharType="separate"/>
      </w:r>
      <w:r w:rsidR="00871A72" w:rsidRPr="004B6E75">
        <w:rPr>
          <w:noProof/>
          <w:lang w:val="fr-CA"/>
        </w:rPr>
        <w:t>2</w:t>
      </w:r>
      <w:r w:rsidRPr="004B6E75">
        <w:rPr>
          <w:lang w:val="fr-CA"/>
        </w:rPr>
        <w:fldChar w:fldCharType="end"/>
      </w:r>
      <w:r w:rsidRPr="004B6E75">
        <w:rPr>
          <w:lang w:val="fr-CA"/>
        </w:rPr>
        <w:t xml:space="preserve"> - Effectif régi par la Loi sur l’emploi dans la fonction publique selon le profil linguistique au 31 mars 2019</w:t>
      </w:r>
    </w:p>
    <w:tbl>
      <w:tblPr>
        <w:tblStyle w:val="TableGrid1"/>
        <w:tblW w:w="5000" w:type="pct"/>
        <w:jc w:val="center"/>
        <w:tblLook w:val="0000" w:firstRow="0" w:lastRow="0" w:firstColumn="0" w:lastColumn="0" w:noHBand="0" w:noVBand="0"/>
        <w:tblDescription w:val="Effectif selon les exigences linguistique au 31 mars 2019"/>
      </w:tblPr>
      <w:tblGrid>
        <w:gridCol w:w="3226"/>
        <w:gridCol w:w="4156"/>
        <w:gridCol w:w="7008"/>
      </w:tblGrid>
      <w:tr w:rsidR="00C37ED4" w:rsidRPr="00F337FF" w:rsidTr="00F75322">
        <w:trPr>
          <w:cantSplit/>
          <w:trHeight w:val="290"/>
          <w:tblHeader/>
          <w:jc w:val="center"/>
        </w:trPr>
        <w:tc>
          <w:tcPr>
            <w:tcW w:w="1121" w:type="pct"/>
          </w:tcPr>
          <w:p w:rsidR="00C37ED4" w:rsidRPr="004B6E75" w:rsidRDefault="00C37ED4" w:rsidP="00C37ED4">
            <w:pPr>
              <w:pStyle w:val="TableTitle"/>
              <w:rPr>
                <w:lang w:val="fr-CA"/>
              </w:rPr>
            </w:pPr>
            <w:r w:rsidRPr="004B6E75">
              <w:rPr>
                <w:lang w:val="fr-CA"/>
              </w:rPr>
              <w:t xml:space="preserve">Profil linguistique  </w:t>
            </w:r>
          </w:p>
        </w:tc>
        <w:tc>
          <w:tcPr>
            <w:tcW w:w="1444" w:type="pct"/>
          </w:tcPr>
          <w:p w:rsidR="00C37ED4" w:rsidRPr="004B6E75" w:rsidRDefault="00C37ED4" w:rsidP="00C37ED4">
            <w:pPr>
              <w:pStyle w:val="TableTitle"/>
              <w:rPr>
                <w:lang w:val="fr-CA"/>
              </w:rPr>
            </w:pPr>
            <w:r w:rsidRPr="004B6E75">
              <w:rPr>
                <w:lang w:val="fr-CA"/>
              </w:rPr>
              <w:t>Effectif au 31 mars 2019</w:t>
            </w:r>
          </w:p>
        </w:tc>
        <w:tc>
          <w:tcPr>
            <w:tcW w:w="2435" w:type="pct"/>
          </w:tcPr>
          <w:p w:rsidR="00C37ED4" w:rsidRPr="004B6E75" w:rsidRDefault="00C37ED4" w:rsidP="00C37ED4">
            <w:pPr>
              <w:pStyle w:val="TableTitle"/>
              <w:rPr>
                <w:lang w:val="fr-CA"/>
              </w:rPr>
            </w:pPr>
            <w:r w:rsidRPr="004B6E75">
              <w:rPr>
                <w:lang w:val="fr-CA"/>
              </w:rPr>
              <w:t>Pourcentage de l'effectif au 31 mars 2019</w:t>
            </w:r>
          </w:p>
        </w:tc>
      </w:tr>
      <w:tr w:rsidR="00C37ED4" w:rsidRPr="004B6E75" w:rsidTr="00F75322">
        <w:trPr>
          <w:cantSplit/>
          <w:trHeight w:val="290"/>
          <w:tblHeader/>
          <w:jc w:val="center"/>
        </w:trPr>
        <w:tc>
          <w:tcPr>
            <w:tcW w:w="1121" w:type="pct"/>
          </w:tcPr>
          <w:p w:rsidR="00C37ED4" w:rsidRPr="004B6E75" w:rsidRDefault="00C37ED4"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 xml:space="preserve">Bilingue </w:t>
            </w:r>
          </w:p>
        </w:tc>
        <w:tc>
          <w:tcPr>
            <w:tcW w:w="1444" w:type="pct"/>
          </w:tcPr>
          <w:p w:rsidR="00C37ED4" w:rsidRPr="004B6E75" w:rsidRDefault="00C37ED4"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81</w:t>
            </w:r>
          </w:p>
        </w:tc>
        <w:tc>
          <w:tcPr>
            <w:tcW w:w="2435" w:type="pct"/>
          </w:tcPr>
          <w:p w:rsidR="00C37ED4" w:rsidRPr="004B6E75" w:rsidRDefault="00C37ED4"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85%</w:t>
            </w:r>
          </w:p>
        </w:tc>
      </w:tr>
      <w:tr w:rsidR="00C37ED4" w:rsidRPr="004B6E75" w:rsidTr="00F75322">
        <w:trPr>
          <w:cantSplit/>
          <w:trHeight w:val="290"/>
          <w:tblHeader/>
          <w:jc w:val="center"/>
        </w:trPr>
        <w:tc>
          <w:tcPr>
            <w:tcW w:w="1121" w:type="pct"/>
          </w:tcPr>
          <w:p w:rsidR="00C37ED4" w:rsidRPr="004B6E75" w:rsidRDefault="00C37ED4"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Unilingue</w:t>
            </w:r>
          </w:p>
        </w:tc>
        <w:tc>
          <w:tcPr>
            <w:tcW w:w="1444" w:type="pct"/>
          </w:tcPr>
          <w:p w:rsidR="00C37ED4" w:rsidRPr="004B6E75" w:rsidRDefault="00C37ED4"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14</w:t>
            </w:r>
          </w:p>
        </w:tc>
        <w:tc>
          <w:tcPr>
            <w:tcW w:w="2435" w:type="pct"/>
          </w:tcPr>
          <w:p w:rsidR="00C37ED4" w:rsidRPr="004B6E75" w:rsidRDefault="00C37ED4"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15%</w:t>
            </w:r>
          </w:p>
        </w:tc>
      </w:tr>
      <w:tr w:rsidR="00C37ED4" w:rsidRPr="004B6E75" w:rsidTr="00F75322">
        <w:trPr>
          <w:cantSplit/>
          <w:trHeight w:val="290"/>
          <w:tblHeader/>
          <w:jc w:val="center"/>
        </w:trPr>
        <w:tc>
          <w:tcPr>
            <w:tcW w:w="1121" w:type="pct"/>
          </w:tcPr>
          <w:p w:rsidR="00C37ED4" w:rsidRPr="004B6E75" w:rsidRDefault="00C37ED4"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Inconnus</w:t>
            </w:r>
          </w:p>
        </w:tc>
        <w:tc>
          <w:tcPr>
            <w:tcW w:w="1444" w:type="pct"/>
          </w:tcPr>
          <w:p w:rsidR="00C37ED4" w:rsidRPr="004B6E75" w:rsidRDefault="00C37ED4"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32</w:t>
            </w:r>
          </w:p>
        </w:tc>
        <w:tc>
          <w:tcPr>
            <w:tcW w:w="2435" w:type="pct"/>
          </w:tcPr>
          <w:p w:rsidR="00C37ED4" w:rsidRPr="004B6E75" w:rsidRDefault="003C6ED7"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0%</w:t>
            </w:r>
          </w:p>
        </w:tc>
      </w:tr>
    </w:tbl>
    <w:p w:rsidR="00F75322" w:rsidRPr="004B6E75" w:rsidRDefault="00F75322" w:rsidP="00F75322">
      <w:pPr>
        <w:pStyle w:val="Heading1"/>
        <w:spacing w:before="120" w:after="120"/>
        <w:rPr>
          <w:sz w:val="40"/>
          <w:lang w:val="fr-CA"/>
        </w:rPr>
      </w:pPr>
      <w:r w:rsidRPr="004B6E75">
        <w:rPr>
          <w:sz w:val="40"/>
          <w:lang w:val="fr-CA"/>
        </w:rPr>
        <w:lastRenderedPageBreak/>
        <w:t>Population selon le groupe professionnel au 31 mars 2019</w:t>
      </w:r>
    </w:p>
    <w:p w:rsidR="002E5563" w:rsidRPr="004B6E75" w:rsidRDefault="00C37ED4" w:rsidP="008F7415">
      <w:pPr>
        <w:pStyle w:val="Heading3"/>
        <w:jc w:val="center"/>
        <w:rPr>
          <w:lang w:val="fr-CA"/>
        </w:rPr>
      </w:pPr>
      <w:r w:rsidRPr="004B6E75">
        <w:rPr>
          <w:rStyle w:val="Strong"/>
          <w:noProof/>
          <w:lang w:val="en-CA" w:eastAsia="en-CA"/>
        </w:rPr>
        <w:drawing>
          <wp:inline distT="0" distB="0" distL="0" distR="0" wp14:anchorId="1ED9C79E" wp14:editId="23CBA92E">
            <wp:extent cx="1980000" cy="3020400"/>
            <wp:effectExtent l="0" t="0" r="1270" b="8890"/>
            <wp:docPr id="5" name="Chart 5" descr="Population selon le groupe professionnel au 31 mars 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37ED4" w:rsidRPr="004B6E75" w:rsidRDefault="002E5563" w:rsidP="002E5563">
      <w:pPr>
        <w:pStyle w:val="Caption"/>
        <w:jc w:val="center"/>
        <w:rPr>
          <w:lang w:val="fr-CA"/>
        </w:rPr>
      </w:pPr>
      <w:r w:rsidRPr="004B6E75">
        <w:rPr>
          <w:lang w:val="fr-CA"/>
        </w:rPr>
        <w:t xml:space="preserve">Figure </w:t>
      </w:r>
      <w:r w:rsidRPr="004B6E75">
        <w:rPr>
          <w:lang w:val="fr-CA"/>
        </w:rPr>
        <w:fldChar w:fldCharType="begin"/>
      </w:r>
      <w:r w:rsidRPr="004B6E75">
        <w:rPr>
          <w:lang w:val="fr-CA"/>
        </w:rPr>
        <w:instrText xml:space="preserve"> SEQ Figure \* ARABIC </w:instrText>
      </w:r>
      <w:r w:rsidRPr="004B6E75">
        <w:rPr>
          <w:lang w:val="fr-CA"/>
        </w:rPr>
        <w:fldChar w:fldCharType="separate"/>
      </w:r>
      <w:r w:rsidR="00224B48" w:rsidRPr="004B6E75">
        <w:rPr>
          <w:noProof/>
          <w:lang w:val="fr-CA"/>
        </w:rPr>
        <w:t>3</w:t>
      </w:r>
      <w:r w:rsidRPr="004B6E75">
        <w:rPr>
          <w:lang w:val="fr-CA"/>
        </w:rPr>
        <w:fldChar w:fldCharType="end"/>
      </w:r>
      <w:r w:rsidRPr="004B6E75">
        <w:rPr>
          <w:lang w:val="fr-CA"/>
        </w:rPr>
        <w:t xml:space="preserve"> - Population selon le groupe professionnel au 31 mars 2019</w:t>
      </w:r>
    </w:p>
    <w:p w:rsidR="00D44E51" w:rsidRPr="004B6E75" w:rsidRDefault="00D44E51" w:rsidP="00D44E51">
      <w:pPr>
        <w:pStyle w:val="Caption"/>
        <w:keepNext/>
        <w:spacing w:before="240"/>
        <w:jc w:val="center"/>
        <w:rPr>
          <w:lang w:val="fr-CA"/>
        </w:rPr>
      </w:pPr>
      <w:r w:rsidRPr="004B6E75">
        <w:rPr>
          <w:lang w:val="fr-CA"/>
        </w:rPr>
        <w:t xml:space="preserve">Table </w:t>
      </w:r>
      <w:r w:rsidRPr="004B6E75">
        <w:rPr>
          <w:lang w:val="fr-CA"/>
        </w:rPr>
        <w:fldChar w:fldCharType="begin"/>
      </w:r>
      <w:r w:rsidRPr="004B6E75">
        <w:rPr>
          <w:lang w:val="fr-CA"/>
        </w:rPr>
        <w:instrText xml:space="preserve"> SEQ Table \* ARABIC </w:instrText>
      </w:r>
      <w:r w:rsidRPr="004B6E75">
        <w:rPr>
          <w:lang w:val="fr-CA"/>
        </w:rPr>
        <w:fldChar w:fldCharType="separate"/>
      </w:r>
      <w:r w:rsidR="00871A72" w:rsidRPr="004B6E75">
        <w:rPr>
          <w:noProof/>
          <w:lang w:val="fr-CA"/>
        </w:rPr>
        <w:t>3</w:t>
      </w:r>
      <w:r w:rsidRPr="004B6E75">
        <w:rPr>
          <w:lang w:val="fr-CA"/>
        </w:rPr>
        <w:fldChar w:fldCharType="end"/>
      </w:r>
      <w:r w:rsidRPr="004B6E75">
        <w:rPr>
          <w:lang w:val="fr-CA"/>
        </w:rPr>
        <w:t xml:space="preserve"> - Groupes d’emploi, pourcentage de l'effectif régi par la Loi sur l’emploi dans la fonction publique au 31 mars 2019</w:t>
      </w:r>
    </w:p>
    <w:tbl>
      <w:tblPr>
        <w:tblStyle w:val="TableGrid1"/>
        <w:tblW w:w="5000" w:type="pct"/>
        <w:jc w:val="center"/>
        <w:tblLook w:val="0000" w:firstRow="0" w:lastRow="0" w:firstColumn="0" w:lastColumn="0" w:noHBand="0" w:noVBand="0"/>
        <w:tblDescription w:val="Effectif selon le groupe professionnel au 31 mars 2019"/>
      </w:tblPr>
      <w:tblGrid>
        <w:gridCol w:w="5632"/>
        <w:gridCol w:w="3255"/>
        <w:gridCol w:w="5503"/>
      </w:tblGrid>
      <w:tr w:rsidR="00D44E51" w:rsidRPr="00F337FF" w:rsidTr="00F75322">
        <w:trPr>
          <w:cantSplit/>
          <w:trHeight w:val="290"/>
          <w:tblHeader/>
          <w:jc w:val="center"/>
        </w:trPr>
        <w:tc>
          <w:tcPr>
            <w:tcW w:w="1957" w:type="pct"/>
          </w:tcPr>
          <w:p w:rsidR="00D44E51" w:rsidRPr="004B6E75" w:rsidRDefault="00D44E51" w:rsidP="004F5A03">
            <w:pPr>
              <w:pStyle w:val="TableTitle"/>
              <w:tabs>
                <w:tab w:val="left" w:pos="3612"/>
              </w:tabs>
              <w:spacing w:before="0"/>
              <w:rPr>
                <w:rFonts w:eastAsiaTheme="minorHAnsi"/>
                <w:color w:val="000000"/>
                <w:sz w:val="24"/>
                <w:lang w:val="fr-CA"/>
              </w:rPr>
            </w:pPr>
            <w:r w:rsidRPr="004B6E75">
              <w:rPr>
                <w:rFonts w:eastAsiaTheme="minorHAnsi"/>
                <w:sz w:val="24"/>
                <w:lang w:val="fr-CA"/>
              </w:rPr>
              <w:t>Groupes professionnels</w:t>
            </w:r>
            <w:r w:rsidR="004F5A03">
              <w:rPr>
                <w:rFonts w:eastAsiaTheme="minorHAnsi"/>
                <w:sz w:val="24"/>
                <w:lang w:val="fr-CA"/>
              </w:rPr>
              <w:tab/>
            </w:r>
          </w:p>
        </w:tc>
        <w:tc>
          <w:tcPr>
            <w:tcW w:w="1131" w:type="pct"/>
          </w:tcPr>
          <w:p w:rsidR="00D44E51" w:rsidRPr="004B6E75" w:rsidRDefault="00D44E51" w:rsidP="004E4DA1">
            <w:pPr>
              <w:pStyle w:val="TableTitle"/>
              <w:spacing w:before="0"/>
              <w:rPr>
                <w:rFonts w:eastAsiaTheme="minorHAnsi"/>
                <w:color w:val="000000"/>
                <w:sz w:val="24"/>
                <w:lang w:val="fr-CA"/>
              </w:rPr>
            </w:pPr>
            <w:r w:rsidRPr="004B6E75">
              <w:rPr>
                <w:rFonts w:eastAsiaTheme="minorHAnsi"/>
                <w:sz w:val="24"/>
                <w:lang w:val="fr-CA"/>
              </w:rPr>
              <w:t>Effectif au 31 mars 2019</w:t>
            </w:r>
          </w:p>
        </w:tc>
        <w:tc>
          <w:tcPr>
            <w:tcW w:w="1912" w:type="pct"/>
          </w:tcPr>
          <w:p w:rsidR="00D44E51" w:rsidRPr="004B6E75" w:rsidRDefault="00D44E51" w:rsidP="004E4DA1">
            <w:pPr>
              <w:pStyle w:val="TableTitle"/>
              <w:spacing w:before="0"/>
              <w:rPr>
                <w:rFonts w:eastAsiaTheme="minorHAnsi"/>
                <w:sz w:val="24"/>
                <w:lang w:val="fr-CA"/>
              </w:rPr>
            </w:pPr>
            <w:r w:rsidRPr="004B6E75">
              <w:rPr>
                <w:rFonts w:eastAsiaTheme="minorHAnsi"/>
                <w:sz w:val="24"/>
                <w:lang w:val="fr-CA"/>
              </w:rPr>
              <w:t>Pourcentage de l'effectif au 31 mars 2019</w:t>
            </w:r>
          </w:p>
        </w:tc>
      </w:tr>
      <w:tr w:rsidR="00D44E51" w:rsidRPr="004B6E75" w:rsidTr="00F75322">
        <w:trPr>
          <w:cantSplit/>
          <w:trHeight w:val="290"/>
          <w:tblHeader/>
          <w:jc w:val="center"/>
        </w:trPr>
        <w:tc>
          <w:tcPr>
            <w:tcW w:w="1957" w:type="pct"/>
          </w:tcPr>
          <w:p w:rsidR="00D44E51" w:rsidRPr="004B6E75" w:rsidRDefault="00D44E51"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RE – Groupe de l’exécution de la réglementation</w:t>
            </w:r>
          </w:p>
        </w:tc>
        <w:tc>
          <w:tcPr>
            <w:tcW w:w="1131" w:type="pct"/>
          </w:tcPr>
          <w:p w:rsidR="00D44E51" w:rsidRPr="004B6E75" w:rsidRDefault="00D44E51"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123</w:t>
            </w:r>
          </w:p>
        </w:tc>
        <w:tc>
          <w:tcPr>
            <w:tcW w:w="1912" w:type="pct"/>
          </w:tcPr>
          <w:p w:rsidR="00D44E51" w:rsidRPr="004B6E75" w:rsidRDefault="00D44E51"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100%</w:t>
            </w:r>
          </w:p>
        </w:tc>
      </w:tr>
    </w:tbl>
    <w:p w:rsidR="00F75322" w:rsidRPr="004B6E75" w:rsidRDefault="00F75322" w:rsidP="00F75322">
      <w:pPr>
        <w:pStyle w:val="Heading1"/>
        <w:spacing w:before="120" w:after="120"/>
        <w:rPr>
          <w:sz w:val="40"/>
          <w:lang w:val="fr-CA"/>
        </w:rPr>
      </w:pPr>
      <w:r w:rsidRPr="004B6E75">
        <w:rPr>
          <w:sz w:val="40"/>
          <w:lang w:val="fr-CA"/>
        </w:rPr>
        <w:lastRenderedPageBreak/>
        <w:t>Population selon la région au 31 mars 2019</w:t>
      </w:r>
    </w:p>
    <w:p w:rsidR="00D44E51" w:rsidRPr="004B6E75" w:rsidRDefault="00C37ED4" w:rsidP="008F7415">
      <w:pPr>
        <w:pStyle w:val="Heading3"/>
        <w:jc w:val="center"/>
        <w:rPr>
          <w:lang w:val="fr-CA"/>
        </w:rPr>
      </w:pPr>
      <w:r w:rsidRPr="004B6E75">
        <w:rPr>
          <w:rStyle w:val="Strong"/>
          <w:noProof/>
          <w:lang w:val="en-CA" w:eastAsia="en-CA"/>
        </w:rPr>
        <w:drawing>
          <wp:inline distT="0" distB="0" distL="0" distR="0" wp14:anchorId="307B15D7" wp14:editId="7D01B4F7">
            <wp:extent cx="1980000" cy="3020400"/>
            <wp:effectExtent l="0" t="0" r="1270" b="8890"/>
            <wp:docPr id="15" name="Chart 15" descr="Population selon la région au 31 mars 2019 "/>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37ED4" w:rsidRPr="004B6E75" w:rsidRDefault="00D44E51" w:rsidP="00D44E51">
      <w:pPr>
        <w:pStyle w:val="Caption"/>
        <w:jc w:val="center"/>
        <w:rPr>
          <w:lang w:val="fr-CA"/>
        </w:rPr>
      </w:pPr>
      <w:r w:rsidRPr="004B6E75">
        <w:rPr>
          <w:lang w:val="fr-CA"/>
        </w:rPr>
        <w:t xml:space="preserve">Figure </w:t>
      </w:r>
      <w:r w:rsidRPr="004B6E75">
        <w:rPr>
          <w:lang w:val="fr-CA"/>
        </w:rPr>
        <w:fldChar w:fldCharType="begin"/>
      </w:r>
      <w:r w:rsidRPr="004B6E75">
        <w:rPr>
          <w:lang w:val="fr-CA"/>
        </w:rPr>
        <w:instrText xml:space="preserve"> SEQ Figure \* ARABIC </w:instrText>
      </w:r>
      <w:r w:rsidRPr="004B6E75">
        <w:rPr>
          <w:lang w:val="fr-CA"/>
        </w:rPr>
        <w:fldChar w:fldCharType="separate"/>
      </w:r>
      <w:r w:rsidR="00224B48" w:rsidRPr="004B6E75">
        <w:rPr>
          <w:noProof/>
          <w:lang w:val="fr-CA"/>
        </w:rPr>
        <w:t>4</w:t>
      </w:r>
      <w:r w:rsidRPr="004B6E75">
        <w:rPr>
          <w:lang w:val="fr-CA"/>
        </w:rPr>
        <w:fldChar w:fldCharType="end"/>
      </w:r>
      <w:r w:rsidRPr="004B6E75">
        <w:rPr>
          <w:lang w:val="fr-CA"/>
        </w:rPr>
        <w:t xml:space="preserve"> - Population selon la région au 31 mars 2019</w:t>
      </w:r>
    </w:p>
    <w:p w:rsidR="00FC63A1" w:rsidRPr="004B6E75" w:rsidRDefault="00FC63A1" w:rsidP="00FC63A1">
      <w:pPr>
        <w:pStyle w:val="Caption"/>
        <w:keepNext/>
        <w:spacing w:before="240"/>
        <w:jc w:val="center"/>
        <w:rPr>
          <w:lang w:val="fr-CA"/>
        </w:rPr>
      </w:pPr>
      <w:r w:rsidRPr="004B6E75">
        <w:rPr>
          <w:lang w:val="fr-CA"/>
        </w:rPr>
        <w:t xml:space="preserve">Table </w:t>
      </w:r>
      <w:r w:rsidRPr="004B6E75">
        <w:rPr>
          <w:lang w:val="fr-CA"/>
        </w:rPr>
        <w:fldChar w:fldCharType="begin"/>
      </w:r>
      <w:r w:rsidRPr="004B6E75">
        <w:rPr>
          <w:lang w:val="fr-CA"/>
        </w:rPr>
        <w:instrText xml:space="preserve"> SEQ Table \* ARABIC </w:instrText>
      </w:r>
      <w:r w:rsidRPr="004B6E75">
        <w:rPr>
          <w:lang w:val="fr-CA"/>
        </w:rPr>
        <w:fldChar w:fldCharType="separate"/>
      </w:r>
      <w:r w:rsidR="00871A72" w:rsidRPr="004B6E75">
        <w:rPr>
          <w:noProof/>
          <w:lang w:val="fr-CA"/>
        </w:rPr>
        <w:t>4</w:t>
      </w:r>
      <w:r w:rsidRPr="004B6E75">
        <w:rPr>
          <w:lang w:val="fr-CA"/>
        </w:rPr>
        <w:fldChar w:fldCharType="end"/>
      </w:r>
      <w:r w:rsidRPr="004B6E75">
        <w:rPr>
          <w:lang w:val="fr-CA"/>
        </w:rPr>
        <w:t xml:space="preserve"> - Effectif par région, pourcentage de l'effectif régi par la Loi sur l’emploi dans la fonction publique au 31 mars 2019</w:t>
      </w:r>
    </w:p>
    <w:tbl>
      <w:tblPr>
        <w:tblStyle w:val="TableGrid1"/>
        <w:tblW w:w="5000" w:type="pct"/>
        <w:jc w:val="center"/>
        <w:tblLook w:val="0000" w:firstRow="0" w:lastRow="0" w:firstColumn="0" w:lastColumn="0" w:noHBand="0" w:noVBand="0"/>
        <w:tblDescription w:val="Effectif selon la région en date du 31 mars 2019"/>
      </w:tblPr>
      <w:tblGrid>
        <w:gridCol w:w="5071"/>
        <w:gridCol w:w="3471"/>
        <w:gridCol w:w="5848"/>
      </w:tblGrid>
      <w:tr w:rsidR="00FC63A1" w:rsidRPr="00F337FF" w:rsidTr="00F75322">
        <w:trPr>
          <w:cantSplit/>
          <w:trHeight w:val="290"/>
          <w:tblHeader/>
          <w:jc w:val="center"/>
        </w:trPr>
        <w:tc>
          <w:tcPr>
            <w:tcW w:w="1762" w:type="pct"/>
          </w:tcPr>
          <w:p w:rsidR="00FC63A1" w:rsidRPr="004B6E75" w:rsidRDefault="00FC63A1" w:rsidP="00FC63A1">
            <w:pPr>
              <w:pStyle w:val="TableTitle"/>
              <w:rPr>
                <w:lang w:val="fr-CA"/>
              </w:rPr>
            </w:pPr>
            <w:r w:rsidRPr="004B6E75">
              <w:rPr>
                <w:lang w:val="fr-CA"/>
              </w:rPr>
              <w:t>Région</w:t>
            </w:r>
          </w:p>
        </w:tc>
        <w:tc>
          <w:tcPr>
            <w:tcW w:w="1206" w:type="pct"/>
          </w:tcPr>
          <w:p w:rsidR="00FC63A1" w:rsidRPr="004B6E75" w:rsidRDefault="00FC63A1" w:rsidP="00FC63A1">
            <w:pPr>
              <w:pStyle w:val="TableTitle"/>
              <w:rPr>
                <w:lang w:val="fr-CA"/>
              </w:rPr>
            </w:pPr>
            <w:r w:rsidRPr="004B6E75">
              <w:rPr>
                <w:lang w:val="fr-CA"/>
              </w:rPr>
              <w:t>Effectif au 31 mars 2019</w:t>
            </w:r>
          </w:p>
        </w:tc>
        <w:tc>
          <w:tcPr>
            <w:tcW w:w="2032" w:type="pct"/>
          </w:tcPr>
          <w:p w:rsidR="00FC63A1" w:rsidRPr="004B6E75" w:rsidRDefault="00FC63A1" w:rsidP="00FC63A1">
            <w:pPr>
              <w:pStyle w:val="TableTitle"/>
              <w:rPr>
                <w:lang w:val="fr-CA"/>
              </w:rPr>
            </w:pPr>
            <w:r w:rsidRPr="004B6E75">
              <w:rPr>
                <w:lang w:val="fr-CA"/>
              </w:rPr>
              <w:t>Pourcentage de l'effectif au 31 mars 2019</w:t>
            </w:r>
          </w:p>
        </w:tc>
      </w:tr>
      <w:tr w:rsidR="00FC63A1" w:rsidRPr="004B6E75" w:rsidTr="00F75322">
        <w:trPr>
          <w:cantSplit/>
          <w:trHeight w:val="290"/>
          <w:tblHeader/>
          <w:jc w:val="center"/>
        </w:trPr>
        <w:tc>
          <w:tcPr>
            <w:tcW w:w="1762" w:type="pct"/>
          </w:tcPr>
          <w:p w:rsidR="00FC63A1" w:rsidRPr="004B6E75" w:rsidRDefault="00FC63A1"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Région de la capitale nationale (RCN)</w:t>
            </w:r>
          </w:p>
        </w:tc>
        <w:tc>
          <w:tcPr>
            <w:tcW w:w="1206" w:type="pct"/>
          </w:tcPr>
          <w:p w:rsidR="00FC63A1" w:rsidRPr="004B6E75" w:rsidRDefault="00FC63A1"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127</w:t>
            </w:r>
          </w:p>
        </w:tc>
        <w:tc>
          <w:tcPr>
            <w:tcW w:w="2032" w:type="pct"/>
          </w:tcPr>
          <w:p w:rsidR="00FC63A1" w:rsidRPr="004B6E75" w:rsidRDefault="00FC63A1"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100%</w:t>
            </w:r>
          </w:p>
        </w:tc>
      </w:tr>
      <w:tr w:rsidR="00FC63A1" w:rsidRPr="004B6E75" w:rsidTr="00F75322">
        <w:trPr>
          <w:cantSplit/>
          <w:trHeight w:val="290"/>
          <w:tblHeader/>
          <w:jc w:val="center"/>
        </w:trPr>
        <w:tc>
          <w:tcPr>
            <w:tcW w:w="1762" w:type="pct"/>
          </w:tcPr>
          <w:p w:rsidR="00FC63A1" w:rsidRPr="004B6E75" w:rsidRDefault="00FC63A1"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Régions à l’extérieur de la RCN</w:t>
            </w:r>
          </w:p>
        </w:tc>
        <w:tc>
          <w:tcPr>
            <w:tcW w:w="1206" w:type="pct"/>
          </w:tcPr>
          <w:p w:rsidR="00FC63A1" w:rsidRPr="004B6E75" w:rsidRDefault="00FC63A1"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0</w:t>
            </w:r>
          </w:p>
        </w:tc>
        <w:tc>
          <w:tcPr>
            <w:tcW w:w="2032" w:type="pct"/>
          </w:tcPr>
          <w:p w:rsidR="00FC63A1" w:rsidRPr="004B6E75" w:rsidRDefault="00FC63A1"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0%</w:t>
            </w:r>
          </w:p>
        </w:tc>
      </w:tr>
      <w:tr w:rsidR="00FC63A1" w:rsidRPr="004B6E75" w:rsidTr="00F75322">
        <w:trPr>
          <w:cantSplit/>
          <w:trHeight w:val="290"/>
          <w:tblHeader/>
          <w:jc w:val="center"/>
        </w:trPr>
        <w:tc>
          <w:tcPr>
            <w:tcW w:w="1762" w:type="pct"/>
          </w:tcPr>
          <w:p w:rsidR="00FC63A1" w:rsidRPr="004B6E75" w:rsidRDefault="00FC63A1"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Inconnus</w:t>
            </w:r>
          </w:p>
        </w:tc>
        <w:tc>
          <w:tcPr>
            <w:tcW w:w="1206" w:type="pct"/>
          </w:tcPr>
          <w:p w:rsidR="00FC63A1" w:rsidRPr="004B6E75" w:rsidRDefault="00FC63A1"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0</w:t>
            </w:r>
          </w:p>
        </w:tc>
        <w:tc>
          <w:tcPr>
            <w:tcW w:w="2032" w:type="pct"/>
          </w:tcPr>
          <w:p w:rsidR="00FC63A1" w:rsidRPr="004B6E75" w:rsidRDefault="003C6ED7"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0%</w:t>
            </w:r>
          </w:p>
        </w:tc>
      </w:tr>
    </w:tbl>
    <w:p w:rsidR="00F75322" w:rsidRPr="004B6E75" w:rsidRDefault="00F75322" w:rsidP="00F75322">
      <w:pPr>
        <w:pStyle w:val="Heading1"/>
        <w:spacing w:before="120" w:after="120"/>
        <w:rPr>
          <w:sz w:val="36"/>
          <w:lang w:val="fr-CA"/>
        </w:rPr>
      </w:pPr>
      <w:r w:rsidRPr="004B6E75">
        <w:rPr>
          <w:rFonts w:eastAsia="Times New Roman"/>
          <w:sz w:val="36"/>
          <w:lang w:val="fr-CA"/>
        </w:rPr>
        <w:lastRenderedPageBreak/>
        <w:t>Embauche externe pour une période indéterminée selon le groupe professionnel, 2018-2019</w:t>
      </w:r>
    </w:p>
    <w:p w:rsidR="00FC63A1" w:rsidRPr="004B6E75" w:rsidRDefault="00C37ED4" w:rsidP="00FC63A1">
      <w:pPr>
        <w:pStyle w:val="Caption"/>
        <w:keepNext/>
        <w:jc w:val="center"/>
        <w:rPr>
          <w:lang w:val="fr-CA"/>
        </w:rPr>
      </w:pPr>
      <w:r w:rsidRPr="004B6E75">
        <w:rPr>
          <w:rStyle w:val="Strong"/>
          <w:noProof/>
          <w:lang w:val="en-CA" w:eastAsia="en-CA"/>
        </w:rPr>
        <w:drawing>
          <wp:inline distT="0" distB="0" distL="0" distR="0" wp14:anchorId="52ED2B8E" wp14:editId="6FACC79E">
            <wp:extent cx="1980000" cy="3020400"/>
            <wp:effectExtent l="0" t="0" r="1270" b="8890"/>
            <wp:docPr id="7" name="Chart 7" descr="Embauche externe pour une période indéterminée selon le groupe professionnel, 2018-2019 "/>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37ED4" w:rsidRPr="004B6E75" w:rsidRDefault="00FC63A1" w:rsidP="00FC63A1">
      <w:pPr>
        <w:pStyle w:val="Caption"/>
        <w:jc w:val="center"/>
        <w:rPr>
          <w:lang w:val="fr-CA"/>
        </w:rPr>
      </w:pPr>
      <w:r w:rsidRPr="004B6E75">
        <w:rPr>
          <w:lang w:val="fr-CA"/>
        </w:rPr>
        <w:t xml:space="preserve">Figure </w:t>
      </w:r>
      <w:r w:rsidRPr="004B6E75">
        <w:rPr>
          <w:lang w:val="fr-CA"/>
        </w:rPr>
        <w:fldChar w:fldCharType="begin"/>
      </w:r>
      <w:r w:rsidRPr="004B6E75">
        <w:rPr>
          <w:lang w:val="fr-CA"/>
        </w:rPr>
        <w:instrText xml:space="preserve"> SEQ Figure \* ARABIC </w:instrText>
      </w:r>
      <w:r w:rsidRPr="004B6E75">
        <w:rPr>
          <w:lang w:val="fr-CA"/>
        </w:rPr>
        <w:fldChar w:fldCharType="separate"/>
      </w:r>
      <w:r w:rsidR="00224B48" w:rsidRPr="004B6E75">
        <w:rPr>
          <w:noProof/>
          <w:lang w:val="fr-CA"/>
        </w:rPr>
        <w:t>5</w:t>
      </w:r>
      <w:r w:rsidRPr="004B6E75">
        <w:rPr>
          <w:lang w:val="fr-CA"/>
        </w:rPr>
        <w:fldChar w:fldCharType="end"/>
      </w:r>
      <w:r w:rsidRPr="004B6E75">
        <w:rPr>
          <w:lang w:val="fr-CA"/>
        </w:rPr>
        <w:t xml:space="preserve"> - Embauche externe pour une période indéterminée selon le groupe professionnel, 2018-2019</w:t>
      </w:r>
    </w:p>
    <w:p w:rsidR="00FC63A1" w:rsidRPr="004B6E75" w:rsidRDefault="00FC63A1" w:rsidP="00FC63A1">
      <w:pPr>
        <w:pStyle w:val="Caption"/>
        <w:keepNext/>
        <w:spacing w:before="240"/>
        <w:jc w:val="center"/>
        <w:rPr>
          <w:lang w:val="fr-CA"/>
        </w:rPr>
      </w:pPr>
      <w:r w:rsidRPr="004B6E75">
        <w:rPr>
          <w:lang w:val="fr-CA"/>
        </w:rPr>
        <w:t xml:space="preserve">Table </w:t>
      </w:r>
      <w:r w:rsidRPr="004B6E75">
        <w:rPr>
          <w:lang w:val="fr-CA"/>
        </w:rPr>
        <w:fldChar w:fldCharType="begin"/>
      </w:r>
      <w:r w:rsidRPr="004B6E75">
        <w:rPr>
          <w:lang w:val="fr-CA"/>
        </w:rPr>
        <w:instrText xml:space="preserve"> SEQ Table \* ARABIC </w:instrText>
      </w:r>
      <w:r w:rsidRPr="004B6E75">
        <w:rPr>
          <w:lang w:val="fr-CA"/>
        </w:rPr>
        <w:fldChar w:fldCharType="separate"/>
      </w:r>
      <w:r w:rsidR="00871A72" w:rsidRPr="004B6E75">
        <w:rPr>
          <w:noProof/>
          <w:lang w:val="fr-CA"/>
        </w:rPr>
        <w:t>5</w:t>
      </w:r>
      <w:r w:rsidRPr="004B6E75">
        <w:rPr>
          <w:lang w:val="fr-CA"/>
        </w:rPr>
        <w:fldChar w:fldCharType="end"/>
      </w:r>
      <w:r w:rsidRPr="004B6E75">
        <w:rPr>
          <w:lang w:val="fr-CA"/>
        </w:rPr>
        <w:t xml:space="preserve"> - Embauche externe à des postes pour une période indéterminée selon le groupe professionnel, de 2018 à 2019</w:t>
      </w:r>
    </w:p>
    <w:tbl>
      <w:tblPr>
        <w:tblStyle w:val="TableGrid1"/>
        <w:tblW w:w="0" w:type="auto"/>
        <w:jc w:val="center"/>
        <w:tblLook w:val="0000" w:firstRow="0" w:lastRow="0" w:firstColumn="0" w:lastColumn="0" w:noHBand="0" w:noVBand="0"/>
        <w:tblDescription w:val="Embauches externes indéterminées selon le groupe professionnel, 2018-2019"/>
      </w:tblPr>
      <w:tblGrid>
        <w:gridCol w:w="3256"/>
        <w:gridCol w:w="5953"/>
        <w:gridCol w:w="5181"/>
      </w:tblGrid>
      <w:tr w:rsidR="00FC63A1" w:rsidRPr="00F337FF" w:rsidTr="00DB2449">
        <w:trPr>
          <w:cantSplit/>
          <w:trHeight w:val="290"/>
          <w:tblHeader/>
          <w:jc w:val="center"/>
        </w:trPr>
        <w:tc>
          <w:tcPr>
            <w:tcW w:w="3256" w:type="dxa"/>
          </w:tcPr>
          <w:p w:rsidR="00FC63A1" w:rsidRPr="004B6E75" w:rsidRDefault="00FC63A1" w:rsidP="00FC63A1">
            <w:pPr>
              <w:pStyle w:val="TableTitle"/>
              <w:rPr>
                <w:lang w:val="fr-CA"/>
              </w:rPr>
            </w:pPr>
            <w:r w:rsidRPr="004B6E75">
              <w:rPr>
                <w:lang w:val="fr-CA"/>
              </w:rPr>
              <w:t>Groupes professionnels</w:t>
            </w:r>
          </w:p>
        </w:tc>
        <w:tc>
          <w:tcPr>
            <w:tcW w:w="5953" w:type="dxa"/>
          </w:tcPr>
          <w:p w:rsidR="00FC63A1" w:rsidRPr="004B6E75" w:rsidRDefault="00FC63A1" w:rsidP="00DB2449">
            <w:pPr>
              <w:pStyle w:val="TableTitle"/>
              <w:rPr>
                <w:lang w:val="fr-CA"/>
              </w:rPr>
            </w:pPr>
            <w:r w:rsidRPr="004B6E75">
              <w:rPr>
                <w:lang w:val="fr-CA"/>
              </w:rPr>
              <w:t>Nombre d'embauches pour une période indéterminée dans</w:t>
            </w:r>
            <w:r w:rsidR="00DB2449">
              <w:rPr>
                <w:lang w:val="fr-CA"/>
              </w:rPr>
              <w:t xml:space="preserve"> </w:t>
            </w:r>
            <w:r w:rsidRPr="004B6E75">
              <w:rPr>
                <w:lang w:val="fr-CA"/>
              </w:rPr>
              <w:t>l’organisation</w:t>
            </w:r>
          </w:p>
        </w:tc>
        <w:tc>
          <w:tcPr>
            <w:tcW w:w="5181" w:type="dxa"/>
          </w:tcPr>
          <w:p w:rsidR="00FC63A1" w:rsidRPr="004B6E75" w:rsidRDefault="00FC63A1" w:rsidP="00FC63A1">
            <w:pPr>
              <w:pStyle w:val="TableTitle"/>
              <w:rPr>
                <w:lang w:val="fr-CA"/>
              </w:rPr>
            </w:pPr>
            <w:r w:rsidRPr="004B6E75">
              <w:rPr>
                <w:lang w:val="fr-CA"/>
              </w:rPr>
              <w:t>Pourcentage d'embauches pour une période indéterminée dans l’organisation</w:t>
            </w:r>
          </w:p>
        </w:tc>
      </w:tr>
      <w:tr w:rsidR="00FC63A1" w:rsidRPr="004B6E75" w:rsidTr="00DB2449">
        <w:trPr>
          <w:cantSplit/>
          <w:trHeight w:val="290"/>
          <w:tblHeader/>
          <w:jc w:val="center"/>
        </w:trPr>
        <w:tc>
          <w:tcPr>
            <w:tcW w:w="3256" w:type="dxa"/>
          </w:tcPr>
          <w:p w:rsidR="00FC63A1" w:rsidRPr="004B6E75" w:rsidRDefault="00FC63A1"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RE – Groupe de l’exécution de la réglementation</w:t>
            </w:r>
          </w:p>
        </w:tc>
        <w:tc>
          <w:tcPr>
            <w:tcW w:w="5953" w:type="dxa"/>
          </w:tcPr>
          <w:p w:rsidR="00FC63A1" w:rsidRPr="004B6E75" w:rsidRDefault="00FC63A1"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13</w:t>
            </w:r>
          </w:p>
        </w:tc>
        <w:tc>
          <w:tcPr>
            <w:tcW w:w="5181" w:type="dxa"/>
          </w:tcPr>
          <w:p w:rsidR="00FC63A1" w:rsidRPr="004B6E75" w:rsidRDefault="00FC63A1"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100%</w:t>
            </w:r>
          </w:p>
        </w:tc>
      </w:tr>
      <w:tr w:rsidR="00FC63A1" w:rsidRPr="004B6E75" w:rsidTr="00DB2449">
        <w:trPr>
          <w:cantSplit/>
          <w:trHeight w:val="290"/>
          <w:tblHeader/>
          <w:jc w:val="center"/>
        </w:trPr>
        <w:tc>
          <w:tcPr>
            <w:tcW w:w="3256" w:type="dxa"/>
          </w:tcPr>
          <w:p w:rsidR="00FC63A1" w:rsidRPr="004B6E75" w:rsidRDefault="00FC63A1"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Total</w:t>
            </w:r>
          </w:p>
        </w:tc>
        <w:tc>
          <w:tcPr>
            <w:tcW w:w="5953" w:type="dxa"/>
          </w:tcPr>
          <w:p w:rsidR="00FC63A1" w:rsidRPr="004B6E75" w:rsidRDefault="00FC63A1"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13</w:t>
            </w:r>
          </w:p>
        </w:tc>
        <w:tc>
          <w:tcPr>
            <w:tcW w:w="5181" w:type="dxa"/>
          </w:tcPr>
          <w:p w:rsidR="00FC63A1" w:rsidRPr="004B6E75" w:rsidRDefault="00FC63A1"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100%</w:t>
            </w:r>
          </w:p>
        </w:tc>
      </w:tr>
    </w:tbl>
    <w:p w:rsidR="00F75322" w:rsidRPr="004B6E75" w:rsidRDefault="00F75322" w:rsidP="00F75322">
      <w:pPr>
        <w:pStyle w:val="Heading1"/>
        <w:spacing w:before="120" w:after="120"/>
        <w:rPr>
          <w:sz w:val="40"/>
          <w:lang w:val="fr-CA"/>
        </w:rPr>
      </w:pPr>
      <w:r w:rsidRPr="004B6E75">
        <w:rPr>
          <w:rFonts w:eastAsia="Times New Roman"/>
          <w:sz w:val="40"/>
          <w:lang w:val="fr-CA"/>
        </w:rPr>
        <w:lastRenderedPageBreak/>
        <w:t>Dotation selon la région</w:t>
      </w:r>
    </w:p>
    <w:p w:rsidR="00FC63A1" w:rsidRPr="004B6E75" w:rsidRDefault="002730B1" w:rsidP="00FC63A1">
      <w:pPr>
        <w:keepNext/>
        <w:jc w:val="center"/>
        <w:rPr>
          <w:lang w:val="fr-CA"/>
        </w:rPr>
      </w:pPr>
      <w:r w:rsidRPr="004B6E75">
        <w:rPr>
          <w:rStyle w:val="Strong"/>
          <w:noProof/>
          <w:lang w:val="en-CA" w:eastAsia="en-CA"/>
        </w:rPr>
        <w:drawing>
          <wp:inline distT="0" distB="0" distL="0" distR="0" wp14:anchorId="5BEB99FF" wp14:editId="787FBC40">
            <wp:extent cx="5648400" cy="3049200"/>
            <wp:effectExtent l="0" t="0" r="9525" b="18415"/>
            <wp:docPr id="10" name="Chart 10" descr="Dotation selon la rég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C63A1" w:rsidRPr="004B6E75" w:rsidRDefault="00FC63A1" w:rsidP="00FC63A1">
      <w:pPr>
        <w:pStyle w:val="Caption"/>
        <w:jc w:val="center"/>
        <w:rPr>
          <w:lang w:val="fr-CA"/>
        </w:rPr>
      </w:pPr>
      <w:r w:rsidRPr="004B6E75">
        <w:rPr>
          <w:lang w:val="fr-CA"/>
        </w:rPr>
        <w:t xml:space="preserve">Figure </w:t>
      </w:r>
      <w:r w:rsidRPr="004B6E75">
        <w:rPr>
          <w:lang w:val="fr-CA"/>
        </w:rPr>
        <w:fldChar w:fldCharType="begin"/>
      </w:r>
      <w:r w:rsidRPr="004B6E75">
        <w:rPr>
          <w:lang w:val="fr-CA"/>
        </w:rPr>
        <w:instrText xml:space="preserve"> SEQ Figure \* ARABIC </w:instrText>
      </w:r>
      <w:r w:rsidRPr="004B6E75">
        <w:rPr>
          <w:lang w:val="fr-CA"/>
        </w:rPr>
        <w:fldChar w:fldCharType="separate"/>
      </w:r>
      <w:r w:rsidR="00224B48" w:rsidRPr="004B6E75">
        <w:rPr>
          <w:noProof/>
          <w:lang w:val="fr-CA"/>
        </w:rPr>
        <w:t>6</w:t>
      </w:r>
      <w:r w:rsidRPr="004B6E75">
        <w:rPr>
          <w:lang w:val="fr-CA"/>
        </w:rPr>
        <w:fldChar w:fldCharType="end"/>
      </w:r>
      <w:r w:rsidRPr="004B6E75">
        <w:rPr>
          <w:lang w:val="fr-CA"/>
        </w:rPr>
        <w:t xml:space="preserve"> - Dotation selon la r</w:t>
      </w:r>
      <w:r w:rsidR="00A47C97">
        <w:rPr>
          <w:lang w:val="fr-CA"/>
        </w:rPr>
        <w:t>é</w:t>
      </w:r>
      <w:r w:rsidRPr="004B6E75">
        <w:rPr>
          <w:lang w:val="fr-CA"/>
        </w:rPr>
        <w:t>gion</w:t>
      </w:r>
    </w:p>
    <w:p w:rsidR="004D279E" w:rsidRPr="004B6E75" w:rsidRDefault="004D279E" w:rsidP="004D279E">
      <w:pPr>
        <w:pStyle w:val="Caption"/>
        <w:keepNext/>
        <w:spacing w:before="240"/>
        <w:jc w:val="center"/>
        <w:rPr>
          <w:lang w:val="fr-CA"/>
        </w:rPr>
      </w:pPr>
      <w:r w:rsidRPr="004B6E75">
        <w:rPr>
          <w:lang w:val="fr-CA"/>
        </w:rPr>
        <w:t xml:space="preserve">Table </w:t>
      </w:r>
      <w:r w:rsidRPr="004B6E75">
        <w:rPr>
          <w:lang w:val="fr-CA"/>
        </w:rPr>
        <w:fldChar w:fldCharType="begin"/>
      </w:r>
      <w:r w:rsidRPr="004B6E75">
        <w:rPr>
          <w:lang w:val="fr-CA"/>
        </w:rPr>
        <w:instrText xml:space="preserve"> SEQ Table \* ARABIC </w:instrText>
      </w:r>
      <w:r w:rsidRPr="004B6E75">
        <w:rPr>
          <w:lang w:val="fr-CA"/>
        </w:rPr>
        <w:fldChar w:fldCharType="separate"/>
      </w:r>
      <w:r w:rsidR="00871A72" w:rsidRPr="004B6E75">
        <w:rPr>
          <w:noProof/>
          <w:lang w:val="fr-CA"/>
        </w:rPr>
        <w:t>6</w:t>
      </w:r>
      <w:r w:rsidRPr="004B6E75">
        <w:rPr>
          <w:lang w:val="fr-CA"/>
        </w:rPr>
        <w:fldChar w:fldCharType="end"/>
      </w:r>
      <w:r w:rsidRPr="004B6E75">
        <w:rPr>
          <w:lang w:val="fr-CA"/>
        </w:rPr>
        <w:t xml:space="preserve"> - Pourcentage des activités de dotation dans la région de la capitale nationale en comparaison avec les régions à l’extérieur de la région de la capitale nationale selon l'exercice financier</w:t>
      </w:r>
    </w:p>
    <w:tbl>
      <w:tblPr>
        <w:tblStyle w:val="TableGrid1"/>
        <w:tblW w:w="0" w:type="auto"/>
        <w:jc w:val="center"/>
        <w:tblLook w:val="0000" w:firstRow="0" w:lastRow="0" w:firstColumn="0" w:lastColumn="0" w:noHBand="0" w:noVBand="0"/>
        <w:tblDescription w:val="Dotation selon la région de 2014 à 2019"/>
      </w:tblPr>
      <w:tblGrid>
        <w:gridCol w:w="1619"/>
        <w:gridCol w:w="6148"/>
        <w:gridCol w:w="6623"/>
      </w:tblGrid>
      <w:tr w:rsidR="00FC63A1" w:rsidRPr="00F337FF" w:rsidTr="004D279E">
        <w:trPr>
          <w:cantSplit/>
          <w:trHeight w:val="290"/>
          <w:tblHeader/>
          <w:jc w:val="center"/>
        </w:trPr>
        <w:tc>
          <w:tcPr>
            <w:tcW w:w="0" w:type="auto"/>
          </w:tcPr>
          <w:p w:rsidR="00FC63A1" w:rsidRPr="004B6E75" w:rsidRDefault="00FC63A1" w:rsidP="004D279E">
            <w:pPr>
              <w:pStyle w:val="TableTitle"/>
              <w:rPr>
                <w:lang w:val="fr-CA"/>
              </w:rPr>
            </w:pPr>
            <w:r w:rsidRPr="004B6E75">
              <w:rPr>
                <w:lang w:val="fr-CA"/>
              </w:rPr>
              <w:t>L'exercice financier</w:t>
            </w:r>
          </w:p>
        </w:tc>
        <w:tc>
          <w:tcPr>
            <w:tcW w:w="0" w:type="auto"/>
          </w:tcPr>
          <w:p w:rsidR="00FC63A1" w:rsidRPr="004B6E75" w:rsidRDefault="00FC63A1" w:rsidP="004D279E">
            <w:pPr>
              <w:pStyle w:val="TableTitle"/>
              <w:rPr>
                <w:lang w:val="fr-CA"/>
              </w:rPr>
            </w:pPr>
            <w:r w:rsidRPr="004B6E75">
              <w:rPr>
                <w:lang w:val="fr-CA"/>
              </w:rPr>
              <w:t xml:space="preserve">Pourcentage des activités de dotation à l’organisation qui a eu lieu dans la région de la capitale nationale (RCN) </w:t>
            </w:r>
          </w:p>
        </w:tc>
        <w:tc>
          <w:tcPr>
            <w:tcW w:w="0" w:type="auto"/>
          </w:tcPr>
          <w:p w:rsidR="00FC63A1" w:rsidRPr="004B6E75" w:rsidRDefault="00FC63A1" w:rsidP="004D279E">
            <w:pPr>
              <w:pStyle w:val="TableTitle"/>
              <w:rPr>
                <w:lang w:val="fr-CA"/>
              </w:rPr>
            </w:pPr>
            <w:r w:rsidRPr="004B6E75">
              <w:rPr>
                <w:lang w:val="fr-CA"/>
              </w:rPr>
              <w:t>Pourcentage des activités de dotation à l’organisation qui a eu lieu à l’extérieur de la région de la capitale nationale (RCN)</w:t>
            </w:r>
          </w:p>
        </w:tc>
      </w:tr>
      <w:tr w:rsidR="00FC63A1" w:rsidRPr="004B6E75" w:rsidTr="004D279E">
        <w:trPr>
          <w:cantSplit/>
          <w:trHeight w:val="290"/>
          <w:tblHeader/>
          <w:jc w:val="center"/>
        </w:trPr>
        <w:tc>
          <w:tcPr>
            <w:tcW w:w="0" w:type="auto"/>
          </w:tcPr>
          <w:p w:rsidR="00FC63A1" w:rsidRPr="004B6E75" w:rsidRDefault="00FC63A1"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2014 à 2015</w:t>
            </w:r>
          </w:p>
        </w:tc>
        <w:tc>
          <w:tcPr>
            <w:tcW w:w="0" w:type="auto"/>
          </w:tcPr>
          <w:p w:rsidR="00FC63A1" w:rsidRPr="004B6E75" w:rsidRDefault="00FC63A1"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100%</w:t>
            </w:r>
          </w:p>
        </w:tc>
        <w:tc>
          <w:tcPr>
            <w:tcW w:w="0" w:type="auto"/>
          </w:tcPr>
          <w:p w:rsidR="00FC63A1" w:rsidRPr="004B6E75" w:rsidRDefault="00FC63A1"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0%</w:t>
            </w:r>
          </w:p>
        </w:tc>
      </w:tr>
      <w:tr w:rsidR="00FC63A1" w:rsidRPr="004B6E75" w:rsidTr="004D279E">
        <w:trPr>
          <w:cantSplit/>
          <w:trHeight w:val="290"/>
          <w:tblHeader/>
          <w:jc w:val="center"/>
        </w:trPr>
        <w:tc>
          <w:tcPr>
            <w:tcW w:w="0" w:type="auto"/>
          </w:tcPr>
          <w:p w:rsidR="00FC63A1" w:rsidRPr="004B6E75" w:rsidRDefault="00FC63A1"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2015 à 2016</w:t>
            </w:r>
          </w:p>
        </w:tc>
        <w:tc>
          <w:tcPr>
            <w:tcW w:w="0" w:type="auto"/>
          </w:tcPr>
          <w:p w:rsidR="00FC63A1" w:rsidRPr="004B6E75" w:rsidRDefault="00FC63A1"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100%</w:t>
            </w:r>
          </w:p>
        </w:tc>
        <w:tc>
          <w:tcPr>
            <w:tcW w:w="0" w:type="auto"/>
          </w:tcPr>
          <w:p w:rsidR="00FC63A1" w:rsidRPr="004B6E75" w:rsidRDefault="00FC63A1"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0%</w:t>
            </w:r>
          </w:p>
        </w:tc>
      </w:tr>
      <w:tr w:rsidR="00FC63A1" w:rsidRPr="004B6E75" w:rsidTr="004D279E">
        <w:trPr>
          <w:cantSplit/>
          <w:trHeight w:val="290"/>
          <w:tblHeader/>
          <w:jc w:val="center"/>
        </w:trPr>
        <w:tc>
          <w:tcPr>
            <w:tcW w:w="0" w:type="auto"/>
          </w:tcPr>
          <w:p w:rsidR="00FC63A1" w:rsidRPr="004B6E75" w:rsidRDefault="00FC63A1"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2016 à 2017</w:t>
            </w:r>
          </w:p>
        </w:tc>
        <w:tc>
          <w:tcPr>
            <w:tcW w:w="0" w:type="auto"/>
          </w:tcPr>
          <w:p w:rsidR="00FC63A1" w:rsidRPr="004B6E75" w:rsidRDefault="00FC63A1"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100%</w:t>
            </w:r>
          </w:p>
        </w:tc>
        <w:tc>
          <w:tcPr>
            <w:tcW w:w="0" w:type="auto"/>
          </w:tcPr>
          <w:p w:rsidR="00FC63A1" w:rsidRPr="004B6E75" w:rsidRDefault="00FC63A1"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0%</w:t>
            </w:r>
          </w:p>
        </w:tc>
      </w:tr>
      <w:tr w:rsidR="00FC63A1" w:rsidRPr="004B6E75" w:rsidTr="004D279E">
        <w:trPr>
          <w:cantSplit/>
          <w:trHeight w:val="290"/>
          <w:tblHeader/>
          <w:jc w:val="center"/>
        </w:trPr>
        <w:tc>
          <w:tcPr>
            <w:tcW w:w="0" w:type="auto"/>
          </w:tcPr>
          <w:p w:rsidR="00FC63A1" w:rsidRPr="004B6E75" w:rsidRDefault="00FC63A1"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2017 à 2018</w:t>
            </w:r>
          </w:p>
        </w:tc>
        <w:tc>
          <w:tcPr>
            <w:tcW w:w="0" w:type="auto"/>
          </w:tcPr>
          <w:p w:rsidR="00FC63A1" w:rsidRPr="004B6E75" w:rsidRDefault="00FC63A1"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100%</w:t>
            </w:r>
          </w:p>
        </w:tc>
        <w:tc>
          <w:tcPr>
            <w:tcW w:w="0" w:type="auto"/>
          </w:tcPr>
          <w:p w:rsidR="00FC63A1" w:rsidRPr="004B6E75" w:rsidRDefault="00FC63A1"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0%</w:t>
            </w:r>
          </w:p>
        </w:tc>
      </w:tr>
      <w:tr w:rsidR="00FC63A1" w:rsidRPr="004B6E75" w:rsidTr="004D279E">
        <w:trPr>
          <w:cantSplit/>
          <w:trHeight w:val="290"/>
          <w:tblHeader/>
          <w:jc w:val="center"/>
        </w:trPr>
        <w:tc>
          <w:tcPr>
            <w:tcW w:w="0" w:type="auto"/>
          </w:tcPr>
          <w:p w:rsidR="00FC63A1" w:rsidRPr="004B6E75" w:rsidRDefault="00FC63A1"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2018 à 2019</w:t>
            </w:r>
          </w:p>
        </w:tc>
        <w:tc>
          <w:tcPr>
            <w:tcW w:w="0" w:type="auto"/>
          </w:tcPr>
          <w:p w:rsidR="00FC63A1" w:rsidRPr="004B6E75" w:rsidRDefault="00FC63A1"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100%</w:t>
            </w:r>
          </w:p>
        </w:tc>
        <w:tc>
          <w:tcPr>
            <w:tcW w:w="0" w:type="auto"/>
          </w:tcPr>
          <w:p w:rsidR="00FC63A1" w:rsidRPr="004B6E75" w:rsidRDefault="00FC63A1"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0%</w:t>
            </w:r>
          </w:p>
        </w:tc>
      </w:tr>
    </w:tbl>
    <w:p w:rsidR="00F75322" w:rsidRPr="004B6E75" w:rsidRDefault="00F75322" w:rsidP="00F75322">
      <w:pPr>
        <w:pStyle w:val="Heading1"/>
        <w:spacing w:before="120" w:after="120"/>
        <w:rPr>
          <w:sz w:val="40"/>
          <w:lang w:val="fr-CA"/>
        </w:rPr>
      </w:pPr>
      <w:r w:rsidRPr="004B6E75">
        <w:rPr>
          <w:rFonts w:eastAsia="Times New Roman"/>
          <w:sz w:val="40"/>
          <w:lang w:val="fr-CA"/>
        </w:rPr>
        <w:lastRenderedPageBreak/>
        <w:t>Dotation selon le type de processus</w:t>
      </w:r>
    </w:p>
    <w:p w:rsidR="004D279E" w:rsidRPr="004B6E75" w:rsidRDefault="002730B1" w:rsidP="004D279E">
      <w:pPr>
        <w:keepNext/>
        <w:jc w:val="center"/>
        <w:rPr>
          <w:lang w:val="fr-CA"/>
        </w:rPr>
      </w:pPr>
      <w:r w:rsidRPr="004B6E75">
        <w:rPr>
          <w:rStyle w:val="Strong"/>
          <w:noProof/>
          <w:lang w:val="en-CA" w:eastAsia="en-CA"/>
        </w:rPr>
        <w:drawing>
          <wp:inline distT="0" distB="0" distL="0" distR="0" wp14:anchorId="5765E3AD" wp14:editId="7ADC4A92">
            <wp:extent cx="5648400" cy="3049200"/>
            <wp:effectExtent l="0" t="0" r="9525" b="18415"/>
            <wp:docPr id="1" name="Chart 1" descr="Dotation selon le type de processus"/>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730B1" w:rsidRPr="004B6E75" w:rsidRDefault="004D279E" w:rsidP="004D279E">
      <w:pPr>
        <w:pStyle w:val="Caption"/>
        <w:jc w:val="center"/>
        <w:rPr>
          <w:lang w:val="fr-CA"/>
        </w:rPr>
      </w:pPr>
      <w:r w:rsidRPr="004B6E75">
        <w:rPr>
          <w:lang w:val="fr-CA"/>
        </w:rPr>
        <w:t xml:space="preserve">Figure </w:t>
      </w:r>
      <w:r w:rsidRPr="004B6E75">
        <w:rPr>
          <w:lang w:val="fr-CA"/>
        </w:rPr>
        <w:fldChar w:fldCharType="begin"/>
      </w:r>
      <w:r w:rsidRPr="004B6E75">
        <w:rPr>
          <w:lang w:val="fr-CA"/>
        </w:rPr>
        <w:instrText xml:space="preserve"> SEQ Figure \* ARABIC </w:instrText>
      </w:r>
      <w:r w:rsidRPr="004B6E75">
        <w:rPr>
          <w:lang w:val="fr-CA"/>
        </w:rPr>
        <w:fldChar w:fldCharType="separate"/>
      </w:r>
      <w:r w:rsidR="00224B48" w:rsidRPr="004B6E75">
        <w:rPr>
          <w:noProof/>
          <w:lang w:val="fr-CA"/>
        </w:rPr>
        <w:t>7</w:t>
      </w:r>
      <w:r w:rsidRPr="004B6E75">
        <w:rPr>
          <w:lang w:val="fr-CA"/>
        </w:rPr>
        <w:fldChar w:fldCharType="end"/>
      </w:r>
      <w:r w:rsidRPr="004B6E75">
        <w:rPr>
          <w:lang w:val="fr-CA"/>
        </w:rPr>
        <w:t xml:space="preserve"> - Dotation selon le type de processus</w:t>
      </w:r>
    </w:p>
    <w:p w:rsidR="004D279E" w:rsidRPr="004B6E75" w:rsidRDefault="004D279E" w:rsidP="004D279E">
      <w:pPr>
        <w:pStyle w:val="Caption"/>
        <w:keepNext/>
        <w:spacing w:before="240"/>
        <w:jc w:val="center"/>
        <w:rPr>
          <w:lang w:val="fr-CA"/>
        </w:rPr>
      </w:pPr>
      <w:r w:rsidRPr="004B6E75">
        <w:rPr>
          <w:lang w:val="fr-CA"/>
        </w:rPr>
        <w:t xml:space="preserve">Table </w:t>
      </w:r>
      <w:r w:rsidRPr="004B6E75">
        <w:rPr>
          <w:lang w:val="fr-CA"/>
        </w:rPr>
        <w:fldChar w:fldCharType="begin"/>
      </w:r>
      <w:r w:rsidRPr="004B6E75">
        <w:rPr>
          <w:lang w:val="fr-CA"/>
        </w:rPr>
        <w:instrText xml:space="preserve"> SEQ Table \* ARABIC </w:instrText>
      </w:r>
      <w:r w:rsidRPr="004B6E75">
        <w:rPr>
          <w:lang w:val="fr-CA"/>
        </w:rPr>
        <w:fldChar w:fldCharType="separate"/>
      </w:r>
      <w:r w:rsidR="00871A72" w:rsidRPr="004B6E75">
        <w:rPr>
          <w:noProof/>
          <w:lang w:val="fr-CA"/>
        </w:rPr>
        <w:t>7</w:t>
      </w:r>
      <w:r w:rsidRPr="004B6E75">
        <w:rPr>
          <w:lang w:val="fr-CA"/>
        </w:rPr>
        <w:fldChar w:fldCharType="end"/>
      </w:r>
      <w:r w:rsidRPr="004B6E75">
        <w:rPr>
          <w:lang w:val="fr-CA"/>
        </w:rPr>
        <w:t xml:space="preserve"> - Nombre et pourcentage des activités de dotation selon le type de processus et l’exercice financier</w:t>
      </w:r>
    </w:p>
    <w:tbl>
      <w:tblPr>
        <w:tblStyle w:val="TableGrid1"/>
        <w:tblW w:w="5000" w:type="pct"/>
        <w:jc w:val="center"/>
        <w:tblLook w:val="0000" w:firstRow="0" w:lastRow="0" w:firstColumn="0" w:lastColumn="0" w:noHBand="0" w:noVBand="0"/>
        <w:tblDescription w:val="Dotation selon le type de processus de 2014 à 2019"/>
      </w:tblPr>
      <w:tblGrid>
        <w:gridCol w:w="2194"/>
        <w:gridCol w:w="4885"/>
        <w:gridCol w:w="2479"/>
        <w:gridCol w:w="4832"/>
      </w:tblGrid>
      <w:tr w:rsidR="004D279E" w:rsidRPr="00F337FF" w:rsidTr="00F75322">
        <w:trPr>
          <w:cantSplit/>
          <w:trHeight w:val="290"/>
          <w:tblHeader/>
          <w:jc w:val="center"/>
        </w:trPr>
        <w:tc>
          <w:tcPr>
            <w:tcW w:w="762" w:type="pct"/>
          </w:tcPr>
          <w:p w:rsidR="004D279E" w:rsidRPr="004B6E75" w:rsidRDefault="004D279E" w:rsidP="004D279E">
            <w:pPr>
              <w:pStyle w:val="TableTitle"/>
              <w:rPr>
                <w:lang w:val="fr-CA"/>
              </w:rPr>
            </w:pPr>
            <w:r w:rsidRPr="004B6E75">
              <w:rPr>
                <w:lang w:val="fr-CA"/>
              </w:rPr>
              <w:t>Exercice financier</w:t>
            </w:r>
          </w:p>
        </w:tc>
        <w:tc>
          <w:tcPr>
            <w:tcW w:w="1697" w:type="pct"/>
          </w:tcPr>
          <w:p w:rsidR="004D279E" w:rsidRPr="004B6E75" w:rsidRDefault="004D279E" w:rsidP="004D279E">
            <w:pPr>
              <w:pStyle w:val="TableTitle"/>
              <w:rPr>
                <w:lang w:val="fr-CA"/>
              </w:rPr>
            </w:pPr>
            <w:r w:rsidRPr="004B6E75">
              <w:rPr>
                <w:lang w:val="fr-CA"/>
              </w:rPr>
              <w:t>Processus non annoncé (inconnus exclus)</w:t>
            </w:r>
          </w:p>
        </w:tc>
        <w:tc>
          <w:tcPr>
            <w:tcW w:w="861" w:type="pct"/>
          </w:tcPr>
          <w:p w:rsidR="004D279E" w:rsidRPr="004B6E75" w:rsidRDefault="004D279E" w:rsidP="004D279E">
            <w:pPr>
              <w:pStyle w:val="TableTitle"/>
              <w:rPr>
                <w:lang w:val="fr-CA"/>
              </w:rPr>
            </w:pPr>
            <w:r w:rsidRPr="004B6E75">
              <w:rPr>
                <w:lang w:val="fr-CA"/>
              </w:rPr>
              <w:t>Processus annoncés</w:t>
            </w:r>
          </w:p>
        </w:tc>
        <w:tc>
          <w:tcPr>
            <w:tcW w:w="1679" w:type="pct"/>
          </w:tcPr>
          <w:p w:rsidR="004D279E" w:rsidRPr="004B6E75" w:rsidRDefault="004D279E" w:rsidP="004D279E">
            <w:pPr>
              <w:pStyle w:val="TableTitle"/>
              <w:rPr>
                <w:lang w:val="fr-CA"/>
              </w:rPr>
            </w:pPr>
            <w:r w:rsidRPr="004B6E75">
              <w:rPr>
                <w:lang w:val="fr-CA"/>
              </w:rPr>
              <w:t xml:space="preserve">Pourcentage de processus non annoncés </w:t>
            </w:r>
          </w:p>
        </w:tc>
      </w:tr>
      <w:tr w:rsidR="004D279E" w:rsidRPr="004B6E75" w:rsidTr="00F75322">
        <w:trPr>
          <w:cantSplit/>
          <w:trHeight w:val="290"/>
          <w:tblHeader/>
          <w:jc w:val="center"/>
        </w:trPr>
        <w:tc>
          <w:tcPr>
            <w:tcW w:w="762" w:type="pct"/>
          </w:tcPr>
          <w:p w:rsidR="004D279E" w:rsidRPr="004B6E75" w:rsidRDefault="004D279E"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 xml:space="preserve">2014 à 2015 </w:t>
            </w:r>
          </w:p>
        </w:tc>
        <w:tc>
          <w:tcPr>
            <w:tcW w:w="1697" w:type="pct"/>
          </w:tcPr>
          <w:p w:rsidR="004D279E" w:rsidRPr="004B6E75" w:rsidRDefault="004D279E"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4</w:t>
            </w:r>
          </w:p>
        </w:tc>
        <w:tc>
          <w:tcPr>
            <w:tcW w:w="861" w:type="pct"/>
          </w:tcPr>
          <w:p w:rsidR="004D279E" w:rsidRPr="004B6E75" w:rsidRDefault="004D279E"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20</w:t>
            </w:r>
          </w:p>
        </w:tc>
        <w:tc>
          <w:tcPr>
            <w:tcW w:w="1679" w:type="pct"/>
          </w:tcPr>
          <w:p w:rsidR="004D279E" w:rsidRPr="004B6E75" w:rsidRDefault="004D279E"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17%</w:t>
            </w:r>
          </w:p>
        </w:tc>
      </w:tr>
      <w:tr w:rsidR="004D279E" w:rsidRPr="004B6E75" w:rsidTr="00F75322">
        <w:trPr>
          <w:cantSplit/>
          <w:trHeight w:val="290"/>
          <w:tblHeader/>
          <w:jc w:val="center"/>
        </w:trPr>
        <w:tc>
          <w:tcPr>
            <w:tcW w:w="762" w:type="pct"/>
          </w:tcPr>
          <w:p w:rsidR="004D279E" w:rsidRPr="004B6E75" w:rsidRDefault="004D279E"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 xml:space="preserve">2015 à 2016 </w:t>
            </w:r>
          </w:p>
        </w:tc>
        <w:tc>
          <w:tcPr>
            <w:tcW w:w="1697" w:type="pct"/>
          </w:tcPr>
          <w:p w:rsidR="004D279E" w:rsidRPr="004B6E75" w:rsidRDefault="004D279E"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w:t>
            </w:r>
          </w:p>
        </w:tc>
        <w:tc>
          <w:tcPr>
            <w:tcW w:w="861" w:type="pct"/>
          </w:tcPr>
          <w:p w:rsidR="004D279E" w:rsidRPr="004B6E75" w:rsidRDefault="004D279E"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14</w:t>
            </w:r>
          </w:p>
        </w:tc>
        <w:tc>
          <w:tcPr>
            <w:tcW w:w="1679" w:type="pct"/>
          </w:tcPr>
          <w:p w:rsidR="004D279E" w:rsidRPr="004B6E75" w:rsidRDefault="004D279E"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13%</w:t>
            </w:r>
          </w:p>
        </w:tc>
      </w:tr>
      <w:tr w:rsidR="004D279E" w:rsidRPr="004B6E75" w:rsidTr="00F75322">
        <w:trPr>
          <w:cantSplit/>
          <w:trHeight w:val="290"/>
          <w:tblHeader/>
          <w:jc w:val="center"/>
        </w:trPr>
        <w:tc>
          <w:tcPr>
            <w:tcW w:w="762" w:type="pct"/>
          </w:tcPr>
          <w:p w:rsidR="004D279E" w:rsidRPr="004B6E75" w:rsidRDefault="004D279E"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2016 à 2017</w:t>
            </w:r>
          </w:p>
        </w:tc>
        <w:tc>
          <w:tcPr>
            <w:tcW w:w="1697" w:type="pct"/>
          </w:tcPr>
          <w:p w:rsidR="004D279E" w:rsidRPr="004B6E75" w:rsidRDefault="004D279E"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w:t>
            </w:r>
          </w:p>
        </w:tc>
        <w:tc>
          <w:tcPr>
            <w:tcW w:w="861" w:type="pct"/>
          </w:tcPr>
          <w:p w:rsidR="004D279E" w:rsidRPr="004B6E75" w:rsidRDefault="004D279E"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17</w:t>
            </w:r>
          </w:p>
        </w:tc>
        <w:tc>
          <w:tcPr>
            <w:tcW w:w="1679" w:type="pct"/>
          </w:tcPr>
          <w:p w:rsidR="004D279E" w:rsidRPr="004B6E75" w:rsidRDefault="004D279E"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11%</w:t>
            </w:r>
          </w:p>
        </w:tc>
      </w:tr>
      <w:tr w:rsidR="004D279E" w:rsidRPr="004B6E75" w:rsidTr="00F75322">
        <w:trPr>
          <w:cantSplit/>
          <w:trHeight w:val="290"/>
          <w:tblHeader/>
          <w:jc w:val="center"/>
        </w:trPr>
        <w:tc>
          <w:tcPr>
            <w:tcW w:w="762" w:type="pct"/>
          </w:tcPr>
          <w:p w:rsidR="004D279E" w:rsidRPr="004B6E75" w:rsidRDefault="004D279E"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2017 à 2018</w:t>
            </w:r>
          </w:p>
        </w:tc>
        <w:tc>
          <w:tcPr>
            <w:tcW w:w="1697" w:type="pct"/>
          </w:tcPr>
          <w:p w:rsidR="004D279E" w:rsidRPr="004B6E75" w:rsidRDefault="004D279E"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6</w:t>
            </w:r>
          </w:p>
        </w:tc>
        <w:tc>
          <w:tcPr>
            <w:tcW w:w="861" w:type="pct"/>
          </w:tcPr>
          <w:p w:rsidR="004D279E" w:rsidRPr="004B6E75" w:rsidRDefault="004D279E"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20</w:t>
            </w:r>
          </w:p>
        </w:tc>
        <w:tc>
          <w:tcPr>
            <w:tcW w:w="1679" w:type="pct"/>
          </w:tcPr>
          <w:p w:rsidR="004D279E" w:rsidRPr="004B6E75" w:rsidRDefault="004D279E"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23%</w:t>
            </w:r>
          </w:p>
        </w:tc>
      </w:tr>
      <w:tr w:rsidR="004D279E" w:rsidRPr="004B6E75" w:rsidTr="00F75322">
        <w:trPr>
          <w:cantSplit/>
          <w:trHeight w:val="290"/>
          <w:tblHeader/>
          <w:jc w:val="center"/>
        </w:trPr>
        <w:tc>
          <w:tcPr>
            <w:tcW w:w="762" w:type="pct"/>
          </w:tcPr>
          <w:p w:rsidR="004D279E" w:rsidRPr="004B6E75" w:rsidRDefault="004D279E"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2018 à 2019</w:t>
            </w:r>
          </w:p>
        </w:tc>
        <w:tc>
          <w:tcPr>
            <w:tcW w:w="1697" w:type="pct"/>
          </w:tcPr>
          <w:p w:rsidR="004D279E" w:rsidRPr="004B6E75" w:rsidRDefault="004D279E"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7</w:t>
            </w:r>
          </w:p>
        </w:tc>
        <w:tc>
          <w:tcPr>
            <w:tcW w:w="861" w:type="pct"/>
          </w:tcPr>
          <w:p w:rsidR="004D279E" w:rsidRPr="004B6E75" w:rsidRDefault="004D279E"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10</w:t>
            </w:r>
          </w:p>
        </w:tc>
        <w:tc>
          <w:tcPr>
            <w:tcW w:w="1679" w:type="pct"/>
          </w:tcPr>
          <w:p w:rsidR="004D279E" w:rsidRPr="004B6E75" w:rsidRDefault="004D279E"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41%</w:t>
            </w:r>
          </w:p>
        </w:tc>
      </w:tr>
    </w:tbl>
    <w:p w:rsidR="00F75322" w:rsidRPr="004B6E75" w:rsidRDefault="00F75322" w:rsidP="00F75322">
      <w:pPr>
        <w:pStyle w:val="Heading1"/>
        <w:spacing w:before="120" w:after="120"/>
        <w:rPr>
          <w:sz w:val="40"/>
          <w:lang w:val="fr-CA"/>
        </w:rPr>
      </w:pPr>
      <w:r w:rsidRPr="004B6E75">
        <w:rPr>
          <w:rFonts w:eastAsia="Times New Roman"/>
          <w:sz w:val="40"/>
          <w:lang w:val="fr-CA"/>
        </w:rPr>
        <w:lastRenderedPageBreak/>
        <w:t>Dotation selon le type de nomination</w:t>
      </w:r>
    </w:p>
    <w:p w:rsidR="00FA30D6" w:rsidRPr="004B6E75" w:rsidRDefault="002730B1" w:rsidP="00FA30D6">
      <w:pPr>
        <w:pStyle w:val="Level1"/>
        <w:keepNext/>
        <w:tabs>
          <w:tab w:val="left" w:pos="-1440"/>
        </w:tabs>
        <w:autoSpaceDE w:val="0"/>
        <w:autoSpaceDN w:val="0"/>
        <w:adjustRightInd w:val="0"/>
        <w:spacing w:line="20" w:lineRule="atLeast"/>
        <w:jc w:val="center"/>
        <w:rPr>
          <w:lang w:val="fr-CA"/>
        </w:rPr>
      </w:pPr>
      <w:r w:rsidRPr="004B6E75">
        <w:rPr>
          <w:rStyle w:val="Strong"/>
          <w:noProof/>
          <w:lang w:val="en-CA" w:eastAsia="en-CA"/>
        </w:rPr>
        <w:drawing>
          <wp:inline distT="0" distB="0" distL="0" distR="0" wp14:anchorId="7025C45D" wp14:editId="73EB1167">
            <wp:extent cx="5648400" cy="3049200"/>
            <wp:effectExtent l="0" t="0" r="9525" b="18415"/>
            <wp:docPr id="9" name="Chart 9" descr="Dotation selon le type de nomina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A30D6" w:rsidRPr="004B6E75" w:rsidRDefault="00FA30D6" w:rsidP="00FA30D6">
      <w:pPr>
        <w:pStyle w:val="Caption"/>
        <w:jc w:val="center"/>
        <w:rPr>
          <w:lang w:val="fr-CA"/>
        </w:rPr>
      </w:pPr>
      <w:r w:rsidRPr="004B6E75">
        <w:rPr>
          <w:lang w:val="fr-CA"/>
        </w:rPr>
        <w:t xml:space="preserve">Figure </w:t>
      </w:r>
      <w:r w:rsidRPr="004B6E75">
        <w:rPr>
          <w:lang w:val="fr-CA"/>
        </w:rPr>
        <w:fldChar w:fldCharType="begin"/>
      </w:r>
      <w:r w:rsidRPr="004B6E75">
        <w:rPr>
          <w:lang w:val="fr-CA"/>
        </w:rPr>
        <w:instrText xml:space="preserve"> SEQ Figure \* ARABIC </w:instrText>
      </w:r>
      <w:r w:rsidRPr="004B6E75">
        <w:rPr>
          <w:lang w:val="fr-CA"/>
        </w:rPr>
        <w:fldChar w:fldCharType="separate"/>
      </w:r>
      <w:r w:rsidR="00224B48" w:rsidRPr="004B6E75">
        <w:rPr>
          <w:noProof/>
          <w:lang w:val="fr-CA"/>
        </w:rPr>
        <w:t>8</w:t>
      </w:r>
      <w:r w:rsidRPr="004B6E75">
        <w:rPr>
          <w:lang w:val="fr-CA"/>
        </w:rPr>
        <w:fldChar w:fldCharType="end"/>
      </w:r>
      <w:r w:rsidRPr="004B6E75">
        <w:rPr>
          <w:lang w:val="fr-CA"/>
        </w:rPr>
        <w:t xml:space="preserve"> - Dotation selon le type de nomination</w:t>
      </w:r>
    </w:p>
    <w:p w:rsidR="00FA30D6" w:rsidRPr="004B6E75" w:rsidRDefault="00FA30D6" w:rsidP="00FA30D6">
      <w:pPr>
        <w:pStyle w:val="Caption"/>
        <w:keepNext/>
        <w:spacing w:before="240"/>
        <w:jc w:val="center"/>
        <w:rPr>
          <w:lang w:val="fr-CA"/>
        </w:rPr>
      </w:pPr>
      <w:r w:rsidRPr="004B6E75">
        <w:rPr>
          <w:lang w:val="fr-CA"/>
        </w:rPr>
        <w:t xml:space="preserve">Table </w:t>
      </w:r>
      <w:r w:rsidRPr="004B6E75">
        <w:rPr>
          <w:lang w:val="fr-CA"/>
        </w:rPr>
        <w:fldChar w:fldCharType="begin"/>
      </w:r>
      <w:r w:rsidRPr="004B6E75">
        <w:rPr>
          <w:lang w:val="fr-CA"/>
        </w:rPr>
        <w:instrText xml:space="preserve"> SEQ Table \* ARABIC </w:instrText>
      </w:r>
      <w:r w:rsidRPr="004B6E75">
        <w:rPr>
          <w:lang w:val="fr-CA"/>
        </w:rPr>
        <w:fldChar w:fldCharType="separate"/>
      </w:r>
      <w:r w:rsidR="00871A72" w:rsidRPr="004B6E75">
        <w:rPr>
          <w:noProof/>
          <w:lang w:val="fr-CA"/>
        </w:rPr>
        <w:t>8</w:t>
      </w:r>
      <w:r w:rsidRPr="004B6E75">
        <w:rPr>
          <w:lang w:val="fr-CA"/>
        </w:rPr>
        <w:fldChar w:fldCharType="end"/>
      </w:r>
      <w:r w:rsidRPr="004B6E75">
        <w:rPr>
          <w:lang w:val="fr-CA"/>
        </w:rPr>
        <w:t xml:space="preserve"> - Activités de dotation selon le type de nomination et exercice financier</w:t>
      </w:r>
    </w:p>
    <w:tbl>
      <w:tblPr>
        <w:tblStyle w:val="TableGrid1"/>
        <w:tblW w:w="0" w:type="auto"/>
        <w:jc w:val="center"/>
        <w:tblLook w:val="0000" w:firstRow="0" w:lastRow="0" w:firstColumn="0" w:lastColumn="0" w:noHBand="0" w:noVBand="0"/>
        <w:tblDescription w:val="Dotation selon le type de nomination de 2014 à 2019"/>
      </w:tblPr>
      <w:tblGrid>
        <w:gridCol w:w="1422"/>
        <w:gridCol w:w="1376"/>
        <w:gridCol w:w="2474"/>
        <w:gridCol w:w="4543"/>
        <w:gridCol w:w="3854"/>
        <w:gridCol w:w="721"/>
      </w:tblGrid>
      <w:tr w:rsidR="00FA30D6" w:rsidRPr="004B6E75" w:rsidTr="00FA30D6">
        <w:trPr>
          <w:cantSplit/>
          <w:tblHeader/>
          <w:jc w:val="center"/>
        </w:trPr>
        <w:tc>
          <w:tcPr>
            <w:tcW w:w="0" w:type="auto"/>
          </w:tcPr>
          <w:p w:rsidR="00FA30D6" w:rsidRPr="004B6E75" w:rsidRDefault="00FA30D6" w:rsidP="00FA30D6">
            <w:pPr>
              <w:pStyle w:val="TableTitle"/>
              <w:rPr>
                <w:lang w:val="fr-CA"/>
              </w:rPr>
            </w:pPr>
            <w:r w:rsidRPr="004B6E75">
              <w:rPr>
                <w:lang w:val="fr-CA"/>
              </w:rPr>
              <w:t>Exercice financier</w:t>
            </w:r>
          </w:p>
        </w:tc>
        <w:tc>
          <w:tcPr>
            <w:tcW w:w="0" w:type="auto"/>
          </w:tcPr>
          <w:p w:rsidR="00FA30D6" w:rsidRPr="004B6E75" w:rsidRDefault="00FA30D6" w:rsidP="00FA30D6">
            <w:pPr>
              <w:pStyle w:val="TableTitle"/>
              <w:rPr>
                <w:lang w:val="fr-CA"/>
              </w:rPr>
            </w:pPr>
            <w:r w:rsidRPr="004B6E75">
              <w:rPr>
                <w:lang w:val="fr-CA"/>
              </w:rPr>
              <w:t>Promotions</w:t>
            </w:r>
          </w:p>
        </w:tc>
        <w:tc>
          <w:tcPr>
            <w:tcW w:w="0" w:type="auto"/>
          </w:tcPr>
          <w:p w:rsidR="00FA30D6" w:rsidRPr="004B6E75" w:rsidRDefault="00FA30D6" w:rsidP="00FA30D6">
            <w:pPr>
              <w:pStyle w:val="TableTitle"/>
              <w:rPr>
                <w:lang w:val="fr-CA"/>
              </w:rPr>
            </w:pPr>
            <w:r w:rsidRPr="004B6E75">
              <w:rPr>
                <w:lang w:val="fr-CA"/>
              </w:rPr>
              <w:t>Déplacements latéraux et régressifs</w:t>
            </w:r>
          </w:p>
        </w:tc>
        <w:tc>
          <w:tcPr>
            <w:tcW w:w="0" w:type="auto"/>
          </w:tcPr>
          <w:p w:rsidR="00FA30D6" w:rsidRPr="004B6E75" w:rsidRDefault="00FA30D6" w:rsidP="00FA30D6">
            <w:pPr>
              <w:pStyle w:val="TableTitle"/>
              <w:rPr>
                <w:lang w:val="fr-CA"/>
              </w:rPr>
            </w:pPr>
            <w:r w:rsidRPr="004B6E75">
              <w:rPr>
                <w:lang w:val="fr-CA"/>
              </w:rPr>
              <w:t>Nominations à la fonction publique (y compris les employés occasionnels et les étudiants)</w:t>
            </w:r>
          </w:p>
        </w:tc>
        <w:tc>
          <w:tcPr>
            <w:tcW w:w="0" w:type="auto"/>
          </w:tcPr>
          <w:p w:rsidR="00FA30D6" w:rsidRPr="004B6E75" w:rsidRDefault="00FA30D6" w:rsidP="00FA30D6">
            <w:pPr>
              <w:pStyle w:val="TableTitle"/>
              <w:rPr>
                <w:lang w:val="fr-CA"/>
              </w:rPr>
            </w:pPr>
            <w:r w:rsidRPr="004B6E75">
              <w:rPr>
                <w:lang w:val="fr-CA"/>
              </w:rPr>
              <w:t>Nominations intérimaires (Excluant les nominations de moins de 4 mois)</w:t>
            </w:r>
          </w:p>
        </w:tc>
        <w:tc>
          <w:tcPr>
            <w:tcW w:w="0" w:type="auto"/>
          </w:tcPr>
          <w:p w:rsidR="00FA30D6" w:rsidRPr="004B6E75" w:rsidRDefault="00FA30D6" w:rsidP="00FA30D6">
            <w:pPr>
              <w:pStyle w:val="TableTitle"/>
              <w:rPr>
                <w:lang w:val="fr-CA"/>
              </w:rPr>
            </w:pPr>
            <w:r w:rsidRPr="004B6E75">
              <w:rPr>
                <w:lang w:val="fr-CA"/>
              </w:rPr>
              <w:t>Total</w:t>
            </w:r>
          </w:p>
        </w:tc>
      </w:tr>
      <w:tr w:rsidR="00FA30D6" w:rsidRPr="004B6E75" w:rsidTr="00FA30D6">
        <w:trPr>
          <w:cantSplit/>
          <w:tblHeader/>
          <w:jc w:val="center"/>
        </w:trPr>
        <w:tc>
          <w:tcPr>
            <w:tcW w:w="0" w:type="auto"/>
          </w:tcPr>
          <w:p w:rsidR="00FA30D6" w:rsidRPr="004B6E75" w:rsidRDefault="00FA30D6"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 xml:space="preserve">2014 à 2015 </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11</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10</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25</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10</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56</w:t>
            </w:r>
          </w:p>
        </w:tc>
      </w:tr>
      <w:tr w:rsidR="00FA30D6" w:rsidRPr="004B6E75" w:rsidTr="00FA30D6">
        <w:trPr>
          <w:cantSplit/>
          <w:tblHeader/>
          <w:jc w:val="center"/>
        </w:trPr>
        <w:tc>
          <w:tcPr>
            <w:tcW w:w="0" w:type="auto"/>
          </w:tcPr>
          <w:p w:rsidR="00FA30D6" w:rsidRPr="004B6E75" w:rsidRDefault="00FA30D6"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2015 à 2016</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12</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9</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40</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4</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65</w:t>
            </w:r>
          </w:p>
        </w:tc>
      </w:tr>
      <w:tr w:rsidR="00FA30D6" w:rsidRPr="004B6E75" w:rsidTr="00FA30D6">
        <w:trPr>
          <w:cantSplit/>
          <w:tblHeader/>
          <w:jc w:val="center"/>
        </w:trPr>
        <w:tc>
          <w:tcPr>
            <w:tcW w:w="0" w:type="auto"/>
          </w:tcPr>
          <w:p w:rsidR="00FA30D6" w:rsidRPr="004B6E75" w:rsidRDefault="00FA30D6"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 xml:space="preserve">2016 à 2017 </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9</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54</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6</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71</w:t>
            </w:r>
          </w:p>
        </w:tc>
      </w:tr>
      <w:tr w:rsidR="00FA30D6" w:rsidRPr="004B6E75" w:rsidTr="00FA30D6">
        <w:trPr>
          <w:cantSplit/>
          <w:tblHeader/>
          <w:jc w:val="center"/>
        </w:trPr>
        <w:tc>
          <w:tcPr>
            <w:tcW w:w="0" w:type="auto"/>
          </w:tcPr>
          <w:p w:rsidR="00FA30D6" w:rsidRPr="004B6E75" w:rsidRDefault="00FA30D6"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2017 à 2018</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12</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16</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57</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4</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89</w:t>
            </w:r>
          </w:p>
        </w:tc>
      </w:tr>
      <w:tr w:rsidR="00FA30D6" w:rsidRPr="004B6E75" w:rsidTr="00FA30D6">
        <w:trPr>
          <w:cantSplit/>
          <w:tblHeader/>
          <w:jc w:val="center"/>
        </w:trPr>
        <w:tc>
          <w:tcPr>
            <w:tcW w:w="0" w:type="auto"/>
          </w:tcPr>
          <w:p w:rsidR="00FA30D6" w:rsidRPr="004B6E75" w:rsidRDefault="00FA30D6"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2018 à 2019</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13</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16</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57</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5</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91</w:t>
            </w:r>
          </w:p>
        </w:tc>
      </w:tr>
    </w:tbl>
    <w:p w:rsidR="004E4DA1" w:rsidRPr="004B6E75" w:rsidRDefault="004E4DA1" w:rsidP="004E4DA1">
      <w:pPr>
        <w:pStyle w:val="Heading1"/>
        <w:spacing w:before="120" w:after="120"/>
        <w:rPr>
          <w:sz w:val="40"/>
          <w:lang w:val="fr-CA"/>
        </w:rPr>
      </w:pPr>
      <w:r w:rsidRPr="004B6E75">
        <w:rPr>
          <w:rFonts w:eastAsia="Times New Roman"/>
          <w:sz w:val="40"/>
          <w:lang w:val="fr-CA"/>
        </w:rPr>
        <w:lastRenderedPageBreak/>
        <w:t>Dotation selon la durée d'emploi</w:t>
      </w:r>
    </w:p>
    <w:p w:rsidR="00FA30D6" w:rsidRPr="004B6E75" w:rsidRDefault="00FA30D6" w:rsidP="00FA30D6">
      <w:pPr>
        <w:pStyle w:val="Level1"/>
        <w:keepNext/>
        <w:tabs>
          <w:tab w:val="left" w:pos="-1440"/>
        </w:tabs>
        <w:autoSpaceDE w:val="0"/>
        <w:autoSpaceDN w:val="0"/>
        <w:adjustRightInd w:val="0"/>
        <w:spacing w:line="20" w:lineRule="atLeast"/>
        <w:jc w:val="center"/>
        <w:rPr>
          <w:lang w:val="fr-CA"/>
        </w:rPr>
      </w:pPr>
      <w:r w:rsidRPr="004B6E75">
        <w:rPr>
          <w:rStyle w:val="Strong"/>
          <w:noProof/>
          <w:lang w:val="en-CA" w:eastAsia="en-CA"/>
        </w:rPr>
        <w:drawing>
          <wp:inline distT="0" distB="0" distL="0" distR="0" wp14:anchorId="665469AE" wp14:editId="4F673232">
            <wp:extent cx="5648400" cy="3049200"/>
            <wp:effectExtent l="0" t="0" r="9525" b="18415"/>
            <wp:docPr id="3" name="Chart 3" descr="Dotation selon la durée d'emploi&#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A30D6" w:rsidRPr="004B6E75" w:rsidRDefault="00FA30D6" w:rsidP="00FA30D6">
      <w:pPr>
        <w:pStyle w:val="Caption"/>
        <w:jc w:val="center"/>
        <w:rPr>
          <w:lang w:val="fr-CA"/>
        </w:rPr>
      </w:pPr>
      <w:r w:rsidRPr="004B6E75">
        <w:rPr>
          <w:lang w:val="fr-CA"/>
        </w:rPr>
        <w:t xml:space="preserve">Figure </w:t>
      </w:r>
      <w:r w:rsidRPr="004B6E75">
        <w:rPr>
          <w:lang w:val="fr-CA"/>
        </w:rPr>
        <w:fldChar w:fldCharType="begin"/>
      </w:r>
      <w:r w:rsidRPr="004B6E75">
        <w:rPr>
          <w:lang w:val="fr-CA"/>
        </w:rPr>
        <w:instrText xml:space="preserve"> SEQ Figure \* ARABIC </w:instrText>
      </w:r>
      <w:r w:rsidRPr="004B6E75">
        <w:rPr>
          <w:lang w:val="fr-CA"/>
        </w:rPr>
        <w:fldChar w:fldCharType="separate"/>
      </w:r>
      <w:r w:rsidR="00224B48" w:rsidRPr="004B6E75">
        <w:rPr>
          <w:noProof/>
          <w:lang w:val="fr-CA"/>
        </w:rPr>
        <w:t>9</w:t>
      </w:r>
      <w:r w:rsidRPr="004B6E75">
        <w:rPr>
          <w:lang w:val="fr-CA"/>
        </w:rPr>
        <w:fldChar w:fldCharType="end"/>
      </w:r>
      <w:r w:rsidRPr="004B6E75">
        <w:rPr>
          <w:lang w:val="fr-CA"/>
        </w:rPr>
        <w:t xml:space="preserve"> - Dotation selon la durée d'emploi</w:t>
      </w:r>
    </w:p>
    <w:p w:rsidR="00FA30D6" w:rsidRPr="004B6E75" w:rsidRDefault="00FA30D6" w:rsidP="003C6ED7">
      <w:pPr>
        <w:pStyle w:val="Caption"/>
        <w:keepNext/>
        <w:jc w:val="center"/>
        <w:rPr>
          <w:lang w:val="fr-CA"/>
        </w:rPr>
      </w:pPr>
      <w:r w:rsidRPr="004B6E75">
        <w:rPr>
          <w:lang w:val="fr-CA"/>
        </w:rPr>
        <w:t xml:space="preserve">Table </w:t>
      </w:r>
      <w:r w:rsidRPr="004B6E75">
        <w:rPr>
          <w:lang w:val="fr-CA"/>
        </w:rPr>
        <w:fldChar w:fldCharType="begin"/>
      </w:r>
      <w:r w:rsidRPr="004B6E75">
        <w:rPr>
          <w:lang w:val="fr-CA"/>
        </w:rPr>
        <w:instrText xml:space="preserve"> SEQ Table \* ARABIC </w:instrText>
      </w:r>
      <w:r w:rsidRPr="004B6E75">
        <w:rPr>
          <w:lang w:val="fr-CA"/>
        </w:rPr>
        <w:fldChar w:fldCharType="separate"/>
      </w:r>
      <w:r w:rsidR="00871A72" w:rsidRPr="004B6E75">
        <w:rPr>
          <w:noProof/>
          <w:lang w:val="fr-CA"/>
        </w:rPr>
        <w:t>9</w:t>
      </w:r>
      <w:r w:rsidRPr="004B6E75">
        <w:rPr>
          <w:lang w:val="fr-CA"/>
        </w:rPr>
        <w:fldChar w:fldCharType="end"/>
      </w:r>
      <w:r w:rsidRPr="004B6E75">
        <w:rPr>
          <w:lang w:val="fr-CA"/>
        </w:rPr>
        <w:t xml:space="preserve"> - Activités de dotation selon la durée d’emploi et l’exercice financier</w:t>
      </w:r>
    </w:p>
    <w:tbl>
      <w:tblPr>
        <w:tblStyle w:val="TableGrid1"/>
        <w:tblW w:w="0" w:type="auto"/>
        <w:jc w:val="center"/>
        <w:tblLook w:val="0000" w:firstRow="0" w:lastRow="0" w:firstColumn="0" w:lastColumn="0" w:noHBand="0" w:noVBand="0"/>
        <w:tblDescription w:val="Dotation selon la durée d’emploi de 2014 à 2019"/>
      </w:tblPr>
      <w:tblGrid>
        <w:gridCol w:w="1349"/>
        <w:gridCol w:w="3272"/>
        <w:gridCol w:w="2822"/>
        <w:gridCol w:w="2962"/>
        <w:gridCol w:w="2339"/>
        <w:gridCol w:w="1646"/>
      </w:tblGrid>
      <w:tr w:rsidR="00FA30D6" w:rsidRPr="004B6E75" w:rsidTr="00FA30D6">
        <w:trPr>
          <w:cantSplit/>
          <w:tblHeader/>
          <w:jc w:val="center"/>
        </w:trPr>
        <w:tc>
          <w:tcPr>
            <w:tcW w:w="0" w:type="auto"/>
          </w:tcPr>
          <w:p w:rsidR="00FA30D6" w:rsidRPr="004B6E75" w:rsidRDefault="00FA30D6" w:rsidP="00FA30D6">
            <w:pPr>
              <w:pStyle w:val="TableTitle"/>
              <w:rPr>
                <w:lang w:val="fr-CA"/>
              </w:rPr>
            </w:pPr>
            <w:r w:rsidRPr="004B6E75">
              <w:rPr>
                <w:lang w:val="fr-CA"/>
              </w:rPr>
              <w:t>Exercice financier</w:t>
            </w:r>
          </w:p>
        </w:tc>
        <w:tc>
          <w:tcPr>
            <w:tcW w:w="0" w:type="auto"/>
          </w:tcPr>
          <w:p w:rsidR="00FA30D6" w:rsidRPr="004B6E75" w:rsidRDefault="00FA30D6" w:rsidP="00FA30D6">
            <w:pPr>
              <w:pStyle w:val="TableTitle"/>
              <w:rPr>
                <w:lang w:val="fr-CA"/>
              </w:rPr>
            </w:pPr>
            <w:r w:rsidRPr="004B6E75">
              <w:rPr>
                <w:lang w:val="fr-CA"/>
              </w:rPr>
              <w:t>Activités de dotation pour des postes pour une période indéterminée</w:t>
            </w:r>
          </w:p>
        </w:tc>
        <w:tc>
          <w:tcPr>
            <w:tcW w:w="0" w:type="auto"/>
          </w:tcPr>
          <w:p w:rsidR="00FA30D6" w:rsidRPr="004B6E75" w:rsidRDefault="00FA30D6" w:rsidP="00FA30D6">
            <w:pPr>
              <w:pStyle w:val="TableTitle"/>
              <w:rPr>
                <w:lang w:val="fr-CA"/>
              </w:rPr>
            </w:pPr>
            <w:r w:rsidRPr="004B6E75">
              <w:rPr>
                <w:lang w:val="fr-CA"/>
              </w:rPr>
              <w:t>Activités de dotation pour des postes de durée déterminée</w:t>
            </w:r>
          </w:p>
        </w:tc>
        <w:tc>
          <w:tcPr>
            <w:tcW w:w="0" w:type="auto"/>
          </w:tcPr>
          <w:p w:rsidR="00FA30D6" w:rsidRPr="004B6E75" w:rsidRDefault="00FA30D6" w:rsidP="00FA30D6">
            <w:pPr>
              <w:pStyle w:val="TableTitle"/>
              <w:rPr>
                <w:lang w:val="fr-CA"/>
              </w:rPr>
            </w:pPr>
            <w:r w:rsidRPr="004B6E75">
              <w:rPr>
                <w:lang w:val="fr-CA"/>
              </w:rPr>
              <w:t>Activités de dotation de durée pour les emplois occasionnels</w:t>
            </w:r>
          </w:p>
        </w:tc>
        <w:tc>
          <w:tcPr>
            <w:tcW w:w="0" w:type="auto"/>
          </w:tcPr>
          <w:p w:rsidR="00FA30D6" w:rsidRPr="004B6E75" w:rsidRDefault="00FA30D6" w:rsidP="00FA30D6">
            <w:pPr>
              <w:pStyle w:val="TableTitle"/>
              <w:rPr>
                <w:lang w:val="fr-CA"/>
              </w:rPr>
            </w:pPr>
            <w:r w:rsidRPr="004B6E75">
              <w:rPr>
                <w:lang w:val="fr-CA"/>
              </w:rPr>
              <w:t>Activités de dotation pour les emplois étudiants</w:t>
            </w:r>
          </w:p>
        </w:tc>
        <w:tc>
          <w:tcPr>
            <w:tcW w:w="0" w:type="auto"/>
          </w:tcPr>
          <w:p w:rsidR="00FA30D6" w:rsidRPr="004B6E75" w:rsidRDefault="00FA30D6" w:rsidP="00FA30D6">
            <w:pPr>
              <w:pStyle w:val="TableTitle"/>
              <w:rPr>
                <w:lang w:val="fr-CA"/>
              </w:rPr>
            </w:pPr>
            <w:r w:rsidRPr="004B6E75">
              <w:rPr>
                <w:lang w:val="fr-CA"/>
              </w:rPr>
              <w:t>Activités de dotation totale</w:t>
            </w:r>
          </w:p>
        </w:tc>
      </w:tr>
      <w:tr w:rsidR="00FA30D6" w:rsidRPr="004B6E75" w:rsidTr="00FA30D6">
        <w:trPr>
          <w:cantSplit/>
          <w:tblHeader/>
          <w:jc w:val="center"/>
        </w:trPr>
        <w:tc>
          <w:tcPr>
            <w:tcW w:w="0" w:type="auto"/>
          </w:tcPr>
          <w:p w:rsidR="00FA30D6" w:rsidRPr="004B6E75" w:rsidRDefault="00FA30D6"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2014 à 2015</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35</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5</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15</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56</w:t>
            </w:r>
          </w:p>
        </w:tc>
      </w:tr>
      <w:tr w:rsidR="00FA30D6" w:rsidRPr="004B6E75" w:rsidTr="00FA30D6">
        <w:trPr>
          <w:cantSplit/>
          <w:tblHeader/>
          <w:jc w:val="center"/>
        </w:trPr>
        <w:tc>
          <w:tcPr>
            <w:tcW w:w="0" w:type="auto"/>
          </w:tcPr>
          <w:p w:rsidR="00FA30D6" w:rsidRPr="004B6E75" w:rsidRDefault="00FA30D6"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2015 à 2016</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30</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4</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23</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8</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65</w:t>
            </w:r>
          </w:p>
        </w:tc>
      </w:tr>
      <w:tr w:rsidR="00FA30D6" w:rsidRPr="004B6E75" w:rsidTr="00FA30D6">
        <w:trPr>
          <w:cantSplit/>
          <w:tblHeader/>
          <w:jc w:val="center"/>
        </w:trPr>
        <w:tc>
          <w:tcPr>
            <w:tcW w:w="0" w:type="auto"/>
          </w:tcPr>
          <w:p w:rsidR="00FA30D6" w:rsidRPr="004B6E75" w:rsidRDefault="00FA30D6"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2016 à 2017</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23</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13</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31</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4</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71</w:t>
            </w:r>
          </w:p>
        </w:tc>
      </w:tr>
      <w:tr w:rsidR="00FA30D6" w:rsidRPr="004B6E75" w:rsidTr="00FA30D6">
        <w:trPr>
          <w:cantSplit/>
          <w:tblHeader/>
          <w:jc w:val="center"/>
        </w:trPr>
        <w:tc>
          <w:tcPr>
            <w:tcW w:w="0" w:type="auto"/>
          </w:tcPr>
          <w:p w:rsidR="00FA30D6" w:rsidRPr="004B6E75" w:rsidRDefault="00FA30D6"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2017 à 2018</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42</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17</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28</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89</w:t>
            </w:r>
          </w:p>
        </w:tc>
      </w:tr>
      <w:tr w:rsidR="00FA30D6" w:rsidRPr="004B6E75" w:rsidTr="00FA30D6">
        <w:trPr>
          <w:cantSplit/>
          <w:tblHeader/>
          <w:jc w:val="center"/>
        </w:trPr>
        <w:tc>
          <w:tcPr>
            <w:tcW w:w="0" w:type="auto"/>
          </w:tcPr>
          <w:p w:rsidR="00FA30D6" w:rsidRPr="004B6E75" w:rsidRDefault="00FA30D6"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2018 à 2019</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46</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12</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25</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8</w:t>
            </w:r>
          </w:p>
        </w:tc>
        <w:tc>
          <w:tcPr>
            <w:tcW w:w="0" w:type="auto"/>
          </w:tcPr>
          <w:p w:rsidR="00FA30D6" w:rsidRPr="004B6E75" w:rsidRDefault="00FA30D6"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91</w:t>
            </w:r>
          </w:p>
        </w:tc>
      </w:tr>
    </w:tbl>
    <w:p w:rsidR="00FA30D6" w:rsidRPr="004B6E75" w:rsidRDefault="00FA30D6" w:rsidP="003C6ED7">
      <w:pPr>
        <w:rPr>
          <w:rStyle w:val="Strong"/>
          <w:rFonts w:asciiTheme="minorHAnsi" w:eastAsiaTheme="minorHAnsi" w:hAnsiTheme="minorHAnsi" w:cstheme="minorHAnsi"/>
          <w:b/>
          <w:sz w:val="22"/>
          <w:lang w:val="fr-CA"/>
        </w:rPr>
      </w:pPr>
      <w:r w:rsidRPr="004B6E75">
        <w:rPr>
          <w:rStyle w:val="Strong"/>
          <w:rFonts w:asciiTheme="minorHAnsi" w:eastAsiaTheme="minorHAnsi" w:hAnsiTheme="minorHAnsi" w:cstheme="minorHAnsi"/>
          <w:b/>
          <w:sz w:val="22"/>
          <w:lang w:val="fr-CA"/>
        </w:rPr>
        <w:t>Sondage sur la dotation et l’impartialité politique (2018) – Principales constatations</w:t>
      </w:r>
    </w:p>
    <w:p w:rsidR="00FA30D6" w:rsidRPr="004B6E75" w:rsidRDefault="00FA30D6" w:rsidP="00FA30D6">
      <w:pPr>
        <w:numPr>
          <w:ilvl w:val="0"/>
          <w:numId w:val="8"/>
        </w:numPr>
        <w:jc w:val="both"/>
        <w:rPr>
          <w:rFonts w:asciiTheme="minorHAnsi" w:hAnsiTheme="minorHAnsi" w:cstheme="minorHAnsi"/>
          <w:sz w:val="22"/>
          <w:szCs w:val="22"/>
          <w:lang w:val="fr-CA" w:eastAsia="en-CA"/>
        </w:rPr>
      </w:pPr>
      <w:r w:rsidRPr="004B6E75">
        <w:rPr>
          <w:rFonts w:asciiTheme="minorHAnsi" w:hAnsiTheme="minorHAnsi" w:cstheme="minorHAnsi"/>
          <w:sz w:val="22"/>
          <w:szCs w:val="22"/>
          <w:lang w:val="fr-CA" w:eastAsia="en-CA"/>
        </w:rPr>
        <w:t xml:space="preserve">70,2% des </w:t>
      </w:r>
      <w:r w:rsidRPr="004B6E75">
        <w:rPr>
          <w:rStyle w:val="Strong"/>
          <w:rFonts w:asciiTheme="minorHAnsi" w:hAnsiTheme="minorHAnsi" w:cstheme="minorHAnsi"/>
          <w:b/>
          <w:sz w:val="22"/>
          <w:lang w:val="fr-CA"/>
        </w:rPr>
        <w:t>employés</w:t>
      </w:r>
      <w:r w:rsidRPr="004B6E75">
        <w:rPr>
          <w:rFonts w:asciiTheme="minorHAnsi" w:hAnsiTheme="minorHAnsi" w:cstheme="minorHAnsi"/>
          <w:sz w:val="22"/>
          <w:szCs w:val="22"/>
          <w:lang w:val="fr-CA" w:eastAsia="en-CA"/>
        </w:rPr>
        <w:t xml:space="preserve"> estiment que les personnes embauchées peuvent effectuer le travail, comparativement à 67,1% dans les organisations de même taille et à 53,8% dans la fonction publique fédérale.</w:t>
      </w:r>
    </w:p>
    <w:p w:rsidR="00FA30D6" w:rsidRPr="004B6E75" w:rsidRDefault="00FA30D6" w:rsidP="00FA30D6">
      <w:pPr>
        <w:numPr>
          <w:ilvl w:val="0"/>
          <w:numId w:val="8"/>
        </w:numPr>
        <w:jc w:val="both"/>
        <w:rPr>
          <w:rFonts w:asciiTheme="minorHAnsi" w:hAnsiTheme="minorHAnsi" w:cstheme="minorHAnsi"/>
          <w:sz w:val="22"/>
          <w:szCs w:val="22"/>
          <w:lang w:val="fr-CA" w:eastAsia="en-CA"/>
        </w:rPr>
      </w:pPr>
      <w:r w:rsidRPr="004B6E75">
        <w:rPr>
          <w:rFonts w:asciiTheme="minorHAnsi" w:hAnsiTheme="minorHAnsi" w:cstheme="minorHAnsi"/>
          <w:sz w:val="22"/>
          <w:szCs w:val="22"/>
          <w:lang w:val="fr-CA" w:eastAsia="en-CA"/>
        </w:rPr>
        <w:t xml:space="preserve">74,0% des </w:t>
      </w:r>
      <w:r w:rsidRPr="004B6E75">
        <w:rPr>
          <w:rStyle w:val="Strong"/>
          <w:rFonts w:asciiTheme="minorHAnsi" w:hAnsiTheme="minorHAnsi" w:cstheme="minorHAnsi"/>
          <w:b/>
          <w:sz w:val="22"/>
          <w:lang w:val="fr-CA"/>
        </w:rPr>
        <w:t>gestionnaires</w:t>
      </w:r>
      <w:r w:rsidRPr="004B6E75">
        <w:rPr>
          <w:rFonts w:asciiTheme="minorHAnsi" w:hAnsiTheme="minorHAnsi" w:cstheme="minorHAnsi"/>
          <w:sz w:val="22"/>
          <w:szCs w:val="22"/>
          <w:lang w:val="fr-CA" w:eastAsia="en-CA"/>
        </w:rPr>
        <w:t xml:space="preserve"> estiment qu'au sein de leur organisation, le processus administratif visant à pourvoir un poste est </w:t>
      </w:r>
      <w:r w:rsidRPr="004B6E75">
        <w:rPr>
          <w:rStyle w:val="Strong"/>
          <w:rFonts w:asciiTheme="minorHAnsi" w:hAnsiTheme="minorHAnsi" w:cstheme="minorHAnsi"/>
          <w:b/>
          <w:sz w:val="22"/>
          <w:lang w:val="fr-CA"/>
        </w:rPr>
        <w:t>lourd</w:t>
      </w:r>
      <w:r w:rsidRPr="004B6E75">
        <w:rPr>
          <w:rFonts w:asciiTheme="minorHAnsi" w:hAnsiTheme="minorHAnsi" w:cstheme="minorHAnsi"/>
          <w:sz w:val="22"/>
          <w:szCs w:val="22"/>
          <w:lang w:val="fr-CA" w:eastAsia="en-CA"/>
        </w:rPr>
        <w:t>, comparativement à 79,3% dans les organisations de même taille et à 87,9% dans la fonction publique fédérale.</w:t>
      </w:r>
    </w:p>
    <w:p w:rsidR="004E4DA1" w:rsidRPr="004B6E75" w:rsidRDefault="00FA30D6" w:rsidP="00FA30D6">
      <w:pPr>
        <w:numPr>
          <w:ilvl w:val="0"/>
          <w:numId w:val="8"/>
        </w:numPr>
        <w:jc w:val="both"/>
        <w:rPr>
          <w:rFonts w:asciiTheme="minorHAnsi" w:hAnsiTheme="minorHAnsi" w:cstheme="minorHAnsi"/>
          <w:sz w:val="22"/>
          <w:szCs w:val="22"/>
          <w:lang w:val="fr-CA" w:eastAsia="en-CA"/>
        </w:rPr>
        <w:sectPr w:rsidR="004E4DA1" w:rsidRPr="004B6E75" w:rsidSect="00BD1B18">
          <w:pgSz w:w="15840" w:h="12240" w:orient="landscape"/>
          <w:pgMar w:top="720" w:right="720" w:bottom="720" w:left="720" w:header="709" w:footer="284" w:gutter="0"/>
          <w:cols w:space="708"/>
          <w:titlePg/>
          <w:docGrid w:linePitch="360"/>
        </w:sectPr>
      </w:pPr>
      <w:r w:rsidRPr="004B6E75">
        <w:rPr>
          <w:rFonts w:asciiTheme="minorHAnsi" w:hAnsiTheme="minorHAnsi" w:cstheme="minorHAnsi"/>
          <w:sz w:val="22"/>
          <w:szCs w:val="22"/>
          <w:lang w:val="fr-CA" w:eastAsia="en-CA"/>
        </w:rPr>
        <w:lastRenderedPageBreak/>
        <w:t>Pour les questions supplémentaires, il n’y a pas suffisamment de données d’enquête disponibles pour le Secrétariat des conférences intergouvernementales canadiennes.</w:t>
      </w:r>
    </w:p>
    <w:p w:rsidR="004E4DA1" w:rsidRPr="004B6E75" w:rsidRDefault="004E4DA1" w:rsidP="004E4DA1">
      <w:pPr>
        <w:pStyle w:val="Heading1"/>
        <w:spacing w:before="120" w:after="120"/>
        <w:rPr>
          <w:sz w:val="40"/>
          <w:lang w:val="fr-CA"/>
        </w:rPr>
      </w:pPr>
      <w:r w:rsidRPr="004B6E75">
        <w:rPr>
          <w:rFonts w:eastAsia="Times New Roman"/>
          <w:sz w:val="40"/>
          <w:lang w:val="fr-CA"/>
        </w:rPr>
        <w:lastRenderedPageBreak/>
        <w:t>Embauche d'étudiants</w:t>
      </w:r>
    </w:p>
    <w:p w:rsidR="00224B48" w:rsidRPr="004B6E75" w:rsidRDefault="002730B1" w:rsidP="00224B48">
      <w:pPr>
        <w:pStyle w:val="Level1"/>
        <w:keepNext/>
        <w:tabs>
          <w:tab w:val="left" w:pos="-1440"/>
        </w:tabs>
        <w:autoSpaceDE w:val="0"/>
        <w:autoSpaceDN w:val="0"/>
        <w:adjustRightInd w:val="0"/>
        <w:spacing w:line="20" w:lineRule="atLeast"/>
        <w:jc w:val="center"/>
        <w:rPr>
          <w:lang w:val="fr-CA"/>
        </w:rPr>
      </w:pPr>
      <w:r w:rsidRPr="004B6E75">
        <w:rPr>
          <w:rStyle w:val="Strong"/>
          <w:noProof/>
          <w:lang w:val="en-CA" w:eastAsia="en-CA"/>
        </w:rPr>
        <w:drawing>
          <wp:inline distT="0" distB="0" distL="0" distR="0" wp14:anchorId="764C6900" wp14:editId="6C650FEC">
            <wp:extent cx="5648400" cy="3049200"/>
            <wp:effectExtent l="0" t="0" r="9525" b="18415"/>
            <wp:docPr id="17" name="Chart 17" descr="Embauche d'étudiants&#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730B1" w:rsidRPr="004B6E75" w:rsidRDefault="00224B48" w:rsidP="00224B48">
      <w:pPr>
        <w:pStyle w:val="Caption"/>
        <w:jc w:val="center"/>
        <w:rPr>
          <w:lang w:val="fr-CA"/>
        </w:rPr>
      </w:pPr>
      <w:r w:rsidRPr="004B6E75">
        <w:rPr>
          <w:lang w:val="fr-CA"/>
        </w:rPr>
        <w:t xml:space="preserve">Figure </w:t>
      </w:r>
      <w:r w:rsidRPr="004B6E75">
        <w:rPr>
          <w:lang w:val="fr-CA"/>
        </w:rPr>
        <w:fldChar w:fldCharType="begin"/>
      </w:r>
      <w:r w:rsidRPr="004B6E75">
        <w:rPr>
          <w:lang w:val="fr-CA"/>
        </w:rPr>
        <w:instrText xml:space="preserve"> SEQ Figure \* ARABIC </w:instrText>
      </w:r>
      <w:r w:rsidRPr="004B6E75">
        <w:rPr>
          <w:lang w:val="fr-CA"/>
        </w:rPr>
        <w:fldChar w:fldCharType="separate"/>
      </w:r>
      <w:r w:rsidRPr="004B6E75">
        <w:rPr>
          <w:noProof/>
          <w:lang w:val="fr-CA"/>
        </w:rPr>
        <w:t>10</w:t>
      </w:r>
      <w:r w:rsidRPr="004B6E75">
        <w:rPr>
          <w:lang w:val="fr-CA"/>
        </w:rPr>
        <w:fldChar w:fldCharType="end"/>
      </w:r>
      <w:r w:rsidRPr="004B6E75">
        <w:rPr>
          <w:lang w:val="fr-CA"/>
        </w:rPr>
        <w:t xml:space="preserve"> - Embau</w:t>
      </w:r>
      <w:r w:rsidR="004F5A03">
        <w:rPr>
          <w:lang w:val="fr-CA"/>
        </w:rPr>
        <w:t>c</w:t>
      </w:r>
      <w:r w:rsidRPr="004B6E75">
        <w:rPr>
          <w:lang w:val="fr-CA"/>
        </w:rPr>
        <w:t>he d'étudiants</w:t>
      </w:r>
    </w:p>
    <w:p w:rsidR="00224B48" w:rsidRPr="004B6E75" w:rsidRDefault="00224B48" w:rsidP="00224B48">
      <w:pPr>
        <w:pStyle w:val="Caption"/>
        <w:keepNext/>
        <w:spacing w:before="240"/>
        <w:jc w:val="center"/>
        <w:rPr>
          <w:lang w:val="fr-CA"/>
        </w:rPr>
      </w:pPr>
      <w:r w:rsidRPr="004B6E75">
        <w:rPr>
          <w:lang w:val="fr-CA"/>
        </w:rPr>
        <w:t xml:space="preserve">Table </w:t>
      </w:r>
      <w:r w:rsidRPr="004B6E75">
        <w:rPr>
          <w:lang w:val="fr-CA"/>
        </w:rPr>
        <w:fldChar w:fldCharType="begin"/>
      </w:r>
      <w:r w:rsidRPr="004B6E75">
        <w:rPr>
          <w:lang w:val="fr-CA"/>
        </w:rPr>
        <w:instrText xml:space="preserve"> SEQ Table \* ARABIC </w:instrText>
      </w:r>
      <w:r w:rsidRPr="004B6E75">
        <w:rPr>
          <w:lang w:val="fr-CA"/>
        </w:rPr>
        <w:fldChar w:fldCharType="separate"/>
      </w:r>
      <w:r w:rsidR="00871A72" w:rsidRPr="004B6E75">
        <w:rPr>
          <w:noProof/>
          <w:lang w:val="fr-CA"/>
        </w:rPr>
        <w:t>10</w:t>
      </w:r>
      <w:r w:rsidRPr="004B6E75">
        <w:rPr>
          <w:lang w:val="fr-CA"/>
        </w:rPr>
        <w:fldChar w:fldCharType="end"/>
      </w:r>
      <w:r w:rsidRPr="004B6E75">
        <w:rPr>
          <w:lang w:val="fr-CA"/>
        </w:rPr>
        <w:t xml:space="preserve"> - Activités d’embauche d’étudiants selon le programme de recrutement et l’exercice financier</w:t>
      </w:r>
    </w:p>
    <w:tbl>
      <w:tblPr>
        <w:tblStyle w:val="TableGrid1"/>
        <w:tblW w:w="0" w:type="auto"/>
        <w:jc w:val="center"/>
        <w:tblLook w:val="0000" w:firstRow="0" w:lastRow="0" w:firstColumn="0" w:lastColumn="0" w:noHBand="0" w:noVBand="0"/>
        <w:tblDescription w:val="Embauches dans le cadre de programmes d'étudiants de 2014 à 2019"/>
      </w:tblPr>
      <w:tblGrid>
        <w:gridCol w:w="1636"/>
        <w:gridCol w:w="3978"/>
        <w:gridCol w:w="4729"/>
        <w:gridCol w:w="3119"/>
        <w:gridCol w:w="928"/>
      </w:tblGrid>
      <w:tr w:rsidR="00224B48" w:rsidRPr="004B6E75" w:rsidTr="004E4DA1">
        <w:trPr>
          <w:cantSplit/>
          <w:tblHeader/>
          <w:jc w:val="center"/>
        </w:trPr>
        <w:tc>
          <w:tcPr>
            <w:tcW w:w="0" w:type="auto"/>
          </w:tcPr>
          <w:p w:rsidR="00224B48" w:rsidRPr="004B6E75" w:rsidRDefault="00224B48" w:rsidP="00224B48">
            <w:pPr>
              <w:pStyle w:val="TableTitle"/>
              <w:rPr>
                <w:lang w:val="fr-CA"/>
              </w:rPr>
            </w:pPr>
            <w:r w:rsidRPr="004B6E75">
              <w:rPr>
                <w:lang w:val="fr-CA"/>
              </w:rPr>
              <w:t>Exercice financier</w:t>
            </w:r>
          </w:p>
        </w:tc>
        <w:tc>
          <w:tcPr>
            <w:tcW w:w="0" w:type="auto"/>
          </w:tcPr>
          <w:p w:rsidR="00224B48" w:rsidRPr="004B6E75" w:rsidRDefault="00224B48" w:rsidP="00224B48">
            <w:pPr>
              <w:pStyle w:val="TableTitle"/>
              <w:rPr>
                <w:lang w:val="fr-CA"/>
              </w:rPr>
            </w:pPr>
            <w:r w:rsidRPr="004B6E75">
              <w:rPr>
                <w:lang w:val="fr-CA"/>
              </w:rPr>
              <w:t xml:space="preserve">Programme fédéral d’expérience de travail étudiant </w:t>
            </w:r>
          </w:p>
        </w:tc>
        <w:tc>
          <w:tcPr>
            <w:tcW w:w="4729" w:type="dxa"/>
          </w:tcPr>
          <w:p w:rsidR="00224B48" w:rsidRPr="004B6E75" w:rsidRDefault="00224B48" w:rsidP="00224B48">
            <w:pPr>
              <w:pStyle w:val="TableTitle"/>
              <w:rPr>
                <w:lang w:val="fr-CA"/>
              </w:rPr>
            </w:pPr>
            <w:r w:rsidRPr="004B6E75">
              <w:rPr>
                <w:lang w:val="fr-CA"/>
              </w:rPr>
              <w:t xml:space="preserve">Programme postsecondaire d'enseignement coopératif/de stages </w:t>
            </w:r>
          </w:p>
        </w:tc>
        <w:tc>
          <w:tcPr>
            <w:tcW w:w="3119" w:type="dxa"/>
          </w:tcPr>
          <w:p w:rsidR="00224B48" w:rsidRPr="004B6E75" w:rsidRDefault="00224B48" w:rsidP="00224B48">
            <w:pPr>
              <w:pStyle w:val="TableTitle"/>
              <w:rPr>
                <w:lang w:val="fr-CA"/>
              </w:rPr>
            </w:pPr>
            <w:r w:rsidRPr="004B6E75">
              <w:rPr>
                <w:lang w:val="fr-CA"/>
              </w:rPr>
              <w:t>Programme des adjoints de recherche</w:t>
            </w:r>
          </w:p>
        </w:tc>
        <w:tc>
          <w:tcPr>
            <w:tcW w:w="928" w:type="dxa"/>
          </w:tcPr>
          <w:p w:rsidR="00224B48" w:rsidRPr="004B6E75" w:rsidRDefault="00224B48" w:rsidP="00224B48">
            <w:pPr>
              <w:pStyle w:val="TableTitle"/>
              <w:rPr>
                <w:lang w:val="fr-CA"/>
              </w:rPr>
            </w:pPr>
            <w:r w:rsidRPr="004B6E75">
              <w:rPr>
                <w:lang w:val="fr-CA"/>
              </w:rPr>
              <w:t>Total</w:t>
            </w:r>
          </w:p>
        </w:tc>
      </w:tr>
      <w:tr w:rsidR="00224B48" w:rsidRPr="004B6E75" w:rsidTr="004E4DA1">
        <w:trPr>
          <w:cantSplit/>
          <w:tblHeader/>
          <w:jc w:val="center"/>
        </w:trPr>
        <w:tc>
          <w:tcPr>
            <w:tcW w:w="0" w:type="auto"/>
          </w:tcPr>
          <w:p w:rsidR="00224B48" w:rsidRPr="004B6E75" w:rsidRDefault="00224B48"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2014 à 2015</w:t>
            </w:r>
          </w:p>
        </w:tc>
        <w:tc>
          <w:tcPr>
            <w:tcW w:w="0" w:type="auto"/>
          </w:tcPr>
          <w:p w:rsidR="00224B48" w:rsidRPr="004B6E75" w:rsidRDefault="00224B48"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w:t>
            </w:r>
          </w:p>
        </w:tc>
        <w:tc>
          <w:tcPr>
            <w:tcW w:w="4729" w:type="dxa"/>
          </w:tcPr>
          <w:p w:rsidR="00224B48" w:rsidRPr="004B6E75" w:rsidRDefault="00224B48"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0</w:t>
            </w:r>
          </w:p>
        </w:tc>
        <w:tc>
          <w:tcPr>
            <w:tcW w:w="3119" w:type="dxa"/>
          </w:tcPr>
          <w:p w:rsidR="00224B48" w:rsidRPr="004B6E75" w:rsidRDefault="00224B48"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0</w:t>
            </w:r>
          </w:p>
        </w:tc>
        <w:tc>
          <w:tcPr>
            <w:tcW w:w="928" w:type="dxa"/>
          </w:tcPr>
          <w:p w:rsidR="00224B48" w:rsidRPr="004B6E75" w:rsidRDefault="00224B48"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w:t>
            </w:r>
          </w:p>
        </w:tc>
      </w:tr>
      <w:tr w:rsidR="00224B48" w:rsidRPr="004B6E75" w:rsidTr="004E4DA1">
        <w:trPr>
          <w:cantSplit/>
          <w:tblHeader/>
          <w:jc w:val="center"/>
        </w:trPr>
        <w:tc>
          <w:tcPr>
            <w:tcW w:w="0" w:type="auto"/>
          </w:tcPr>
          <w:p w:rsidR="00224B48" w:rsidRPr="004B6E75" w:rsidRDefault="00224B48"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2015 à 2016</w:t>
            </w:r>
          </w:p>
        </w:tc>
        <w:tc>
          <w:tcPr>
            <w:tcW w:w="0" w:type="auto"/>
          </w:tcPr>
          <w:p w:rsidR="00224B48" w:rsidRPr="004B6E75" w:rsidRDefault="00224B48"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7</w:t>
            </w:r>
          </w:p>
        </w:tc>
        <w:tc>
          <w:tcPr>
            <w:tcW w:w="4729" w:type="dxa"/>
          </w:tcPr>
          <w:p w:rsidR="00224B48" w:rsidRPr="004B6E75" w:rsidRDefault="00224B48"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w:t>
            </w:r>
          </w:p>
        </w:tc>
        <w:tc>
          <w:tcPr>
            <w:tcW w:w="3119" w:type="dxa"/>
          </w:tcPr>
          <w:p w:rsidR="00224B48" w:rsidRPr="004B6E75" w:rsidRDefault="00224B48"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0</w:t>
            </w:r>
          </w:p>
        </w:tc>
        <w:tc>
          <w:tcPr>
            <w:tcW w:w="928" w:type="dxa"/>
          </w:tcPr>
          <w:p w:rsidR="00224B48" w:rsidRPr="004B6E75" w:rsidRDefault="00224B48"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8</w:t>
            </w:r>
          </w:p>
        </w:tc>
      </w:tr>
      <w:tr w:rsidR="00224B48" w:rsidRPr="004B6E75" w:rsidTr="004E4DA1">
        <w:trPr>
          <w:cantSplit/>
          <w:tblHeader/>
          <w:jc w:val="center"/>
        </w:trPr>
        <w:tc>
          <w:tcPr>
            <w:tcW w:w="0" w:type="auto"/>
          </w:tcPr>
          <w:p w:rsidR="00224B48" w:rsidRPr="004B6E75" w:rsidRDefault="00224B48"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2016 à 2017</w:t>
            </w:r>
          </w:p>
        </w:tc>
        <w:tc>
          <w:tcPr>
            <w:tcW w:w="0" w:type="auto"/>
          </w:tcPr>
          <w:p w:rsidR="00224B48" w:rsidRPr="004B6E75" w:rsidRDefault="00224B48"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0</w:t>
            </w:r>
          </w:p>
        </w:tc>
        <w:tc>
          <w:tcPr>
            <w:tcW w:w="4729" w:type="dxa"/>
          </w:tcPr>
          <w:p w:rsidR="00224B48" w:rsidRPr="004B6E75" w:rsidRDefault="00224B48"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0</w:t>
            </w:r>
          </w:p>
        </w:tc>
        <w:tc>
          <w:tcPr>
            <w:tcW w:w="3119" w:type="dxa"/>
          </w:tcPr>
          <w:p w:rsidR="00224B48" w:rsidRPr="004B6E75" w:rsidRDefault="00224B48"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4</w:t>
            </w:r>
          </w:p>
        </w:tc>
        <w:tc>
          <w:tcPr>
            <w:tcW w:w="928" w:type="dxa"/>
          </w:tcPr>
          <w:p w:rsidR="00224B48" w:rsidRPr="004B6E75" w:rsidRDefault="00224B48"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4</w:t>
            </w:r>
          </w:p>
        </w:tc>
      </w:tr>
      <w:tr w:rsidR="00224B48" w:rsidRPr="004B6E75" w:rsidTr="004E4DA1">
        <w:trPr>
          <w:cantSplit/>
          <w:tblHeader/>
          <w:jc w:val="center"/>
        </w:trPr>
        <w:tc>
          <w:tcPr>
            <w:tcW w:w="0" w:type="auto"/>
          </w:tcPr>
          <w:p w:rsidR="00224B48" w:rsidRPr="004B6E75" w:rsidRDefault="00224B48"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2017 à 2018</w:t>
            </w:r>
          </w:p>
        </w:tc>
        <w:tc>
          <w:tcPr>
            <w:tcW w:w="0" w:type="auto"/>
          </w:tcPr>
          <w:p w:rsidR="00224B48" w:rsidRPr="004B6E75" w:rsidRDefault="00224B48"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0</w:t>
            </w:r>
          </w:p>
        </w:tc>
        <w:tc>
          <w:tcPr>
            <w:tcW w:w="4729" w:type="dxa"/>
          </w:tcPr>
          <w:p w:rsidR="00224B48" w:rsidRPr="004B6E75" w:rsidRDefault="00224B48"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w:t>
            </w:r>
          </w:p>
        </w:tc>
        <w:tc>
          <w:tcPr>
            <w:tcW w:w="3119" w:type="dxa"/>
          </w:tcPr>
          <w:p w:rsidR="00224B48" w:rsidRPr="004B6E75" w:rsidRDefault="00224B48"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w:t>
            </w:r>
          </w:p>
        </w:tc>
        <w:tc>
          <w:tcPr>
            <w:tcW w:w="928" w:type="dxa"/>
          </w:tcPr>
          <w:p w:rsidR="00224B48" w:rsidRPr="004B6E75" w:rsidRDefault="00224B48"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w:t>
            </w:r>
          </w:p>
        </w:tc>
      </w:tr>
      <w:tr w:rsidR="00224B48" w:rsidRPr="004B6E75" w:rsidTr="004E4DA1">
        <w:trPr>
          <w:cantSplit/>
          <w:tblHeader/>
          <w:jc w:val="center"/>
        </w:trPr>
        <w:tc>
          <w:tcPr>
            <w:tcW w:w="0" w:type="auto"/>
          </w:tcPr>
          <w:p w:rsidR="00224B48" w:rsidRPr="004B6E75" w:rsidRDefault="00224B48"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2018 à 2019</w:t>
            </w:r>
          </w:p>
        </w:tc>
        <w:tc>
          <w:tcPr>
            <w:tcW w:w="0" w:type="auto"/>
          </w:tcPr>
          <w:p w:rsidR="00224B48" w:rsidRPr="004B6E75" w:rsidRDefault="00224B48"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6</w:t>
            </w:r>
          </w:p>
        </w:tc>
        <w:tc>
          <w:tcPr>
            <w:tcW w:w="4729" w:type="dxa"/>
          </w:tcPr>
          <w:p w:rsidR="00224B48" w:rsidRPr="004B6E75" w:rsidRDefault="00224B48"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w:t>
            </w:r>
          </w:p>
        </w:tc>
        <w:tc>
          <w:tcPr>
            <w:tcW w:w="3119" w:type="dxa"/>
          </w:tcPr>
          <w:p w:rsidR="00224B48" w:rsidRPr="004B6E75" w:rsidRDefault="00224B48"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w:t>
            </w:r>
          </w:p>
        </w:tc>
        <w:tc>
          <w:tcPr>
            <w:tcW w:w="928" w:type="dxa"/>
          </w:tcPr>
          <w:p w:rsidR="00224B48" w:rsidRPr="004B6E75" w:rsidRDefault="00224B48"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8</w:t>
            </w:r>
          </w:p>
        </w:tc>
      </w:tr>
    </w:tbl>
    <w:p w:rsidR="004E4DA1" w:rsidRPr="004B6E75" w:rsidRDefault="004E4DA1" w:rsidP="00BB583B">
      <w:pPr>
        <w:pStyle w:val="Heading1"/>
        <w:spacing w:before="120" w:after="120"/>
        <w:rPr>
          <w:sz w:val="32"/>
          <w:lang w:val="fr-CA"/>
        </w:rPr>
      </w:pPr>
      <w:r w:rsidRPr="004B6E75">
        <w:rPr>
          <w:rFonts w:eastAsia="Times New Roman"/>
          <w:sz w:val="32"/>
          <w:lang w:val="fr-CA"/>
        </w:rPr>
        <w:lastRenderedPageBreak/>
        <w:t>Activités d'embauche externe pour une période indéterminée et d'une durée déterminée : Programme de recrutement postsecondaire et embauche d'anciens étudiants</w:t>
      </w:r>
    </w:p>
    <w:p w:rsidR="00224B48" w:rsidRPr="004B6E75" w:rsidRDefault="00224B48" w:rsidP="00224B48">
      <w:pPr>
        <w:keepNext/>
        <w:jc w:val="center"/>
        <w:rPr>
          <w:lang w:val="fr-CA"/>
        </w:rPr>
      </w:pPr>
      <w:r w:rsidRPr="004B6E75">
        <w:rPr>
          <w:rStyle w:val="Strong"/>
          <w:noProof/>
          <w:lang w:val="en-CA" w:eastAsia="en-CA"/>
        </w:rPr>
        <w:drawing>
          <wp:inline distT="0" distB="0" distL="0" distR="0" wp14:anchorId="538210DF" wp14:editId="3FCE19CC">
            <wp:extent cx="5648400" cy="3049200"/>
            <wp:effectExtent l="0" t="0" r="9525" b="18415"/>
            <wp:docPr id="2" name="Chart 2" descr="Programme de recrutement postsecondaire et embauche d'anciens étudiants&#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730B1" w:rsidRPr="004B6E75" w:rsidRDefault="00224B48" w:rsidP="00224B48">
      <w:pPr>
        <w:pStyle w:val="Caption"/>
        <w:jc w:val="center"/>
        <w:rPr>
          <w:rFonts w:eastAsiaTheme="minorHAnsi" w:cstheme="minorHAnsi"/>
          <w:sz w:val="22"/>
          <w:szCs w:val="22"/>
          <w:lang w:val="fr-CA"/>
        </w:rPr>
      </w:pPr>
      <w:r w:rsidRPr="004B6E75">
        <w:rPr>
          <w:lang w:val="fr-CA"/>
        </w:rPr>
        <w:t xml:space="preserve">Figure </w:t>
      </w:r>
      <w:r w:rsidRPr="004B6E75">
        <w:rPr>
          <w:lang w:val="fr-CA"/>
        </w:rPr>
        <w:fldChar w:fldCharType="begin"/>
      </w:r>
      <w:r w:rsidRPr="004B6E75">
        <w:rPr>
          <w:lang w:val="fr-CA"/>
        </w:rPr>
        <w:instrText xml:space="preserve"> SEQ Figure \* ARABIC </w:instrText>
      </w:r>
      <w:r w:rsidRPr="004B6E75">
        <w:rPr>
          <w:lang w:val="fr-CA"/>
        </w:rPr>
        <w:fldChar w:fldCharType="separate"/>
      </w:r>
      <w:r w:rsidRPr="004B6E75">
        <w:rPr>
          <w:noProof/>
          <w:lang w:val="fr-CA"/>
        </w:rPr>
        <w:t>11</w:t>
      </w:r>
      <w:r w:rsidRPr="004B6E75">
        <w:rPr>
          <w:lang w:val="fr-CA"/>
        </w:rPr>
        <w:fldChar w:fldCharType="end"/>
      </w:r>
      <w:r w:rsidRPr="004B6E75">
        <w:rPr>
          <w:lang w:val="fr-CA"/>
        </w:rPr>
        <w:t xml:space="preserve"> - Activités d'embauche externe pour une période indéterminée et d'une durée déterminée : Programme de recrutement postsecondaire et embauche d'anciens étudiants</w:t>
      </w:r>
    </w:p>
    <w:p w:rsidR="00224B48" w:rsidRPr="004B6E75" w:rsidRDefault="00224B48" w:rsidP="00224B48">
      <w:pPr>
        <w:pStyle w:val="Caption"/>
        <w:keepNext/>
        <w:spacing w:before="240"/>
        <w:jc w:val="center"/>
        <w:rPr>
          <w:lang w:val="fr-CA"/>
        </w:rPr>
      </w:pPr>
      <w:r w:rsidRPr="004B6E75">
        <w:rPr>
          <w:lang w:val="fr-CA"/>
        </w:rPr>
        <w:t xml:space="preserve">Table </w:t>
      </w:r>
      <w:r w:rsidRPr="004B6E75">
        <w:rPr>
          <w:lang w:val="fr-CA"/>
        </w:rPr>
        <w:fldChar w:fldCharType="begin"/>
      </w:r>
      <w:r w:rsidRPr="004B6E75">
        <w:rPr>
          <w:lang w:val="fr-CA"/>
        </w:rPr>
        <w:instrText xml:space="preserve"> SEQ Table \* ARABIC </w:instrText>
      </w:r>
      <w:r w:rsidRPr="004B6E75">
        <w:rPr>
          <w:lang w:val="fr-CA"/>
        </w:rPr>
        <w:fldChar w:fldCharType="separate"/>
      </w:r>
      <w:r w:rsidR="00871A72" w:rsidRPr="004B6E75">
        <w:rPr>
          <w:noProof/>
          <w:lang w:val="fr-CA"/>
        </w:rPr>
        <w:t>11</w:t>
      </w:r>
      <w:r w:rsidRPr="004B6E75">
        <w:rPr>
          <w:lang w:val="fr-CA"/>
        </w:rPr>
        <w:fldChar w:fldCharType="end"/>
      </w:r>
      <w:r w:rsidRPr="004B6E75">
        <w:rPr>
          <w:lang w:val="fr-CA"/>
        </w:rPr>
        <w:t xml:space="preserve"> - Activités d'embauche externe pour une période indéterminée et d'une durée déterminée : Programme de recrutement postsecondaire et embauche d'anciens étudiants selon l’exercice financier</w:t>
      </w:r>
    </w:p>
    <w:tbl>
      <w:tblPr>
        <w:tblStyle w:val="TableGrid1"/>
        <w:tblW w:w="5000" w:type="pct"/>
        <w:jc w:val="center"/>
        <w:tblLook w:val="0000" w:firstRow="0" w:lastRow="0" w:firstColumn="0" w:lastColumn="0" w:noHBand="0" w:noVBand="0"/>
        <w:tblDescription w:val="Programme de recrutement postsecondaire et embauche d'anciens étudiants de 2014 à 2019&#10;"/>
      </w:tblPr>
      <w:tblGrid>
        <w:gridCol w:w="2464"/>
        <w:gridCol w:w="7707"/>
        <w:gridCol w:w="4219"/>
      </w:tblGrid>
      <w:tr w:rsidR="002730B1" w:rsidRPr="004B6E75" w:rsidTr="004E4DA1">
        <w:trPr>
          <w:cantSplit/>
          <w:tblHeader/>
          <w:jc w:val="center"/>
        </w:trPr>
        <w:tc>
          <w:tcPr>
            <w:tcW w:w="856" w:type="pct"/>
          </w:tcPr>
          <w:p w:rsidR="002730B1" w:rsidRPr="004B6E75" w:rsidRDefault="002730B1" w:rsidP="00224B48">
            <w:pPr>
              <w:pStyle w:val="TableTitle"/>
              <w:rPr>
                <w:rStyle w:val="tlid-translation"/>
                <w:lang w:val="fr-CA"/>
              </w:rPr>
            </w:pPr>
            <w:r w:rsidRPr="004B6E75">
              <w:rPr>
                <w:rStyle w:val="tlid-translation"/>
                <w:lang w:val="fr-CA"/>
              </w:rPr>
              <w:t>Exercice financier</w:t>
            </w:r>
          </w:p>
        </w:tc>
        <w:tc>
          <w:tcPr>
            <w:tcW w:w="2677" w:type="pct"/>
          </w:tcPr>
          <w:p w:rsidR="002730B1" w:rsidRPr="004B6E75" w:rsidRDefault="002730B1" w:rsidP="00224B48">
            <w:pPr>
              <w:pStyle w:val="TableTitle"/>
              <w:rPr>
                <w:rStyle w:val="tlid-translation"/>
                <w:lang w:val="fr-CA"/>
              </w:rPr>
            </w:pPr>
            <w:r w:rsidRPr="004B6E75">
              <w:rPr>
                <w:rStyle w:val="tlid-translation"/>
                <w:lang w:val="fr-CA"/>
              </w:rPr>
              <w:t>Embauches du programme de recrutement postsecondaire</w:t>
            </w:r>
          </w:p>
        </w:tc>
        <w:tc>
          <w:tcPr>
            <w:tcW w:w="1466" w:type="pct"/>
          </w:tcPr>
          <w:p w:rsidR="002730B1" w:rsidRPr="004B6E75" w:rsidRDefault="002730B1" w:rsidP="00224B48">
            <w:pPr>
              <w:pStyle w:val="TableTitle"/>
              <w:rPr>
                <w:rStyle w:val="tlid-translation"/>
                <w:lang w:val="fr-CA"/>
              </w:rPr>
            </w:pPr>
            <w:r w:rsidRPr="004B6E75">
              <w:rPr>
                <w:rStyle w:val="tlid-translation"/>
                <w:lang w:val="fr-CA"/>
              </w:rPr>
              <w:t>Embauches d’anciens étudiants</w:t>
            </w:r>
          </w:p>
        </w:tc>
      </w:tr>
      <w:tr w:rsidR="002730B1" w:rsidRPr="004B6E75" w:rsidTr="004E4DA1">
        <w:trPr>
          <w:cantSplit/>
          <w:tblHeader/>
          <w:jc w:val="center"/>
        </w:trPr>
        <w:tc>
          <w:tcPr>
            <w:tcW w:w="856" w:type="pct"/>
          </w:tcPr>
          <w:p w:rsidR="002730B1" w:rsidRPr="004B6E75" w:rsidRDefault="002730B1" w:rsidP="00C37ED4">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2014 à 2015</w:t>
            </w:r>
          </w:p>
        </w:tc>
        <w:tc>
          <w:tcPr>
            <w:tcW w:w="2677" w:type="pct"/>
          </w:tcPr>
          <w:p w:rsidR="002730B1" w:rsidRPr="004B6E75" w:rsidRDefault="002730B1" w:rsidP="00C37ED4">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0</w:t>
            </w:r>
          </w:p>
        </w:tc>
        <w:tc>
          <w:tcPr>
            <w:tcW w:w="1466" w:type="pct"/>
          </w:tcPr>
          <w:p w:rsidR="002730B1" w:rsidRPr="004B6E75" w:rsidRDefault="002730B1" w:rsidP="00C37ED4">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w:t>
            </w:r>
          </w:p>
        </w:tc>
      </w:tr>
      <w:tr w:rsidR="002730B1" w:rsidRPr="004B6E75" w:rsidTr="004E4DA1">
        <w:trPr>
          <w:cantSplit/>
          <w:tblHeader/>
          <w:jc w:val="center"/>
        </w:trPr>
        <w:tc>
          <w:tcPr>
            <w:tcW w:w="856" w:type="pct"/>
          </w:tcPr>
          <w:p w:rsidR="002730B1" w:rsidRPr="004B6E75" w:rsidRDefault="002730B1" w:rsidP="00C37ED4">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2015 à 2016</w:t>
            </w:r>
          </w:p>
        </w:tc>
        <w:tc>
          <w:tcPr>
            <w:tcW w:w="2677" w:type="pct"/>
          </w:tcPr>
          <w:p w:rsidR="002730B1" w:rsidRPr="004B6E75" w:rsidRDefault="002730B1" w:rsidP="00C37ED4">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0</w:t>
            </w:r>
          </w:p>
        </w:tc>
        <w:tc>
          <w:tcPr>
            <w:tcW w:w="1466" w:type="pct"/>
          </w:tcPr>
          <w:p w:rsidR="002730B1" w:rsidRPr="004B6E75" w:rsidRDefault="002730B1" w:rsidP="00C37ED4">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4</w:t>
            </w:r>
          </w:p>
        </w:tc>
      </w:tr>
      <w:tr w:rsidR="002730B1" w:rsidRPr="004B6E75" w:rsidTr="004E4DA1">
        <w:trPr>
          <w:cantSplit/>
          <w:tblHeader/>
          <w:jc w:val="center"/>
        </w:trPr>
        <w:tc>
          <w:tcPr>
            <w:tcW w:w="856" w:type="pct"/>
          </w:tcPr>
          <w:p w:rsidR="002730B1" w:rsidRPr="004B6E75" w:rsidRDefault="002730B1" w:rsidP="00C37ED4">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2016 à 2017</w:t>
            </w:r>
          </w:p>
        </w:tc>
        <w:tc>
          <w:tcPr>
            <w:tcW w:w="2677" w:type="pct"/>
          </w:tcPr>
          <w:p w:rsidR="002730B1" w:rsidRPr="004B6E75" w:rsidRDefault="002730B1" w:rsidP="00C37ED4">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0</w:t>
            </w:r>
          </w:p>
        </w:tc>
        <w:tc>
          <w:tcPr>
            <w:tcW w:w="1466" w:type="pct"/>
          </w:tcPr>
          <w:p w:rsidR="002730B1" w:rsidRPr="004B6E75" w:rsidRDefault="002730B1" w:rsidP="00C37ED4">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5</w:t>
            </w:r>
          </w:p>
        </w:tc>
      </w:tr>
      <w:tr w:rsidR="002730B1" w:rsidRPr="004B6E75" w:rsidTr="004E4DA1">
        <w:trPr>
          <w:cantSplit/>
          <w:tblHeader/>
          <w:jc w:val="center"/>
        </w:trPr>
        <w:tc>
          <w:tcPr>
            <w:tcW w:w="856" w:type="pct"/>
          </w:tcPr>
          <w:p w:rsidR="002730B1" w:rsidRPr="004B6E75" w:rsidRDefault="002730B1" w:rsidP="00C37ED4">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2017 à 2018</w:t>
            </w:r>
          </w:p>
        </w:tc>
        <w:tc>
          <w:tcPr>
            <w:tcW w:w="2677" w:type="pct"/>
          </w:tcPr>
          <w:p w:rsidR="002730B1" w:rsidRPr="004B6E75" w:rsidRDefault="002730B1" w:rsidP="00C37ED4">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0</w:t>
            </w:r>
          </w:p>
        </w:tc>
        <w:tc>
          <w:tcPr>
            <w:tcW w:w="1466" w:type="pct"/>
          </w:tcPr>
          <w:p w:rsidR="002730B1" w:rsidRPr="004B6E75" w:rsidRDefault="002730B1" w:rsidP="00C37ED4">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4</w:t>
            </w:r>
          </w:p>
        </w:tc>
      </w:tr>
      <w:tr w:rsidR="002730B1" w:rsidRPr="004B6E75" w:rsidTr="004E4DA1">
        <w:trPr>
          <w:cantSplit/>
          <w:tblHeader/>
          <w:jc w:val="center"/>
        </w:trPr>
        <w:tc>
          <w:tcPr>
            <w:tcW w:w="856" w:type="pct"/>
          </w:tcPr>
          <w:p w:rsidR="002730B1" w:rsidRPr="004B6E75" w:rsidRDefault="002730B1" w:rsidP="00C37ED4">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2018 à 2019</w:t>
            </w:r>
          </w:p>
        </w:tc>
        <w:tc>
          <w:tcPr>
            <w:tcW w:w="2677" w:type="pct"/>
          </w:tcPr>
          <w:p w:rsidR="002730B1" w:rsidRPr="004B6E75" w:rsidRDefault="002730B1" w:rsidP="00C37ED4">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w:t>
            </w:r>
          </w:p>
        </w:tc>
        <w:tc>
          <w:tcPr>
            <w:tcW w:w="1466" w:type="pct"/>
          </w:tcPr>
          <w:p w:rsidR="002730B1" w:rsidRPr="004B6E75" w:rsidRDefault="002730B1" w:rsidP="00C37ED4">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0</w:t>
            </w:r>
          </w:p>
        </w:tc>
      </w:tr>
    </w:tbl>
    <w:p w:rsidR="00224B48" w:rsidRPr="004B6E75" w:rsidRDefault="00224B48" w:rsidP="00C37ED4">
      <w:pPr>
        <w:rPr>
          <w:rFonts w:asciiTheme="minorHAnsi" w:eastAsiaTheme="minorHAnsi" w:hAnsiTheme="minorHAnsi" w:cstheme="minorHAnsi"/>
          <w:sz w:val="22"/>
          <w:szCs w:val="22"/>
          <w:lang w:val="fr-CA"/>
        </w:rPr>
        <w:sectPr w:rsidR="00224B48" w:rsidRPr="004B6E75" w:rsidSect="00FE79F7">
          <w:pgSz w:w="15840" w:h="12240" w:orient="landscape"/>
          <w:pgMar w:top="720" w:right="720" w:bottom="720" w:left="720" w:header="709" w:footer="284" w:gutter="0"/>
          <w:cols w:space="708"/>
          <w:titlePg/>
          <w:docGrid w:linePitch="360"/>
        </w:sectPr>
      </w:pPr>
    </w:p>
    <w:p w:rsidR="00224B48" w:rsidRPr="004B6E75" w:rsidRDefault="00224B48" w:rsidP="00BB583B">
      <w:pPr>
        <w:pStyle w:val="Heading1"/>
        <w:rPr>
          <w:rFonts w:eastAsiaTheme="minorHAnsi"/>
          <w:sz w:val="36"/>
          <w:lang w:val="fr-CA"/>
        </w:rPr>
      </w:pPr>
      <w:r w:rsidRPr="004B6E75">
        <w:rPr>
          <w:rFonts w:eastAsiaTheme="minorHAnsi"/>
          <w:sz w:val="36"/>
          <w:lang w:val="fr-CA"/>
        </w:rPr>
        <w:lastRenderedPageBreak/>
        <w:t>Durée de dotation interne pour l’exercice financier de 2018 à 2019</w:t>
      </w:r>
    </w:p>
    <w:p w:rsidR="00224B48" w:rsidRPr="004B6E75" w:rsidRDefault="00224B48" w:rsidP="009766E4">
      <w:pPr>
        <w:tabs>
          <w:tab w:val="left" w:pos="4788"/>
        </w:tabs>
        <w:spacing w:before="120"/>
        <w:ind w:left="113"/>
        <w:rPr>
          <w:rFonts w:asciiTheme="minorHAnsi" w:eastAsiaTheme="minorHAnsi" w:hAnsiTheme="minorHAnsi" w:cstheme="minorHAnsi"/>
          <w:sz w:val="22"/>
          <w:szCs w:val="22"/>
          <w:lang w:val="fr-CA"/>
        </w:rPr>
      </w:pPr>
      <w:r w:rsidRPr="004B6E75">
        <w:rPr>
          <w:rFonts w:asciiTheme="minorHAnsi" w:eastAsiaTheme="minorHAnsi" w:hAnsiTheme="minorHAnsi" w:cstheme="minorHAnsi"/>
          <w:sz w:val="22"/>
          <w:szCs w:val="22"/>
          <w:lang w:val="fr-CA"/>
        </w:rPr>
        <w:t xml:space="preserve">La durée médiane de dotation interne pour la fonction publique (organisations assujetties à la </w:t>
      </w:r>
      <w:r w:rsidRPr="004B6E75">
        <w:rPr>
          <w:rStyle w:val="Emphasis"/>
          <w:rFonts w:eastAsiaTheme="minorHAnsi"/>
          <w:lang w:val="fr-CA"/>
        </w:rPr>
        <w:t>Loi sur l’emploi dans la fonction publique</w:t>
      </w:r>
      <w:r w:rsidRPr="004B6E75">
        <w:rPr>
          <w:rFonts w:asciiTheme="minorHAnsi" w:eastAsiaTheme="minorHAnsi" w:hAnsiTheme="minorHAnsi" w:cstheme="minorHAnsi"/>
          <w:sz w:val="22"/>
          <w:szCs w:val="22"/>
          <w:lang w:val="fr-CA"/>
        </w:rPr>
        <w:t>) pour l’exercice financier 2018 à 2019 est 176 jours.</w:t>
      </w:r>
    </w:p>
    <w:p w:rsidR="00224B48" w:rsidRPr="004B6E75" w:rsidRDefault="00224B48" w:rsidP="009766E4">
      <w:pPr>
        <w:tabs>
          <w:tab w:val="left" w:pos="4788"/>
        </w:tabs>
        <w:spacing w:before="120"/>
        <w:ind w:left="113"/>
        <w:rPr>
          <w:rFonts w:asciiTheme="minorHAnsi" w:eastAsiaTheme="minorHAnsi" w:hAnsiTheme="minorHAnsi" w:cstheme="minorHAnsi"/>
          <w:b/>
          <w:sz w:val="22"/>
          <w:szCs w:val="22"/>
          <w:lang w:val="fr-CA"/>
        </w:rPr>
      </w:pPr>
      <w:r w:rsidRPr="004B6E75">
        <w:rPr>
          <w:rFonts w:asciiTheme="minorHAnsi" w:eastAsiaTheme="minorHAnsi" w:hAnsiTheme="minorHAnsi" w:cstheme="minorHAnsi"/>
          <w:sz w:val="22"/>
          <w:szCs w:val="22"/>
          <w:lang w:val="fr-CA"/>
        </w:rPr>
        <w:t>Les données sont insuffisantes pour fournir des résultats sur la durée des processus de dotation interne pour l‘Agence de la consommation en matière financière du Canada.</w:t>
      </w:r>
    </w:p>
    <w:p w:rsidR="00224B48" w:rsidRPr="004B6E75" w:rsidRDefault="00224B48" w:rsidP="00BB583B">
      <w:pPr>
        <w:pStyle w:val="Heading1"/>
        <w:rPr>
          <w:rFonts w:eastAsiaTheme="minorHAnsi"/>
          <w:sz w:val="36"/>
          <w:lang w:val="fr-CA"/>
        </w:rPr>
      </w:pPr>
      <w:r w:rsidRPr="004B6E75">
        <w:rPr>
          <w:rFonts w:eastAsiaTheme="minorHAnsi"/>
          <w:sz w:val="36"/>
          <w:lang w:val="fr-CA"/>
        </w:rPr>
        <w:t>Durée de dotation externe pour l’exercice financier 2018 à 2019</w:t>
      </w:r>
    </w:p>
    <w:p w:rsidR="00224B48" w:rsidRPr="004B6E75" w:rsidRDefault="00224B48" w:rsidP="00C37ED4">
      <w:pPr>
        <w:tabs>
          <w:tab w:val="left" w:pos="4788"/>
        </w:tabs>
        <w:ind w:left="113"/>
        <w:rPr>
          <w:rFonts w:asciiTheme="minorHAnsi" w:hAnsiTheme="minorHAnsi" w:cstheme="minorHAnsi"/>
          <w:sz w:val="22"/>
          <w:szCs w:val="22"/>
          <w:lang w:val="fr-CA" w:eastAsia="en-CA"/>
        </w:rPr>
      </w:pPr>
      <w:r w:rsidRPr="004B6E75">
        <w:rPr>
          <w:rFonts w:asciiTheme="minorHAnsi" w:hAnsiTheme="minorHAnsi" w:cstheme="minorHAnsi"/>
          <w:sz w:val="22"/>
          <w:szCs w:val="22"/>
          <w:lang w:val="fr-CA" w:eastAsia="en-CA"/>
        </w:rPr>
        <w:t xml:space="preserve">La durée médiane de dotation externe pour la fonction publique (organisations assujetties à la </w:t>
      </w:r>
      <w:r w:rsidRPr="004B6E75">
        <w:rPr>
          <w:rStyle w:val="Emphasis"/>
          <w:lang w:val="fr-CA"/>
        </w:rPr>
        <w:t>Loi sur l’emploi dans la fonction publiques</w:t>
      </w:r>
      <w:r w:rsidRPr="004B6E75">
        <w:rPr>
          <w:rFonts w:asciiTheme="minorHAnsi" w:hAnsiTheme="minorHAnsi" w:cstheme="minorHAnsi"/>
          <w:i/>
          <w:sz w:val="22"/>
          <w:szCs w:val="22"/>
          <w:lang w:val="fr-CA" w:eastAsia="en-CA"/>
        </w:rPr>
        <w:t xml:space="preserve"> </w:t>
      </w:r>
      <w:r w:rsidRPr="004B6E75">
        <w:rPr>
          <w:rFonts w:asciiTheme="minorHAnsi" w:hAnsiTheme="minorHAnsi" w:cstheme="minorHAnsi"/>
          <w:sz w:val="22"/>
          <w:szCs w:val="22"/>
          <w:lang w:val="fr-CA" w:eastAsia="en-CA"/>
        </w:rPr>
        <w:t>(LEFP)) pour l’exercice financier 2018 à 2019 est 186 jours.</w:t>
      </w:r>
    </w:p>
    <w:p w:rsidR="00224B48" w:rsidRPr="004B6E75" w:rsidRDefault="00224B48" w:rsidP="009766E4">
      <w:pPr>
        <w:tabs>
          <w:tab w:val="left" w:pos="4788"/>
        </w:tabs>
        <w:spacing w:before="120"/>
        <w:ind w:left="113"/>
        <w:rPr>
          <w:rFonts w:asciiTheme="minorHAnsi" w:eastAsiaTheme="minorHAnsi" w:hAnsiTheme="minorHAnsi" w:cstheme="minorHAnsi"/>
          <w:sz w:val="22"/>
          <w:szCs w:val="22"/>
          <w:lang w:val="fr-CA"/>
        </w:rPr>
      </w:pPr>
      <w:r w:rsidRPr="004B6E75">
        <w:rPr>
          <w:rFonts w:asciiTheme="minorHAnsi" w:eastAsiaTheme="minorHAnsi" w:hAnsiTheme="minorHAnsi" w:cstheme="minorHAnsi"/>
          <w:sz w:val="22"/>
          <w:szCs w:val="22"/>
          <w:lang w:val="fr-CA"/>
        </w:rPr>
        <w:t>Les données sont insuffisantes pour fournir des résultats sur la durée des processus de dotation externe pour l‘Agence de la consommation en matière financière du Canada.</w:t>
      </w:r>
    </w:p>
    <w:p w:rsidR="00FE79F7" w:rsidRDefault="00FE79F7" w:rsidP="00FE79F7">
      <w:pPr>
        <w:rPr>
          <w:rFonts w:asciiTheme="minorHAnsi" w:hAnsiTheme="minorHAnsi" w:cstheme="minorHAnsi"/>
          <w:sz w:val="22"/>
          <w:szCs w:val="22"/>
          <w:lang w:val="fr-CA" w:eastAsia="en-CA"/>
        </w:rPr>
      </w:pPr>
    </w:p>
    <w:p w:rsidR="00224B48" w:rsidRPr="00FE79F7" w:rsidRDefault="00224B48" w:rsidP="00FE79F7">
      <w:pPr>
        <w:rPr>
          <w:rFonts w:asciiTheme="minorHAnsi" w:hAnsiTheme="minorHAnsi" w:cstheme="minorHAnsi"/>
          <w:sz w:val="22"/>
          <w:szCs w:val="22"/>
          <w:lang w:val="fr-CA" w:eastAsia="en-CA"/>
        </w:rPr>
        <w:sectPr w:rsidR="00224B48" w:rsidRPr="00FE79F7" w:rsidSect="009766E4">
          <w:pgSz w:w="12240" w:h="15840"/>
          <w:pgMar w:top="720" w:right="720" w:bottom="720" w:left="720" w:header="708" w:footer="283" w:gutter="0"/>
          <w:cols w:space="708"/>
          <w:titlePg/>
          <w:docGrid w:linePitch="360"/>
        </w:sectPr>
      </w:pPr>
    </w:p>
    <w:p w:rsidR="00BB583B" w:rsidRPr="004B6E75" w:rsidRDefault="00BB583B" w:rsidP="00BB583B">
      <w:pPr>
        <w:pStyle w:val="Heading1"/>
        <w:rPr>
          <w:sz w:val="40"/>
          <w:lang w:val="fr-CA"/>
        </w:rPr>
      </w:pPr>
      <w:r w:rsidRPr="004B6E75">
        <w:rPr>
          <w:sz w:val="40"/>
          <w:lang w:val="fr-CA"/>
        </w:rPr>
        <w:lastRenderedPageBreak/>
        <w:t>Durée de dotation interne et externe</w:t>
      </w:r>
    </w:p>
    <w:p w:rsidR="00871A72" w:rsidRPr="004B6E75" w:rsidRDefault="00871A72" w:rsidP="00871A72">
      <w:pPr>
        <w:pStyle w:val="Caption"/>
        <w:keepNext/>
        <w:rPr>
          <w:lang w:val="fr-CA"/>
        </w:rPr>
      </w:pPr>
      <w:r w:rsidRPr="004B6E75">
        <w:rPr>
          <w:lang w:val="fr-CA"/>
        </w:rPr>
        <w:t xml:space="preserve">Table </w:t>
      </w:r>
      <w:r w:rsidRPr="004B6E75">
        <w:rPr>
          <w:lang w:val="fr-CA"/>
        </w:rPr>
        <w:fldChar w:fldCharType="begin"/>
      </w:r>
      <w:r w:rsidRPr="004B6E75">
        <w:rPr>
          <w:lang w:val="fr-CA"/>
        </w:rPr>
        <w:instrText xml:space="preserve"> SEQ Table \* ARABIC </w:instrText>
      </w:r>
      <w:r w:rsidRPr="004B6E75">
        <w:rPr>
          <w:lang w:val="fr-CA"/>
        </w:rPr>
        <w:fldChar w:fldCharType="separate"/>
      </w:r>
      <w:r w:rsidRPr="004B6E75">
        <w:rPr>
          <w:noProof/>
          <w:lang w:val="fr-CA"/>
        </w:rPr>
        <w:t>12</w:t>
      </w:r>
      <w:r w:rsidRPr="004B6E75">
        <w:rPr>
          <w:lang w:val="fr-CA"/>
        </w:rPr>
        <w:fldChar w:fldCharType="end"/>
      </w:r>
      <w:r w:rsidRPr="004B6E75">
        <w:rPr>
          <w:lang w:val="fr-CA"/>
        </w:rPr>
        <w:t xml:space="preserve"> - Durée de dotation interne et externe</w:t>
      </w:r>
    </w:p>
    <w:tbl>
      <w:tblPr>
        <w:tblStyle w:val="TableGrid1"/>
        <w:tblW w:w="0" w:type="auto"/>
        <w:jc w:val="center"/>
        <w:tblLook w:val="0000" w:firstRow="0" w:lastRow="0" w:firstColumn="0" w:lastColumn="0" w:noHBand="0" w:noVBand="0"/>
        <w:tblDescription w:val="Durée des processus de dotation interne et externe"/>
      </w:tblPr>
      <w:tblGrid>
        <w:gridCol w:w="2830"/>
        <w:gridCol w:w="9525"/>
        <w:gridCol w:w="10675"/>
      </w:tblGrid>
      <w:tr w:rsidR="00871A72" w:rsidRPr="00F337FF" w:rsidTr="00871A72">
        <w:trPr>
          <w:cantSplit/>
          <w:trHeight w:val="290"/>
          <w:tblHeader/>
          <w:jc w:val="center"/>
        </w:trPr>
        <w:tc>
          <w:tcPr>
            <w:tcW w:w="2830" w:type="dxa"/>
          </w:tcPr>
          <w:p w:rsidR="00871A72" w:rsidRPr="004B6E75" w:rsidRDefault="00871A72" w:rsidP="00871A72">
            <w:pPr>
              <w:pStyle w:val="TableTitle"/>
              <w:rPr>
                <w:lang w:val="fr-CA"/>
              </w:rPr>
            </w:pPr>
            <w:r w:rsidRPr="004B6E75">
              <w:rPr>
                <w:lang w:val="fr-CA"/>
              </w:rPr>
              <w:t>Nombre de jours civils</w:t>
            </w:r>
          </w:p>
        </w:tc>
        <w:tc>
          <w:tcPr>
            <w:tcW w:w="9525" w:type="dxa"/>
          </w:tcPr>
          <w:p w:rsidR="00871A72" w:rsidRPr="004B6E75" w:rsidRDefault="00871A72" w:rsidP="00871A72">
            <w:pPr>
              <w:pStyle w:val="TableTitle"/>
              <w:rPr>
                <w:lang w:val="fr-CA"/>
              </w:rPr>
            </w:pPr>
            <w:r w:rsidRPr="004B6E75">
              <w:rPr>
                <w:lang w:val="fr-CA"/>
              </w:rPr>
              <w:t>Le nombre de premières embauches internes dans un processus interne (durée de dotation interne) dans les organisations assujetties à la Loi sur l’emploi dans la fonction publique, dans le nombre de jours civils spécifié</w:t>
            </w:r>
          </w:p>
        </w:tc>
        <w:tc>
          <w:tcPr>
            <w:tcW w:w="0" w:type="auto"/>
          </w:tcPr>
          <w:p w:rsidR="00871A72" w:rsidRPr="004B6E75" w:rsidRDefault="00871A72" w:rsidP="00871A72">
            <w:pPr>
              <w:pStyle w:val="TableTitle"/>
              <w:rPr>
                <w:lang w:val="fr-CA"/>
              </w:rPr>
            </w:pPr>
            <w:r w:rsidRPr="004B6E75">
              <w:rPr>
                <w:lang w:val="fr-CA"/>
              </w:rPr>
              <w:t>Le nombre de premières embauches externes dans un processus externe (durée de dotation externe) dans les organisations assujetties à la Loi sur l’emploi dans la fonction publique, dans le nombre de jours civils spécifié</w:t>
            </w:r>
          </w:p>
        </w:tc>
      </w:tr>
      <w:tr w:rsidR="00871A72" w:rsidRPr="004B6E75" w:rsidTr="00871A72">
        <w:trPr>
          <w:cantSplit/>
          <w:trHeight w:val="290"/>
          <w:tblHeader/>
          <w:jc w:val="center"/>
        </w:trPr>
        <w:tc>
          <w:tcPr>
            <w:tcW w:w="2830" w:type="dxa"/>
          </w:tcPr>
          <w:p w:rsidR="00871A72" w:rsidRPr="004B6E75" w:rsidRDefault="00871A72"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0 jours civils</w:t>
            </w:r>
          </w:p>
        </w:tc>
        <w:tc>
          <w:tcPr>
            <w:tcW w:w="9525" w:type="dxa"/>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0</w:t>
            </w:r>
          </w:p>
        </w:tc>
        <w:tc>
          <w:tcPr>
            <w:tcW w:w="0" w:type="auto"/>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0</w:t>
            </w:r>
          </w:p>
        </w:tc>
      </w:tr>
      <w:tr w:rsidR="00871A72" w:rsidRPr="004B6E75" w:rsidTr="00871A72">
        <w:trPr>
          <w:cantSplit/>
          <w:trHeight w:val="290"/>
          <w:tblHeader/>
          <w:jc w:val="center"/>
        </w:trPr>
        <w:tc>
          <w:tcPr>
            <w:tcW w:w="2830" w:type="dxa"/>
          </w:tcPr>
          <w:p w:rsidR="00871A72" w:rsidRPr="004B6E75" w:rsidRDefault="00871A72"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0 à 29 jours civils</w:t>
            </w:r>
          </w:p>
        </w:tc>
        <w:tc>
          <w:tcPr>
            <w:tcW w:w="9525" w:type="dxa"/>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15</w:t>
            </w:r>
          </w:p>
        </w:tc>
        <w:tc>
          <w:tcPr>
            <w:tcW w:w="0" w:type="auto"/>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49</w:t>
            </w:r>
          </w:p>
        </w:tc>
      </w:tr>
      <w:tr w:rsidR="00871A72" w:rsidRPr="004B6E75" w:rsidTr="00871A72">
        <w:trPr>
          <w:cantSplit/>
          <w:trHeight w:val="290"/>
          <w:tblHeader/>
          <w:jc w:val="center"/>
        </w:trPr>
        <w:tc>
          <w:tcPr>
            <w:tcW w:w="2830" w:type="dxa"/>
          </w:tcPr>
          <w:p w:rsidR="00871A72" w:rsidRPr="004B6E75" w:rsidRDefault="00871A72"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30 à 59 jours civils</w:t>
            </w:r>
          </w:p>
        </w:tc>
        <w:tc>
          <w:tcPr>
            <w:tcW w:w="9525" w:type="dxa"/>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124</w:t>
            </w:r>
          </w:p>
        </w:tc>
        <w:tc>
          <w:tcPr>
            <w:tcW w:w="0" w:type="auto"/>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82</w:t>
            </w:r>
          </w:p>
        </w:tc>
      </w:tr>
      <w:tr w:rsidR="00871A72" w:rsidRPr="004B6E75" w:rsidTr="00871A72">
        <w:trPr>
          <w:cantSplit/>
          <w:trHeight w:val="290"/>
          <w:tblHeader/>
          <w:jc w:val="center"/>
        </w:trPr>
        <w:tc>
          <w:tcPr>
            <w:tcW w:w="2830" w:type="dxa"/>
          </w:tcPr>
          <w:p w:rsidR="00871A72" w:rsidRPr="004B6E75" w:rsidRDefault="00871A72"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60 à 89 jours civils</w:t>
            </w:r>
          </w:p>
        </w:tc>
        <w:tc>
          <w:tcPr>
            <w:tcW w:w="9525" w:type="dxa"/>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265</w:t>
            </w:r>
          </w:p>
        </w:tc>
        <w:tc>
          <w:tcPr>
            <w:tcW w:w="0" w:type="auto"/>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124</w:t>
            </w:r>
          </w:p>
        </w:tc>
      </w:tr>
      <w:tr w:rsidR="00871A72" w:rsidRPr="004B6E75" w:rsidTr="00871A72">
        <w:trPr>
          <w:cantSplit/>
          <w:trHeight w:val="290"/>
          <w:tblHeader/>
          <w:jc w:val="center"/>
        </w:trPr>
        <w:tc>
          <w:tcPr>
            <w:tcW w:w="2830" w:type="dxa"/>
          </w:tcPr>
          <w:p w:rsidR="00871A72" w:rsidRPr="004B6E75" w:rsidRDefault="00871A72"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90 à 119 jours civils</w:t>
            </w:r>
          </w:p>
        </w:tc>
        <w:tc>
          <w:tcPr>
            <w:tcW w:w="9525" w:type="dxa"/>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384</w:t>
            </w:r>
          </w:p>
        </w:tc>
        <w:tc>
          <w:tcPr>
            <w:tcW w:w="0" w:type="auto"/>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160</w:t>
            </w:r>
          </w:p>
        </w:tc>
      </w:tr>
      <w:tr w:rsidR="00871A72" w:rsidRPr="004B6E75" w:rsidTr="00871A72">
        <w:trPr>
          <w:cantSplit/>
          <w:trHeight w:val="290"/>
          <w:tblHeader/>
          <w:jc w:val="center"/>
        </w:trPr>
        <w:tc>
          <w:tcPr>
            <w:tcW w:w="2830" w:type="dxa"/>
          </w:tcPr>
          <w:p w:rsidR="00871A72" w:rsidRPr="004B6E75" w:rsidRDefault="00871A72"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120 à 149 jours civils</w:t>
            </w:r>
          </w:p>
        </w:tc>
        <w:tc>
          <w:tcPr>
            <w:tcW w:w="9525" w:type="dxa"/>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354</w:t>
            </w:r>
          </w:p>
        </w:tc>
        <w:tc>
          <w:tcPr>
            <w:tcW w:w="0" w:type="auto"/>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181</w:t>
            </w:r>
          </w:p>
        </w:tc>
      </w:tr>
      <w:tr w:rsidR="00871A72" w:rsidRPr="004B6E75" w:rsidTr="00871A72">
        <w:trPr>
          <w:cantSplit/>
          <w:trHeight w:val="290"/>
          <w:tblHeader/>
          <w:jc w:val="center"/>
        </w:trPr>
        <w:tc>
          <w:tcPr>
            <w:tcW w:w="2830" w:type="dxa"/>
          </w:tcPr>
          <w:p w:rsidR="00871A72" w:rsidRPr="004B6E75" w:rsidRDefault="00871A72"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150 à 179 jours civils</w:t>
            </w:r>
          </w:p>
        </w:tc>
        <w:tc>
          <w:tcPr>
            <w:tcW w:w="9525" w:type="dxa"/>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311</w:t>
            </w:r>
          </w:p>
        </w:tc>
        <w:tc>
          <w:tcPr>
            <w:tcW w:w="0" w:type="auto"/>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179</w:t>
            </w:r>
          </w:p>
        </w:tc>
      </w:tr>
      <w:tr w:rsidR="00871A72" w:rsidRPr="004B6E75" w:rsidTr="00871A72">
        <w:trPr>
          <w:cantSplit/>
          <w:trHeight w:val="290"/>
          <w:tblHeader/>
          <w:jc w:val="center"/>
        </w:trPr>
        <w:tc>
          <w:tcPr>
            <w:tcW w:w="2830" w:type="dxa"/>
          </w:tcPr>
          <w:p w:rsidR="00871A72" w:rsidRPr="004B6E75" w:rsidRDefault="00871A72"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180 à 209 jours civils</w:t>
            </w:r>
          </w:p>
        </w:tc>
        <w:tc>
          <w:tcPr>
            <w:tcW w:w="9525" w:type="dxa"/>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269</w:t>
            </w:r>
          </w:p>
        </w:tc>
        <w:tc>
          <w:tcPr>
            <w:tcW w:w="0" w:type="auto"/>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160</w:t>
            </w:r>
          </w:p>
        </w:tc>
      </w:tr>
      <w:tr w:rsidR="00871A72" w:rsidRPr="004B6E75" w:rsidTr="00871A72">
        <w:trPr>
          <w:cantSplit/>
          <w:trHeight w:val="290"/>
          <w:tblHeader/>
          <w:jc w:val="center"/>
        </w:trPr>
        <w:tc>
          <w:tcPr>
            <w:tcW w:w="2830" w:type="dxa"/>
          </w:tcPr>
          <w:p w:rsidR="00871A72" w:rsidRPr="004B6E75" w:rsidRDefault="00871A72"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210 à 239 jours civils</w:t>
            </w:r>
          </w:p>
        </w:tc>
        <w:tc>
          <w:tcPr>
            <w:tcW w:w="9525" w:type="dxa"/>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234</w:t>
            </w:r>
          </w:p>
        </w:tc>
        <w:tc>
          <w:tcPr>
            <w:tcW w:w="0" w:type="auto"/>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139</w:t>
            </w:r>
          </w:p>
        </w:tc>
      </w:tr>
      <w:tr w:rsidR="00871A72" w:rsidRPr="004B6E75" w:rsidTr="00871A72">
        <w:trPr>
          <w:cantSplit/>
          <w:trHeight w:val="290"/>
          <w:tblHeader/>
          <w:jc w:val="center"/>
        </w:trPr>
        <w:tc>
          <w:tcPr>
            <w:tcW w:w="2830" w:type="dxa"/>
          </w:tcPr>
          <w:p w:rsidR="00871A72" w:rsidRPr="004B6E75" w:rsidRDefault="00871A72"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240 à 269 jours civils</w:t>
            </w:r>
          </w:p>
        </w:tc>
        <w:tc>
          <w:tcPr>
            <w:tcW w:w="9525" w:type="dxa"/>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159</w:t>
            </w:r>
          </w:p>
        </w:tc>
        <w:tc>
          <w:tcPr>
            <w:tcW w:w="0" w:type="auto"/>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84</w:t>
            </w:r>
          </w:p>
        </w:tc>
      </w:tr>
      <w:tr w:rsidR="00871A72" w:rsidRPr="004B6E75" w:rsidTr="00871A72">
        <w:trPr>
          <w:cantSplit/>
          <w:trHeight w:val="290"/>
          <w:tblHeader/>
          <w:jc w:val="center"/>
        </w:trPr>
        <w:tc>
          <w:tcPr>
            <w:tcW w:w="2830" w:type="dxa"/>
          </w:tcPr>
          <w:p w:rsidR="00871A72" w:rsidRPr="004B6E75" w:rsidRDefault="00871A72"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270 à 299 jours civils</w:t>
            </w:r>
          </w:p>
        </w:tc>
        <w:tc>
          <w:tcPr>
            <w:tcW w:w="9525" w:type="dxa"/>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128</w:t>
            </w:r>
          </w:p>
        </w:tc>
        <w:tc>
          <w:tcPr>
            <w:tcW w:w="0" w:type="auto"/>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73</w:t>
            </w:r>
          </w:p>
        </w:tc>
      </w:tr>
      <w:tr w:rsidR="00871A72" w:rsidRPr="004B6E75" w:rsidTr="00871A72">
        <w:trPr>
          <w:cantSplit/>
          <w:trHeight w:val="290"/>
          <w:tblHeader/>
          <w:jc w:val="center"/>
        </w:trPr>
        <w:tc>
          <w:tcPr>
            <w:tcW w:w="2830" w:type="dxa"/>
          </w:tcPr>
          <w:p w:rsidR="00871A72" w:rsidRPr="004B6E75" w:rsidRDefault="00871A72"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300 à 329 jours civils</w:t>
            </w:r>
          </w:p>
        </w:tc>
        <w:tc>
          <w:tcPr>
            <w:tcW w:w="9525" w:type="dxa"/>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102</w:t>
            </w:r>
          </w:p>
        </w:tc>
        <w:tc>
          <w:tcPr>
            <w:tcW w:w="0" w:type="auto"/>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61</w:t>
            </w:r>
          </w:p>
        </w:tc>
      </w:tr>
      <w:tr w:rsidR="00871A72" w:rsidRPr="004B6E75" w:rsidTr="00871A72">
        <w:trPr>
          <w:cantSplit/>
          <w:trHeight w:val="290"/>
          <w:tblHeader/>
          <w:jc w:val="center"/>
        </w:trPr>
        <w:tc>
          <w:tcPr>
            <w:tcW w:w="2830" w:type="dxa"/>
          </w:tcPr>
          <w:p w:rsidR="00871A72" w:rsidRPr="004B6E75" w:rsidRDefault="00871A72"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330 à 359 jours civils</w:t>
            </w:r>
          </w:p>
        </w:tc>
        <w:tc>
          <w:tcPr>
            <w:tcW w:w="9525" w:type="dxa"/>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77</w:t>
            </w:r>
          </w:p>
        </w:tc>
        <w:tc>
          <w:tcPr>
            <w:tcW w:w="0" w:type="auto"/>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41</w:t>
            </w:r>
          </w:p>
        </w:tc>
      </w:tr>
      <w:tr w:rsidR="00871A72" w:rsidRPr="004B6E75" w:rsidTr="00871A72">
        <w:trPr>
          <w:cantSplit/>
          <w:trHeight w:val="290"/>
          <w:tblHeader/>
          <w:jc w:val="center"/>
        </w:trPr>
        <w:tc>
          <w:tcPr>
            <w:tcW w:w="2830" w:type="dxa"/>
          </w:tcPr>
          <w:p w:rsidR="00871A72" w:rsidRPr="004B6E75" w:rsidRDefault="00871A72"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360 à 389 jours civils</w:t>
            </w:r>
          </w:p>
        </w:tc>
        <w:tc>
          <w:tcPr>
            <w:tcW w:w="9525" w:type="dxa"/>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58</w:t>
            </w:r>
          </w:p>
        </w:tc>
        <w:tc>
          <w:tcPr>
            <w:tcW w:w="0" w:type="auto"/>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43</w:t>
            </w:r>
          </w:p>
        </w:tc>
      </w:tr>
      <w:tr w:rsidR="00871A72" w:rsidRPr="004B6E75" w:rsidTr="00871A72">
        <w:trPr>
          <w:cantSplit/>
          <w:trHeight w:val="290"/>
          <w:tblHeader/>
          <w:jc w:val="center"/>
        </w:trPr>
        <w:tc>
          <w:tcPr>
            <w:tcW w:w="2830" w:type="dxa"/>
          </w:tcPr>
          <w:p w:rsidR="00871A72" w:rsidRPr="004B6E75" w:rsidRDefault="00871A72"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390 à 419 jours civils</w:t>
            </w:r>
          </w:p>
        </w:tc>
        <w:tc>
          <w:tcPr>
            <w:tcW w:w="9525" w:type="dxa"/>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51</w:t>
            </w:r>
          </w:p>
        </w:tc>
        <w:tc>
          <w:tcPr>
            <w:tcW w:w="0" w:type="auto"/>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49</w:t>
            </w:r>
          </w:p>
        </w:tc>
      </w:tr>
      <w:tr w:rsidR="00871A72" w:rsidRPr="004B6E75" w:rsidTr="00871A72">
        <w:trPr>
          <w:cantSplit/>
          <w:trHeight w:val="290"/>
          <w:tblHeader/>
          <w:jc w:val="center"/>
        </w:trPr>
        <w:tc>
          <w:tcPr>
            <w:tcW w:w="2830" w:type="dxa"/>
          </w:tcPr>
          <w:p w:rsidR="00871A72" w:rsidRPr="004B6E75" w:rsidRDefault="00871A72"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420 à 449 jours civils</w:t>
            </w:r>
          </w:p>
        </w:tc>
        <w:tc>
          <w:tcPr>
            <w:tcW w:w="9525" w:type="dxa"/>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49</w:t>
            </w:r>
          </w:p>
        </w:tc>
        <w:tc>
          <w:tcPr>
            <w:tcW w:w="0" w:type="auto"/>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35</w:t>
            </w:r>
          </w:p>
        </w:tc>
      </w:tr>
      <w:tr w:rsidR="00871A72" w:rsidRPr="004B6E75" w:rsidTr="00871A72">
        <w:trPr>
          <w:cantSplit/>
          <w:trHeight w:val="290"/>
          <w:tblHeader/>
          <w:jc w:val="center"/>
        </w:trPr>
        <w:tc>
          <w:tcPr>
            <w:tcW w:w="2830" w:type="dxa"/>
          </w:tcPr>
          <w:p w:rsidR="00871A72" w:rsidRPr="004B6E75" w:rsidRDefault="00871A72"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450 à 479 jours civils</w:t>
            </w:r>
          </w:p>
        </w:tc>
        <w:tc>
          <w:tcPr>
            <w:tcW w:w="9525" w:type="dxa"/>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40</w:t>
            </w:r>
          </w:p>
        </w:tc>
        <w:tc>
          <w:tcPr>
            <w:tcW w:w="0" w:type="auto"/>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22</w:t>
            </w:r>
          </w:p>
        </w:tc>
      </w:tr>
      <w:tr w:rsidR="00871A72" w:rsidRPr="004B6E75" w:rsidTr="00871A72">
        <w:trPr>
          <w:cantSplit/>
          <w:trHeight w:val="290"/>
          <w:tblHeader/>
          <w:jc w:val="center"/>
        </w:trPr>
        <w:tc>
          <w:tcPr>
            <w:tcW w:w="2830" w:type="dxa"/>
          </w:tcPr>
          <w:p w:rsidR="00871A72" w:rsidRPr="004B6E75" w:rsidRDefault="00871A72"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480 à 509 jours civils</w:t>
            </w:r>
          </w:p>
        </w:tc>
        <w:tc>
          <w:tcPr>
            <w:tcW w:w="9525" w:type="dxa"/>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38</w:t>
            </w:r>
          </w:p>
        </w:tc>
        <w:tc>
          <w:tcPr>
            <w:tcW w:w="0" w:type="auto"/>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27</w:t>
            </w:r>
          </w:p>
        </w:tc>
      </w:tr>
      <w:tr w:rsidR="00871A72" w:rsidRPr="004B6E75" w:rsidTr="00871A72">
        <w:trPr>
          <w:cantSplit/>
          <w:trHeight w:val="290"/>
          <w:tblHeader/>
          <w:jc w:val="center"/>
        </w:trPr>
        <w:tc>
          <w:tcPr>
            <w:tcW w:w="2830" w:type="dxa"/>
          </w:tcPr>
          <w:p w:rsidR="00871A72" w:rsidRPr="004B6E75" w:rsidRDefault="00871A72"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 xml:space="preserve">510 à 539 jours civils </w:t>
            </w:r>
          </w:p>
        </w:tc>
        <w:tc>
          <w:tcPr>
            <w:tcW w:w="9525" w:type="dxa"/>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31</w:t>
            </w:r>
          </w:p>
        </w:tc>
        <w:tc>
          <w:tcPr>
            <w:tcW w:w="0" w:type="auto"/>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17</w:t>
            </w:r>
          </w:p>
        </w:tc>
      </w:tr>
      <w:tr w:rsidR="00871A72" w:rsidRPr="004B6E75" w:rsidTr="00871A72">
        <w:trPr>
          <w:cantSplit/>
          <w:trHeight w:val="290"/>
          <w:tblHeader/>
          <w:jc w:val="center"/>
        </w:trPr>
        <w:tc>
          <w:tcPr>
            <w:tcW w:w="2830" w:type="dxa"/>
          </w:tcPr>
          <w:p w:rsidR="00871A72" w:rsidRPr="004B6E75" w:rsidRDefault="00871A72"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540 à 569 jours civils</w:t>
            </w:r>
          </w:p>
        </w:tc>
        <w:tc>
          <w:tcPr>
            <w:tcW w:w="9525" w:type="dxa"/>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23</w:t>
            </w:r>
          </w:p>
        </w:tc>
        <w:tc>
          <w:tcPr>
            <w:tcW w:w="0" w:type="auto"/>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15</w:t>
            </w:r>
          </w:p>
        </w:tc>
      </w:tr>
      <w:tr w:rsidR="00871A72" w:rsidRPr="004B6E75" w:rsidTr="00871A72">
        <w:trPr>
          <w:cantSplit/>
          <w:trHeight w:val="290"/>
          <w:tblHeader/>
          <w:jc w:val="center"/>
        </w:trPr>
        <w:tc>
          <w:tcPr>
            <w:tcW w:w="2830" w:type="dxa"/>
          </w:tcPr>
          <w:p w:rsidR="00871A72" w:rsidRPr="004B6E75" w:rsidRDefault="00871A72"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570 à 599 jours civils</w:t>
            </w:r>
          </w:p>
        </w:tc>
        <w:tc>
          <w:tcPr>
            <w:tcW w:w="9525" w:type="dxa"/>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21</w:t>
            </w:r>
          </w:p>
        </w:tc>
        <w:tc>
          <w:tcPr>
            <w:tcW w:w="0" w:type="auto"/>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14</w:t>
            </w:r>
          </w:p>
        </w:tc>
      </w:tr>
      <w:tr w:rsidR="00871A72" w:rsidRPr="004B6E75" w:rsidTr="00871A72">
        <w:trPr>
          <w:cantSplit/>
          <w:trHeight w:val="290"/>
          <w:tblHeader/>
          <w:jc w:val="center"/>
        </w:trPr>
        <w:tc>
          <w:tcPr>
            <w:tcW w:w="2830" w:type="dxa"/>
          </w:tcPr>
          <w:p w:rsidR="00871A72" w:rsidRPr="004B6E75" w:rsidRDefault="00871A72"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600 à 629 jours civils</w:t>
            </w:r>
          </w:p>
        </w:tc>
        <w:tc>
          <w:tcPr>
            <w:tcW w:w="9525" w:type="dxa"/>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10</w:t>
            </w:r>
          </w:p>
        </w:tc>
        <w:tc>
          <w:tcPr>
            <w:tcW w:w="0" w:type="auto"/>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12</w:t>
            </w:r>
          </w:p>
        </w:tc>
      </w:tr>
      <w:tr w:rsidR="00871A72" w:rsidRPr="004B6E75" w:rsidTr="00871A72">
        <w:trPr>
          <w:cantSplit/>
          <w:trHeight w:val="290"/>
          <w:tblHeader/>
          <w:jc w:val="center"/>
        </w:trPr>
        <w:tc>
          <w:tcPr>
            <w:tcW w:w="2830" w:type="dxa"/>
          </w:tcPr>
          <w:p w:rsidR="00871A72" w:rsidRPr="004B6E75" w:rsidRDefault="00871A72"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630 à 659 jours civils</w:t>
            </w:r>
          </w:p>
        </w:tc>
        <w:tc>
          <w:tcPr>
            <w:tcW w:w="9525" w:type="dxa"/>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19</w:t>
            </w:r>
          </w:p>
        </w:tc>
        <w:tc>
          <w:tcPr>
            <w:tcW w:w="0" w:type="auto"/>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7</w:t>
            </w:r>
          </w:p>
        </w:tc>
      </w:tr>
      <w:tr w:rsidR="00871A72" w:rsidRPr="004B6E75" w:rsidTr="00871A72">
        <w:trPr>
          <w:cantSplit/>
          <w:trHeight w:val="290"/>
          <w:tblHeader/>
          <w:jc w:val="center"/>
        </w:trPr>
        <w:tc>
          <w:tcPr>
            <w:tcW w:w="2830" w:type="dxa"/>
          </w:tcPr>
          <w:p w:rsidR="00871A72" w:rsidRPr="004B6E75" w:rsidRDefault="00871A72"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660 à 689 jours civils</w:t>
            </w:r>
          </w:p>
        </w:tc>
        <w:tc>
          <w:tcPr>
            <w:tcW w:w="9525" w:type="dxa"/>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3</w:t>
            </w:r>
          </w:p>
        </w:tc>
        <w:tc>
          <w:tcPr>
            <w:tcW w:w="0" w:type="auto"/>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5</w:t>
            </w:r>
          </w:p>
        </w:tc>
      </w:tr>
      <w:tr w:rsidR="00871A72" w:rsidRPr="004B6E75" w:rsidTr="00871A72">
        <w:trPr>
          <w:cantSplit/>
          <w:trHeight w:val="290"/>
          <w:tblHeader/>
          <w:jc w:val="center"/>
        </w:trPr>
        <w:tc>
          <w:tcPr>
            <w:tcW w:w="2830" w:type="dxa"/>
          </w:tcPr>
          <w:p w:rsidR="00871A72" w:rsidRPr="004B6E75" w:rsidRDefault="00871A72"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690 à 719 jours civils</w:t>
            </w:r>
          </w:p>
        </w:tc>
        <w:tc>
          <w:tcPr>
            <w:tcW w:w="9525" w:type="dxa"/>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12</w:t>
            </w:r>
          </w:p>
        </w:tc>
        <w:tc>
          <w:tcPr>
            <w:tcW w:w="0" w:type="auto"/>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7</w:t>
            </w:r>
          </w:p>
        </w:tc>
      </w:tr>
      <w:tr w:rsidR="00871A72" w:rsidRPr="004B6E75" w:rsidTr="00871A72">
        <w:trPr>
          <w:cantSplit/>
          <w:trHeight w:val="302"/>
          <w:tblHeader/>
          <w:jc w:val="center"/>
        </w:trPr>
        <w:tc>
          <w:tcPr>
            <w:tcW w:w="2830" w:type="dxa"/>
          </w:tcPr>
          <w:p w:rsidR="00871A72" w:rsidRPr="004B6E75" w:rsidRDefault="00871A72"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720 à 749 jours civils</w:t>
            </w:r>
          </w:p>
        </w:tc>
        <w:tc>
          <w:tcPr>
            <w:tcW w:w="9525" w:type="dxa"/>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6</w:t>
            </w:r>
          </w:p>
        </w:tc>
        <w:tc>
          <w:tcPr>
            <w:tcW w:w="0" w:type="auto"/>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11</w:t>
            </w:r>
          </w:p>
        </w:tc>
      </w:tr>
      <w:tr w:rsidR="00871A72" w:rsidRPr="004B6E75" w:rsidTr="00871A72">
        <w:trPr>
          <w:cantSplit/>
          <w:trHeight w:val="290"/>
          <w:tblHeader/>
          <w:jc w:val="center"/>
        </w:trPr>
        <w:tc>
          <w:tcPr>
            <w:tcW w:w="2830" w:type="dxa"/>
          </w:tcPr>
          <w:p w:rsidR="00871A72" w:rsidRPr="004B6E75" w:rsidRDefault="00871A72"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750 à 779 jours civils</w:t>
            </w:r>
          </w:p>
        </w:tc>
        <w:tc>
          <w:tcPr>
            <w:tcW w:w="9525" w:type="dxa"/>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5</w:t>
            </w:r>
          </w:p>
        </w:tc>
        <w:tc>
          <w:tcPr>
            <w:tcW w:w="0" w:type="auto"/>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3</w:t>
            </w:r>
          </w:p>
        </w:tc>
      </w:tr>
      <w:tr w:rsidR="00871A72" w:rsidRPr="004B6E75" w:rsidTr="00871A72">
        <w:trPr>
          <w:cantSplit/>
          <w:trHeight w:val="290"/>
          <w:tblHeader/>
          <w:jc w:val="center"/>
        </w:trPr>
        <w:tc>
          <w:tcPr>
            <w:tcW w:w="2830" w:type="dxa"/>
          </w:tcPr>
          <w:p w:rsidR="00871A72" w:rsidRPr="004B6E75" w:rsidRDefault="00871A72"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780 à 809 jours civils</w:t>
            </w:r>
          </w:p>
        </w:tc>
        <w:tc>
          <w:tcPr>
            <w:tcW w:w="9525" w:type="dxa"/>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8</w:t>
            </w:r>
          </w:p>
        </w:tc>
        <w:tc>
          <w:tcPr>
            <w:tcW w:w="0" w:type="auto"/>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7</w:t>
            </w:r>
          </w:p>
        </w:tc>
      </w:tr>
      <w:tr w:rsidR="00871A72" w:rsidRPr="004B6E75" w:rsidTr="00871A72">
        <w:trPr>
          <w:cantSplit/>
          <w:trHeight w:val="290"/>
          <w:tblHeader/>
          <w:jc w:val="center"/>
        </w:trPr>
        <w:tc>
          <w:tcPr>
            <w:tcW w:w="2830" w:type="dxa"/>
          </w:tcPr>
          <w:p w:rsidR="00871A72" w:rsidRPr="004B6E75" w:rsidRDefault="00871A72"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810 à 839 jours civils</w:t>
            </w:r>
          </w:p>
        </w:tc>
        <w:tc>
          <w:tcPr>
            <w:tcW w:w="9525" w:type="dxa"/>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3</w:t>
            </w:r>
          </w:p>
        </w:tc>
        <w:tc>
          <w:tcPr>
            <w:tcW w:w="0" w:type="auto"/>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w:t>
            </w:r>
          </w:p>
        </w:tc>
      </w:tr>
      <w:tr w:rsidR="00871A72" w:rsidRPr="004B6E75" w:rsidTr="00871A72">
        <w:trPr>
          <w:cantSplit/>
          <w:trHeight w:val="290"/>
          <w:tblHeader/>
          <w:jc w:val="center"/>
        </w:trPr>
        <w:tc>
          <w:tcPr>
            <w:tcW w:w="2830" w:type="dxa"/>
          </w:tcPr>
          <w:p w:rsidR="00871A72" w:rsidRPr="004B6E75" w:rsidRDefault="00871A72"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840 à 869 jours civils</w:t>
            </w:r>
          </w:p>
        </w:tc>
        <w:tc>
          <w:tcPr>
            <w:tcW w:w="9525" w:type="dxa"/>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10</w:t>
            </w:r>
          </w:p>
        </w:tc>
        <w:tc>
          <w:tcPr>
            <w:tcW w:w="0" w:type="auto"/>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w:t>
            </w:r>
          </w:p>
        </w:tc>
      </w:tr>
      <w:tr w:rsidR="00871A72" w:rsidRPr="004B6E75" w:rsidTr="00871A72">
        <w:trPr>
          <w:cantSplit/>
          <w:trHeight w:val="290"/>
          <w:tblHeader/>
          <w:jc w:val="center"/>
        </w:trPr>
        <w:tc>
          <w:tcPr>
            <w:tcW w:w="2830" w:type="dxa"/>
          </w:tcPr>
          <w:p w:rsidR="00871A72" w:rsidRPr="004B6E75" w:rsidRDefault="00871A72"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870 à 899 jours civils</w:t>
            </w:r>
          </w:p>
        </w:tc>
        <w:tc>
          <w:tcPr>
            <w:tcW w:w="9525" w:type="dxa"/>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4</w:t>
            </w:r>
          </w:p>
        </w:tc>
        <w:tc>
          <w:tcPr>
            <w:tcW w:w="0" w:type="auto"/>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0</w:t>
            </w:r>
          </w:p>
        </w:tc>
      </w:tr>
      <w:tr w:rsidR="00871A72" w:rsidRPr="004B6E75" w:rsidTr="00871A72">
        <w:trPr>
          <w:cantSplit/>
          <w:trHeight w:val="290"/>
          <w:tblHeader/>
          <w:jc w:val="center"/>
        </w:trPr>
        <w:tc>
          <w:tcPr>
            <w:tcW w:w="2830" w:type="dxa"/>
          </w:tcPr>
          <w:p w:rsidR="00871A72" w:rsidRPr="004B6E75" w:rsidRDefault="00871A72"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900 à 929 jours civils</w:t>
            </w:r>
          </w:p>
        </w:tc>
        <w:tc>
          <w:tcPr>
            <w:tcW w:w="9525" w:type="dxa"/>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5</w:t>
            </w:r>
          </w:p>
        </w:tc>
        <w:tc>
          <w:tcPr>
            <w:tcW w:w="0" w:type="auto"/>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3</w:t>
            </w:r>
          </w:p>
        </w:tc>
      </w:tr>
      <w:tr w:rsidR="00871A72" w:rsidRPr="004B6E75" w:rsidTr="00871A72">
        <w:trPr>
          <w:cantSplit/>
          <w:trHeight w:val="290"/>
          <w:tblHeader/>
          <w:jc w:val="center"/>
        </w:trPr>
        <w:tc>
          <w:tcPr>
            <w:tcW w:w="2830" w:type="dxa"/>
          </w:tcPr>
          <w:p w:rsidR="00871A72" w:rsidRPr="004B6E75" w:rsidRDefault="00871A72"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930 à 959 jours civils</w:t>
            </w:r>
          </w:p>
        </w:tc>
        <w:tc>
          <w:tcPr>
            <w:tcW w:w="9525" w:type="dxa"/>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4</w:t>
            </w:r>
          </w:p>
        </w:tc>
        <w:tc>
          <w:tcPr>
            <w:tcW w:w="0" w:type="auto"/>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1</w:t>
            </w:r>
          </w:p>
        </w:tc>
      </w:tr>
      <w:tr w:rsidR="00871A72" w:rsidRPr="004B6E75" w:rsidTr="00871A72">
        <w:trPr>
          <w:cantSplit/>
          <w:trHeight w:val="290"/>
          <w:tblHeader/>
          <w:jc w:val="center"/>
        </w:trPr>
        <w:tc>
          <w:tcPr>
            <w:tcW w:w="2830" w:type="dxa"/>
          </w:tcPr>
          <w:p w:rsidR="00871A72" w:rsidRPr="004B6E75" w:rsidRDefault="00871A72"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960 à 989 jours civils</w:t>
            </w:r>
          </w:p>
        </w:tc>
        <w:tc>
          <w:tcPr>
            <w:tcW w:w="9525" w:type="dxa"/>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3</w:t>
            </w:r>
          </w:p>
        </w:tc>
        <w:tc>
          <w:tcPr>
            <w:tcW w:w="0" w:type="auto"/>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0</w:t>
            </w:r>
          </w:p>
        </w:tc>
      </w:tr>
      <w:tr w:rsidR="00871A72" w:rsidRPr="004B6E75" w:rsidTr="00871A72">
        <w:trPr>
          <w:cantSplit/>
          <w:trHeight w:val="290"/>
          <w:tblHeader/>
          <w:jc w:val="center"/>
        </w:trPr>
        <w:tc>
          <w:tcPr>
            <w:tcW w:w="2830" w:type="dxa"/>
          </w:tcPr>
          <w:p w:rsidR="00871A72" w:rsidRPr="004B6E75" w:rsidRDefault="00871A72" w:rsidP="004E4DA1">
            <w:pPr>
              <w:autoSpaceDE w:val="0"/>
              <w:autoSpaceDN w:val="0"/>
              <w:adjustRightInd w:val="0"/>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Plus de 990 jours civils</w:t>
            </w:r>
          </w:p>
        </w:tc>
        <w:tc>
          <w:tcPr>
            <w:tcW w:w="9525" w:type="dxa"/>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23</w:t>
            </w:r>
          </w:p>
        </w:tc>
        <w:tc>
          <w:tcPr>
            <w:tcW w:w="0" w:type="auto"/>
          </w:tcPr>
          <w:p w:rsidR="00871A72" w:rsidRPr="004B6E75" w:rsidRDefault="00871A72" w:rsidP="004E4DA1">
            <w:pPr>
              <w:autoSpaceDE w:val="0"/>
              <w:autoSpaceDN w:val="0"/>
              <w:adjustRightInd w:val="0"/>
              <w:jc w:val="center"/>
              <w:rPr>
                <w:rFonts w:asciiTheme="minorHAnsi" w:eastAsiaTheme="minorHAnsi" w:hAnsiTheme="minorHAnsi" w:cstheme="minorHAnsi"/>
                <w:color w:val="000000"/>
                <w:sz w:val="22"/>
                <w:szCs w:val="22"/>
                <w:lang w:val="fr-CA"/>
              </w:rPr>
            </w:pPr>
            <w:r w:rsidRPr="004B6E75">
              <w:rPr>
                <w:rFonts w:asciiTheme="minorHAnsi" w:eastAsiaTheme="minorHAnsi" w:hAnsiTheme="minorHAnsi" w:cstheme="minorHAnsi"/>
                <w:color w:val="000000"/>
                <w:sz w:val="22"/>
                <w:szCs w:val="22"/>
                <w:lang w:val="fr-CA"/>
              </w:rPr>
              <w:t>0</w:t>
            </w:r>
          </w:p>
        </w:tc>
      </w:tr>
    </w:tbl>
    <w:p w:rsidR="00871A72" w:rsidRPr="004B6E75" w:rsidRDefault="00871A72" w:rsidP="00C37ED4">
      <w:pPr>
        <w:numPr>
          <w:ilvl w:val="0"/>
          <w:numId w:val="10"/>
        </w:numPr>
        <w:ind w:left="360"/>
        <w:rPr>
          <w:rFonts w:asciiTheme="minorHAnsi" w:hAnsiTheme="minorHAnsi" w:cstheme="minorHAnsi"/>
          <w:sz w:val="22"/>
          <w:szCs w:val="22"/>
          <w:lang w:val="fr-CA" w:eastAsia="en-CA"/>
        </w:rPr>
        <w:sectPr w:rsidR="00871A72" w:rsidRPr="004B6E75" w:rsidSect="00871A72">
          <w:pgSz w:w="24480" w:h="15840" w:orient="landscape" w:code="3"/>
          <w:pgMar w:top="720" w:right="720" w:bottom="720" w:left="720" w:header="708" w:footer="283" w:gutter="0"/>
          <w:cols w:space="708"/>
          <w:titlePg/>
          <w:docGrid w:linePitch="360"/>
        </w:sectPr>
      </w:pPr>
    </w:p>
    <w:p w:rsidR="00BB583B" w:rsidRPr="004B6E75" w:rsidRDefault="00BB583B" w:rsidP="00BB583B">
      <w:pPr>
        <w:pStyle w:val="Heading1"/>
        <w:rPr>
          <w:sz w:val="40"/>
          <w:lang w:val="fr-CA" w:eastAsia="en-CA"/>
        </w:rPr>
      </w:pPr>
      <w:r w:rsidRPr="004B6E75">
        <w:rPr>
          <w:sz w:val="40"/>
          <w:lang w:val="fr-CA" w:eastAsia="en-CA"/>
        </w:rPr>
        <w:lastRenderedPageBreak/>
        <w:t>Notes techniques</w:t>
      </w:r>
    </w:p>
    <w:p w:rsidR="002730B1" w:rsidRPr="004B6E75" w:rsidRDefault="002730B1" w:rsidP="00C37ED4">
      <w:pPr>
        <w:numPr>
          <w:ilvl w:val="0"/>
          <w:numId w:val="10"/>
        </w:numPr>
        <w:ind w:left="360"/>
        <w:rPr>
          <w:rFonts w:asciiTheme="minorHAnsi" w:hAnsiTheme="minorHAnsi" w:cstheme="minorHAnsi"/>
          <w:sz w:val="22"/>
          <w:szCs w:val="22"/>
          <w:lang w:val="fr-CA" w:eastAsia="en-CA"/>
        </w:rPr>
      </w:pPr>
      <w:r w:rsidRPr="004B6E75">
        <w:rPr>
          <w:rFonts w:asciiTheme="minorHAnsi" w:hAnsiTheme="minorHAnsi" w:cstheme="minorHAnsi"/>
          <w:sz w:val="22"/>
          <w:szCs w:val="22"/>
          <w:lang w:val="fr-CA" w:eastAsia="en-CA"/>
        </w:rPr>
        <w:t>Le temps nécessaire à la dotation – Nominations internes (TND-NI) est le nombre médian de jours civils entre la date d’ouverture d’une annonce interne et la date du premier avis de nomination ou de proposition de nomination (PANA) du Système de ressourcement de la fonction publique pour les postes internes de durée déterminée et indéterminée. Les PANA ne sont pas requis pour toutes les activités de dotation interne. Par conséquent, cette mesure se limite aux rapports sur les nominations promotionnels internes</w:t>
      </w:r>
    </w:p>
    <w:p w:rsidR="002730B1" w:rsidRPr="004B6E75" w:rsidRDefault="002730B1" w:rsidP="00C37ED4">
      <w:pPr>
        <w:numPr>
          <w:ilvl w:val="0"/>
          <w:numId w:val="10"/>
        </w:numPr>
        <w:ind w:left="360"/>
        <w:rPr>
          <w:rFonts w:asciiTheme="minorHAnsi" w:hAnsiTheme="minorHAnsi" w:cstheme="minorHAnsi"/>
          <w:sz w:val="22"/>
          <w:szCs w:val="22"/>
          <w:lang w:val="fr-CA" w:eastAsia="en-CA"/>
        </w:rPr>
      </w:pPr>
      <w:r w:rsidRPr="004B6E75">
        <w:rPr>
          <w:rFonts w:asciiTheme="minorHAnsi" w:hAnsiTheme="minorHAnsi" w:cstheme="minorHAnsi"/>
          <w:sz w:val="22"/>
          <w:szCs w:val="22"/>
          <w:lang w:val="fr-CA" w:eastAsia="en-CA"/>
        </w:rPr>
        <w:t>Seules les nominations à des postes de durée déterminée et les nominations à des postes pour une période indéterminée sont incluses (les mutations, les nominations occasionnelles et les nominations intérimaires sont exclues)</w:t>
      </w:r>
    </w:p>
    <w:p w:rsidR="002730B1" w:rsidRPr="004B6E75" w:rsidRDefault="002730B1" w:rsidP="00C37ED4">
      <w:pPr>
        <w:numPr>
          <w:ilvl w:val="0"/>
          <w:numId w:val="10"/>
        </w:numPr>
        <w:ind w:left="360"/>
        <w:rPr>
          <w:rFonts w:asciiTheme="minorHAnsi" w:hAnsiTheme="minorHAnsi" w:cstheme="minorHAnsi"/>
          <w:sz w:val="22"/>
          <w:szCs w:val="22"/>
          <w:lang w:val="fr-CA" w:eastAsia="en-CA"/>
        </w:rPr>
      </w:pPr>
      <w:r w:rsidRPr="004B6E75">
        <w:rPr>
          <w:rFonts w:asciiTheme="minorHAnsi" w:hAnsiTheme="minorHAnsi" w:cstheme="minorHAnsi"/>
          <w:sz w:val="22"/>
          <w:szCs w:val="22"/>
          <w:lang w:val="fr-CA" w:eastAsia="en-CA"/>
        </w:rPr>
        <w:t>Le temps nécessaire à la dotation - Nominations externes (TND-NE) est le nombre médian de jours civils entre la date d'ouverture d'une annonce externe et la date de la première nomination estimative d'une personne de l'extérieur d'une organisation assujettie à la Loi sur l'emploi dans la fonction publique pour les postes de durée déterminée et pour les postes pour une période indéterminée. Seules les nominations d’une durée déterminée et les nominations pour une période indéterminée sont incluses (les mutations, les nominations occasionnelles et les nominations intérimaires sont exclues)</w:t>
      </w:r>
    </w:p>
    <w:p w:rsidR="002730B1" w:rsidRPr="004B6E75" w:rsidRDefault="002730B1" w:rsidP="00C37ED4">
      <w:pPr>
        <w:numPr>
          <w:ilvl w:val="0"/>
          <w:numId w:val="10"/>
        </w:numPr>
        <w:ind w:left="360"/>
        <w:rPr>
          <w:rFonts w:asciiTheme="minorHAnsi" w:hAnsiTheme="minorHAnsi" w:cstheme="minorHAnsi"/>
          <w:sz w:val="22"/>
          <w:szCs w:val="22"/>
          <w:lang w:val="fr-CA" w:eastAsia="en-CA"/>
        </w:rPr>
      </w:pPr>
      <w:r w:rsidRPr="004B6E75">
        <w:rPr>
          <w:rFonts w:asciiTheme="minorHAnsi" w:hAnsiTheme="minorHAnsi" w:cstheme="minorHAnsi"/>
          <w:sz w:val="22"/>
          <w:szCs w:val="22"/>
          <w:lang w:val="fr-CA" w:eastAsia="en-CA"/>
        </w:rPr>
        <w:t>Parce que le lien des données entre les systèmes utilise un jumelage probabiliste, des erreurs de mesure sont donc possibles</w:t>
      </w:r>
    </w:p>
    <w:p w:rsidR="00BB583B" w:rsidRPr="004B6E75" w:rsidRDefault="00BB583B" w:rsidP="00BB583B">
      <w:pPr>
        <w:pStyle w:val="Heading1"/>
        <w:rPr>
          <w:sz w:val="40"/>
          <w:lang w:val="fr-CA" w:eastAsia="en-CA"/>
        </w:rPr>
      </w:pPr>
      <w:r w:rsidRPr="004B6E75">
        <w:rPr>
          <w:sz w:val="40"/>
          <w:lang w:val="fr-CA" w:eastAsia="en-CA"/>
        </w:rPr>
        <w:t>Sources</w:t>
      </w:r>
    </w:p>
    <w:p w:rsidR="002730B1" w:rsidRPr="004B6E75" w:rsidRDefault="002730B1" w:rsidP="00C37ED4">
      <w:pPr>
        <w:numPr>
          <w:ilvl w:val="0"/>
          <w:numId w:val="10"/>
        </w:numPr>
        <w:ind w:left="360"/>
        <w:rPr>
          <w:rFonts w:asciiTheme="minorHAnsi" w:hAnsiTheme="minorHAnsi" w:cstheme="minorHAnsi"/>
          <w:sz w:val="22"/>
          <w:szCs w:val="22"/>
          <w:lang w:val="fr-CA" w:eastAsia="en-CA"/>
        </w:rPr>
      </w:pPr>
      <w:r w:rsidRPr="004B6E75">
        <w:rPr>
          <w:rFonts w:asciiTheme="minorHAnsi" w:hAnsiTheme="minorHAnsi" w:cstheme="minorHAnsi"/>
          <w:sz w:val="22"/>
          <w:szCs w:val="22"/>
          <w:lang w:val="fr-CA" w:eastAsia="en-CA"/>
        </w:rPr>
        <w:t>Les données sur les activités d’embauche et de dotation sont tirées des renseignements du Fichier des titulaires du Secrétariat du Conseil du Trésor du Canada.  Le Fichier des titulaires est extrait du système de rémunération de Services publics et Approvisionnement Canada.  Les données constituent une estimation des activités d’embauche et de dotation des organisations.</w:t>
      </w:r>
    </w:p>
    <w:p w:rsidR="002730B1" w:rsidRPr="004B6E75" w:rsidRDefault="002730B1" w:rsidP="00C37ED4">
      <w:pPr>
        <w:numPr>
          <w:ilvl w:val="0"/>
          <w:numId w:val="10"/>
        </w:numPr>
        <w:ind w:left="360"/>
        <w:rPr>
          <w:rFonts w:asciiTheme="minorHAnsi" w:hAnsiTheme="minorHAnsi" w:cstheme="minorHAnsi"/>
          <w:sz w:val="22"/>
          <w:szCs w:val="22"/>
          <w:lang w:val="fr-CA" w:eastAsia="en-CA"/>
        </w:rPr>
      </w:pPr>
      <w:r w:rsidRPr="004B6E75">
        <w:rPr>
          <w:rFonts w:asciiTheme="minorHAnsi" w:hAnsiTheme="minorHAnsi" w:cstheme="minorHAnsi"/>
          <w:sz w:val="22"/>
          <w:szCs w:val="22"/>
          <w:lang w:val="fr-CA" w:eastAsia="en-CA"/>
        </w:rPr>
        <w:t>L’information du Système de gestion de l’information sur les priorités et du Système de ressourcement de la fonction publique est également utilisée pour déterminer si les processus de dotation sont annoncés ou non annoncés, et pour calculer la durée du processus de dotation.</w:t>
      </w:r>
    </w:p>
    <w:p w:rsidR="00A3677B" w:rsidRPr="004B6E75" w:rsidRDefault="002730B1" w:rsidP="00871A72">
      <w:pPr>
        <w:numPr>
          <w:ilvl w:val="0"/>
          <w:numId w:val="10"/>
        </w:numPr>
        <w:ind w:left="360"/>
        <w:rPr>
          <w:rFonts w:asciiTheme="minorHAnsi" w:hAnsiTheme="minorHAnsi" w:cstheme="minorHAnsi"/>
          <w:sz w:val="22"/>
          <w:szCs w:val="22"/>
          <w:lang w:val="fr-CA"/>
        </w:rPr>
      </w:pPr>
      <w:r w:rsidRPr="004B6E75">
        <w:rPr>
          <w:rFonts w:asciiTheme="minorHAnsi" w:hAnsiTheme="minorHAnsi" w:cstheme="minorHAnsi"/>
          <w:sz w:val="22"/>
          <w:szCs w:val="22"/>
          <w:lang w:val="fr-CA" w:eastAsia="en-CA"/>
        </w:rPr>
        <w:t>Ces données ne correspondent pas nécessairement aux donnés sur les ressources humaines de chaque organisation en raison des différences de méthodologie et de</w:t>
      </w:r>
      <w:r w:rsidR="00871A72" w:rsidRPr="004B6E75">
        <w:rPr>
          <w:rFonts w:asciiTheme="minorHAnsi" w:hAnsiTheme="minorHAnsi" w:cstheme="minorHAnsi"/>
          <w:sz w:val="22"/>
          <w:szCs w:val="22"/>
          <w:lang w:val="fr-CA" w:eastAsia="en-CA"/>
        </w:rPr>
        <w:t>s périodes visées par l’analyse</w:t>
      </w:r>
    </w:p>
    <w:sectPr w:rsidR="00A3677B" w:rsidRPr="004B6E75" w:rsidSect="00043331">
      <w:pgSz w:w="12240" w:h="15840"/>
      <w:pgMar w:top="720" w:right="720" w:bottom="720" w:left="720" w:header="708"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E70" w:rsidRDefault="00102E70" w:rsidP="0051557E">
      <w:r>
        <w:separator/>
      </w:r>
    </w:p>
  </w:endnote>
  <w:endnote w:type="continuationSeparator" w:id="0">
    <w:p w:rsidR="00102E70" w:rsidRDefault="00102E70" w:rsidP="0051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301523"/>
      <w:docPartObj>
        <w:docPartGallery w:val="Page Numbers (Bottom of Page)"/>
        <w:docPartUnique/>
      </w:docPartObj>
    </w:sdtPr>
    <w:sdtEndPr/>
    <w:sdtContent>
      <w:p w:rsidR="00102E70" w:rsidRDefault="00102E70">
        <w:pPr>
          <w:pStyle w:val="Footer"/>
        </w:pPr>
        <w:r>
          <w:fldChar w:fldCharType="begin"/>
        </w:r>
        <w:r>
          <w:instrText>PAGE   \* MERGEFORMAT</w:instrText>
        </w:r>
        <w:r>
          <w:fldChar w:fldCharType="separate"/>
        </w:r>
        <w:r w:rsidR="00F337FF" w:rsidRPr="00F337FF">
          <w:rPr>
            <w:noProof/>
            <w:lang w:val="fr-FR"/>
          </w:rPr>
          <w:t>2</w:t>
        </w:r>
        <w:r>
          <w:fldChar w:fldCharType="end"/>
        </w:r>
      </w:p>
    </w:sdtContent>
  </w:sdt>
  <w:p w:rsidR="00102E70" w:rsidRDefault="00102E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0978821"/>
      <w:docPartObj>
        <w:docPartGallery w:val="Page Numbers (Bottom of Page)"/>
        <w:docPartUnique/>
      </w:docPartObj>
    </w:sdtPr>
    <w:sdtEndPr/>
    <w:sdtContent>
      <w:p w:rsidR="00637E9F" w:rsidRDefault="00637E9F">
        <w:pPr>
          <w:pStyle w:val="Footer"/>
        </w:pPr>
        <w:r>
          <w:fldChar w:fldCharType="begin"/>
        </w:r>
        <w:r>
          <w:instrText>PAGE   \* MERGEFORMAT</w:instrText>
        </w:r>
        <w:r>
          <w:fldChar w:fldCharType="separate"/>
        </w:r>
        <w:r w:rsidR="00F337FF" w:rsidRPr="00F337FF">
          <w:rPr>
            <w:noProof/>
            <w:lang w:val="fr-FR"/>
          </w:rPr>
          <w:t>21</w:t>
        </w:r>
        <w:r>
          <w:fldChar w:fldCharType="end"/>
        </w:r>
      </w:p>
    </w:sdtContent>
  </w:sdt>
  <w:p w:rsidR="00637E9F" w:rsidRDefault="00637E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3503283"/>
      <w:docPartObj>
        <w:docPartGallery w:val="Page Numbers (Bottom of Page)"/>
        <w:docPartUnique/>
      </w:docPartObj>
    </w:sdtPr>
    <w:sdtEndPr/>
    <w:sdtContent>
      <w:p w:rsidR="00102E70" w:rsidRDefault="00102E70">
        <w:pPr>
          <w:pStyle w:val="Footer"/>
        </w:pPr>
        <w:r>
          <w:fldChar w:fldCharType="begin"/>
        </w:r>
        <w:r>
          <w:instrText>PAGE   \* MERGEFORMAT</w:instrText>
        </w:r>
        <w:r>
          <w:fldChar w:fldCharType="separate"/>
        </w:r>
        <w:r w:rsidR="00F337FF" w:rsidRPr="00F337FF">
          <w:rPr>
            <w:noProof/>
            <w:lang w:val="fr-FR"/>
          </w:rPr>
          <w:t>22</w:t>
        </w:r>
        <w:r>
          <w:fldChar w:fldCharType="end"/>
        </w:r>
      </w:p>
    </w:sdtContent>
  </w:sdt>
  <w:p w:rsidR="00102E70" w:rsidRPr="008A6060" w:rsidRDefault="00102E70" w:rsidP="001146A7">
    <w:pPr>
      <w:pStyle w:val="Footer"/>
      <w:rPr>
        <w:lang w:val="fr-C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E70" w:rsidRDefault="00102E70" w:rsidP="0051557E">
      <w:r>
        <w:separator/>
      </w:r>
    </w:p>
  </w:footnote>
  <w:footnote w:type="continuationSeparator" w:id="0">
    <w:p w:rsidR="00102E70" w:rsidRDefault="00102E70" w:rsidP="00515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E70" w:rsidRDefault="00102E70" w:rsidP="0051557E">
    <w:pPr>
      <w:pStyle w:val="Header"/>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45A0D"/>
    <w:multiLevelType w:val="hybridMultilevel"/>
    <w:tmpl w:val="CFE4E61A"/>
    <w:lvl w:ilvl="0" w:tplc="4D7CDC26">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86F2268"/>
    <w:multiLevelType w:val="hybridMultilevel"/>
    <w:tmpl w:val="4C642BA6"/>
    <w:lvl w:ilvl="0" w:tplc="E084BEB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7E374A2"/>
    <w:multiLevelType w:val="hybridMultilevel"/>
    <w:tmpl w:val="5CA82E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98E5A3D"/>
    <w:multiLevelType w:val="hybridMultilevel"/>
    <w:tmpl w:val="70D89B88"/>
    <w:lvl w:ilvl="0" w:tplc="10090001">
      <w:start w:val="1"/>
      <w:numFmt w:val="bullet"/>
      <w:lvlText w:val=""/>
      <w:lvlJc w:val="left"/>
      <w:pPr>
        <w:ind w:left="360" w:hanging="360"/>
      </w:pPr>
      <w:rPr>
        <w:rFonts w:ascii="Symbol" w:hAnsi="Symbol" w:hint="default"/>
      </w:rPr>
    </w:lvl>
    <w:lvl w:ilvl="1" w:tplc="363019FC">
      <w:numFmt w:val="bullet"/>
      <w:lvlText w:val="-"/>
      <w:lvlJc w:val="left"/>
      <w:pPr>
        <w:ind w:left="1080" w:hanging="360"/>
      </w:pPr>
      <w:rPr>
        <w:rFonts w:ascii="Arial" w:eastAsia="Times New Roman" w:hAnsi="Arial"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2BC84B0D"/>
    <w:multiLevelType w:val="hybridMultilevel"/>
    <w:tmpl w:val="EEFE1F2C"/>
    <w:lvl w:ilvl="0" w:tplc="4D7CDC26">
      <w:start w:val="1"/>
      <w:numFmt w:val="bullet"/>
      <w:lvlText w:val=""/>
      <w:lvlJc w:val="left"/>
      <w:pPr>
        <w:ind w:left="1083" w:hanging="360"/>
      </w:pPr>
      <w:rPr>
        <w:rFonts w:ascii="Symbol" w:hAnsi="Symbol" w:hint="default"/>
        <w:color w:val="auto"/>
      </w:rPr>
    </w:lvl>
    <w:lvl w:ilvl="1" w:tplc="10090003" w:tentative="1">
      <w:start w:val="1"/>
      <w:numFmt w:val="bullet"/>
      <w:lvlText w:val="o"/>
      <w:lvlJc w:val="left"/>
      <w:pPr>
        <w:ind w:left="1803" w:hanging="360"/>
      </w:pPr>
      <w:rPr>
        <w:rFonts w:ascii="Courier New" w:hAnsi="Courier New" w:cs="Courier New" w:hint="default"/>
      </w:rPr>
    </w:lvl>
    <w:lvl w:ilvl="2" w:tplc="10090005" w:tentative="1">
      <w:start w:val="1"/>
      <w:numFmt w:val="bullet"/>
      <w:lvlText w:val=""/>
      <w:lvlJc w:val="left"/>
      <w:pPr>
        <w:ind w:left="2523" w:hanging="360"/>
      </w:pPr>
      <w:rPr>
        <w:rFonts w:ascii="Wingdings" w:hAnsi="Wingdings" w:hint="default"/>
      </w:rPr>
    </w:lvl>
    <w:lvl w:ilvl="3" w:tplc="10090001" w:tentative="1">
      <w:start w:val="1"/>
      <w:numFmt w:val="bullet"/>
      <w:lvlText w:val=""/>
      <w:lvlJc w:val="left"/>
      <w:pPr>
        <w:ind w:left="3243" w:hanging="360"/>
      </w:pPr>
      <w:rPr>
        <w:rFonts w:ascii="Symbol" w:hAnsi="Symbol" w:hint="default"/>
      </w:rPr>
    </w:lvl>
    <w:lvl w:ilvl="4" w:tplc="10090003" w:tentative="1">
      <w:start w:val="1"/>
      <w:numFmt w:val="bullet"/>
      <w:lvlText w:val="o"/>
      <w:lvlJc w:val="left"/>
      <w:pPr>
        <w:ind w:left="3963" w:hanging="360"/>
      </w:pPr>
      <w:rPr>
        <w:rFonts w:ascii="Courier New" w:hAnsi="Courier New" w:cs="Courier New" w:hint="default"/>
      </w:rPr>
    </w:lvl>
    <w:lvl w:ilvl="5" w:tplc="10090005" w:tentative="1">
      <w:start w:val="1"/>
      <w:numFmt w:val="bullet"/>
      <w:lvlText w:val=""/>
      <w:lvlJc w:val="left"/>
      <w:pPr>
        <w:ind w:left="4683" w:hanging="360"/>
      </w:pPr>
      <w:rPr>
        <w:rFonts w:ascii="Wingdings" w:hAnsi="Wingdings" w:hint="default"/>
      </w:rPr>
    </w:lvl>
    <w:lvl w:ilvl="6" w:tplc="10090001" w:tentative="1">
      <w:start w:val="1"/>
      <w:numFmt w:val="bullet"/>
      <w:lvlText w:val=""/>
      <w:lvlJc w:val="left"/>
      <w:pPr>
        <w:ind w:left="5403" w:hanging="360"/>
      </w:pPr>
      <w:rPr>
        <w:rFonts w:ascii="Symbol" w:hAnsi="Symbol" w:hint="default"/>
      </w:rPr>
    </w:lvl>
    <w:lvl w:ilvl="7" w:tplc="10090003" w:tentative="1">
      <w:start w:val="1"/>
      <w:numFmt w:val="bullet"/>
      <w:lvlText w:val="o"/>
      <w:lvlJc w:val="left"/>
      <w:pPr>
        <w:ind w:left="6123" w:hanging="360"/>
      </w:pPr>
      <w:rPr>
        <w:rFonts w:ascii="Courier New" w:hAnsi="Courier New" w:cs="Courier New" w:hint="default"/>
      </w:rPr>
    </w:lvl>
    <w:lvl w:ilvl="8" w:tplc="10090005" w:tentative="1">
      <w:start w:val="1"/>
      <w:numFmt w:val="bullet"/>
      <w:lvlText w:val=""/>
      <w:lvlJc w:val="left"/>
      <w:pPr>
        <w:ind w:left="6843" w:hanging="360"/>
      </w:pPr>
      <w:rPr>
        <w:rFonts w:ascii="Wingdings" w:hAnsi="Wingdings" w:hint="default"/>
      </w:rPr>
    </w:lvl>
  </w:abstractNum>
  <w:abstractNum w:abstractNumId="5" w15:restartNumberingAfterBreak="0">
    <w:nsid w:val="2E040480"/>
    <w:multiLevelType w:val="hybridMultilevel"/>
    <w:tmpl w:val="878682A0"/>
    <w:lvl w:ilvl="0" w:tplc="4D7CDC2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05B4CB3"/>
    <w:multiLevelType w:val="hybridMultilevel"/>
    <w:tmpl w:val="4B3837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07A6417"/>
    <w:multiLevelType w:val="hybridMultilevel"/>
    <w:tmpl w:val="39FABF78"/>
    <w:lvl w:ilvl="0" w:tplc="2AA66DAA">
      <w:numFmt w:val="bullet"/>
      <w:lvlText w:val="-"/>
      <w:lvlJc w:val="left"/>
      <w:pPr>
        <w:ind w:left="1080" w:hanging="360"/>
      </w:pPr>
      <w:rPr>
        <w:rFonts w:ascii="Arial" w:eastAsiaTheme="minorHAnsi" w:hAnsi="Arial" w:cs="Arial" w:hint="default"/>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3112405F"/>
    <w:multiLevelType w:val="hybridMultilevel"/>
    <w:tmpl w:val="68A28780"/>
    <w:lvl w:ilvl="0" w:tplc="7C82211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6ED6957"/>
    <w:multiLevelType w:val="hybridMultilevel"/>
    <w:tmpl w:val="EDBCE650"/>
    <w:lvl w:ilvl="0" w:tplc="4D7CDC26">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90D5788"/>
    <w:multiLevelType w:val="hybridMultilevel"/>
    <w:tmpl w:val="AF2A80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DBD2DBF"/>
    <w:multiLevelType w:val="hybridMultilevel"/>
    <w:tmpl w:val="657CDC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7DC19D5"/>
    <w:multiLevelType w:val="hybridMultilevel"/>
    <w:tmpl w:val="0D12BF12"/>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5392DC6"/>
    <w:multiLevelType w:val="hybridMultilevel"/>
    <w:tmpl w:val="2090ADEA"/>
    <w:lvl w:ilvl="0" w:tplc="4D7CDC2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A3142FE"/>
    <w:multiLevelType w:val="hybridMultilevel"/>
    <w:tmpl w:val="7D6C3346"/>
    <w:lvl w:ilvl="0" w:tplc="E084BEB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2603743"/>
    <w:multiLevelType w:val="hybridMultilevel"/>
    <w:tmpl w:val="80F83EE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63656CB2"/>
    <w:multiLevelType w:val="hybridMultilevel"/>
    <w:tmpl w:val="6DFE1124"/>
    <w:lvl w:ilvl="0" w:tplc="4D7CDC2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CBA6217"/>
    <w:multiLevelType w:val="hybridMultilevel"/>
    <w:tmpl w:val="EAC4FDE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18" w15:restartNumberingAfterBreak="0">
    <w:nsid w:val="7276730E"/>
    <w:multiLevelType w:val="hybridMultilevel"/>
    <w:tmpl w:val="97562BC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73333A32"/>
    <w:multiLevelType w:val="hybridMultilevel"/>
    <w:tmpl w:val="8776397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7F857333"/>
    <w:multiLevelType w:val="hybridMultilevel"/>
    <w:tmpl w:val="564E671E"/>
    <w:lvl w:ilvl="0" w:tplc="2AA66DAA">
      <w:numFmt w:val="bullet"/>
      <w:lvlText w:val="-"/>
      <w:lvlJc w:val="left"/>
      <w:pPr>
        <w:ind w:left="1080" w:hanging="360"/>
      </w:pPr>
      <w:rPr>
        <w:rFonts w:ascii="Arial" w:eastAsiaTheme="minorHAns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2"/>
  </w:num>
  <w:num w:numId="5">
    <w:abstractNumId w:val="18"/>
  </w:num>
  <w:num w:numId="6">
    <w:abstractNumId w:val="12"/>
  </w:num>
  <w:num w:numId="7">
    <w:abstractNumId w:val="3"/>
  </w:num>
  <w:num w:numId="8">
    <w:abstractNumId w:val="15"/>
  </w:num>
  <w:num w:numId="9">
    <w:abstractNumId w:val="19"/>
  </w:num>
  <w:num w:numId="10">
    <w:abstractNumId w:val="6"/>
  </w:num>
  <w:num w:numId="11">
    <w:abstractNumId w:val="1"/>
  </w:num>
  <w:num w:numId="12">
    <w:abstractNumId w:val="20"/>
  </w:num>
  <w:num w:numId="13">
    <w:abstractNumId w:val="13"/>
  </w:num>
  <w:num w:numId="14">
    <w:abstractNumId w:val="7"/>
  </w:num>
  <w:num w:numId="15">
    <w:abstractNumId w:val="9"/>
  </w:num>
  <w:num w:numId="16">
    <w:abstractNumId w:val="0"/>
  </w:num>
  <w:num w:numId="17">
    <w:abstractNumId w:val="16"/>
  </w:num>
  <w:num w:numId="18">
    <w:abstractNumId w:val="5"/>
  </w:num>
  <w:num w:numId="19">
    <w:abstractNumId w:val="4"/>
  </w:num>
  <w:num w:numId="20">
    <w:abstractNumId w:val="17"/>
  </w:num>
  <w:num w:numId="21">
    <w:abstractNumId w:val="14"/>
  </w:num>
  <w:num w:numId="22">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16385"/>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0B1"/>
    <w:rsid w:val="00043331"/>
    <w:rsid w:val="0007479A"/>
    <w:rsid w:val="000D2849"/>
    <w:rsid w:val="00102E70"/>
    <w:rsid w:val="001146A7"/>
    <w:rsid w:val="00171F66"/>
    <w:rsid w:val="00191FC1"/>
    <w:rsid w:val="001B7377"/>
    <w:rsid w:val="001D1257"/>
    <w:rsid w:val="001D6BF4"/>
    <w:rsid w:val="001D7965"/>
    <w:rsid w:val="001F3451"/>
    <w:rsid w:val="00210749"/>
    <w:rsid w:val="00224B48"/>
    <w:rsid w:val="00244CD0"/>
    <w:rsid w:val="00252164"/>
    <w:rsid w:val="002730B1"/>
    <w:rsid w:val="002A57E2"/>
    <w:rsid w:val="002C5784"/>
    <w:rsid w:val="002E292B"/>
    <w:rsid w:val="002E5563"/>
    <w:rsid w:val="003C6ED7"/>
    <w:rsid w:val="004361DD"/>
    <w:rsid w:val="00450EAF"/>
    <w:rsid w:val="00483378"/>
    <w:rsid w:val="004A2B32"/>
    <w:rsid w:val="004B0448"/>
    <w:rsid w:val="004B1B4F"/>
    <w:rsid w:val="004B6E75"/>
    <w:rsid w:val="004D279E"/>
    <w:rsid w:val="004E4DA1"/>
    <w:rsid w:val="004E6D76"/>
    <w:rsid w:val="004F5A03"/>
    <w:rsid w:val="004F697D"/>
    <w:rsid w:val="0051557E"/>
    <w:rsid w:val="00536B6B"/>
    <w:rsid w:val="00592130"/>
    <w:rsid w:val="005A1C07"/>
    <w:rsid w:val="005D05F2"/>
    <w:rsid w:val="006077F1"/>
    <w:rsid w:val="00616191"/>
    <w:rsid w:val="00627CBF"/>
    <w:rsid w:val="00637E9F"/>
    <w:rsid w:val="00643FFC"/>
    <w:rsid w:val="00692A3B"/>
    <w:rsid w:val="006C0BB7"/>
    <w:rsid w:val="006F0DEB"/>
    <w:rsid w:val="007326F3"/>
    <w:rsid w:val="00776C41"/>
    <w:rsid w:val="007E17D1"/>
    <w:rsid w:val="00814553"/>
    <w:rsid w:val="00842D9B"/>
    <w:rsid w:val="00871A72"/>
    <w:rsid w:val="008A0A9C"/>
    <w:rsid w:val="008C6D1C"/>
    <w:rsid w:val="008F27B5"/>
    <w:rsid w:val="008F7415"/>
    <w:rsid w:val="009766E4"/>
    <w:rsid w:val="00995175"/>
    <w:rsid w:val="00997D3F"/>
    <w:rsid w:val="009D3D2F"/>
    <w:rsid w:val="00A12E1A"/>
    <w:rsid w:val="00A24B59"/>
    <w:rsid w:val="00A333CD"/>
    <w:rsid w:val="00A355B6"/>
    <w:rsid w:val="00A3677B"/>
    <w:rsid w:val="00A47C97"/>
    <w:rsid w:val="00A77330"/>
    <w:rsid w:val="00A810C2"/>
    <w:rsid w:val="00A85339"/>
    <w:rsid w:val="00AC455C"/>
    <w:rsid w:val="00AC527F"/>
    <w:rsid w:val="00B017BB"/>
    <w:rsid w:val="00B03FEE"/>
    <w:rsid w:val="00BB583B"/>
    <w:rsid w:val="00BB77C1"/>
    <w:rsid w:val="00BD1B18"/>
    <w:rsid w:val="00BF6299"/>
    <w:rsid w:val="00C378BC"/>
    <w:rsid w:val="00C37ED4"/>
    <w:rsid w:val="00C442A6"/>
    <w:rsid w:val="00C562F1"/>
    <w:rsid w:val="00C70814"/>
    <w:rsid w:val="00CF1E2F"/>
    <w:rsid w:val="00D44E51"/>
    <w:rsid w:val="00D47D2C"/>
    <w:rsid w:val="00D73041"/>
    <w:rsid w:val="00D7525F"/>
    <w:rsid w:val="00DB2449"/>
    <w:rsid w:val="00DE6682"/>
    <w:rsid w:val="00DE72C9"/>
    <w:rsid w:val="00E73BE6"/>
    <w:rsid w:val="00E84A67"/>
    <w:rsid w:val="00E965C2"/>
    <w:rsid w:val="00ED3C47"/>
    <w:rsid w:val="00ED7F0A"/>
    <w:rsid w:val="00F337FF"/>
    <w:rsid w:val="00F67606"/>
    <w:rsid w:val="00F75322"/>
    <w:rsid w:val="00F978A8"/>
    <w:rsid w:val="00FA30D6"/>
    <w:rsid w:val="00FB6E21"/>
    <w:rsid w:val="00FC63A1"/>
    <w:rsid w:val="00FE5A30"/>
    <w:rsid w:val="00FE79F7"/>
    <w:rsid w:val="00FE7E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33513534-4746-4AA5-83F4-8AB51259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0B1"/>
    <w:rPr>
      <w:rFonts w:ascii="Times New Roman" w:eastAsia="Times New Roman" w:hAnsi="Times New Roman" w:cs="Times New Roman"/>
      <w:sz w:val="24"/>
      <w:szCs w:val="20"/>
      <w:lang w:val="en-US"/>
    </w:rPr>
  </w:style>
  <w:style w:type="paragraph" w:styleId="Heading1">
    <w:name w:val="heading 1"/>
    <w:basedOn w:val="Normal"/>
    <w:next w:val="Normal"/>
    <w:link w:val="Heading1Char"/>
    <w:uiPriority w:val="9"/>
    <w:qFormat/>
    <w:rsid w:val="00210749"/>
    <w:pPr>
      <w:keepNext/>
      <w:spacing w:before="240"/>
      <w:outlineLvl w:val="0"/>
    </w:pPr>
    <w:rPr>
      <w:rFonts w:asciiTheme="majorHAnsi" w:eastAsiaTheme="majorEastAsia" w:hAnsiTheme="majorHAnsi" w:cstheme="majorBidi"/>
      <w:sz w:val="48"/>
      <w:szCs w:val="48"/>
    </w:rPr>
  </w:style>
  <w:style w:type="paragraph" w:styleId="Heading2">
    <w:name w:val="heading 2"/>
    <w:basedOn w:val="Normal"/>
    <w:next w:val="Normal"/>
    <w:link w:val="Heading2Char"/>
    <w:uiPriority w:val="9"/>
    <w:unhideWhenUsed/>
    <w:qFormat/>
    <w:rsid w:val="00210749"/>
    <w:pPr>
      <w:keepNext/>
      <w:spacing w:before="40"/>
      <w:outlineLvl w:val="1"/>
    </w:pPr>
    <w:rPr>
      <w:rFonts w:ascii="Segoe UI" w:eastAsiaTheme="majorEastAsia" w:hAnsi="Segoe UI" w:cs="Segoe UI"/>
      <w:b/>
      <w:color w:val="5B315E" w:themeColor="accent2"/>
      <w:sz w:val="32"/>
      <w:szCs w:val="32"/>
    </w:rPr>
  </w:style>
  <w:style w:type="paragraph" w:styleId="Heading3">
    <w:name w:val="heading 3"/>
    <w:basedOn w:val="Normal"/>
    <w:next w:val="Normal"/>
    <w:link w:val="Heading3Char"/>
    <w:uiPriority w:val="9"/>
    <w:unhideWhenUsed/>
    <w:qFormat/>
    <w:rsid w:val="00210749"/>
    <w:pPr>
      <w:keepNext/>
      <w:spacing w:before="40"/>
      <w:outlineLvl w:val="2"/>
    </w:pPr>
    <w:rPr>
      <w:rFonts w:ascii="Segoe UI Semibold" w:eastAsiaTheme="majorEastAsia" w:hAnsi="Segoe UI Semibold" w:cs="Segoe UI Semibold"/>
      <w:szCs w:val="24"/>
    </w:rPr>
  </w:style>
  <w:style w:type="paragraph" w:styleId="Heading4">
    <w:name w:val="heading 4"/>
    <w:basedOn w:val="Normal"/>
    <w:next w:val="Normal"/>
    <w:link w:val="Heading4Char"/>
    <w:uiPriority w:val="9"/>
    <w:unhideWhenUsed/>
    <w:qFormat/>
    <w:rsid w:val="00210749"/>
    <w:pPr>
      <w:keepNext/>
      <w:spacing w:before="40"/>
      <w:outlineLvl w:val="3"/>
    </w:pPr>
    <w:rPr>
      <w:rFonts w:asciiTheme="majorHAnsi" w:eastAsiaTheme="majorEastAsia" w:hAnsiTheme="majorHAnsi" w:cstheme="majorBidi"/>
      <w:iCs/>
      <w:color w:val="54575A" w:themeColor="text2"/>
    </w:rPr>
  </w:style>
  <w:style w:type="paragraph" w:styleId="Heading5">
    <w:name w:val="heading 5"/>
    <w:basedOn w:val="Normal"/>
    <w:next w:val="Normal"/>
    <w:link w:val="Heading5Char"/>
    <w:uiPriority w:val="9"/>
    <w:unhideWhenUsed/>
    <w:qFormat/>
    <w:rsid w:val="00210749"/>
    <w:pPr>
      <w:keepNext/>
      <w:spacing w:before="40"/>
      <w:outlineLvl w:val="4"/>
    </w:pPr>
    <w:rPr>
      <w:rFonts w:asciiTheme="majorHAnsi" w:eastAsiaTheme="majorEastAsia" w:hAnsiTheme="majorHAnsi" w:cstheme="majorBidi"/>
      <w:color w:val="9F004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749"/>
    <w:rPr>
      <w:rFonts w:asciiTheme="majorHAnsi" w:eastAsiaTheme="majorEastAsia" w:hAnsiTheme="majorHAnsi" w:cstheme="majorBidi"/>
      <w:color w:val="54575A" w:themeColor="text1"/>
      <w:sz w:val="48"/>
      <w:szCs w:val="48"/>
      <w:lang w:val="fr-CA"/>
    </w:rPr>
  </w:style>
  <w:style w:type="character" w:customStyle="1" w:styleId="Heading2Char">
    <w:name w:val="Heading 2 Char"/>
    <w:basedOn w:val="DefaultParagraphFont"/>
    <w:link w:val="Heading2"/>
    <w:uiPriority w:val="9"/>
    <w:rsid w:val="00210749"/>
    <w:rPr>
      <w:rFonts w:ascii="Segoe UI" w:eastAsiaTheme="majorEastAsia" w:hAnsi="Segoe UI" w:cs="Segoe UI"/>
      <w:b/>
      <w:color w:val="5B315E" w:themeColor="accent2"/>
      <w:sz w:val="32"/>
      <w:szCs w:val="32"/>
      <w:lang w:val="fr-CA"/>
    </w:rPr>
  </w:style>
  <w:style w:type="character" w:customStyle="1" w:styleId="Heading3Char">
    <w:name w:val="Heading 3 Char"/>
    <w:basedOn w:val="DefaultParagraphFont"/>
    <w:link w:val="Heading3"/>
    <w:uiPriority w:val="9"/>
    <w:rsid w:val="00210749"/>
    <w:rPr>
      <w:rFonts w:ascii="Segoe UI Semibold" w:eastAsiaTheme="majorEastAsia" w:hAnsi="Segoe UI Semibold" w:cs="Segoe UI Semibold"/>
      <w:color w:val="54575A" w:themeColor="text1"/>
      <w:sz w:val="24"/>
      <w:szCs w:val="24"/>
      <w:lang w:val="fr-CA"/>
    </w:rPr>
  </w:style>
  <w:style w:type="character" w:customStyle="1" w:styleId="Heading4Char">
    <w:name w:val="Heading 4 Char"/>
    <w:basedOn w:val="DefaultParagraphFont"/>
    <w:link w:val="Heading4"/>
    <w:uiPriority w:val="9"/>
    <w:rsid w:val="00210749"/>
    <w:rPr>
      <w:rFonts w:asciiTheme="majorHAnsi" w:eastAsiaTheme="majorEastAsia" w:hAnsiTheme="majorHAnsi" w:cstheme="majorBidi"/>
      <w:iCs/>
      <w:color w:val="54575A" w:themeColor="text2"/>
      <w:lang w:val="fr-CA"/>
    </w:rPr>
  </w:style>
  <w:style w:type="character" w:customStyle="1" w:styleId="Heading5Char">
    <w:name w:val="Heading 5 Char"/>
    <w:basedOn w:val="DefaultParagraphFont"/>
    <w:link w:val="Heading5"/>
    <w:uiPriority w:val="9"/>
    <w:rsid w:val="00210749"/>
    <w:rPr>
      <w:rFonts w:asciiTheme="majorHAnsi" w:eastAsiaTheme="majorEastAsia" w:hAnsiTheme="majorHAnsi" w:cstheme="majorBidi"/>
      <w:color w:val="9F0040" w:themeColor="accent1" w:themeShade="BF"/>
      <w:lang w:val="fr-CA"/>
    </w:rPr>
  </w:style>
  <w:style w:type="paragraph" w:styleId="Header">
    <w:name w:val="header"/>
    <w:basedOn w:val="Normal"/>
    <w:link w:val="HeaderChar"/>
    <w:uiPriority w:val="99"/>
    <w:unhideWhenUsed/>
    <w:rsid w:val="00210749"/>
    <w:pPr>
      <w:tabs>
        <w:tab w:val="center" w:pos="4680"/>
        <w:tab w:val="right" w:pos="9360"/>
      </w:tabs>
    </w:pPr>
  </w:style>
  <w:style w:type="character" w:customStyle="1" w:styleId="HeaderChar">
    <w:name w:val="Header Char"/>
    <w:basedOn w:val="DefaultParagraphFont"/>
    <w:link w:val="Header"/>
    <w:uiPriority w:val="99"/>
    <w:rsid w:val="00210749"/>
    <w:rPr>
      <w:color w:val="54575A" w:themeColor="text1"/>
      <w:lang w:val="fr-CA"/>
    </w:rPr>
  </w:style>
  <w:style w:type="paragraph" w:styleId="Footer">
    <w:name w:val="footer"/>
    <w:basedOn w:val="Normal"/>
    <w:link w:val="FooterChar"/>
    <w:uiPriority w:val="99"/>
    <w:unhideWhenUsed/>
    <w:rsid w:val="00210749"/>
    <w:pPr>
      <w:tabs>
        <w:tab w:val="center" w:pos="4680"/>
        <w:tab w:val="right" w:pos="9360"/>
      </w:tabs>
    </w:pPr>
  </w:style>
  <w:style w:type="character" w:customStyle="1" w:styleId="FooterChar">
    <w:name w:val="Footer Char"/>
    <w:basedOn w:val="DefaultParagraphFont"/>
    <w:link w:val="Footer"/>
    <w:uiPriority w:val="99"/>
    <w:rsid w:val="00210749"/>
    <w:rPr>
      <w:color w:val="54575A" w:themeColor="text1"/>
      <w:lang w:val="fr-CA"/>
    </w:rPr>
  </w:style>
  <w:style w:type="paragraph" w:styleId="BalloonText">
    <w:name w:val="Balloon Text"/>
    <w:basedOn w:val="Normal"/>
    <w:link w:val="BalloonTextChar"/>
    <w:uiPriority w:val="99"/>
    <w:semiHidden/>
    <w:unhideWhenUsed/>
    <w:rsid w:val="002107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749"/>
    <w:rPr>
      <w:rFonts w:ascii="Segoe UI" w:hAnsi="Segoe UI" w:cs="Segoe UI"/>
      <w:color w:val="54575A" w:themeColor="text1"/>
      <w:sz w:val="18"/>
      <w:szCs w:val="18"/>
      <w:lang w:val="fr-CA"/>
    </w:rPr>
  </w:style>
  <w:style w:type="paragraph" w:customStyle="1" w:styleId="ColumnTitle">
    <w:name w:val="Column Title"/>
    <w:basedOn w:val="Normal"/>
    <w:qFormat/>
    <w:rsid w:val="00210749"/>
    <w:rPr>
      <w:rFonts w:ascii="Segoe UI Semibold" w:hAnsi="Segoe UI Semibold" w:cs="Segoe UI Semibold"/>
      <w:color w:val="F2F2F2" w:themeColor="background2"/>
      <w:szCs w:val="24"/>
    </w:rPr>
  </w:style>
  <w:style w:type="paragraph" w:customStyle="1" w:styleId="DataText">
    <w:name w:val="Data Text"/>
    <w:basedOn w:val="Normal"/>
    <w:qFormat/>
    <w:rsid w:val="00210749"/>
  </w:style>
  <w:style w:type="character" w:styleId="FootnoteReference">
    <w:name w:val="footnote reference"/>
    <w:basedOn w:val="DefaultParagraphFont"/>
    <w:uiPriority w:val="99"/>
    <w:semiHidden/>
    <w:unhideWhenUsed/>
    <w:rsid w:val="00210749"/>
    <w:rPr>
      <w:vertAlign w:val="superscript"/>
    </w:rPr>
  </w:style>
  <w:style w:type="paragraph" w:styleId="FootnoteText">
    <w:name w:val="footnote text"/>
    <w:basedOn w:val="Normal"/>
    <w:link w:val="FootnoteTextChar"/>
    <w:uiPriority w:val="99"/>
    <w:unhideWhenUsed/>
    <w:rsid w:val="00210749"/>
    <w:rPr>
      <w:sz w:val="20"/>
    </w:rPr>
  </w:style>
  <w:style w:type="character" w:customStyle="1" w:styleId="FootnoteTextChar">
    <w:name w:val="Footnote Text Char"/>
    <w:basedOn w:val="DefaultParagraphFont"/>
    <w:link w:val="FootnoteText"/>
    <w:uiPriority w:val="99"/>
    <w:rsid w:val="00210749"/>
    <w:rPr>
      <w:color w:val="54575A" w:themeColor="text1"/>
      <w:sz w:val="20"/>
      <w:szCs w:val="20"/>
      <w:lang w:val="fr-CA"/>
    </w:rPr>
  </w:style>
  <w:style w:type="paragraph" w:customStyle="1" w:styleId="Heading3forBox">
    <w:name w:val="Heading 3 for Box"/>
    <w:basedOn w:val="Normal"/>
    <w:qFormat/>
    <w:rsid w:val="00210749"/>
    <w:rPr>
      <w:rFonts w:ascii="Segoe UI Semibold" w:eastAsiaTheme="majorEastAsia" w:hAnsi="Segoe UI Semibold" w:cs="Segoe UI Semibold"/>
      <w:color w:val="FFFFFF" w:themeColor="background1"/>
      <w:szCs w:val="24"/>
    </w:rPr>
  </w:style>
  <w:style w:type="paragraph" w:styleId="ListParagraph">
    <w:name w:val="List Paragraph"/>
    <w:aliases w:val="TBS PB List Paragraph,Table Paragraph,Dot pt,Liste 1,List Paragraph1,Recommendation,List Paragraph11,L,List Paragraph2,CV text,Table text,F5 List Paragraph,List Paragraph111,Medium Grid 1 - Accent 21,Bullet text,Bullet,table bullets"/>
    <w:basedOn w:val="Normal"/>
    <w:link w:val="ListParagraphChar"/>
    <w:uiPriority w:val="34"/>
    <w:qFormat/>
    <w:rsid w:val="00210749"/>
    <w:pPr>
      <w:spacing w:after="320"/>
      <w:contextualSpacing/>
    </w:pPr>
  </w:style>
  <w:style w:type="paragraph" w:customStyle="1" w:styleId="NormalWhiteforBox">
    <w:name w:val="Normal White for Box"/>
    <w:basedOn w:val="Normal"/>
    <w:qFormat/>
    <w:rsid w:val="00210749"/>
  </w:style>
  <w:style w:type="paragraph" w:customStyle="1" w:styleId="Numberedlist">
    <w:name w:val="Numbered list"/>
    <w:basedOn w:val="ListParagraph"/>
    <w:qFormat/>
    <w:rsid w:val="00210749"/>
  </w:style>
  <w:style w:type="paragraph" w:styleId="Subtitle">
    <w:name w:val="Subtitle"/>
    <w:basedOn w:val="Normal"/>
    <w:next w:val="Normal"/>
    <w:link w:val="SubtitleChar"/>
    <w:uiPriority w:val="11"/>
    <w:qFormat/>
    <w:rsid w:val="00210749"/>
    <w:rPr>
      <w:rFonts w:ascii="Segoe UI Light" w:hAnsi="Segoe UI Light" w:cs="Segoe UI Light"/>
      <w:sz w:val="36"/>
      <w:szCs w:val="36"/>
    </w:rPr>
  </w:style>
  <w:style w:type="character" w:customStyle="1" w:styleId="SubtitleChar">
    <w:name w:val="Subtitle Char"/>
    <w:basedOn w:val="DefaultParagraphFont"/>
    <w:link w:val="Subtitle"/>
    <w:uiPriority w:val="11"/>
    <w:rsid w:val="00210749"/>
    <w:rPr>
      <w:rFonts w:ascii="Segoe UI Light" w:hAnsi="Segoe UI Light" w:cs="Segoe UI Light"/>
      <w:color w:val="54575A" w:themeColor="text1"/>
      <w:sz w:val="36"/>
      <w:szCs w:val="36"/>
      <w:lang w:val="fr-CA"/>
    </w:rPr>
  </w:style>
  <w:style w:type="table" w:styleId="TableGrid">
    <w:name w:val="Table Grid"/>
    <w:basedOn w:val="TableNormal"/>
    <w:uiPriority w:val="39"/>
    <w:rsid w:val="00210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Heading2"/>
    <w:qFormat/>
    <w:rsid w:val="00D47D2C"/>
    <w:rPr>
      <w:rFonts w:ascii="Segoe UI Semibold" w:hAnsi="Segoe UI Semibold"/>
      <w:b w:val="0"/>
      <w:color w:val="auto"/>
      <w:sz w:val="22"/>
    </w:rPr>
  </w:style>
  <w:style w:type="paragraph" w:styleId="Title">
    <w:name w:val="Title"/>
    <w:basedOn w:val="Normal"/>
    <w:next w:val="Normal"/>
    <w:link w:val="TitleChar"/>
    <w:autoRedefine/>
    <w:uiPriority w:val="10"/>
    <w:qFormat/>
    <w:rsid w:val="00210749"/>
    <w:pPr>
      <w:spacing w:before="1200" w:line="1200" w:lineRule="exact"/>
      <w:contextualSpacing/>
    </w:pPr>
    <w:rPr>
      <w:rFonts w:ascii="Segoe UI Light" w:eastAsiaTheme="majorEastAsia" w:hAnsi="Segoe UI Light" w:cs="Segoe UI Light"/>
      <w:spacing w:val="-10"/>
      <w:kern w:val="28"/>
      <w:sz w:val="120"/>
      <w:szCs w:val="120"/>
    </w:rPr>
  </w:style>
  <w:style w:type="character" w:customStyle="1" w:styleId="TitleChar">
    <w:name w:val="Title Char"/>
    <w:basedOn w:val="DefaultParagraphFont"/>
    <w:link w:val="Title"/>
    <w:uiPriority w:val="10"/>
    <w:rsid w:val="00210749"/>
    <w:rPr>
      <w:rFonts w:ascii="Segoe UI Light" w:eastAsiaTheme="majorEastAsia" w:hAnsi="Segoe UI Light" w:cs="Segoe UI Light"/>
      <w:color w:val="54575A" w:themeColor="text1"/>
      <w:spacing w:val="-10"/>
      <w:kern w:val="28"/>
      <w:sz w:val="120"/>
      <w:szCs w:val="120"/>
      <w:lang w:val="fr-CA"/>
    </w:rPr>
  </w:style>
  <w:style w:type="paragraph" w:styleId="NormalWeb">
    <w:name w:val="Normal (Web)"/>
    <w:basedOn w:val="Normal"/>
    <w:uiPriority w:val="99"/>
    <w:unhideWhenUsed/>
    <w:rsid w:val="002730B1"/>
    <w:pPr>
      <w:spacing w:before="100" w:beforeAutospacing="1" w:after="100" w:afterAutospacing="1"/>
    </w:pPr>
    <w:rPr>
      <w:rFonts w:ascii="Verdana" w:hAnsi="Verdana"/>
      <w:szCs w:val="24"/>
    </w:rPr>
  </w:style>
  <w:style w:type="paragraph" w:customStyle="1" w:styleId="Level1">
    <w:name w:val="Level 1"/>
    <w:basedOn w:val="Normal"/>
    <w:uiPriority w:val="99"/>
    <w:rsid w:val="002730B1"/>
    <w:pPr>
      <w:widowControl w:val="0"/>
    </w:pPr>
  </w:style>
  <w:style w:type="character" w:styleId="Hyperlink">
    <w:name w:val="Hyperlink"/>
    <w:uiPriority w:val="99"/>
    <w:unhideWhenUsed/>
    <w:rsid w:val="002730B1"/>
    <w:rPr>
      <w:color w:val="0563C1"/>
      <w:u w:val="single"/>
    </w:rPr>
  </w:style>
  <w:style w:type="paragraph" w:styleId="CommentText">
    <w:name w:val="annotation text"/>
    <w:basedOn w:val="Normal"/>
    <w:link w:val="CommentTextChar"/>
    <w:uiPriority w:val="99"/>
    <w:semiHidden/>
    <w:unhideWhenUsed/>
    <w:rsid w:val="002730B1"/>
    <w:rPr>
      <w:sz w:val="20"/>
    </w:rPr>
  </w:style>
  <w:style w:type="character" w:customStyle="1" w:styleId="CommentTextChar">
    <w:name w:val="Comment Text Char"/>
    <w:basedOn w:val="DefaultParagraphFont"/>
    <w:link w:val="CommentText"/>
    <w:uiPriority w:val="99"/>
    <w:semiHidden/>
    <w:rsid w:val="002730B1"/>
    <w:rPr>
      <w:rFonts w:ascii="Times New Roman" w:eastAsia="Times New Roman" w:hAnsi="Times New Roman" w:cs="Times New Roman"/>
      <w:sz w:val="20"/>
      <w:szCs w:val="20"/>
      <w:lang w:val="en-US"/>
    </w:rPr>
  </w:style>
  <w:style w:type="character" w:customStyle="1" w:styleId="CommentSubjectChar">
    <w:name w:val="Comment Subject Char"/>
    <w:basedOn w:val="CommentTextChar"/>
    <w:link w:val="CommentSubject"/>
    <w:uiPriority w:val="99"/>
    <w:semiHidden/>
    <w:rsid w:val="002730B1"/>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2730B1"/>
    <w:rPr>
      <w:b/>
      <w:bCs/>
    </w:rPr>
  </w:style>
  <w:style w:type="paragraph" w:styleId="NoSpacing">
    <w:name w:val="No Spacing"/>
    <w:uiPriority w:val="1"/>
    <w:qFormat/>
    <w:rsid w:val="002730B1"/>
    <w:rPr>
      <w:rFonts w:ascii="Times New Roman" w:eastAsia="Times New Roman" w:hAnsi="Times New Roman" w:cs="Times New Roman"/>
      <w:sz w:val="24"/>
      <w:szCs w:val="20"/>
      <w:lang w:val="en-US"/>
    </w:rPr>
  </w:style>
  <w:style w:type="paragraph" w:styleId="EndnoteText">
    <w:name w:val="endnote text"/>
    <w:basedOn w:val="Normal"/>
    <w:link w:val="EndnoteTextChar"/>
    <w:unhideWhenUsed/>
    <w:rsid w:val="002730B1"/>
    <w:rPr>
      <w:rFonts w:ascii="Arial" w:hAnsi="Arial"/>
      <w:sz w:val="20"/>
      <w:lang w:val="en-CA" w:eastAsia="en-CA"/>
    </w:rPr>
  </w:style>
  <w:style w:type="character" w:customStyle="1" w:styleId="EndnoteTextChar">
    <w:name w:val="Endnote Text Char"/>
    <w:basedOn w:val="DefaultParagraphFont"/>
    <w:link w:val="EndnoteText"/>
    <w:rsid w:val="002730B1"/>
    <w:rPr>
      <w:rFonts w:ascii="Arial" w:eastAsia="Times New Roman" w:hAnsi="Arial" w:cs="Times New Roman"/>
      <w:sz w:val="20"/>
      <w:szCs w:val="20"/>
      <w:lang w:eastAsia="en-CA"/>
    </w:rPr>
  </w:style>
  <w:style w:type="paragraph" w:customStyle="1" w:styleId="Style1">
    <w:name w:val="Style1"/>
    <w:basedOn w:val="Normal"/>
    <w:link w:val="Style1Char"/>
    <w:qFormat/>
    <w:rsid w:val="002730B1"/>
    <w:pPr>
      <w:jc w:val="center"/>
    </w:pPr>
    <w:rPr>
      <w:rFonts w:ascii="Arial" w:hAnsi="Arial" w:cs="Arial"/>
      <w:b/>
      <w:sz w:val="22"/>
      <w:szCs w:val="22"/>
      <w:u w:val="single"/>
      <w:lang w:val="fr-CA"/>
    </w:rPr>
  </w:style>
  <w:style w:type="character" w:customStyle="1" w:styleId="Style1Char">
    <w:name w:val="Style1 Char"/>
    <w:basedOn w:val="DefaultParagraphFont"/>
    <w:link w:val="Style1"/>
    <w:rsid w:val="002730B1"/>
    <w:rPr>
      <w:rFonts w:ascii="Arial" w:eastAsia="Times New Roman" w:hAnsi="Arial" w:cs="Arial"/>
      <w:b/>
      <w:u w:val="single"/>
      <w:lang w:val="fr-CA"/>
    </w:rPr>
  </w:style>
  <w:style w:type="paragraph" w:customStyle="1" w:styleId="Style2">
    <w:name w:val="Style2"/>
    <w:basedOn w:val="Normal"/>
    <w:link w:val="Style2Char"/>
    <w:qFormat/>
    <w:rsid w:val="002730B1"/>
    <w:rPr>
      <w:rFonts w:ascii="Arial" w:hAnsi="Arial" w:cs="Arial"/>
      <w:sz w:val="22"/>
      <w:szCs w:val="22"/>
      <w:u w:val="single"/>
      <w:lang w:val="fr-CA" w:eastAsia="en-CA"/>
    </w:rPr>
  </w:style>
  <w:style w:type="character" w:customStyle="1" w:styleId="Style2Char">
    <w:name w:val="Style2 Char"/>
    <w:basedOn w:val="DefaultParagraphFont"/>
    <w:link w:val="Style2"/>
    <w:rsid w:val="002730B1"/>
    <w:rPr>
      <w:rFonts w:ascii="Arial" w:eastAsia="Times New Roman" w:hAnsi="Arial" w:cs="Arial"/>
      <w:u w:val="single"/>
      <w:lang w:val="fr-CA" w:eastAsia="en-CA"/>
    </w:rPr>
  </w:style>
  <w:style w:type="paragraph" w:customStyle="1" w:styleId="Style3">
    <w:name w:val="Style3"/>
    <w:basedOn w:val="Normal"/>
    <w:link w:val="Style3Char"/>
    <w:qFormat/>
    <w:rsid w:val="002730B1"/>
    <w:pPr>
      <w:jc w:val="center"/>
    </w:pPr>
    <w:rPr>
      <w:rFonts w:ascii="Arial" w:hAnsi="Arial" w:cs="Arial"/>
      <w:b/>
      <w:color w:val="009999"/>
      <w:szCs w:val="24"/>
      <w:lang w:val="fr-CA"/>
    </w:rPr>
  </w:style>
  <w:style w:type="character" w:customStyle="1" w:styleId="Style3Char">
    <w:name w:val="Style3 Char"/>
    <w:basedOn w:val="DefaultParagraphFont"/>
    <w:link w:val="Style3"/>
    <w:rsid w:val="002730B1"/>
    <w:rPr>
      <w:rFonts w:ascii="Arial" w:eastAsia="Times New Roman" w:hAnsi="Arial" w:cs="Arial"/>
      <w:b/>
      <w:color w:val="009999"/>
      <w:sz w:val="24"/>
      <w:szCs w:val="24"/>
      <w:lang w:val="fr-CA"/>
    </w:rPr>
  </w:style>
  <w:style w:type="paragraph" w:customStyle="1" w:styleId="Style4">
    <w:name w:val="Style4"/>
    <w:basedOn w:val="Normal"/>
    <w:link w:val="Style4Char"/>
    <w:qFormat/>
    <w:rsid w:val="002730B1"/>
    <w:pPr>
      <w:jc w:val="center"/>
    </w:pPr>
    <w:rPr>
      <w:rFonts w:ascii="Arial" w:hAnsi="Arial" w:cs="Arial"/>
      <w:color w:val="009999"/>
      <w:sz w:val="22"/>
      <w:szCs w:val="32"/>
      <w:lang w:val="fr-CA"/>
    </w:rPr>
  </w:style>
  <w:style w:type="character" w:customStyle="1" w:styleId="Style4Char">
    <w:name w:val="Style4 Char"/>
    <w:basedOn w:val="DefaultParagraphFont"/>
    <w:link w:val="Style4"/>
    <w:rsid w:val="002730B1"/>
    <w:rPr>
      <w:rFonts w:ascii="Arial" w:eastAsia="Times New Roman" w:hAnsi="Arial" w:cs="Arial"/>
      <w:color w:val="009999"/>
      <w:szCs w:val="32"/>
      <w:lang w:val="fr-CA"/>
    </w:rPr>
  </w:style>
  <w:style w:type="paragraph" w:customStyle="1" w:styleId="Style5">
    <w:name w:val="Style5"/>
    <w:basedOn w:val="Normal"/>
    <w:link w:val="Style5Char"/>
    <w:qFormat/>
    <w:rsid w:val="002730B1"/>
    <w:pPr>
      <w:jc w:val="right"/>
    </w:pPr>
    <w:rPr>
      <w:rFonts w:ascii="Arial" w:hAnsi="Arial" w:cs="Arial"/>
      <w:color w:val="767171"/>
      <w:sz w:val="16"/>
      <w:szCs w:val="22"/>
      <w:lang w:val="fr-CA"/>
    </w:rPr>
  </w:style>
  <w:style w:type="character" w:customStyle="1" w:styleId="Style5Char">
    <w:name w:val="Style5 Char"/>
    <w:basedOn w:val="DefaultParagraphFont"/>
    <w:link w:val="Style5"/>
    <w:rsid w:val="002730B1"/>
    <w:rPr>
      <w:rFonts w:ascii="Arial" w:eastAsia="Times New Roman" w:hAnsi="Arial" w:cs="Arial"/>
      <w:color w:val="767171"/>
      <w:sz w:val="16"/>
      <w:lang w:val="fr-CA"/>
    </w:rPr>
  </w:style>
  <w:style w:type="paragraph" w:customStyle="1" w:styleId="Style6">
    <w:name w:val="Style6"/>
    <w:basedOn w:val="Normal"/>
    <w:link w:val="Style6Char"/>
    <w:qFormat/>
    <w:rsid w:val="002730B1"/>
    <w:rPr>
      <w:rFonts w:ascii="Arial" w:hAnsi="Arial" w:cs="Arial"/>
      <w:b/>
      <w:color w:val="009999"/>
      <w:spacing w:val="-10"/>
      <w:sz w:val="22"/>
      <w:szCs w:val="22"/>
      <w:lang w:val="fr-CA"/>
    </w:rPr>
  </w:style>
  <w:style w:type="character" w:customStyle="1" w:styleId="Style6Char">
    <w:name w:val="Style6 Char"/>
    <w:basedOn w:val="DefaultParagraphFont"/>
    <w:link w:val="Style6"/>
    <w:rsid w:val="002730B1"/>
    <w:rPr>
      <w:rFonts w:ascii="Arial" w:eastAsia="Times New Roman" w:hAnsi="Arial" w:cs="Arial"/>
      <w:b/>
      <w:color w:val="009999"/>
      <w:spacing w:val="-10"/>
      <w:lang w:val="fr-CA"/>
    </w:rPr>
  </w:style>
  <w:style w:type="paragraph" w:customStyle="1" w:styleId="Style7">
    <w:name w:val="Style7"/>
    <w:basedOn w:val="Normal"/>
    <w:link w:val="Style7Char"/>
    <w:qFormat/>
    <w:rsid w:val="002730B1"/>
    <w:pPr>
      <w:pBdr>
        <w:bottom w:val="single" w:sz="4" w:space="1" w:color="92D050"/>
      </w:pBdr>
      <w:autoSpaceDE w:val="0"/>
      <w:autoSpaceDN w:val="0"/>
      <w:adjustRightInd w:val="0"/>
      <w:ind w:right="50"/>
    </w:pPr>
    <w:rPr>
      <w:rFonts w:ascii="Arial" w:hAnsi="Arial" w:cs="Arial"/>
      <w:b/>
      <w:caps/>
      <w:color w:val="92D050"/>
      <w:sz w:val="22"/>
      <w:szCs w:val="22"/>
      <w:lang w:val="fr-CA"/>
    </w:rPr>
  </w:style>
  <w:style w:type="character" w:customStyle="1" w:styleId="Style7Char">
    <w:name w:val="Style7 Char"/>
    <w:basedOn w:val="DefaultParagraphFont"/>
    <w:link w:val="Style7"/>
    <w:rsid w:val="002730B1"/>
    <w:rPr>
      <w:rFonts w:ascii="Arial" w:eastAsia="Times New Roman" w:hAnsi="Arial" w:cs="Arial"/>
      <w:b/>
      <w:caps/>
      <w:color w:val="92D050"/>
      <w:lang w:val="fr-CA"/>
    </w:rPr>
  </w:style>
  <w:style w:type="paragraph" w:customStyle="1" w:styleId="Style8">
    <w:name w:val="Style8"/>
    <w:basedOn w:val="Normal"/>
    <w:link w:val="Style8Char"/>
    <w:qFormat/>
    <w:rsid w:val="002730B1"/>
    <w:pPr>
      <w:shd w:val="clear" w:color="auto" w:fill="F2F2F2"/>
    </w:pPr>
    <w:rPr>
      <w:rFonts w:ascii="Arial" w:hAnsi="Arial" w:cs="Arial"/>
      <w:b/>
      <w:color w:val="009999"/>
      <w:spacing w:val="-10"/>
      <w:sz w:val="22"/>
      <w:szCs w:val="22"/>
      <w:lang w:val="fr-CA"/>
    </w:rPr>
  </w:style>
  <w:style w:type="character" w:customStyle="1" w:styleId="Style8Char">
    <w:name w:val="Style8 Char"/>
    <w:basedOn w:val="DefaultParagraphFont"/>
    <w:link w:val="Style8"/>
    <w:rsid w:val="002730B1"/>
    <w:rPr>
      <w:rFonts w:ascii="Arial" w:eastAsia="Times New Roman" w:hAnsi="Arial" w:cs="Arial"/>
      <w:b/>
      <w:color w:val="009999"/>
      <w:spacing w:val="-10"/>
      <w:shd w:val="clear" w:color="auto" w:fill="F2F2F2"/>
      <w:lang w:val="fr-CA"/>
    </w:rPr>
  </w:style>
  <w:style w:type="paragraph" w:customStyle="1" w:styleId="Style9">
    <w:name w:val="Style9"/>
    <w:basedOn w:val="Normal"/>
    <w:link w:val="Style9Char"/>
    <w:qFormat/>
    <w:rsid w:val="002730B1"/>
    <w:pPr>
      <w:jc w:val="center"/>
    </w:pPr>
    <w:rPr>
      <w:rFonts w:ascii="Arial" w:hAnsi="Arial" w:cs="Arial"/>
      <w:b/>
      <w:bCs/>
      <w:sz w:val="22"/>
      <w:szCs w:val="22"/>
      <w:lang w:val="fr-CA"/>
    </w:rPr>
  </w:style>
  <w:style w:type="character" w:customStyle="1" w:styleId="Style9Char">
    <w:name w:val="Style9 Char"/>
    <w:basedOn w:val="DefaultParagraphFont"/>
    <w:link w:val="Style9"/>
    <w:rsid w:val="002730B1"/>
    <w:rPr>
      <w:rFonts w:ascii="Arial" w:eastAsia="Times New Roman" w:hAnsi="Arial" w:cs="Arial"/>
      <w:b/>
      <w:bCs/>
      <w:lang w:val="fr-CA"/>
    </w:rPr>
  </w:style>
  <w:style w:type="paragraph" w:customStyle="1" w:styleId="Style10">
    <w:name w:val="Style10"/>
    <w:basedOn w:val="Normal"/>
    <w:link w:val="Style10Char"/>
    <w:qFormat/>
    <w:rsid w:val="002730B1"/>
    <w:pPr>
      <w:jc w:val="center"/>
    </w:pPr>
    <w:rPr>
      <w:rFonts w:ascii="Arial" w:hAnsi="Arial" w:cs="Arial"/>
      <w:b/>
      <w:lang w:val="fr-CA"/>
    </w:rPr>
  </w:style>
  <w:style w:type="character" w:customStyle="1" w:styleId="Style10Char">
    <w:name w:val="Style10 Char"/>
    <w:basedOn w:val="DefaultParagraphFont"/>
    <w:link w:val="Style10"/>
    <w:rsid w:val="002730B1"/>
    <w:rPr>
      <w:rFonts w:ascii="Arial" w:eastAsia="Times New Roman" w:hAnsi="Arial" w:cs="Arial"/>
      <w:b/>
      <w:sz w:val="24"/>
      <w:szCs w:val="20"/>
      <w:lang w:val="fr-CA"/>
    </w:rPr>
  </w:style>
  <w:style w:type="table" w:customStyle="1" w:styleId="TableGrid1">
    <w:name w:val="Table Grid1"/>
    <w:basedOn w:val="TableNormal"/>
    <w:next w:val="TableGrid"/>
    <w:uiPriority w:val="39"/>
    <w:rsid w:val="002730B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730B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2730B1"/>
  </w:style>
  <w:style w:type="character" w:customStyle="1" w:styleId="mw-headline">
    <w:name w:val="mw-headline"/>
    <w:rsid w:val="002730B1"/>
  </w:style>
  <w:style w:type="character" w:customStyle="1" w:styleId="Style11">
    <w:name w:val="Style11"/>
    <w:basedOn w:val="DefaultParagraphFont"/>
    <w:uiPriority w:val="1"/>
    <w:qFormat/>
    <w:rsid w:val="002730B1"/>
    <w:rPr>
      <w:rFonts w:ascii="Arial" w:hAnsi="Arial"/>
      <w:color w:val="54575A" w:themeColor="text1"/>
      <w:sz w:val="22"/>
    </w:rPr>
  </w:style>
  <w:style w:type="paragraph" w:styleId="HTMLPreformatted">
    <w:name w:val="HTML Preformatted"/>
    <w:basedOn w:val="Normal"/>
    <w:link w:val="HTMLPreformattedChar"/>
    <w:uiPriority w:val="99"/>
    <w:semiHidden/>
    <w:unhideWhenUsed/>
    <w:rsid w:val="0027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CA" w:eastAsia="en-CA"/>
    </w:rPr>
  </w:style>
  <w:style w:type="character" w:customStyle="1" w:styleId="HTMLPreformattedChar">
    <w:name w:val="HTML Preformatted Char"/>
    <w:basedOn w:val="DefaultParagraphFont"/>
    <w:link w:val="HTMLPreformatted"/>
    <w:uiPriority w:val="99"/>
    <w:semiHidden/>
    <w:rsid w:val="002730B1"/>
    <w:rPr>
      <w:rFonts w:ascii="Courier New" w:eastAsia="Times New Roman" w:hAnsi="Courier New" w:cs="Courier New"/>
      <w:sz w:val="20"/>
      <w:szCs w:val="20"/>
      <w:lang w:eastAsia="en-CA"/>
    </w:rPr>
  </w:style>
  <w:style w:type="character" w:styleId="SubtleEmphasis">
    <w:name w:val="Subtle Emphasis"/>
    <w:basedOn w:val="DefaultParagraphFont"/>
    <w:uiPriority w:val="19"/>
    <w:qFormat/>
    <w:rsid w:val="002730B1"/>
    <w:rPr>
      <w:i/>
      <w:iCs/>
      <w:color w:val="A8ABAE" w:themeColor="text1" w:themeTint="7F"/>
    </w:rPr>
  </w:style>
  <w:style w:type="character" w:styleId="Emphasis">
    <w:name w:val="Emphasis"/>
    <w:basedOn w:val="DefaultParagraphFont"/>
    <w:uiPriority w:val="20"/>
    <w:qFormat/>
    <w:rsid w:val="008A0A9C"/>
    <w:rPr>
      <w:rFonts w:asciiTheme="minorHAnsi" w:hAnsiTheme="minorHAnsi"/>
      <w:i/>
      <w:iCs/>
      <w:color w:val="auto"/>
      <w:sz w:val="22"/>
    </w:rPr>
  </w:style>
  <w:style w:type="table" w:customStyle="1" w:styleId="TableGrid3">
    <w:name w:val="Table Grid3"/>
    <w:basedOn w:val="TableNormal"/>
    <w:next w:val="TableGrid"/>
    <w:uiPriority w:val="39"/>
    <w:rsid w:val="002730B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D1257"/>
    <w:rPr>
      <w:rFonts w:ascii="Segoe UI Semibold" w:hAnsi="Segoe UI Semibold"/>
      <w:b w:val="0"/>
      <w:bCs/>
      <w:sz w:val="24"/>
    </w:rPr>
  </w:style>
  <w:style w:type="character" w:styleId="FollowedHyperlink">
    <w:name w:val="FollowedHyperlink"/>
    <w:basedOn w:val="DefaultParagraphFont"/>
    <w:uiPriority w:val="99"/>
    <w:semiHidden/>
    <w:unhideWhenUsed/>
    <w:rsid w:val="000D2849"/>
    <w:rPr>
      <w:color w:val="A5A5A5" w:themeColor="followedHyperlink"/>
      <w:u w:val="single"/>
    </w:rPr>
  </w:style>
  <w:style w:type="character" w:customStyle="1" w:styleId="ListParagraphChar">
    <w:name w:val="List Paragraph Char"/>
    <w:aliases w:val="TBS PB List Paragraph Char,Table Paragraph Char,Dot pt Char,Liste 1 Char,List Paragraph1 Char,Recommendation Char,List Paragraph11 Char,L Char,List Paragraph2 Char,CV text Char,Table text Char,F5 List Paragraph Char,Bullet text Char"/>
    <w:basedOn w:val="DefaultParagraphFont"/>
    <w:link w:val="ListParagraph"/>
    <w:uiPriority w:val="34"/>
    <w:locked/>
    <w:rsid w:val="004361DD"/>
    <w:rPr>
      <w:rFonts w:ascii="Times New Roman" w:eastAsia="Times New Roman" w:hAnsi="Times New Roman" w:cs="Times New Roman"/>
      <w:sz w:val="24"/>
      <w:szCs w:val="20"/>
      <w:lang w:val="en-US"/>
    </w:rPr>
  </w:style>
  <w:style w:type="paragraph" w:styleId="Caption">
    <w:name w:val="caption"/>
    <w:basedOn w:val="Normal"/>
    <w:next w:val="Normal"/>
    <w:uiPriority w:val="35"/>
    <w:unhideWhenUsed/>
    <w:qFormat/>
    <w:rsid w:val="00D47D2C"/>
    <w:rPr>
      <w:rFonts w:asciiTheme="minorHAnsi" w:hAnsiTheme="minorHAns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57149">
      <w:bodyDiv w:val="1"/>
      <w:marLeft w:val="0"/>
      <w:marRight w:val="0"/>
      <w:marTop w:val="0"/>
      <w:marBottom w:val="0"/>
      <w:divBdr>
        <w:top w:val="none" w:sz="0" w:space="0" w:color="auto"/>
        <w:left w:val="none" w:sz="0" w:space="0" w:color="auto"/>
        <w:bottom w:val="none" w:sz="0" w:space="0" w:color="auto"/>
        <w:right w:val="none" w:sz="0" w:space="0" w:color="auto"/>
      </w:divBdr>
    </w:div>
    <w:div w:id="278491769">
      <w:bodyDiv w:val="1"/>
      <w:marLeft w:val="0"/>
      <w:marRight w:val="0"/>
      <w:marTop w:val="0"/>
      <w:marBottom w:val="0"/>
      <w:divBdr>
        <w:top w:val="none" w:sz="0" w:space="0" w:color="auto"/>
        <w:left w:val="none" w:sz="0" w:space="0" w:color="auto"/>
        <w:bottom w:val="none" w:sz="0" w:space="0" w:color="auto"/>
        <w:right w:val="none" w:sz="0" w:space="0" w:color="auto"/>
      </w:divBdr>
    </w:div>
    <w:div w:id="334383221">
      <w:bodyDiv w:val="1"/>
      <w:marLeft w:val="0"/>
      <w:marRight w:val="0"/>
      <w:marTop w:val="0"/>
      <w:marBottom w:val="0"/>
      <w:divBdr>
        <w:top w:val="none" w:sz="0" w:space="0" w:color="auto"/>
        <w:left w:val="none" w:sz="0" w:space="0" w:color="auto"/>
        <w:bottom w:val="none" w:sz="0" w:space="0" w:color="auto"/>
        <w:right w:val="none" w:sz="0" w:space="0" w:color="auto"/>
      </w:divBdr>
    </w:div>
    <w:div w:id="584220227">
      <w:bodyDiv w:val="1"/>
      <w:marLeft w:val="0"/>
      <w:marRight w:val="0"/>
      <w:marTop w:val="0"/>
      <w:marBottom w:val="0"/>
      <w:divBdr>
        <w:top w:val="none" w:sz="0" w:space="0" w:color="auto"/>
        <w:left w:val="none" w:sz="0" w:space="0" w:color="auto"/>
        <w:bottom w:val="none" w:sz="0" w:space="0" w:color="auto"/>
        <w:right w:val="none" w:sz="0" w:space="0" w:color="auto"/>
      </w:divBdr>
    </w:div>
    <w:div w:id="1391465407">
      <w:bodyDiv w:val="1"/>
      <w:marLeft w:val="0"/>
      <w:marRight w:val="0"/>
      <w:marTop w:val="0"/>
      <w:marBottom w:val="0"/>
      <w:divBdr>
        <w:top w:val="none" w:sz="0" w:space="0" w:color="auto"/>
        <w:left w:val="none" w:sz="0" w:space="0" w:color="auto"/>
        <w:bottom w:val="none" w:sz="0" w:space="0" w:color="auto"/>
        <w:right w:val="none" w:sz="0" w:space="0" w:color="auto"/>
      </w:divBdr>
    </w:div>
    <w:div w:id="1713964085">
      <w:bodyDiv w:val="1"/>
      <w:marLeft w:val="0"/>
      <w:marRight w:val="0"/>
      <w:marTop w:val="0"/>
      <w:marBottom w:val="0"/>
      <w:divBdr>
        <w:top w:val="none" w:sz="0" w:space="0" w:color="auto"/>
        <w:left w:val="none" w:sz="0" w:space="0" w:color="auto"/>
        <w:bottom w:val="none" w:sz="0" w:space="0" w:color="auto"/>
        <w:right w:val="none" w:sz="0" w:space="0" w:color="auto"/>
      </w:divBdr>
    </w:div>
    <w:div w:id="1867861828">
      <w:bodyDiv w:val="1"/>
      <w:marLeft w:val="0"/>
      <w:marRight w:val="0"/>
      <w:marTop w:val="0"/>
      <w:marBottom w:val="0"/>
      <w:divBdr>
        <w:top w:val="none" w:sz="0" w:space="0" w:color="auto"/>
        <w:left w:val="none" w:sz="0" w:space="0" w:color="auto"/>
        <w:bottom w:val="none" w:sz="0" w:space="0" w:color="auto"/>
        <w:right w:val="none" w:sz="0" w:space="0" w:color="auto"/>
      </w:divBdr>
    </w:div>
    <w:div w:id="1937246339">
      <w:bodyDiv w:val="1"/>
      <w:marLeft w:val="0"/>
      <w:marRight w:val="0"/>
      <w:marTop w:val="0"/>
      <w:marBottom w:val="0"/>
      <w:divBdr>
        <w:top w:val="none" w:sz="0" w:space="0" w:color="auto"/>
        <w:left w:val="none" w:sz="0" w:space="0" w:color="auto"/>
        <w:bottom w:val="none" w:sz="0" w:space="0" w:color="auto"/>
        <w:right w:val="none" w:sz="0" w:space="0" w:color="auto"/>
      </w:divBdr>
    </w:div>
    <w:div w:id="194518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3.xml"/><Relationship Id="rId22" Type="http://schemas.openxmlformats.org/officeDocument/2006/relationships/chart" Target="charts/chart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CFP-Entete-Corpo2019.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5.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3.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4.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CA" sz="1200" b="1" i="0" baseline="0">
                <a:solidFill>
                  <a:sysClr val="windowText" lastClr="000000"/>
                </a:solidFill>
                <a:effectLst/>
              </a:rPr>
              <a:t>Population selon la durée d'emploi au 31 mars</a:t>
            </a:r>
            <a:endParaRPr lang="en-CA" sz="1200">
              <a:solidFill>
                <a:sysClr val="windowText" lastClr="000000"/>
              </a:solidFill>
              <a:effectLst/>
            </a:endParaRPr>
          </a:p>
        </c:rich>
      </c:tx>
      <c:layout>
        <c:manualLayout>
          <c:xMode val="edge"/>
          <c:yMode val="edge"/>
          <c:x val="0.22828201280910712"/>
          <c:y val="1.5584351685262421E-2"/>
        </c:manualLayout>
      </c:layout>
      <c:overlay val="1"/>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2225561684641545"/>
          <c:y val="9.350649350649351E-2"/>
          <c:w val="0.8438565211696043"/>
          <c:h val="0.6100861028735044"/>
        </c:manualLayout>
      </c:layout>
      <c:barChart>
        <c:barDir val="col"/>
        <c:grouping val="stacked"/>
        <c:varyColors val="0"/>
        <c:ser>
          <c:idx val="0"/>
          <c:order val="0"/>
          <c:tx>
            <c:strRef>
              <c:f>Sheet1!$B$1</c:f>
              <c:strCache>
                <c:ptCount val="1"/>
                <c:pt idx="0">
                  <c:v>Indéterminée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(N=77) </c:v>
                </c:pt>
                <c:pt idx="1">
                  <c:v> 2015
(N=82) </c:v>
                </c:pt>
                <c:pt idx="2">
                  <c:v> 2016
(N=93) </c:v>
                </c:pt>
                <c:pt idx="3">
                  <c:v> 2017
(N=98) </c:v>
                </c:pt>
                <c:pt idx="4">
                  <c:v> 2018
(N=113) </c:v>
                </c:pt>
                <c:pt idx="5">
                  <c:v> 2019
(N=127) </c:v>
                </c:pt>
              </c:strCache>
            </c:strRef>
          </c:cat>
          <c:val>
            <c:numRef>
              <c:f>Sheet1!$B$2:$B$7</c:f>
              <c:numCache>
                <c:formatCode>#\ ###</c:formatCode>
                <c:ptCount val="6"/>
                <c:pt idx="0">
                  <c:v>65</c:v>
                </c:pt>
                <c:pt idx="1">
                  <c:v>71</c:v>
                </c:pt>
                <c:pt idx="2">
                  <c:v>75</c:v>
                </c:pt>
                <c:pt idx="3">
                  <c:v>75</c:v>
                </c:pt>
                <c:pt idx="4">
                  <c:v>90</c:v>
                </c:pt>
                <c:pt idx="5">
                  <c:v>100</c:v>
                </c:pt>
              </c:numCache>
            </c:numRef>
          </c:val>
        </c:ser>
        <c:ser>
          <c:idx val="1"/>
          <c:order val="1"/>
          <c:tx>
            <c:strRef>
              <c:f>Sheet1!$C$1</c:f>
              <c:strCache>
                <c:ptCount val="1"/>
                <c:pt idx="0">
                  <c:v>Déterminée</c:v>
                </c:pt>
              </c:strCache>
            </c:strRef>
          </c:tx>
          <c:spPr>
            <a:solidFill>
              <a:schemeClr val="accent2"/>
            </a:solidFill>
            <a:ln>
              <a:noFill/>
            </a:ln>
            <a:effectLst/>
          </c:spPr>
          <c:invertIfNegative val="0"/>
          <c:dLbls>
            <c:dLbl>
              <c:idx val="0"/>
              <c:layout>
                <c:manualLayout>
                  <c:x val="3.0807147258163892E-3"/>
                  <c:y val="3.116883116883112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6479117521715313E-17"/>
                  <c:y val="3.6363636363636272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4.155844155844151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3.1168831168831169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5.1948051948051951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
                  <c:y val="3.6363636363636362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 2014 
(N=77) </c:v>
                </c:pt>
                <c:pt idx="1">
                  <c:v> 2015
(N=82) </c:v>
                </c:pt>
                <c:pt idx="2">
                  <c:v> 2016
(N=93) </c:v>
                </c:pt>
                <c:pt idx="3">
                  <c:v> 2017
(N=98) </c:v>
                </c:pt>
                <c:pt idx="4">
                  <c:v> 2018
(N=113) </c:v>
                </c:pt>
                <c:pt idx="5">
                  <c:v> 2019
(N=127) </c:v>
                </c:pt>
              </c:strCache>
            </c:strRef>
          </c:cat>
          <c:val>
            <c:numRef>
              <c:f>Sheet1!$C$2:$C$7</c:f>
              <c:numCache>
                <c:formatCode>#\ ###</c:formatCode>
                <c:ptCount val="6"/>
                <c:pt idx="0">
                  <c:v>4</c:v>
                </c:pt>
                <c:pt idx="1">
                  <c:v>4</c:v>
                </c:pt>
                <c:pt idx="2">
                  <c:v>1</c:v>
                </c:pt>
                <c:pt idx="3">
                  <c:v>6</c:v>
                </c:pt>
                <c:pt idx="4">
                  <c:v>10</c:v>
                </c:pt>
                <c:pt idx="5">
                  <c:v>8</c:v>
                </c:pt>
              </c:numCache>
            </c:numRef>
          </c:val>
        </c:ser>
        <c:ser>
          <c:idx val="2"/>
          <c:order val="2"/>
          <c:tx>
            <c:strRef>
              <c:f>Sheet1!$D$1</c:f>
              <c:strCache>
                <c:ptCount val="1"/>
                <c:pt idx="0">
                  <c:v>Occasionnel</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(N=77) </c:v>
                </c:pt>
                <c:pt idx="1">
                  <c:v> 2015
(N=82) </c:v>
                </c:pt>
                <c:pt idx="2">
                  <c:v> 2016
(N=93) </c:v>
                </c:pt>
                <c:pt idx="3">
                  <c:v> 2017
(N=98) </c:v>
                </c:pt>
                <c:pt idx="4">
                  <c:v> 2018
(N=113) </c:v>
                </c:pt>
                <c:pt idx="5">
                  <c:v> 2019
(N=127) </c:v>
                </c:pt>
              </c:strCache>
            </c:strRef>
          </c:cat>
          <c:val>
            <c:numRef>
              <c:f>Sheet1!$D$2:$D$7</c:f>
              <c:numCache>
                <c:formatCode>#\ ###</c:formatCode>
                <c:ptCount val="6"/>
                <c:pt idx="0">
                  <c:v>8</c:v>
                </c:pt>
                <c:pt idx="1">
                  <c:v>7</c:v>
                </c:pt>
                <c:pt idx="2">
                  <c:v>13</c:v>
                </c:pt>
                <c:pt idx="3">
                  <c:v>15</c:v>
                </c:pt>
                <c:pt idx="4">
                  <c:v>11</c:v>
                </c:pt>
                <c:pt idx="5">
                  <c:v>15</c:v>
                </c:pt>
              </c:numCache>
            </c:numRef>
          </c:val>
        </c:ser>
        <c:ser>
          <c:idx val="3"/>
          <c:order val="3"/>
          <c:tx>
            <c:strRef>
              <c:f>Sheet1!$E$1</c:f>
              <c:strCache>
                <c:ptCount val="1"/>
                <c:pt idx="0">
                  <c:v>Étudiant</c:v>
                </c:pt>
              </c:strCache>
            </c:strRef>
          </c:tx>
          <c:spPr>
            <a:solidFill>
              <a:schemeClr val="accent4"/>
            </a:solidFill>
            <a:ln>
              <a:noFill/>
            </a:ln>
            <a:effectLst/>
          </c:spPr>
          <c:invertIfNegative val="0"/>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layout>
                <c:manualLayout>
                  <c:x val="-5.6479117521715313E-17"/>
                  <c:y val="-4.1558441558441579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4.1558441558441579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3.6363636363636362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1.1295823504343063E-16"/>
                  <c:y val="-3.1168831168831169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(N=77) </c:v>
                </c:pt>
                <c:pt idx="1">
                  <c:v> 2015
(N=82) </c:v>
                </c:pt>
                <c:pt idx="2">
                  <c:v> 2016
(N=93) </c:v>
                </c:pt>
                <c:pt idx="3">
                  <c:v> 2017
(N=98) </c:v>
                </c:pt>
                <c:pt idx="4">
                  <c:v> 2018
(N=113) </c:v>
                </c:pt>
                <c:pt idx="5">
                  <c:v> 2019
(N=127) </c:v>
                </c:pt>
              </c:strCache>
            </c:strRef>
          </c:cat>
          <c:val>
            <c:numRef>
              <c:f>Sheet1!$E$2:$E$7</c:f>
              <c:numCache>
                <c:formatCode>#\ ###</c:formatCode>
                <c:ptCount val="6"/>
                <c:pt idx="0">
                  <c:v>0</c:v>
                </c:pt>
                <c:pt idx="1">
                  <c:v>0</c:v>
                </c:pt>
                <c:pt idx="2">
                  <c:v>4</c:v>
                </c:pt>
                <c:pt idx="3">
                  <c:v>2</c:v>
                </c:pt>
                <c:pt idx="4">
                  <c:v>2</c:v>
                </c:pt>
                <c:pt idx="5">
                  <c:v>4</c:v>
                </c:pt>
              </c:numCache>
            </c:numRef>
          </c:val>
        </c:ser>
        <c:dLbls>
          <c:dLblPos val="ctr"/>
          <c:showLegendKey val="0"/>
          <c:showVal val="1"/>
          <c:showCatName val="0"/>
          <c:showSerName val="0"/>
          <c:showPercent val="0"/>
          <c:showBubbleSize val="0"/>
        </c:dLbls>
        <c:gapWidth val="150"/>
        <c:overlap val="100"/>
        <c:axId val="660954664"/>
        <c:axId val="660952704"/>
      </c:barChart>
      <c:catAx>
        <c:axId val="660954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60952704"/>
        <c:crosses val="autoZero"/>
        <c:auto val="1"/>
        <c:lblAlgn val="ctr"/>
        <c:lblOffset val="100"/>
        <c:noMultiLvlLbl val="0"/>
      </c:catAx>
      <c:valAx>
        <c:axId val="660952704"/>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60954664"/>
        <c:crosses val="autoZero"/>
        <c:crossBetween val="between"/>
      </c:valAx>
      <c:spPr>
        <a:noFill/>
        <a:ln>
          <a:noFill/>
        </a:ln>
        <a:effectLst/>
      </c:spPr>
    </c:plotArea>
    <c:legend>
      <c:legendPos val="b"/>
      <c:layout>
        <c:manualLayout>
          <c:xMode val="edge"/>
          <c:yMode val="edge"/>
          <c:x val="0.13638008742437693"/>
          <c:y val="0.88116821760916253"/>
          <c:w val="0.77653126076430834"/>
          <c:h val="8.7662951222006347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CA" sz="1200" b="1">
                <a:solidFill>
                  <a:sysClr val="windowText" lastClr="000000"/>
                </a:solidFill>
              </a:rPr>
              <a:t>Embauche</a:t>
            </a:r>
            <a:r>
              <a:rPr lang="en-CA" sz="1200" b="1" baseline="0">
                <a:solidFill>
                  <a:sysClr val="windowText" lastClr="000000"/>
                </a:solidFill>
              </a:rPr>
              <a:t> d'étudiants</a:t>
            </a:r>
            <a:endParaRPr lang="en-CA" sz="1200" b="1">
              <a:solidFill>
                <a:sysClr val="windowText" lastClr="000000"/>
              </a:solidFill>
            </a:endParaRPr>
          </a:p>
        </c:rich>
      </c:tx>
      <c:layout>
        <c:manualLayout>
          <c:xMode val="edge"/>
          <c:yMode val="edge"/>
          <c:x val="0.39162194101791237"/>
          <c:y val="2.6861201816550686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1946256204627399"/>
          <c:y val="0.10525709900230237"/>
          <c:w val="0.83536289996604629"/>
          <c:h val="0.58717180352455944"/>
        </c:manualLayout>
      </c:layout>
      <c:barChart>
        <c:barDir val="col"/>
        <c:grouping val="stacked"/>
        <c:varyColors val="0"/>
        <c:ser>
          <c:idx val="0"/>
          <c:order val="0"/>
          <c:tx>
            <c:strRef>
              <c:f>Sheet1!$B$1</c:f>
              <c:strCache>
                <c:ptCount val="1"/>
                <c:pt idx="0">
                  <c:v>Programme fédéral d'expérience de travail étudiant (PFETÉ)</c:v>
                </c:pt>
              </c:strCache>
            </c:strRef>
          </c:tx>
          <c:spPr>
            <a:solidFill>
              <a:schemeClr val="accent1"/>
            </a:solidFill>
            <a:ln>
              <a:noFill/>
            </a:ln>
            <a:effectLst/>
          </c:spPr>
          <c:invertIfNegative val="0"/>
          <c:dLbls>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(N=1)</c:v>
                </c:pt>
                <c:pt idx="1">
                  <c:v>2015-2016
 (N=8)</c:v>
                </c:pt>
                <c:pt idx="2">
                  <c:v>2016-2017
 (N=4)</c:v>
                </c:pt>
                <c:pt idx="3">
                  <c:v>2017-2018
 (N=2)</c:v>
                </c:pt>
                <c:pt idx="4">
                  <c:v>2018-2019
 (N=8)</c:v>
                </c:pt>
              </c:strCache>
            </c:strRef>
          </c:cat>
          <c:val>
            <c:numRef>
              <c:f>Sheet1!$B$2:$B$6</c:f>
              <c:numCache>
                <c:formatCode>General</c:formatCode>
                <c:ptCount val="5"/>
                <c:pt idx="0">
                  <c:v>1</c:v>
                </c:pt>
                <c:pt idx="1">
                  <c:v>7</c:v>
                </c:pt>
                <c:pt idx="2">
                  <c:v>0</c:v>
                </c:pt>
                <c:pt idx="3">
                  <c:v>0</c:v>
                </c:pt>
                <c:pt idx="4">
                  <c:v>6</c:v>
                </c:pt>
              </c:numCache>
            </c:numRef>
          </c:val>
        </c:ser>
        <c:ser>
          <c:idx val="1"/>
          <c:order val="1"/>
          <c:tx>
            <c:strRef>
              <c:f>Sheet1!$C$1</c:f>
              <c:strCache>
                <c:ptCount val="1"/>
                <c:pt idx="0">
                  <c:v>Programme post secondaire d'enseignement coopératif/stage (COOP)</c:v>
                </c:pt>
              </c:strCache>
            </c:strRef>
          </c:tx>
          <c:spPr>
            <a:solidFill>
              <a:schemeClr val="accent2"/>
            </a:solidFill>
            <a:ln>
              <a:noFill/>
            </a:ln>
            <a:effectLst/>
          </c:spPr>
          <c:invertIfNegative val="0"/>
          <c:dLbls>
            <c:dLbl>
              <c:idx val="0"/>
              <c:delete val="1"/>
              <c:extLst>
                <c:ext xmlns:c15="http://schemas.microsoft.com/office/drawing/2012/chart" uri="{CE6537A1-D6FC-4f65-9D91-7224C49458BB}"/>
              </c:extLst>
            </c:dLbl>
            <c:dLbl>
              <c:idx val="2"/>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(N=1)</c:v>
                </c:pt>
                <c:pt idx="1">
                  <c:v>2015-2016
 (N=8)</c:v>
                </c:pt>
                <c:pt idx="2">
                  <c:v>2016-2017
 (N=4)</c:v>
                </c:pt>
                <c:pt idx="3">
                  <c:v>2017-2018
 (N=2)</c:v>
                </c:pt>
                <c:pt idx="4">
                  <c:v>2018-2019
 (N=8)</c:v>
                </c:pt>
              </c:strCache>
            </c:strRef>
          </c:cat>
          <c:val>
            <c:numRef>
              <c:f>Sheet1!$C$2:$C$6</c:f>
              <c:numCache>
                <c:formatCode>General</c:formatCode>
                <c:ptCount val="5"/>
                <c:pt idx="0">
                  <c:v>0</c:v>
                </c:pt>
                <c:pt idx="1">
                  <c:v>1</c:v>
                </c:pt>
                <c:pt idx="2">
                  <c:v>0</c:v>
                </c:pt>
                <c:pt idx="3">
                  <c:v>1</c:v>
                </c:pt>
                <c:pt idx="4">
                  <c:v>1</c:v>
                </c:pt>
              </c:numCache>
            </c:numRef>
          </c:val>
        </c:ser>
        <c:ser>
          <c:idx val="2"/>
          <c:order val="2"/>
          <c:tx>
            <c:strRef>
              <c:f>Sheet1!$D$1</c:f>
              <c:strCache>
                <c:ptCount val="1"/>
                <c:pt idx="0">
                  <c:v>Programme des adjoints de recherche (PAR)</c:v>
                </c:pt>
              </c:strCache>
            </c:strRef>
          </c:tx>
          <c:spPr>
            <a:solidFill>
              <a:schemeClr val="accent3"/>
            </a:solidFill>
            <a:ln>
              <a:noFill/>
            </a:ln>
            <a:effectLst/>
          </c:spPr>
          <c:invertIfNegative val="0"/>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(N=1)</c:v>
                </c:pt>
                <c:pt idx="1">
                  <c:v>2015-2016
 (N=8)</c:v>
                </c:pt>
                <c:pt idx="2">
                  <c:v>2016-2017
 (N=4)</c:v>
                </c:pt>
                <c:pt idx="3">
                  <c:v>2017-2018
 (N=2)</c:v>
                </c:pt>
                <c:pt idx="4">
                  <c:v>2018-2019
 (N=8)</c:v>
                </c:pt>
              </c:strCache>
            </c:strRef>
          </c:cat>
          <c:val>
            <c:numRef>
              <c:f>Sheet1!$D$2:$D$6</c:f>
              <c:numCache>
                <c:formatCode>General</c:formatCode>
                <c:ptCount val="5"/>
                <c:pt idx="0">
                  <c:v>0</c:v>
                </c:pt>
                <c:pt idx="1">
                  <c:v>0</c:v>
                </c:pt>
                <c:pt idx="2">
                  <c:v>4</c:v>
                </c:pt>
                <c:pt idx="3">
                  <c:v>1</c:v>
                </c:pt>
                <c:pt idx="4">
                  <c:v>1</c:v>
                </c:pt>
              </c:numCache>
            </c:numRef>
          </c:val>
        </c:ser>
        <c:dLbls>
          <c:dLblPos val="ctr"/>
          <c:showLegendKey val="0"/>
          <c:showVal val="1"/>
          <c:showCatName val="0"/>
          <c:showSerName val="0"/>
          <c:showPercent val="0"/>
          <c:showBubbleSize val="0"/>
        </c:dLbls>
        <c:gapWidth val="150"/>
        <c:overlap val="100"/>
        <c:axId val="620417720"/>
        <c:axId val="620416152"/>
      </c:barChart>
      <c:catAx>
        <c:axId val="620417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850" b="0" i="0" u="none" strike="noStrike" kern="1200" baseline="0">
                <a:solidFill>
                  <a:sysClr val="windowText" lastClr="000000"/>
                </a:solidFill>
                <a:latin typeface="+mn-lt"/>
                <a:ea typeface="+mn-ea"/>
                <a:cs typeface="+mn-cs"/>
              </a:defRPr>
            </a:pPr>
            <a:endParaRPr lang="en-US"/>
          </a:p>
        </c:txPr>
        <c:crossAx val="620416152"/>
        <c:crosses val="autoZero"/>
        <c:auto val="1"/>
        <c:lblAlgn val="ctr"/>
        <c:lblOffset val="100"/>
        <c:noMultiLvlLbl val="0"/>
      </c:catAx>
      <c:valAx>
        <c:axId val="6204161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20417720"/>
        <c:crosses val="autoZero"/>
        <c:crossBetween val="between"/>
      </c:valAx>
      <c:spPr>
        <a:noFill/>
        <a:ln>
          <a:noFill/>
        </a:ln>
        <a:effectLst/>
      </c:spPr>
    </c:plotArea>
    <c:legend>
      <c:legendPos val="b"/>
      <c:layout>
        <c:manualLayout>
          <c:xMode val="edge"/>
          <c:yMode val="edge"/>
          <c:x val="4.4100955553040477E-3"/>
          <c:y val="0.80836371963571652"/>
          <c:w val="0.97885948034729742"/>
          <c:h val="0.15042100442142717"/>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b="1" i="0" baseline="0">
                <a:solidFill>
                  <a:sysClr val="windowText" lastClr="000000"/>
                </a:solidFill>
                <a:effectLst/>
              </a:rPr>
              <a:t>Programme de recrutement postsecondaire et embauche d'anciens étudiants</a:t>
            </a:r>
            <a:endParaRPr lang="en-CA" sz="1200">
              <a:solidFill>
                <a:sysClr val="windowText" lastClr="000000"/>
              </a:solidFill>
              <a:effectLst/>
            </a:endParaRPr>
          </a:p>
        </c:rich>
      </c:tx>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7963032789915352E-2"/>
          <c:y val="0.25135174030139185"/>
          <c:w val="0.90621744112971792"/>
          <c:h val="0.49393721346189429"/>
        </c:manualLayout>
      </c:layout>
      <c:bar3DChart>
        <c:barDir val="col"/>
        <c:grouping val="clustered"/>
        <c:varyColors val="0"/>
        <c:ser>
          <c:idx val="0"/>
          <c:order val="0"/>
          <c:tx>
            <c:strRef>
              <c:f>Sheet1!$B$1</c:f>
              <c:strCache>
                <c:ptCount val="1"/>
                <c:pt idx="0">
                  <c:v>Recrutement postsecondaire (RP)</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layout>
                <c:manualLayout>
                  <c:x val="0"/>
                  <c:y val="1.1189854531891086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c:v>
                </c:pt>
                <c:pt idx="1">
                  <c:v>2015-2016</c:v>
                </c:pt>
                <c:pt idx="2">
                  <c:v>2016-2017</c:v>
                </c:pt>
                <c:pt idx="3">
                  <c:v>2017-2018</c:v>
                </c:pt>
                <c:pt idx="4">
                  <c:v>2018-2019</c:v>
                </c:pt>
              </c:strCache>
            </c:strRef>
          </c:cat>
          <c:val>
            <c:numRef>
              <c:f>Sheet1!$B$2:$B$6</c:f>
              <c:numCache>
                <c:formatCode>_-* #,##0_-;\-* #,##0_-;_-* "-"??_-;_-@_-</c:formatCode>
                <c:ptCount val="5"/>
                <c:pt idx="0">
                  <c:v>0</c:v>
                </c:pt>
                <c:pt idx="1">
                  <c:v>0</c:v>
                </c:pt>
                <c:pt idx="2">
                  <c:v>0</c:v>
                </c:pt>
                <c:pt idx="3">
                  <c:v>0</c:v>
                </c:pt>
                <c:pt idx="4">
                  <c:v>1</c:v>
                </c:pt>
              </c:numCache>
            </c:numRef>
          </c:val>
        </c:ser>
        <c:ser>
          <c:idx val="1"/>
          <c:order val="1"/>
          <c:tx>
            <c:strRef>
              <c:f>Sheet1!$C$1</c:f>
              <c:strCache>
                <c:ptCount val="1"/>
                <c:pt idx="0">
                  <c:v>Embauche d'anciens étudiants*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0"/>
                  <c:y val="3.7299515106303618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6832412523020931E-3"/>
                  <c:y val="1.491980604252144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1.491980604252144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7.4599030212607062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1.118985453189108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c:v>
                </c:pt>
                <c:pt idx="1">
                  <c:v>2015-2016</c:v>
                </c:pt>
                <c:pt idx="2">
                  <c:v>2016-2017</c:v>
                </c:pt>
                <c:pt idx="3">
                  <c:v>2017-2018</c:v>
                </c:pt>
                <c:pt idx="4">
                  <c:v>2018-2019</c:v>
                </c:pt>
              </c:strCache>
            </c:strRef>
          </c:cat>
          <c:val>
            <c:numRef>
              <c:f>Sheet1!$C$2:$C$6</c:f>
              <c:numCache>
                <c:formatCode>_-* #,##0_-;\-* #,##0_-;_-* "-"??_-;_-@_-</c:formatCode>
                <c:ptCount val="5"/>
                <c:pt idx="0">
                  <c:v>1</c:v>
                </c:pt>
                <c:pt idx="1">
                  <c:v>4</c:v>
                </c:pt>
                <c:pt idx="2">
                  <c:v>5</c:v>
                </c:pt>
                <c:pt idx="3">
                  <c:v>4</c:v>
                </c:pt>
              </c:numCache>
            </c:numRef>
          </c:val>
        </c:ser>
        <c:dLbls>
          <c:showLegendKey val="0"/>
          <c:showVal val="1"/>
          <c:showCatName val="0"/>
          <c:showSerName val="0"/>
          <c:showPercent val="0"/>
          <c:showBubbleSize val="0"/>
        </c:dLbls>
        <c:gapWidth val="150"/>
        <c:shape val="box"/>
        <c:axId val="620411840"/>
        <c:axId val="620415760"/>
        <c:axId val="0"/>
      </c:bar3DChart>
      <c:catAx>
        <c:axId val="62041184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620415760"/>
        <c:crosses val="autoZero"/>
        <c:auto val="1"/>
        <c:lblAlgn val="ctr"/>
        <c:lblOffset val="100"/>
        <c:noMultiLvlLbl val="0"/>
      </c:catAx>
      <c:valAx>
        <c:axId val="620415760"/>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20411840"/>
        <c:crosses val="autoZero"/>
        <c:crossBetween val="between"/>
        <c:minorUnit val="1"/>
      </c:valAx>
      <c:spPr>
        <a:noFill/>
        <a:ln>
          <a:noFill/>
        </a:ln>
        <a:effectLst/>
      </c:spPr>
    </c:plotArea>
    <c:legend>
      <c:legendPos val="r"/>
      <c:layout>
        <c:manualLayout>
          <c:xMode val="edge"/>
          <c:yMode val="edge"/>
          <c:x val="4.7026870260002032E-2"/>
          <c:y val="0.82026156652089488"/>
          <c:w val="0.88258285263088621"/>
          <c:h val="9.03746253592075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sz="1200" b="1" i="0" baseline="0">
                <a:solidFill>
                  <a:sysClr val="windowText" lastClr="000000"/>
                </a:solidFill>
                <a:effectLst/>
              </a:rPr>
              <a:t>Population selon le profil linguistique au 31 mars 2019 (N=127)</a:t>
            </a:r>
            <a:endParaRPr lang="en-CA" sz="1200">
              <a:solidFill>
                <a:sysClr val="windowText" lastClr="000000"/>
              </a:solidFill>
              <a:effectLst/>
            </a:endParaRPr>
          </a:p>
        </c:rich>
      </c:tx>
      <c:layout>
        <c:manualLayout>
          <c:xMode val="edge"/>
          <c:yMode val="edge"/>
          <c:x val="0.14725646205219109"/>
          <c:y val="3.352977616928321E-3"/>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9.1595553173654358E-3"/>
          <c:y val="0.28853377023524235"/>
          <c:w val="0.99084044468263455"/>
          <c:h val="0.58773454948566217"/>
        </c:manualLayout>
      </c:layout>
      <c:pieChart>
        <c:varyColors val="1"/>
        <c:ser>
          <c:idx val="0"/>
          <c:order val="0"/>
          <c:tx>
            <c:strRef>
              <c:f>Sheet1!$B$1</c:f>
              <c:strCache>
                <c:ptCount val="1"/>
                <c:pt idx="0">
                  <c:v>Population selon le profil linguistique au 31 mars 2018</c:v>
                </c:pt>
              </c:strCache>
            </c:strRef>
          </c:tx>
          <c:spPr>
            <a:ln w="3175">
              <a:noFill/>
            </a:ln>
            <a:effectLst/>
          </c:spPr>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3175">
                <a:noFill/>
              </a:ln>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3175">
                <a:noFill/>
              </a:ln>
              <a:effectLst/>
            </c:spPr>
          </c:dPt>
          <c:dLbls>
            <c:dLbl>
              <c:idx val="0"/>
              <c:layout>
                <c:manualLayout>
                  <c:x val="-2.181500872600349E-3"/>
                  <c:y val="2.4883438483233076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43717277486910994"/>
                      <c:h val="0.16045548654244307"/>
                    </c:manualLayout>
                  </c15:layout>
                </c:ext>
              </c:extLst>
            </c:dLbl>
            <c:dLbl>
              <c:idx val="1"/>
              <c:layout>
                <c:manualLayout>
                  <c:x val="0.10471238542826126"/>
                  <c:y val="-4.6440390603348494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34746945898778353"/>
                      <c:h val="0.18610268825092516"/>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Unilingue</c:v>
                </c:pt>
                <c:pt idx="1">
                  <c:v>Bilingue</c:v>
                </c:pt>
              </c:strCache>
            </c:strRef>
          </c:cat>
          <c:val>
            <c:numRef>
              <c:f>Sheet1!$B$2:$B$3</c:f>
              <c:numCache>
                <c:formatCode>0</c:formatCode>
                <c:ptCount val="2"/>
                <c:pt idx="0">
                  <c:v>14</c:v>
                </c:pt>
                <c:pt idx="1">
                  <c:v>81</c:v>
                </c:pt>
              </c:numCache>
            </c:numRef>
          </c:val>
        </c:ser>
        <c:dLbls>
          <c:showLegendKey val="0"/>
          <c:showVal val="0"/>
          <c:showCatName val="0"/>
          <c:showSerName val="0"/>
          <c:showPercent val="0"/>
          <c:showBubbleSize val="0"/>
          <c:showLeaderLines val="1"/>
        </c:dLbls>
        <c:firstSliceAng val="6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US" sz="1200">
                <a:solidFill>
                  <a:sysClr val="windowText" lastClr="000000"/>
                </a:solidFill>
              </a:rPr>
              <a:t>Population selon le groupe professionnel au 31 mars 2019</a:t>
            </a:r>
          </a:p>
        </c:rich>
      </c:tx>
      <c:layout>
        <c:manualLayout>
          <c:xMode val="edge"/>
          <c:yMode val="edge"/>
          <c:x val="0.15449132040021618"/>
          <c:y val="9.0263107355482985E-4"/>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3.2974677048050557E-2"/>
          <c:y val="0.30179943484886967"/>
          <c:w val="0.93955862026122472"/>
          <c:h val="0.62025549540682412"/>
        </c:manualLayout>
      </c:layout>
      <c:pieChart>
        <c:varyColors val="1"/>
        <c:ser>
          <c:idx val="0"/>
          <c:order val="0"/>
          <c:tx>
            <c:strRef>
              <c:f>Sheet1!$B$1</c:f>
              <c:strCache>
                <c:ptCount val="1"/>
                <c:pt idx="0">
                  <c:v>Population selon le groupe professionnel au 31 mars 2018</c:v>
                </c:pt>
              </c:strCache>
            </c:strRef>
          </c:tx>
          <c:spPr>
            <a:ln w="3175">
              <a:noFill/>
            </a:ln>
          </c:spPr>
          <c:dPt>
            <c:idx val="0"/>
            <c:bubble3D val="0"/>
            <c:spPr>
              <a:solidFill>
                <a:schemeClr val="accent2"/>
              </a:solidFill>
              <a:ln w="3175">
                <a:noFill/>
              </a:ln>
              <a:effectLst/>
            </c:spPr>
          </c:dPt>
          <c:dLbls>
            <c:dLbl>
              <c:idx val="0"/>
              <c:layout>
                <c:manualLayout>
                  <c:x val="0.38701740494728654"/>
                  <c:y val="0.2994552529182879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bestFit"/>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c:f>
              <c:strCache>
                <c:ptCount val="1"/>
                <c:pt idx="0">
                  <c:v>RE</c:v>
                </c:pt>
              </c:strCache>
            </c:strRef>
          </c:cat>
          <c:val>
            <c:numRef>
              <c:f>Sheet1!$B$2</c:f>
              <c:numCache>
                <c:formatCode>General</c:formatCode>
                <c:ptCount val="1"/>
                <c:pt idx="0">
                  <c:v>123</c:v>
                </c:pt>
              </c:numCache>
            </c:numRef>
          </c:val>
        </c:ser>
        <c:dLbls>
          <c:dLblPos val="bestFit"/>
          <c:showLegendKey val="0"/>
          <c:showVal val="1"/>
          <c:showCatName val="0"/>
          <c:showSerName val="0"/>
          <c:showPercent val="0"/>
          <c:showBubbleSize val="0"/>
          <c:showLeaderLines val="1"/>
        </c:dLbls>
        <c:firstSliceAng val="141"/>
      </c:pie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sz="1200" b="1" i="0" baseline="0">
                <a:solidFill>
                  <a:sysClr val="windowText" lastClr="000000"/>
                </a:solidFill>
                <a:effectLst/>
              </a:rPr>
              <a:t>Population selon la région au 31 mars 2019 (N=127)</a:t>
            </a:r>
            <a:endParaRPr lang="en-CA" sz="1200">
              <a:solidFill>
                <a:sysClr val="windowText" lastClr="000000"/>
              </a:solidFill>
              <a:effectLst/>
            </a:endParaRPr>
          </a:p>
        </c:rich>
      </c:tx>
      <c:layout>
        <c:manualLayout>
          <c:xMode val="edge"/>
          <c:yMode val="edge"/>
          <c:x val="0.12792086473061834"/>
          <c:y val="2.0703933747412008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8.3640109502441232E-2"/>
          <c:y val="0.22221760323437831"/>
          <c:w val="0.84333349635643373"/>
          <c:h val="0.70579860488143109"/>
        </c:manualLayout>
      </c:layout>
      <c:pieChart>
        <c:varyColors val="1"/>
        <c:ser>
          <c:idx val="0"/>
          <c:order val="0"/>
          <c:tx>
            <c:strRef>
              <c:f>Sheet1!$B$1</c:f>
              <c:strCache>
                <c:ptCount val="1"/>
                <c:pt idx="0">
                  <c:v>Population selon la région au 31 mars 2018</c:v>
                </c:pt>
              </c:strCache>
            </c:strRef>
          </c:tx>
          <c:spPr>
            <a:solidFill>
              <a:schemeClr val="accent2"/>
            </a:solidFill>
            <a:ln>
              <a:noFill/>
            </a:ln>
            <a:effectLst/>
          </c:spPr>
          <c:dPt>
            <c:idx val="0"/>
            <c:bubble3D val="0"/>
            <c:spPr>
              <a:solidFill>
                <a:schemeClr val="accent2"/>
              </a:solidFill>
              <a:ln w="3175">
                <a:noFill/>
              </a:ln>
              <a:effectLst/>
            </c:spPr>
          </c:dPt>
          <c:dLbls>
            <c:dLbl>
              <c:idx val="0"/>
              <c:layout>
                <c:manualLayout>
                  <c:x val="0.27956989247311825"/>
                  <c:y val="-0.30538302277432711"/>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37992831541218636"/>
                      <c:h val="0.24456521739130435"/>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c:f>
              <c:strCache>
                <c:ptCount val="1"/>
                <c:pt idx="0">
                  <c:v>RCN</c:v>
                </c:pt>
              </c:strCache>
            </c:strRef>
          </c:cat>
          <c:val>
            <c:numRef>
              <c:f>Sheet1!$B$2</c:f>
              <c:numCache>
                <c:formatCode>0</c:formatCode>
                <c:ptCount val="1"/>
                <c:pt idx="0">
                  <c:v>127</c:v>
                </c:pt>
              </c:numCache>
            </c:numRef>
          </c:val>
        </c:ser>
        <c:dLbls>
          <c:showLegendKey val="0"/>
          <c:showVal val="0"/>
          <c:showCatName val="0"/>
          <c:showSerName val="0"/>
          <c:showPercent val="0"/>
          <c:showBubbleSize val="0"/>
          <c:showLeaderLines val="1"/>
        </c:dLbls>
        <c:firstSliceAng val="48"/>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US" sz="1200">
                <a:solidFill>
                  <a:sysClr val="windowText" lastClr="000000"/>
                </a:solidFill>
              </a:rPr>
              <a:t>Embauche externe pour une période</a:t>
            </a:r>
            <a:r>
              <a:rPr lang="en-US" sz="1200" baseline="0">
                <a:solidFill>
                  <a:sysClr val="windowText" lastClr="000000"/>
                </a:solidFill>
              </a:rPr>
              <a:t> indéterminée selon le groupe professionnel</a:t>
            </a:r>
            <a:r>
              <a:rPr lang="en-US" sz="1200">
                <a:solidFill>
                  <a:sysClr val="windowText" lastClr="000000"/>
                </a:solidFill>
              </a:rPr>
              <a:t>,</a:t>
            </a:r>
          </a:p>
          <a:p>
            <a:pPr>
              <a:defRPr sz="1200" b="1">
                <a:solidFill>
                  <a:sysClr val="windowText" lastClr="000000"/>
                </a:solidFill>
              </a:defRPr>
            </a:pPr>
            <a:r>
              <a:rPr lang="en-US" sz="1200">
                <a:solidFill>
                  <a:sysClr val="windowText" lastClr="000000"/>
                </a:solidFill>
              </a:rPr>
              <a:t> 2018-2019 (N=13)</a:t>
            </a:r>
          </a:p>
        </c:rich>
      </c:tx>
      <c:layout>
        <c:manualLayout>
          <c:xMode val="edge"/>
          <c:yMode val="edge"/>
          <c:x val="0.14968643412327082"/>
          <c:y val="2.5746584826502987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7.7503245064219434E-2"/>
          <c:y val="0.40455487639318416"/>
          <c:w val="0.8966533531134695"/>
          <c:h val="0.48715812098290862"/>
        </c:manualLayout>
      </c:layout>
      <c:doughnutChart>
        <c:varyColors val="1"/>
        <c:ser>
          <c:idx val="0"/>
          <c:order val="0"/>
          <c:tx>
            <c:strRef>
              <c:f>Sheet1!$B$1</c:f>
              <c:strCache>
                <c:ptCount val="1"/>
                <c:pt idx="0">
                  <c:v>Embauche externe pour une période indéterminée selon le groupe professionnel</c:v>
                </c:pt>
              </c:strCache>
            </c:strRef>
          </c:tx>
          <c:spPr>
            <a:solidFill>
              <a:schemeClr val="accent2"/>
            </a:solidFill>
            <a:ln>
              <a:noFill/>
            </a:ln>
          </c:spPr>
          <c:dPt>
            <c:idx val="0"/>
            <c:bubble3D val="0"/>
            <c:spPr>
              <a:solidFill>
                <a:schemeClr val="accent2"/>
              </a:solidFill>
              <a:ln w="19050">
                <a:noFill/>
              </a:ln>
              <a:effectLst/>
            </c:spPr>
          </c:dPt>
          <c:dLbls>
            <c:dLbl>
              <c:idx val="0"/>
              <c:layout>
                <c:manualLayout>
                  <c:x val="2.8985253654887341E-2"/>
                  <c:y val="-1.0138925436377007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24085815360036511"/>
                      <c:h val="0.13880863317282188"/>
                    </c:manualLayout>
                  </c15:layout>
                </c:ext>
              </c:extLst>
            </c:dLbl>
            <c:spPr>
              <a:solidFill>
                <a:sysClr val="window" lastClr="FFFFFF"/>
              </a:solid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c:f>
              <c:strCache>
                <c:ptCount val="1"/>
                <c:pt idx="0">
                  <c:v>RE</c:v>
                </c:pt>
              </c:strCache>
            </c:strRef>
          </c:cat>
          <c:val>
            <c:numRef>
              <c:f>Sheet1!$B$2</c:f>
              <c:numCache>
                <c:formatCode>General</c:formatCode>
                <c:ptCount val="1"/>
                <c:pt idx="0">
                  <c:v>13</c:v>
                </c:pt>
              </c:numCache>
            </c:numRef>
          </c:val>
        </c:ser>
        <c:dLbls>
          <c:showLegendKey val="0"/>
          <c:showVal val="0"/>
          <c:showCatName val="0"/>
          <c:showSerName val="0"/>
          <c:showPercent val="0"/>
          <c:showBubbleSize val="0"/>
          <c:showLeaderLines val="0"/>
        </c:dLbls>
        <c:firstSliceAng val="120"/>
        <c:holeSize val="50"/>
      </c:doughnut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solidFill>
                  <a:sysClr val="windowText" lastClr="000000"/>
                </a:solidFill>
              </a:rPr>
              <a:t>Dotation selon la région</a:t>
            </a:r>
          </a:p>
        </c:rich>
      </c:tx>
      <c:layout>
        <c:manualLayout>
          <c:xMode val="edge"/>
          <c:yMode val="edge"/>
          <c:x val="0.35352268150292343"/>
          <c:y val="3.2280020402573606E-3"/>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951817700419027"/>
          <c:y val="0.12158656628431981"/>
          <c:w val="0.84333349635643373"/>
          <c:h val="0.61671174519323513"/>
        </c:manualLayout>
      </c:layout>
      <c:barChart>
        <c:barDir val="col"/>
        <c:grouping val="clustered"/>
        <c:varyColors val="0"/>
        <c:ser>
          <c:idx val="0"/>
          <c:order val="0"/>
          <c:tx>
            <c:strRef>
              <c:f>Sheet1!$B$1</c:f>
              <c:strCache>
                <c:ptCount val="1"/>
                <c:pt idx="0">
                  <c:v>Région de la capitale nationale (RCN)</c:v>
                </c:pt>
              </c:strCache>
            </c:strRef>
          </c:tx>
          <c:spPr>
            <a:solidFill>
              <a:schemeClr val="accent2"/>
            </a:solidFill>
            <a:ln>
              <a:noFill/>
            </a:ln>
            <a:effectLst>
              <a:outerShdw blurRad="57150" dist="19050" dir="5400000" algn="ctr" rotWithShape="0">
                <a:srgbClr val="000000">
                  <a:alpha val="63000"/>
                </a:srgbClr>
              </a:outerShdw>
            </a:effectLst>
          </c:spPr>
          <c:invertIfNegative val="0"/>
          <c:dLbls>
            <c:dLbl>
              <c:idx val="0"/>
              <c:layout>
                <c:manualLayout>
                  <c:x val="-8.3332646246444333E-3"/>
                  <c:y val="1.049501486793772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1872265966754156E-4"/>
                  <c:y val="1.370567072126092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8428632284838744E-3"/>
                  <c:y val="1.399335315725024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5739743058433487E-3"/>
                  <c:y val="1.049509037513877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6.7804024496937879E-3"/>
                  <c:y val="1.7913419551355104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c:v>
                </c:pt>
                <c:pt idx="1">
                  <c:v>2015-2016</c:v>
                </c:pt>
                <c:pt idx="2">
                  <c:v>2016-2017</c:v>
                </c:pt>
                <c:pt idx="3">
                  <c:v>2017-2018</c:v>
                </c:pt>
                <c:pt idx="4">
                  <c:v>2018-2019</c:v>
                </c:pt>
              </c:strCache>
            </c:strRef>
          </c:cat>
          <c:val>
            <c:numRef>
              <c:f>Sheet1!$B$2:$B$6</c:f>
              <c:numCache>
                <c:formatCode>0%</c:formatCode>
                <c:ptCount val="5"/>
                <c:pt idx="0">
                  <c:v>1</c:v>
                </c:pt>
                <c:pt idx="1">
                  <c:v>1</c:v>
                </c:pt>
                <c:pt idx="2">
                  <c:v>1</c:v>
                </c:pt>
                <c:pt idx="3">
                  <c:v>1</c:v>
                </c:pt>
                <c:pt idx="4">
                  <c:v>1</c:v>
                </c:pt>
              </c:numCache>
            </c:numRef>
          </c:val>
        </c:ser>
        <c:ser>
          <c:idx val="1"/>
          <c:order val="1"/>
          <c:tx>
            <c:strRef>
              <c:f>Sheet1!$C$1</c:f>
              <c:strCache>
                <c:ptCount val="1"/>
                <c:pt idx="0">
                  <c:v>Extérieur de la Région de la capitale nationale (RCN)</c:v>
                </c:pt>
              </c:strCache>
            </c:strRef>
          </c:tx>
          <c:spPr>
            <a:solidFill>
              <a:schemeClr val="accent1"/>
            </a:solidFill>
            <a:ln>
              <a:noFill/>
            </a:ln>
            <a:effectLst>
              <a:outerShdw blurRad="57150" dist="19050" dir="5400000" algn="ctr" rotWithShape="0">
                <a:srgbClr val="000000">
                  <a:alpha val="63000"/>
                </a:srgbClr>
              </a:outerShdw>
            </a:effectLst>
          </c:spPr>
          <c:invertIfNegative val="0"/>
          <c:dLbls>
            <c:dLbl>
              <c:idx val="0"/>
              <c:layout>
                <c:manualLayout>
                  <c:x val="1.1294147442096053E-2"/>
                  <c:y val="1.342238422013243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0800294700004537E-2"/>
                  <c:y val="7.840021367896086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9152046783625733E-2"/>
                  <c:y val="1.525862034078010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0964912280701754E-2"/>
                  <c:y val="1.525862034078010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4784500621632822E-2"/>
                  <c:y val="7.1404386084427474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c:v>
                </c:pt>
                <c:pt idx="1">
                  <c:v>2015-2016</c:v>
                </c:pt>
                <c:pt idx="2">
                  <c:v>2016-2017</c:v>
                </c:pt>
                <c:pt idx="3">
                  <c:v>2017-2018</c:v>
                </c:pt>
                <c:pt idx="4">
                  <c:v>2018-2019</c:v>
                </c:pt>
              </c:strCache>
            </c:strRef>
          </c:cat>
          <c:val>
            <c:numRef>
              <c:f>Sheet1!$C$2:$C$6</c:f>
              <c:numCache>
                <c:formatCode>0%</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150"/>
        <c:axId val="224980072"/>
        <c:axId val="224978504"/>
      </c:barChart>
      <c:catAx>
        <c:axId val="22498007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24978504"/>
        <c:crosses val="autoZero"/>
        <c:auto val="1"/>
        <c:lblAlgn val="ctr"/>
        <c:lblOffset val="100"/>
        <c:noMultiLvlLbl val="0"/>
      </c:catAx>
      <c:valAx>
        <c:axId val="224978504"/>
        <c:scaling>
          <c:orientation val="minMax"/>
          <c:max val="1"/>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24980072"/>
        <c:crosses val="autoZero"/>
        <c:crossBetween val="between"/>
      </c:valAx>
      <c:spPr>
        <a:noFill/>
        <a:ln>
          <a:noFill/>
        </a:ln>
        <a:effectLst/>
      </c:spPr>
    </c:plotArea>
    <c:legend>
      <c:legendPos val="b"/>
      <c:layout>
        <c:manualLayout>
          <c:xMode val="edge"/>
          <c:yMode val="edge"/>
          <c:x val="8.3406144955564754E-2"/>
          <c:y val="0.83428252297655869"/>
          <c:w val="0.8251991527374869"/>
          <c:h val="0.1090787927678305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solidFill>
                  <a:sysClr val="windowText" lastClr="000000"/>
                </a:solidFill>
              </a:rPr>
              <a:t>Dotation selon le type de processus</a:t>
            </a:r>
          </a:p>
        </c:rich>
      </c:tx>
      <c:layout>
        <c:manualLayout>
          <c:xMode val="edge"/>
          <c:yMode val="edge"/>
          <c:x val="0.29701442463031075"/>
          <c:y val="1.7204092979316972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8.9229225927910855E-2"/>
          <c:y val="5.3058212678015221E-2"/>
          <c:w val="0.84333349635643373"/>
          <c:h val="0.56874193419543051"/>
        </c:manualLayout>
      </c:layout>
      <c:barChart>
        <c:barDir val="col"/>
        <c:grouping val="clustered"/>
        <c:varyColors val="0"/>
        <c:ser>
          <c:idx val="0"/>
          <c:order val="0"/>
          <c:tx>
            <c:strRef>
              <c:f>Sheet1!$B$1</c:f>
              <c:strCache>
                <c:ptCount val="1"/>
                <c:pt idx="0">
                  <c:v>Non annoncé (ne tient pas compte des types de processus inconnus)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8.3332646246444333E-3"/>
                  <c:y val="1.049501486793772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7.0912863640736649E-3"/>
                  <c:y val="1.027925304094569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8428632284838744E-3"/>
                  <c:y val="1.399335315725024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555509749762955E-3"/>
                  <c:y val="1.734792573576923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8.3332646246444333E-3"/>
                  <c:y val="1.7913419551355121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c:v>
                </c:pt>
                <c:pt idx="1">
                  <c:v>2015-2016 </c:v>
                </c:pt>
                <c:pt idx="2">
                  <c:v>2016-2017</c:v>
                </c:pt>
                <c:pt idx="3">
                  <c:v>2017-2018</c:v>
                </c:pt>
                <c:pt idx="4">
                  <c:v>2018-2019</c:v>
                </c:pt>
              </c:strCache>
            </c:strRef>
          </c:cat>
          <c:val>
            <c:numRef>
              <c:f>Sheet1!$B$2:$B$6</c:f>
              <c:numCache>
                <c:formatCode>#\ ###</c:formatCode>
                <c:ptCount val="5"/>
                <c:pt idx="0">
                  <c:v>4</c:v>
                </c:pt>
                <c:pt idx="1">
                  <c:v>2</c:v>
                </c:pt>
                <c:pt idx="2">
                  <c:v>2</c:v>
                </c:pt>
                <c:pt idx="3">
                  <c:v>6</c:v>
                </c:pt>
                <c:pt idx="4">
                  <c:v>7</c:v>
                </c:pt>
              </c:numCache>
            </c:numRef>
          </c:val>
        </c:ser>
        <c:ser>
          <c:idx val="1"/>
          <c:order val="1"/>
          <c:tx>
            <c:strRef>
              <c:f>Sheet1!$C$1</c:f>
              <c:strCache>
                <c:ptCount val="1"/>
                <c:pt idx="0">
                  <c:v>Annoncé</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6.9808027923211171E-3"/>
                  <c:y val="2.027521958076295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4904013961606223E-3"/>
                  <c:y val="1.469285672852654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548748815417E-3"/>
                  <c:y val="1.525853959526705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1.52585395952670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6.9808027923211171E-3"/>
                  <c:y val="1.3993273969073208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c:v>
                </c:pt>
                <c:pt idx="1">
                  <c:v>2015-2016 </c:v>
                </c:pt>
                <c:pt idx="2">
                  <c:v>2016-2017</c:v>
                </c:pt>
                <c:pt idx="3">
                  <c:v>2017-2018</c:v>
                </c:pt>
                <c:pt idx="4">
                  <c:v>2018-2019</c:v>
                </c:pt>
              </c:strCache>
            </c:strRef>
          </c:cat>
          <c:val>
            <c:numRef>
              <c:f>Sheet1!$C$2:$C$6</c:f>
              <c:numCache>
                <c:formatCode>#\ ###</c:formatCode>
                <c:ptCount val="5"/>
                <c:pt idx="0">
                  <c:v>20</c:v>
                </c:pt>
                <c:pt idx="1">
                  <c:v>14</c:v>
                </c:pt>
                <c:pt idx="2">
                  <c:v>17</c:v>
                </c:pt>
                <c:pt idx="3">
                  <c:v>20</c:v>
                </c:pt>
                <c:pt idx="4">
                  <c:v>10</c:v>
                </c:pt>
              </c:numCache>
            </c:numRef>
          </c:val>
        </c:ser>
        <c:dLbls>
          <c:showLegendKey val="0"/>
          <c:showVal val="0"/>
          <c:showCatName val="0"/>
          <c:showSerName val="0"/>
          <c:showPercent val="0"/>
          <c:showBubbleSize val="0"/>
        </c:dLbls>
        <c:gapWidth val="150"/>
        <c:axId val="224979680"/>
        <c:axId val="224977720"/>
      </c:barChart>
      <c:lineChart>
        <c:grouping val="standard"/>
        <c:varyColors val="0"/>
        <c:ser>
          <c:idx val="2"/>
          <c:order val="2"/>
          <c:tx>
            <c:strRef>
              <c:f>Sheet1!$D$1</c:f>
              <c:strCache>
                <c:ptCount val="1"/>
                <c:pt idx="0">
                  <c:v>% de processus non annoncés</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dLbls>
            <c:dLbl>
              <c:idx val="0"/>
              <c:layout>
                <c:manualLayout>
                  <c:x val="-8.5471135479792792E-2"/>
                  <c:y val="-1.925026204001354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8.6574871858295196E-2"/>
                  <c:y val="2.745450890936039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8.854158936939166E-2"/>
                  <c:y val="-3.89702400785647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9.5229693146995364E-2"/>
                  <c:y val="-2.790560893782400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8.8113671654917611E-2"/>
                  <c:y val="-3.3324744806076903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c:v>
                </c:pt>
                <c:pt idx="1">
                  <c:v>2015-2016 </c:v>
                </c:pt>
                <c:pt idx="2">
                  <c:v>2016-2017</c:v>
                </c:pt>
                <c:pt idx="3">
                  <c:v>2017-2018</c:v>
                </c:pt>
                <c:pt idx="4">
                  <c:v>2018-2019</c:v>
                </c:pt>
              </c:strCache>
            </c:strRef>
          </c:cat>
          <c:val>
            <c:numRef>
              <c:f>Sheet1!$D$2:$D$6</c:f>
              <c:numCache>
                <c:formatCode>0%</c:formatCode>
                <c:ptCount val="5"/>
                <c:pt idx="0">
                  <c:v>0.17</c:v>
                </c:pt>
                <c:pt idx="1">
                  <c:v>0.13</c:v>
                </c:pt>
                <c:pt idx="2">
                  <c:v>0.11</c:v>
                </c:pt>
                <c:pt idx="3">
                  <c:v>0.23</c:v>
                </c:pt>
                <c:pt idx="4">
                  <c:v>0.41</c:v>
                </c:pt>
              </c:numCache>
            </c:numRef>
          </c:val>
          <c:smooth val="0"/>
        </c:ser>
        <c:dLbls>
          <c:showLegendKey val="0"/>
          <c:showVal val="0"/>
          <c:showCatName val="0"/>
          <c:showSerName val="0"/>
          <c:showPercent val="0"/>
          <c:showBubbleSize val="0"/>
        </c:dLbls>
        <c:marker val="1"/>
        <c:smooth val="0"/>
        <c:axId val="224980856"/>
        <c:axId val="224978896"/>
      </c:lineChart>
      <c:catAx>
        <c:axId val="2249796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24977720"/>
        <c:crosses val="autoZero"/>
        <c:auto val="1"/>
        <c:lblAlgn val="ctr"/>
        <c:lblOffset val="100"/>
        <c:noMultiLvlLbl val="0"/>
      </c:catAx>
      <c:valAx>
        <c:axId val="224977720"/>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24979680"/>
        <c:crosses val="autoZero"/>
        <c:crossBetween val="between"/>
      </c:valAx>
      <c:valAx>
        <c:axId val="224978896"/>
        <c:scaling>
          <c:orientation val="minMax"/>
          <c:max val="0.5"/>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24980856"/>
        <c:crosses val="max"/>
        <c:crossBetween val="between"/>
        <c:majorUnit val="0.1"/>
      </c:valAx>
      <c:catAx>
        <c:axId val="224980856"/>
        <c:scaling>
          <c:orientation val="minMax"/>
        </c:scaling>
        <c:delete val="1"/>
        <c:axPos val="b"/>
        <c:numFmt formatCode="General" sourceLinked="1"/>
        <c:majorTickMark val="out"/>
        <c:minorTickMark val="none"/>
        <c:tickLblPos val="nextTo"/>
        <c:crossAx val="224978896"/>
        <c:crosses val="autoZero"/>
        <c:auto val="1"/>
        <c:lblAlgn val="ctr"/>
        <c:lblOffset val="100"/>
        <c:noMultiLvlLbl val="0"/>
      </c:catAx>
      <c:spPr>
        <a:noFill/>
        <a:ln>
          <a:noFill/>
        </a:ln>
        <a:effectLst/>
      </c:spPr>
    </c:plotArea>
    <c:legend>
      <c:legendPos val="b"/>
      <c:layout>
        <c:manualLayout>
          <c:xMode val="edge"/>
          <c:yMode val="edge"/>
          <c:x val="1.3961605584642234E-2"/>
          <c:y val="0.67666732317897038"/>
          <c:w val="0.98603839441535779"/>
          <c:h val="0.11512783396390651"/>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CA" sz="1200">
                <a:solidFill>
                  <a:sysClr val="windowText" lastClr="000000"/>
                </a:solidFill>
              </a:rPr>
              <a:t>Dotation selon le type de nomination</a:t>
            </a:r>
          </a:p>
        </c:rich>
      </c:tx>
      <c:layout>
        <c:manualLayout>
          <c:xMode val="edge"/>
          <c:yMode val="edge"/>
          <c:x val="0.27813431415508144"/>
          <c:y val="1.9121016454905229E-2"/>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835520559928"/>
          <c:y val="0.1339700040434969"/>
          <c:w val="0.84333349635643373"/>
          <c:h val="0.55364490207954775"/>
        </c:manualLayout>
      </c:layout>
      <c:bar3DChart>
        <c:barDir val="col"/>
        <c:grouping val="clustered"/>
        <c:varyColors val="0"/>
        <c:ser>
          <c:idx val="0"/>
          <c:order val="0"/>
          <c:tx>
            <c:strRef>
              <c:f>Sheet1!$B$1</c:f>
              <c:strCache>
                <c:ptCount val="1"/>
                <c:pt idx="0">
                  <c:v>Promotions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6.8495188101487057E-3"/>
                  <c:y val="1.358013325257404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7777777777777779E-3"/>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8.3333333333333332E-3"/>
                  <c:y val="1.978275792449020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5555555555555558E-3"/>
                  <c:y val="2.35202907328891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8.3333333333334356E-3"/>
                  <c:y val="2.3885322027054311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2014-2015 
(N=56)</c:v>
                </c:pt>
                <c:pt idx="1">
                  <c:v>2015-2016
(N=65)</c:v>
                </c:pt>
                <c:pt idx="2">
                  <c:v>2016-2017 
(N=71)</c:v>
                </c:pt>
                <c:pt idx="3">
                  <c:v>2017-2018
(N=89)</c:v>
                </c:pt>
                <c:pt idx="4">
                  <c:v>2018-2019
(N=91)</c:v>
                </c:pt>
              </c:strCache>
            </c:strRef>
          </c:cat>
          <c:val>
            <c:numRef>
              <c:f>Sheet1!$B$3:$B$7</c:f>
              <c:numCache>
                <c:formatCode>#\ ###</c:formatCode>
                <c:ptCount val="5"/>
                <c:pt idx="0">
                  <c:v>11</c:v>
                </c:pt>
                <c:pt idx="1">
                  <c:v>12</c:v>
                </c:pt>
                <c:pt idx="2">
                  <c:v>9</c:v>
                </c:pt>
                <c:pt idx="3">
                  <c:v>12</c:v>
                </c:pt>
                <c:pt idx="4">
                  <c:v>13</c:v>
                </c:pt>
              </c:numCache>
            </c:numRef>
          </c:val>
        </c:ser>
        <c:ser>
          <c:idx val="1"/>
          <c:order val="1"/>
          <c:tx>
            <c:strRef>
              <c:f>Sheet1!$C$1</c:f>
              <c:strCache>
                <c:ptCount val="1"/>
                <c:pt idx="0">
                  <c:v>Déplacements latéraux et régressifs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803E-3"/>
                  <c:y val="1.568019382192610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5555555555555558E-3"/>
                  <c:y val="1.121259842519677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0185067526415994E-16"/>
                  <c:y val="1.586270946900868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7777777777777779E-3"/>
                  <c:y val="1.586270946900868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7777777777777779E-3"/>
                  <c:y val="3.1899858671512213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2014-2015 
(N=56)</c:v>
                </c:pt>
                <c:pt idx="1">
                  <c:v>2015-2016
(N=65)</c:v>
                </c:pt>
                <c:pt idx="2">
                  <c:v>2016-2017 
(N=71)</c:v>
                </c:pt>
                <c:pt idx="3">
                  <c:v>2017-2018
(N=89)</c:v>
                </c:pt>
                <c:pt idx="4">
                  <c:v>2018-2019
(N=91)</c:v>
                </c:pt>
              </c:strCache>
            </c:strRef>
          </c:cat>
          <c:val>
            <c:numRef>
              <c:f>Sheet1!$C$3:$C$7</c:f>
              <c:numCache>
                <c:formatCode>#\ ###</c:formatCode>
                <c:ptCount val="5"/>
                <c:pt idx="0">
                  <c:v>10</c:v>
                </c:pt>
                <c:pt idx="1">
                  <c:v>9</c:v>
                </c:pt>
                <c:pt idx="2">
                  <c:v>2</c:v>
                </c:pt>
                <c:pt idx="3">
                  <c:v>16</c:v>
                </c:pt>
                <c:pt idx="4">
                  <c:v>16</c:v>
                </c:pt>
              </c:numCache>
            </c:numRef>
          </c:val>
        </c:ser>
        <c:ser>
          <c:idx val="2"/>
          <c:order val="2"/>
          <c:tx>
            <c:strRef>
              <c:f>Sheet1!$D$1</c:f>
              <c:strCache>
                <c:ptCount val="1"/>
                <c:pt idx="0">
                  <c:v>Nominations à la fonction publique (y compris les employés occasionnels et les étudiants)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01477892186553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8.2852143482059644E-4"/>
                  <c:y val="1.20050070664243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777777777779E-3"/>
                  <c:y val="7.475065616797900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7777777777777779E-3"/>
                  <c:y val="1.549767817484349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8.285214348205456E-4"/>
                  <c:y val="1.5680193821926088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2014-2015 
(N=56)</c:v>
                </c:pt>
                <c:pt idx="1">
                  <c:v>2015-2016
(N=65)</c:v>
                </c:pt>
                <c:pt idx="2">
                  <c:v>2016-2017 
(N=71)</c:v>
                </c:pt>
                <c:pt idx="3">
                  <c:v>2017-2018
(N=89)</c:v>
                </c:pt>
                <c:pt idx="4">
                  <c:v>2018-2019
(N=91)</c:v>
                </c:pt>
              </c:strCache>
            </c:strRef>
          </c:cat>
          <c:val>
            <c:numRef>
              <c:f>Sheet1!$D$3:$D$7</c:f>
              <c:numCache>
                <c:formatCode>#\ ###</c:formatCode>
                <c:ptCount val="5"/>
                <c:pt idx="0">
                  <c:v>25</c:v>
                </c:pt>
                <c:pt idx="1">
                  <c:v>40</c:v>
                </c:pt>
                <c:pt idx="2">
                  <c:v>54</c:v>
                </c:pt>
                <c:pt idx="3">
                  <c:v>57</c:v>
                </c:pt>
                <c:pt idx="4">
                  <c:v>57</c:v>
                </c:pt>
              </c:numCache>
            </c:numRef>
          </c:val>
        </c:ser>
        <c:ser>
          <c:idx val="3"/>
          <c:order val="3"/>
          <c:tx>
            <c:strRef>
              <c:f>Sheet1!$E$1</c:f>
              <c:strCache>
                <c:ptCount val="1"/>
                <c:pt idx="0">
                  <c:v>Nominations intérimaires (Excluant les nominations de moins de quatre mois)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0"/>
                  <c:y val="1.960024227740755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5555555555555558E-3"/>
                  <c:y val="2.033030486573793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77777777676E-3"/>
                  <c:y val="2.069533615990301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6062992125984253E-3"/>
                  <c:y val="2.03926509186351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3.6062992125984253E-3"/>
                  <c:y val="1.9782757924490132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2014-2015 
(N=56)</c:v>
                </c:pt>
                <c:pt idx="1">
                  <c:v>2015-2016
(N=65)</c:v>
                </c:pt>
                <c:pt idx="2">
                  <c:v>2016-2017 
(N=71)</c:v>
                </c:pt>
                <c:pt idx="3">
                  <c:v>2017-2018
(N=89)</c:v>
                </c:pt>
                <c:pt idx="4">
                  <c:v>2018-2019
(N=91)</c:v>
                </c:pt>
              </c:strCache>
            </c:strRef>
          </c:cat>
          <c:val>
            <c:numRef>
              <c:f>Sheet1!$E$3:$E$7</c:f>
              <c:numCache>
                <c:formatCode>#\ ###</c:formatCode>
                <c:ptCount val="5"/>
                <c:pt idx="0">
                  <c:v>10</c:v>
                </c:pt>
                <c:pt idx="1">
                  <c:v>4</c:v>
                </c:pt>
                <c:pt idx="2">
                  <c:v>6</c:v>
                </c:pt>
                <c:pt idx="3">
                  <c:v>4</c:v>
                </c:pt>
                <c:pt idx="4">
                  <c:v>5</c:v>
                </c:pt>
              </c:numCache>
            </c:numRef>
          </c:val>
        </c:ser>
        <c:dLbls>
          <c:showLegendKey val="0"/>
          <c:showVal val="0"/>
          <c:showCatName val="0"/>
          <c:showSerName val="0"/>
          <c:showPercent val="0"/>
          <c:showBubbleSize val="0"/>
        </c:dLbls>
        <c:gapWidth val="150"/>
        <c:shape val="box"/>
        <c:axId val="605860792"/>
        <c:axId val="605858440"/>
        <c:axId val="0"/>
      </c:bar3DChart>
      <c:catAx>
        <c:axId val="6058607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605858440"/>
        <c:crosses val="autoZero"/>
        <c:auto val="0"/>
        <c:lblAlgn val="ctr"/>
        <c:lblOffset val="100"/>
        <c:noMultiLvlLbl val="0"/>
      </c:catAx>
      <c:valAx>
        <c:axId val="605858440"/>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05860792"/>
        <c:crosses val="autoZero"/>
        <c:crossBetween val="between"/>
      </c:valAx>
      <c:spPr>
        <a:noFill/>
        <a:ln>
          <a:noFill/>
        </a:ln>
        <a:effectLst/>
      </c:spPr>
    </c:plotArea>
    <c:legend>
      <c:legendPos val="r"/>
      <c:layout>
        <c:manualLayout>
          <c:xMode val="edge"/>
          <c:yMode val="edge"/>
          <c:x val="0"/>
          <c:y val="0.809981672549552"/>
          <c:w val="1"/>
          <c:h val="0.1900181708055723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solidFill>
                  <a:sysClr val="windowText" lastClr="000000"/>
                </a:solidFill>
              </a:rPr>
              <a:t>Dotation selon la durée d'emploi</a:t>
            </a:r>
          </a:p>
        </c:rich>
      </c:tx>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835520559928"/>
          <c:y val="0.10260975316148986"/>
          <c:w val="0.86277799650043729"/>
          <c:h val="0.60816022612558041"/>
        </c:manualLayout>
      </c:layout>
      <c:bar3DChart>
        <c:barDir val="col"/>
        <c:grouping val="clustered"/>
        <c:varyColors val="0"/>
        <c:ser>
          <c:idx val="0"/>
          <c:order val="0"/>
          <c:tx>
            <c:strRef>
              <c:f>Sheet1!$B$1</c:f>
              <c:strCache>
                <c:ptCount val="1"/>
                <c:pt idx="0">
                  <c:v>Indéterminée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5.5555555555555558E-3"/>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1.960015680125441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777777778798E-3"/>
                  <c:y val="1.960015680125433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7777777777778798E-3"/>
                  <c:y val="1.978275792449019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7777777777777779E-3"/>
                  <c:y val="1.9600242277407632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(N=56)</c:v>
                </c:pt>
                <c:pt idx="1">
                  <c:v>2015-2016
 (N=65)</c:v>
                </c:pt>
                <c:pt idx="2">
                  <c:v>2016-2017
 (N=71)</c:v>
                </c:pt>
                <c:pt idx="3">
                  <c:v>2017-2018
 (N=89)</c:v>
                </c:pt>
                <c:pt idx="4">
                  <c:v>2018-2019
 (N=91)</c:v>
                </c:pt>
              </c:strCache>
            </c:strRef>
          </c:cat>
          <c:val>
            <c:numRef>
              <c:f>Sheet1!$B$2:$B$6</c:f>
              <c:numCache>
                <c:formatCode>#\ ###</c:formatCode>
                <c:ptCount val="5"/>
                <c:pt idx="0">
                  <c:v>35</c:v>
                </c:pt>
                <c:pt idx="1">
                  <c:v>30</c:v>
                </c:pt>
                <c:pt idx="2">
                  <c:v>23</c:v>
                </c:pt>
                <c:pt idx="3">
                  <c:v>42</c:v>
                </c:pt>
                <c:pt idx="4">
                  <c:v>46</c:v>
                </c:pt>
              </c:numCache>
            </c:numRef>
          </c:val>
        </c:ser>
        <c:ser>
          <c:idx val="1"/>
          <c:order val="1"/>
          <c:tx>
            <c:strRef>
              <c:f>Sheet1!$C$1</c:f>
              <c:strCache>
                <c:ptCount val="1"/>
                <c:pt idx="0">
                  <c:v>Déterminée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35202907328891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7777777777778286E-3"/>
                  <c:y val="2.425035332121938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777777777779E-3"/>
                  <c:y val="2.370280637997181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2.370280637997181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2.3702806379971658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(N=56)</c:v>
                </c:pt>
                <c:pt idx="1">
                  <c:v>2015-2016
 (N=65)</c:v>
                </c:pt>
                <c:pt idx="2">
                  <c:v>2016-2017
 (N=71)</c:v>
                </c:pt>
                <c:pt idx="3">
                  <c:v>2017-2018
 (N=89)</c:v>
                </c:pt>
                <c:pt idx="4">
                  <c:v>2018-2019
 (N=91)</c:v>
                </c:pt>
              </c:strCache>
            </c:strRef>
          </c:cat>
          <c:val>
            <c:numRef>
              <c:f>Sheet1!$C$2:$C$6</c:f>
              <c:numCache>
                <c:formatCode>#\ ###</c:formatCode>
                <c:ptCount val="5"/>
                <c:pt idx="0">
                  <c:v>5</c:v>
                </c:pt>
                <c:pt idx="1">
                  <c:v>4</c:v>
                </c:pt>
                <c:pt idx="2">
                  <c:v>13</c:v>
                </c:pt>
                <c:pt idx="3">
                  <c:v>17</c:v>
                </c:pt>
                <c:pt idx="4">
                  <c:v>12</c:v>
                </c:pt>
              </c:numCache>
            </c:numRef>
          </c:val>
        </c:ser>
        <c:ser>
          <c:idx val="2"/>
          <c:order val="2"/>
          <c:tx>
            <c:strRef>
              <c:f>Sheet1!$D$1</c:f>
              <c:strCache>
                <c:ptCount val="1"/>
                <c:pt idx="0">
                  <c:v>Occasionnel</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8.3333333333333592E-3"/>
                  <c:y val="2.443286896830203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8.3333333333333332E-3"/>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8.3333333333333332E-3"/>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5555555555556572E-3"/>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5.5555555555555558E-3"/>
                  <c:y val="2.3885322027054311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(N=56)</c:v>
                </c:pt>
                <c:pt idx="1">
                  <c:v>2015-2016
 (N=65)</c:v>
                </c:pt>
                <c:pt idx="2">
                  <c:v>2016-2017
 (N=71)</c:v>
                </c:pt>
                <c:pt idx="3">
                  <c:v>2017-2018
 (N=89)</c:v>
                </c:pt>
                <c:pt idx="4">
                  <c:v>2018-2019
 (N=91)</c:v>
                </c:pt>
              </c:strCache>
            </c:strRef>
          </c:cat>
          <c:val>
            <c:numRef>
              <c:f>Sheet1!$D$2:$D$6</c:f>
              <c:numCache>
                <c:formatCode>#\ ###</c:formatCode>
                <c:ptCount val="5"/>
                <c:pt idx="0">
                  <c:v>15</c:v>
                </c:pt>
                <c:pt idx="1">
                  <c:v>23</c:v>
                </c:pt>
                <c:pt idx="2">
                  <c:v>31</c:v>
                </c:pt>
                <c:pt idx="3">
                  <c:v>28</c:v>
                </c:pt>
                <c:pt idx="4">
                  <c:v>25</c:v>
                </c:pt>
              </c:numCache>
            </c:numRef>
          </c:val>
        </c:ser>
        <c:ser>
          <c:idx val="3"/>
          <c:order val="3"/>
          <c:tx>
            <c:strRef>
              <c:f>Sheet1!$E$1</c:f>
              <c:strCache>
                <c:ptCount val="1"/>
                <c:pt idx="0">
                  <c:v>Étudiant</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0"/>
                  <c:y val="2.425035332121946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5555555555555558E-3"/>
                  <c:y val="2.352029073288908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0185067526415994E-16"/>
                  <c:y val="2.35202907328891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5555555555556572E-3"/>
                  <c:y val="2.406783767413688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7777777777777779E-3"/>
                  <c:y val="2.3702806379971658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(N=56)</c:v>
                </c:pt>
                <c:pt idx="1">
                  <c:v>2015-2016
 (N=65)</c:v>
                </c:pt>
                <c:pt idx="2">
                  <c:v>2016-2017
 (N=71)</c:v>
                </c:pt>
                <c:pt idx="3">
                  <c:v>2017-2018
 (N=89)</c:v>
                </c:pt>
                <c:pt idx="4">
                  <c:v>2018-2019
 (N=91)</c:v>
                </c:pt>
              </c:strCache>
            </c:strRef>
          </c:cat>
          <c:val>
            <c:numRef>
              <c:f>Sheet1!$E$2:$E$6</c:f>
              <c:numCache>
                <c:formatCode>#\ ###</c:formatCode>
                <c:ptCount val="5"/>
                <c:pt idx="0">
                  <c:v>1</c:v>
                </c:pt>
                <c:pt idx="1">
                  <c:v>8</c:v>
                </c:pt>
                <c:pt idx="2">
                  <c:v>4</c:v>
                </c:pt>
                <c:pt idx="3">
                  <c:v>2</c:v>
                </c:pt>
                <c:pt idx="4">
                  <c:v>8</c:v>
                </c:pt>
              </c:numCache>
            </c:numRef>
          </c:val>
        </c:ser>
        <c:dLbls>
          <c:showLegendKey val="0"/>
          <c:showVal val="1"/>
          <c:showCatName val="0"/>
          <c:showSerName val="0"/>
          <c:showPercent val="0"/>
          <c:showBubbleSize val="0"/>
        </c:dLbls>
        <c:gapWidth val="150"/>
        <c:shape val="box"/>
        <c:axId val="605861576"/>
        <c:axId val="605861184"/>
        <c:axId val="0"/>
      </c:bar3DChart>
      <c:catAx>
        <c:axId val="60586157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05861184"/>
        <c:crosses val="autoZero"/>
        <c:auto val="1"/>
        <c:lblAlgn val="ctr"/>
        <c:lblOffset val="100"/>
        <c:noMultiLvlLbl val="0"/>
      </c:catAx>
      <c:valAx>
        <c:axId val="605861184"/>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05861576"/>
        <c:crosses val="autoZero"/>
        <c:crossBetween val="between"/>
      </c:valAx>
      <c:spPr>
        <a:noFill/>
        <a:ln>
          <a:noFill/>
        </a:ln>
        <a:effectLst/>
      </c:spPr>
    </c:plotArea>
    <c:legend>
      <c:legendPos val="r"/>
      <c:layout>
        <c:manualLayout>
          <c:xMode val="edge"/>
          <c:yMode val="edge"/>
          <c:x val="0.1"/>
          <c:y val="0.84398433272763984"/>
          <c:w val="0.81944444444444442"/>
          <c:h val="9.03746253592075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rawings/drawing1.xml><?xml version="1.0" encoding="utf-8"?>
<c:userShapes xmlns:c="http://schemas.openxmlformats.org/drawingml/2006/chart">
  <cdr:relSizeAnchor xmlns:cdr="http://schemas.openxmlformats.org/drawingml/2006/chartDrawing">
    <cdr:from>
      <cdr:x>0.00725</cdr:x>
      <cdr:y>0.92924</cdr:y>
    </cdr:from>
    <cdr:to>
      <cdr:x>0.97183</cdr:x>
      <cdr:y>0.99965</cdr:y>
    </cdr:to>
    <cdr:sp macro="" textlink="">
      <cdr:nvSpPr>
        <cdr:cNvPr id="2" name="Text Box 1"/>
        <cdr:cNvSpPr txBox="1"/>
      </cdr:nvSpPr>
      <cdr:spPr>
        <a:xfrm xmlns:a="http://schemas.openxmlformats.org/drawingml/2006/main">
          <a:off x="25192" y="3444240"/>
          <a:ext cx="3351645" cy="2609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lnSpc>
              <a:spcPts val="900"/>
            </a:lnSpc>
          </a:pPr>
          <a:r>
            <a:rPr lang="en-CA" sz="850" baseline="0"/>
            <a:t>inconnus= 32</a:t>
          </a:r>
          <a:endParaRPr lang="en-CA" sz="850"/>
        </a:p>
      </cdr:txBody>
    </cdr:sp>
  </cdr:relSizeAnchor>
</c:userShapes>
</file>

<file path=word/drawings/drawing2.xml><?xml version="1.0" encoding="utf-8"?>
<c:userShapes xmlns:c="http://schemas.openxmlformats.org/drawingml/2006/chart">
  <cdr:relSizeAnchor xmlns:cdr="http://schemas.openxmlformats.org/drawingml/2006/chartDrawing">
    <cdr:from>
      <cdr:x>0.00725</cdr:x>
      <cdr:y>0.92924</cdr:y>
    </cdr:from>
    <cdr:to>
      <cdr:x>0.97183</cdr:x>
      <cdr:y>0.99965</cdr:y>
    </cdr:to>
    <cdr:sp macro="" textlink="">
      <cdr:nvSpPr>
        <cdr:cNvPr id="2" name="Text Box 1"/>
        <cdr:cNvSpPr txBox="1"/>
      </cdr:nvSpPr>
      <cdr:spPr>
        <a:xfrm xmlns:a="http://schemas.openxmlformats.org/drawingml/2006/main">
          <a:off x="25192" y="3444240"/>
          <a:ext cx="3351645" cy="2609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lnSpc>
              <a:spcPts val="900"/>
            </a:lnSpc>
          </a:pPr>
          <a:r>
            <a:rPr lang="en-CA" sz="850" baseline="0"/>
            <a:t>inconnus= 0</a:t>
          </a:r>
          <a:endParaRPr lang="en-CA" sz="850"/>
        </a:p>
      </cdr:txBody>
    </cdr:sp>
  </cdr:relSizeAnchor>
</c:userShapes>
</file>

<file path=word/drawings/drawing3.xml><?xml version="1.0" encoding="utf-8"?>
<c:userShapes xmlns:c="http://schemas.openxmlformats.org/drawingml/2006/chart">
  <cdr:relSizeAnchor xmlns:cdr="http://schemas.openxmlformats.org/drawingml/2006/chartDrawing">
    <cdr:from>
      <cdr:x>0.00725</cdr:x>
      <cdr:y>0.92924</cdr:y>
    </cdr:from>
    <cdr:to>
      <cdr:x>0.97183</cdr:x>
      <cdr:y>0.99965</cdr:y>
    </cdr:to>
    <cdr:sp macro="" textlink="">
      <cdr:nvSpPr>
        <cdr:cNvPr id="2" name="Text Box 1"/>
        <cdr:cNvSpPr txBox="1"/>
      </cdr:nvSpPr>
      <cdr:spPr>
        <a:xfrm xmlns:a="http://schemas.openxmlformats.org/drawingml/2006/main">
          <a:off x="25192" y="3444240"/>
          <a:ext cx="3351645" cy="2609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nSpc>
              <a:spcPts val="900"/>
            </a:lnSpc>
          </a:pPr>
          <a:r>
            <a:rPr lang="en-CA" sz="850"/>
            <a:t>-</a:t>
          </a:r>
          <a:r>
            <a:rPr lang="en-CA" sz="850" baseline="0"/>
            <a:t>Distribution régionale exclus les inconnus</a:t>
          </a:r>
          <a:endParaRPr lang="en-CA" sz="850"/>
        </a:p>
      </cdr:txBody>
    </cdr:sp>
  </cdr:relSizeAnchor>
</c:userShapes>
</file>

<file path=word/drawings/drawing4.xml><?xml version="1.0" encoding="utf-8"?>
<c:userShapes xmlns:c="http://schemas.openxmlformats.org/drawingml/2006/chart">
  <cdr:relSizeAnchor xmlns:cdr="http://schemas.openxmlformats.org/drawingml/2006/chartDrawing">
    <cdr:from>
      <cdr:x>0.00725</cdr:x>
      <cdr:y>0.77925</cdr:y>
    </cdr:from>
    <cdr:to>
      <cdr:x>0.97183</cdr:x>
      <cdr:y>0.99965</cdr:y>
    </cdr:to>
    <cdr:sp macro="" textlink="">
      <cdr:nvSpPr>
        <cdr:cNvPr id="2" name="Text Box 1"/>
        <cdr:cNvSpPr txBox="1"/>
      </cdr:nvSpPr>
      <cdr:spPr>
        <a:xfrm xmlns:a="http://schemas.openxmlformats.org/drawingml/2006/main">
          <a:off x="26375" y="2828925"/>
          <a:ext cx="3509673" cy="8000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nSpc>
              <a:spcPts val="900"/>
            </a:lnSpc>
          </a:pPr>
          <a:r>
            <a:rPr lang="en-CA" sz="850"/>
            <a:t>-</a:t>
          </a:r>
          <a:r>
            <a:rPr lang="en-CA" sz="850" baseline="0"/>
            <a:t>Comprend les nominations pour une période indéterminée et pour une période déterminée</a:t>
          </a:r>
        </a:p>
        <a:p xmlns:a="http://schemas.openxmlformats.org/drawingml/2006/main">
          <a:pPr>
            <a:lnSpc>
              <a:spcPts val="900"/>
            </a:lnSpc>
          </a:pPr>
          <a:r>
            <a:rPr lang="en-CA" sz="850" baseline="0"/>
            <a:t>-Exclut les déplacements latéraux et régressifs, les mutations et les nominations intérimaires de moins de quatre mois</a:t>
          </a:r>
        </a:p>
        <a:p xmlns:a="http://schemas.openxmlformats.org/drawingml/2006/main">
          <a:pPr>
            <a:lnSpc>
              <a:spcPts val="900"/>
            </a:lnSpc>
          </a:pPr>
          <a:r>
            <a:rPr lang="en-CA" sz="850" baseline="0"/>
            <a:t>-Inclut seulement les nominations où le type de processus est connu (40</a:t>
          </a:r>
          <a:r>
            <a:rPr lang="en-CA" sz="850" baseline="0">
              <a:solidFill>
                <a:sysClr val="windowText" lastClr="000000"/>
              </a:solidFill>
            </a:rPr>
            <a:t>% à 80</a:t>
          </a:r>
          <a:r>
            <a:rPr lang="en-CA" sz="850" baseline="0"/>
            <a:t>% des nominations)</a:t>
          </a:r>
          <a:endParaRPr lang="en-CA" sz="850"/>
        </a:p>
      </cdr:txBody>
    </cdr:sp>
  </cdr:relSizeAnchor>
</c:userShapes>
</file>

<file path=word/drawings/drawing5.xml><?xml version="1.0" encoding="utf-8"?>
<c:userShapes xmlns:c="http://schemas.openxmlformats.org/drawingml/2006/chart">
  <cdr:relSizeAnchor xmlns:cdr="http://schemas.openxmlformats.org/drawingml/2006/chartDrawing">
    <cdr:from>
      <cdr:x>0.012</cdr:x>
      <cdr:y>0.90918</cdr:y>
    </cdr:from>
    <cdr:to>
      <cdr:x>0.99721</cdr:x>
      <cdr:y>1</cdr:y>
    </cdr:to>
    <cdr:sp macro="" textlink="">
      <cdr:nvSpPr>
        <cdr:cNvPr id="2" name="Text Box 1" descr="*Aux fins du rapport, les anciens étudiants incluent les participants au programme (COOP et PFETE) nommés dans le cadre d'un processus non annoncé.&#10;&#10;"/>
        <cdr:cNvSpPr txBox="1"/>
      </cdr:nvSpPr>
      <cdr:spPr>
        <a:xfrm xmlns:a="http://schemas.openxmlformats.org/drawingml/2006/main">
          <a:off x="41377" y="3095625"/>
          <a:ext cx="3397053" cy="309245"/>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CA" sz="800"/>
            <a:t>*Embauches avec expérience acquise dans les programmes fédéraux de recrutement étudiant dans les 10 dernières années</a:t>
          </a:r>
        </a:p>
      </cdr:txBody>
    </cdr:sp>
  </cdr:relSizeAnchor>
</c:userShapes>
</file>

<file path=word/theme/theme1.xml><?xml version="1.0" encoding="utf-8"?>
<a:theme xmlns:a="http://schemas.openxmlformats.org/drawingml/2006/main" name="CFP-PSC-Theme2019-fromWord">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0099A8"/>
      </a:hlink>
      <a:folHlink>
        <a:srgbClr val="A5A5A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F871F-4329-47A1-8B10-681B739E6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CFP-Entete-Corpo2019.dotx</Template>
  <TotalTime>581</TotalTime>
  <Pages>25</Pages>
  <Words>4477</Words>
  <Characters>25522</Characters>
  <Application>Microsoft Office Word</Application>
  <DocSecurity>0</DocSecurity>
  <Lines>212</Lines>
  <Paragraphs>59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CFP-PSC</Company>
  <LinksUpToDate>false</LinksUpToDate>
  <CharactersWithSpaces>29940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Lefebvre</dc:creator>
  <cp:keywords/>
  <dc:description/>
  <cp:lastModifiedBy>Olga Paraskis</cp:lastModifiedBy>
  <cp:revision>76</cp:revision>
  <dcterms:created xsi:type="dcterms:W3CDTF">2020-08-06T17:35:00Z</dcterms:created>
  <dcterms:modified xsi:type="dcterms:W3CDTF">2021-02-10T21:26:00Z</dcterms:modified>
</cp:coreProperties>
</file>