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6.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7.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8.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9.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0.xml" ContentType="application/vnd.openxmlformats-officedocument.drawingml.chartshapes+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A7F6" w14:textId="339DEB83" w:rsidR="00961A62" w:rsidRPr="00E54C20" w:rsidRDefault="00596F07" w:rsidP="00FD1FD0">
      <w:pPr>
        <w:pStyle w:val="Title"/>
      </w:pPr>
      <w:r w:rsidRPr="00E54C20">
        <w:t>R</w:t>
      </w:r>
      <w:r w:rsidR="00DA196D" w:rsidRPr="00E54C20">
        <w:t>éunion du président avec</w:t>
      </w:r>
      <w:r w:rsidRPr="00E54C20">
        <w:t xml:space="preserve"> </w:t>
      </w:r>
      <w:r w:rsidRPr="00E54C20">
        <w:br/>
      </w:r>
      <w:r w:rsidR="00941767" w:rsidRPr="00E54C20">
        <w:t>C</w:t>
      </w:r>
      <w:r w:rsidR="00DA196D" w:rsidRPr="00E54C20">
        <w:t xml:space="preserve">hristiane </w:t>
      </w:r>
      <w:r w:rsidR="00941767" w:rsidRPr="00E54C20">
        <w:t>F</w:t>
      </w:r>
      <w:r w:rsidR="00DA196D" w:rsidRPr="00E54C20">
        <w:t>ox</w:t>
      </w:r>
      <w:r w:rsidR="00961A62" w:rsidRPr="00E54C20">
        <w:t xml:space="preserve">, </w:t>
      </w:r>
      <w:r w:rsidR="00941767" w:rsidRPr="00E54C20">
        <w:t>S</w:t>
      </w:r>
      <w:r w:rsidR="00DA196D" w:rsidRPr="00E54C20">
        <w:t>ous-ministre,</w:t>
      </w:r>
      <w:r w:rsidRPr="00E54C20">
        <w:t xml:space="preserve"> </w:t>
      </w:r>
      <w:r w:rsidR="00941767" w:rsidRPr="00E54C20">
        <w:t>S</w:t>
      </w:r>
      <w:r w:rsidR="00DA196D" w:rsidRPr="00E54C20">
        <w:t>ervices aux</w:t>
      </w:r>
      <w:r w:rsidR="00941767" w:rsidRPr="00E54C20">
        <w:t xml:space="preserve"> A</w:t>
      </w:r>
      <w:r w:rsidR="00DA196D" w:rsidRPr="00E54C20">
        <w:t xml:space="preserve">utochtones </w:t>
      </w:r>
      <w:r w:rsidR="00941767" w:rsidRPr="00E54C20">
        <w:t>C</w:t>
      </w:r>
      <w:r w:rsidR="00DA196D" w:rsidRPr="00E54C20">
        <w:t>anada</w:t>
      </w:r>
    </w:p>
    <w:p w14:paraId="5E04633E" w14:textId="77777777" w:rsidR="00FD1FD0" w:rsidRPr="00E54C20" w:rsidRDefault="00A21E73" w:rsidP="00FD1FD0">
      <w:pPr>
        <w:pStyle w:val="Title"/>
      </w:pPr>
      <w:r w:rsidRPr="00E54C20">
        <w:t>*</w:t>
      </w:r>
      <w:r w:rsidR="00961A62" w:rsidRPr="00E54C20">
        <w:t xml:space="preserve">Information valide en date </w:t>
      </w:r>
      <w:r w:rsidR="00FD1FD0" w:rsidRPr="00E54C20">
        <w:t>du</w:t>
      </w:r>
      <w:r w:rsidR="00A0335B" w:rsidRPr="00E54C20">
        <w:t xml:space="preserve"> </w:t>
      </w:r>
    </w:p>
    <w:p w14:paraId="26955518" w14:textId="696028C6" w:rsidR="00961A62" w:rsidRPr="00E54C20" w:rsidRDefault="00900A03" w:rsidP="00FD1FD0">
      <w:pPr>
        <w:pStyle w:val="Title"/>
      </w:pPr>
      <w:r w:rsidRPr="00E54C20">
        <w:t xml:space="preserve">22 </w:t>
      </w:r>
      <w:r w:rsidR="00941767" w:rsidRPr="00E54C20">
        <w:t>octobre 2020</w:t>
      </w:r>
    </w:p>
    <w:p w14:paraId="7A00DFFD" w14:textId="77777777" w:rsidR="00976D04" w:rsidRPr="00F10A5B" w:rsidRDefault="00976D04" w:rsidP="00DA196D">
      <w:pPr>
        <w:pStyle w:val="Heading1"/>
        <w:spacing w:after="120"/>
        <w:contextualSpacing/>
        <w:rPr>
          <w:color w:val="auto"/>
        </w:rPr>
      </w:pPr>
      <w:r w:rsidRPr="00F10A5B">
        <w:rPr>
          <w:color w:val="auto"/>
        </w:rPr>
        <w:t>Introduction</w:t>
      </w:r>
    </w:p>
    <w:p w14:paraId="5708669F" w14:textId="77777777" w:rsidR="00961A62" w:rsidRPr="00F10A5B" w:rsidRDefault="00961A62" w:rsidP="00DA196D">
      <w:pPr>
        <w:pStyle w:val="Heading2"/>
        <w:spacing w:after="120"/>
        <w:contextualSpacing/>
        <w:rPr>
          <w:rFonts w:cs="Segoe UI Semibold"/>
        </w:rPr>
      </w:pPr>
      <w:r w:rsidRPr="00F10A5B">
        <w:rPr>
          <w:rFonts w:cs="Segoe UI Semibold"/>
        </w:rPr>
        <w:t>Administratrice générale</w:t>
      </w:r>
    </w:p>
    <w:p w14:paraId="0BF99566" w14:textId="6E55917E" w:rsidR="00961A62" w:rsidRPr="00F10A5B" w:rsidRDefault="00961A62" w:rsidP="00DA196D">
      <w:pPr>
        <w:pStyle w:val="NoSpacing"/>
        <w:spacing w:after="120"/>
        <w:contextualSpacing/>
        <w:rPr>
          <w:rFonts w:asciiTheme="minorHAnsi" w:hAnsiTheme="minorHAnsi" w:cstheme="minorHAnsi"/>
          <w:sz w:val="22"/>
          <w:szCs w:val="22"/>
          <w:lang w:val="fr-CA" w:eastAsia="en-CA"/>
        </w:rPr>
      </w:pPr>
      <w:r w:rsidRPr="00F10A5B">
        <w:rPr>
          <w:rFonts w:asciiTheme="minorHAnsi" w:hAnsiTheme="minorHAnsi" w:cstheme="minorHAnsi"/>
          <w:sz w:val="22"/>
          <w:szCs w:val="22"/>
          <w:lang w:val="fr-CA" w:eastAsia="en-CA"/>
        </w:rPr>
        <w:t>M</w:t>
      </w:r>
      <w:r w:rsidR="00F95155" w:rsidRPr="00F10A5B">
        <w:rPr>
          <w:rFonts w:asciiTheme="minorHAnsi" w:hAnsiTheme="minorHAnsi" w:cstheme="minorHAnsi"/>
          <w:sz w:val="22"/>
          <w:szCs w:val="22"/>
          <w:vertAlign w:val="superscript"/>
          <w:lang w:val="fr-CA"/>
        </w:rPr>
        <w:t>me</w:t>
      </w:r>
      <w:r w:rsidRPr="00F10A5B">
        <w:rPr>
          <w:rFonts w:asciiTheme="minorHAnsi" w:hAnsiTheme="minorHAnsi" w:cstheme="minorHAnsi"/>
          <w:sz w:val="22"/>
          <w:szCs w:val="22"/>
          <w:lang w:val="fr-CA" w:eastAsia="en-CA"/>
        </w:rPr>
        <w:t xml:space="preserve"> </w:t>
      </w:r>
      <w:r w:rsidR="00941767" w:rsidRPr="00F10A5B">
        <w:rPr>
          <w:rFonts w:asciiTheme="minorHAnsi" w:hAnsiTheme="minorHAnsi" w:cstheme="minorHAnsi"/>
          <w:sz w:val="22"/>
          <w:szCs w:val="22"/>
          <w:lang w:val="fr-CA" w:eastAsia="en-CA"/>
        </w:rPr>
        <w:t>Christiane Fox</w:t>
      </w:r>
      <w:r w:rsidRPr="00F10A5B">
        <w:rPr>
          <w:rFonts w:asciiTheme="minorHAnsi" w:hAnsiTheme="minorHAnsi" w:cstheme="minorHAnsi"/>
          <w:sz w:val="22"/>
          <w:szCs w:val="22"/>
          <w:lang w:val="fr-CA" w:eastAsia="en-CA"/>
        </w:rPr>
        <w:t xml:space="preserve"> a été nomm</w:t>
      </w:r>
      <w:r w:rsidR="00941767" w:rsidRPr="00F10A5B">
        <w:rPr>
          <w:rFonts w:asciiTheme="minorHAnsi" w:hAnsiTheme="minorHAnsi" w:cstheme="minorHAnsi"/>
          <w:sz w:val="22"/>
          <w:szCs w:val="22"/>
          <w:lang w:val="fr-CA" w:eastAsia="en-CA"/>
        </w:rPr>
        <w:t>ée</w:t>
      </w:r>
      <w:r w:rsidRPr="00F10A5B">
        <w:rPr>
          <w:rFonts w:asciiTheme="minorHAnsi" w:hAnsiTheme="minorHAnsi" w:cstheme="minorHAnsi"/>
          <w:sz w:val="22"/>
          <w:szCs w:val="22"/>
          <w:lang w:val="fr-CA" w:eastAsia="en-CA"/>
        </w:rPr>
        <w:t xml:space="preserve"> au poste de</w:t>
      </w:r>
      <w:r w:rsidR="00F95155" w:rsidRPr="00F10A5B">
        <w:rPr>
          <w:rFonts w:asciiTheme="minorHAnsi" w:hAnsiTheme="minorHAnsi" w:cstheme="minorHAnsi"/>
          <w:sz w:val="22"/>
          <w:szCs w:val="22"/>
          <w:lang w:val="fr-CA" w:eastAsia="en-CA"/>
        </w:rPr>
        <w:t xml:space="preserve"> s</w:t>
      </w:r>
      <w:r w:rsidR="00941767" w:rsidRPr="00F10A5B">
        <w:rPr>
          <w:rFonts w:asciiTheme="minorHAnsi" w:hAnsiTheme="minorHAnsi" w:cstheme="minorHAnsi"/>
          <w:sz w:val="22"/>
          <w:szCs w:val="22"/>
          <w:lang w:val="fr-CA" w:eastAsia="en-CA"/>
        </w:rPr>
        <w:t>ous-ministre</w:t>
      </w:r>
      <w:r w:rsidRPr="00F10A5B">
        <w:rPr>
          <w:rFonts w:asciiTheme="minorHAnsi" w:hAnsiTheme="minorHAnsi" w:cstheme="minorHAnsi"/>
          <w:sz w:val="22"/>
          <w:szCs w:val="22"/>
          <w:lang w:val="fr-CA" w:eastAsia="en-CA"/>
        </w:rPr>
        <w:t xml:space="preserve">, </w:t>
      </w:r>
      <w:r w:rsidR="00941767" w:rsidRPr="00F10A5B">
        <w:rPr>
          <w:rFonts w:asciiTheme="minorHAnsi" w:hAnsiTheme="minorHAnsi" w:cstheme="minorHAnsi"/>
          <w:sz w:val="22"/>
          <w:szCs w:val="22"/>
          <w:lang w:val="fr-CA" w:eastAsia="en-CA"/>
        </w:rPr>
        <w:t>Services aux Autochtones Canada</w:t>
      </w:r>
      <w:r w:rsidRPr="00F10A5B">
        <w:rPr>
          <w:rFonts w:asciiTheme="minorHAnsi" w:hAnsiTheme="minorHAnsi" w:cstheme="minorHAnsi"/>
          <w:sz w:val="22"/>
          <w:szCs w:val="22"/>
          <w:lang w:val="fr-CA" w:eastAsia="en-CA"/>
        </w:rPr>
        <w:t xml:space="preserve"> (</w:t>
      </w:r>
      <w:r w:rsidR="00941767" w:rsidRPr="00F10A5B">
        <w:rPr>
          <w:rFonts w:asciiTheme="minorHAnsi" w:hAnsiTheme="minorHAnsi" w:cstheme="minorHAnsi"/>
          <w:sz w:val="22"/>
          <w:szCs w:val="22"/>
          <w:lang w:val="fr-CA" w:eastAsia="en-CA"/>
        </w:rPr>
        <w:t>SAC</w:t>
      </w:r>
      <w:r w:rsidRPr="00F10A5B">
        <w:rPr>
          <w:rFonts w:asciiTheme="minorHAnsi" w:hAnsiTheme="minorHAnsi" w:cstheme="minorHAnsi"/>
          <w:sz w:val="22"/>
          <w:szCs w:val="22"/>
          <w:lang w:val="fr-CA" w:eastAsia="en-CA"/>
        </w:rPr>
        <w:t>)</w:t>
      </w:r>
      <w:r w:rsidR="00DC0F8C" w:rsidRPr="00F10A5B">
        <w:rPr>
          <w:rFonts w:asciiTheme="minorHAnsi" w:hAnsiTheme="minorHAnsi" w:cstheme="minorHAnsi"/>
          <w:sz w:val="22"/>
          <w:szCs w:val="22"/>
          <w:lang w:val="fr-CA" w:eastAsia="en-CA"/>
        </w:rPr>
        <w:t>,</w:t>
      </w:r>
      <w:r w:rsidRPr="00F10A5B">
        <w:rPr>
          <w:rFonts w:asciiTheme="minorHAnsi" w:hAnsiTheme="minorHAnsi" w:cstheme="minorHAnsi"/>
          <w:sz w:val="22"/>
          <w:szCs w:val="22"/>
          <w:lang w:val="fr-CA" w:eastAsia="en-CA"/>
        </w:rPr>
        <w:t xml:space="preserve"> le</w:t>
      </w:r>
      <w:r w:rsidR="00941767" w:rsidRPr="00F10A5B">
        <w:rPr>
          <w:rFonts w:asciiTheme="minorHAnsi" w:hAnsiTheme="minorHAnsi" w:cstheme="minorHAnsi"/>
          <w:sz w:val="22"/>
          <w:szCs w:val="22"/>
          <w:lang w:val="fr-CA" w:eastAsia="en-CA"/>
        </w:rPr>
        <w:t xml:space="preserve"> 21 septembre 2020</w:t>
      </w:r>
      <w:r w:rsidRPr="00F10A5B">
        <w:rPr>
          <w:rFonts w:asciiTheme="minorHAnsi" w:hAnsiTheme="minorHAnsi" w:cstheme="minorHAnsi"/>
          <w:sz w:val="22"/>
          <w:szCs w:val="22"/>
          <w:lang w:val="fr-CA" w:eastAsia="en-CA"/>
        </w:rPr>
        <w:t xml:space="preserve">. </w:t>
      </w:r>
    </w:p>
    <w:p w14:paraId="6E8E5464" w14:textId="6FA26CED" w:rsidR="009E18FC" w:rsidRPr="00F10A5B" w:rsidRDefault="009E18FC" w:rsidP="00DA196D">
      <w:pPr>
        <w:spacing w:after="120" w:line="240" w:lineRule="auto"/>
        <w:contextualSpacing/>
        <w:rPr>
          <w:rFonts w:cstheme="minorHAnsi"/>
          <w:color w:val="auto"/>
          <w:lang w:eastAsia="en-CA"/>
        </w:rPr>
      </w:pPr>
      <w:r w:rsidRPr="00F10A5B">
        <w:rPr>
          <w:rFonts w:cstheme="minorHAnsi"/>
          <w:color w:val="auto"/>
          <w:lang w:eastAsia="en-CA"/>
        </w:rPr>
        <w:t>M</w:t>
      </w:r>
      <w:r w:rsidR="00F95155" w:rsidRPr="00F10A5B">
        <w:rPr>
          <w:rFonts w:cstheme="minorHAnsi"/>
          <w:color w:val="auto"/>
          <w:vertAlign w:val="superscript"/>
        </w:rPr>
        <w:t>me</w:t>
      </w:r>
      <w:r w:rsidRPr="00F10A5B">
        <w:rPr>
          <w:rFonts w:cstheme="minorHAnsi"/>
          <w:color w:val="auto"/>
          <w:lang w:eastAsia="en-CA"/>
        </w:rPr>
        <w:t xml:space="preserve"> Fox exerce l’autorité de la Commission de la fonction publique (CFP) pour </w:t>
      </w:r>
      <w:r w:rsidR="00651A29" w:rsidRPr="00F10A5B">
        <w:rPr>
          <w:rFonts w:cstheme="minorHAnsi"/>
          <w:color w:val="auto"/>
          <w:lang w:eastAsia="en-CA"/>
        </w:rPr>
        <w:t>la première fois en tant qu’A</w:t>
      </w:r>
      <w:r w:rsidR="000F6BAA" w:rsidRPr="00F10A5B">
        <w:rPr>
          <w:rFonts w:cstheme="minorHAnsi"/>
          <w:color w:val="auto"/>
          <w:lang w:eastAsia="en-CA"/>
        </w:rPr>
        <w:t>dministratrice générale (AG)</w:t>
      </w:r>
      <w:r w:rsidR="00651A29" w:rsidRPr="00F10A5B">
        <w:rPr>
          <w:rFonts w:cstheme="minorHAnsi"/>
          <w:color w:val="auto"/>
          <w:lang w:eastAsia="en-CA"/>
        </w:rPr>
        <w:t xml:space="preserve">.  </w:t>
      </w:r>
      <w:r w:rsidRPr="00F10A5B">
        <w:rPr>
          <w:rFonts w:cstheme="minorHAnsi"/>
          <w:color w:val="auto"/>
          <w:lang w:eastAsia="en-CA"/>
        </w:rPr>
        <w:t>Une copie d</w:t>
      </w:r>
      <w:r w:rsidR="00651A29" w:rsidRPr="00F10A5B">
        <w:rPr>
          <w:rFonts w:cstheme="minorHAnsi"/>
          <w:color w:val="auto"/>
          <w:lang w:eastAsia="en-CA"/>
        </w:rPr>
        <w:t>u document Faits Saillants de la Nouvelle orientation en dotation (NOD) pour les AG est jointe</w:t>
      </w:r>
      <w:r w:rsidR="00E83603" w:rsidRPr="00F10A5B">
        <w:rPr>
          <w:rFonts w:cstheme="minorHAnsi"/>
          <w:color w:val="auto"/>
          <w:lang w:eastAsia="en-CA"/>
        </w:rPr>
        <w:t xml:space="preserve"> </w:t>
      </w:r>
      <w:r w:rsidRPr="00F10A5B">
        <w:rPr>
          <w:rFonts w:cstheme="minorHAnsi"/>
          <w:color w:val="auto"/>
          <w:lang w:eastAsia="en-CA"/>
        </w:rPr>
        <w:t>à l’</w:t>
      </w:r>
      <w:hyperlink w:anchor="Annexe_B" w:history="1">
        <w:r w:rsidR="00B13168">
          <w:rPr>
            <w:rStyle w:val="Hyperlink"/>
            <w:rFonts w:cstheme="minorHAnsi"/>
            <w:lang w:eastAsia="en-CA"/>
          </w:rPr>
          <w:t>A</w:t>
        </w:r>
        <w:r w:rsidRPr="00F10A5B">
          <w:rPr>
            <w:rStyle w:val="Hyperlink"/>
            <w:rFonts w:cstheme="minorHAnsi"/>
            <w:lang w:eastAsia="en-CA"/>
          </w:rPr>
          <w:t xml:space="preserve">nnexe </w:t>
        </w:r>
        <w:r w:rsidR="00661DA5" w:rsidRPr="00F10A5B">
          <w:rPr>
            <w:rStyle w:val="Hyperlink"/>
            <w:rFonts w:cstheme="minorHAnsi"/>
            <w:lang w:eastAsia="en-CA"/>
          </w:rPr>
          <w:t>A</w:t>
        </w:r>
      </w:hyperlink>
      <w:r w:rsidRPr="00F10A5B">
        <w:rPr>
          <w:rFonts w:cstheme="minorHAnsi"/>
          <w:color w:val="auto"/>
          <w:lang w:eastAsia="en-CA"/>
        </w:rPr>
        <w:t>.</w:t>
      </w:r>
    </w:p>
    <w:p w14:paraId="3881CEFC" w14:textId="77777777" w:rsidR="00EE20D8" w:rsidRPr="00E54C20" w:rsidRDefault="00EE20D8" w:rsidP="00DA196D">
      <w:pPr>
        <w:pStyle w:val="Heading1"/>
        <w:spacing w:after="120"/>
        <w:contextualSpacing/>
        <w:rPr>
          <w:rFonts w:cstheme="majorHAnsi"/>
          <w:color w:val="auto"/>
        </w:rPr>
      </w:pPr>
      <w:r w:rsidRPr="00E54C20">
        <w:rPr>
          <w:rFonts w:cstheme="majorHAnsi"/>
          <w:color w:val="auto"/>
        </w:rPr>
        <w:t>Contexte organisationnel</w:t>
      </w:r>
    </w:p>
    <w:p w14:paraId="24C634C1" w14:textId="77777777" w:rsidR="00961A62" w:rsidRPr="00F10A5B" w:rsidRDefault="00961A62" w:rsidP="00DA196D">
      <w:pPr>
        <w:pStyle w:val="Heading2"/>
        <w:spacing w:after="120"/>
      </w:pPr>
      <w:r w:rsidRPr="00F10A5B">
        <w:t>Mandat</w:t>
      </w:r>
    </w:p>
    <w:p w14:paraId="2721268E" w14:textId="576681AD" w:rsidR="0000691F" w:rsidRPr="00F10A5B" w:rsidRDefault="0000691F" w:rsidP="00DA196D">
      <w:pPr>
        <w:autoSpaceDE w:val="0"/>
        <w:autoSpaceDN w:val="0"/>
        <w:adjustRightInd w:val="0"/>
        <w:spacing w:after="120" w:line="240" w:lineRule="auto"/>
        <w:ind w:right="50"/>
        <w:contextualSpacing/>
        <w:rPr>
          <w:rFonts w:cstheme="minorHAnsi"/>
          <w:bCs/>
          <w:color w:val="auto"/>
        </w:rPr>
      </w:pPr>
      <w:r w:rsidRPr="00F10A5B">
        <w:rPr>
          <w:rFonts w:cstheme="minorHAnsi"/>
          <w:color w:val="auto"/>
        </w:rPr>
        <w:t>En août 2017, le premier ministre a annoncé la dissolution d'Affaires autochtones et du Nord Canada (AANC) et la créat</w:t>
      </w:r>
      <w:r w:rsidR="00E26F3B" w:rsidRPr="00F10A5B">
        <w:rPr>
          <w:rFonts w:cstheme="minorHAnsi"/>
          <w:color w:val="auto"/>
        </w:rPr>
        <w:t>ion de deux nouveaux ministères</w:t>
      </w:r>
      <w:r w:rsidR="00EA2502" w:rsidRPr="00F10A5B">
        <w:rPr>
          <w:rFonts w:cstheme="minorHAnsi"/>
          <w:color w:val="auto"/>
        </w:rPr>
        <w:t> :</w:t>
      </w:r>
      <w:r w:rsidRPr="00F10A5B">
        <w:rPr>
          <w:rFonts w:cstheme="minorHAnsi"/>
          <w:color w:val="auto"/>
        </w:rPr>
        <w:t xml:space="preserve"> Relations Couronne-Autochtones et Affaires du Nord Canada (RCAANC) et </w:t>
      </w:r>
      <w:r w:rsidR="00E27EFF" w:rsidRPr="00F10A5B">
        <w:rPr>
          <w:rFonts w:cstheme="minorHAnsi"/>
          <w:color w:val="auto"/>
          <w:lang w:eastAsia="en-CA"/>
        </w:rPr>
        <w:t>Services aux Autochtones Canada</w:t>
      </w:r>
      <w:r w:rsidR="00E27EFF" w:rsidRPr="00F10A5B">
        <w:rPr>
          <w:rFonts w:cstheme="minorHAnsi"/>
          <w:color w:val="auto"/>
        </w:rPr>
        <w:t xml:space="preserve"> (</w:t>
      </w:r>
      <w:r w:rsidR="001F3451" w:rsidRPr="00F10A5B">
        <w:rPr>
          <w:rFonts w:cstheme="minorHAnsi"/>
          <w:color w:val="auto"/>
        </w:rPr>
        <w:t>SAC</w:t>
      </w:r>
      <w:r w:rsidR="00E27EFF" w:rsidRPr="00F10A5B">
        <w:rPr>
          <w:rFonts w:cstheme="minorHAnsi"/>
          <w:color w:val="auto"/>
        </w:rPr>
        <w:t>)</w:t>
      </w:r>
      <w:r w:rsidR="000E2FD9" w:rsidRPr="00F10A5B">
        <w:rPr>
          <w:rFonts w:cstheme="minorHAnsi"/>
          <w:color w:val="auto"/>
        </w:rPr>
        <w:t>. La structure finale de ces deux ministères vise à accélérer l'autodétermination, combler les écarts socioéconomiques et faire progresser la réconciliation</w:t>
      </w:r>
      <w:r w:rsidR="00E26F3B" w:rsidRPr="00F10A5B">
        <w:rPr>
          <w:rFonts w:cstheme="minorHAnsi"/>
          <w:bCs/>
          <w:color w:val="auto"/>
        </w:rPr>
        <w:t>.</w:t>
      </w:r>
    </w:p>
    <w:p w14:paraId="10B7FA37" w14:textId="5CEBDA53" w:rsidR="00BD29F1" w:rsidRPr="00F10A5B" w:rsidRDefault="00E26F3B" w:rsidP="00DA196D">
      <w:pPr>
        <w:pStyle w:val="NoSpacing"/>
        <w:spacing w:after="120"/>
        <w:rPr>
          <w:rFonts w:asciiTheme="minorHAnsi" w:hAnsiTheme="minorHAnsi" w:cstheme="minorHAnsi"/>
          <w:sz w:val="22"/>
          <w:szCs w:val="22"/>
          <w:lang w:val="fr-CA"/>
        </w:rPr>
      </w:pPr>
      <w:r w:rsidRPr="00F10A5B">
        <w:rPr>
          <w:rFonts w:asciiTheme="minorHAnsi" w:hAnsiTheme="minorHAnsi" w:cstheme="minorHAnsi"/>
          <w:sz w:val="22"/>
          <w:szCs w:val="22"/>
          <w:lang w:val="fr-CA"/>
        </w:rPr>
        <w:t xml:space="preserve">Le 30 novembre 2017, SAC a été créé, réunissant les services de santé des Premières Nations et des Inuit (anciennement à Santé Canada), l'éducation, les services sociaux essentiels, les services à l'enfance et à la famille ainsi que les programmes </w:t>
      </w:r>
      <w:r w:rsidR="00D9056C" w:rsidRPr="00F10A5B">
        <w:rPr>
          <w:rFonts w:asciiTheme="minorHAnsi" w:hAnsiTheme="minorHAnsi" w:cstheme="minorHAnsi"/>
          <w:sz w:val="22"/>
          <w:szCs w:val="22"/>
          <w:lang w:val="fr-CA"/>
        </w:rPr>
        <w:t xml:space="preserve">de développement économique, </w:t>
      </w:r>
      <w:r w:rsidRPr="00F10A5B">
        <w:rPr>
          <w:rFonts w:asciiTheme="minorHAnsi" w:hAnsiTheme="minorHAnsi" w:cstheme="minorHAnsi"/>
          <w:sz w:val="22"/>
          <w:szCs w:val="22"/>
          <w:lang w:val="fr-CA"/>
        </w:rPr>
        <w:t xml:space="preserve">de logement et d'infrastructure </w:t>
      </w:r>
      <w:r w:rsidR="00D9056C" w:rsidRPr="00F10A5B">
        <w:rPr>
          <w:rFonts w:asciiTheme="minorHAnsi" w:hAnsiTheme="minorHAnsi" w:cstheme="minorHAnsi"/>
          <w:sz w:val="22"/>
          <w:szCs w:val="22"/>
          <w:lang w:val="fr-CA"/>
        </w:rPr>
        <w:t>qui relevaient auparavant d’AANC</w:t>
      </w:r>
      <w:r w:rsidRPr="00F10A5B">
        <w:rPr>
          <w:rFonts w:asciiTheme="minorHAnsi" w:hAnsiTheme="minorHAnsi" w:cstheme="minorHAnsi"/>
          <w:sz w:val="22"/>
          <w:szCs w:val="22"/>
          <w:lang w:val="fr-CA"/>
        </w:rPr>
        <w:t xml:space="preserve">. </w:t>
      </w:r>
      <w:r w:rsidR="008B7FB8" w:rsidRPr="00F10A5B">
        <w:rPr>
          <w:rFonts w:asciiTheme="minorHAnsi" w:hAnsiTheme="minorHAnsi" w:cstheme="minorHAnsi"/>
          <w:sz w:val="22"/>
          <w:szCs w:val="22"/>
          <w:lang w:val="fr-CA"/>
        </w:rPr>
        <w:t>SAC a pour mandat d'aider les collectivités autochtones à offrir des services et des programmes et de résoudre les conditions socio</w:t>
      </w:r>
      <w:r w:rsidR="005A4FEB" w:rsidRPr="00F10A5B">
        <w:rPr>
          <w:rFonts w:asciiTheme="minorHAnsi" w:hAnsiTheme="minorHAnsi" w:cstheme="minorHAnsi"/>
          <w:sz w:val="22"/>
          <w:szCs w:val="22"/>
          <w:lang w:val="fr-CA"/>
        </w:rPr>
        <w:t>-</w:t>
      </w:r>
      <w:r w:rsidR="008B7FB8" w:rsidRPr="00F10A5B">
        <w:rPr>
          <w:rFonts w:asciiTheme="minorHAnsi" w:hAnsiTheme="minorHAnsi" w:cstheme="minorHAnsi"/>
          <w:sz w:val="22"/>
          <w:szCs w:val="22"/>
          <w:lang w:val="fr-CA"/>
        </w:rPr>
        <w:t xml:space="preserve">économiques inacceptables qui persistent encore aujourd'hui. </w:t>
      </w:r>
    </w:p>
    <w:p w14:paraId="0A84AEA6" w14:textId="6C8F786B" w:rsidR="00BD29F1" w:rsidRPr="00F10A5B" w:rsidRDefault="00F842D8" w:rsidP="00DA196D">
      <w:pPr>
        <w:pStyle w:val="NoSpacing"/>
        <w:spacing w:after="120"/>
        <w:contextualSpacing/>
        <w:rPr>
          <w:rFonts w:asciiTheme="minorHAnsi" w:hAnsiTheme="minorHAnsi" w:cstheme="minorHAnsi"/>
          <w:sz w:val="22"/>
          <w:szCs w:val="22"/>
          <w:lang w:val="fr-CA"/>
        </w:rPr>
      </w:pPr>
      <w:r w:rsidRPr="00F10A5B">
        <w:rPr>
          <w:rFonts w:asciiTheme="minorHAnsi" w:hAnsiTheme="minorHAnsi" w:cstheme="minorHAnsi"/>
          <w:sz w:val="22"/>
          <w:szCs w:val="22"/>
          <w:lang w:val="fr-CA"/>
        </w:rPr>
        <w:t>P</w:t>
      </w:r>
      <w:r w:rsidR="008B7FB8" w:rsidRPr="00F10A5B">
        <w:rPr>
          <w:rFonts w:asciiTheme="minorHAnsi" w:hAnsiTheme="minorHAnsi" w:cstheme="minorHAnsi"/>
          <w:sz w:val="22"/>
          <w:szCs w:val="22"/>
          <w:lang w:val="fr-CA"/>
        </w:rPr>
        <w:t xml:space="preserve">our appuyer ce mandat, </w:t>
      </w:r>
      <w:r w:rsidR="006F33D5" w:rsidRPr="00F10A5B">
        <w:rPr>
          <w:rFonts w:asciiTheme="minorHAnsi" w:hAnsiTheme="minorHAnsi" w:cstheme="minorHAnsi"/>
          <w:sz w:val="22"/>
          <w:szCs w:val="22"/>
          <w:lang w:val="fr-CA"/>
        </w:rPr>
        <w:t>les</w:t>
      </w:r>
      <w:r w:rsidR="008B7FB8" w:rsidRPr="00F10A5B">
        <w:rPr>
          <w:rFonts w:asciiTheme="minorHAnsi" w:hAnsiTheme="minorHAnsi" w:cstheme="minorHAnsi"/>
          <w:sz w:val="22"/>
          <w:szCs w:val="22"/>
          <w:lang w:val="fr-CA"/>
        </w:rPr>
        <w:t xml:space="preserve"> efforts</w:t>
      </w:r>
      <w:r w:rsidR="006F33D5" w:rsidRPr="00F10A5B">
        <w:rPr>
          <w:rFonts w:asciiTheme="minorHAnsi" w:hAnsiTheme="minorHAnsi" w:cstheme="minorHAnsi"/>
          <w:sz w:val="22"/>
          <w:szCs w:val="22"/>
          <w:lang w:val="fr-CA"/>
        </w:rPr>
        <w:t xml:space="preserve"> sont axés</w:t>
      </w:r>
      <w:r w:rsidR="0043578E" w:rsidRPr="00F10A5B">
        <w:rPr>
          <w:rFonts w:asciiTheme="minorHAnsi" w:hAnsiTheme="minorHAnsi" w:cstheme="minorHAnsi"/>
          <w:sz w:val="22"/>
          <w:szCs w:val="22"/>
          <w:lang w:val="fr-CA"/>
        </w:rPr>
        <w:t xml:space="preserve"> sur les cinq</w:t>
      </w:r>
      <w:r w:rsidR="008B7FB8" w:rsidRPr="00F10A5B">
        <w:rPr>
          <w:rFonts w:asciiTheme="minorHAnsi" w:hAnsiTheme="minorHAnsi" w:cstheme="minorHAnsi"/>
          <w:sz w:val="22"/>
          <w:szCs w:val="22"/>
          <w:lang w:val="fr-CA"/>
        </w:rPr>
        <w:t xml:space="preserve"> domaines prioritaires suivants : garder les enfants et les familles ensemble, appuyer une éducation de qualité, améliorer les résultats en santé, établir une infrastructure fiable et assurer la prospérité économique. </w:t>
      </w:r>
      <w:r w:rsidR="006F33D5" w:rsidRPr="00F10A5B">
        <w:rPr>
          <w:rFonts w:asciiTheme="minorHAnsi" w:hAnsiTheme="minorHAnsi" w:cstheme="minorHAnsi"/>
          <w:sz w:val="22"/>
          <w:szCs w:val="22"/>
          <w:lang w:val="fr-CA"/>
        </w:rPr>
        <w:t xml:space="preserve">SAC a </w:t>
      </w:r>
      <w:r w:rsidR="008B7FB8" w:rsidRPr="00F10A5B">
        <w:rPr>
          <w:rFonts w:asciiTheme="minorHAnsi" w:hAnsiTheme="minorHAnsi" w:cstheme="minorHAnsi"/>
          <w:sz w:val="22"/>
          <w:szCs w:val="22"/>
          <w:lang w:val="fr-CA"/>
        </w:rPr>
        <w:t>établi un programme ambitieux en partenariat avec les peuples autochtones.</w:t>
      </w:r>
      <w:r w:rsidR="00BD29F1" w:rsidRPr="00F10A5B">
        <w:rPr>
          <w:rFonts w:asciiTheme="minorHAnsi" w:hAnsiTheme="minorHAnsi" w:cstheme="minorHAnsi"/>
          <w:sz w:val="22"/>
          <w:szCs w:val="22"/>
          <w:lang w:val="fr-CA"/>
        </w:rPr>
        <w:t xml:space="preserve">  En se concentrant sur la </w:t>
      </w:r>
      <w:r w:rsidR="00BD29F1" w:rsidRPr="00F10A5B">
        <w:rPr>
          <w:rFonts w:asciiTheme="minorHAnsi" w:hAnsiTheme="minorHAnsi" w:cstheme="minorHAnsi"/>
          <w:sz w:val="22"/>
          <w:szCs w:val="22"/>
          <w:lang w:val="fr-CA"/>
        </w:rPr>
        <w:lastRenderedPageBreak/>
        <w:t xml:space="preserve">réalisation de ces </w:t>
      </w:r>
      <w:r w:rsidR="0043578E" w:rsidRPr="00F10A5B">
        <w:rPr>
          <w:rFonts w:asciiTheme="minorHAnsi" w:hAnsiTheme="minorHAnsi" w:cstheme="minorHAnsi"/>
          <w:sz w:val="22"/>
          <w:szCs w:val="22"/>
          <w:lang w:val="fr-CA"/>
        </w:rPr>
        <w:t>cinq</w:t>
      </w:r>
      <w:r w:rsidR="00BD29F1" w:rsidRPr="00F10A5B">
        <w:rPr>
          <w:rFonts w:asciiTheme="minorHAnsi" w:hAnsiTheme="minorHAnsi" w:cstheme="minorHAnsi"/>
          <w:sz w:val="22"/>
          <w:szCs w:val="22"/>
          <w:lang w:val="fr-CA"/>
        </w:rPr>
        <w:t xml:space="preserve"> grandes priorités, en partenariat avec les collectivités autochtones, SAC a comme objectif ultime de s'assurer que la conception, la prestation et le contrôle des services sont dirigés par les peuples autochtones et à l'intention de ceux-ci.</w:t>
      </w:r>
    </w:p>
    <w:p w14:paraId="1F2CD59F" w14:textId="77777777" w:rsidR="00961A62" w:rsidRPr="00F10A5B" w:rsidRDefault="00961A62" w:rsidP="00DA196D">
      <w:pPr>
        <w:pStyle w:val="Heading2"/>
        <w:spacing w:after="120"/>
        <w:contextualSpacing/>
        <w:rPr>
          <w:rFonts w:cs="Segoe UI Semibold"/>
        </w:rPr>
      </w:pPr>
      <w:r w:rsidRPr="00F10A5B">
        <w:rPr>
          <w:rFonts w:cs="Segoe UI Semibold"/>
        </w:rPr>
        <w:t>Défis</w:t>
      </w:r>
    </w:p>
    <w:p w14:paraId="64A4FDA1" w14:textId="77777777" w:rsidR="00065326" w:rsidRPr="00F10A5B" w:rsidRDefault="003D5543" w:rsidP="00DA196D">
      <w:pPr>
        <w:pStyle w:val="NoSpacing"/>
        <w:spacing w:after="120"/>
        <w:contextualSpacing/>
        <w:rPr>
          <w:rFonts w:asciiTheme="minorHAnsi" w:eastAsiaTheme="minorHAnsi" w:hAnsiTheme="minorHAnsi" w:cstheme="minorHAnsi"/>
          <w:color w:val="54575A" w:themeColor="text1"/>
          <w:sz w:val="22"/>
          <w:szCs w:val="22"/>
          <w:lang w:val="fr-CA"/>
        </w:rPr>
      </w:pPr>
      <w:r w:rsidRPr="00F10A5B">
        <w:rPr>
          <w:rFonts w:asciiTheme="minorHAnsi" w:hAnsiTheme="minorHAnsi" w:cstheme="minorHAnsi"/>
          <w:sz w:val="22"/>
          <w:szCs w:val="22"/>
          <w:lang w:val="fr-CA"/>
        </w:rPr>
        <w:t xml:space="preserve">Le mandat </w:t>
      </w:r>
      <w:r w:rsidR="00900A03" w:rsidRPr="00F10A5B">
        <w:rPr>
          <w:rFonts w:asciiTheme="minorHAnsi" w:hAnsiTheme="minorHAnsi" w:cstheme="minorHAnsi"/>
          <w:sz w:val="22"/>
          <w:szCs w:val="22"/>
          <w:lang w:val="fr-CA"/>
        </w:rPr>
        <w:t>de SAC</w:t>
      </w:r>
      <w:r w:rsidRPr="00F10A5B">
        <w:rPr>
          <w:rFonts w:asciiTheme="minorHAnsi" w:hAnsiTheme="minorHAnsi" w:cstheme="minorHAnsi"/>
          <w:sz w:val="22"/>
          <w:szCs w:val="22"/>
          <w:lang w:val="fr-CA"/>
        </w:rPr>
        <w:t xml:space="preserve"> est complexe et exige une harmonisation avec divers partenaires. La complexité du paysage stratégique, la diversité des points de vue des partenaires et l'ampleur des changements opérationnels et culturels exposent </w:t>
      </w:r>
      <w:r w:rsidR="00900A03" w:rsidRPr="00F10A5B">
        <w:rPr>
          <w:rFonts w:asciiTheme="minorHAnsi" w:hAnsiTheme="minorHAnsi" w:cstheme="minorHAnsi"/>
          <w:sz w:val="22"/>
          <w:szCs w:val="22"/>
          <w:lang w:val="fr-CA"/>
        </w:rPr>
        <w:t>l’organisation</w:t>
      </w:r>
      <w:r w:rsidRPr="00F10A5B">
        <w:rPr>
          <w:rFonts w:asciiTheme="minorHAnsi" w:hAnsiTheme="minorHAnsi" w:cstheme="minorHAnsi"/>
          <w:sz w:val="22"/>
          <w:szCs w:val="22"/>
          <w:lang w:val="fr-CA"/>
        </w:rPr>
        <w:t xml:space="preserve"> à certains risques importants liés à la mise en œuvre des politiques, à la capacité des services internes et à la gestion des ressources humaines et financières.</w:t>
      </w:r>
    </w:p>
    <w:p w14:paraId="5BB2ED1A" w14:textId="4DFD638D" w:rsidR="003530B8" w:rsidRPr="00F10A5B" w:rsidRDefault="00900A03" w:rsidP="00DA196D">
      <w:pPr>
        <w:keepLines w:val="0"/>
        <w:spacing w:after="120" w:line="240" w:lineRule="auto"/>
        <w:contextualSpacing/>
        <w:rPr>
          <w:rFonts w:cstheme="minorHAnsi"/>
          <w:color w:val="auto"/>
        </w:rPr>
      </w:pPr>
      <w:r w:rsidRPr="00F10A5B">
        <w:rPr>
          <w:rFonts w:cstheme="minorHAnsi"/>
          <w:color w:val="auto"/>
        </w:rPr>
        <w:t>Puisque</w:t>
      </w:r>
      <w:r w:rsidR="007D10E9" w:rsidRPr="00F10A5B">
        <w:rPr>
          <w:rFonts w:cstheme="minorHAnsi"/>
          <w:color w:val="auto"/>
        </w:rPr>
        <w:t xml:space="preserve"> SAC regroupe </w:t>
      </w:r>
      <w:r w:rsidR="00011BBA" w:rsidRPr="00F10A5B">
        <w:rPr>
          <w:rFonts w:cstheme="minorHAnsi"/>
          <w:color w:val="auto"/>
        </w:rPr>
        <w:t>d’anciens employés de S</w:t>
      </w:r>
      <w:r w:rsidR="00EC1AEC" w:rsidRPr="00F10A5B">
        <w:rPr>
          <w:rFonts w:cstheme="minorHAnsi"/>
          <w:color w:val="auto"/>
        </w:rPr>
        <w:t xml:space="preserve">anté </w:t>
      </w:r>
      <w:r w:rsidR="00011BBA" w:rsidRPr="00F10A5B">
        <w:rPr>
          <w:rFonts w:cstheme="minorHAnsi"/>
          <w:color w:val="auto"/>
        </w:rPr>
        <w:t>C</w:t>
      </w:r>
      <w:r w:rsidR="00EC1AEC" w:rsidRPr="00F10A5B">
        <w:rPr>
          <w:rFonts w:cstheme="minorHAnsi"/>
          <w:color w:val="auto"/>
        </w:rPr>
        <w:t>anada</w:t>
      </w:r>
      <w:r w:rsidR="00011BBA" w:rsidRPr="00F10A5B">
        <w:rPr>
          <w:rFonts w:cstheme="minorHAnsi"/>
          <w:color w:val="auto"/>
        </w:rPr>
        <w:t xml:space="preserve"> et d’AANC, en plus des employés nouvellement embauchés par SAC, l’organisation constate une certaine résistance face aux changements et aux mesures mises en place pour restructurer et uniformiser les services de ressources humaines.</w:t>
      </w:r>
      <w:r w:rsidR="00FD0FE5" w:rsidRPr="00F10A5B">
        <w:rPr>
          <w:rFonts w:cstheme="minorHAnsi"/>
          <w:color w:val="auto"/>
        </w:rPr>
        <w:t xml:space="preserve"> En </w:t>
      </w:r>
      <w:r w:rsidR="009C6836" w:rsidRPr="00F10A5B">
        <w:rPr>
          <w:rFonts w:cstheme="minorHAnsi"/>
          <w:color w:val="auto"/>
        </w:rPr>
        <w:t xml:space="preserve">novembre 2019, la CFP a collaboré </w:t>
      </w:r>
      <w:r w:rsidR="00FD0FE5" w:rsidRPr="00F10A5B">
        <w:rPr>
          <w:rFonts w:cstheme="minorHAnsi"/>
          <w:color w:val="auto"/>
        </w:rPr>
        <w:t xml:space="preserve">avec les services RH de SAC, </w:t>
      </w:r>
      <w:r w:rsidR="009C6836" w:rsidRPr="00F10A5B">
        <w:rPr>
          <w:rFonts w:cstheme="minorHAnsi"/>
          <w:color w:val="auto"/>
        </w:rPr>
        <w:t xml:space="preserve">et a </w:t>
      </w:r>
      <w:r w:rsidR="00FD0FE5" w:rsidRPr="00F10A5B">
        <w:rPr>
          <w:rFonts w:cstheme="minorHAnsi"/>
          <w:color w:val="auto"/>
        </w:rPr>
        <w:t>donn</w:t>
      </w:r>
      <w:r w:rsidR="009C6836" w:rsidRPr="00F10A5B">
        <w:rPr>
          <w:rFonts w:cstheme="minorHAnsi"/>
          <w:color w:val="auto"/>
        </w:rPr>
        <w:t>é</w:t>
      </w:r>
      <w:r w:rsidR="00FD0FE5" w:rsidRPr="00F10A5B">
        <w:rPr>
          <w:rFonts w:cstheme="minorHAnsi"/>
          <w:color w:val="auto"/>
        </w:rPr>
        <w:t xml:space="preserve"> </w:t>
      </w:r>
      <w:r w:rsidR="009C6836" w:rsidRPr="00F10A5B">
        <w:rPr>
          <w:rFonts w:cstheme="minorHAnsi"/>
          <w:color w:val="auto"/>
        </w:rPr>
        <w:t>des sessions d’information</w:t>
      </w:r>
      <w:r w:rsidR="00FD0FE5" w:rsidRPr="00F10A5B">
        <w:rPr>
          <w:rFonts w:cstheme="minorHAnsi"/>
          <w:color w:val="auto"/>
        </w:rPr>
        <w:t xml:space="preserve"> sur la </w:t>
      </w:r>
      <w:r w:rsidR="000131D2" w:rsidRPr="00F10A5B">
        <w:rPr>
          <w:rFonts w:cstheme="minorHAnsi"/>
          <w:color w:val="auto"/>
        </w:rPr>
        <w:t>N</w:t>
      </w:r>
      <w:r w:rsidR="004C4BBA" w:rsidRPr="00F10A5B">
        <w:rPr>
          <w:rFonts w:cstheme="minorHAnsi"/>
          <w:color w:val="auto"/>
        </w:rPr>
        <w:t>ouvelle orientation en dotation au</w:t>
      </w:r>
      <w:r w:rsidR="009C6836" w:rsidRPr="00F10A5B">
        <w:rPr>
          <w:rFonts w:cstheme="minorHAnsi"/>
          <w:color w:val="auto"/>
        </w:rPr>
        <w:t xml:space="preserve">x gestionnaires et aux employés </w:t>
      </w:r>
      <w:r w:rsidR="00FD0FE5" w:rsidRPr="00F10A5B">
        <w:rPr>
          <w:rFonts w:cstheme="minorHAnsi"/>
          <w:color w:val="auto"/>
        </w:rPr>
        <w:t>dans la région de l’Atlantique</w:t>
      </w:r>
      <w:r w:rsidR="009C6836" w:rsidRPr="00F10A5B">
        <w:rPr>
          <w:rFonts w:cstheme="minorHAnsi"/>
          <w:color w:val="auto"/>
        </w:rPr>
        <w:t>.  La CFP</w:t>
      </w:r>
      <w:r w:rsidR="00FD0FE5" w:rsidRPr="00F10A5B">
        <w:rPr>
          <w:rFonts w:cstheme="minorHAnsi"/>
          <w:color w:val="auto"/>
        </w:rPr>
        <w:t xml:space="preserve"> a offert son support pour rejoindre d’autres régions.</w:t>
      </w:r>
    </w:p>
    <w:p w14:paraId="3B543F43" w14:textId="77777777" w:rsidR="00961A62" w:rsidRPr="00F10A5B" w:rsidRDefault="00961A62" w:rsidP="00DA196D">
      <w:pPr>
        <w:pStyle w:val="Heading2"/>
        <w:spacing w:after="120"/>
        <w:contextualSpacing/>
        <w:rPr>
          <w:rFonts w:cs="Segoe UI Semibold"/>
        </w:rPr>
      </w:pPr>
      <w:r w:rsidRPr="00F10A5B">
        <w:rPr>
          <w:rFonts w:cs="Segoe UI Semibold"/>
        </w:rPr>
        <w:t>Expérimentation</w:t>
      </w:r>
    </w:p>
    <w:p w14:paraId="7224C35E" w14:textId="42183362" w:rsidR="009005E5" w:rsidRPr="00F10A5B" w:rsidRDefault="00555BCA" w:rsidP="00DA196D">
      <w:pPr>
        <w:spacing w:after="120" w:line="240" w:lineRule="auto"/>
        <w:rPr>
          <w:rFonts w:cstheme="minorHAnsi"/>
          <w:iCs/>
          <w:color w:val="auto"/>
        </w:rPr>
      </w:pPr>
      <w:r w:rsidRPr="00F10A5B">
        <w:rPr>
          <w:rFonts w:cstheme="minorHAnsi"/>
          <w:color w:val="auto"/>
        </w:rPr>
        <w:t>SAC</w:t>
      </w:r>
      <w:r w:rsidR="006337BA" w:rsidRPr="00F10A5B">
        <w:rPr>
          <w:rFonts w:cstheme="minorHAnsi"/>
          <w:color w:val="auto"/>
        </w:rPr>
        <w:t xml:space="preserve"> </w:t>
      </w:r>
      <w:r w:rsidR="008153C4" w:rsidRPr="00F10A5B">
        <w:rPr>
          <w:rFonts w:cstheme="minorHAnsi"/>
          <w:color w:val="auto"/>
        </w:rPr>
        <w:t xml:space="preserve">fait </w:t>
      </w:r>
      <w:r w:rsidR="006337BA" w:rsidRPr="00F10A5B">
        <w:rPr>
          <w:rFonts w:cstheme="minorHAnsi"/>
          <w:color w:val="auto"/>
        </w:rPr>
        <w:t xml:space="preserve">usage des médias sociaux dans </w:t>
      </w:r>
      <w:r w:rsidR="00900A03" w:rsidRPr="00F10A5B">
        <w:rPr>
          <w:rFonts w:cstheme="minorHAnsi"/>
          <w:color w:val="auto"/>
        </w:rPr>
        <w:t xml:space="preserve">ses </w:t>
      </w:r>
      <w:r w:rsidR="006337BA" w:rsidRPr="00F10A5B">
        <w:rPr>
          <w:rFonts w:cstheme="minorHAnsi"/>
          <w:color w:val="auto"/>
        </w:rPr>
        <w:t>pratiques de recrutement. L</w:t>
      </w:r>
      <w:r w:rsidR="006337BA" w:rsidRPr="00F10A5B">
        <w:rPr>
          <w:rFonts w:cstheme="minorHAnsi"/>
          <w:iCs/>
          <w:color w:val="auto"/>
        </w:rPr>
        <w:t>a communication d</w:t>
      </w:r>
      <w:r w:rsidRPr="00F10A5B">
        <w:rPr>
          <w:rFonts w:cstheme="minorHAnsi"/>
          <w:iCs/>
          <w:color w:val="auto"/>
        </w:rPr>
        <w:t>es o</w:t>
      </w:r>
      <w:r w:rsidR="006337BA" w:rsidRPr="00F10A5B">
        <w:rPr>
          <w:rFonts w:cstheme="minorHAnsi"/>
          <w:iCs/>
          <w:color w:val="auto"/>
        </w:rPr>
        <w:t>ccasions d’emplois</w:t>
      </w:r>
      <w:r w:rsidRPr="00F10A5B">
        <w:rPr>
          <w:rFonts w:cstheme="minorHAnsi"/>
          <w:iCs/>
          <w:color w:val="auto"/>
        </w:rPr>
        <w:t xml:space="preserve"> sur Facebook </w:t>
      </w:r>
      <w:r w:rsidR="006337BA" w:rsidRPr="00F10A5B">
        <w:rPr>
          <w:rFonts w:cstheme="minorHAnsi"/>
          <w:iCs/>
          <w:color w:val="auto"/>
        </w:rPr>
        <w:t xml:space="preserve">(particulièrement) semble </w:t>
      </w:r>
      <w:r w:rsidRPr="00F10A5B">
        <w:rPr>
          <w:rFonts w:cstheme="minorHAnsi"/>
          <w:iCs/>
          <w:color w:val="auto"/>
        </w:rPr>
        <w:t>augmente</w:t>
      </w:r>
      <w:r w:rsidR="006337BA" w:rsidRPr="00F10A5B">
        <w:rPr>
          <w:rFonts w:cstheme="minorHAnsi"/>
          <w:iCs/>
          <w:color w:val="auto"/>
        </w:rPr>
        <w:t>r</w:t>
      </w:r>
      <w:r w:rsidRPr="00F10A5B">
        <w:rPr>
          <w:rFonts w:cstheme="minorHAnsi"/>
          <w:iCs/>
          <w:color w:val="auto"/>
        </w:rPr>
        <w:t xml:space="preserve"> la visibilité</w:t>
      </w:r>
      <w:r w:rsidR="00914AD1" w:rsidRPr="00F10A5B">
        <w:rPr>
          <w:rFonts w:cstheme="minorHAnsi"/>
          <w:iCs/>
          <w:color w:val="auto"/>
        </w:rPr>
        <w:t xml:space="preserve"> </w:t>
      </w:r>
      <w:r w:rsidR="006337BA" w:rsidRPr="00F10A5B">
        <w:rPr>
          <w:rFonts w:cstheme="minorHAnsi"/>
          <w:iCs/>
          <w:color w:val="auto"/>
        </w:rPr>
        <w:t>et les candidatures auprès des</w:t>
      </w:r>
      <w:r w:rsidR="00914AD1" w:rsidRPr="00F10A5B">
        <w:rPr>
          <w:rFonts w:cstheme="minorHAnsi"/>
          <w:iCs/>
          <w:color w:val="auto"/>
        </w:rPr>
        <w:t xml:space="preserve"> communautés autochtones</w:t>
      </w:r>
      <w:r w:rsidRPr="00F10A5B">
        <w:rPr>
          <w:rFonts w:cstheme="minorHAnsi"/>
          <w:iCs/>
          <w:color w:val="auto"/>
        </w:rPr>
        <w:t>.</w:t>
      </w:r>
      <w:r w:rsidR="00121BF0" w:rsidRPr="00F10A5B">
        <w:rPr>
          <w:rFonts w:cstheme="minorHAnsi"/>
          <w:iCs/>
          <w:color w:val="auto"/>
        </w:rPr>
        <w:t xml:space="preserve"> </w:t>
      </w:r>
      <w:r w:rsidR="009005E5" w:rsidRPr="00F10A5B">
        <w:rPr>
          <w:rFonts w:cstheme="minorHAnsi"/>
          <w:iCs/>
          <w:color w:val="auto"/>
        </w:rPr>
        <w:t>L’organisation explore différentes plateformes pour l’enregistrement des entrevues</w:t>
      </w:r>
      <w:r w:rsidR="00086E3C" w:rsidRPr="00F10A5B">
        <w:rPr>
          <w:rFonts w:cstheme="minorHAnsi"/>
          <w:iCs/>
          <w:color w:val="auto"/>
        </w:rPr>
        <w:t xml:space="preserve"> incluant VidCruiter qui</w:t>
      </w:r>
      <w:r w:rsidR="00E32907" w:rsidRPr="00F10A5B">
        <w:rPr>
          <w:rFonts w:cstheme="minorHAnsi"/>
          <w:iCs/>
          <w:color w:val="auto"/>
        </w:rPr>
        <w:t>,</w:t>
      </w:r>
      <w:r w:rsidR="00086E3C" w:rsidRPr="00F10A5B">
        <w:rPr>
          <w:rFonts w:cstheme="minorHAnsi"/>
          <w:iCs/>
          <w:color w:val="auto"/>
        </w:rPr>
        <w:t xml:space="preserve"> </w:t>
      </w:r>
      <w:r w:rsidR="002E04E2" w:rsidRPr="00F10A5B">
        <w:rPr>
          <w:rFonts w:cstheme="minorHAnsi"/>
          <w:iCs/>
          <w:color w:val="auto"/>
        </w:rPr>
        <w:t xml:space="preserve">selon </w:t>
      </w:r>
      <w:r w:rsidR="006E0F0D" w:rsidRPr="00F10A5B">
        <w:rPr>
          <w:rFonts w:cstheme="minorHAnsi"/>
          <w:iCs/>
          <w:color w:val="auto"/>
        </w:rPr>
        <w:t xml:space="preserve">leur </w:t>
      </w:r>
      <w:r w:rsidR="002E04E2" w:rsidRPr="00F10A5B">
        <w:rPr>
          <w:rFonts w:cstheme="minorHAnsi"/>
          <w:iCs/>
          <w:color w:val="auto"/>
        </w:rPr>
        <w:t xml:space="preserve">analyse, </w:t>
      </w:r>
      <w:r w:rsidR="00BB48EB" w:rsidRPr="00F10A5B">
        <w:rPr>
          <w:rFonts w:cstheme="minorHAnsi"/>
          <w:iCs/>
          <w:color w:val="auto"/>
        </w:rPr>
        <w:t>semble être</w:t>
      </w:r>
      <w:r w:rsidR="002E04E2" w:rsidRPr="00F10A5B">
        <w:rPr>
          <w:rFonts w:cstheme="minorHAnsi"/>
          <w:iCs/>
          <w:color w:val="auto"/>
        </w:rPr>
        <w:t xml:space="preserve"> </w:t>
      </w:r>
      <w:r w:rsidR="00086E3C" w:rsidRPr="00F10A5B">
        <w:rPr>
          <w:rFonts w:cstheme="minorHAnsi"/>
          <w:iCs/>
          <w:color w:val="auto"/>
        </w:rPr>
        <w:t xml:space="preserve">une option plutôt </w:t>
      </w:r>
      <w:r w:rsidR="00C85014" w:rsidRPr="00F10A5B">
        <w:rPr>
          <w:rFonts w:cstheme="minorHAnsi"/>
          <w:iCs/>
          <w:color w:val="auto"/>
        </w:rPr>
        <w:t>coûteuse</w:t>
      </w:r>
      <w:r w:rsidR="00086E3C" w:rsidRPr="00F10A5B">
        <w:rPr>
          <w:rFonts w:cstheme="minorHAnsi"/>
          <w:iCs/>
          <w:color w:val="auto"/>
        </w:rPr>
        <w:t>.</w:t>
      </w:r>
      <w:r w:rsidR="00296674" w:rsidRPr="00F10A5B">
        <w:rPr>
          <w:rFonts w:cstheme="minorHAnsi"/>
          <w:iCs/>
          <w:color w:val="auto"/>
        </w:rPr>
        <w:t xml:space="preserve"> Par conséquent, d’autres options</w:t>
      </w:r>
      <w:r w:rsidR="0065674C" w:rsidRPr="00F10A5B">
        <w:rPr>
          <w:rFonts w:cstheme="minorHAnsi"/>
          <w:iCs/>
          <w:color w:val="auto"/>
        </w:rPr>
        <w:t xml:space="preserve"> </w:t>
      </w:r>
      <w:r w:rsidR="001B61DC" w:rsidRPr="00F10A5B">
        <w:rPr>
          <w:rFonts w:cstheme="minorHAnsi"/>
          <w:iCs/>
          <w:color w:val="auto"/>
        </w:rPr>
        <w:t xml:space="preserve">sont </w:t>
      </w:r>
      <w:r w:rsidR="0065674C" w:rsidRPr="00F10A5B">
        <w:rPr>
          <w:rFonts w:cstheme="minorHAnsi"/>
          <w:iCs/>
          <w:color w:val="auto"/>
        </w:rPr>
        <w:t>considérées</w:t>
      </w:r>
      <w:r w:rsidR="00296674" w:rsidRPr="00F10A5B">
        <w:rPr>
          <w:rFonts w:cstheme="minorHAnsi"/>
          <w:iCs/>
          <w:color w:val="auto"/>
        </w:rPr>
        <w:t>.</w:t>
      </w:r>
    </w:p>
    <w:p w14:paraId="79DC8C4E" w14:textId="77777777" w:rsidR="00DA196D" w:rsidRPr="00F10A5B" w:rsidRDefault="002E04E2" w:rsidP="00DA196D">
      <w:pPr>
        <w:spacing w:after="120" w:line="240" w:lineRule="auto"/>
        <w:contextualSpacing/>
        <w:rPr>
          <w:rFonts w:cstheme="minorHAnsi"/>
          <w:iCs/>
          <w:color w:val="auto"/>
        </w:rPr>
        <w:sectPr w:rsidR="00DA196D" w:rsidRPr="00F10A5B" w:rsidSect="00E54C20">
          <w:headerReference w:type="default" r:id="rId8"/>
          <w:footerReference w:type="default" r:id="rId9"/>
          <w:footerReference w:type="first" r:id="rId10"/>
          <w:pgSz w:w="12240" w:h="15840"/>
          <w:pgMar w:top="1440" w:right="1440" w:bottom="1440" w:left="1440" w:header="709" w:footer="284" w:gutter="0"/>
          <w:cols w:space="708"/>
          <w:titlePg/>
          <w:docGrid w:linePitch="360"/>
        </w:sectPr>
      </w:pPr>
      <w:r w:rsidRPr="00F10A5B">
        <w:rPr>
          <w:rFonts w:cstheme="minorHAnsi"/>
          <w:iCs/>
          <w:color w:val="auto"/>
        </w:rPr>
        <w:t>En ce qui concerne les évaluations de langue seconde, l’organisation a développé des tests standardisés qui sont administrés par le</w:t>
      </w:r>
      <w:r w:rsidR="00327694" w:rsidRPr="00F10A5B">
        <w:rPr>
          <w:rFonts w:cstheme="minorHAnsi"/>
          <w:iCs/>
          <w:color w:val="auto"/>
        </w:rPr>
        <w:t>ur</w:t>
      </w:r>
      <w:r w:rsidRPr="00F10A5B">
        <w:rPr>
          <w:rFonts w:cstheme="minorHAnsi"/>
          <w:iCs/>
          <w:color w:val="auto"/>
        </w:rPr>
        <w:t>s services des langues officielles, ce qui facilite</w:t>
      </w:r>
      <w:r w:rsidR="00C85014" w:rsidRPr="00F10A5B">
        <w:rPr>
          <w:rFonts w:cstheme="minorHAnsi"/>
          <w:iCs/>
          <w:color w:val="auto"/>
        </w:rPr>
        <w:t xml:space="preserve"> l’accès aux données et </w:t>
      </w:r>
      <w:r w:rsidR="00F1265D" w:rsidRPr="00F10A5B">
        <w:rPr>
          <w:rFonts w:cstheme="minorHAnsi"/>
          <w:iCs/>
          <w:color w:val="auto"/>
        </w:rPr>
        <w:t>la production du rapport</w:t>
      </w:r>
      <w:r w:rsidR="00AA3F6A" w:rsidRPr="00F10A5B">
        <w:rPr>
          <w:rFonts w:cstheme="minorHAnsi"/>
          <w:iCs/>
          <w:color w:val="auto"/>
        </w:rPr>
        <w:t xml:space="preserve"> 2020-2021</w:t>
      </w:r>
      <w:r w:rsidR="005C4B5D" w:rsidRPr="00F10A5B">
        <w:rPr>
          <w:rFonts w:cstheme="minorHAnsi"/>
          <w:iCs/>
          <w:color w:val="auto"/>
        </w:rPr>
        <w:t>.</w:t>
      </w:r>
    </w:p>
    <w:p w14:paraId="0EA5528A" w14:textId="77777777" w:rsidR="00961A62" w:rsidRPr="00E54C20" w:rsidRDefault="00961A62" w:rsidP="00DA196D">
      <w:pPr>
        <w:spacing w:before="240" w:after="120"/>
        <w:contextualSpacing/>
        <w:rPr>
          <w:rStyle w:val="Heading1Char"/>
          <w:rFonts w:cstheme="majorHAnsi"/>
          <w:color w:val="auto"/>
        </w:rPr>
      </w:pPr>
      <w:r w:rsidRPr="00E54C20">
        <w:rPr>
          <w:rStyle w:val="Heading1Char"/>
          <w:rFonts w:cstheme="majorHAnsi"/>
          <w:color w:val="auto"/>
        </w:rPr>
        <w:lastRenderedPageBreak/>
        <w:t>Effectif et activités de dotation</w:t>
      </w:r>
    </w:p>
    <w:p w14:paraId="775C20BE" w14:textId="77777777" w:rsidR="00961A62" w:rsidRPr="00F10A5B" w:rsidRDefault="00961A62" w:rsidP="00DA196D">
      <w:pPr>
        <w:pStyle w:val="Heading2"/>
        <w:spacing w:after="120"/>
        <w:contextualSpacing/>
        <w:rPr>
          <w:rFonts w:cs="Segoe UI Semibold"/>
          <w:u w:val="single"/>
        </w:rPr>
      </w:pPr>
      <w:r w:rsidRPr="00F10A5B">
        <w:rPr>
          <w:rFonts w:cs="Segoe UI Semibold"/>
        </w:rPr>
        <w:t>Effectif</w:t>
      </w:r>
    </w:p>
    <w:p w14:paraId="1AC14C4D" w14:textId="7EAF329C" w:rsidR="00B1358A" w:rsidRPr="00F10A5B" w:rsidRDefault="003503E0" w:rsidP="00DA196D">
      <w:pPr>
        <w:pStyle w:val="Footer"/>
        <w:spacing w:after="120"/>
        <w:contextualSpacing/>
        <w:rPr>
          <w:rFonts w:cstheme="minorHAnsi"/>
          <w:color w:val="auto"/>
        </w:rPr>
      </w:pPr>
      <w:r w:rsidRPr="00B13168">
        <w:rPr>
          <w:rFonts w:cstheme="minorHAnsi"/>
          <w:color w:val="auto"/>
        </w:rPr>
        <w:t>RCAANC et SAC</w:t>
      </w:r>
      <w:r w:rsidR="00B1358A" w:rsidRPr="00B13168">
        <w:rPr>
          <w:rFonts w:cstheme="minorHAnsi"/>
          <w:color w:val="auto"/>
        </w:rPr>
        <w:t xml:space="preserve"> ont été créés à la fin de 2017</w:t>
      </w:r>
      <w:r w:rsidR="00B1358A" w:rsidRPr="00F10A5B">
        <w:rPr>
          <w:rFonts w:cstheme="minorHAnsi"/>
          <w:color w:val="auto"/>
        </w:rPr>
        <w:t>. Les données organisationnelles disponibles demeurent encore regroupées</w:t>
      </w:r>
      <w:r w:rsidR="00A0335B" w:rsidRPr="00F10A5B">
        <w:rPr>
          <w:rFonts w:cstheme="minorHAnsi"/>
          <w:color w:val="auto"/>
        </w:rPr>
        <w:t>,</w:t>
      </w:r>
      <w:r w:rsidR="00B1358A" w:rsidRPr="00F10A5B">
        <w:rPr>
          <w:rFonts w:cstheme="minorHAnsi"/>
          <w:color w:val="auto"/>
        </w:rPr>
        <w:t xml:space="preserve"> voire indissociables</w:t>
      </w:r>
      <w:r w:rsidR="00A0335B" w:rsidRPr="00F10A5B">
        <w:rPr>
          <w:rFonts w:cstheme="minorHAnsi"/>
          <w:color w:val="auto"/>
        </w:rPr>
        <w:t>,</w:t>
      </w:r>
      <w:r w:rsidR="00B1358A" w:rsidRPr="00F10A5B">
        <w:rPr>
          <w:rFonts w:cstheme="minorHAnsi"/>
          <w:color w:val="auto"/>
        </w:rPr>
        <w:t xml:space="preserve"> en attendant la conclusion de la scission administrative d</w:t>
      </w:r>
      <w:r w:rsidR="005C4D9F" w:rsidRPr="00F10A5B">
        <w:rPr>
          <w:rFonts w:cstheme="minorHAnsi"/>
          <w:color w:val="auto"/>
        </w:rPr>
        <w:t>’</w:t>
      </w:r>
      <w:r w:rsidR="00B1358A" w:rsidRPr="00F10A5B">
        <w:rPr>
          <w:rFonts w:cstheme="minorHAnsi"/>
          <w:color w:val="auto"/>
        </w:rPr>
        <w:t>AANC.</w:t>
      </w:r>
    </w:p>
    <w:p w14:paraId="38E6FC4A" w14:textId="5BD2EA64" w:rsidR="0026293A" w:rsidRPr="00F10A5B" w:rsidRDefault="0026293A" w:rsidP="00DA196D">
      <w:pPr>
        <w:pStyle w:val="NoSpacing"/>
        <w:spacing w:after="120"/>
        <w:rPr>
          <w:rFonts w:asciiTheme="minorHAnsi" w:hAnsiTheme="minorHAnsi" w:cstheme="minorHAnsi"/>
          <w:color w:val="000000"/>
          <w:sz w:val="22"/>
          <w:szCs w:val="22"/>
          <w:lang w:val="fr-CA"/>
        </w:rPr>
      </w:pPr>
      <w:r w:rsidRPr="00F10A5B">
        <w:rPr>
          <w:rFonts w:asciiTheme="minorHAnsi" w:hAnsiTheme="minorHAnsi" w:cstheme="minorHAnsi"/>
          <w:color w:val="000000"/>
          <w:sz w:val="22"/>
          <w:szCs w:val="22"/>
          <w:lang w:val="fr-CA"/>
        </w:rPr>
        <w:t xml:space="preserve">SAC </w:t>
      </w:r>
      <w:r w:rsidR="00961A62" w:rsidRPr="00F10A5B">
        <w:rPr>
          <w:rFonts w:asciiTheme="minorHAnsi" w:hAnsiTheme="minorHAnsi" w:cstheme="minorHAnsi"/>
          <w:color w:val="000000"/>
          <w:sz w:val="22"/>
          <w:szCs w:val="22"/>
          <w:lang w:val="fr-CA"/>
        </w:rPr>
        <w:t>est une organisation de grande taille avec un effectif de</w:t>
      </w:r>
      <w:r w:rsidR="00347EFB" w:rsidRPr="00F10A5B">
        <w:rPr>
          <w:rFonts w:asciiTheme="minorHAnsi" w:hAnsiTheme="minorHAnsi" w:cstheme="minorHAnsi"/>
          <w:color w:val="000000"/>
          <w:sz w:val="22"/>
          <w:szCs w:val="22"/>
          <w:lang w:val="fr-CA"/>
        </w:rPr>
        <w:t xml:space="preserve"> 5470</w:t>
      </w:r>
      <w:r w:rsidR="00961A62" w:rsidRPr="00F10A5B">
        <w:rPr>
          <w:rFonts w:asciiTheme="minorHAnsi" w:hAnsiTheme="minorHAnsi" w:cstheme="minorHAnsi"/>
          <w:b/>
          <w:i/>
          <w:color w:val="000000"/>
          <w:sz w:val="22"/>
          <w:szCs w:val="22"/>
          <w:lang w:val="fr-CA"/>
        </w:rPr>
        <w:t xml:space="preserve"> </w:t>
      </w:r>
      <w:r w:rsidR="00961A62" w:rsidRPr="00F10A5B">
        <w:rPr>
          <w:rFonts w:asciiTheme="minorHAnsi" w:hAnsiTheme="minorHAnsi" w:cstheme="minorHAnsi"/>
          <w:color w:val="000000"/>
          <w:sz w:val="22"/>
          <w:szCs w:val="22"/>
          <w:lang w:val="fr-CA"/>
        </w:rPr>
        <w:t>employés</w:t>
      </w:r>
      <w:r w:rsidR="00347EFB" w:rsidRPr="00F10A5B">
        <w:rPr>
          <w:rFonts w:asciiTheme="minorHAnsi" w:hAnsiTheme="minorHAnsi" w:cstheme="minorHAnsi"/>
          <w:color w:val="000000"/>
          <w:sz w:val="22"/>
          <w:szCs w:val="22"/>
          <w:lang w:val="fr-CA"/>
        </w:rPr>
        <w:t xml:space="preserve"> </w:t>
      </w:r>
      <w:r w:rsidR="00961A62" w:rsidRPr="00F10A5B">
        <w:rPr>
          <w:rFonts w:asciiTheme="minorHAnsi" w:hAnsiTheme="minorHAnsi" w:cstheme="minorHAnsi"/>
          <w:color w:val="000000"/>
          <w:sz w:val="22"/>
          <w:szCs w:val="22"/>
          <w:lang w:val="fr-CA"/>
        </w:rPr>
        <w:t xml:space="preserve">au 31 mars </w:t>
      </w:r>
      <w:r w:rsidR="00347EFB" w:rsidRPr="00F10A5B">
        <w:rPr>
          <w:rFonts w:asciiTheme="minorHAnsi" w:hAnsiTheme="minorHAnsi" w:cstheme="minorHAnsi"/>
          <w:color w:val="000000"/>
          <w:sz w:val="22"/>
          <w:szCs w:val="22"/>
          <w:lang w:val="fr-CA"/>
        </w:rPr>
        <w:t>2020</w:t>
      </w:r>
      <w:r w:rsidR="00961A62" w:rsidRPr="00F10A5B">
        <w:rPr>
          <w:rFonts w:asciiTheme="minorHAnsi" w:hAnsiTheme="minorHAnsi" w:cstheme="minorHAnsi"/>
          <w:color w:val="000000"/>
          <w:sz w:val="22"/>
          <w:szCs w:val="22"/>
          <w:lang w:val="fr-CA"/>
        </w:rPr>
        <w:t xml:space="preserve">. </w:t>
      </w:r>
      <w:r w:rsidR="003E1BE2" w:rsidRPr="00F10A5B">
        <w:rPr>
          <w:rFonts w:asciiTheme="minorHAnsi" w:hAnsiTheme="minorHAnsi" w:cstheme="minorHAnsi"/>
          <w:color w:val="000000"/>
          <w:sz w:val="22"/>
          <w:szCs w:val="22"/>
          <w:lang w:val="fr-CA"/>
        </w:rPr>
        <w:t xml:space="preserve">Près de la moitié de ses employés, soit 45%, </w:t>
      </w:r>
      <w:r w:rsidR="00E32907" w:rsidRPr="00F10A5B">
        <w:rPr>
          <w:rFonts w:asciiTheme="minorHAnsi" w:hAnsiTheme="minorHAnsi" w:cstheme="minorHAnsi"/>
          <w:color w:val="000000"/>
          <w:sz w:val="22"/>
          <w:szCs w:val="22"/>
          <w:lang w:val="fr-CA"/>
        </w:rPr>
        <w:t>est</w:t>
      </w:r>
      <w:r w:rsidR="00346C98" w:rsidRPr="00F10A5B">
        <w:rPr>
          <w:rFonts w:asciiTheme="minorHAnsi" w:hAnsiTheme="minorHAnsi" w:cstheme="minorHAnsi"/>
          <w:color w:val="000000"/>
          <w:sz w:val="22"/>
          <w:szCs w:val="22"/>
          <w:lang w:val="fr-CA"/>
        </w:rPr>
        <w:t xml:space="preserve"> situé</w:t>
      </w:r>
      <w:r w:rsidR="00E32907" w:rsidRPr="00F10A5B">
        <w:rPr>
          <w:rFonts w:asciiTheme="minorHAnsi" w:hAnsiTheme="minorHAnsi" w:cstheme="minorHAnsi"/>
          <w:color w:val="000000"/>
          <w:sz w:val="22"/>
          <w:szCs w:val="22"/>
          <w:lang w:val="fr-CA"/>
        </w:rPr>
        <w:t>e</w:t>
      </w:r>
      <w:r w:rsidR="00346C98" w:rsidRPr="00F10A5B">
        <w:rPr>
          <w:rFonts w:asciiTheme="minorHAnsi" w:hAnsiTheme="minorHAnsi" w:cstheme="minorHAnsi"/>
          <w:color w:val="000000"/>
          <w:sz w:val="22"/>
          <w:szCs w:val="22"/>
          <w:lang w:val="fr-CA"/>
        </w:rPr>
        <w:t xml:space="preserve"> à l’extérieur de la </w:t>
      </w:r>
      <w:r w:rsidR="00E32907" w:rsidRPr="00F10A5B">
        <w:rPr>
          <w:rFonts w:asciiTheme="minorHAnsi" w:hAnsiTheme="minorHAnsi" w:cstheme="minorHAnsi"/>
          <w:color w:val="000000"/>
          <w:sz w:val="22"/>
          <w:szCs w:val="22"/>
          <w:lang w:val="fr-CA"/>
        </w:rPr>
        <w:t>r</w:t>
      </w:r>
      <w:r w:rsidR="003E1BE2" w:rsidRPr="00F10A5B">
        <w:rPr>
          <w:rFonts w:asciiTheme="minorHAnsi" w:hAnsiTheme="minorHAnsi" w:cstheme="minorHAnsi"/>
          <w:color w:val="000000"/>
          <w:sz w:val="22"/>
          <w:szCs w:val="22"/>
          <w:lang w:val="fr-CA"/>
        </w:rPr>
        <w:t>égion de la capitale nationale.</w:t>
      </w:r>
    </w:p>
    <w:p w14:paraId="4F1F4F32" w14:textId="77777777" w:rsidR="00961A62" w:rsidRPr="00F10A5B" w:rsidRDefault="00961A62" w:rsidP="00DA196D">
      <w:pPr>
        <w:pStyle w:val="Heading2"/>
        <w:spacing w:after="120"/>
        <w:contextualSpacing/>
        <w:rPr>
          <w:rFonts w:cs="Segoe UI Semibold"/>
          <w:u w:val="single"/>
        </w:rPr>
      </w:pPr>
      <w:r w:rsidRPr="00F10A5B">
        <w:rPr>
          <w:rFonts w:cs="Segoe UI Semibold"/>
        </w:rPr>
        <w:t>Activités de dotation</w:t>
      </w:r>
    </w:p>
    <w:p w14:paraId="2A03094C" w14:textId="51AF356A" w:rsidR="00B1358A" w:rsidRPr="00F10A5B" w:rsidRDefault="00961A62" w:rsidP="00DA196D">
      <w:pPr>
        <w:spacing w:after="0" w:line="240" w:lineRule="auto"/>
        <w:contextualSpacing/>
        <w:rPr>
          <w:rFonts w:cstheme="minorHAnsi"/>
          <w:color w:val="auto"/>
        </w:rPr>
      </w:pPr>
      <w:r w:rsidRPr="00F10A5B">
        <w:rPr>
          <w:rFonts w:cstheme="minorHAnsi"/>
          <w:color w:val="auto"/>
        </w:rPr>
        <w:t>En 20</w:t>
      </w:r>
      <w:r w:rsidR="006C5D8B" w:rsidRPr="00F10A5B">
        <w:rPr>
          <w:rFonts w:cstheme="minorHAnsi"/>
          <w:color w:val="auto"/>
        </w:rPr>
        <w:t>19-20</w:t>
      </w:r>
      <w:r w:rsidR="00A61CC0" w:rsidRPr="00F10A5B">
        <w:rPr>
          <w:rFonts w:cstheme="minorHAnsi"/>
          <w:color w:val="auto"/>
        </w:rPr>
        <w:t>20</w:t>
      </w:r>
      <w:r w:rsidRPr="00F10A5B">
        <w:rPr>
          <w:rFonts w:cstheme="minorHAnsi"/>
          <w:color w:val="auto"/>
        </w:rPr>
        <w:t xml:space="preserve">, </w:t>
      </w:r>
      <w:r w:rsidR="00A61CC0" w:rsidRPr="00F10A5B">
        <w:rPr>
          <w:rFonts w:cstheme="minorHAnsi"/>
          <w:color w:val="auto"/>
        </w:rPr>
        <w:t>SAC</w:t>
      </w:r>
      <w:r w:rsidRPr="00F10A5B">
        <w:rPr>
          <w:rFonts w:cstheme="minorHAnsi"/>
          <w:color w:val="auto"/>
        </w:rPr>
        <w:t xml:space="preserve"> a entrepris au total </w:t>
      </w:r>
      <w:r w:rsidR="000C324C" w:rsidRPr="00F10A5B">
        <w:rPr>
          <w:rFonts w:cstheme="minorHAnsi"/>
          <w:color w:val="auto"/>
        </w:rPr>
        <w:t>3</w:t>
      </w:r>
      <w:r w:rsidR="00A61CC0" w:rsidRPr="00F10A5B">
        <w:rPr>
          <w:rFonts w:cstheme="minorHAnsi"/>
          <w:color w:val="auto"/>
        </w:rPr>
        <w:t>968</w:t>
      </w:r>
      <w:r w:rsidRPr="00F10A5B">
        <w:rPr>
          <w:rFonts w:cstheme="minorHAnsi"/>
          <w:color w:val="auto"/>
        </w:rPr>
        <w:t xml:space="preserve"> activités de dotation : </w:t>
      </w:r>
    </w:p>
    <w:p w14:paraId="7F806900" w14:textId="77777777" w:rsidR="00961A62" w:rsidRPr="00F10A5B" w:rsidRDefault="00AF6FE4" w:rsidP="00DA196D">
      <w:pPr>
        <w:keepLines w:val="0"/>
        <w:numPr>
          <w:ilvl w:val="0"/>
          <w:numId w:val="7"/>
        </w:numPr>
        <w:spacing w:after="0" w:line="240" w:lineRule="auto"/>
        <w:contextualSpacing/>
        <w:rPr>
          <w:rFonts w:cstheme="minorHAnsi"/>
          <w:color w:val="auto"/>
        </w:rPr>
      </w:pPr>
      <w:r w:rsidRPr="00F10A5B">
        <w:rPr>
          <w:rFonts w:cstheme="minorHAnsi"/>
          <w:color w:val="auto"/>
        </w:rPr>
        <w:t>596</w:t>
      </w:r>
      <w:r w:rsidR="00961A62" w:rsidRPr="00F10A5B">
        <w:rPr>
          <w:rFonts w:cstheme="minorHAnsi"/>
          <w:color w:val="auto"/>
        </w:rPr>
        <w:t xml:space="preserve"> nominations à la fonction publique;</w:t>
      </w:r>
    </w:p>
    <w:p w14:paraId="7C491BD5" w14:textId="77777777" w:rsidR="00961A62" w:rsidRPr="00F10A5B" w:rsidRDefault="00AF6FE4" w:rsidP="00DA196D">
      <w:pPr>
        <w:keepLines w:val="0"/>
        <w:numPr>
          <w:ilvl w:val="0"/>
          <w:numId w:val="7"/>
        </w:numPr>
        <w:spacing w:after="0" w:line="240" w:lineRule="auto"/>
        <w:contextualSpacing/>
        <w:rPr>
          <w:rFonts w:cstheme="minorHAnsi"/>
          <w:color w:val="auto"/>
        </w:rPr>
      </w:pPr>
      <w:r w:rsidRPr="00F10A5B">
        <w:rPr>
          <w:rFonts w:cstheme="minorHAnsi"/>
          <w:color w:val="auto"/>
        </w:rPr>
        <w:t>858</w:t>
      </w:r>
      <w:r w:rsidR="00961A62" w:rsidRPr="00F10A5B">
        <w:rPr>
          <w:rFonts w:cstheme="minorHAnsi"/>
          <w:color w:val="auto"/>
        </w:rPr>
        <w:t xml:space="preserve"> promotions;</w:t>
      </w:r>
    </w:p>
    <w:p w14:paraId="1BBDBDE1" w14:textId="77777777" w:rsidR="00961A62" w:rsidRPr="00F10A5B" w:rsidRDefault="000C324C" w:rsidP="00DA196D">
      <w:pPr>
        <w:keepLines w:val="0"/>
        <w:numPr>
          <w:ilvl w:val="0"/>
          <w:numId w:val="7"/>
        </w:numPr>
        <w:spacing w:after="0" w:line="240" w:lineRule="auto"/>
        <w:contextualSpacing/>
        <w:rPr>
          <w:rFonts w:cstheme="minorHAnsi"/>
          <w:color w:val="auto"/>
        </w:rPr>
      </w:pPr>
      <w:r w:rsidRPr="00F10A5B">
        <w:rPr>
          <w:rFonts w:cstheme="minorHAnsi"/>
          <w:color w:val="auto"/>
        </w:rPr>
        <w:t>568</w:t>
      </w:r>
      <w:r w:rsidR="00961A62" w:rsidRPr="00F10A5B">
        <w:rPr>
          <w:rFonts w:cstheme="minorHAnsi"/>
          <w:color w:val="auto"/>
        </w:rPr>
        <w:t xml:space="preserve"> nominations intérimaires; </w:t>
      </w:r>
    </w:p>
    <w:p w14:paraId="592A322F" w14:textId="77777777" w:rsidR="00961A62" w:rsidRPr="00F10A5B" w:rsidRDefault="000C324C" w:rsidP="00DA196D">
      <w:pPr>
        <w:keepLines w:val="0"/>
        <w:numPr>
          <w:ilvl w:val="0"/>
          <w:numId w:val="7"/>
        </w:numPr>
        <w:spacing w:after="0" w:line="240" w:lineRule="auto"/>
        <w:contextualSpacing/>
        <w:rPr>
          <w:rFonts w:cstheme="minorHAnsi"/>
          <w:color w:val="auto"/>
        </w:rPr>
      </w:pPr>
      <w:r w:rsidRPr="00F10A5B">
        <w:rPr>
          <w:rFonts w:cstheme="minorHAnsi"/>
          <w:color w:val="auto"/>
        </w:rPr>
        <w:t>609</w:t>
      </w:r>
      <w:r w:rsidR="00961A62" w:rsidRPr="00F10A5B">
        <w:rPr>
          <w:rFonts w:cstheme="minorHAnsi"/>
          <w:color w:val="auto"/>
        </w:rPr>
        <w:t xml:space="preserve"> embauches d’employés occasionnels;</w:t>
      </w:r>
    </w:p>
    <w:p w14:paraId="42D41FEC" w14:textId="77777777" w:rsidR="00961A62" w:rsidRPr="00F10A5B" w:rsidRDefault="000C324C" w:rsidP="00DA196D">
      <w:pPr>
        <w:keepLines w:val="0"/>
        <w:numPr>
          <w:ilvl w:val="0"/>
          <w:numId w:val="7"/>
        </w:numPr>
        <w:spacing w:after="0" w:line="240" w:lineRule="auto"/>
        <w:contextualSpacing/>
        <w:rPr>
          <w:rFonts w:cstheme="minorHAnsi"/>
          <w:color w:val="auto"/>
        </w:rPr>
      </w:pPr>
      <w:r w:rsidRPr="00F10A5B">
        <w:rPr>
          <w:rFonts w:cstheme="minorHAnsi"/>
          <w:color w:val="auto"/>
        </w:rPr>
        <w:t>517</w:t>
      </w:r>
      <w:r w:rsidR="00961A62" w:rsidRPr="00F10A5B">
        <w:rPr>
          <w:rFonts w:cstheme="minorHAnsi"/>
          <w:color w:val="auto"/>
        </w:rPr>
        <w:t xml:space="preserve"> embauches d’étudiants</w:t>
      </w:r>
      <w:r w:rsidR="00806317" w:rsidRPr="00F10A5B">
        <w:rPr>
          <w:rFonts w:cstheme="minorHAnsi"/>
          <w:color w:val="auto"/>
        </w:rPr>
        <w:t xml:space="preserve"> (324 PFETÉ et 193 COOP)</w:t>
      </w:r>
      <w:r w:rsidR="00961A62" w:rsidRPr="00F10A5B">
        <w:rPr>
          <w:rFonts w:cstheme="minorHAnsi"/>
          <w:color w:val="auto"/>
        </w:rPr>
        <w:t>;</w:t>
      </w:r>
    </w:p>
    <w:p w14:paraId="5ED97B52" w14:textId="77777777" w:rsidR="00961A62" w:rsidRPr="00F10A5B" w:rsidRDefault="000C324C" w:rsidP="00DA196D">
      <w:pPr>
        <w:keepLines w:val="0"/>
        <w:numPr>
          <w:ilvl w:val="0"/>
          <w:numId w:val="7"/>
        </w:numPr>
        <w:spacing w:after="120" w:line="240" w:lineRule="auto"/>
        <w:contextualSpacing/>
        <w:rPr>
          <w:rFonts w:cstheme="minorHAnsi"/>
          <w:color w:val="auto"/>
        </w:rPr>
      </w:pPr>
      <w:r w:rsidRPr="00F10A5B">
        <w:rPr>
          <w:rFonts w:cstheme="minorHAnsi"/>
          <w:color w:val="auto"/>
        </w:rPr>
        <w:t>820</w:t>
      </w:r>
      <w:r w:rsidR="00961A62" w:rsidRPr="00F10A5B">
        <w:rPr>
          <w:rFonts w:cstheme="minorHAnsi"/>
          <w:color w:val="auto"/>
        </w:rPr>
        <w:t xml:space="preserve"> déplacements latéraux et vers un échelon inférieur.</w:t>
      </w:r>
    </w:p>
    <w:p w14:paraId="32D23A5E" w14:textId="2163149D" w:rsidR="00CA74CE" w:rsidRPr="00F10A5B" w:rsidRDefault="00CA74CE" w:rsidP="00DA196D">
      <w:pPr>
        <w:pStyle w:val="NoSpacing"/>
        <w:spacing w:after="120"/>
        <w:contextualSpacing/>
        <w:rPr>
          <w:rFonts w:asciiTheme="minorHAnsi" w:hAnsiTheme="minorHAnsi" w:cstheme="minorHAnsi"/>
          <w:sz w:val="22"/>
          <w:szCs w:val="22"/>
          <w:lang w:val="fr-CA" w:eastAsia="en-CA"/>
        </w:rPr>
      </w:pPr>
      <w:r w:rsidRPr="00F10A5B">
        <w:rPr>
          <w:rFonts w:asciiTheme="minorHAnsi" w:hAnsiTheme="minorHAnsi" w:cstheme="minorHAnsi"/>
          <w:sz w:val="22"/>
          <w:szCs w:val="22"/>
          <w:lang w:val="fr-CA" w:eastAsia="en-CA"/>
        </w:rPr>
        <w:t xml:space="preserve">Se reporter à </w:t>
      </w:r>
      <w:hyperlink w:anchor="Annexe_B" w:history="1">
        <w:r w:rsidR="00B13168">
          <w:rPr>
            <w:rStyle w:val="Hyperlink"/>
            <w:rFonts w:asciiTheme="minorHAnsi" w:hAnsiTheme="minorHAnsi" w:cstheme="minorHAnsi"/>
            <w:sz w:val="22"/>
            <w:szCs w:val="22"/>
            <w:lang w:val="fr-CA" w:eastAsia="en-CA"/>
          </w:rPr>
          <w:t>l’A</w:t>
        </w:r>
        <w:r w:rsidRPr="00F10A5B">
          <w:rPr>
            <w:rStyle w:val="Hyperlink"/>
            <w:rFonts w:asciiTheme="minorHAnsi" w:hAnsiTheme="minorHAnsi" w:cstheme="minorHAnsi"/>
            <w:sz w:val="22"/>
            <w:szCs w:val="22"/>
            <w:lang w:val="fr-CA" w:eastAsia="en-CA"/>
          </w:rPr>
          <w:t>nnexe B</w:t>
        </w:r>
      </w:hyperlink>
      <w:r w:rsidRPr="00F10A5B">
        <w:rPr>
          <w:rFonts w:asciiTheme="minorHAnsi" w:hAnsiTheme="minorHAnsi" w:cstheme="minorHAnsi"/>
          <w:sz w:val="22"/>
          <w:szCs w:val="22"/>
          <w:lang w:val="fr-CA" w:eastAsia="en-CA"/>
        </w:rPr>
        <w:t xml:space="preserve"> pour obteni</w:t>
      </w:r>
      <w:r w:rsidR="00D45672" w:rsidRPr="00F10A5B">
        <w:rPr>
          <w:rFonts w:asciiTheme="minorHAnsi" w:hAnsiTheme="minorHAnsi" w:cstheme="minorHAnsi"/>
          <w:sz w:val="22"/>
          <w:szCs w:val="22"/>
          <w:lang w:val="fr-CA" w:eastAsia="en-CA"/>
        </w:rPr>
        <w:t xml:space="preserve">r </w:t>
      </w:r>
      <w:r w:rsidR="00DA196D" w:rsidRPr="00F10A5B">
        <w:rPr>
          <w:rFonts w:asciiTheme="minorHAnsi" w:hAnsiTheme="minorHAnsi" w:cstheme="minorHAnsi"/>
          <w:sz w:val="22"/>
          <w:szCs w:val="22"/>
          <w:lang w:val="fr-CA" w:eastAsia="en-CA"/>
        </w:rPr>
        <w:t>plus de détails</w:t>
      </w:r>
      <w:r w:rsidR="00D45672" w:rsidRPr="00F10A5B">
        <w:rPr>
          <w:rFonts w:asciiTheme="minorHAnsi" w:hAnsiTheme="minorHAnsi" w:cstheme="minorHAnsi"/>
          <w:sz w:val="22"/>
          <w:szCs w:val="22"/>
          <w:lang w:val="fr-CA" w:eastAsia="en-CA"/>
        </w:rPr>
        <w:t xml:space="preserve"> </w:t>
      </w:r>
      <w:r w:rsidR="00DA196D" w:rsidRPr="00F10A5B">
        <w:rPr>
          <w:rFonts w:asciiTheme="minorHAnsi" w:hAnsiTheme="minorHAnsi" w:cstheme="minorHAnsi"/>
          <w:sz w:val="22"/>
          <w:szCs w:val="22"/>
          <w:lang w:val="fr-CA" w:eastAsia="en-CA"/>
        </w:rPr>
        <w:t>sur les activités de dotation</w:t>
      </w:r>
      <w:r w:rsidR="00D45672" w:rsidRPr="00F10A5B">
        <w:rPr>
          <w:rFonts w:asciiTheme="minorHAnsi" w:hAnsiTheme="minorHAnsi" w:cstheme="minorHAnsi"/>
          <w:sz w:val="22"/>
          <w:szCs w:val="22"/>
          <w:lang w:val="fr-CA" w:eastAsia="en-CA"/>
        </w:rPr>
        <w:t xml:space="preserve">. </w:t>
      </w:r>
    </w:p>
    <w:p w14:paraId="24539A80" w14:textId="3E2C9091" w:rsidR="00961A62" w:rsidRPr="00F10A5B" w:rsidRDefault="00961A62" w:rsidP="000F6BAA">
      <w:pPr>
        <w:pStyle w:val="Heading1"/>
        <w:spacing w:after="120"/>
        <w:contextualSpacing/>
        <w:rPr>
          <w:color w:val="auto"/>
        </w:rPr>
      </w:pPr>
      <w:r w:rsidRPr="00F10A5B">
        <w:rPr>
          <w:color w:val="auto"/>
        </w:rPr>
        <w:t>Durée du processus de dotation</w:t>
      </w:r>
    </w:p>
    <w:p w14:paraId="59A4BFE6" w14:textId="77777777" w:rsidR="00961A62" w:rsidRPr="00F10A5B" w:rsidRDefault="00D87D16" w:rsidP="000F6BAA">
      <w:pPr>
        <w:pStyle w:val="NoSpacing"/>
        <w:spacing w:after="120"/>
        <w:contextualSpacing/>
        <w:rPr>
          <w:rFonts w:asciiTheme="minorHAnsi" w:hAnsiTheme="minorHAnsi" w:cstheme="minorHAnsi"/>
          <w:sz w:val="22"/>
          <w:szCs w:val="22"/>
          <w:lang w:val="fr-CA"/>
        </w:rPr>
      </w:pPr>
      <w:r w:rsidRPr="00F10A5B">
        <w:rPr>
          <w:rFonts w:asciiTheme="minorHAnsi" w:hAnsiTheme="minorHAnsi" w:cstheme="minorHAnsi"/>
          <w:sz w:val="22"/>
          <w:szCs w:val="22"/>
          <w:lang w:val="fr-CA"/>
        </w:rPr>
        <w:t xml:space="preserve">Pour l’année 2019-2020, </w:t>
      </w:r>
      <w:r w:rsidR="00D42E8D" w:rsidRPr="00F10A5B">
        <w:rPr>
          <w:rFonts w:asciiTheme="minorHAnsi" w:hAnsiTheme="minorHAnsi" w:cstheme="minorHAnsi"/>
          <w:sz w:val="22"/>
          <w:szCs w:val="22"/>
          <w:lang w:val="fr-CA"/>
        </w:rPr>
        <w:t>SAC</w:t>
      </w:r>
      <w:r w:rsidR="00961A62" w:rsidRPr="00F10A5B">
        <w:rPr>
          <w:rFonts w:asciiTheme="minorHAnsi" w:hAnsiTheme="minorHAnsi" w:cstheme="minorHAnsi"/>
          <w:sz w:val="22"/>
          <w:szCs w:val="22"/>
          <w:lang w:val="fr-CA"/>
        </w:rPr>
        <w:t xml:space="preserve"> affiche une durée médiane de </w:t>
      </w:r>
      <w:r w:rsidR="00D42E8D" w:rsidRPr="00F10A5B">
        <w:rPr>
          <w:rFonts w:asciiTheme="minorHAnsi" w:hAnsiTheme="minorHAnsi" w:cstheme="minorHAnsi"/>
          <w:sz w:val="22"/>
          <w:szCs w:val="22"/>
          <w:lang w:val="fr-CA"/>
        </w:rPr>
        <w:t>195</w:t>
      </w:r>
      <w:r w:rsidR="00961A62" w:rsidRPr="00F10A5B">
        <w:rPr>
          <w:rFonts w:asciiTheme="minorHAnsi" w:hAnsiTheme="minorHAnsi" w:cstheme="minorHAnsi"/>
          <w:sz w:val="22"/>
          <w:szCs w:val="22"/>
          <w:lang w:val="fr-CA"/>
        </w:rPr>
        <w:t xml:space="preserve"> jours pour les nominations internes. Cette durée est </w:t>
      </w:r>
      <w:r w:rsidR="00506F51" w:rsidRPr="00F10A5B">
        <w:rPr>
          <w:rFonts w:asciiTheme="minorHAnsi" w:hAnsiTheme="minorHAnsi" w:cstheme="minorHAnsi"/>
          <w:sz w:val="22"/>
          <w:szCs w:val="22"/>
          <w:lang w:val="fr-CA"/>
        </w:rPr>
        <w:t xml:space="preserve">supérieure à la </w:t>
      </w:r>
      <w:r w:rsidR="00961A62" w:rsidRPr="00F10A5B">
        <w:rPr>
          <w:rFonts w:asciiTheme="minorHAnsi" w:hAnsiTheme="minorHAnsi" w:cstheme="minorHAnsi"/>
          <w:sz w:val="22"/>
          <w:szCs w:val="22"/>
          <w:lang w:val="fr-CA"/>
        </w:rPr>
        <w:t>durée médiane de</w:t>
      </w:r>
      <w:r w:rsidR="00506F51" w:rsidRPr="00F10A5B">
        <w:rPr>
          <w:rFonts w:asciiTheme="minorHAnsi" w:hAnsiTheme="minorHAnsi" w:cstheme="minorHAnsi"/>
          <w:sz w:val="22"/>
          <w:szCs w:val="22"/>
          <w:lang w:val="fr-CA"/>
        </w:rPr>
        <w:t xml:space="preserve"> 175 </w:t>
      </w:r>
      <w:r w:rsidR="00900A03" w:rsidRPr="00F10A5B">
        <w:rPr>
          <w:rFonts w:asciiTheme="minorHAnsi" w:hAnsiTheme="minorHAnsi" w:cstheme="minorHAnsi"/>
          <w:sz w:val="22"/>
          <w:szCs w:val="22"/>
          <w:lang w:val="fr-CA"/>
        </w:rPr>
        <w:t xml:space="preserve">pour l’ensemble de </w:t>
      </w:r>
      <w:r w:rsidR="00506F51" w:rsidRPr="00F10A5B">
        <w:rPr>
          <w:rFonts w:asciiTheme="minorHAnsi" w:hAnsiTheme="minorHAnsi" w:cstheme="minorHAnsi"/>
          <w:sz w:val="22"/>
          <w:szCs w:val="22"/>
          <w:lang w:val="fr-CA"/>
        </w:rPr>
        <w:t>la fonction publique</w:t>
      </w:r>
      <w:r w:rsidR="00961A62" w:rsidRPr="00F10A5B">
        <w:rPr>
          <w:rFonts w:asciiTheme="minorHAnsi" w:hAnsiTheme="minorHAnsi" w:cstheme="minorHAnsi"/>
          <w:sz w:val="22"/>
          <w:szCs w:val="22"/>
          <w:lang w:val="fr-CA"/>
        </w:rPr>
        <w:t xml:space="preserve">. </w:t>
      </w:r>
      <w:r w:rsidRPr="00F10A5B">
        <w:rPr>
          <w:rFonts w:asciiTheme="minorHAnsi" w:hAnsiTheme="minorHAnsi" w:cstheme="minorHAnsi"/>
          <w:sz w:val="22"/>
          <w:szCs w:val="22"/>
          <w:lang w:val="fr-CA"/>
        </w:rPr>
        <w:t xml:space="preserve"> </w:t>
      </w:r>
      <w:r w:rsidR="00D42E8D" w:rsidRPr="00F10A5B">
        <w:rPr>
          <w:rFonts w:asciiTheme="minorHAnsi" w:hAnsiTheme="minorHAnsi" w:cstheme="minorHAnsi"/>
          <w:sz w:val="22"/>
          <w:szCs w:val="22"/>
          <w:lang w:val="fr-CA"/>
        </w:rPr>
        <w:t>SAC</w:t>
      </w:r>
      <w:r w:rsidR="00961A62" w:rsidRPr="00F10A5B">
        <w:rPr>
          <w:rFonts w:asciiTheme="minorHAnsi" w:hAnsiTheme="minorHAnsi" w:cstheme="minorHAnsi"/>
          <w:sz w:val="22"/>
          <w:szCs w:val="22"/>
          <w:lang w:val="fr-CA"/>
        </w:rPr>
        <w:t xml:space="preserve"> affiche une durée médiane de </w:t>
      </w:r>
      <w:r w:rsidR="00D42E8D" w:rsidRPr="00F10A5B">
        <w:rPr>
          <w:rFonts w:asciiTheme="minorHAnsi" w:hAnsiTheme="minorHAnsi" w:cstheme="minorHAnsi"/>
          <w:sz w:val="22"/>
          <w:szCs w:val="22"/>
          <w:lang w:val="fr-CA"/>
        </w:rPr>
        <w:t>248</w:t>
      </w:r>
      <w:r w:rsidR="00961A62" w:rsidRPr="00F10A5B">
        <w:rPr>
          <w:rFonts w:asciiTheme="minorHAnsi" w:hAnsiTheme="minorHAnsi" w:cstheme="minorHAnsi"/>
          <w:sz w:val="22"/>
          <w:szCs w:val="22"/>
          <w:lang w:val="fr-CA"/>
        </w:rPr>
        <w:t xml:space="preserve"> jours pour les nominations externes. Cette durée est supérieure à la durée médiane </w:t>
      </w:r>
      <w:r w:rsidR="00610980" w:rsidRPr="00F10A5B">
        <w:rPr>
          <w:rFonts w:asciiTheme="minorHAnsi" w:hAnsiTheme="minorHAnsi" w:cstheme="minorHAnsi"/>
          <w:sz w:val="22"/>
          <w:szCs w:val="22"/>
          <w:lang w:val="fr-CA"/>
        </w:rPr>
        <w:t xml:space="preserve">pour l’ensemble </w:t>
      </w:r>
      <w:r w:rsidR="00961A62" w:rsidRPr="00F10A5B">
        <w:rPr>
          <w:rFonts w:asciiTheme="minorHAnsi" w:hAnsiTheme="minorHAnsi" w:cstheme="minorHAnsi"/>
          <w:sz w:val="22"/>
          <w:szCs w:val="22"/>
          <w:lang w:val="fr-CA"/>
        </w:rPr>
        <w:t xml:space="preserve">de la fonction publique, qui s’élève à </w:t>
      </w:r>
      <w:r w:rsidR="00D42E8D" w:rsidRPr="00F10A5B">
        <w:rPr>
          <w:rFonts w:asciiTheme="minorHAnsi" w:hAnsiTheme="minorHAnsi" w:cstheme="minorHAnsi"/>
          <w:sz w:val="22"/>
          <w:szCs w:val="22"/>
          <w:lang w:val="fr-CA"/>
        </w:rPr>
        <w:t>203</w:t>
      </w:r>
      <w:r w:rsidR="00961A62" w:rsidRPr="00F10A5B">
        <w:rPr>
          <w:rFonts w:asciiTheme="minorHAnsi" w:hAnsiTheme="minorHAnsi" w:cstheme="minorHAnsi"/>
          <w:sz w:val="22"/>
          <w:szCs w:val="22"/>
          <w:lang w:val="fr-CA"/>
        </w:rPr>
        <w:t xml:space="preserve"> jours. </w:t>
      </w:r>
    </w:p>
    <w:p w14:paraId="7F3A8B96" w14:textId="77777777" w:rsidR="00961A62" w:rsidRPr="00F10A5B" w:rsidRDefault="00961A62" w:rsidP="000F6BAA">
      <w:pPr>
        <w:pStyle w:val="Heading1"/>
        <w:spacing w:after="120"/>
        <w:contextualSpacing/>
        <w:rPr>
          <w:color w:val="auto"/>
        </w:rPr>
      </w:pPr>
      <w:r w:rsidRPr="00F10A5B">
        <w:rPr>
          <w:color w:val="auto"/>
        </w:rPr>
        <w:t>Cadre de dotation</w:t>
      </w:r>
    </w:p>
    <w:p w14:paraId="0409F906" w14:textId="77777777" w:rsidR="00961A62" w:rsidRPr="00F10A5B" w:rsidRDefault="00961A62" w:rsidP="000F6BAA">
      <w:pPr>
        <w:pStyle w:val="Heading2"/>
        <w:spacing w:after="120"/>
        <w:contextualSpacing/>
      </w:pPr>
      <w:r w:rsidRPr="00F10A5B">
        <w:t xml:space="preserve">Mise en œuvre de la nouvelle orientation en dotation </w:t>
      </w:r>
    </w:p>
    <w:p w14:paraId="445C0A5B" w14:textId="293830E1" w:rsidR="00BD0682" w:rsidRPr="00F10A5B" w:rsidRDefault="00E32907" w:rsidP="000F6BAA">
      <w:pPr>
        <w:pStyle w:val="NormalWeb"/>
        <w:spacing w:before="0" w:beforeAutospacing="0" w:after="120" w:afterAutospacing="0"/>
        <w:rPr>
          <w:rFonts w:asciiTheme="minorHAnsi" w:hAnsiTheme="minorHAnsi" w:cstheme="minorHAnsi"/>
          <w:color w:val="000000"/>
          <w:sz w:val="22"/>
          <w:szCs w:val="22"/>
          <w:lang w:val="fr-CA"/>
        </w:rPr>
      </w:pPr>
      <w:r w:rsidRPr="00F10A5B">
        <w:rPr>
          <w:rFonts w:asciiTheme="minorHAnsi" w:hAnsiTheme="minorHAnsi" w:cstheme="minorHAnsi"/>
          <w:color w:val="000000"/>
          <w:sz w:val="22"/>
          <w:szCs w:val="22"/>
          <w:lang w:val="fr-CA"/>
        </w:rPr>
        <w:t>À la s</w:t>
      </w:r>
      <w:r w:rsidR="00565BE3" w:rsidRPr="00F10A5B">
        <w:rPr>
          <w:rFonts w:asciiTheme="minorHAnsi" w:hAnsiTheme="minorHAnsi" w:cstheme="minorHAnsi"/>
          <w:color w:val="000000"/>
          <w:sz w:val="22"/>
          <w:szCs w:val="22"/>
          <w:lang w:val="fr-CA"/>
        </w:rPr>
        <w:t xml:space="preserve">uite </w:t>
      </w:r>
      <w:r w:rsidRPr="00F10A5B">
        <w:rPr>
          <w:rFonts w:asciiTheme="minorHAnsi" w:hAnsiTheme="minorHAnsi" w:cstheme="minorHAnsi"/>
          <w:color w:val="000000"/>
          <w:sz w:val="22"/>
          <w:szCs w:val="22"/>
          <w:lang w:val="fr-CA"/>
        </w:rPr>
        <w:t>de</w:t>
      </w:r>
      <w:r w:rsidR="00565BE3" w:rsidRPr="00F10A5B">
        <w:rPr>
          <w:rFonts w:asciiTheme="minorHAnsi" w:hAnsiTheme="minorHAnsi" w:cstheme="minorHAnsi"/>
          <w:color w:val="000000"/>
          <w:sz w:val="22"/>
          <w:szCs w:val="22"/>
          <w:lang w:val="fr-CA"/>
        </w:rPr>
        <w:t xml:space="preserve"> la </w:t>
      </w:r>
      <w:r w:rsidRPr="00F10A5B">
        <w:rPr>
          <w:rFonts w:asciiTheme="minorHAnsi" w:hAnsiTheme="minorHAnsi" w:cstheme="minorHAnsi"/>
          <w:color w:val="000000"/>
          <w:sz w:val="22"/>
          <w:szCs w:val="22"/>
          <w:lang w:val="fr-CA"/>
        </w:rPr>
        <w:t xml:space="preserve">mise en œuvre de la </w:t>
      </w:r>
      <w:r w:rsidR="00C23A3F" w:rsidRPr="00F10A5B">
        <w:rPr>
          <w:rFonts w:asciiTheme="minorHAnsi" w:hAnsiTheme="minorHAnsi" w:cstheme="minorHAnsi"/>
          <w:color w:val="000000"/>
          <w:sz w:val="22"/>
          <w:szCs w:val="22"/>
          <w:lang w:val="fr-CA"/>
        </w:rPr>
        <w:t>N</w:t>
      </w:r>
      <w:r w:rsidR="008210D8" w:rsidRPr="00F10A5B">
        <w:rPr>
          <w:rFonts w:asciiTheme="minorHAnsi" w:hAnsiTheme="minorHAnsi" w:cstheme="minorHAnsi"/>
          <w:color w:val="000000"/>
          <w:sz w:val="22"/>
          <w:szCs w:val="22"/>
          <w:lang w:val="fr-CA"/>
        </w:rPr>
        <w:t xml:space="preserve">ouvelle </w:t>
      </w:r>
      <w:r w:rsidR="00F51EB3" w:rsidRPr="00F10A5B">
        <w:rPr>
          <w:rFonts w:asciiTheme="minorHAnsi" w:hAnsiTheme="minorHAnsi" w:cstheme="minorHAnsi"/>
          <w:color w:val="000000"/>
          <w:sz w:val="22"/>
          <w:szCs w:val="22"/>
          <w:lang w:val="fr-CA"/>
        </w:rPr>
        <w:t>orientation en dotation</w:t>
      </w:r>
      <w:r w:rsidR="00565BE3" w:rsidRPr="00F10A5B">
        <w:rPr>
          <w:rFonts w:asciiTheme="minorHAnsi" w:hAnsiTheme="minorHAnsi" w:cstheme="minorHAnsi"/>
          <w:color w:val="000000"/>
          <w:sz w:val="22"/>
          <w:szCs w:val="22"/>
          <w:lang w:val="fr-CA"/>
        </w:rPr>
        <w:t>, l</w:t>
      </w:r>
      <w:r w:rsidR="00BD0682" w:rsidRPr="00F10A5B">
        <w:rPr>
          <w:rFonts w:asciiTheme="minorHAnsi" w:hAnsiTheme="minorHAnsi" w:cstheme="minorHAnsi"/>
          <w:color w:val="000000"/>
          <w:sz w:val="22"/>
          <w:szCs w:val="22"/>
          <w:lang w:val="fr-CA"/>
        </w:rPr>
        <w:t xml:space="preserve">e cadre de dotation </w:t>
      </w:r>
      <w:r w:rsidR="00565BE3" w:rsidRPr="00F10A5B">
        <w:rPr>
          <w:rFonts w:asciiTheme="minorHAnsi" w:hAnsiTheme="minorHAnsi" w:cstheme="minorHAnsi"/>
          <w:color w:val="000000"/>
          <w:sz w:val="22"/>
          <w:szCs w:val="22"/>
          <w:lang w:val="fr-CA"/>
        </w:rPr>
        <w:t xml:space="preserve">a été </w:t>
      </w:r>
      <w:r w:rsidR="00BD0682" w:rsidRPr="00F10A5B">
        <w:rPr>
          <w:rFonts w:asciiTheme="minorHAnsi" w:hAnsiTheme="minorHAnsi" w:cstheme="minorHAnsi"/>
          <w:color w:val="000000"/>
          <w:sz w:val="22"/>
          <w:szCs w:val="22"/>
          <w:lang w:val="fr-CA"/>
        </w:rPr>
        <w:t xml:space="preserve">revu </w:t>
      </w:r>
      <w:r w:rsidR="00565BE3" w:rsidRPr="00F10A5B">
        <w:rPr>
          <w:rFonts w:asciiTheme="minorHAnsi" w:hAnsiTheme="minorHAnsi" w:cstheme="minorHAnsi"/>
          <w:color w:val="000000"/>
          <w:sz w:val="22"/>
          <w:szCs w:val="22"/>
          <w:lang w:val="fr-CA"/>
        </w:rPr>
        <w:t>en 2017</w:t>
      </w:r>
      <w:r w:rsidR="00D87D16" w:rsidRPr="00F10A5B">
        <w:rPr>
          <w:rFonts w:asciiTheme="minorHAnsi" w:hAnsiTheme="minorHAnsi" w:cstheme="minorHAnsi"/>
          <w:color w:val="000000"/>
          <w:sz w:val="22"/>
          <w:szCs w:val="22"/>
          <w:lang w:val="fr-CA"/>
        </w:rPr>
        <w:t xml:space="preserve">. </w:t>
      </w:r>
      <w:r w:rsidR="00BD0682" w:rsidRPr="00F10A5B">
        <w:rPr>
          <w:rFonts w:asciiTheme="minorHAnsi" w:hAnsiTheme="minorHAnsi" w:cstheme="minorHAnsi"/>
          <w:color w:val="000000"/>
          <w:sz w:val="22"/>
          <w:szCs w:val="22"/>
          <w:lang w:val="fr-CA"/>
        </w:rPr>
        <w:t xml:space="preserve">Conformément à la politique de nomination de </w:t>
      </w:r>
      <w:r w:rsidR="005D5253" w:rsidRPr="00F10A5B">
        <w:rPr>
          <w:rFonts w:asciiTheme="minorHAnsi" w:hAnsiTheme="minorHAnsi" w:cstheme="minorHAnsi"/>
          <w:color w:val="000000"/>
          <w:sz w:val="22"/>
          <w:szCs w:val="22"/>
          <w:lang w:val="fr-CA"/>
        </w:rPr>
        <w:t xml:space="preserve">la </w:t>
      </w:r>
      <w:r w:rsidR="00BD0682" w:rsidRPr="00F10A5B">
        <w:rPr>
          <w:rFonts w:asciiTheme="minorHAnsi" w:hAnsiTheme="minorHAnsi" w:cstheme="minorHAnsi"/>
          <w:color w:val="000000"/>
          <w:sz w:val="22"/>
          <w:szCs w:val="22"/>
          <w:lang w:val="fr-CA"/>
        </w:rPr>
        <w:t>CFP, le cadre d</w:t>
      </w:r>
      <w:r w:rsidR="009935C2" w:rsidRPr="00F10A5B">
        <w:rPr>
          <w:rFonts w:asciiTheme="minorHAnsi" w:hAnsiTheme="minorHAnsi" w:cstheme="minorHAnsi"/>
          <w:color w:val="000000"/>
          <w:sz w:val="22"/>
          <w:szCs w:val="22"/>
          <w:lang w:val="fr-CA"/>
        </w:rPr>
        <w:t xml:space="preserve">e nomination de SAC contient une politique </w:t>
      </w:r>
      <w:r w:rsidR="00BD0682" w:rsidRPr="00F10A5B">
        <w:rPr>
          <w:rFonts w:asciiTheme="minorHAnsi" w:hAnsiTheme="minorHAnsi" w:cstheme="minorHAnsi"/>
          <w:color w:val="000000"/>
          <w:sz w:val="22"/>
          <w:szCs w:val="22"/>
          <w:lang w:val="fr-CA"/>
        </w:rPr>
        <w:t>sur la zone de sélection</w:t>
      </w:r>
      <w:r w:rsidR="009935C2" w:rsidRPr="00F10A5B">
        <w:rPr>
          <w:rFonts w:asciiTheme="minorHAnsi" w:hAnsiTheme="minorHAnsi" w:cstheme="minorHAnsi"/>
          <w:color w:val="000000"/>
          <w:sz w:val="22"/>
          <w:szCs w:val="22"/>
          <w:lang w:val="fr-CA"/>
        </w:rPr>
        <w:t xml:space="preserve"> et </w:t>
      </w:r>
      <w:r w:rsidR="00BD0682" w:rsidRPr="00F10A5B">
        <w:rPr>
          <w:rFonts w:asciiTheme="minorHAnsi" w:hAnsiTheme="minorHAnsi" w:cstheme="minorHAnsi"/>
          <w:color w:val="000000"/>
          <w:sz w:val="22"/>
          <w:szCs w:val="22"/>
          <w:lang w:val="fr-CA"/>
        </w:rPr>
        <w:t>un</w:t>
      </w:r>
      <w:r w:rsidR="009935C2" w:rsidRPr="00F10A5B">
        <w:rPr>
          <w:rFonts w:asciiTheme="minorHAnsi" w:hAnsiTheme="minorHAnsi" w:cstheme="minorHAnsi"/>
          <w:color w:val="000000"/>
          <w:sz w:val="22"/>
          <w:szCs w:val="22"/>
          <w:lang w:val="fr-CA"/>
        </w:rPr>
        <w:t xml:space="preserve">e </w:t>
      </w:r>
      <w:r w:rsidR="00BD0682" w:rsidRPr="00F10A5B">
        <w:rPr>
          <w:rFonts w:asciiTheme="minorHAnsi" w:hAnsiTheme="minorHAnsi" w:cstheme="minorHAnsi"/>
          <w:color w:val="000000"/>
          <w:sz w:val="22"/>
          <w:szCs w:val="22"/>
          <w:lang w:val="fr-CA"/>
        </w:rPr>
        <w:t>sur l’utilisatio</w:t>
      </w:r>
      <w:r w:rsidR="009935C2" w:rsidRPr="00F10A5B">
        <w:rPr>
          <w:rFonts w:asciiTheme="minorHAnsi" w:hAnsiTheme="minorHAnsi" w:cstheme="minorHAnsi"/>
          <w:color w:val="000000"/>
          <w:sz w:val="22"/>
          <w:szCs w:val="22"/>
          <w:lang w:val="fr-CA"/>
        </w:rPr>
        <w:t xml:space="preserve">n des processus annoncés et non </w:t>
      </w:r>
      <w:r w:rsidR="00BD0682" w:rsidRPr="00F10A5B">
        <w:rPr>
          <w:rFonts w:asciiTheme="minorHAnsi" w:hAnsiTheme="minorHAnsi" w:cstheme="minorHAnsi"/>
          <w:color w:val="000000"/>
          <w:sz w:val="22"/>
          <w:szCs w:val="22"/>
          <w:lang w:val="fr-CA"/>
        </w:rPr>
        <w:t>annoncés, ainsi qu</w:t>
      </w:r>
      <w:r w:rsidR="009935C2" w:rsidRPr="00F10A5B">
        <w:rPr>
          <w:rFonts w:asciiTheme="minorHAnsi" w:hAnsiTheme="minorHAnsi" w:cstheme="minorHAnsi"/>
          <w:color w:val="000000"/>
          <w:sz w:val="22"/>
          <w:szCs w:val="22"/>
          <w:lang w:val="fr-CA"/>
        </w:rPr>
        <w:t xml:space="preserve">e les exigences en lien avec </w:t>
      </w:r>
      <w:r w:rsidR="00BD0682" w:rsidRPr="00F10A5B">
        <w:rPr>
          <w:rFonts w:asciiTheme="minorHAnsi" w:hAnsiTheme="minorHAnsi" w:cstheme="minorHAnsi"/>
          <w:color w:val="000000"/>
          <w:sz w:val="22"/>
          <w:szCs w:val="22"/>
          <w:lang w:val="fr-CA"/>
        </w:rPr>
        <w:t>l’articulation de la décisio</w:t>
      </w:r>
      <w:r w:rsidR="00B13168">
        <w:rPr>
          <w:rFonts w:asciiTheme="minorHAnsi" w:hAnsiTheme="minorHAnsi" w:cstheme="minorHAnsi"/>
          <w:color w:val="000000"/>
          <w:sz w:val="22"/>
          <w:szCs w:val="22"/>
          <w:lang w:val="fr-CA"/>
        </w:rPr>
        <w:t>n de sélection.</w:t>
      </w:r>
    </w:p>
    <w:p w14:paraId="7A20D519" w14:textId="0BABAD41" w:rsidR="009935C2" w:rsidRPr="00F10A5B" w:rsidRDefault="005074E0" w:rsidP="00DA196D">
      <w:pPr>
        <w:pStyle w:val="NormalWeb"/>
        <w:spacing w:before="0" w:beforeAutospacing="0" w:after="0" w:afterAutospacing="0"/>
        <w:contextualSpacing/>
        <w:rPr>
          <w:rFonts w:asciiTheme="minorHAnsi" w:hAnsiTheme="minorHAnsi" w:cstheme="minorHAnsi"/>
          <w:sz w:val="22"/>
          <w:szCs w:val="22"/>
          <w:lang w:val="fr-CA"/>
        </w:rPr>
      </w:pPr>
      <w:r w:rsidRPr="00F10A5B">
        <w:rPr>
          <w:rFonts w:asciiTheme="minorHAnsi" w:hAnsiTheme="minorHAnsi" w:cstheme="minorHAnsi"/>
          <w:sz w:val="22"/>
          <w:szCs w:val="22"/>
          <w:lang w:val="fr-CA"/>
        </w:rPr>
        <w:t>En 2019, la CFP a fourni des commentaires à SAC pour la révision de l</w:t>
      </w:r>
      <w:r w:rsidR="009935C2" w:rsidRPr="00F10A5B">
        <w:rPr>
          <w:rFonts w:asciiTheme="minorHAnsi" w:hAnsiTheme="minorHAnsi" w:cstheme="minorHAnsi"/>
          <w:sz w:val="22"/>
          <w:szCs w:val="22"/>
          <w:lang w:val="fr-CA"/>
        </w:rPr>
        <w:t>’instrument de subdélégation des pouvoirs de nomination et pouvoirs connexes</w:t>
      </w:r>
      <w:r w:rsidR="00D45672" w:rsidRPr="00F10A5B">
        <w:rPr>
          <w:rFonts w:asciiTheme="minorHAnsi" w:hAnsiTheme="minorHAnsi" w:cstheme="minorHAnsi"/>
          <w:sz w:val="22"/>
          <w:szCs w:val="22"/>
          <w:lang w:val="fr-CA"/>
        </w:rPr>
        <w:t xml:space="preserve">.  </w:t>
      </w:r>
      <w:r w:rsidRPr="00F10A5B">
        <w:rPr>
          <w:rFonts w:asciiTheme="minorHAnsi" w:hAnsiTheme="minorHAnsi" w:cstheme="minorHAnsi"/>
          <w:sz w:val="22"/>
          <w:szCs w:val="22"/>
          <w:lang w:val="fr-CA"/>
        </w:rPr>
        <w:t xml:space="preserve">La version révisée </w:t>
      </w:r>
      <w:r w:rsidR="009935C2" w:rsidRPr="00F10A5B">
        <w:rPr>
          <w:rFonts w:asciiTheme="minorHAnsi" w:hAnsiTheme="minorHAnsi" w:cstheme="minorHAnsi"/>
          <w:sz w:val="22"/>
          <w:szCs w:val="22"/>
          <w:lang w:val="fr-CA"/>
        </w:rPr>
        <w:t>sera partagé</w:t>
      </w:r>
      <w:r w:rsidRPr="00F10A5B">
        <w:rPr>
          <w:rFonts w:asciiTheme="minorHAnsi" w:hAnsiTheme="minorHAnsi" w:cstheme="minorHAnsi"/>
          <w:sz w:val="22"/>
          <w:szCs w:val="22"/>
          <w:lang w:val="fr-CA"/>
        </w:rPr>
        <w:t>e</w:t>
      </w:r>
      <w:r w:rsidR="009935C2" w:rsidRPr="00F10A5B">
        <w:rPr>
          <w:rFonts w:asciiTheme="minorHAnsi" w:hAnsiTheme="minorHAnsi" w:cstheme="minorHAnsi"/>
          <w:sz w:val="22"/>
          <w:szCs w:val="22"/>
          <w:lang w:val="fr-CA"/>
        </w:rPr>
        <w:t xml:space="preserve"> avec la CFP </w:t>
      </w:r>
      <w:r w:rsidRPr="00F10A5B">
        <w:rPr>
          <w:rFonts w:asciiTheme="minorHAnsi" w:hAnsiTheme="minorHAnsi" w:cstheme="minorHAnsi"/>
          <w:sz w:val="22"/>
          <w:szCs w:val="22"/>
          <w:lang w:val="fr-CA"/>
        </w:rPr>
        <w:t>une fois approuvée</w:t>
      </w:r>
      <w:r w:rsidR="00B13168">
        <w:rPr>
          <w:rFonts w:asciiTheme="minorHAnsi" w:hAnsiTheme="minorHAnsi" w:cstheme="minorHAnsi"/>
          <w:sz w:val="22"/>
          <w:szCs w:val="22"/>
          <w:lang w:val="fr-CA"/>
        </w:rPr>
        <w:t>.</w:t>
      </w:r>
    </w:p>
    <w:p w14:paraId="26B69BEE" w14:textId="3D1658BB" w:rsidR="00961A62" w:rsidRPr="00F10A5B" w:rsidRDefault="00961A62" w:rsidP="00502DD6">
      <w:pPr>
        <w:pStyle w:val="Heading1"/>
        <w:spacing w:after="120" w:line="240" w:lineRule="auto"/>
        <w:contextualSpacing/>
        <w:rPr>
          <w:rFonts w:cstheme="majorHAnsi"/>
          <w:color w:val="auto"/>
          <w:szCs w:val="44"/>
        </w:rPr>
      </w:pPr>
      <w:r w:rsidRPr="00F10A5B">
        <w:rPr>
          <w:rFonts w:cstheme="majorHAnsi"/>
          <w:color w:val="auto"/>
          <w:szCs w:val="44"/>
        </w:rPr>
        <w:lastRenderedPageBreak/>
        <w:t>Rap</w:t>
      </w:r>
      <w:r w:rsidR="00502DD6" w:rsidRPr="00F10A5B">
        <w:rPr>
          <w:rFonts w:cstheme="majorHAnsi"/>
          <w:color w:val="auto"/>
          <w:szCs w:val="44"/>
        </w:rPr>
        <w:t>port prévu par l’annexe D de l’I</w:t>
      </w:r>
      <w:r w:rsidRPr="00F10A5B">
        <w:rPr>
          <w:rFonts w:cstheme="majorHAnsi"/>
          <w:color w:val="auto"/>
          <w:szCs w:val="44"/>
        </w:rPr>
        <w:t xml:space="preserve">nstrument de délégation et de responsabilisation en matière de nomination </w:t>
      </w:r>
    </w:p>
    <w:p w14:paraId="4688ADC3" w14:textId="1D56E051" w:rsidR="00961A62" w:rsidRPr="00B05F83" w:rsidRDefault="00961A62" w:rsidP="00502DD6">
      <w:pPr>
        <w:pStyle w:val="Heading2"/>
        <w:spacing w:after="120" w:line="240" w:lineRule="auto"/>
        <w:contextualSpacing/>
      </w:pPr>
      <w:r w:rsidRPr="00B05F83">
        <w:t xml:space="preserve">Recours au </w:t>
      </w:r>
      <w:r w:rsidRPr="00B05F83">
        <w:rPr>
          <w:rStyle w:val="Emphasis"/>
          <w:rFonts w:ascii="Segoe UI" w:hAnsi="Segoe UI"/>
          <w:i/>
          <w:color w:val="5B315E" w:themeColor="accent2"/>
          <w:sz w:val="32"/>
        </w:rPr>
        <w:t>Décret d’exemption concernant les langues officielles dans la fonction publique</w:t>
      </w:r>
      <w:r w:rsidRPr="00B05F83">
        <w:t xml:space="preserve"> et au </w:t>
      </w:r>
      <w:r w:rsidRPr="00B05F83">
        <w:rPr>
          <w:rStyle w:val="Emphasis"/>
          <w:rFonts w:ascii="Segoe UI" w:hAnsi="Segoe UI"/>
          <w:i/>
          <w:color w:val="5B315E" w:themeColor="accent2"/>
          <w:sz w:val="32"/>
        </w:rPr>
        <w:t>Règlement sur les langues officielles – nominations dans la fonction publique</w:t>
      </w:r>
      <w:r w:rsidR="00BD60C5" w:rsidRPr="00B05F83">
        <w:rPr>
          <w:i/>
        </w:rPr>
        <w:t xml:space="preserve"> </w:t>
      </w:r>
    </w:p>
    <w:p w14:paraId="12E8121D" w14:textId="291FEC96" w:rsidR="00775B8A" w:rsidRPr="00F10A5B" w:rsidRDefault="00DA7AD3" w:rsidP="00502DD6">
      <w:pPr>
        <w:keepLines w:val="0"/>
        <w:widowControl w:val="0"/>
        <w:autoSpaceDE w:val="0"/>
        <w:autoSpaceDN w:val="0"/>
        <w:adjustRightInd w:val="0"/>
        <w:spacing w:after="120" w:line="240" w:lineRule="auto"/>
        <w:contextualSpacing/>
        <w:rPr>
          <w:rFonts w:cstheme="minorHAnsi"/>
          <w:color w:val="auto"/>
        </w:rPr>
      </w:pPr>
      <w:r w:rsidRPr="00F10A5B">
        <w:rPr>
          <w:rFonts w:cstheme="minorHAnsi"/>
          <w:color w:val="auto"/>
        </w:rPr>
        <w:t>SAC</w:t>
      </w:r>
      <w:r w:rsidR="00961A62" w:rsidRPr="00F10A5B">
        <w:rPr>
          <w:rFonts w:cstheme="minorHAnsi"/>
          <w:color w:val="auto"/>
        </w:rPr>
        <w:t xml:space="preserve"> a déclaré que l’organisation </w:t>
      </w:r>
      <w:r w:rsidR="000140C1" w:rsidRPr="00F10A5B">
        <w:rPr>
          <w:rFonts w:cstheme="minorHAnsi"/>
          <w:color w:val="auto"/>
        </w:rPr>
        <w:t>a</w:t>
      </w:r>
      <w:r w:rsidR="00775B8A" w:rsidRPr="00F10A5B">
        <w:rPr>
          <w:rFonts w:cstheme="minorHAnsi"/>
          <w:color w:val="auto"/>
        </w:rPr>
        <w:t xml:space="preserve"> eu</w:t>
      </w:r>
      <w:r w:rsidR="00961A62" w:rsidRPr="00F10A5B">
        <w:rPr>
          <w:rFonts w:cstheme="minorHAnsi"/>
          <w:color w:val="auto"/>
        </w:rPr>
        <w:t xml:space="preserve"> recour</w:t>
      </w:r>
      <w:r w:rsidR="00775B8A" w:rsidRPr="00F10A5B">
        <w:rPr>
          <w:rFonts w:cstheme="minorHAnsi"/>
          <w:color w:val="auto"/>
        </w:rPr>
        <w:t>s</w:t>
      </w:r>
      <w:r w:rsidR="00961A62" w:rsidRPr="00F10A5B">
        <w:rPr>
          <w:rFonts w:cstheme="minorHAnsi"/>
          <w:color w:val="auto"/>
        </w:rPr>
        <w:t xml:space="preserve"> au </w:t>
      </w:r>
      <w:r w:rsidR="00FF6FCC" w:rsidRPr="00F10A5B">
        <w:rPr>
          <w:rStyle w:val="Emphasis"/>
          <w:i/>
        </w:rPr>
        <w:t>Décret d’exemption concernant les langues officielles dans la fonction publique</w:t>
      </w:r>
      <w:r w:rsidR="00FF6FCC" w:rsidRPr="00F10A5B">
        <w:rPr>
          <w:rFonts w:cstheme="minorHAnsi"/>
          <w:i/>
          <w:color w:val="auto"/>
        </w:rPr>
        <w:t xml:space="preserve"> </w:t>
      </w:r>
      <w:r w:rsidR="00961A62" w:rsidRPr="00F10A5B">
        <w:rPr>
          <w:rFonts w:cstheme="minorHAnsi"/>
          <w:color w:val="auto"/>
        </w:rPr>
        <w:t xml:space="preserve">et au </w:t>
      </w:r>
      <w:r w:rsidR="00FF6FCC" w:rsidRPr="00F10A5B">
        <w:rPr>
          <w:rStyle w:val="Emphasis"/>
          <w:i/>
        </w:rPr>
        <w:t>Règlement sur les langues officielles – nominations dans la fonction publique</w:t>
      </w:r>
      <w:r w:rsidR="00961A62" w:rsidRPr="00F10A5B">
        <w:rPr>
          <w:rFonts w:cstheme="minorHAnsi"/>
          <w:i/>
          <w:color w:val="auto"/>
        </w:rPr>
        <w:t xml:space="preserve"> </w:t>
      </w:r>
      <w:r w:rsidR="00961A62" w:rsidRPr="00F10A5B">
        <w:rPr>
          <w:rFonts w:cstheme="minorHAnsi"/>
          <w:color w:val="auto"/>
        </w:rPr>
        <w:t>pendant la période du 1</w:t>
      </w:r>
      <w:r w:rsidR="00961A62" w:rsidRPr="00F10A5B">
        <w:rPr>
          <w:rFonts w:cstheme="minorHAnsi"/>
          <w:color w:val="auto"/>
          <w:vertAlign w:val="superscript"/>
        </w:rPr>
        <w:t>er</w:t>
      </w:r>
      <w:r w:rsidR="00961A62" w:rsidRPr="00F10A5B">
        <w:rPr>
          <w:rFonts w:cstheme="minorHAnsi"/>
          <w:color w:val="auto"/>
        </w:rPr>
        <w:t xml:space="preserve"> avril </w:t>
      </w:r>
      <w:r w:rsidRPr="00F10A5B">
        <w:rPr>
          <w:rFonts w:cstheme="minorHAnsi"/>
          <w:color w:val="auto"/>
        </w:rPr>
        <w:t>2019</w:t>
      </w:r>
      <w:r w:rsidR="00961A62" w:rsidRPr="00F10A5B">
        <w:rPr>
          <w:rFonts w:cstheme="minorHAnsi"/>
          <w:color w:val="auto"/>
        </w:rPr>
        <w:t xml:space="preserve"> au 31 mars </w:t>
      </w:r>
      <w:r w:rsidRPr="00F10A5B">
        <w:rPr>
          <w:rFonts w:cstheme="minorHAnsi"/>
          <w:color w:val="auto"/>
        </w:rPr>
        <w:t>2020</w:t>
      </w:r>
      <w:r w:rsidR="00961A62" w:rsidRPr="00F10A5B">
        <w:rPr>
          <w:rFonts w:cstheme="minorHAnsi"/>
          <w:color w:val="auto"/>
        </w:rPr>
        <w:t>.</w:t>
      </w:r>
      <w:r w:rsidR="00786005" w:rsidRPr="00F10A5B">
        <w:rPr>
          <w:rFonts w:cstheme="minorHAnsi"/>
          <w:color w:val="auto"/>
        </w:rPr>
        <w:t xml:space="preserve">  </w:t>
      </w:r>
      <w:r w:rsidR="00775B8A" w:rsidRPr="00F10A5B">
        <w:rPr>
          <w:rFonts w:cstheme="minorHAnsi"/>
          <w:color w:val="auto"/>
        </w:rPr>
        <w:t xml:space="preserve">Étant donné que deux situations excédant la période pour devenir bilingue ne sont toujours pas résolues, les </w:t>
      </w:r>
      <w:r w:rsidR="00D87D16" w:rsidRPr="00F10A5B">
        <w:rPr>
          <w:rFonts w:cstheme="minorHAnsi"/>
          <w:color w:val="auto"/>
        </w:rPr>
        <w:t>cas</w:t>
      </w:r>
      <w:r w:rsidR="00775B8A" w:rsidRPr="00F10A5B">
        <w:rPr>
          <w:rFonts w:cstheme="minorHAnsi"/>
          <w:color w:val="auto"/>
        </w:rPr>
        <w:t xml:space="preserve"> ont été transférés à un spécialiste des langues officielles de SAC pour traiter la situation</w:t>
      </w:r>
      <w:r w:rsidR="00F91551" w:rsidRPr="00F10A5B">
        <w:rPr>
          <w:rFonts w:cstheme="minorHAnsi"/>
          <w:color w:val="auto"/>
        </w:rPr>
        <w:t>,</w:t>
      </w:r>
      <w:r w:rsidR="00775B8A" w:rsidRPr="00F10A5B">
        <w:rPr>
          <w:rFonts w:cstheme="minorHAnsi"/>
          <w:color w:val="auto"/>
        </w:rPr>
        <w:t xml:space="preserve"> </w:t>
      </w:r>
      <w:r w:rsidR="004923B3" w:rsidRPr="00F10A5B">
        <w:rPr>
          <w:rFonts w:cstheme="minorHAnsi"/>
          <w:color w:val="auto"/>
        </w:rPr>
        <w:t xml:space="preserve">et ce, </w:t>
      </w:r>
      <w:r w:rsidR="00775B8A" w:rsidRPr="00F10A5B">
        <w:rPr>
          <w:rFonts w:cstheme="minorHAnsi"/>
          <w:color w:val="auto"/>
        </w:rPr>
        <w:t>avec</w:t>
      </w:r>
      <w:r w:rsidR="000140C1" w:rsidRPr="00F10A5B">
        <w:rPr>
          <w:rFonts w:cstheme="minorHAnsi"/>
          <w:color w:val="auto"/>
        </w:rPr>
        <w:t xml:space="preserve"> l</w:t>
      </w:r>
      <w:r w:rsidR="004923B3" w:rsidRPr="00F10A5B">
        <w:rPr>
          <w:rFonts w:cstheme="minorHAnsi"/>
          <w:color w:val="auto"/>
        </w:rPr>
        <w:t>’appui</w:t>
      </w:r>
      <w:r w:rsidR="000140C1" w:rsidRPr="00F10A5B">
        <w:rPr>
          <w:rFonts w:cstheme="minorHAnsi"/>
          <w:color w:val="auto"/>
        </w:rPr>
        <w:t xml:space="preserve"> de</w:t>
      </w:r>
      <w:r w:rsidR="00775B8A" w:rsidRPr="00F10A5B">
        <w:rPr>
          <w:rFonts w:cstheme="minorHAnsi"/>
          <w:color w:val="auto"/>
        </w:rPr>
        <w:t xml:space="preserve"> la CFP. </w:t>
      </w:r>
    </w:p>
    <w:p w14:paraId="12674FB3" w14:textId="77777777" w:rsidR="00961A62" w:rsidRPr="00F10A5B" w:rsidRDefault="00961A62" w:rsidP="00502DD6">
      <w:pPr>
        <w:pStyle w:val="Heading2"/>
        <w:spacing w:after="120"/>
        <w:contextualSpacing/>
      </w:pPr>
      <w:r w:rsidRPr="00F10A5B">
        <w:t>Exceptions approuvées par l’Administrateur général aux exigences de la zone nationale de sélection pour un processus de nomination externe annoncé</w:t>
      </w:r>
    </w:p>
    <w:p w14:paraId="7E48ED1F" w14:textId="6902F972" w:rsidR="00961A62" w:rsidRPr="00F10A5B" w:rsidRDefault="00256D13" w:rsidP="00502DD6">
      <w:pPr>
        <w:pStyle w:val="NoSpacing"/>
        <w:spacing w:after="120"/>
        <w:contextualSpacing/>
        <w:rPr>
          <w:rFonts w:asciiTheme="minorHAnsi" w:hAnsiTheme="minorHAnsi" w:cstheme="minorHAnsi"/>
          <w:sz w:val="22"/>
          <w:szCs w:val="22"/>
          <w:lang w:val="fr-CA"/>
        </w:rPr>
      </w:pPr>
      <w:r w:rsidRPr="00F10A5B">
        <w:rPr>
          <w:rFonts w:asciiTheme="minorHAnsi" w:hAnsiTheme="minorHAnsi" w:cstheme="minorHAnsi"/>
          <w:sz w:val="22"/>
          <w:szCs w:val="22"/>
          <w:lang w:val="fr-CA"/>
        </w:rPr>
        <w:t>ISC a déclaré que l’AG n’a approuvé a</w:t>
      </w:r>
      <w:r w:rsidR="00786005" w:rsidRPr="00F10A5B">
        <w:rPr>
          <w:rFonts w:asciiTheme="minorHAnsi" w:hAnsiTheme="minorHAnsi" w:cstheme="minorHAnsi"/>
          <w:sz w:val="22"/>
          <w:szCs w:val="22"/>
          <w:lang w:val="fr-CA"/>
        </w:rPr>
        <w:t xml:space="preserve">ucune </w:t>
      </w:r>
      <w:r w:rsidR="00961A62" w:rsidRPr="00F10A5B">
        <w:rPr>
          <w:rFonts w:asciiTheme="minorHAnsi" w:hAnsiTheme="minorHAnsi" w:cstheme="minorHAnsi"/>
          <w:sz w:val="22"/>
          <w:szCs w:val="22"/>
          <w:lang w:val="fr-CA"/>
        </w:rPr>
        <w:t>exception</w:t>
      </w:r>
      <w:r w:rsidR="00786005" w:rsidRPr="00F10A5B">
        <w:rPr>
          <w:rFonts w:asciiTheme="minorHAnsi" w:hAnsiTheme="minorHAnsi" w:cstheme="minorHAnsi"/>
          <w:sz w:val="22"/>
          <w:szCs w:val="22"/>
          <w:lang w:val="fr-CA"/>
        </w:rPr>
        <w:t xml:space="preserve"> à la </w:t>
      </w:r>
      <w:r w:rsidR="00504447" w:rsidRPr="00F10A5B">
        <w:rPr>
          <w:rFonts w:asciiTheme="minorHAnsi" w:hAnsiTheme="minorHAnsi" w:cstheme="minorHAnsi"/>
          <w:sz w:val="22"/>
          <w:szCs w:val="22"/>
          <w:lang w:val="fr-CA"/>
        </w:rPr>
        <w:t>zone nationale de sélection</w:t>
      </w:r>
      <w:r w:rsidR="00786005" w:rsidRPr="00F10A5B">
        <w:rPr>
          <w:rFonts w:asciiTheme="minorHAnsi" w:hAnsiTheme="minorHAnsi" w:cstheme="minorHAnsi"/>
          <w:sz w:val="22"/>
          <w:szCs w:val="22"/>
          <w:lang w:val="fr-CA"/>
        </w:rPr>
        <w:t xml:space="preserve"> pendant la période </w:t>
      </w:r>
      <w:r w:rsidR="00121BF0" w:rsidRPr="00F10A5B">
        <w:rPr>
          <w:rFonts w:asciiTheme="minorHAnsi" w:hAnsiTheme="minorHAnsi" w:cstheme="minorHAnsi"/>
          <w:sz w:val="22"/>
          <w:szCs w:val="22"/>
          <w:lang w:val="fr-CA"/>
        </w:rPr>
        <w:t xml:space="preserve">allant </w:t>
      </w:r>
      <w:r w:rsidR="00786005" w:rsidRPr="00F10A5B">
        <w:rPr>
          <w:rFonts w:asciiTheme="minorHAnsi" w:hAnsiTheme="minorHAnsi" w:cstheme="minorHAnsi"/>
          <w:sz w:val="22"/>
          <w:szCs w:val="22"/>
          <w:lang w:val="fr-CA"/>
        </w:rPr>
        <w:t>du 1</w:t>
      </w:r>
      <w:r w:rsidR="00786005" w:rsidRPr="00F10A5B">
        <w:rPr>
          <w:rFonts w:asciiTheme="minorHAnsi" w:hAnsiTheme="minorHAnsi" w:cstheme="minorHAnsi"/>
          <w:sz w:val="22"/>
          <w:szCs w:val="22"/>
          <w:vertAlign w:val="superscript"/>
          <w:lang w:val="fr-CA"/>
        </w:rPr>
        <w:t>er</w:t>
      </w:r>
      <w:r w:rsidR="00786005" w:rsidRPr="00F10A5B">
        <w:rPr>
          <w:rFonts w:asciiTheme="minorHAnsi" w:hAnsiTheme="minorHAnsi" w:cstheme="minorHAnsi"/>
          <w:sz w:val="22"/>
          <w:szCs w:val="22"/>
          <w:lang w:val="fr-CA"/>
        </w:rPr>
        <w:t xml:space="preserve"> avril 2019 au 31 mars 2020.</w:t>
      </w:r>
    </w:p>
    <w:p w14:paraId="5DF0879E" w14:textId="77777777" w:rsidR="00961A62" w:rsidRPr="00F10A5B" w:rsidRDefault="00961A62" w:rsidP="00502DD6">
      <w:pPr>
        <w:pStyle w:val="Heading2"/>
        <w:spacing w:after="120"/>
        <w:contextualSpacing/>
      </w:pPr>
      <w:r w:rsidRPr="00F10A5B">
        <w:t>Résultats de l’évaluation cyclique de l’organisation</w:t>
      </w:r>
    </w:p>
    <w:p w14:paraId="73A1CC0B" w14:textId="77777777" w:rsidR="007F61E8" w:rsidRPr="00F10A5B" w:rsidRDefault="007F61E8" w:rsidP="00502DD6">
      <w:pPr>
        <w:pStyle w:val="NoSpacing"/>
        <w:spacing w:after="120"/>
        <w:contextualSpacing/>
        <w:rPr>
          <w:rFonts w:asciiTheme="minorHAnsi" w:hAnsiTheme="minorHAnsi" w:cstheme="minorHAnsi"/>
          <w:sz w:val="22"/>
          <w:szCs w:val="22"/>
          <w:lang w:val="fr-CA" w:eastAsia="en-CA"/>
        </w:rPr>
      </w:pPr>
      <w:r w:rsidRPr="00F10A5B">
        <w:rPr>
          <w:rFonts w:asciiTheme="minorHAnsi" w:hAnsiTheme="minorHAnsi" w:cstheme="minorHAnsi"/>
          <w:sz w:val="22"/>
          <w:szCs w:val="22"/>
          <w:lang w:val="fr-CA" w:eastAsia="en-CA"/>
        </w:rPr>
        <w:t xml:space="preserve">Il convient de noter que </w:t>
      </w:r>
      <w:r w:rsidR="00F06122" w:rsidRPr="00F10A5B">
        <w:rPr>
          <w:rFonts w:asciiTheme="minorHAnsi" w:hAnsiTheme="minorHAnsi" w:cstheme="minorHAnsi"/>
          <w:sz w:val="22"/>
          <w:szCs w:val="22"/>
          <w:lang w:val="fr-CA" w:eastAsia="en-CA"/>
        </w:rPr>
        <w:t xml:space="preserve">même si </w:t>
      </w:r>
      <w:r w:rsidRPr="00F10A5B">
        <w:rPr>
          <w:rFonts w:asciiTheme="minorHAnsi" w:hAnsiTheme="minorHAnsi" w:cstheme="minorHAnsi"/>
          <w:sz w:val="22"/>
          <w:szCs w:val="22"/>
          <w:lang w:val="fr-CA" w:eastAsia="en-CA"/>
        </w:rPr>
        <w:t>la première évaluation cyclique soumise en janvier 2018 a été produite avant les changements structurels d'AANC</w:t>
      </w:r>
      <w:r w:rsidR="00F06122" w:rsidRPr="00F10A5B">
        <w:rPr>
          <w:rFonts w:asciiTheme="minorHAnsi" w:hAnsiTheme="minorHAnsi" w:cstheme="minorHAnsi"/>
          <w:sz w:val="22"/>
          <w:szCs w:val="22"/>
          <w:lang w:val="fr-CA" w:eastAsia="en-CA"/>
        </w:rPr>
        <w:t xml:space="preserve">, </w:t>
      </w:r>
      <w:r w:rsidRPr="00F10A5B">
        <w:rPr>
          <w:rFonts w:asciiTheme="minorHAnsi" w:hAnsiTheme="minorHAnsi" w:cstheme="minorHAnsi"/>
          <w:sz w:val="22"/>
          <w:szCs w:val="22"/>
          <w:lang w:val="fr-CA" w:eastAsia="en-CA"/>
        </w:rPr>
        <w:t>la CFP a accepté ce rapport pour SAC et RCAANC.  Par conséquent, les résultats de la prochaine évaluation cyclique de SAC sont attendus d'ici le 1</w:t>
      </w:r>
      <w:r w:rsidRPr="00F10A5B">
        <w:rPr>
          <w:rFonts w:asciiTheme="minorHAnsi" w:hAnsiTheme="minorHAnsi" w:cstheme="minorHAnsi"/>
          <w:sz w:val="22"/>
          <w:szCs w:val="22"/>
          <w:vertAlign w:val="superscript"/>
          <w:lang w:val="fr-CA" w:eastAsia="en-CA"/>
        </w:rPr>
        <w:t>er</w:t>
      </w:r>
      <w:r w:rsidRPr="00F10A5B">
        <w:rPr>
          <w:rFonts w:asciiTheme="minorHAnsi" w:hAnsiTheme="minorHAnsi" w:cstheme="minorHAnsi"/>
          <w:sz w:val="22"/>
          <w:szCs w:val="22"/>
          <w:lang w:val="fr-CA" w:eastAsia="en-CA"/>
        </w:rPr>
        <w:t xml:space="preserve"> mai 2023.</w:t>
      </w:r>
    </w:p>
    <w:p w14:paraId="211DB11E" w14:textId="77777777" w:rsidR="00961A62" w:rsidRPr="00F10A5B" w:rsidRDefault="00961A62" w:rsidP="00502DD6">
      <w:pPr>
        <w:pStyle w:val="Heading2"/>
        <w:spacing w:after="120"/>
        <w:contextualSpacing/>
      </w:pPr>
      <w:r w:rsidRPr="00F10A5B">
        <w:t>Demandes de renseignements et tendances</w:t>
      </w:r>
    </w:p>
    <w:p w14:paraId="7AEB3EB7" w14:textId="75030794" w:rsidR="00B27826" w:rsidRPr="00F10A5B" w:rsidRDefault="008C1A84" w:rsidP="00DA196D">
      <w:pPr>
        <w:pStyle w:val="NoSpacing"/>
        <w:contextualSpacing/>
        <w:rPr>
          <w:rFonts w:asciiTheme="minorHAnsi" w:hAnsiTheme="minorHAnsi" w:cstheme="minorHAnsi"/>
          <w:sz w:val="22"/>
          <w:szCs w:val="22"/>
          <w:lang w:val="fr-CA"/>
        </w:rPr>
      </w:pPr>
      <w:r w:rsidRPr="00F10A5B">
        <w:rPr>
          <w:rFonts w:asciiTheme="minorHAnsi" w:hAnsiTheme="minorHAnsi" w:cstheme="minorHAnsi"/>
          <w:sz w:val="22"/>
          <w:szCs w:val="22"/>
          <w:lang w:val="fr-CA"/>
        </w:rPr>
        <w:t>Depuis le 1</w:t>
      </w:r>
      <w:r w:rsidRPr="00F10A5B">
        <w:rPr>
          <w:rFonts w:asciiTheme="minorHAnsi" w:hAnsiTheme="minorHAnsi" w:cstheme="minorHAnsi"/>
          <w:sz w:val="22"/>
          <w:szCs w:val="22"/>
          <w:vertAlign w:val="superscript"/>
          <w:lang w:val="fr-CA"/>
        </w:rPr>
        <w:t>er</w:t>
      </w:r>
      <w:r w:rsidRPr="00F10A5B">
        <w:rPr>
          <w:rFonts w:asciiTheme="minorHAnsi" w:hAnsiTheme="minorHAnsi" w:cstheme="minorHAnsi"/>
          <w:sz w:val="22"/>
          <w:szCs w:val="22"/>
          <w:lang w:val="fr-CA"/>
        </w:rPr>
        <w:t xml:space="preserve"> avril 2020, </w:t>
      </w:r>
      <w:r w:rsidR="00B27826" w:rsidRPr="00F10A5B">
        <w:rPr>
          <w:rFonts w:asciiTheme="minorHAnsi" w:hAnsiTheme="minorHAnsi" w:cstheme="minorHAnsi"/>
          <w:sz w:val="22"/>
          <w:szCs w:val="22"/>
          <w:lang w:val="fr-CA"/>
        </w:rPr>
        <w:t>l</w:t>
      </w:r>
      <w:r w:rsidR="00121BF0" w:rsidRPr="00F10A5B">
        <w:rPr>
          <w:rFonts w:asciiTheme="minorHAnsi" w:hAnsiTheme="minorHAnsi" w:cstheme="minorHAnsi"/>
          <w:sz w:val="22"/>
          <w:szCs w:val="22"/>
          <w:lang w:val="fr-CA"/>
        </w:rPr>
        <w:t>es conseillers en soutien à la dotation de la</w:t>
      </w:r>
      <w:r w:rsidR="00B27826" w:rsidRPr="00F10A5B">
        <w:rPr>
          <w:rFonts w:asciiTheme="minorHAnsi" w:hAnsiTheme="minorHAnsi" w:cstheme="minorHAnsi"/>
          <w:sz w:val="22"/>
          <w:szCs w:val="22"/>
          <w:lang w:val="fr-CA"/>
        </w:rPr>
        <w:t xml:space="preserve"> CFP </w:t>
      </w:r>
      <w:r w:rsidR="00121BF0" w:rsidRPr="00F10A5B">
        <w:rPr>
          <w:rFonts w:asciiTheme="minorHAnsi" w:hAnsiTheme="minorHAnsi" w:cstheme="minorHAnsi"/>
          <w:sz w:val="22"/>
          <w:szCs w:val="22"/>
          <w:lang w:val="fr-CA"/>
        </w:rPr>
        <w:t>ont</w:t>
      </w:r>
      <w:r w:rsidRPr="00F10A5B">
        <w:rPr>
          <w:rFonts w:asciiTheme="minorHAnsi" w:hAnsiTheme="minorHAnsi" w:cstheme="minorHAnsi"/>
          <w:sz w:val="22"/>
          <w:szCs w:val="22"/>
          <w:lang w:val="fr-CA"/>
        </w:rPr>
        <w:t xml:space="preserve"> répondu à 20</w:t>
      </w:r>
      <w:r w:rsidR="004923B3" w:rsidRPr="00F10A5B">
        <w:rPr>
          <w:rFonts w:asciiTheme="minorHAnsi" w:hAnsiTheme="minorHAnsi" w:cstheme="minorHAnsi"/>
          <w:sz w:val="22"/>
          <w:szCs w:val="22"/>
          <w:lang w:val="fr-CA"/>
        </w:rPr>
        <w:t xml:space="preserve"> requêtes de SAC</w:t>
      </w:r>
      <w:r w:rsidRPr="00F10A5B">
        <w:rPr>
          <w:rFonts w:asciiTheme="minorHAnsi" w:hAnsiTheme="minorHAnsi" w:cstheme="minorHAnsi"/>
          <w:sz w:val="22"/>
          <w:szCs w:val="22"/>
          <w:lang w:val="fr-CA"/>
        </w:rPr>
        <w:t xml:space="preserve"> et ce nombre a été de 25 demandes pour la période 2019-2020</w:t>
      </w:r>
      <w:r w:rsidR="004923B3" w:rsidRPr="00F10A5B">
        <w:rPr>
          <w:rFonts w:asciiTheme="minorHAnsi" w:hAnsiTheme="minorHAnsi" w:cstheme="minorHAnsi"/>
          <w:sz w:val="22"/>
          <w:szCs w:val="22"/>
          <w:lang w:val="fr-CA"/>
        </w:rPr>
        <w:t>. P</w:t>
      </w:r>
      <w:r w:rsidR="00B27826" w:rsidRPr="00F10A5B">
        <w:rPr>
          <w:rFonts w:asciiTheme="minorHAnsi" w:hAnsiTheme="minorHAnsi" w:cstheme="minorHAnsi"/>
          <w:sz w:val="22"/>
          <w:szCs w:val="22"/>
          <w:lang w:val="fr-CA"/>
        </w:rPr>
        <w:t>armi les sujets</w:t>
      </w:r>
      <w:r w:rsidR="004923B3" w:rsidRPr="00F10A5B">
        <w:rPr>
          <w:rFonts w:asciiTheme="minorHAnsi" w:hAnsiTheme="minorHAnsi" w:cstheme="minorHAnsi"/>
          <w:sz w:val="22"/>
          <w:szCs w:val="22"/>
          <w:lang w:val="fr-CA"/>
        </w:rPr>
        <w:t xml:space="preserve"> les plus </w:t>
      </w:r>
      <w:r w:rsidR="00C64569" w:rsidRPr="00F10A5B">
        <w:rPr>
          <w:rFonts w:asciiTheme="minorHAnsi" w:hAnsiTheme="minorHAnsi" w:cstheme="minorHAnsi"/>
          <w:sz w:val="22"/>
          <w:szCs w:val="22"/>
          <w:lang w:val="fr-CA"/>
        </w:rPr>
        <w:t>fréquents</w:t>
      </w:r>
      <w:r w:rsidR="00857FE9" w:rsidRPr="00F10A5B">
        <w:rPr>
          <w:rFonts w:asciiTheme="minorHAnsi" w:hAnsiTheme="minorHAnsi" w:cstheme="minorHAnsi"/>
          <w:sz w:val="22"/>
          <w:szCs w:val="22"/>
          <w:lang w:val="fr-CA"/>
        </w:rPr>
        <w:t>,</w:t>
      </w:r>
      <w:r w:rsidR="00C64569" w:rsidRPr="00F10A5B">
        <w:rPr>
          <w:rFonts w:asciiTheme="minorHAnsi" w:hAnsiTheme="minorHAnsi" w:cstheme="minorHAnsi"/>
          <w:sz w:val="22"/>
          <w:szCs w:val="22"/>
          <w:lang w:val="fr-CA"/>
        </w:rPr>
        <w:t xml:space="preserve"> </w:t>
      </w:r>
      <w:r w:rsidR="00B27826" w:rsidRPr="00F10A5B">
        <w:rPr>
          <w:rFonts w:asciiTheme="minorHAnsi" w:hAnsiTheme="minorHAnsi" w:cstheme="minorHAnsi"/>
          <w:sz w:val="22"/>
          <w:szCs w:val="22"/>
          <w:lang w:val="fr-CA"/>
        </w:rPr>
        <w:t xml:space="preserve">on retrouve l’évaluation de la langue seconde et l’application des nouvelles mesures </w:t>
      </w:r>
      <w:r w:rsidR="00B647AE" w:rsidRPr="00F10A5B">
        <w:rPr>
          <w:rFonts w:asciiTheme="minorHAnsi" w:hAnsiTheme="minorHAnsi" w:cstheme="minorHAnsi"/>
          <w:sz w:val="22"/>
          <w:szCs w:val="22"/>
          <w:lang w:val="fr-CA"/>
        </w:rPr>
        <w:t>temporaires</w:t>
      </w:r>
      <w:r w:rsidR="00B27826" w:rsidRPr="00F10A5B">
        <w:rPr>
          <w:rFonts w:asciiTheme="minorHAnsi" w:hAnsiTheme="minorHAnsi" w:cstheme="minorHAnsi"/>
          <w:sz w:val="22"/>
          <w:szCs w:val="22"/>
          <w:lang w:val="fr-CA"/>
        </w:rPr>
        <w:t xml:space="preserve"> d’évaluation, </w:t>
      </w:r>
      <w:r w:rsidR="00CA4FA2" w:rsidRPr="00F10A5B">
        <w:rPr>
          <w:rFonts w:asciiTheme="minorHAnsi" w:hAnsiTheme="minorHAnsi" w:cstheme="minorHAnsi"/>
          <w:sz w:val="22"/>
          <w:szCs w:val="22"/>
          <w:lang w:val="fr-CA"/>
        </w:rPr>
        <w:t xml:space="preserve">les sessions d’information, </w:t>
      </w:r>
      <w:r w:rsidR="00B27826" w:rsidRPr="00F10A5B">
        <w:rPr>
          <w:rFonts w:asciiTheme="minorHAnsi" w:hAnsiTheme="minorHAnsi" w:cstheme="minorHAnsi"/>
          <w:sz w:val="22"/>
          <w:szCs w:val="22"/>
          <w:lang w:val="fr-CA"/>
        </w:rPr>
        <w:t>la surveillance et les rapports ainsi que l’administration des priorités.</w:t>
      </w:r>
    </w:p>
    <w:p w14:paraId="2DD1DA42" w14:textId="77777777" w:rsidR="00961A62" w:rsidRPr="00F10A5B" w:rsidRDefault="00961A62" w:rsidP="00502DD6">
      <w:pPr>
        <w:pStyle w:val="Heading1"/>
        <w:spacing w:after="120"/>
        <w:contextualSpacing/>
        <w:rPr>
          <w:color w:val="auto"/>
        </w:rPr>
      </w:pPr>
      <w:r w:rsidRPr="00F10A5B">
        <w:rPr>
          <w:color w:val="auto"/>
        </w:rPr>
        <w:lastRenderedPageBreak/>
        <w:t xml:space="preserve">Surveillance </w:t>
      </w:r>
    </w:p>
    <w:p w14:paraId="66AEDF7B" w14:textId="77777777" w:rsidR="00961A62" w:rsidRPr="00F10A5B" w:rsidRDefault="00961A62" w:rsidP="00502DD6">
      <w:pPr>
        <w:pStyle w:val="Heading2"/>
        <w:spacing w:after="120"/>
        <w:contextualSpacing/>
        <w:rPr>
          <w:u w:val="single"/>
        </w:rPr>
      </w:pPr>
      <w:r w:rsidRPr="00F10A5B">
        <w:t xml:space="preserve">Vérifications </w:t>
      </w:r>
    </w:p>
    <w:p w14:paraId="3634F8CF" w14:textId="5E63DB23" w:rsidR="00231AB4" w:rsidRPr="00F10A5B" w:rsidRDefault="00231AB4" w:rsidP="00502DD6">
      <w:pPr>
        <w:tabs>
          <w:tab w:val="left" w:pos="7470"/>
        </w:tabs>
        <w:spacing w:after="120" w:line="240" w:lineRule="auto"/>
        <w:contextualSpacing/>
        <w:rPr>
          <w:rFonts w:cstheme="minorHAnsi"/>
          <w:color w:val="auto"/>
          <w:kern w:val="36"/>
        </w:rPr>
      </w:pPr>
      <w:r w:rsidRPr="00F10A5B">
        <w:rPr>
          <w:rStyle w:val="Hyperlink"/>
          <w:rFonts w:cstheme="minorHAnsi"/>
          <w:color w:val="auto"/>
          <w:u w:val="none"/>
        </w:rPr>
        <w:t xml:space="preserve">SAC figure parmi les organisations sélectionnées faisant partie de la Vérification de </w:t>
      </w:r>
      <w:r w:rsidR="005F0C76" w:rsidRPr="00F10A5B">
        <w:rPr>
          <w:rFonts w:cstheme="minorHAnsi"/>
          <w:color w:val="auto"/>
          <w:kern w:val="36"/>
        </w:rPr>
        <w:t>représentation</w:t>
      </w:r>
      <w:r w:rsidRPr="00F10A5B">
        <w:rPr>
          <w:rFonts w:cstheme="minorHAnsi"/>
          <w:color w:val="auto"/>
          <w:kern w:val="36"/>
        </w:rPr>
        <w:t xml:space="preserve"> des groupes visés par l’équité en matière d’emploi pendant le recrutement.  Les objectif</w:t>
      </w:r>
      <w:r w:rsidR="005F0C76" w:rsidRPr="00F10A5B">
        <w:rPr>
          <w:rFonts w:cstheme="minorHAnsi"/>
          <w:color w:val="auto"/>
          <w:kern w:val="36"/>
        </w:rPr>
        <w:t xml:space="preserve">s de cette vérification </w:t>
      </w:r>
      <w:r w:rsidR="004923B3" w:rsidRPr="00F10A5B">
        <w:rPr>
          <w:rFonts w:cstheme="minorHAnsi"/>
          <w:color w:val="auto"/>
          <w:kern w:val="36"/>
        </w:rPr>
        <w:t>sont</w:t>
      </w:r>
      <w:r w:rsidR="005F0C76" w:rsidRPr="00F10A5B">
        <w:rPr>
          <w:rFonts w:cstheme="minorHAnsi"/>
          <w:color w:val="auto"/>
          <w:kern w:val="36"/>
        </w:rPr>
        <w:t xml:space="preserve"> de </w:t>
      </w:r>
      <w:r w:rsidR="005F0C76" w:rsidRPr="00F10A5B">
        <w:rPr>
          <w:rFonts w:eastAsia="Times New Roman" w:cstheme="minorHAnsi"/>
          <w:color w:val="auto"/>
          <w:lang w:eastAsia="en-CA"/>
        </w:rPr>
        <w:t>déterminer</w:t>
      </w:r>
      <w:r w:rsidRPr="00F10A5B">
        <w:rPr>
          <w:rFonts w:eastAsia="Times New Roman" w:cstheme="minorHAnsi"/>
          <w:color w:val="auto"/>
          <w:lang w:eastAsia="en-CA"/>
        </w:rPr>
        <w:t xml:space="preserve"> si les quatre groupes désignés pour l'équité en matière d'emploi sont représentés proportionnellement dans les processus de recrutement et d’identifier les facteurs clés qui influencent la représentation dans le système de nomination parmi les quatre groupes désignés pour l'équité en matière d'emploi.</w:t>
      </w:r>
      <w:r w:rsidR="00BC0711" w:rsidRPr="00F10A5B">
        <w:rPr>
          <w:rFonts w:eastAsia="Times New Roman" w:cstheme="minorHAnsi"/>
          <w:color w:val="auto"/>
          <w:lang w:eastAsia="en-CA"/>
        </w:rPr>
        <w:t xml:space="preserve">  </w:t>
      </w:r>
      <w:r w:rsidRPr="00F10A5B">
        <w:rPr>
          <w:rFonts w:cstheme="minorHAnsi"/>
          <w:color w:val="auto"/>
          <w:kern w:val="36"/>
        </w:rPr>
        <w:t xml:space="preserve">La publication des résultats de la vérification est prévue </w:t>
      </w:r>
      <w:r w:rsidR="00A7743F" w:rsidRPr="00F10A5B">
        <w:rPr>
          <w:rFonts w:cstheme="minorHAnsi"/>
          <w:color w:val="auto"/>
          <w:kern w:val="36"/>
        </w:rPr>
        <w:t>au début de l’année 2021</w:t>
      </w:r>
      <w:r w:rsidRPr="00F10A5B">
        <w:rPr>
          <w:rFonts w:cstheme="minorHAnsi"/>
          <w:color w:val="auto"/>
          <w:kern w:val="36"/>
        </w:rPr>
        <w:t>.</w:t>
      </w:r>
    </w:p>
    <w:p w14:paraId="2D4BC8E3" w14:textId="77777777" w:rsidR="00961A62" w:rsidRPr="00F10A5B" w:rsidRDefault="00961A62" w:rsidP="00502DD6">
      <w:pPr>
        <w:pStyle w:val="Heading2"/>
        <w:spacing w:after="120"/>
        <w:contextualSpacing/>
        <w:rPr>
          <w:u w:val="single"/>
        </w:rPr>
      </w:pPr>
      <w:r w:rsidRPr="00F10A5B">
        <w:t>Enquêtes</w:t>
      </w:r>
    </w:p>
    <w:p w14:paraId="19065BCF" w14:textId="77777777" w:rsidR="00502DD6" w:rsidRPr="00F10A5B" w:rsidRDefault="00EB6609" w:rsidP="00502DD6">
      <w:pPr>
        <w:pStyle w:val="NoSpacing"/>
        <w:spacing w:after="120"/>
        <w:rPr>
          <w:rFonts w:asciiTheme="minorHAnsi" w:hAnsiTheme="minorHAnsi" w:cstheme="minorHAnsi"/>
          <w:sz w:val="22"/>
          <w:szCs w:val="22"/>
          <w:lang w:val="fr-CA"/>
        </w:rPr>
      </w:pPr>
      <w:r w:rsidRPr="00F10A5B">
        <w:rPr>
          <w:rFonts w:asciiTheme="minorHAnsi" w:hAnsiTheme="minorHAnsi" w:cstheme="minorHAnsi"/>
          <w:sz w:val="22"/>
          <w:szCs w:val="22"/>
          <w:lang w:val="fr-CA"/>
        </w:rPr>
        <w:t>Depuis le 1</w:t>
      </w:r>
      <w:r w:rsidRPr="00F10A5B">
        <w:rPr>
          <w:rFonts w:asciiTheme="minorHAnsi" w:hAnsiTheme="minorHAnsi" w:cstheme="minorHAnsi"/>
          <w:sz w:val="22"/>
          <w:szCs w:val="22"/>
          <w:vertAlign w:val="superscript"/>
          <w:lang w:val="fr-CA"/>
        </w:rPr>
        <w:t>er</w:t>
      </w:r>
      <w:r w:rsidRPr="00F10A5B">
        <w:rPr>
          <w:rFonts w:asciiTheme="minorHAnsi" w:hAnsiTheme="minorHAnsi" w:cstheme="minorHAnsi"/>
          <w:sz w:val="22"/>
          <w:szCs w:val="22"/>
          <w:lang w:val="fr-CA"/>
        </w:rPr>
        <w:t xml:space="preserve"> avril 2019, l</w:t>
      </w:r>
      <w:r w:rsidR="00CA7802" w:rsidRPr="00F10A5B">
        <w:rPr>
          <w:rFonts w:asciiTheme="minorHAnsi" w:hAnsiTheme="minorHAnsi" w:cstheme="minorHAnsi"/>
          <w:sz w:val="22"/>
          <w:szCs w:val="22"/>
          <w:lang w:val="fr-CA"/>
        </w:rPr>
        <w:t>a CFP a</w:t>
      </w:r>
      <w:r w:rsidR="003D1B9F" w:rsidRPr="00F10A5B">
        <w:rPr>
          <w:rFonts w:asciiTheme="minorHAnsi" w:hAnsiTheme="minorHAnsi" w:cstheme="minorHAnsi"/>
          <w:sz w:val="22"/>
          <w:szCs w:val="22"/>
          <w:lang w:val="fr-CA"/>
        </w:rPr>
        <w:t xml:space="preserve"> </w:t>
      </w:r>
      <w:r w:rsidRPr="00F10A5B">
        <w:rPr>
          <w:rFonts w:asciiTheme="minorHAnsi" w:hAnsiTheme="minorHAnsi" w:cstheme="minorHAnsi"/>
          <w:sz w:val="22"/>
          <w:szCs w:val="22"/>
          <w:lang w:val="fr-CA"/>
        </w:rPr>
        <w:t xml:space="preserve">reçu un total de </w:t>
      </w:r>
      <w:r w:rsidR="00CB50FD" w:rsidRPr="00F10A5B">
        <w:rPr>
          <w:rFonts w:asciiTheme="minorHAnsi" w:hAnsiTheme="minorHAnsi" w:cstheme="minorHAnsi"/>
          <w:sz w:val="22"/>
          <w:szCs w:val="22"/>
          <w:lang w:val="fr-CA"/>
        </w:rPr>
        <w:t>sept</w:t>
      </w:r>
      <w:r w:rsidRPr="00F10A5B">
        <w:rPr>
          <w:rFonts w:asciiTheme="minorHAnsi" w:hAnsiTheme="minorHAnsi" w:cstheme="minorHAnsi"/>
          <w:sz w:val="22"/>
          <w:szCs w:val="22"/>
          <w:lang w:val="fr-CA"/>
        </w:rPr>
        <w:t xml:space="preserve"> cas pour SAC dont </w:t>
      </w:r>
      <w:r w:rsidR="00CB50FD" w:rsidRPr="00F10A5B">
        <w:rPr>
          <w:rFonts w:asciiTheme="minorHAnsi" w:hAnsiTheme="minorHAnsi" w:cstheme="minorHAnsi"/>
          <w:sz w:val="22"/>
          <w:szCs w:val="22"/>
          <w:lang w:val="fr-CA"/>
        </w:rPr>
        <w:t>quatre</w:t>
      </w:r>
      <w:r w:rsidRPr="00F10A5B">
        <w:rPr>
          <w:rFonts w:asciiTheme="minorHAnsi" w:hAnsiTheme="minorHAnsi" w:cstheme="minorHAnsi"/>
          <w:sz w:val="22"/>
          <w:szCs w:val="22"/>
          <w:lang w:val="fr-CA"/>
        </w:rPr>
        <w:t xml:space="preserve"> sont déjà fermés ou non acceptés. Les </w:t>
      </w:r>
      <w:r w:rsidR="00CB50FD" w:rsidRPr="00F10A5B">
        <w:rPr>
          <w:rFonts w:asciiTheme="minorHAnsi" w:hAnsiTheme="minorHAnsi" w:cstheme="minorHAnsi"/>
          <w:sz w:val="22"/>
          <w:szCs w:val="22"/>
          <w:lang w:val="fr-CA"/>
        </w:rPr>
        <w:t>trois</w:t>
      </w:r>
      <w:r w:rsidR="0087676D" w:rsidRPr="00F10A5B">
        <w:rPr>
          <w:rFonts w:asciiTheme="minorHAnsi" w:hAnsiTheme="minorHAnsi" w:cstheme="minorHAnsi"/>
          <w:sz w:val="22"/>
          <w:szCs w:val="22"/>
          <w:lang w:val="fr-CA"/>
        </w:rPr>
        <w:t xml:space="preserve"> </w:t>
      </w:r>
      <w:r w:rsidR="00AE1971" w:rsidRPr="00F10A5B">
        <w:rPr>
          <w:rFonts w:asciiTheme="minorHAnsi" w:hAnsiTheme="minorHAnsi" w:cstheme="minorHAnsi"/>
          <w:sz w:val="22"/>
          <w:szCs w:val="22"/>
          <w:lang w:val="fr-CA"/>
        </w:rPr>
        <w:t>enquête</w:t>
      </w:r>
      <w:r w:rsidR="003D1B9F" w:rsidRPr="00F10A5B">
        <w:rPr>
          <w:rFonts w:asciiTheme="minorHAnsi" w:hAnsiTheme="minorHAnsi" w:cstheme="minorHAnsi"/>
          <w:sz w:val="22"/>
          <w:szCs w:val="22"/>
          <w:lang w:val="fr-CA"/>
        </w:rPr>
        <w:t xml:space="preserve">s </w:t>
      </w:r>
      <w:r w:rsidRPr="00F10A5B">
        <w:rPr>
          <w:rFonts w:asciiTheme="minorHAnsi" w:hAnsiTheme="minorHAnsi" w:cstheme="minorHAnsi"/>
          <w:sz w:val="22"/>
          <w:szCs w:val="22"/>
          <w:lang w:val="fr-CA"/>
        </w:rPr>
        <w:t>actuellement en cours sont liées à la fraude</w:t>
      </w:r>
      <w:r w:rsidR="00AE1971" w:rsidRPr="00F10A5B">
        <w:rPr>
          <w:rFonts w:asciiTheme="minorHAnsi" w:hAnsiTheme="minorHAnsi" w:cstheme="minorHAnsi"/>
          <w:sz w:val="22"/>
          <w:szCs w:val="22"/>
          <w:lang w:val="fr-CA"/>
        </w:rPr>
        <w:t>.</w:t>
      </w:r>
    </w:p>
    <w:p w14:paraId="732A4E37" w14:textId="50477EFE" w:rsidR="006602C5" w:rsidRPr="00F10A5B" w:rsidRDefault="006602C5" w:rsidP="006602C5">
      <w:pPr>
        <w:pStyle w:val="Caption"/>
        <w:keepNext/>
        <w:spacing w:after="0"/>
        <w:rPr>
          <w:i w:val="0"/>
          <w:color w:val="auto"/>
        </w:rPr>
      </w:pPr>
      <w:r w:rsidRPr="00F10A5B">
        <w:rPr>
          <w:i w:val="0"/>
          <w:color w:val="auto"/>
        </w:rPr>
        <w:t xml:space="preserve">Table </w:t>
      </w:r>
      <w:r w:rsidRPr="00F10A5B">
        <w:rPr>
          <w:i w:val="0"/>
          <w:color w:val="auto"/>
        </w:rPr>
        <w:fldChar w:fldCharType="begin"/>
      </w:r>
      <w:r w:rsidRPr="00F10A5B">
        <w:rPr>
          <w:i w:val="0"/>
          <w:color w:val="auto"/>
        </w:rPr>
        <w:instrText xml:space="preserve"> SEQ Table \* ARABIC </w:instrText>
      </w:r>
      <w:r w:rsidRPr="00F10A5B">
        <w:rPr>
          <w:i w:val="0"/>
          <w:color w:val="auto"/>
        </w:rPr>
        <w:fldChar w:fldCharType="separate"/>
      </w:r>
      <w:r w:rsidR="007B3B19" w:rsidRPr="00F10A5B">
        <w:rPr>
          <w:i w:val="0"/>
          <w:noProof/>
          <w:color w:val="auto"/>
        </w:rPr>
        <w:t>1</w:t>
      </w:r>
      <w:r w:rsidRPr="00F10A5B">
        <w:rPr>
          <w:i w:val="0"/>
          <w:color w:val="auto"/>
        </w:rPr>
        <w:fldChar w:fldCharType="end"/>
      </w:r>
      <w:r w:rsidRPr="00F10A5B">
        <w:rPr>
          <w:i w:val="0"/>
          <w:color w:val="auto"/>
        </w:rPr>
        <w:t xml:space="preserve"> - Enquêtes</w:t>
      </w:r>
    </w:p>
    <w:tbl>
      <w:tblPr>
        <w:tblStyle w:val="TableGrid"/>
        <w:tblW w:w="5000" w:type="pct"/>
        <w:jc w:val="center"/>
        <w:shd w:val="clear" w:color="auto" w:fill="54575A" w:themeFill="text1"/>
        <w:tblLook w:val="04A0" w:firstRow="1" w:lastRow="0" w:firstColumn="1" w:lastColumn="0" w:noHBand="0" w:noVBand="1"/>
        <w:tblDescription w:val="Enquêtes"/>
      </w:tblPr>
      <w:tblGrid>
        <w:gridCol w:w="2335"/>
        <w:gridCol w:w="901"/>
        <w:gridCol w:w="1584"/>
        <w:gridCol w:w="1040"/>
        <w:gridCol w:w="1167"/>
        <w:gridCol w:w="1167"/>
        <w:gridCol w:w="1156"/>
      </w:tblGrid>
      <w:tr w:rsidR="005C7BA9" w:rsidRPr="00B13168" w14:paraId="56E7D11E" w14:textId="77777777" w:rsidTr="00393DC8">
        <w:trPr>
          <w:cantSplit/>
          <w:trHeight w:val="1200"/>
          <w:tblHeader/>
          <w:jc w:val="center"/>
        </w:trPr>
        <w:tc>
          <w:tcPr>
            <w:tcW w:w="1249" w:type="pct"/>
            <w:shd w:val="clear" w:color="auto" w:fill="54575A" w:themeFill="text1"/>
            <w:hideMark/>
          </w:tcPr>
          <w:p w14:paraId="6133BC7E" w14:textId="77777777" w:rsidR="005C7BA9" w:rsidRPr="00B13168" w:rsidRDefault="005C7BA9" w:rsidP="005C7BA9">
            <w:pPr>
              <w:pStyle w:val="TableTitle"/>
              <w:rPr>
                <w:rFonts w:cs="Segoe UI Semibold"/>
                <w:color w:val="FFFFFF" w:themeColor="background1"/>
                <w:lang w:eastAsia="en-CA"/>
              </w:rPr>
            </w:pPr>
            <w:r w:rsidRPr="00B13168">
              <w:rPr>
                <w:rFonts w:cs="Segoe UI Semibold"/>
                <w:color w:val="FFFFFF" w:themeColor="background1"/>
                <w:lang w:eastAsia="en-CA"/>
              </w:rPr>
              <w:t>Nature de la question</w:t>
            </w:r>
          </w:p>
        </w:tc>
        <w:tc>
          <w:tcPr>
            <w:tcW w:w="482" w:type="pct"/>
            <w:shd w:val="clear" w:color="auto" w:fill="54575A" w:themeFill="text1"/>
            <w:hideMark/>
          </w:tcPr>
          <w:p w14:paraId="18D32403" w14:textId="77777777" w:rsidR="005C7BA9" w:rsidRPr="00B13168" w:rsidRDefault="005C7BA9" w:rsidP="005C7BA9">
            <w:pPr>
              <w:pStyle w:val="TableTitle"/>
              <w:rPr>
                <w:rFonts w:cs="Segoe UI Semibold"/>
                <w:color w:val="FFFFFF" w:themeColor="background1"/>
                <w:lang w:eastAsia="en-CA"/>
              </w:rPr>
            </w:pPr>
            <w:r w:rsidRPr="00B13168">
              <w:rPr>
                <w:rFonts w:cs="Segoe UI Semibold"/>
                <w:color w:val="FFFFFF" w:themeColor="background1"/>
                <w:lang w:eastAsia="en-CA"/>
              </w:rPr>
              <w:t>Cas reçus</w:t>
            </w:r>
          </w:p>
        </w:tc>
        <w:tc>
          <w:tcPr>
            <w:tcW w:w="847" w:type="pct"/>
            <w:shd w:val="clear" w:color="auto" w:fill="54575A" w:themeFill="text1"/>
            <w:hideMark/>
          </w:tcPr>
          <w:p w14:paraId="771952B1" w14:textId="77777777" w:rsidR="005C7BA9" w:rsidRPr="00B13168" w:rsidRDefault="005C7BA9" w:rsidP="005C7BA9">
            <w:pPr>
              <w:pStyle w:val="TableTitle"/>
              <w:rPr>
                <w:rFonts w:cs="Segoe UI Semibold"/>
                <w:color w:val="FFFFFF" w:themeColor="background1"/>
                <w:lang w:eastAsia="en-CA"/>
              </w:rPr>
            </w:pPr>
            <w:r w:rsidRPr="00B13168">
              <w:rPr>
                <w:rFonts w:cs="Segoe UI Semibold"/>
                <w:color w:val="FFFFFF" w:themeColor="background1"/>
                <w:lang w:eastAsia="en-CA"/>
              </w:rPr>
              <w:t>Cas renvoyés par l'organisation</w:t>
            </w:r>
          </w:p>
        </w:tc>
        <w:tc>
          <w:tcPr>
            <w:tcW w:w="556" w:type="pct"/>
            <w:shd w:val="clear" w:color="auto" w:fill="54575A" w:themeFill="text1"/>
            <w:hideMark/>
          </w:tcPr>
          <w:p w14:paraId="218634B5" w14:textId="77777777" w:rsidR="005C7BA9" w:rsidRPr="00B13168" w:rsidRDefault="005C7BA9" w:rsidP="005C7BA9">
            <w:pPr>
              <w:pStyle w:val="TableTitle"/>
              <w:rPr>
                <w:rFonts w:cs="Segoe UI Semibold"/>
                <w:color w:val="FFFFFF" w:themeColor="background1"/>
                <w:lang w:eastAsia="en-CA"/>
              </w:rPr>
            </w:pPr>
            <w:r w:rsidRPr="00B13168">
              <w:rPr>
                <w:rFonts w:cs="Segoe UI Semibold"/>
                <w:color w:val="FFFFFF" w:themeColor="background1"/>
                <w:lang w:eastAsia="en-CA"/>
              </w:rPr>
              <w:t>Fermé - Non accepté</w:t>
            </w:r>
          </w:p>
        </w:tc>
        <w:tc>
          <w:tcPr>
            <w:tcW w:w="624" w:type="pct"/>
            <w:shd w:val="clear" w:color="auto" w:fill="54575A" w:themeFill="text1"/>
            <w:hideMark/>
          </w:tcPr>
          <w:p w14:paraId="34A0C684" w14:textId="77777777" w:rsidR="005C7BA9" w:rsidRPr="00B13168" w:rsidRDefault="005C7BA9" w:rsidP="005C7BA9">
            <w:pPr>
              <w:pStyle w:val="TableTitle"/>
              <w:rPr>
                <w:rFonts w:cs="Segoe UI Semibold"/>
                <w:color w:val="FFFFFF" w:themeColor="background1"/>
                <w:lang w:eastAsia="en-CA"/>
              </w:rPr>
            </w:pPr>
            <w:r w:rsidRPr="00B13168">
              <w:rPr>
                <w:rFonts w:cs="Segoe UI Semibold"/>
                <w:color w:val="FFFFFF" w:themeColor="background1"/>
                <w:lang w:eastAsia="en-CA"/>
              </w:rPr>
              <w:t>Achevé Non fondé</w:t>
            </w:r>
          </w:p>
        </w:tc>
        <w:tc>
          <w:tcPr>
            <w:tcW w:w="624" w:type="pct"/>
            <w:shd w:val="clear" w:color="auto" w:fill="54575A" w:themeFill="text1"/>
            <w:hideMark/>
          </w:tcPr>
          <w:p w14:paraId="16EC89BA" w14:textId="77777777" w:rsidR="005C7BA9" w:rsidRPr="00B13168" w:rsidRDefault="005C7BA9" w:rsidP="005C7BA9">
            <w:pPr>
              <w:pStyle w:val="TableTitle"/>
              <w:rPr>
                <w:rFonts w:cs="Segoe UI Semibold"/>
                <w:color w:val="FFFFFF" w:themeColor="background1"/>
                <w:lang w:eastAsia="en-CA"/>
              </w:rPr>
            </w:pPr>
            <w:r w:rsidRPr="00B13168">
              <w:rPr>
                <w:rFonts w:cs="Segoe UI Semibold"/>
                <w:color w:val="FFFFFF" w:themeColor="background1"/>
                <w:lang w:eastAsia="en-CA"/>
              </w:rPr>
              <w:t>Achevé fondé</w:t>
            </w:r>
          </w:p>
        </w:tc>
        <w:tc>
          <w:tcPr>
            <w:tcW w:w="618" w:type="pct"/>
            <w:shd w:val="clear" w:color="auto" w:fill="54575A" w:themeFill="text1"/>
            <w:hideMark/>
          </w:tcPr>
          <w:p w14:paraId="0B6C5AE6" w14:textId="77777777" w:rsidR="005C7BA9" w:rsidRPr="00B13168" w:rsidRDefault="005C7BA9" w:rsidP="005C7BA9">
            <w:pPr>
              <w:pStyle w:val="TableTitle"/>
              <w:rPr>
                <w:rFonts w:cs="Segoe UI Semibold"/>
                <w:color w:val="FFFFFF" w:themeColor="background1"/>
                <w:lang w:eastAsia="en-CA"/>
              </w:rPr>
            </w:pPr>
            <w:r w:rsidRPr="00B13168">
              <w:rPr>
                <w:rFonts w:cs="Segoe UI Semibold"/>
                <w:color w:val="FFFFFF" w:themeColor="background1"/>
                <w:lang w:eastAsia="en-CA"/>
              </w:rPr>
              <w:t>En cours</w:t>
            </w:r>
          </w:p>
        </w:tc>
      </w:tr>
      <w:tr w:rsidR="00BE1B24" w:rsidRPr="00F10A5B" w14:paraId="6670CC99" w14:textId="77777777" w:rsidTr="00393DC8">
        <w:trPr>
          <w:cantSplit/>
          <w:trHeight w:val="794"/>
          <w:tblHeader/>
          <w:jc w:val="center"/>
        </w:trPr>
        <w:tc>
          <w:tcPr>
            <w:tcW w:w="1249" w:type="pct"/>
            <w:shd w:val="clear" w:color="auto" w:fill="54575A" w:themeFill="text1"/>
            <w:hideMark/>
          </w:tcPr>
          <w:p w14:paraId="164E4225" w14:textId="77777777" w:rsidR="005C7BA9" w:rsidRPr="00F10A5B" w:rsidRDefault="005C7BA9" w:rsidP="0052484F">
            <w:pPr>
              <w:contextualSpacing/>
              <w:rPr>
                <w:rFonts w:cstheme="minorHAnsi"/>
                <w:color w:val="FFFFFF" w:themeColor="background1"/>
                <w:lang w:eastAsia="en-CA"/>
              </w:rPr>
            </w:pPr>
            <w:r w:rsidRPr="00F10A5B">
              <w:rPr>
                <w:rFonts w:cstheme="minorHAnsi"/>
                <w:color w:val="FFFFFF" w:themeColor="background1"/>
                <w:lang w:eastAsia="en-CA"/>
              </w:rPr>
              <w:t xml:space="preserve">art.66 </w:t>
            </w:r>
            <w:r w:rsidRPr="00F10A5B">
              <w:rPr>
                <w:rFonts w:cstheme="minorHAnsi"/>
                <w:color w:val="FFFFFF" w:themeColor="background1"/>
              </w:rPr>
              <w:t xml:space="preserve">Nominations externes (mérite, erreur, omission et conduite irrégulière) </w:t>
            </w:r>
          </w:p>
        </w:tc>
        <w:tc>
          <w:tcPr>
            <w:tcW w:w="482" w:type="pct"/>
            <w:shd w:val="clear" w:color="auto" w:fill="FFFFFF" w:themeFill="background1"/>
            <w:noWrap/>
          </w:tcPr>
          <w:p w14:paraId="534C3B8A"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4</w:t>
            </w:r>
          </w:p>
        </w:tc>
        <w:tc>
          <w:tcPr>
            <w:tcW w:w="847" w:type="pct"/>
            <w:shd w:val="clear" w:color="auto" w:fill="FFFFFF" w:themeFill="background1"/>
            <w:noWrap/>
          </w:tcPr>
          <w:p w14:paraId="2E94FC85"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0</w:t>
            </w:r>
          </w:p>
        </w:tc>
        <w:tc>
          <w:tcPr>
            <w:tcW w:w="556" w:type="pct"/>
            <w:shd w:val="clear" w:color="auto" w:fill="FFFFFF" w:themeFill="background1"/>
            <w:noWrap/>
          </w:tcPr>
          <w:p w14:paraId="24A83690"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4</w:t>
            </w:r>
          </w:p>
        </w:tc>
        <w:tc>
          <w:tcPr>
            <w:tcW w:w="624" w:type="pct"/>
            <w:shd w:val="clear" w:color="auto" w:fill="FFFFFF" w:themeFill="background1"/>
            <w:noWrap/>
          </w:tcPr>
          <w:p w14:paraId="6441E749"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0</w:t>
            </w:r>
          </w:p>
        </w:tc>
        <w:tc>
          <w:tcPr>
            <w:tcW w:w="624" w:type="pct"/>
            <w:shd w:val="clear" w:color="auto" w:fill="FFFFFF" w:themeFill="background1"/>
            <w:noWrap/>
          </w:tcPr>
          <w:p w14:paraId="4F52C578"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0</w:t>
            </w:r>
          </w:p>
        </w:tc>
        <w:tc>
          <w:tcPr>
            <w:tcW w:w="618" w:type="pct"/>
            <w:shd w:val="clear" w:color="auto" w:fill="FFFFFF" w:themeFill="background1"/>
            <w:noWrap/>
          </w:tcPr>
          <w:p w14:paraId="356E604A"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0</w:t>
            </w:r>
          </w:p>
        </w:tc>
      </w:tr>
      <w:tr w:rsidR="006602C5" w:rsidRPr="00F10A5B" w14:paraId="4675C1E4" w14:textId="77777777" w:rsidTr="00393DC8">
        <w:trPr>
          <w:cantSplit/>
          <w:trHeight w:val="397"/>
          <w:tblHeader/>
          <w:jc w:val="center"/>
        </w:trPr>
        <w:tc>
          <w:tcPr>
            <w:tcW w:w="1249" w:type="pct"/>
            <w:shd w:val="clear" w:color="auto" w:fill="54575A" w:themeFill="text1"/>
            <w:hideMark/>
          </w:tcPr>
          <w:p w14:paraId="106601FF" w14:textId="77777777" w:rsidR="005C7BA9" w:rsidRPr="00F10A5B" w:rsidRDefault="005C7BA9" w:rsidP="0052484F">
            <w:pPr>
              <w:contextualSpacing/>
              <w:rPr>
                <w:rFonts w:cstheme="minorHAnsi"/>
                <w:color w:val="FFFFFF" w:themeColor="background1"/>
                <w:lang w:eastAsia="en-CA"/>
              </w:rPr>
            </w:pPr>
            <w:r w:rsidRPr="00F10A5B">
              <w:rPr>
                <w:rFonts w:cstheme="minorHAnsi"/>
                <w:color w:val="FFFFFF" w:themeColor="background1"/>
                <w:lang w:eastAsia="en-CA"/>
              </w:rPr>
              <w:t>art.69 Fraude</w:t>
            </w:r>
          </w:p>
        </w:tc>
        <w:tc>
          <w:tcPr>
            <w:tcW w:w="482" w:type="pct"/>
            <w:shd w:val="clear" w:color="auto" w:fill="FFFFFF" w:themeFill="background1"/>
            <w:noWrap/>
          </w:tcPr>
          <w:p w14:paraId="34674324"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3</w:t>
            </w:r>
          </w:p>
        </w:tc>
        <w:tc>
          <w:tcPr>
            <w:tcW w:w="847" w:type="pct"/>
            <w:shd w:val="clear" w:color="auto" w:fill="FFFFFF" w:themeFill="background1"/>
            <w:noWrap/>
          </w:tcPr>
          <w:p w14:paraId="78879C0F"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3</w:t>
            </w:r>
          </w:p>
        </w:tc>
        <w:tc>
          <w:tcPr>
            <w:tcW w:w="556" w:type="pct"/>
            <w:shd w:val="clear" w:color="auto" w:fill="FFFFFF" w:themeFill="background1"/>
            <w:noWrap/>
          </w:tcPr>
          <w:p w14:paraId="057ADF71"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0</w:t>
            </w:r>
          </w:p>
        </w:tc>
        <w:tc>
          <w:tcPr>
            <w:tcW w:w="624" w:type="pct"/>
            <w:shd w:val="clear" w:color="auto" w:fill="FFFFFF" w:themeFill="background1"/>
            <w:noWrap/>
          </w:tcPr>
          <w:p w14:paraId="55DAAC6B"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0</w:t>
            </w:r>
          </w:p>
        </w:tc>
        <w:tc>
          <w:tcPr>
            <w:tcW w:w="624" w:type="pct"/>
            <w:shd w:val="clear" w:color="auto" w:fill="FFFFFF" w:themeFill="background1"/>
            <w:noWrap/>
          </w:tcPr>
          <w:p w14:paraId="411571D1"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0</w:t>
            </w:r>
          </w:p>
        </w:tc>
        <w:tc>
          <w:tcPr>
            <w:tcW w:w="618" w:type="pct"/>
            <w:shd w:val="clear" w:color="auto" w:fill="FFFFFF" w:themeFill="background1"/>
            <w:noWrap/>
          </w:tcPr>
          <w:p w14:paraId="6EBC3CCF"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3</w:t>
            </w:r>
          </w:p>
        </w:tc>
      </w:tr>
      <w:tr w:rsidR="00BE1B24" w:rsidRPr="00F10A5B" w14:paraId="77F48A7B" w14:textId="77777777" w:rsidTr="00393DC8">
        <w:trPr>
          <w:cantSplit/>
          <w:trHeight w:val="624"/>
          <w:tblHeader/>
          <w:jc w:val="center"/>
        </w:trPr>
        <w:tc>
          <w:tcPr>
            <w:tcW w:w="1249" w:type="pct"/>
            <w:shd w:val="clear" w:color="auto" w:fill="54575A" w:themeFill="text1"/>
            <w:hideMark/>
          </w:tcPr>
          <w:p w14:paraId="2E9C28DD" w14:textId="77777777" w:rsidR="005C7BA9" w:rsidRPr="00F10A5B" w:rsidRDefault="005C7BA9" w:rsidP="0052484F">
            <w:pPr>
              <w:contextualSpacing/>
              <w:rPr>
                <w:rFonts w:cstheme="minorHAnsi"/>
                <w:color w:val="FFFFFF" w:themeColor="background1"/>
                <w:lang w:eastAsia="en-CA"/>
              </w:rPr>
            </w:pPr>
            <w:r w:rsidRPr="00F10A5B">
              <w:rPr>
                <w:rFonts w:cstheme="minorHAnsi"/>
                <w:color w:val="FFFFFF" w:themeColor="background1"/>
                <w:lang w:eastAsia="en-CA"/>
              </w:rPr>
              <w:t>Total</w:t>
            </w:r>
          </w:p>
        </w:tc>
        <w:tc>
          <w:tcPr>
            <w:tcW w:w="482" w:type="pct"/>
            <w:shd w:val="clear" w:color="auto" w:fill="FFFFFF" w:themeFill="background1"/>
            <w:noWrap/>
          </w:tcPr>
          <w:p w14:paraId="37D86261"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7</w:t>
            </w:r>
          </w:p>
        </w:tc>
        <w:tc>
          <w:tcPr>
            <w:tcW w:w="847" w:type="pct"/>
            <w:shd w:val="clear" w:color="auto" w:fill="FFFFFF" w:themeFill="background1"/>
            <w:noWrap/>
          </w:tcPr>
          <w:p w14:paraId="0342F0A5"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3</w:t>
            </w:r>
          </w:p>
        </w:tc>
        <w:tc>
          <w:tcPr>
            <w:tcW w:w="556" w:type="pct"/>
            <w:shd w:val="clear" w:color="auto" w:fill="FFFFFF" w:themeFill="background1"/>
            <w:noWrap/>
          </w:tcPr>
          <w:p w14:paraId="3A168F68"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4</w:t>
            </w:r>
          </w:p>
        </w:tc>
        <w:tc>
          <w:tcPr>
            <w:tcW w:w="624" w:type="pct"/>
            <w:shd w:val="clear" w:color="auto" w:fill="FFFFFF" w:themeFill="background1"/>
            <w:noWrap/>
          </w:tcPr>
          <w:p w14:paraId="0E885BBC"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0</w:t>
            </w:r>
          </w:p>
        </w:tc>
        <w:tc>
          <w:tcPr>
            <w:tcW w:w="624" w:type="pct"/>
            <w:shd w:val="clear" w:color="auto" w:fill="FFFFFF" w:themeFill="background1"/>
            <w:noWrap/>
          </w:tcPr>
          <w:p w14:paraId="2033E256"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0</w:t>
            </w:r>
          </w:p>
        </w:tc>
        <w:tc>
          <w:tcPr>
            <w:tcW w:w="618" w:type="pct"/>
            <w:shd w:val="clear" w:color="auto" w:fill="FFFFFF" w:themeFill="background1"/>
            <w:noWrap/>
          </w:tcPr>
          <w:p w14:paraId="017EC913" w14:textId="77777777" w:rsidR="005C7BA9" w:rsidRPr="00F10A5B" w:rsidRDefault="005C7BA9" w:rsidP="0052484F">
            <w:pPr>
              <w:contextualSpacing/>
              <w:jc w:val="center"/>
              <w:rPr>
                <w:rFonts w:cstheme="minorHAnsi"/>
                <w:color w:val="000000"/>
                <w:lang w:eastAsia="en-CA"/>
              </w:rPr>
            </w:pPr>
            <w:r w:rsidRPr="00F10A5B">
              <w:rPr>
                <w:rFonts w:cstheme="minorHAnsi"/>
                <w:color w:val="000000"/>
                <w:lang w:eastAsia="en-CA"/>
              </w:rPr>
              <w:t>3</w:t>
            </w:r>
          </w:p>
        </w:tc>
      </w:tr>
    </w:tbl>
    <w:p w14:paraId="2B8B027E" w14:textId="5453319A" w:rsidR="00393DC8" w:rsidRPr="000B6BFD" w:rsidRDefault="00393DC8" w:rsidP="00393DC8">
      <w:pPr>
        <w:pStyle w:val="Footer"/>
        <w:rPr>
          <w:rStyle w:val="Emphasis"/>
          <w:rFonts w:cstheme="minorHAnsi"/>
          <w:i/>
        </w:rPr>
      </w:pPr>
      <w:r w:rsidRPr="000B6BFD">
        <w:rPr>
          <w:rStyle w:val="Emphasis"/>
          <w:rFonts w:cstheme="minorHAnsi"/>
        </w:rPr>
        <w:t>Note : La somme des chiffres pourrait ne pas correspondre au total indiqué, car les cas abandonnés, les cas résolus au moyen d’une interv</w:t>
      </w:r>
      <w:r>
        <w:rPr>
          <w:rStyle w:val="Emphasis"/>
          <w:rFonts w:cstheme="minorHAnsi"/>
        </w:rPr>
        <w:t>ention précoce et les cas rares</w:t>
      </w:r>
      <w:r w:rsidRPr="000B6BFD">
        <w:rPr>
          <w:rStyle w:val="Emphasis"/>
          <w:rFonts w:cstheme="minorHAnsi"/>
        </w:rPr>
        <w:t xml:space="preserve"> ne sont pas pris en compte dans le tableau.</w:t>
      </w:r>
    </w:p>
    <w:p w14:paraId="0EEB7458" w14:textId="16A2B1F2" w:rsidR="00393DC8" w:rsidRPr="000B6BFD" w:rsidRDefault="00393DC8" w:rsidP="00393DC8">
      <w:pPr>
        <w:pStyle w:val="Footer"/>
        <w:spacing w:after="120"/>
        <w:rPr>
          <w:rStyle w:val="Emphasis"/>
          <w:rFonts w:cstheme="minorHAnsi"/>
          <w:i/>
        </w:rPr>
      </w:pPr>
      <w:r w:rsidRPr="000B6BFD">
        <w:rPr>
          <w:rStyle w:val="Emphasis"/>
          <w:rFonts w:cstheme="minorHAnsi"/>
        </w:rPr>
        <w:t xml:space="preserve">Note : Les calculs dans chacune des colonnes sont indépendants les uns des autres. Les cas reçus représentent les cas qui ont été reçus durant la période visée, et les cas traités représentent les cas qui ont été traités durant la période visée </w:t>
      </w:r>
    </w:p>
    <w:p w14:paraId="5A7C6616" w14:textId="77777777" w:rsidR="00961A62" w:rsidRPr="00F10A5B" w:rsidRDefault="00961A62" w:rsidP="00502DD6">
      <w:pPr>
        <w:pStyle w:val="Heading2"/>
        <w:spacing w:after="120"/>
        <w:contextualSpacing/>
        <w:rPr>
          <w:u w:val="single"/>
        </w:rPr>
      </w:pPr>
      <w:r w:rsidRPr="00F10A5B">
        <w:t>Résultats du sondage sur la dotation et l’impartialité politique</w:t>
      </w:r>
    </w:p>
    <w:p w14:paraId="54373064" w14:textId="37DAAA41" w:rsidR="0021700E" w:rsidRPr="00F10A5B" w:rsidRDefault="00BA0B23" w:rsidP="00502DD6">
      <w:pPr>
        <w:spacing w:after="120" w:line="240" w:lineRule="auto"/>
        <w:rPr>
          <w:rFonts w:cstheme="minorHAnsi"/>
          <w:color w:val="auto"/>
        </w:rPr>
      </w:pPr>
      <w:r w:rsidRPr="00F10A5B">
        <w:rPr>
          <w:rFonts w:cstheme="minorHAnsi"/>
          <w:color w:val="auto"/>
        </w:rPr>
        <w:t xml:space="preserve">Les résultats du sondage sur la dotation et l’impartialité politique (SDIP) sont </w:t>
      </w:r>
      <w:r w:rsidR="00A7743F" w:rsidRPr="00F10A5B">
        <w:rPr>
          <w:rFonts w:cstheme="minorHAnsi"/>
          <w:color w:val="auto"/>
        </w:rPr>
        <w:t>fondés</w:t>
      </w:r>
      <w:r w:rsidRPr="00F10A5B">
        <w:rPr>
          <w:rFonts w:cstheme="minorHAnsi"/>
          <w:color w:val="auto"/>
        </w:rPr>
        <w:t xml:space="preserve"> sur un taux de répon</w:t>
      </w:r>
      <w:r w:rsidR="004923B3" w:rsidRPr="00F10A5B">
        <w:rPr>
          <w:rFonts w:cstheme="minorHAnsi"/>
          <w:color w:val="auto"/>
        </w:rPr>
        <w:t xml:space="preserve">dants </w:t>
      </w:r>
      <w:r w:rsidRPr="00F10A5B">
        <w:rPr>
          <w:rFonts w:cstheme="minorHAnsi"/>
          <w:color w:val="auto"/>
        </w:rPr>
        <w:t>de 43,5</w:t>
      </w:r>
      <w:r w:rsidR="0095476B" w:rsidRPr="00F10A5B">
        <w:rPr>
          <w:rFonts w:cstheme="minorHAnsi"/>
          <w:color w:val="auto"/>
        </w:rPr>
        <w:t xml:space="preserve"> </w:t>
      </w:r>
      <w:r w:rsidRPr="00F10A5B">
        <w:rPr>
          <w:rFonts w:cstheme="minorHAnsi"/>
          <w:color w:val="auto"/>
        </w:rPr>
        <w:t xml:space="preserve">% pour </w:t>
      </w:r>
      <w:r w:rsidR="0000691F" w:rsidRPr="00F10A5B">
        <w:rPr>
          <w:rFonts w:cstheme="minorHAnsi"/>
          <w:color w:val="auto"/>
        </w:rPr>
        <w:t>AANC</w:t>
      </w:r>
      <w:r w:rsidRPr="00F10A5B">
        <w:rPr>
          <w:rFonts w:cstheme="minorHAnsi"/>
          <w:color w:val="auto"/>
        </w:rPr>
        <w:t>.</w:t>
      </w:r>
      <w:r w:rsidR="0021700E" w:rsidRPr="00F10A5B">
        <w:rPr>
          <w:rFonts w:cstheme="minorHAnsi"/>
          <w:color w:val="auto"/>
        </w:rPr>
        <w:t xml:space="preserve">  Lors de la création de la base de sondage en octobre 2017, le ministère des </w:t>
      </w:r>
      <w:r w:rsidR="00B515EC" w:rsidRPr="00F10A5B">
        <w:rPr>
          <w:rFonts w:cstheme="minorHAnsi"/>
          <w:color w:val="auto"/>
        </w:rPr>
        <w:t>RCAANC</w:t>
      </w:r>
      <w:r w:rsidR="0021700E" w:rsidRPr="00F10A5B">
        <w:rPr>
          <w:rFonts w:cstheme="minorHAnsi"/>
          <w:color w:val="auto"/>
        </w:rPr>
        <w:t xml:space="preserve"> et le ministère </w:t>
      </w:r>
      <w:r w:rsidR="00B515EC" w:rsidRPr="00F10A5B">
        <w:rPr>
          <w:rFonts w:cstheme="minorHAnsi"/>
          <w:color w:val="auto"/>
        </w:rPr>
        <w:t>des SAC</w:t>
      </w:r>
      <w:r w:rsidR="0021700E" w:rsidRPr="00F10A5B">
        <w:rPr>
          <w:rFonts w:cstheme="minorHAnsi"/>
          <w:color w:val="auto"/>
        </w:rPr>
        <w:t xml:space="preserve"> n’existaient pas. Toutefois, ces ministères figurai</w:t>
      </w:r>
      <w:r w:rsidR="004923B3" w:rsidRPr="00F10A5B">
        <w:rPr>
          <w:rFonts w:cstheme="minorHAnsi"/>
          <w:color w:val="auto"/>
        </w:rPr>
        <w:t xml:space="preserve">ent </w:t>
      </w:r>
      <w:r w:rsidR="00C962F6" w:rsidRPr="00F10A5B">
        <w:rPr>
          <w:rFonts w:cstheme="minorHAnsi"/>
          <w:color w:val="auto"/>
        </w:rPr>
        <w:t xml:space="preserve">dans la liste </w:t>
      </w:r>
      <w:r w:rsidR="0021700E" w:rsidRPr="00F10A5B">
        <w:rPr>
          <w:rFonts w:cstheme="minorHAnsi"/>
          <w:color w:val="auto"/>
        </w:rPr>
        <w:t>de sélection en tant que ministères lors de la coll</w:t>
      </w:r>
      <w:r w:rsidR="00797381" w:rsidRPr="00F10A5B">
        <w:rPr>
          <w:rFonts w:cstheme="minorHAnsi"/>
          <w:color w:val="auto"/>
        </w:rPr>
        <w:t xml:space="preserve">ecte des données. Les statistiques </w:t>
      </w:r>
      <w:r w:rsidR="0021700E" w:rsidRPr="00F10A5B">
        <w:rPr>
          <w:rFonts w:cstheme="minorHAnsi"/>
          <w:color w:val="auto"/>
        </w:rPr>
        <w:t xml:space="preserve">de ces deux ministères ont </w:t>
      </w:r>
      <w:r w:rsidR="00AD1358" w:rsidRPr="00F10A5B">
        <w:rPr>
          <w:rFonts w:cstheme="minorHAnsi"/>
          <w:color w:val="auto"/>
        </w:rPr>
        <w:t xml:space="preserve">donc </w:t>
      </w:r>
      <w:r w:rsidR="0021700E" w:rsidRPr="00F10A5B">
        <w:rPr>
          <w:rFonts w:cstheme="minorHAnsi"/>
          <w:color w:val="auto"/>
        </w:rPr>
        <w:t>été combiné</w:t>
      </w:r>
      <w:r w:rsidR="00797381" w:rsidRPr="00F10A5B">
        <w:rPr>
          <w:rFonts w:cstheme="minorHAnsi"/>
          <w:color w:val="auto"/>
        </w:rPr>
        <w:t>e</w:t>
      </w:r>
      <w:r w:rsidR="0021700E" w:rsidRPr="00F10A5B">
        <w:rPr>
          <w:rFonts w:cstheme="minorHAnsi"/>
          <w:color w:val="auto"/>
        </w:rPr>
        <w:t>s à ceux d’A</w:t>
      </w:r>
      <w:r w:rsidR="00B515EC" w:rsidRPr="00F10A5B">
        <w:rPr>
          <w:rFonts w:cstheme="minorHAnsi"/>
          <w:color w:val="auto"/>
        </w:rPr>
        <w:t>ANC</w:t>
      </w:r>
      <w:r w:rsidR="00797381" w:rsidRPr="00F10A5B">
        <w:rPr>
          <w:rFonts w:cstheme="minorHAnsi"/>
          <w:color w:val="auto"/>
        </w:rPr>
        <w:t xml:space="preserve"> pour fins de résultat</w:t>
      </w:r>
      <w:r w:rsidR="0021700E" w:rsidRPr="00F10A5B">
        <w:rPr>
          <w:rFonts w:cstheme="minorHAnsi"/>
          <w:color w:val="auto"/>
        </w:rPr>
        <w:t>.</w:t>
      </w:r>
    </w:p>
    <w:p w14:paraId="7946BE2A" w14:textId="77777777" w:rsidR="00502DD6" w:rsidRPr="00F10A5B" w:rsidRDefault="00961A62" w:rsidP="00502DD6">
      <w:pPr>
        <w:spacing w:after="120" w:line="240" w:lineRule="auto"/>
        <w:rPr>
          <w:rFonts w:cstheme="minorHAnsi"/>
          <w:color w:val="auto"/>
        </w:rPr>
      </w:pPr>
      <w:r w:rsidRPr="00F10A5B">
        <w:rPr>
          <w:rFonts w:cstheme="minorHAnsi"/>
          <w:color w:val="auto"/>
        </w:rPr>
        <w:lastRenderedPageBreak/>
        <w:t>Dans l’ensemble, les résultats du SDIP</w:t>
      </w:r>
      <w:r w:rsidR="00FB7DC3" w:rsidRPr="00F10A5B">
        <w:rPr>
          <w:rFonts w:cstheme="minorHAnsi"/>
          <w:color w:val="auto"/>
        </w:rPr>
        <w:t xml:space="preserve"> </w:t>
      </w:r>
      <w:r w:rsidR="008723B0" w:rsidRPr="00F10A5B">
        <w:rPr>
          <w:rFonts w:cstheme="minorHAnsi"/>
          <w:color w:val="auto"/>
        </w:rPr>
        <w:t xml:space="preserve">pour </w:t>
      </w:r>
      <w:r w:rsidR="0000691F" w:rsidRPr="00F10A5B">
        <w:rPr>
          <w:rFonts w:cstheme="minorHAnsi"/>
          <w:color w:val="auto"/>
        </w:rPr>
        <w:t>AANC</w:t>
      </w:r>
      <w:r w:rsidRPr="00F10A5B">
        <w:rPr>
          <w:rFonts w:cstheme="minorHAnsi"/>
          <w:color w:val="auto"/>
        </w:rPr>
        <w:t xml:space="preserve"> présentent certaines incohérences</w:t>
      </w:r>
      <w:r w:rsidRPr="00F10A5B">
        <w:rPr>
          <w:rFonts w:cstheme="minorHAnsi"/>
          <w:b/>
          <w:color w:val="auto"/>
        </w:rPr>
        <w:t xml:space="preserve"> </w:t>
      </w:r>
      <w:r w:rsidRPr="00F10A5B">
        <w:rPr>
          <w:rFonts w:cstheme="minorHAnsi"/>
          <w:color w:val="auto"/>
        </w:rPr>
        <w:t>par rapport à d’autres grandes organisations à la fonction publique.</w:t>
      </w:r>
      <w:r w:rsidR="001A75B9" w:rsidRPr="00F10A5B">
        <w:rPr>
          <w:rFonts w:cstheme="minorHAnsi"/>
          <w:color w:val="auto"/>
        </w:rPr>
        <w:t xml:space="preserve"> De plus, vous constaterez un écart entre la façon dont les conseillers en dotation se perçoivent comparé à la perception des gestionnaires</w:t>
      </w:r>
      <w:r w:rsidR="000C3136" w:rsidRPr="00F10A5B">
        <w:rPr>
          <w:rFonts w:cstheme="minorHAnsi"/>
          <w:color w:val="auto"/>
        </w:rPr>
        <w:t xml:space="preserve"> </w:t>
      </w:r>
      <w:r w:rsidR="00C64569" w:rsidRPr="00F10A5B">
        <w:rPr>
          <w:rFonts w:cstheme="minorHAnsi"/>
          <w:color w:val="auto"/>
        </w:rPr>
        <w:t xml:space="preserve">envers </w:t>
      </w:r>
      <w:r w:rsidR="000C3136" w:rsidRPr="00F10A5B">
        <w:rPr>
          <w:rFonts w:cstheme="minorHAnsi"/>
          <w:color w:val="auto"/>
        </w:rPr>
        <w:t>les services reçus</w:t>
      </w:r>
      <w:r w:rsidR="001A75B9" w:rsidRPr="00F10A5B">
        <w:rPr>
          <w:rFonts w:cstheme="minorHAnsi"/>
          <w:color w:val="auto"/>
        </w:rPr>
        <w:t>.</w:t>
      </w:r>
    </w:p>
    <w:p w14:paraId="14FB0677" w14:textId="2F656E3E" w:rsidR="00026F04" w:rsidRPr="00F10A5B" w:rsidRDefault="00961A62" w:rsidP="00DA196D">
      <w:pPr>
        <w:spacing w:after="0" w:line="240" w:lineRule="auto"/>
        <w:contextualSpacing/>
        <w:rPr>
          <w:rFonts w:cstheme="minorHAnsi"/>
          <w:color w:val="auto"/>
        </w:rPr>
      </w:pPr>
      <w:r w:rsidRPr="00F10A5B">
        <w:rPr>
          <w:rFonts w:cstheme="minorHAnsi"/>
          <w:color w:val="auto"/>
        </w:rPr>
        <w:t>Vous trouverez ci-dessous les principales conclu</w:t>
      </w:r>
      <w:r w:rsidR="008723B0" w:rsidRPr="00F10A5B">
        <w:rPr>
          <w:rFonts w:cstheme="minorHAnsi"/>
          <w:color w:val="auto"/>
        </w:rPr>
        <w:t xml:space="preserve">sions des résultats SDIP 2018 pour </w:t>
      </w:r>
      <w:r w:rsidR="0000691F" w:rsidRPr="00F10A5B">
        <w:rPr>
          <w:rFonts w:cstheme="minorHAnsi"/>
          <w:color w:val="auto"/>
        </w:rPr>
        <w:t>AANC</w:t>
      </w:r>
      <w:r w:rsidR="00D26387" w:rsidRPr="00F10A5B">
        <w:rPr>
          <w:rFonts w:cstheme="minorHAnsi"/>
          <w:color w:val="auto"/>
        </w:rPr>
        <w:t xml:space="preserve"> </w:t>
      </w:r>
      <w:r w:rsidR="0021700E" w:rsidRPr="00F10A5B">
        <w:rPr>
          <w:rFonts w:cstheme="minorHAnsi"/>
          <w:color w:val="auto"/>
        </w:rPr>
        <w:t xml:space="preserve">: </w:t>
      </w:r>
    </w:p>
    <w:p w14:paraId="7D33B761" w14:textId="77777777" w:rsidR="008723B0" w:rsidRPr="00F10A5B" w:rsidRDefault="008723B0" w:rsidP="00DA196D">
      <w:pPr>
        <w:pStyle w:val="ListParagraph"/>
        <w:keepLines w:val="0"/>
        <w:numPr>
          <w:ilvl w:val="0"/>
          <w:numId w:val="9"/>
        </w:numPr>
        <w:autoSpaceDE w:val="0"/>
        <w:autoSpaceDN w:val="0"/>
        <w:adjustRightInd w:val="0"/>
        <w:spacing w:after="0" w:line="240" w:lineRule="auto"/>
        <w:rPr>
          <w:rFonts w:cstheme="minorHAnsi"/>
          <w:color w:val="auto"/>
          <w:sz w:val="24"/>
          <w:szCs w:val="24"/>
        </w:rPr>
      </w:pPr>
      <w:r w:rsidRPr="00F10A5B">
        <w:rPr>
          <w:rFonts w:cstheme="minorHAnsi"/>
          <w:color w:val="auto"/>
        </w:rPr>
        <w:t xml:space="preserve">100 % des </w:t>
      </w:r>
      <w:r w:rsidRPr="00F10A5B">
        <w:rPr>
          <w:rStyle w:val="Strong"/>
        </w:rPr>
        <w:t>conseillers en dotation</w:t>
      </w:r>
      <w:r w:rsidRPr="00F10A5B">
        <w:rPr>
          <w:rFonts w:cstheme="minorHAnsi"/>
          <w:b/>
          <w:bCs/>
          <w:color w:val="auto"/>
        </w:rPr>
        <w:t xml:space="preserve"> </w:t>
      </w:r>
      <w:r w:rsidRPr="00F10A5B">
        <w:rPr>
          <w:rFonts w:cstheme="minorHAnsi"/>
          <w:color w:val="auto"/>
        </w:rPr>
        <w:t>ont indiqué qu'ils ont confiance en leur capacité à fournir aux gestionnaires des conseils utiles en matière de dotation</w:t>
      </w:r>
      <w:r w:rsidRPr="00F10A5B">
        <w:rPr>
          <w:rFonts w:cstheme="minorHAnsi"/>
          <w:noProof/>
          <w:color w:val="auto"/>
          <w:lang w:eastAsia="en-CA"/>
        </w:rPr>
        <w:t xml:space="preserve">, contre 98,3 % dans des organisations d’une taille semblable et 98,3 % dans l’ensemble des organisations de la fonction publique fédérale. </w:t>
      </w:r>
    </w:p>
    <w:p w14:paraId="440EEE43" w14:textId="77777777" w:rsidR="000C3EA5" w:rsidRPr="00F10A5B" w:rsidRDefault="000C3EA5" w:rsidP="00DA196D">
      <w:pPr>
        <w:keepLines w:val="0"/>
        <w:numPr>
          <w:ilvl w:val="0"/>
          <w:numId w:val="9"/>
        </w:numPr>
        <w:spacing w:after="0" w:line="240" w:lineRule="auto"/>
        <w:contextualSpacing/>
        <w:rPr>
          <w:rFonts w:cstheme="minorHAnsi"/>
          <w:noProof/>
          <w:color w:val="auto"/>
          <w:lang w:eastAsia="en-CA"/>
        </w:rPr>
      </w:pPr>
      <w:r w:rsidRPr="00F10A5B">
        <w:rPr>
          <w:rFonts w:cstheme="minorHAnsi"/>
          <w:color w:val="auto"/>
        </w:rPr>
        <w:t>49</w:t>
      </w:r>
      <w:r w:rsidR="00007994" w:rsidRPr="00F10A5B">
        <w:rPr>
          <w:rFonts w:cstheme="minorHAnsi"/>
          <w:color w:val="auto"/>
        </w:rPr>
        <w:t>,</w:t>
      </w:r>
      <w:r w:rsidRPr="00F10A5B">
        <w:rPr>
          <w:rFonts w:cstheme="minorHAnsi"/>
          <w:color w:val="auto"/>
        </w:rPr>
        <w:t xml:space="preserve">4 % des </w:t>
      </w:r>
      <w:r w:rsidRPr="00F10A5B">
        <w:rPr>
          <w:rStyle w:val="Strong"/>
        </w:rPr>
        <w:t>gestionnaires</w:t>
      </w:r>
      <w:r w:rsidRPr="00F10A5B">
        <w:rPr>
          <w:rFonts w:cstheme="minorHAnsi"/>
          <w:b/>
          <w:bCs/>
          <w:color w:val="auto"/>
        </w:rPr>
        <w:t xml:space="preserve"> </w:t>
      </w:r>
      <w:r w:rsidRPr="00F10A5B">
        <w:rPr>
          <w:rFonts w:cstheme="minorHAnsi"/>
          <w:color w:val="auto"/>
        </w:rPr>
        <w:t>ont convenu que, dans l'ensemble, ils étaient satisfaits des services de dotation qu'ils ont reçus de leur organisation</w:t>
      </w:r>
      <w:r w:rsidRPr="00F10A5B">
        <w:rPr>
          <w:rFonts w:cstheme="minorHAnsi"/>
          <w:noProof/>
          <w:color w:val="auto"/>
          <w:lang w:eastAsia="en-CA"/>
        </w:rPr>
        <w:t>, contre 57,7 % dans des organisations d’une taille semblable et 59,4 % dans l’ensemble des organisations de la fonction publique fédérale.</w:t>
      </w:r>
    </w:p>
    <w:p w14:paraId="0BD75B15" w14:textId="77777777" w:rsidR="00453E26" w:rsidRPr="00F10A5B" w:rsidRDefault="00453E26" w:rsidP="00DA196D">
      <w:pPr>
        <w:keepLines w:val="0"/>
        <w:numPr>
          <w:ilvl w:val="0"/>
          <w:numId w:val="9"/>
        </w:numPr>
        <w:autoSpaceDE w:val="0"/>
        <w:autoSpaceDN w:val="0"/>
        <w:adjustRightInd w:val="0"/>
        <w:spacing w:after="0" w:line="240" w:lineRule="auto"/>
        <w:contextualSpacing/>
        <w:rPr>
          <w:rFonts w:cstheme="minorHAnsi"/>
          <w:color w:val="auto"/>
        </w:rPr>
      </w:pPr>
      <w:r w:rsidRPr="00F10A5B">
        <w:rPr>
          <w:rFonts w:cstheme="minorHAnsi"/>
          <w:bCs/>
          <w:color w:val="auto"/>
        </w:rPr>
        <w:t>55,9</w:t>
      </w:r>
      <w:r w:rsidR="003A6422" w:rsidRPr="00F10A5B">
        <w:rPr>
          <w:rFonts w:cstheme="minorHAnsi"/>
          <w:bCs/>
          <w:color w:val="auto"/>
        </w:rPr>
        <w:t xml:space="preserve"> </w:t>
      </w:r>
      <w:r w:rsidRPr="00F10A5B">
        <w:rPr>
          <w:rFonts w:cstheme="minorHAnsi"/>
          <w:bCs/>
          <w:color w:val="auto"/>
        </w:rPr>
        <w:t xml:space="preserve">% des </w:t>
      </w:r>
      <w:r w:rsidRPr="00F10A5B">
        <w:rPr>
          <w:rStyle w:val="Strong"/>
        </w:rPr>
        <w:t xml:space="preserve">employés </w:t>
      </w:r>
      <w:r w:rsidRPr="00F10A5B">
        <w:rPr>
          <w:rFonts w:cstheme="minorHAnsi"/>
          <w:color w:val="auto"/>
        </w:rPr>
        <w:t xml:space="preserve">ont indiqué que les personnes embauchées dans leur unité de travail peuvent effectuer le travail, </w:t>
      </w:r>
      <w:r w:rsidRPr="00F10A5B">
        <w:rPr>
          <w:rFonts w:cstheme="minorHAnsi"/>
          <w:noProof/>
          <w:color w:val="auto"/>
          <w:lang w:eastAsia="en-CA"/>
        </w:rPr>
        <w:t xml:space="preserve">contre 52,3 % dans des organisations d’une taille semblable et 53,8 % dans l’ensemble des organisations de la fonction publique fédérale. </w:t>
      </w:r>
    </w:p>
    <w:p w14:paraId="5FCDE6D4" w14:textId="77777777" w:rsidR="00453E26" w:rsidRPr="00F10A5B" w:rsidRDefault="00453E26" w:rsidP="00DA196D">
      <w:pPr>
        <w:keepLines w:val="0"/>
        <w:numPr>
          <w:ilvl w:val="0"/>
          <w:numId w:val="9"/>
        </w:numPr>
        <w:autoSpaceDE w:val="0"/>
        <w:autoSpaceDN w:val="0"/>
        <w:adjustRightInd w:val="0"/>
        <w:spacing w:after="0" w:line="240" w:lineRule="auto"/>
        <w:contextualSpacing/>
        <w:rPr>
          <w:rFonts w:cstheme="minorHAnsi"/>
          <w:color w:val="auto"/>
        </w:rPr>
      </w:pPr>
      <w:r w:rsidRPr="00F10A5B">
        <w:rPr>
          <w:rFonts w:cstheme="minorHAnsi"/>
          <w:bCs/>
          <w:color w:val="auto"/>
        </w:rPr>
        <w:t>59,8</w:t>
      </w:r>
      <w:r w:rsidR="003A6422" w:rsidRPr="00F10A5B">
        <w:rPr>
          <w:rFonts w:cstheme="minorHAnsi"/>
          <w:bCs/>
          <w:color w:val="auto"/>
        </w:rPr>
        <w:t xml:space="preserve"> </w:t>
      </w:r>
      <w:r w:rsidRPr="00F10A5B">
        <w:rPr>
          <w:rFonts w:cstheme="minorHAnsi"/>
          <w:bCs/>
          <w:color w:val="auto"/>
        </w:rPr>
        <w:t>% des</w:t>
      </w:r>
      <w:r w:rsidRPr="00F10A5B">
        <w:rPr>
          <w:rFonts w:cstheme="minorHAnsi"/>
          <w:b/>
          <w:bCs/>
          <w:color w:val="auto"/>
        </w:rPr>
        <w:t xml:space="preserve"> </w:t>
      </w:r>
      <w:r w:rsidRPr="00F10A5B">
        <w:rPr>
          <w:rStyle w:val="Strong"/>
        </w:rPr>
        <w:t xml:space="preserve">gestionnaires </w:t>
      </w:r>
      <w:r w:rsidRPr="00F10A5B">
        <w:rPr>
          <w:rFonts w:cstheme="minorHAnsi"/>
          <w:color w:val="auto"/>
        </w:rPr>
        <w:t xml:space="preserve">ont indiqué que la NOD a amélioré la façon d'embaucher et de nommer les candidats au sein de leur organisation, </w:t>
      </w:r>
      <w:r w:rsidRPr="00F10A5B">
        <w:rPr>
          <w:rFonts w:cstheme="minorHAnsi"/>
          <w:noProof/>
          <w:color w:val="auto"/>
          <w:lang w:eastAsia="en-CA"/>
        </w:rPr>
        <w:t xml:space="preserve">contre 54,4 % dans des organisations d’une taille semblable et 56,1 % dans l’ensemble des organisations de la fonction publique fédérale. </w:t>
      </w:r>
    </w:p>
    <w:p w14:paraId="791D47AD" w14:textId="77777777" w:rsidR="00453E26" w:rsidRPr="00F10A5B" w:rsidRDefault="00453E26" w:rsidP="00502DD6">
      <w:pPr>
        <w:keepLines w:val="0"/>
        <w:numPr>
          <w:ilvl w:val="0"/>
          <w:numId w:val="9"/>
        </w:numPr>
        <w:spacing w:after="120" w:line="240" w:lineRule="auto"/>
        <w:contextualSpacing/>
        <w:rPr>
          <w:rFonts w:cstheme="minorHAnsi"/>
          <w:noProof/>
          <w:color w:val="auto"/>
          <w:lang w:eastAsia="en-CA"/>
        </w:rPr>
      </w:pPr>
      <w:r w:rsidRPr="00F10A5B">
        <w:rPr>
          <w:rFonts w:cstheme="minorHAnsi"/>
          <w:color w:val="auto"/>
        </w:rPr>
        <w:t>91,6</w:t>
      </w:r>
      <w:r w:rsidR="003A6422" w:rsidRPr="00F10A5B">
        <w:rPr>
          <w:rFonts w:cstheme="minorHAnsi"/>
          <w:color w:val="auto"/>
        </w:rPr>
        <w:t xml:space="preserve"> </w:t>
      </w:r>
      <w:r w:rsidRPr="00F10A5B">
        <w:rPr>
          <w:rFonts w:cstheme="minorHAnsi"/>
          <w:color w:val="auto"/>
        </w:rPr>
        <w:t xml:space="preserve">% des </w:t>
      </w:r>
      <w:r w:rsidRPr="00F10A5B">
        <w:rPr>
          <w:rStyle w:val="Strong"/>
        </w:rPr>
        <w:t>gestionnaires</w:t>
      </w:r>
      <w:r w:rsidRPr="00F10A5B">
        <w:rPr>
          <w:rFonts w:cstheme="minorHAnsi"/>
          <w:b/>
          <w:bCs/>
          <w:color w:val="auto"/>
        </w:rPr>
        <w:t xml:space="preserve"> </w:t>
      </w:r>
      <w:r w:rsidRPr="00F10A5B">
        <w:rPr>
          <w:rFonts w:cstheme="minorHAnsi"/>
          <w:color w:val="auto"/>
        </w:rPr>
        <w:t xml:space="preserve">ont indiqué que le processus administratif de dotation dans leur organisation est lourd, </w:t>
      </w:r>
      <w:r w:rsidRPr="00F10A5B">
        <w:rPr>
          <w:rFonts w:cstheme="minorHAnsi"/>
          <w:noProof/>
          <w:color w:val="auto"/>
          <w:lang w:eastAsia="en-CA"/>
        </w:rPr>
        <w:t>contre 88,6 % dans des organisations d’une taille semblable et 80,1 % dans l’ensemble des organisations de la fonction publique fédérale.</w:t>
      </w:r>
    </w:p>
    <w:p w14:paraId="6CB788AE" w14:textId="77777777" w:rsidR="00961A62" w:rsidRPr="00393DC8" w:rsidRDefault="00961A62" w:rsidP="00502DD6">
      <w:pPr>
        <w:pStyle w:val="Heading1"/>
        <w:spacing w:after="120"/>
        <w:contextualSpacing/>
        <w:rPr>
          <w:color w:val="auto"/>
        </w:rPr>
      </w:pPr>
      <w:r w:rsidRPr="00393DC8">
        <w:rPr>
          <w:color w:val="auto"/>
        </w:rPr>
        <w:t>Profil de la diversité</w:t>
      </w:r>
    </w:p>
    <w:p w14:paraId="521E4613" w14:textId="77777777" w:rsidR="006602C5" w:rsidRPr="00F10A5B" w:rsidRDefault="00C64569" w:rsidP="00502DD6">
      <w:pPr>
        <w:spacing w:after="120" w:line="240" w:lineRule="auto"/>
        <w:rPr>
          <w:rFonts w:cstheme="minorHAnsi"/>
          <w:color w:val="auto"/>
        </w:rPr>
        <w:sectPr w:rsidR="006602C5" w:rsidRPr="00F10A5B" w:rsidSect="00E54C20">
          <w:pgSz w:w="12240" w:h="15840"/>
          <w:pgMar w:top="1440" w:right="1440" w:bottom="1440" w:left="1440" w:header="708" w:footer="283" w:gutter="0"/>
          <w:cols w:space="708"/>
          <w:titlePg/>
          <w:docGrid w:linePitch="360"/>
        </w:sectPr>
      </w:pPr>
      <w:r w:rsidRPr="00F10A5B">
        <w:rPr>
          <w:rFonts w:cstheme="minorHAnsi"/>
          <w:color w:val="auto"/>
        </w:rPr>
        <w:t>I</w:t>
      </w:r>
      <w:r w:rsidR="00AD1358" w:rsidRPr="00F10A5B">
        <w:rPr>
          <w:rFonts w:cstheme="minorHAnsi"/>
          <w:color w:val="auto"/>
        </w:rPr>
        <w:t xml:space="preserve">l est </w:t>
      </w:r>
      <w:r w:rsidRPr="00F10A5B">
        <w:rPr>
          <w:rFonts w:cstheme="minorHAnsi"/>
          <w:color w:val="auto"/>
        </w:rPr>
        <w:t>important</w:t>
      </w:r>
      <w:r w:rsidR="00AD1358" w:rsidRPr="00F10A5B">
        <w:rPr>
          <w:rFonts w:cstheme="minorHAnsi"/>
          <w:color w:val="auto"/>
        </w:rPr>
        <w:t xml:space="preserve"> de mentionner que </w:t>
      </w:r>
      <w:r w:rsidR="00837ABE" w:rsidRPr="00F10A5B">
        <w:rPr>
          <w:rFonts w:cstheme="minorHAnsi"/>
          <w:color w:val="auto"/>
        </w:rPr>
        <w:t>le codage</w:t>
      </w:r>
      <w:r w:rsidR="0095533B" w:rsidRPr="00F10A5B">
        <w:rPr>
          <w:rFonts w:cstheme="minorHAnsi"/>
          <w:color w:val="auto"/>
        </w:rPr>
        <w:t xml:space="preserve"> organisationnel</w:t>
      </w:r>
      <w:r w:rsidR="00837ABE" w:rsidRPr="00F10A5B">
        <w:rPr>
          <w:rFonts w:cstheme="minorHAnsi"/>
          <w:color w:val="auto"/>
        </w:rPr>
        <w:t xml:space="preserve"> pour </w:t>
      </w:r>
      <w:r w:rsidR="001B315D" w:rsidRPr="00F10A5B">
        <w:rPr>
          <w:rFonts w:cstheme="minorHAnsi"/>
          <w:color w:val="auto"/>
        </w:rPr>
        <w:t xml:space="preserve">SAC </w:t>
      </w:r>
      <w:r w:rsidR="00C74136" w:rsidRPr="00F10A5B">
        <w:rPr>
          <w:rFonts w:cstheme="minorHAnsi"/>
          <w:color w:val="auto"/>
        </w:rPr>
        <w:t>n’</w:t>
      </w:r>
      <w:r w:rsidR="0095533B" w:rsidRPr="00F10A5B">
        <w:rPr>
          <w:rFonts w:cstheme="minorHAnsi"/>
          <w:color w:val="auto"/>
        </w:rPr>
        <w:t>a été inséré</w:t>
      </w:r>
      <w:r w:rsidR="00837ABE" w:rsidRPr="00F10A5B">
        <w:rPr>
          <w:rFonts w:cstheme="minorHAnsi"/>
          <w:color w:val="auto"/>
        </w:rPr>
        <w:t xml:space="preserve"> au système de paye</w:t>
      </w:r>
      <w:r w:rsidR="001B315D" w:rsidRPr="00F10A5B">
        <w:rPr>
          <w:rFonts w:cstheme="minorHAnsi"/>
          <w:color w:val="auto"/>
        </w:rPr>
        <w:t xml:space="preserve"> </w:t>
      </w:r>
      <w:r w:rsidRPr="00F10A5B">
        <w:rPr>
          <w:rFonts w:cstheme="minorHAnsi"/>
          <w:color w:val="auto"/>
        </w:rPr>
        <w:t>qu’</w:t>
      </w:r>
      <w:r w:rsidR="001B315D" w:rsidRPr="00F10A5B">
        <w:rPr>
          <w:rFonts w:cstheme="minorHAnsi"/>
          <w:color w:val="auto"/>
        </w:rPr>
        <w:t>à la fin septem</w:t>
      </w:r>
      <w:r w:rsidR="00837ABE" w:rsidRPr="00F10A5B">
        <w:rPr>
          <w:rFonts w:cstheme="minorHAnsi"/>
          <w:color w:val="auto"/>
        </w:rPr>
        <w:t>bre 2020</w:t>
      </w:r>
      <w:r w:rsidR="00AD1358" w:rsidRPr="00F10A5B">
        <w:rPr>
          <w:rFonts w:cstheme="minorHAnsi"/>
          <w:color w:val="auto"/>
        </w:rPr>
        <w:t>.</w:t>
      </w:r>
      <w:r w:rsidR="001B315D" w:rsidRPr="00F10A5B">
        <w:rPr>
          <w:rFonts w:cstheme="minorHAnsi"/>
          <w:color w:val="auto"/>
        </w:rPr>
        <w:t xml:space="preserve"> </w:t>
      </w:r>
      <w:r w:rsidR="00AD1358" w:rsidRPr="00F10A5B">
        <w:rPr>
          <w:rFonts w:cstheme="minorHAnsi"/>
          <w:color w:val="auto"/>
        </w:rPr>
        <w:t xml:space="preserve">Ainsi, </w:t>
      </w:r>
      <w:r w:rsidR="001B315D" w:rsidRPr="00F10A5B">
        <w:rPr>
          <w:rFonts w:cstheme="minorHAnsi"/>
          <w:color w:val="auto"/>
        </w:rPr>
        <w:t xml:space="preserve">l’organisation ne </w:t>
      </w:r>
      <w:r w:rsidR="00AD1358" w:rsidRPr="00F10A5B">
        <w:rPr>
          <w:rFonts w:cstheme="minorHAnsi"/>
          <w:color w:val="auto"/>
        </w:rPr>
        <w:t>pourra rendre compte de la représentativité des groupes sous-représentés</w:t>
      </w:r>
      <w:r w:rsidR="001B315D" w:rsidRPr="00F10A5B">
        <w:rPr>
          <w:rFonts w:cstheme="minorHAnsi"/>
          <w:color w:val="auto"/>
        </w:rPr>
        <w:t xml:space="preserve"> en matière d’équité en matière d’emploi qu’à l’automne 2021. Cependant, les statistiques sur les Autochtones ont été compilées à l'aide du formulaire de déclaration volontaire des employés</w:t>
      </w:r>
      <w:r w:rsidR="00473941" w:rsidRPr="00F10A5B">
        <w:rPr>
          <w:rFonts w:cstheme="minorHAnsi"/>
          <w:color w:val="auto"/>
        </w:rPr>
        <w:t xml:space="preserve"> de SAC</w:t>
      </w:r>
      <w:r w:rsidR="001B315D" w:rsidRPr="00F10A5B">
        <w:rPr>
          <w:rFonts w:cstheme="minorHAnsi"/>
          <w:color w:val="auto"/>
        </w:rPr>
        <w:t> et démontrent un très bon niveau de représentation pour les Autochtone</w:t>
      </w:r>
      <w:r w:rsidR="00AD1358" w:rsidRPr="00F10A5B">
        <w:rPr>
          <w:rFonts w:cstheme="minorHAnsi"/>
          <w:color w:val="auto"/>
        </w:rPr>
        <w:t>s</w:t>
      </w:r>
      <w:r w:rsidR="007B3246" w:rsidRPr="00F10A5B">
        <w:rPr>
          <w:rFonts w:cstheme="minorHAnsi"/>
          <w:color w:val="auto"/>
        </w:rPr>
        <w:t xml:space="preserve"> </w:t>
      </w:r>
    </w:p>
    <w:p w14:paraId="39D779BD" w14:textId="3A0964D1" w:rsidR="00BE1B24" w:rsidRPr="00F10A5B" w:rsidRDefault="00BE1B24" w:rsidP="00BE1B24">
      <w:pPr>
        <w:pStyle w:val="Caption"/>
        <w:keepNext/>
        <w:spacing w:after="0"/>
        <w:rPr>
          <w:i w:val="0"/>
          <w:color w:val="auto"/>
        </w:rPr>
      </w:pPr>
      <w:r w:rsidRPr="00F10A5B">
        <w:rPr>
          <w:i w:val="0"/>
          <w:color w:val="auto"/>
        </w:rPr>
        <w:lastRenderedPageBreak/>
        <w:t xml:space="preserve">Table </w:t>
      </w:r>
      <w:r w:rsidRPr="00F10A5B">
        <w:rPr>
          <w:i w:val="0"/>
          <w:color w:val="auto"/>
        </w:rPr>
        <w:fldChar w:fldCharType="begin"/>
      </w:r>
      <w:r w:rsidRPr="00F10A5B">
        <w:rPr>
          <w:i w:val="0"/>
          <w:color w:val="auto"/>
        </w:rPr>
        <w:instrText xml:space="preserve"> SEQ Table \* ARABIC </w:instrText>
      </w:r>
      <w:r w:rsidRPr="00F10A5B">
        <w:rPr>
          <w:i w:val="0"/>
          <w:color w:val="auto"/>
        </w:rPr>
        <w:fldChar w:fldCharType="separate"/>
      </w:r>
      <w:r w:rsidR="007B3B19" w:rsidRPr="00F10A5B">
        <w:rPr>
          <w:i w:val="0"/>
          <w:noProof/>
          <w:color w:val="auto"/>
        </w:rPr>
        <w:t>2</w:t>
      </w:r>
      <w:r w:rsidRPr="00F10A5B">
        <w:rPr>
          <w:i w:val="0"/>
          <w:color w:val="auto"/>
        </w:rPr>
        <w:fldChar w:fldCharType="end"/>
      </w:r>
      <w:r w:rsidRPr="00F10A5B">
        <w:rPr>
          <w:i w:val="0"/>
          <w:color w:val="auto"/>
        </w:rPr>
        <w:t xml:space="preserve"> - Profil de la diversité</w:t>
      </w:r>
    </w:p>
    <w:tbl>
      <w:tblPr>
        <w:tblStyle w:val="TableGrid"/>
        <w:tblW w:w="0" w:type="auto"/>
        <w:jc w:val="center"/>
        <w:tblLook w:val="04A0" w:firstRow="1" w:lastRow="0" w:firstColumn="1" w:lastColumn="0" w:noHBand="0" w:noVBand="1"/>
        <w:tblDescription w:val="Profil de la diversité"/>
      </w:tblPr>
      <w:tblGrid>
        <w:gridCol w:w="2311"/>
        <w:gridCol w:w="2299"/>
        <w:gridCol w:w="2313"/>
        <w:gridCol w:w="2427"/>
      </w:tblGrid>
      <w:tr w:rsidR="006602C5" w:rsidRPr="00F10A5B" w14:paraId="169B9108" w14:textId="77777777" w:rsidTr="00BE1B24">
        <w:trPr>
          <w:cantSplit/>
          <w:trHeight w:val="1022"/>
          <w:tblHeader/>
          <w:jc w:val="center"/>
        </w:trPr>
        <w:tc>
          <w:tcPr>
            <w:tcW w:w="2311" w:type="dxa"/>
            <w:shd w:val="clear" w:color="auto" w:fill="54575A" w:themeFill="text1"/>
            <w:hideMark/>
          </w:tcPr>
          <w:p w14:paraId="3D89E59C" w14:textId="77777777" w:rsidR="006602C5" w:rsidRPr="00F10A5B" w:rsidRDefault="006602C5" w:rsidP="006602C5">
            <w:pPr>
              <w:pStyle w:val="TableTitle"/>
              <w:rPr>
                <w:rFonts w:cs="Segoe UI Semibold"/>
                <w:color w:val="FFFFFF" w:themeColor="background1"/>
              </w:rPr>
            </w:pPr>
            <w:r w:rsidRPr="00F10A5B">
              <w:rPr>
                <w:rFonts w:cs="Segoe UI Semibold"/>
                <w:color w:val="FFFFFF" w:themeColor="background1"/>
              </w:rPr>
              <w:t>Groupe désigné</w:t>
            </w:r>
          </w:p>
        </w:tc>
        <w:tc>
          <w:tcPr>
            <w:tcW w:w="2299" w:type="dxa"/>
            <w:shd w:val="clear" w:color="auto" w:fill="54575A" w:themeFill="text1"/>
            <w:hideMark/>
          </w:tcPr>
          <w:p w14:paraId="6E3A5B40" w14:textId="77777777" w:rsidR="006602C5" w:rsidRPr="00F10A5B" w:rsidRDefault="006602C5" w:rsidP="006602C5">
            <w:pPr>
              <w:pStyle w:val="TableTitle"/>
              <w:rPr>
                <w:rFonts w:cs="Segoe UI Semibold"/>
                <w:color w:val="FFFFFF" w:themeColor="background1"/>
              </w:rPr>
            </w:pPr>
            <w:r w:rsidRPr="00F10A5B">
              <w:rPr>
                <w:rFonts w:cs="Segoe UI Semibold"/>
                <w:color w:val="FFFFFF" w:themeColor="background1"/>
              </w:rPr>
              <w:t>Disponibilité au sein de la population active</w:t>
            </w:r>
          </w:p>
        </w:tc>
        <w:tc>
          <w:tcPr>
            <w:tcW w:w="2313" w:type="dxa"/>
            <w:shd w:val="clear" w:color="auto" w:fill="BF3C00"/>
            <w:hideMark/>
          </w:tcPr>
          <w:p w14:paraId="4FCB8E53" w14:textId="77777777" w:rsidR="006602C5" w:rsidRPr="00F10A5B" w:rsidRDefault="006602C5" w:rsidP="006602C5">
            <w:pPr>
              <w:pStyle w:val="TableTitle"/>
              <w:rPr>
                <w:rFonts w:cs="Segoe UI Semibold"/>
                <w:color w:val="FFFFFF" w:themeColor="background1"/>
              </w:rPr>
            </w:pPr>
            <w:r w:rsidRPr="00F10A5B">
              <w:rPr>
                <w:rFonts w:cs="Segoe UI Semibold"/>
                <w:color w:val="FFFFFF" w:themeColor="background1"/>
              </w:rPr>
              <w:t>Services aux Autochtones Canada</w:t>
            </w:r>
          </w:p>
        </w:tc>
        <w:tc>
          <w:tcPr>
            <w:tcW w:w="2427" w:type="dxa"/>
            <w:shd w:val="clear" w:color="auto" w:fill="54575A" w:themeFill="text1"/>
            <w:hideMark/>
          </w:tcPr>
          <w:p w14:paraId="4F1FEB88" w14:textId="77777777" w:rsidR="006602C5" w:rsidRPr="00F10A5B" w:rsidRDefault="006602C5" w:rsidP="006602C5">
            <w:pPr>
              <w:pStyle w:val="TableTitle"/>
              <w:rPr>
                <w:rFonts w:cs="Segoe UI Semibold"/>
                <w:color w:val="FFFFFF" w:themeColor="background1"/>
              </w:rPr>
            </w:pPr>
            <w:r w:rsidRPr="00F10A5B">
              <w:rPr>
                <w:rFonts w:cs="Segoe UI Semibold"/>
                <w:color w:val="FFFFFF" w:themeColor="background1"/>
              </w:rPr>
              <w:t>Représentation à la fonction publique</w:t>
            </w:r>
          </w:p>
        </w:tc>
      </w:tr>
      <w:tr w:rsidR="006602C5" w:rsidRPr="00F10A5B" w14:paraId="1D5FDFD7" w14:textId="77777777" w:rsidTr="00E5173D">
        <w:trPr>
          <w:cantSplit/>
          <w:tblHeader/>
          <w:jc w:val="center"/>
        </w:trPr>
        <w:tc>
          <w:tcPr>
            <w:tcW w:w="2311" w:type="dxa"/>
            <w:shd w:val="clear" w:color="auto" w:fill="54575A" w:themeFill="text1"/>
            <w:hideMark/>
          </w:tcPr>
          <w:p w14:paraId="6917A477" w14:textId="77777777" w:rsidR="006602C5" w:rsidRPr="00F10A5B" w:rsidRDefault="006602C5" w:rsidP="0052484F">
            <w:pPr>
              <w:contextualSpacing/>
              <w:rPr>
                <w:rFonts w:cstheme="minorHAnsi"/>
                <w:color w:val="FFFFFF" w:themeColor="background1"/>
              </w:rPr>
            </w:pPr>
            <w:r w:rsidRPr="00F10A5B">
              <w:rPr>
                <w:rFonts w:cstheme="minorHAnsi"/>
                <w:color w:val="FFFFFF" w:themeColor="background1"/>
              </w:rPr>
              <w:t>Femmes</w:t>
            </w:r>
          </w:p>
        </w:tc>
        <w:tc>
          <w:tcPr>
            <w:tcW w:w="2299" w:type="dxa"/>
            <w:hideMark/>
          </w:tcPr>
          <w:p w14:paraId="4B0D4AC9" w14:textId="4F1DA933" w:rsidR="006602C5" w:rsidRPr="00F10A5B" w:rsidRDefault="00393DC8" w:rsidP="0052484F">
            <w:pPr>
              <w:contextualSpacing/>
              <w:jc w:val="center"/>
              <w:rPr>
                <w:rFonts w:cstheme="minorHAnsi"/>
                <w:color w:val="auto"/>
              </w:rPr>
            </w:pPr>
            <w:r>
              <w:rPr>
                <w:rFonts w:cstheme="minorHAnsi"/>
                <w:color w:val="auto"/>
              </w:rPr>
              <w:t>52,</w:t>
            </w:r>
            <w:r w:rsidR="006602C5" w:rsidRPr="00F10A5B">
              <w:rPr>
                <w:rFonts w:cstheme="minorHAnsi"/>
                <w:color w:val="auto"/>
              </w:rPr>
              <w:t>7%</w:t>
            </w:r>
          </w:p>
        </w:tc>
        <w:tc>
          <w:tcPr>
            <w:tcW w:w="2313" w:type="dxa"/>
          </w:tcPr>
          <w:p w14:paraId="57FAEDE4" w14:textId="77777777" w:rsidR="006602C5" w:rsidRPr="00F10A5B" w:rsidRDefault="006602C5" w:rsidP="0052484F">
            <w:pPr>
              <w:autoSpaceDE w:val="0"/>
              <w:autoSpaceDN w:val="0"/>
              <w:spacing w:before="120"/>
              <w:contextualSpacing/>
              <w:jc w:val="center"/>
              <w:rPr>
                <w:rFonts w:cstheme="minorHAnsi"/>
                <w:color w:val="auto"/>
              </w:rPr>
            </w:pPr>
            <w:r w:rsidRPr="00F10A5B">
              <w:rPr>
                <w:rFonts w:cstheme="minorHAnsi"/>
                <w:color w:val="auto"/>
              </w:rPr>
              <w:t>Aucune donnée disponible*</w:t>
            </w:r>
          </w:p>
        </w:tc>
        <w:tc>
          <w:tcPr>
            <w:tcW w:w="2427" w:type="dxa"/>
            <w:hideMark/>
          </w:tcPr>
          <w:p w14:paraId="50851ABF" w14:textId="7BB2C961" w:rsidR="006602C5" w:rsidRPr="00F10A5B" w:rsidRDefault="00393DC8" w:rsidP="0052484F">
            <w:pPr>
              <w:autoSpaceDE w:val="0"/>
              <w:autoSpaceDN w:val="0"/>
              <w:spacing w:before="120"/>
              <w:contextualSpacing/>
              <w:jc w:val="center"/>
              <w:rPr>
                <w:rFonts w:cstheme="minorHAnsi"/>
                <w:color w:val="auto"/>
              </w:rPr>
            </w:pPr>
            <w:r>
              <w:rPr>
                <w:rFonts w:cstheme="minorHAnsi"/>
                <w:color w:val="auto"/>
              </w:rPr>
              <w:t>54,</w:t>
            </w:r>
            <w:r w:rsidR="006602C5" w:rsidRPr="00F10A5B">
              <w:rPr>
                <w:rFonts w:cstheme="minorHAnsi"/>
                <w:color w:val="auto"/>
              </w:rPr>
              <w:t>8%</w:t>
            </w:r>
          </w:p>
        </w:tc>
      </w:tr>
      <w:tr w:rsidR="006602C5" w:rsidRPr="00F10A5B" w14:paraId="220E105F" w14:textId="77777777" w:rsidTr="00E5173D">
        <w:trPr>
          <w:cantSplit/>
          <w:tblHeader/>
          <w:jc w:val="center"/>
        </w:trPr>
        <w:tc>
          <w:tcPr>
            <w:tcW w:w="2311" w:type="dxa"/>
            <w:shd w:val="clear" w:color="auto" w:fill="54575A" w:themeFill="text1"/>
            <w:hideMark/>
          </w:tcPr>
          <w:p w14:paraId="021AF567" w14:textId="77777777" w:rsidR="006602C5" w:rsidRPr="00F10A5B" w:rsidRDefault="006602C5" w:rsidP="0052484F">
            <w:pPr>
              <w:contextualSpacing/>
              <w:rPr>
                <w:rFonts w:cstheme="minorHAnsi"/>
                <w:color w:val="FFFFFF" w:themeColor="background1"/>
              </w:rPr>
            </w:pPr>
            <w:r w:rsidRPr="00F10A5B">
              <w:rPr>
                <w:rFonts w:cstheme="minorHAnsi"/>
                <w:color w:val="FFFFFF" w:themeColor="background1"/>
              </w:rPr>
              <w:t>Autochtones</w:t>
            </w:r>
          </w:p>
        </w:tc>
        <w:tc>
          <w:tcPr>
            <w:tcW w:w="2299" w:type="dxa"/>
            <w:hideMark/>
          </w:tcPr>
          <w:p w14:paraId="5F453008" w14:textId="49DEECAC" w:rsidR="006602C5" w:rsidRPr="00F10A5B" w:rsidRDefault="00393DC8" w:rsidP="0052484F">
            <w:pPr>
              <w:contextualSpacing/>
              <w:jc w:val="center"/>
              <w:rPr>
                <w:rFonts w:cstheme="minorHAnsi"/>
                <w:color w:val="auto"/>
              </w:rPr>
            </w:pPr>
            <w:r>
              <w:rPr>
                <w:rFonts w:cstheme="minorHAnsi"/>
                <w:color w:val="auto"/>
              </w:rPr>
              <w:t>4,</w:t>
            </w:r>
            <w:r w:rsidR="006602C5" w:rsidRPr="00F10A5B">
              <w:rPr>
                <w:rFonts w:cstheme="minorHAnsi"/>
                <w:color w:val="auto"/>
              </w:rPr>
              <w:t>0%</w:t>
            </w:r>
          </w:p>
        </w:tc>
        <w:tc>
          <w:tcPr>
            <w:tcW w:w="2313" w:type="dxa"/>
          </w:tcPr>
          <w:p w14:paraId="7C5084E9" w14:textId="56E5D557" w:rsidR="006602C5" w:rsidRPr="00F10A5B" w:rsidRDefault="00393DC8" w:rsidP="0052484F">
            <w:pPr>
              <w:autoSpaceDE w:val="0"/>
              <w:autoSpaceDN w:val="0"/>
              <w:spacing w:before="120"/>
              <w:contextualSpacing/>
              <w:jc w:val="center"/>
              <w:rPr>
                <w:rFonts w:cstheme="minorHAnsi"/>
                <w:color w:val="auto"/>
              </w:rPr>
            </w:pPr>
            <w:r>
              <w:rPr>
                <w:rFonts w:cstheme="minorHAnsi"/>
                <w:color w:val="auto"/>
              </w:rPr>
              <w:t>29,</w:t>
            </w:r>
            <w:r w:rsidR="006602C5" w:rsidRPr="00F10A5B">
              <w:rPr>
                <w:rFonts w:cstheme="minorHAnsi"/>
                <w:color w:val="auto"/>
              </w:rPr>
              <w:t>4%**</w:t>
            </w:r>
          </w:p>
        </w:tc>
        <w:tc>
          <w:tcPr>
            <w:tcW w:w="2427" w:type="dxa"/>
            <w:hideMark/>
          </w:tcPr>
          <w:p w14:paraId="3807E5F7" w14:textId="0900B275" w:rsidR="006602C5" w:rsidRPr="00F10A5B" w:rsidRDefault="00393DC8" w:rsidP="0052484F">
            <w:pPr>
              <w:autoSpaceDE w:val="0"/>
              <w:autoSpaceDN w:val="0"/>
              <w:spacing w:before="120"/>
              <w:contextualSpacing/>
              <w:jc w:val="center"/>
              <w:rPr>
                <w:rFonts w:cstheme="minorHAnsi"/>
                <w:color w:val="auto"/>
              </w:rPr>
            </w:pPr>
            <w:r>
              <w:rPr>
                <w:rFonts w:cstheme="minorHAnsi"/>
                <w:color w:val="auto"/>
              </w:rPr>
              <w:t>5,</w:t>
            </w:r>
            <w:r w:rsidR="006602C5" w:rsidRPr="00F10A5B">
              <w:rPr>
                <w:rFonts w:cstheme="minorHAnsi"/>
                <w:color w:val="auto"/>
              </w:rPr>
              <w:t>1%</w:t>
            </w:r>
          </w:p>
        </w:tc>
      </w:tr>
      <w:tr w:rsidR="006602C5" w:rsidRPr="00F10A5B" w14:paraId="79E506EC" w14:textId="77777777" w:rsidTr="00E5173D">
        <w:trPr>
          <w:cantSplit/>
          <w:trHeight w:val="598"/>
          <w:tblHeader/>
          <w:jc w:val="center"/>
        </w:trPr>
        <w:tc>
          <w:tcPr>
            <w:tcW w:w="2311" w:type="dxa"/>
            <w:shd w:val="clear" w:color="auto" w:fill="54575A" w:themeFill="text1"/>
            <w:hideMark/>
          </w:tcPr>
          <w:p w14:paraId="1096C59C" w14:textId="77777777" w:rsidR="006602C5" w:rsidRPr="00F10A5B" w:rsidRDefault="006602C5" w:rsidP="0052484F">
            <w:pPr>
              <w:spacing w:before="240"/>
              <w:contextualSpacing/>
              <w:rPr>
                <w:rFonts w:cstheme="minorHAnsi"/>
                <w:color w:val="FFFFFF" w:themeColor="background1"/>
              </w:rPr>
            </w:pPr>
            <w:r w:rsidRPr="00F10A5B">
              <w:rPr>
                <w:rFonts w:cstheme="minorHAnsi"/>
                <w:color w:val="FFFFFF" w:themeColor="background1"/>
              </w:rPr>
              <w:t>Personnes handicapées</w:t>
            </w:r>
          </w:p>
        </w:tc>
        <w:tc>
          <w:tcPr>
            <w:tcW w:w="2299" w:type="dxa"/>
            <w:hideMark/>
          </w:tcPr>
          <w:p w14:paraId="0327B4E3" w14:textId="355173D2" w:rsidR="006602C5" w:rsidRPr="00F10A5B" w:rsidRDefault="00393DC8" w:rsidP="0052484F">
            <w:pPr>
              <w:spacing w:before="240"/>
              <w:contextualSpacing/>
              <w:jc w:val="center"/>
              <w:rPr>
                <w:rFonts w:cstheme="minorHAnsi"/>
                <w:color w:val="auto"/>
              </w:rPr>
            </w:pPr>
            <w:r>
              <w:rPr>
                <w:rFonts w:cstheme="minorHAnsi"/>
                <w:color w:val="auto"/>
              </w:rPr>
              <w:t>9,</w:t>
            </w:r>
            <w:r w:rsidR="006602C5" w:rsidRPr="00F10A5B">
              <w:rPr>
                <w:rFonts w:cstheme="minorHAnsi"/>
                <w:color w:val="auto"/>
              </w:rPr>
              <w:t>0%</w:t>
            </w:r>
          </w:p>
        </w:tc>
        <w:tc>
          <w:tcPr>
            <w:tcW w:w="2313" w:type="dxa"/>
          </w:tcPr>
          <w:p w14:paraId="25531952" w14:textId="77777777" w:rsidR="006602C5" w:rsidRPr="00F10A5B" w:rsidRDefault="006602C5" w:rsidP="0052484F">
            <w:pPr>
              <w:spacing w:before="240"/>
              <w:contextualSpacing/>
              <w:jc w:val="center"/>
              <w:rPr>
                <w:rFonts w:cstheme="minorHAnsi"/>
                <w:color w:val="auto"/>
              </w:rPr>
            </w:pPr>
            <w:r w:rsidRPr="00F10A5B">
              <w:rPr>
                <w:rFonts w:cstheme="minorHAnsi"/>
                <w:color w:val="auto"/>
              </w:rPr>
              <w:t>Aucune donnée disponible*</w:t>
            </w:r>
          </w:p>
        </w:tc>
        <w:tc>
          <w:tcPr>
            <w:tcW w:w="2427" w:type="dxa"/>
            <w:hideMark/>
          </w:tcPr>
          <w:p w14:paraId="7FFF22BF" w14:textId="50D58457" w:rsidR="006602C5" w:rsidRPr="00F10A5B" w:rsidRDefault="00393DC8" w:rsidP="0052484F">
            <w:pPr>
              <w:autoSpaceDE w:val="0"/>
              <w:autoSpaceDN w:val="0"/>
              <w:spacing w:before="240"/>
              <w:contextualSpacing/>
              <w:jc w:val="center"/>
              <w:rPr>
                <w:rFonts w:cstheme="minorHAnsi"/>
                <w:color w:val="auto"/>
              </w:rPr>
            </w:pPr>
            <w:r>
              <w:rPr>
                <w:rFonts w:cstheme="minorHAnsi"/>
                <w:color w:val="auto"/>
              </w:rPr>
              <w:t>5,</w:t>
            </w:r>
            <w:r w:rsidR="006602C5" w:rsidRPr="00F10A5B">
              <w:rPr>
                <w:rFonts w:cstheme="minorHAnsi"/>
                <w:color w:val="auto"/>
              </w:rPr>
              <w:t>2%</w:t>
            </w:r>
          </w:p>
        </w:tc>
      </w:tr>
      <w:tr w:rsidR="006602C5" w:rsidRPr="00F10A5B" w14:paraId="3A4B96B7" w14:textId="77777777" w:rsidTr="00E5173D">
        <w:trPr>
          <w:cantSplit/>
          <w:tblHeader/>
          <w:jc w:val="center"/>
        </w:trPr>
        <w:tc>
          <w:tcPr>
            <w:tcW w:w="2311" w:type="dxa"/>
            <w:shd w:val="clear" w:color="auto" w:fill="54575A" w:themeFill="text1"/>
            <w:hideMark/>
          </w:tcPr>
          <w:p w14:paraId="62479095" w14:textId="77777777" w:rsidR="006602C5" w:rsidRPr="00F10A5B" w:rsidRDefault="006602C5" w:rsidP="0052484F">
            <w:pPr>
              <w:spacing w:before="240"/>
              <w:contextualSpacing/>
              <w:rPr>
                <w:rFonts w:cstheme="minorHAnsi"/>
                <w:color w:val="FFFFFF" w:themeColor="background1"/>
              </w:rPr>
            </w:pPr>
            <w:r w:rsidRPr="00F10A5B">
              <w:rPr>
                <w:rFonts w:cstheme="minorHAnsi"/>
                <w:color w:val="FFFFFF" w:themeColor="background1"/>
              </w:rPr>
              <w:t>Membres de minorités visibles</w:t>
            </w:r>
          </w:p>
        </w:tc>
        <w:tc>
          <w:tcPr>
            <w:tcW w:w="2299" w:type="dxa"/>
            <w:hideMark/>
          </w:tcPr>
          <w:p w14:paraId="6E827FEA" w14:textId="59DE7C69" w:rsidR="006602C5" w:rsidRPr="00F10A5B" w:rsidRDefault="00393DC8" w:rsidP="0052484F">
            <w:pPr>
              <w:spacing w:before="240"/>
              <w:contextualSpacing/>
              <w:jc w:val="center"/>
              <w:rPr>
                <w:rFonts w:cstheme="minorHAnsi"/>
                <w:color w:val="auto"/>
              </w:rPr>
            </w:pPr>
            <w:r>
              <w:rPr>
                <w:rFonts w:cstheme="minorHAnsi"/>
                <w:color w:val="auto"/>
              </w:rPr>
              <w:t>15,</w:t>
            </w:r>
            <w:r w:rsidR="006602C5" w:rsidRPr="00F10A5B">
              <w:rPr>
                <w:rFonts w:cstheme="minorHAnsi"/>
                <w:color w:val="auto"/>
              </w:rPr>
              <w:t>3%</w:t>
            </w:r>
          </w:p>
        </w:tc>
        <w:tc>
          <w:tcPr>
            <w:tcW w:w="2313" w:type="dxa"/>
          </w:tcPr>
          <w:p w14:paraId="1F722168" w14:textId="77777777" w:rsidR="006602C5" w:rsidRPr="00F10A5B" w:rsidRDefault="006602C5" w:rsidP="0052484F">
            <w:pPr>
              <w:spacing w:before="240"/>
              <w:contextualSpacing/>
              <w:jc w:val="center"/>
              <w:rPr>
                <w:rFonts w:cstheme="minorHAnsi"/>
                <w:color w:val="auto"/>
              </w:rPr>
            </w:pPr>
            <w:r w:rsidRPr="00F10A5B">
              <w:rPr>
                <w:rFonts w:cstheme="minorHAnsi"/>
                <w:color w:val="auto"/>
              </w:rPr>
              <w:t>Aucune donnée disponible*</w:t>
            </w:r>
          </w:p>
        </w:tc>
        <w:tc>
          <w:tcPr>
            <w:tcW w:w="2427" w:type="dxa"/>
            <w:hideMark/>
          </w:tcPr>
          <w:p w14:paraId="78784DBF" w14:textId="62F3AF34" w:rsidR="006602C5" w:rsidRPr="00F10A5B" w:rsidRDefault="00393DC8" w:rsidP="0052484F">
            <w:pPr>
              <w:autoSpaceDE w:val="0"/>
              <w:autoSpaceDN w:val="0"/>
              <w:spacing w:before="240"/>
              <w:contextualSpacing/>
              <w:jc w:val="center"/>
              <w:rPr>
                <w:rFonts w:cstheme="minorHAnsi"/>
                <w:color w:val="auto"/>
              </w:rPr>
            </w:pPr>
            <w:r>
              <w:rPr>
                <w:rFonts w:cstheme="minorHAnsi"/>
                <w:color w:val="auto"/>
              </w:rPr>
              <w:t>16,</w:t>
            </w:r>
            <w:r w:rsidR="006602C5" w:rsidRPr="00F10A5B">
              <w:rPr>
                <w:rFonts w:cstheme="minorHAnsi"/>
                <w:color w:val="auto"/>
              </w:rPr>
              <w:t>7%</w:t>
            </w:r>
          </w:p>
        </w:tc>
      </w:tr>
    </w:tbl>
    <w:p w14:paraId="00E1CDEA" w14:textId="77777777" w:rsidR="006602C5" w:rsidRPr="00F10A5B" w:rsidRDefault="006602C5" w:rsidP="006602C5">
      <w:pPr>
        <w:spacing w:after="0"/>
        <w:contextualSpacing/>
        <w:rPr>
          <w:rFonts w:cstheme="minorHAnsi"/>
        </w:rPr>
      </w:pPr>
      <w:r w:rsidRPr="00F10A5B">
        <w:rPr>
          <w:rFonts w:cstheme="minorHAnsi"/>
        </w:rPr>
        <w:t>Sources :</w:t>
      </w:r>
    </w:p>
    <w:p w14:paraId="71A53EE8" w14:textId="77777777" w:rsidR="006602C5" w:rsidRPr="00F10A5B" w:rsidRDefault="006602C5" w:rsidP="006602C5">
      <w:pPr>
        <w:spacing w:after="0"/>
        <w:contextualSpacing/>
        <w:rPr>
          <w:rFonts w:cstheme="minorHAnsi"/>
        </w:rPr>
      </w:pPr>
      <w:r w:rsidRPr="00F10A5B">
        <w:rPr>
          <w:rFonts w:cstheme="minorHAnsi"/>
        </w:rPr>
        <w:t>*</w:t>
      </w:r>
      <w:hyperlink r:id="rId11" w:history="1">
        <w:r w:rsidRPr="00F10A5B">
          <w:rPr>
            <w:rStyle w:val="Hyperlink"/>
            <w:rFonts w:cstheme="minorHAnsi"/>
          </w:rPr>
          <w:t>L’équité en matière d’emploi dans la fonction publique du Canada 2018 à 2019</w:t>
        </w:r>
      </w:hyperlink>
      <w:r w:rsidRPr="00F10A5B">
        <w:rPr>
          <w:rStyle w:val="Hyperlink"/>
          <w:rFonts w:cstheme="minorHAnsi"/>
        </w:rPr>
        <w:t xml:space="preserve">, </w:t>
      </w:r>
      <w:r w:rsidRPr="00F10A5B">
        <w:rPr>
          <w:rFonts w:cstheme="minorHAnsi"/>
          <w:color w:val="auto"/>
        </w:rPr>
        <w:t>Secrétariat du Conseil du Trésor – Services aux Autochtones Canada a été créé et transféré à la fin septembre 2020 dans le système de paye. L’organisation ne rendra compte de sa représentation en matière d’équité en matière d’emploi qu’à l’automne 2021.</w:t>
      </w:r>
    </w:p>
    <w:p w14:paraId="6E732FF3" w14:textId="77777777" w:rsidR="006602C5" w:rsidRPr="00F10A5B" w:rsidRDefault="006602C5" w:rsidP="00F10A5B">
      <w:pPr>
        <w:rPr>
          <w:color w:val="auto"/>
        </w:rPr>
      </w:pPr>
      <w:r w:rsidRPr="00F10A5B">
        <w:rPr>
          <w:color w:val="auto"/>
        </w:rPr>
        <w:t>**</w:t>
      </w:r>
      <w:hyperlink r:id="rId12" w:history="1">
        <w:r w:rsidRPr="00F10A5B">
          <w:rPr>
            <w:rStyle w:val="Hyperlink"/>
            <w:color w:val="auto"/>
          </w:rPr>
          <w:t>Services aux Autochtones Canada: Rapport sur les résultats ministériels de 2018 à 2019</w:t>
        </w:r>
      </w:hyperlink>
      <w:r w:rsidRPr="00F10A5B">
        <w:rPr>
          <w:color w:val="auto"/>
        </w:rPr>
        <w:t xml:space="preserve"> – les statistiques sur les Autochtones ont été compilées à l'aide du formulaire de déclaration volontaire des employés de SAC ; aucune information n'a été fournie concernant les autres groupes désignés.</w:t>
      </w:r>
    </w:p>
    <w:p w14:paraId="246A7499" w14:textId="54037071" w:rsidR="006602C5" w:rsidRPr="00F10A5B" w:rsidRDefault="006602C5" w:rsidP="006602C5">
      <w:pPr>
        <w:pStyle w:val="Heading2"/>
        <w:spacing w:after="120"/>
      </w:pPr>
      <w:r w:rsidRPr="00F10A5B">
        <w:t>Stratégies</w:t>
      </w:r>
    </w:p>
    <w:p w14:paraId="167CCB06" w14:textId="409523A9" w:rsidR="00141B3A" w:rsidRPr="00F10A5B" w:rsidRDefault="00141B3A" w:rsidP="00502DD6">
      <w:pPr>
        <w:spacing w:after="120" w:line="240" w:lineRule="auto"/>
        <w:contextualSpacing/>
        <w:rPr>
          <w:rFonts w:eastAsia="Times New Roman" w:cstheme="minorHAnsi"/>
          <w:color w:val="auto"/>
          <w:lang w:eastAsia="en-CA"/>
        </w:rPr>
      </w:pPr>
      <w:r w:rsidRPr="00F10A5B">
        <w:rPr>
          <w:rFonts w:eastAsia="Times New Roman" w:cstheme="minorHAnsi"/>
          <w:color w:val="auto"/>
          <w:lang w:eastAsia="en-CA"/>
        </w:rPr>
        <w:t xml:space="preserve">La gamme de solutions qui suit peut être utile pour que </w:t>
      </w:r>
      <w:r w:rsidR="000720C7" w:rsidRPr="00F10A5B">
        <w:rPr>
          <w:rFonts w:eastAsia="Times New Roman" w:cstheme="minorHAnsi"/>
          <w:color w:val="auto"/>
          <w:lang w:eastAsia="en-CA"/>
        </w:rPr>
        <w:t>SAC</w:t>
      </w:r>
      <w:r w:rsidRPr="00F10A5B">
        <w:rPr>
          <w:rFonts w:eastAsia="Times New Roman" w:cstheme="minorHAnsi"/>
          <w:color w:val="auto"/>
          <w:lang w:eastAsia="en-CA"/>
        </w:rPr>
        <w:t xml:space="preserve"> continu</w:t>
      </w:r>
      <w:r w:rsidR="00A0405D" w:rsidRPr="00F10A5B">
        <w:rPr>
          <w:rFonts w:eastAsia="Times New Roman" w:cstheme="minorHAnsi"/>
          <w:color w:val="auto"/>
          <w:lang w:eastAsia="en-CA"/>
        </w:rPr>
        <w:t>e</w:t>
      </w:r>
      <w:r w:rsidRPr="00F10A5B">
        <w:rPr>
          <w:rFonts w:eastAsia="Times New Roman" w:cstheme="minorHAnsi"/>
          <w:color w:val="auto"/>
          <w:lang w:eastAsia="en-CA"/>
        </w:rPr>
        <w:t xml:space="preserve"> de bâtir une organisation représentative et diversifiée</w:t>
      </w:r>
      <w:r w:rsidR="001D07A2" w:rsidRPr="00F10A5B">
        <w:rPr>
          <w:rFonts w:eastAsia="Times New Roman" w:cstheme="minorHAnsi"/>
          <w:color w:val="auto"/>
          <w:lang w:eastAsia="en-CA"/>
        </w:rPr>
        <w:t xml:space="preserve"> </w:t>
      </w:r>
      <w:r w:rsidRPr="00F10A5B">
        <w:rPr>
          <w:rFonts w:eastAsia="Times New Roman" w:cstheme="minorHAnsi"/>
          <w:color w:val="auto"/>
          <w:lang w:eastAsia="en-CA"/>
        </w:rPr>
        <w:t>:</w:t>
      </w:r>
    </w:p>
    <w:p w14:paraId="3550380E" w14:textId="77777777" w:rsidR="00141B3A" w:rsidRPr="00F10A5B" w:rsidRDefault="00141B3A" w:rsidP="00DA196D">
      <w:pPr>
        <w:pStyle w:val="ListParagraph"/>
        <w:keepLines w:val="0"/>
        <w:numPr>
          <w:ilvl w:val="0"/>
          <w:numId w:val="25"/>
        </w:numPr>
        <w:autoSpaceDE w:val="0"/>
        <w:autoSpaceDN w:val="0"/>
        <w:adjustRightInd w:val="0"/>
        <w:spacing w:after="0" w:line="240" w:lineRule="auto"/>
        <w:rPr>
          <w:rFonts w:cstheme="minorHAnsi"/>
          <w:color w:val="auto"/>
        </w:rPr>
      </w:pPr>
      <w:r w:rsidRPr="00F10A5B">
        <w:rPr>
          <w:rFonts w:eastAsia="Times New Roman" w:cstheme="minorHAnsi"/>
          <w:color w:val="auto"/>
          <w:lang w:eastAsia="en-CA"/>
        </w:rPr>
        <w:t xml:space="preserve">La </w:t>
      </w:r>
      <w:r w:rsidRPr="00B83037">
        <w:rPr>
          <w:rStyle w:val="Emphasis"/>
          <w:i/>
        </w:rPr>
        <w:t>Loi sur l'emploi dans la fonction publique</w:t>
      </w:r>
      <w:r w:rsidRPr="00F10A5B">
        <w:rPr>
          <w:rFonts w:eastAsia="Times New Roman" w:cstheme="minorHAnsi"/>
          <w:color w:val="auto"/>
          <w:lang w:eastAsia="en-CA"/>
        </w:rPr>
        <w:t xml:space="preserve"> </w:t>
      </w:r>
      <w:r w:rsidR="00BD401A" w:rsidRPr="00F10A5B">
        <w:rPr>
          <w:rFonts w:eastAsia="Times New Roman" w:cstheme="minorHAnsi"/>
          <w:color w:val="auto"/>
          <w:lang w:eastAsia="en-CA"/>
        </w:rPr>
        <w:t xml:space="preserve">(LEFP) </w:t>
      </w:r>
      <w:r w:rsidRPr="00F10A5B">
        <w:rPr>
          <w:rFonts w:eastAsia="Times New Roman" w:cstheme="minorHAnsi"/>
          <w:color w:val="auto"/>
          <w:lang w:eastAsia="en-CA"/>
        </w:rPr>
        <w:t>comprend des dispositions qui permettent aux gestionnaires de</w:t>
      </w:r>
      <w:r w:rsidR="00BD401A" w:rsidRPr="00F10A5B">
        <w:rPr>
          <w:rFonts w:eastAsia="Times New Roman" w:cstheme="minorHAnsi"/>
          <w:color w:val="auto"/>
          <w:lang w:eastAsia="en-CA"/>
        </w:rPr>
        <w:t xml:space="preserve"> </w:t>
      </w:r>
      <w:r w:rsidRPr="00F10A5B">
        <w:rPr>
          <w:rFonts w:eastAsia="Times New Roman" w:cstheme="minorHAnsi"/>
          <w:color w:val="auto"/>
          <w:lang w:eastAsia="en-CA"/>
        </w:rPr>
        <w:t>:</w:t>
      </w:r>
    </w:p>
    <w:p w14:paraId="618338DE" w14:textId="77777777" w:rsidR="00141B3A" w:rsidRPr="00F10A5B" w:rsidRDefault="00141B3A" w:rsidP="00DA196D">
      <w:pPr>
        <w:pStyle w:val="ListParagraph"/>
        <w:keepLines w:val="0"/>
        <w:numPr>
          <w:ilvl w:val="1"/>
          <w:numId w:val="25"/>
        </w:numPr>
        <w:autoSpaceDE w:val="0"/>
        <w:autoSpaceDN w:val="0"/>
        <w:adjustRightInd w:val="0"/>
        <w:spacing w:after="0" w:line="240" w:lineRule="auto"/>
        <w:rPr>
          <w:rFonts w:cstheme="minorHAnsi"/>
          <w:color w:val="auto"/>
        </w:rPr>
      </w:pPr>
      <w:r w:rsidRPr="00F10A5B">
        <w:rPr>
          <w:rFonts w:eastAsia="Times New Roman" w:cstheme="minorHAnsi"/>
          <w:color w:val="auto"/>
          <w:lang w:eastAsia="en-CA"/>
        </w:rPr>
        <w:t>Cibler les membres des groupes désignés dans la zone de sélection pour les processus de nomination annoncés</w:t>
      </w:r>
      <w:r w:rsidR="00BD401A" w:rsidRPr="00F10A5B">
        <w:rPr>
          <w:rFonts w:eastAsia="Times New Roman" w:cstheme="minorHAnsi"/>
          <w:color w:val="auto"/>
          <w:lang w:eastAsia="en-CA"/>
        </w:rPr>
        <w:t>.</w:t>
      </w:r>
    </w:p>
    <w:p w14:paraId="022976F1" w14:textId="77777777" w:rsidR="00141B3A" w:rsidRPr="00F10A5B" w:rsidRDefault="00141B3A" w:rsidP="00DA196D">
      <w:pPr>
        <w:pStyle w:val="ListParagraph"/>
        <w:keepLines w:val="0"/>
        <w:numPr>
          <w:ilvl w:val="1"/>
          <w:numId w:val="25"/>
        </w:numPr>
        <w:autoSpaceDE w:val="0"/>
        <w:autoSpaceDN w:val="0"/>
        <w:adjustRightInd w:val="0"/>
        <w:spacing w:after="0" w:line="240" w:lineRule="auto"/>
        <w:rPr>
          <w:rFonts w:cstheme="minorHAnsi"/>
          <w:color w:val="auto"/>
        </w:rPr>
      </w:pPr>
      <w:r w:rsidRPr="00F10A5B">
        <w:rPr>
          <w:rFonts w:eastAsia="Times New Roman" w:cstheme="minorHAnsi"/>
          <w:color w:val="auto"/>
          <w:lang w:eastAsia="en-CA"/>
        </w:rPr>
        <w:t>Établir et appliquer un besoin organisationnel pour nommer les membres des groupes désignés</w:t>
      </w:r>
      <w:r w:rsidR="00BD401A" w:rsidRPr="00F10A5B">
        <w:rPr>
          <w:rFonts w:eastAsia="Times New Roman" w:cstheme="minorHAnsi"/>
          <w:color w:val="auto"/>
          <w:lang w:eastAsia="en-CA"/>
        </w:rPr>
        <w:t>.</w:t>
      </w:r>
    </w:p>
    <w:p w14:paraId="0BC4AA4F" w14:textId="77777777" w:rsidR="00141B3A" w:rsidRPr="00F10A5B" w:rsidRDefault="00141B3A" w:rsidP="005A4FEB">
      <w:pPr>
        <w:pStyle w:val="ListParagraph"/>
        <w:keepLines w:val="0"/>
        <w:numPr>
          <w:ilvl w:val="1"/>
          <w:numId w:val="25"/>
        </w:numPr>
        <w:autoSpaceDE w:val="0"/>
        <w:autoSpaceDN w:val="0"/>
        <w:adjustRightInd w:val="0"/>
        <w:spacing w:after="120" w:line="240" w:lineRule="auto"/>
        <w:rPr>
          <w:rFonts w:cstheme="minorHAnsi"/>
          <w:color w:val="auto"/>
        </w:rPr>
      </w:pPr>
      <w:r w:rsidRPr="00F10A5B">
        <w:rPr>
          <w:rFonts w:eastAsia="Times New Roman" w:cstheme="minorHAnsi"/>
          <w:color w:val="auto"/>
          <w:lang w:eastAsia="en-CA"/>
        </w:rPr>
        <w:t>Utiliser un processus de nomination externe et interne non annoncé pour nommer les membres des groupes désignés</w:t>
      </w:r>
      <w:r w:rsidR="00BD401A" w:rsidRPr="00F10A5B">
        <w:rPr>
          <w:rFonts w:eastAsia="Times New Roman" w:cstheme="minorHAnsi"/>
          <w:color w:val="auto"/>
          <w:lang w:eastAsia="en-CA"/>
        </w:rPr>
        <w:t>.</w:t>
      </w:r>
    </w:p>
    <w:p w14:paraId="12C6595E" w14:textId="77777777" w:rsidR="00141B3A" w:rsidRPr="00F10A5B" w:rsidRDefault="00141B3A" w:rsidP="00DA196D">
      <w:pPr>
        <w:keepLines w:val="0"/>
        <w:widowControl w:val="0"/>
        <w:numPr>
          <w:ilvl w:val="0"/>
          <w:numId w:val="25"/>
        </w:numPr>
        <w:autoSpaceDE w:val="0"/>
        <w:autoSpaceDN w:val="0"/>
        <w:adjustRightInd w:val="0"/>
        <w:spacing w:after="0" w:line="240" w:lineRule="auto"/>
        <w:contextualSpacing/>
        <w:rPr>
          <w:rFonts w:cstheme="minorHAnsi"/>
          <w:color w:val="auto"/>
        </w:rPr>
      </w:pPr>
      <w:r w:rsidRPr="00F10A5B">
        <w:rPr>
          <w:rFonts w:eastAsia="Times New Roman" w:cstheme="minorHAnsi"/>
          <w:color w:val="auto"/>
          <w:lang w:eastAsia="en-CA"/>
        </w:rPr>
        <w:t>La CFP offre des solutions de recrutement ciblant les membres des groupes désignés</w:t>
      </w:r>
      <w:r w:rsidR="00BD401A" w:rsidRPr="00F10A5B">
        <w:rPr>
          <w:rFonts w:eastAsia="Times New Roman" w:cstheme="minorHAnsi"/>
          <w:color w:val="auto"/>
          <w:lang w:eastAsia="en-CA"/>
        </w:rPr>
        <w:t xml:space="preserve"> </w:t>
      </w:r>
      <w:r w:rsidRPr="00F10A5B">
        <w:rPr>
          <w:rFonts w:eastAsia="Times New Roman" w:cstheme="minorHAnsi"/>
          <w:color w:val="auto"/>
          <w:lang w:eastAsia="en-CA"/>
        </w:rPr>
        <w:t>:</w:t>
      </w:r>
    </w:p>
    <w:p w14:paraId="5E5F2C40" w14:textId="289753F7" w:rsidR="00141B3A" w:rsidRPr="00F10A5B" w:rsidRDefault="00141B3A" w:rsidP="00DA196D">
      <w:pPr>
        <w:keepLines w:val="0"/>
        <w:widowControl w:val="0"/>
        <w:numPr>
          <w:ilvl w:val="1"/>
          <w:numId w:val="25"/>
        </w:numPr>
        <w:autoSpaceDE w:val="0"/>
        <w:autoSpaceDN w:val="0"/>
        <w:adjustRightInd w:val="0"/>
        <w:spacing w:after="0" w:line="240" w:lineRule="auto"/>
        <w:contextualSpacing/>
        <w:rPr>
          <w:rFonts w:cstheme="minorHAnsi"/>
          <w:color w:val="auto"/>
        </w:rPr>
      </w:pPr>
      <w:r w:rsidRPr="00F10A5B">
        <w:rPr>
          <w:rFonts w:cstheme="minorHAnsi"/>
          <w:color w:val="auto"/>
        </w:rPr>
        <w:t>D</w:t>
      </w:r>
      <w:r w:rsidRPr="00F10A5B">
        <w:rPr>
          <w:rFonts w:eastAsia="Times New Roman" w:cstheme="minorHAnsi"/>
          <w:color w:val="auto"/>
          <w:lang w:eastAsia="en-CA"/>
        </w:rPr>
        <w:t>emander la présentation de la candidature de membres des groupes désignés lors de l'utilisation des programmes pour étudiants tels que le Programme fédéral d'</w:t>
      </w:r>
      <w:r w:rsidR="006D3E86" w:rsidRPr="00F10A5B">
        <w:rPr>
          <w:rFonts w:eastAsia="Times New Roman" w:cstheme="minorHAnsi"/>
          <w:color w:val="auto"/>
          <w:lang w:eastAsia="en-CA"/>
        </w:rPr>
        <w:t>expérience de travail étudiant</w:t>
      </w:r>
      <w:r w:rsidRPr="00F10A5B">
        <w:rPr>
          <w:rFonts w:eastAsia="Times New Roman" w:cstheme="minorHAnsi"/>
          <w:color w:val="auto"/>
          <w:lang w:eastAsia="en-CA"/>
        </w:rPr>
        <w:t xml:space="preserve"> et le Programme d'enseigne</w:t>
      </w:r>
      <w:r w:rsidR="00576717" w:rsidRPr="00F10A5B">
        <w:rPr>
          <w:rFonts w:eastAsia="Times New Roman" w:cstheme="minorHAnsi"/>
          <w:color w:val="auto"/>
          <w:lang w:eastAsia="en-CA"/>
        </w:rPr>
        <w:t>ment coopératif/d’internat</w:t>
      </w:r>
      <w:r w:rsidRPr="00F10A5B">
        <w:rPr>
          <w:rFonts w:eastAsia="Times New Roman" w:cstheme="minorHAnsi"/>
          <w:color w:val="auto"/>
          <w:lang w:eastAsia="en-CA"/>
        </w:rPr>
        <w:t>, avec un plan qui pourrait éventuellement inclure le recrutement d'étudiants dans la fonction publique</w:t>
      </w:r>
      <w:r w:rsidR="00A7743F" w:rsidRPr="00F10A5B">
        <w:rPr>
          <w:rFonts w:eastAsia="Times New Roman" w:cstheme="minorHAnsi"/>
          <w:color w:val="auto"/>
          <w:lang w:eastAsia="en-CA"/>
        </w:rPr>
        <w:t xml:space="preserve"> pour des postes indéterminés </w:t>
      </w:r>
      <w:r w:rsidR="004933E9" w:rsidRPr="00F10A5B">
        <w:rPr>
          <w:rFonts w:eastAsia="Times New Roman" w:cstheme="minorHAnsi"/>
          <w:color w:val="auto"/>
          <w:lang w:eastAsia="en-CA"/>
        </w:rPr>
        <w:t>ou déterminés.</w:t>
      </w:r>
    </w:p>
    <w:p w14:paraId="0D94F963" w14:textId="10043D42" w:rsidR="004933E9" w:rsidRPr="00F10A5B" w:rsidRDefault="004933E9" w:rsidP="00DA196D">
      <w:pPr>
        <w:keepLines w:val="0"/>
        <w:widowControl w:val="0"/>
        <w:numPr>
          <w:ilvl w:val="1"/>
          <w:numId w:val="25"/>
        </w:numPr>
        <w:autoSpaceDE w:val="0"/>
        <w:autoSpaceDN w:val="0"/>
        <w:adjustRightInd w:val="0"/>
        <w:spacing w:after="0" w:line="240" w:lineRule="auto"/>
        <w:contextualSpacing/>
        <w:rPr>
          <w:rFonts w:cstheme="minorHAnsi"/>
          <w:color w:val="auto"/>
        </w:rPr>
      </w:pPr>
      <w:r w:rsidRPr="00F10A5B">
        <w:rPr>
          <w:rFonts w:cstheme="minorHAnsi"/>
          <w:color w:val="auto"/>
        </w:rPr>
        <w:t>D</w:t>
      </w:r>
      <w:r w:rsidRPr="00F10A5B">
        <w:rPr>
          <w:rFonts w:eastAsia="Times New Roman" w:cstheme="minorHAnsi"/>
          <w:color w:val="auto"/>
          <w:lang w:eastAsia="en-CA"/>
        </w:rPr>
        <w:t xml:space="preserve">emander la présentation de candidature dans le cadre de </w:t>
      </w:r>
      <w:r w:rsidRPr="00F10A5B">
        <w:rPr>
          <w:rFonts w:cstheme="minorHAnsi"/>
          <w:color w:val="auto"/>
        </w:rPr>
        <w:t>l</w:t>
      </w:r>
      <w:r w:rsidRPr="00F10A5B">
        <w:rPr>
          <w:rFonts w:cstheme="minorHAnsi"/>
          <w:bCs/>
          <w:color w:val="auto"/>
        </w:rPr>
        <w:t>’Occasion d'emploi pour les étudiants e</w:t>
      </w:r>
      <w:r w:rsidR="006D3E86" w:rsidRPr="00F10A5B">
        <w:rPr>
          <w:rFonts w:cstheme="minorHAnsi"/>
          <w:bCs/>
          <w:color w:val="auto"/>
        </w:rPr>
        <w:t>n situation de handicap</w:t>
      </w:r>
      <w:r w:rsidRPr="00F10A5B">
        <w:rPr>
          <w:rFonts w:cstheme="minorHAnsi"/>
          <w:bCs/>
          <w:color w:val="auto"/>
        </w:rPr>
        <w:t xml:space="preserve"> et </w:t>
      </w:r>
      <w:r w:rsidRPr="00F10A5B">
        <w:rPr>
          <w:rFonts w:cstheme="minorHAnsi"/>
          <w:color w:val="auto"/>
        </w:rPr>
        <w:t>l'</w:t>
      </w:r>
      <w:r w:rsidRPr="00F10A5B">
        <w:rPr>
          <w:rFonts w:cstheme="minorHAnsi"/>
          <w:bCs/>
          <w:color w:val="auto"/>
        </w:rPr>
        <w:t xml:space="preserve">Occasion d'emploi pour étudiants </w:t>
      </w:r>
      <w:r w:rsidR="006D3E86" w:rsidRPr="00F10A5B">
        <w:rPr>
          <w:rFonts w:cstheme="minorHAnsi"/>
          <w:bCs/>
          <w:color w:val="auto"/>
        </w:rPr>
        <w:t>autochtones</w:t>
      </w:r>
      <w:r w:rsidRPr="00F10A5B">
        <w:rPr>
          <w:rFonts w:cstheme="minorHAnsi"/>
          <w:bCs/>
          <w:color w:val="auto"/>
        </w:rPr>
        <w:t>.</w:t>
      </w:r>
      <w:r w:rsidRPr="00F10A5B">
        <w:rPr>
          <w:rFonts w:eastAsia="Times New Roman" w:cstheme="minorHAnsi"/>
          <w:color w:val="auto"/>
          <w:lang w:eastAsia="en-CA"/>
        </w:rPr>
        <w:t xml:space="preserve"> </w:t>
      </w:r>
    </w:p>
    <w:p w14:paraId="4A16BD23" w14:textId="53DEF5A1" w:rsidR="004933E9" w:rsidRPr="00F10A5B" w:rsidRDefault="004933E9" w:rsidP="00DA196D">
      <w:pPr>
        <w:keepLines w:val="0"/>
        <w:widowControl w:val="0"/>
        <w:numPr>
          <w:ilvl w:val="1"/>
          <w:numId w:val="25"/>
        </w:numPr>
        <w:autoSpaceDE w:val="0"/>
        <w:autoSpaceDN w:val="0"/>
        <w:adjustRightInd w:val="0"/>
        <w:spacing w:after="0" w:line="240" w:lineRule="auto"/>
        <w:contextualSpacing/>
        <w:rPr>
          <w:rFonts w:cstheme="minorHAnsi"/>
          <w:color w:val="auto"/>
        </w:rPr>
      </w:pPr>
      <w:r w:rsidRPr="00F10A5B">
        <w:rPr>
          <w:rFonts w:eastAsia="Times New Roman" w:cstheme="minorHAnsi"/>
          <w:color w:val="auto"/>
          <w:lang w:eastAsia="en-CA"/>
        </w:rPr>
        <w:t xml:space="preserve">Embaucher un stagiaire à partir du </w:t>
      </w:r>
      <w:r w:rsidRPr="00F10A5B">
        <w:rPr>
          <w:rFonts w:cstheme="minorHAnsi"/>
          <w:bCs/>
          <w:color w:val="auto"/>
        </w:rPr>
        <w:t>Programme fédéral de stages pour les Canadiens en situation de handicap.</w:t>
      </w:r>
    </w:p>
    <w:p w14:paraId="04317E4A" w14:textId="77777777" w:rsidR="00141B3A" w:rsidRPr="00F10A5B" w:rsidRDefault="00141B3A" w:rsidP="00DA196D">
      <w:pPr>
        <w:keepLines w:val="0"/>
        <w:widowControl w:val="0"/>
        <w:numPr>
          <w:ilvl w:val="1"/>
          <w:numId w:val="25"/>
        </w:numPr>
        <w:autoSpaceDE w:val="0"/>
        <w:autoSpaceDN w:val="0"/>
        <w:adjustRightInd w:val="0"/>
        <w:spacing w:after="0" w:line="240" w:lineRule="auto"/>
        <w:contextualSpacing/>
        <w:rPr>
          <w:rFonts w:eastAsia="Times New Roman" w:cstheme="minorHAnsi"/>
          <w:color w:val="auto"/>
          <w:u w:val="single"/>
          <w:lang w:eastAsia="en-CA"/>
        </w:rPr>
      </w:pPr>
      <w:r w:rsidRPr="00F10A5B">
        <w:rPr>
          <w:rFonts w:eastAsia="Times New Roman" w:cstheme="minorHAnsi"/>
          <w:color w:val="auto"/>
          <w:lang w:eastAsia="en-CA"/>
        </w:rPr>
        <w:lastRenderedPageBreak/>
        <w:t>Afficher dans le cadre du programme d'étudiants «</w:t>
      </w:r>
      <w:r w:rsidR="00BD401A" w:rsidRPr="00F10A5B">
        <w:rPr>
          <w:rFonts w:eastAsia="Times New Roman" w:cstheme="minorHAnsi"/>
          <w:color w:val="auto"/>
          <w:lang w:eastAsia="en-CA"/>
        </w:rPr>
        <w:t xml:space="preserve"> </w:t>
      </w:r>
      <w:r w:rsidRPr="00F10A5B">
        <w:rPr>
          <w:rFonts w:eastAsia="Times New Roman" w:cstheme="minorHAnsi"/>
          <w:color w:val="auto"/>
          <w:lang w:eastAsia="en-CA"/>
        </w:rPr>
        <w:t>Programme</w:t>
      </w:r>
      <w:r w:rsidR="00576717" w:rsidRPr="00F10A5B">
        <w:rPr>
          <w:rFonts w:eastAsia="Times New Roman" w:cstheme="minorHAnsi"/>
          <w:color w:val="auto"/>
          <w:lang w:eastAsia="en-CA"/>
        </w:rPr>
        <w:t xml:space="preserve"> des adjoints de recherche</w:t>
      </w:r>
      <w:r w:rsidR="00BD401A" w:rsidRPr="00F10A5B">
        <w:rPr>
          <w:rFonts w:eastAsia="Times New Roman" w:cstheme="minorHAnsi"/>
          <w:color w:val="auto"/>
          <w:lang w:eastAsia="en-CA"/>
        </w:rPr>
        <w:t xml:space="preserve"> </w:t>
      </w:r>
      <w:r w:rsidRPr="00F10A5B">
        <w:rPr>
          <w:rFonts w:eastAsia="Times New Roman" w:cstheme="minorHAnsi"/>
          <w:color w:val="auto"/>
          <w:lang w:eastAsia="en-CA"/>
        </w:rPr>
        <w:t>» pour recruter des étudiants des groupes désignés.</w:t>
      </w:r>
    </w:p>
    <w:p w14:paraId="79C68F62" w14:textId="25885BEC" w:rsidR="00141B3A" w:rsidRPr="00F10A5B" w:rsidRDefault="00141B3A" w:rsidP="005A4FEB">
      <w:pPr>
        <w:keepLines w:val="0"/>
        <w:widowControl w:val="0"/>
        <w:numPr>
          <w:ilvl w:val="1"/>
          <w:numId w:val="25"/>
        </w:numPr>
        <w:autoSpaceDE w:val="0"/>
        <w:autoSpaceDN w:val="0"/>
        <w:adjustRightInd w:val="0"/>
        <w:spacing w:after="120" w:line="240" w:lineRule="auto"/>
        <w:contextualSpacing/>
        <w:rPr>
          <w:rFonts w:eastAsia="Times New Roman" w:cstheme="minorHAnsi"/>
          <w:color w:val="auto"/>
          <w:u w:val="single"/>
          <w:lang w:eastAsia="en-CA"/>
        </w:rPr>
      </w:pPr>
      <w:r w:rsidRPr="00F10A5B">
        <w:rPr>
          <w:rFonts w:eastAsia="Times New Roman" w:cstheme="minorHAnsi"/>
          <w:color w:val="auto"/>
          <w:lang w:eastAsia="en-CA"/>
        </w:rPr>
        <w:t>Demander la présentation de la candidature de membres des groupes désignés lors de l'utilisation de certains inventaires, comm</w:t>
      </w:r>
      <w:r w:rsidR="006D3E86" w:rsidRPr="00F10A5B">
        <w:rPr>
          <w:rFonts w:eastAsia="Times New Roman" w:cstheme="minorHAnsi"/>
          <w:color w:val="auto"/>
          <w:lang w:eastAsia="en-CA"/>
        </w:rPr>
        <w:t>e le recrutement postsecondaire</w:t>
      </w:r>
      <w:r w:rsidRPr="00F10A5B">
        <w:rPr>
          <w:rFonts w:eastAsia="Times New Roman" w:cstheme="minorHAnsi"/>
          <w:color w:val="auto"/>
          <w:lang w:eastAsia="en-CA"/>
        </w:rPr>
        <w:t>.</w:t>
      </w:r>
    </w:p>
    <w:p w14:paraId="6120A7E6" w14:textId="77777777" w:rsidR="00961A62" w:rsidRPr="00F10A5B" w:rsidRDefault="00961A62" w:rsidP="00502DD6">
      <w:pPr>
        <w:pStyle w:val="Heading1"/>
        <w:spacing w:after="120"/>
        <w:contextualSpacing/>
        <w:rPr>
          <w:color w:val="auto"/>
        </w:rPr>
      </w:pPr>
      <w:r w:rsidRPr="00F10A5B">
        <w:rPr>
          <w:color w:val="auto"/>
        </w:rPr>
        <w:t>Droits de priorité et vétérans</w:t>
      </w:r>
    </w:p>
    <w:p w14:paraId="7BE3D675" w14:textId="4026FCAA" w:rsidR="00C64569" w:rsidRPr="00F10A5B" w:rsidRDefault="00C64569" w:rsidP="00502DD6">
      <w:pPr>
        <w:spacing w:after="120" w:line="240" w:lineRule="auto"/>
        <w:rPr>
          <w:rFonts w:eastAsia="Calibri" w:cstheme="minorHAnsi"/>
          <w:color w:val="auto"/>
        </w:rPr>
      </w:pPr>
      <w:r w:rsidRPr="00F10A5B">
        <w:rPr>
          <w:rFonts w:eastAsia="Calibri" w:cstheme="minorHAnsi"/>
          <w:color w:val="auto"/>
        </w:rPr>
        <w:t xml:space="preserve">Entre le 1er avril 2019 et le 5 octobre 2020, SAC a soumis 1953* demandes d’autorisation en matière de priorités. </w:t>
      </w:r>
    </w:p>
    <w:p w14:paraId="235E9359" w14:textId="2E2D4DED" w:rsidR="00C64569" w:rsidRPr="00F10A5B" w:rsidRDefault="00C64569" w:rsidP="00502DD6">
      <w:pPr>
        <w:spacing w:after="120" w:line="240" w:lineRule="auto"/>
        <w:rPr>
          <w:rFonts w:cstheme="minorHAnsi"/>
          <w:color w:val="auto"/>
        </w:rPr>
      </w:pPr>
      <w:r w:rsidRPr="00F10A5B">
        <w:rPr>
          <w:rFonts w:eastAsia="Calibri" w:cstheme="minorHAnsi"/>
          <w:color w:val="auto"/>
        </w:rPr>
        <w:t>Depuis que la Division des politiques relatives aux droits de priorité a commencé à surveiller les demandes d’autorisation en matière de droits de priorité</w:t>
      </w:r>
      <w:r w:rsidR="00F91551" w:rsidRPr="00F10A5B">
        <w:rPr>
          <w:rFonts w:eastAsia="Calibri" w:cstheme="minorHAnsi"/>
          <w:color w:val="auto"/>
        </w:rPr>
        <w:t>s</w:t>
      </w:r>
      <w:r w:rsidRPr="00F10A5B">
        <w:rPr>
          <w:rFonts w:eastAsia="Calibri" w:cstheme="minorHAnsi"/>
          <w:color w:val="auto"/>
        </w:rPr>
        <w:t xml:space="preserve"> liées à Covid-19, SAC a soumis </w:t>
      </w:r>
      <w:r w:rsidRPr="00F10A5B">
        <w:rPr>
          <w:rFonts w:cstheme="minorHAnsi"/>
          <w:color w:val="auto"/>
        </w:rPr>
        <w:t>166 demandes d'autorisation pour 172 postes spécifiquement liés à la gestion de la pandémie.</w:t>
      </w:r>
    </w:p>
    <w:p w14:paraId="162CC1F6" w14:textId="4ABC7FFC" w:rsidR="00AB1241" w:rsidRPr="00F10A5B" w:rsidRDefault="00AB1241" w:rsidP="00502DD6">
      <w:pPr>
        <w:spacing w:after="120" w:line="240" w:lineRule="auto"/>
        <w:rPr>
          <w:rFonts w:eastAsia="Calibri" w:cstheme="minorHAnsi"/>
          <w:b/>
          <w:color w:val="auto"/>
        </w:rPr>
      </w:pPr>
      <w:r w:rsidRPr="00F10A5B">
        <w:rPr>
          <w:rFonts w:cstheme="minorHAnsi"/>
          <w:color w:val="auto"/>
        </w:rPr>
        <w:t>Du 1</w:t>
      </w:r>
      <w:r w:rsidR="00857FE9" w:rsidRPr="00F10A5B">
        <w:rPr>
          <w:rFonts w:cstheme="minorHAnsi"/>
          <w:color w:val="auto"/>
          <w:vertAlign w:val="superscript"/>
        </w:rPr>
        <w:t>er</w:t>
      </w:r>
      <w:r w:rsidRPr="00F10A5B">
        <w:rPr>
          <w:rFonts w:cstheme="minorHAnsi"/>
          <w:color w:val="auto"/>
        </w:rPr>
        <w:t xml:space="preserve"> avril 2019 au 5 octobre 2020, SAC a nommé 13 bénéficiaire</w:t>
      </w:r>
      <w:r w:rsidR="00502DD6" w:rsidRPr="00F10A5B">
        <w:rPr>
          <w:rFonts w:cstheme="minorHAnsi"/>
          <w:color w:val="auto"/>
        </w:rPr>
        <w:t xml:space="preserve">s de priorités. </w:t>
      </w:r>
    </w:p>
    <w:p w14:paraId="49A50F59" w14:textId="63490C40" w:rsidR="00B35D0C" w:rsidRPr="00F10A5B" w:rsidRDefault="00B35D0C" w:rsidP="00502DD6">
      <w:pPr>
        <w:spacing w:after="120" w:line="240" w:lineRule="auto"/>
        <w:rPr>
          <w:rFonts w:eastAsia="Calibri" w:cstheme="minorHAnsi"/>
          <w:color w:val="auto"/>
        </w:rPr>
      </w:pPr>
      <w:r w:rsidRPr="00F10A5B">
        <w:rPr>
          <w:rFonts w:eastAsia="Calibri" w:cstheme="minorHAnsi"/>
          <w:color w:val="auto"/>
        </w:rPr>
        <w:t xml:space="preserve">Depuis la mise en œuvre de la </w:t>
      </w:r>
      <w:r w:rsidRPr="00F10A5B">
        <w:rPr>
          <w:rStyle w:val="Emphasis"/>
          <w:i/>
        </w:rPr>
        <w:t>Loi sur l'embauche des anciens combattants</w:t>
      </w:r>
      <w:r w:rsidRPr="00F10A5B">
        <w:rPr>
          <w:rFonts w:eastAsia="Calibri" w:cstheme="minorHAnsi"/>
          <w:color w:val="auto"/>
        </w:rPr>
        <w:t xml:space="preserve"> le 1</w:t>
      </w:r>
      <w:r w:rsidRPr="00F10A5B">
        <w:rPr>
          <w:rFonts w:eastAsia="Calibri" w:cstheme="minorHAnsi"/>
          <w:color w:val="auto"/>
          <w:vertAlign w:val="superscript"/>
        </w:rPr>
        <w:t>er</w:t>
      </w:r>
      <w:r w:rsidRPr="00F10A5B">
        <w:rPr>
          <w:rFonts w:eastAsia="Calibri" w:cstheme="minorHAnsi"/>
          <w:color w:val="auto"/>
        </w:rPr>
        <w:t xml:space="preserve"> juillet 2015 jusqu’au 30 septembre 2020, SAC a effectué une nomination </w:t>
      </w:r>
      <w:r w:rsidR="00C64569" w:rsidRPr="00F10A5B">
        <w:rPr>
          <w:rFonts w:eastAsia="Calibri" w:cstheme="minorHAnsi"/>
          <w:color w:val="auto"/>
          <w:u w:val="single"/>
        </w:rPr>
        <w:t>d’une</w:t>
      </w:r>
      <w:r w:rsidR="00A7743F" w:rsidRPr="00F10A5B">
        <w:rPr>
          <w:rFonts w:eastAsia="Calibri" w:cstheme="minorHAnsi"/>
          <w:color w:val="auto"/>
          <w:u w:val="single"/>
        </w:rPr>
        <w:t xml:space="preserve"> (1)</w:t>
      </w:r>
      <w:r w:rsidR="00C64569" w:rsidRPr="00F10A5B">
        <w:rPr>
          <w:rFonts w:eastAsia="Calibri" w:cstheme="minorHAnsi"/>
          <w:color w:val="auto"/>
        </w:rPr>
        <w:t xml:space="preserve"> </w:t>
      </w:r>
      <w:r w:rsidRPr="00F10A5B">
        <w:rPr>
          <w:rFonts w:eastAsia="Calibri" w:cstheme="minorHAnsi"/>
          <w:color w:val="auto"/>
        </w:rPr>
        <w:t>personne ayant un droit de priorité des</w:t>
      </w:r>
      <w:r w:rsidR="00D94AC3" w:rsidRPr="00F10A5B">
        <w:rPr>
          <w:rFonts w:eastAsia="Calibri" w:cstheme="minorHAnsi"/>
          <w:color w:val="auto"/>
        </w:rPr>
        <w:t xml:space="preserve"> Forces armées canadiennes</w:t>
      </w:r>
      <w:r w:rsidRPr="00F10A5B">
        <w:rPr>
          <w:rFonts w:eastAsia="Calibri" w:cstheme="minorHAnsi"/>
          <w:color w:val="auto"/>
        </w:rPr>
        <w:t>.</w:t>
      </w:r>
    </w:p>
    <w:p w14:paraId="37375716" w14:textId="77777777" w:rsidR="00C64569" w:rsidRPr="00F10A5B" w:rsidRDefault="00C64569" w:rsidP="00502DD6">
      <w:pPr>
        <w:spacing w:after="120" w:line="240" w:lineRule="auto"/>
        <w:rPr>
          <w:rFonts w:cstheme="minorHAnsi"/>
          <w:color w:val="auto"/>
        </w:rPr>
      </w:pPr>
      <w:r w:rsidRPr="00F10A5B">
        <w:rPr>
          <w:rFonts w:eastAsia="Calibri" w:cstheme="minorHAnsi"/>
          <w:color w:val="auto"/>
        </w:rPr>
        <w:t>En date du 1</w:t>
      </w:r>
      <w:r w:rsidRPr="00F10A5B">
        <w:rPr>
          <w:rFonts w:eastAsia="Calibri" w:cstheme="minorHAnsi"/>
          <w:color w:val="auto"/>
          <w:vertAlign w:val="superscript"/>
        </w:rPr>
        <w:t>er</w:t>
      </w:r>
      <w:r w:rsidRPr="00F10A5B">
        <w:rPr>
          <w:rFonts w:eastAsia="Calibri" w:cstheme="minorHAnsi"/>
          <w:color w:val="auto"/>
        </w:rPr>
        <w:t xml:space="preserve"> octobre 2020, SAC avait 30 personnes ayant un droit de priorité dans le système de gestion </w:t>
      </w:r>
      <w:r w:rsidR="006C33B1" w:rsidRPr="00F10A5B">
        <w:rPr>
          <w:rFonts w:eastAsia="Calibri" w:cstheme="minorHAnsi"/>
          <w:color w:val="auto"/>
        </w:rPr>
        <w:t>de l’information des priorités.</w:t>
      </w:r>
    </w:p>
    <w:p w14:paraId="692C2D74" w14:textId="77777777" w:rsidR="007F6658" w:rsidRPr="00F10A5B" w:rsidRDefault="007F6658" w:rsidP="00BE1B24">
      <w:pPr>
        <w:pStyle w:val="Heading2"/>
        <w:spacing w:after="120"/>
        <w:rPr>
          <w:rFonts w:eastAsia="Calibri"/>
        </w:rPr>
      </w:pPr>
      <w:r w:rsidRPr="00F10A5B">
        <w:rPr>
          <w:rFonts w:eastAsia="Calibri"/>
        </w:rPr>
        <w:t>Demandes d’autorisation en matière de priorités</w:t>
      </w:r>
    </w:p>
    <w:p w14:paraId="3B10D6B8" w14:textId="77777777" w:rsidR="007F6658" w:rsidRPr="00F10A5B" w:rsidRDefault="007F6658" w:rsidP="007F6658">
      <w:pPr>
        <w:spacing w:after="0" w:line="240" w:lineRule="auto"/>
        <w:contextualSpacing/>
        <w:rPr>
          <w:rFonts w:cstheme="minorHAnsi"/>
          <w:color w:val="auto"/>
        </w:rPr>
      </w:pPr>
      <w:r w:rsidRPr="00F10A5B">
        <w:rPr>
          <w:rFonts w:cstheme="minorHAnsi"/>
          <w:color w:val="auto"/>
        </w:rPr>
        <w:t xml:space="preserve">Du 1er avril 2019 au 5 octobre 2020, SAC a soumis 1953 demandes d'autorisations en matière de priorité. </w:t>
      </w:r>
    </w:p>
    <w:p w14:paraId="714AEAC9"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497 nominations externes non-annoncées</w:t>
      </w:r>
    </w:p>
    <w:p w14:paraId="621E1F32"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 xml:space="preserve">428 nominations internes non-annoncées </w:t>
      </w:r>
    </w:p>
    <w:p w14:paraId="389FBCDF"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246 nominations parmi les personnes qualifiées identifiées dans un précédent processus de nomination externe</w:t>
      </w:r>
    </w:p>
    <w:p w14:paraId="631D8C94"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173 nominations externes annoncées</w:t>
      </w:r>
    </w:p>
    <w:p w14:paraId="7FA6F43C"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159 nominations parmi les personnes qualifiées identifiées dans un précédent processus de nomination interne</w:t>
      </w:r>
    </w:p>
    <w:p w14:paraId="42F4A645"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149 nominations internes annoncées</w:t>
      </w:r>
    </w:p>
    <w:p w14:paraId="3E9B844D"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135 nominations externes en lien avec l'équité en matière d'emploi</w:t>
      </w:r>
    </w:p>
    <w:p w14:paraId="6F2F52A4"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90 nominations internes en lien avec l'équité en matière d'emploi</w:t>
      </w:r>
    </w:p>
    <w:p w14:paraId="05824129"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36 intégrations d’étudiants</w:t>
      </w:r>
    </w:p>
    <w:p w14:paraId="710A84CE"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 xml:space="preserve">13 nominations de bénéficiaires de priorité </w:t>
      </w:r>
    </w:p>
    <w:p w14:paraId="3B95B48B"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16 nominations parmi les personnes qualifiées identifiées dans un précédent processus de nomination lié à l'équité en matière d'emploi</w:t>
      </w:r>
    </w:p>
    <w:p w14:paraId="793C0CF0" w14:textId="77777777" w:rsidR="007F6658" w:rsidRPr="00F10A5B" w:rsidRDefault="007F6658" w:rsidP="007F6658">
      <w:pPr>
        <w:pStyle w:val="ListParagraph"/>
        <w:keepLines w:val="0"/>
        <w:numPr>
          <w:ilvl w:val="0"/>
          <w:numId w:val="29"/>
        </w:numPr>
        <w:spacing w:after="0" w:line="240" w:lineRule="auto"/>
        <w:rPr>
          <w:rFonts w:cstheme="minorHAnsi"/>
          <w:b/>
          <w:color w:val="auto"/>
        </w:rPr>
      </w:pPr>
      <w:r w:rsidRPr="00F10A5B">
        <w:rPr>
          <w:rFonts w:cstheme="minorHAnsi"/>
          <w:color w:val="auto"/>
        </w:rPr>
        <w:t xml:space="preserve">10 nominations selon l'article 43 de la LEFP </w:t>
      </w:r>
    </w:p>
    <w:p w14:paraId="0FC9483B" w14:textId="77777777" w:rsidR="007F6658" w:rsidRPr="00F10A5B" w:rsidRDefault="007F6658" w:rsidP="007F6658">
      <w:pPr>
        <w:pStyle w:val="ListParagraph"/>
        <w:keepLines w:val="0"/>
        <w:numPr>
          <w:ilvl w:val="0"/>
          <w:numId w:val="29"/>
        </w:numPr>
        <w:spacing w:after="0" w:line="240" w:lineRule="auto"/>
        <w:rPr>
          <w:rFonts w:cstheme="minorHAnsi"/>
          <w:color w:val="auto"/>
        </w:rPr>
      </w:pPr>
      <w:r w:rsidRPr="00F10A5B">
        <w:rPr>
          <w:rFonts w:cstheme="minorHAnsi"/>
          <w:color w:val="auto"/>
        </w:rPr>
        <w:t>1 nomination par un processus interne et externe annoncée simultanément</w:t>
      </w:r>
    </w:p>
    <w:p w14:paraId="485F0AA6" w14:textId="5A4B675A" w:rsidR="007F6658" w:rsidRPr="00B83037" w:rsidRDefault="007F6658" w:rsidP="007F6658">
      <w:pPr>
        <w:pStyle w:val="Caption"/>
        <w:keepNext/>
        <w:spacing w:after="0"/>
        <w:rPr>
          <w:i w:val="0"/>
          <w:color w:val="auto"/>
        </w:rPr>
      </w:pPr>
      <w:r w:rsidRPr="00B83037">
        <w:rPr>
          <w:i w:val="0"/>
          <w:color w:val="auto"/>
        </w:rPr>
        <w:lastRenderedPageBreak/>
        <w:t xml:space="preserve">Table </w:t>
      </w:r>
      <w:r w:rsidRPr="00B83037">
        <w:rPr>
          <w:i w:val="0"/>
          <w:color w:val="auto"/>
        </w:rPr>
        <w:fldChar w:fldCharType="begin"/>
      </w:r>
      <w:r w:rsidRPr="00B83037">
        <w:rPr>
          <w:i w:val="0"/>
          <w:color w:val="auto"/>
        </w:rPr>
        <w:instrText xml:space="preserve"> SEQ Table \* ARABIC </w:instrText>
      </w:r>
      <w:r w:rsidRPr="00B83037">
        <w:rPr>
          <w:i w:val="0"/>
          <w:color w:val="auto"/>
        </w:rPr>
        <w:fldChar w:fldCharType="separate"/>
      </w:r>
      <w:r w:rsidR="007B3B19" w:rsidRPr="00B83037">
        <w:rPr>
          <w:i w:val="0"/>
          <w:noProof/>
          <w:color w:val="auto"/>
        </w:rPr>
        <w:t>3</w:t>
      </w:r>
      <w:r w:rsidRPr="00B83037">
        <w:rPr>
          <w:i w:val="0"/>
          <w:color w:val="auto"/>
        </w:rPr>
        <w:fldChar w:fldCharType="end"/>
      </w:r>
      <w:r w:rsidRPr="00B83037">
        <w:rPr>
          <w:i w:val="0"/>
          <w:color w:val="auto"/>
        </w:rPr>
        <w:t xml:space="preserve"> - Droits de priorité et vétérans</w:t>
      </w:r>
    </w:p>
    <w:tbl>
      <w:tblPr>
        <w:tblStyle w:val="TableGrid"/>
        <w:tblW w:w="5000" w:type="pct"/>
        <w:jc w:val="center"/>
        <w:tblLook w:val="04A0" w:firstRow="1" w:lastRow="0" w:firstColumn="1" w:lastColumn="0" w:noHBand="0" w:noVBand="1"/>
        <w:tblDescription w:val="Droits de priorité et vétérans"/>
      </w:tblPr>
      <w:tblGrid>
        <w:gridCol w:w="2156"/>
        <w:gridCol w:w="2455"/>
        <w:gridCol w:w="3069"/>
        <w:gridCol w:w="1670"/>
      </w:tblGrid>
      <w:tr w:rsidR="007F6658" w:rsidRPr="00F10A5B" w14:paraId="669335E3" w14:textId="77777777" w:rsidTr="005A4FEB">
        <w:trPr>
          <w:cantSplit/>
          <w:tblHeader/>
          <w:jc w:val="center"/>
        </w:trPr>
        <w:tc>
          <w:tcPr>
            <w:tcW w:w="1153" w:type="pct"/>
            <w:shd w:val="clear" w:color="auto" w:fill="0070C0"/>
          </w:tcPr>
          <w:p w14:paraId="3AEA1BD0" w14:textId="77777777" w:rsidR="007F6658" w:rsidRPr="00F10A5B" w:rsidRDefault="007F6658" w:rsidP="007F6658">
            <w:pPr>
              <w:pStyle w:val="TableTitle"/>
              <w:rPr>
                <w:color w:val="FFFFFF" w:themeColor="background1"/>
              </w:rPr>
            </w:pPr>
            <w:r w:rsidRPr="00F10A5B">
              <w:rPr>
                <w:color w:val="FFFFFF" w:themeColor="background1"/>
              </w:rPr>
              <w:t>Année financière</w:t>
            </w:r>
          </w:p>
        </w:tc>
        <w:tc>
          <w:tcPr>
            <w:tcW w:w="1313" w:type="pct"/>
            <w:shd w:val="clear" w:color="auto" w:fill="0070C0"/>
          </w:tcPr>
          <w:p w14:paraId="4239BB60" w14:textId="50E76D6E" w:rsidR="007F6658" w:rsidRPr="00F10A5B" w:rsidRDefault="007F6658" w:rsidP="007F6658">
            <w:pPr>
              <w:pStyle w:val="TableTitle"/>
              <w:rPr>
                <w:color w:val="FFFFFF" w:themeColor="background1"/>
              </w:rPr>
            </w:pPr>
            <w:r w:rsidRPr="00F10A5B">
              <w:rPr>
                <w:color w:val="FFFFFF" w:themeColor="background1"/>
              </w:rPr>
              <w:t>Raisons attribuables au service (statutaire)</w:t>
            </w:r>
          </w:p>
        </w:tc>
        <w:tc>
          <w:tcPr>
            <w:tcW w:w="1641" w:type="pct"/>
            <w:shd w:val="clear" w:color="auto" w:fill="0070C0"/>
          </w:tcPr>
          <w:p w14:paraId="3BD63049" w14:textId="0D6E1B92" w:rsidR="007F6658" w:rsidRPr="00F10A5B" w:rsidRDefault="007F6658" w:rsidP="007F6658">
            <w:pPr>
              <w:pStyle w:val="TableTitle"/>
              <w:rPr>
                <w:color w:val="FFFFFF" w:themeColor="background1"/>
              </w:rPr>
            </w:pPr>
            <w:r w:rsidRPr="00F10A5B">
              <w:rPr>
                <w:color w:val="FFFFFF" w:themeColor="background1"/>
              </w:rPr>
              <w:t>Raisons pas attribuables au service (réglementaire)</w:t>
            </w:r>
          </w:p>
        </w:tc>
        <w:tc>
          <w:tcPr>
            <w:tcW w:w="893" w:type="pct"/>
            <w:shd w:val="clear" w:color="auto" w:fill="0070C0"/>
          </w:tcPr>
          <w:p w14:paraId="23073544" w14:textId="5D69D754" w:rsidR="007F6658" w:rsidRPr="00F10A5B" w:rsidRDefault="007F6658" w:rsidP="007F6658">
            <w:pPr>
              <w:pStyle w:val="TableTitle"/>
              <w:rPr>
                <w:color w:val="FFFFFF" w:themeColor="background1"/>
              </w:rPr>
            </w:pPr>
            <w:r w:rsidRPr="00F10A5B">
              <w:rPr>
                <w:color w:val="FFFFFF" w:themeColor="background1"/>
              </w:rPr>
              <w:t>Total</w:t>
            </w:r>
          </w:p>
        </w:tc>
      </w:tr>
      <w:tr w:rsidR="007F6658" w:rsidRPr="00F10A5B" w14:paraId="673B70E0" w14:textId="77777777" w:rsidTr="005A4FEB">
        <w:trPr>
          <w:cantSplit/>
          <w:tblHeader/>
          <w:jc w:val="center"/>
        </w:trPr>
        <w:tc>
          <w:tcPr>
            <w:tcW w:w="1153" w:type="pct"/>
            <w:shd w:val="clear" w:color="auto" w:fill="0070C0"/>
          </w:tcPr>
          <w:p w14:paraId="38872A8B" w14:textId="77777777" w:rsidR="007F6658" w:rsidRPr="00F10A5B" w:rsidRDefault="007F6658" w:rsidP="007F6658">
            <w:pPr>
              <w:widowControl w:val="0"/>
              <w:tabs>
                <w:tab w:val="left" w:pos="-1440"/>
              </w:tabs>
              <w:autoSpaceDE w:val="0"/>
              <w:autoSpaceDN w:val="0"/>
              <w:adjustRightInd w:val="0"/>
              <w:spacing w:after="120" w:line="20" w:lineRule="atLeast"/>
              <w:contextualSpacing/>
              <w:rPr>
                <w:rFonts w:cstheme="minorHAnsi"/>
                <w:color w:val="FFFFFF" w:themeColor="background1"/>
              </w:rPr>
            </w:pPr>
            <w:r w:rsidRPr="00F10A5B">
              <w:rPr>
                <w:rFonts w:cstheme="minorHAnsi"/>
                <w:color w:val="FFFFFF" w:themeColor="background1"/>
              </w:rPr>
              <w:t>2015 (1</w:t>
            </w:r>
            <w:r w:rsidRPr="00F10A5B">
              <w:rPr>
                <w:rFonts w:cstheme="minorHAnsi"/>
                <w:color w:val="FFFFFF" w:themeColor="background1"/>
                <w:vertAlign w:val="superscript"/>
              </w:rPr>
              <w:t>er</w:t>
            </w:r>
            <w:r w:rsidRPr="00F10A5B">
              <w:rPr>
                <w:rFonts w:cstheme="minorHAnsi"/>
                <w:color w:val="FFFFFF" w:themeColor="background1"/>
              </w:rPr>
              <w:t xml:space="preserve"> juillet) - 2016</w:t>
            </w:r>
          </w:p>
        </w:tc>
        <w:tc>
          <w:tcPr>
            <w:tcW w:w="1313" w:type="pct"/>
          </w:tcPr>
          <w:p w14:paraId="3477F19C"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1641" w:type="pct"/>
          </w:tcPr>
          <w:p w14:paraId="787CC2B6"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893" w:type="pct"/>
          </w:tcPr>
          <w:p w14:paraId="6546C689"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r>
      <w:tr w:rsidR="007F6658" w:rsidRPr="00F10A5B" w14:paraId="3565ACC7" w14:textId="77777777" w:rsidTr="005A4FEB">
        <w:trPr>
          <w:cantSplit/>
          <w:trHeight w:val="419"/>
          <w:tblHeader/>
          <w:jc w:val="center"/>
        </w:trPr>
        <w:tc>
          <w:tcPr>
            <w:tcW w:w="1153" w:type="pct"/>
            <w:shd w:val="clear" w:color="auto" w:fill="0070C0"/>
          </w:tcPr>
          <w:p w14:paraId="6E662BEC" w14:textId="77777777" w:rsidR="007F6658" w:rsidRPr="00F10A5B" w:rsidRDefault="007F6658" w:rsidP="007F6658">
            <w:pPr>
              <w:widowControl w:val="0"/>
              <w:tabs>
                <w:tab w:val="left" w:pos="-1440"/>
              </w:tabs>
              <w:autoSpaceDE w:val="0"/>
              <w:autoSpaceDN w:val="0"/>
              <w:adjustRightInd w:val="0"/>
              <w:spacing w:after="120" w:line="20" w:lineRule="atLeast"/>
              <w:contextualSpacing/>
              <w:rPr>
                <w:rFonts w:cstheme="minorHAnsi"/>
                <w:color w:val="FFFFFF" w:themeColor="background1"/>
              </w:rPr>
            </w:pPr>
            <w:r w:rsidRPr="00F10A5B">
              <w:rPr>
                <w:rFonts w:cstheme="minorHAnsi"/>
                <w:color w:val="FFFFFF" w:themeColor="background1"/>
              </w:rPr>
              <w:t>2016 - 2017</w:t>
            </w:r>
          </w:p>
        </w:tc>
        <w:tc>
          <w:tcPr>
            <w:tcW w:w="1313" w:type="pct"/>
          </w:tcPr>
          <w:p w14:paraId="60AFE1D0"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1641" w:type="pct"/>
          </w:tcPr>
          <w:p w14:paraId="5676C3C0"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893" w:type="pct"/>
          </w:tcPr>
          <w:p w14:paraId="254078C4"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r>
      <w:tr w:rsidR="007F6658" w:rsidRPr="00F10A5B" w14:paraId="1146117A" w14:textId="77777777" w:rsidTr="005A4FEB">
        <w:trPr>
          <w:cantSplit/>
          <w:trHeight w:val="412"/>
          <w:tblHeader/>
          <w:jc w:val="center"/>
        </w:trPr>
        <w:tc>
          <w:tcPr>
            <w:tcW w:w="1153" w:type="pct"/>
            <w:shd w:val="clear" w:color="auto" w:fill="0070C0"/>
          </w:tcPr>
          <w:p w14:paraId="18A22344" w14:textId="77777777" w:rsidR="007F6658" w:rsidRPr="00F10A5B" w:rsidRDefault="007F6658" w:rsidP="007F6658">
            <w:pPr>
              <w:widowControl w:val="0"/>
              <w:tabs>
                <w:tab w:val="left" w:pos="-1440"/>
              </w:tabs>
              <w:autoSpaceDE w:val="0"/>
              <w:autoSpaceDN w:val="0"/>
              <w:adjustRightInd w:val="0"/>
              <w:spacing w:after="120" w:line="20" w:lineRule="atLeast"/>
              <w:contextualSpacing/>
              <w:rPr>
                <w:rFonts w:cstheme="minorHAnsi"/>
                <w:color w:val="FFFFFF" w:themeColor="background1"/>
              </w:rPr>
            </w:pPr>
            <w:r w:rsidRPr="00F10A5B">
              <w:rPr>
                <w:rFonts w:cstheme="minorHAnsi"/>
                <w:color w:val="FFFFFF" w:themeColor="background1"/>
              </w:rPr>
              <w:t>2017 - 2018</w:t>
            </w:r>
          </w:p>
        </w:tc>
        <w:tc>
          <w:tcPr>
            <w:tcW w:w="1313" w:type="pct"/>
          </w:tcPr>
          <w:p w14:paraId="1F2F9A6F"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1641" w:type="pct"/>
          </w:tcPr>
          <w:p w14:paraId="004446AE"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893" w:type="pct"/>
          </w:tcPr>
          <w:p w14:paraId="56583715"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r>
      <w:tr w:rsidR="007F6658" w:rsidRPr="00F10A5B" w14:paraId="3FE8B939" w14:textId="77777777" w:rsidTr="005A4FEB">
        <w:trPr>
          <w:cantSplit/>
          <w:trHeight w:val="417"/>
          <w:tblHeader/>
          <w:jc w:val="center"/>
        </w:trPr>
        <w:tc>
          <w:tcPr>
            <w:tcW w:w="1153" w:type="pct"/>
            <w:shd w:val="clear" w:color="auto" w:fill="0070C0"/>
          </w:tcPr>
          <w:p w14:paraId="481925F3" w14:textId="77777777" w:rsidR="007F6658" w:rsidRPr="00F10A5B" w:rsidRDefault="007F6658" w:rsidP="007F6658">
            <w:pPr>
              <w:widowControl w:val="0"/>
              <w:tabs>
                <w:tab w:val="left" w:pos="-1440"/>
              </w:tabs>
              <w:autoSpaceDE w:val="0"/>
              <w:autoSpaceDN w:val="0"/>
              <w:adjustRightInd w:val="0"/>
              <w:spacing w:after="120" w:line="20" w:lineRule="atLeast"/>
              <w:contextualSpacing/>
              <w:rPr>
                <w:rFonts w:cstheme="minorHAnsi"/>
                <w:color w:val="FFFFFF" w:themeColor="background1"/>
              </w:rPr>
            </w:pPr>
            <w:r w:rsidRPr="00F10A5B">
              <w:rPr>
                <w:rFonts w:cstheme="minorHAnsi"/>
                <w:color w:val="FFFFFF" w:themeColor="background1"/>
              </w:rPr>
              <w:t>2018 - 2019</w:t>
            </w:r>
          </w:p>
        </w:tc>
        <w:tc>
          <w:tcPr>
            <w:tcW w:w="1313" w:type="pct"/>
          </w:tcPr>
          <w:p w14:paraId="07D1B0B3"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1641" w:type="pct"/>
          </w:tcPr>
          <w:p w14:paraId="12747934"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893" w:type="pct"/>
          </w:tcPr>
          <w:p w14:paraId="195A7FE2"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r>
      <w:tr w:rsidR="007F6658" w:rsidRPr="00F10A5B" w14:paraId="45C4064B" w14:textId="77777777" w:rsidTr="005A4FEB">
        <w:trPr>
          <w:cantSplit/>
          <w:trHeight w:val="564"/>
          <w:tblHeader/>
          <w:jc w:val="center"/>
        </w:trPr>
        <w:tc>
          <w:tcPr>
            <w:tcW w:w="1153" w:type="pct"/>
            <w:shd w:val="clear" w:color="auto" w:fill="0070C0"/>
          </w:tcPr>
          <w:p w14:paraId="5E169B6B" w14:textId="77777777" w:rsidR="007F6658" w:rsidRPr="00F10A5B" w:rsidRDefault="007F6658" w:rsidP="007F6658">
            <w:pPr>
              <w:widowControl w:val="0"/>
              <w:tabs>
                <w:tab w:val="left" w:pos="-1440"/>
              </w:tabs>
              <w:autoSpaceDE w:val="0"/>
              <w:autoSpaceDN w:val="0"/>
              <w:adjustRightInd w:val="0"/>
              <w:spacing w:after="120" w:line="20" w:lineRule="atLeast"/>
              <w:contextualSpacing/>
              <w:rPr>
                <w:rFonts w:cstheme="minorHAnsi"/>
                <w:color w:val="FFFFFF" w:themeColor="background1"/>
              </w:rPr>
            </w:pPr>
            <w:r w:rsidRPr="00F10A5B">
              <w:rPr>
                <w:rFonts w:cstheme="minorHAnsi"/>
                <w:color w:val="FFFFFF" w:themeColor="background1"/>
              </w:rPr>
              <w:t>2019 - 2020</w:t>
            </w:r>
          </w:p>
        </w:tc>
        <w:tc>
          <w:tcPr>
            <w:tcW w:w="1313" w:type="pct"/>
          </w:tcPr>
          <w:p w14:paraId="24553E4D"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1</w:t>
            </w:r>
          </w:p>
        </w:tc>
        <w:tc>
          <w:tcPr>
            <w:tcW w:w="1641" w:type="pct"/>
          </w:tcPr>
          <w:p w14:paraId="7543CF0F"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893" w:type="pct"/>
          </w:tcPr>
          <w:p w14:paraId="456B7067"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1</w:t>
            </w:r>
          </w:p>
        </w:tc>
      </w:tr>
      <w:tr w:rsidR="007F6658" w:rsidRPr="00F10A5B" w14:paraId="4133BFD5" w14:textId="77777777" w:rsidTr="005A4FEB">
        <w:trPr>
          <w:cantSplit/>
          <w:tblHeader/>
          <w:jc w:val="center"/>
        </w:trPr>
        <w:tc>
          <w:tcPr>
            <w:tcW w:w="1153" w:type="pct"/>
            <w:shd w:val="clear" w:color="auto" w:fill="0070C0"/>
          </w:tcPr>
          <w:p w14:paraId="0C325426" w14:textId="77777777" w:rsidR="007F6658" w:rsidRPr="00F10A5B" w:rsidRDefault="007F6658" w:rsidP="007F6658">
            <w:pPr>
              <w:widowControl w:val="0"/>
              <w:tabs>
                <w:tab w:val="left" w:pos="-1440"/>
              </w:tabs>
              <w:autoSpaceDE w:val="0"/>
              <w:autoSpaceDN w:val="0"/>
              <w:adjustRightInd w:val="0"/>
              <w:spacing w:after="120" w:line="20" w:lineRule="atLeast"/>
              <w:contextualSpacing/>
              <w:rPr>
                <w:rFonts w:cstheme="minorHAnsi"/>
                <w:color w:val="FFFFFF" w:themeColor="background1"/>
              </w:rPr>
            </w:pPr>
            <w:r w:rsidRPr="00F10A5B">
              <w:rPr>
                <w:rFonts w:cstheme="minorHAnsi"/>
                <w:color w:val="FFFFFF" w:themeColor="background1"/>
              </w:rPr>
              <w:t>2020 - 2021</w:t>
            </w:r>
          </w:p>
        </w:tc>
        <w:tc>
          <w:tcPr>
            <w:tcW w:w="1313" w:type="pct"/>
          </w:tcPr>
          <w:p w14:paraId="01D2F4AC"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1641" w:type="pct"/>
          </w:tcPr>
          <w:p w14:paraId="15012D2C"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893" w:type="pct"/>
          </w:tcPr>
          <w:p w14:paraId="692EBDC9"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r>
      <w:tr w:rsidR="007F6658" w:rsidRPr="00F10A5B" w14:paraId="129D6926" w14:textId="77777777" w:rsidTr="00B83037">
        <w:trPr>
          <w:cantSplit/>
          <w:trHeight w:val="466"/>
          <w:tblHeader/>
          <w:jc w:val="center"/>
        </w:trPr>
        <w:tc>
          <w:tcPr>
            <w:tcW w:w="1153" w:type="pct"/>
            <w:shd w:val="clear" w:color="auto" w:fill="BAF8FF" w:themeFill="accent3" w:themeFillTint="33"/>
          </w:tcPr>
          <w:p w14:paraId="795312DC" w14:textId="77777777" w:rsidR="007F6658" w:rsidRPr="00F10A5B" w:rsidRDefault="007F6658" w:rsidP="007F6658">
            <w:pPr>
              <w:widowControl w:val="0"/>
              <w:tabs>
                <w:tab w:val="left" w:pos="-1440"/>
              </w:tabs>
              <w:autoSpaceDE w:val="0"/>
              <w:autoSpaceDN w:val="0"/>
              <w:adjustRightInd w:val="0"/>
              <w:spacing w:after="120" w:line="20" w:lineRule="atLeast"/>
              <w:contextualSpacing/>
              <w:rPr>
                <w:rFonts w:cstheme="minorHAnsi"/>
                <w:color w:val="auto"/>
              </w:rPr>
            </w:pPr>
            <w:r w:rsidRPr="00F10A5B">
              <w:rPr>
                <w:rFonts w:cstheme="minorHAnsi"/>
                <w:color w:val="auto"/>
              </w:rPr>
              <w:t>Total</w:t>
            </w:r>
          </w:p>
        </w:tc>
        <w:tc>
          <w:tcPr>
            <w:tcW w:w="1313" w:type="pct"/>
            <w:shd w:val="clear" w:color="auto" w:fill="BAF8FF" w:themeFill="accent3" w:themeFillTint="33"/>
          </w:tcPr>
          <w:p w14:paraId="030782E1"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1</w:t>
            </w:r>
          </w:p>
        </w:tc>
        <w:tc>
          <w:tcPr>
            <w:tcW w:w="1641" w:type="pct"/>
            <w:shd w:val="clear" w:color="auto" w:fill="BAF8FF" w:themeFill="accent3" w:themeFillTint="33"/>
          </w:tcPr>
          <w:p w14:paraId="52349614"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0</w:t>
            </w:r>
          </w:p>
        </w:tc>
        <w:tc>
          <w:tcPr>
            <w:tcW w:w="893" w:type="pct"/>
            <w:shd w:val="clear" w:color="auto" w:fill="BAF8FF" w:themeFill="accent3" w:themeFillTint="33"/>
          </w:tcPr>
          <w:p w14:paraId="466E5AC7" w14:textId="77777777" w:rsidR="007F6658" w:rsidRPr="00F10A5B" w:rsidRDefault="007F6658" w:rsidP="0052484F">
            <w:pPr>
              <w:widowControl w:val="0"/>
              <w:tabs>
                <w:tab w:val="left" w:pos="-1440"/>
              </w:tabs>
              <w:autoSpaceDE w:val="0"/>
              <w:autoSpaceDN w:val="0"/>
              <w:adjustRightInd w:val="0"/>
              <w:spacing w:after="120" w:line="20" w:lineRule="atLeast"/>
              <w:contextualSpacing/>
              <w:jc w:val="center"/>
              <w:rPr>
                <w:rFonts w:cstheme="minorHAnsi"/>
                <w:color w:val="auto"/>
              </w:rPr>
            </w:pPr>
            <w:r w:rsidRPr="00F10A5B">
              <w:rPr>
                <w:rFonts w:cstheme="minorHAnsi"/>
                <w:color w:val="auto"/>
              </w:rPr>
              <w:t>1</w:t>
            </w:r>
          </w:p>
        </w:tc>
      </w:tr>
    </w:tbl>
    <w:p w14:paraId="3BD79D03" w14:textId="77777777" w:rsidR="007F6658" w:rsidRPr="00F10A5B" w:rsidRDefault="007F6658" w:rsidP="007F6658">
      <w:pPr>
        <w:pStyle w:val="Level1"/>
        <w:tabs>
          <w:tab w:val="left" w:pos="-1440"/>
        </w:tabs>
        <w:autoSpaceDE w:val="0"/>
        <w:autoSpaceDN w:val="0"/>
        <w:adjustRightInd w:val="0"/>
        <w:spacing w:after="120" w:line="20" w:lineRule="atLeast"/>
        <w:contextualSpacing/>
        <w:rPr>
          <w:rFonts w:asciiTheme="minorHAnsi" w:hAnsiTheme="minorHAnsi" w:cstheme="minorHAnsi"/>
          <w:sz w:val="22"/>
          <w:szCs w:val="22"/>
          <w:lang w:val="fr-CA"/>
        </w:rPr>
      </w:pPr>
      <w:r w:rsidRPr="00F10A5B">
        <w:rPr>
          <w:rFonts w:asciiTheme="minorHAnsi" w:hAnsiTheme="minorHAnsi" w:cstheme="minorHAnsi"/>
          <w:sz w:val="22"/>
          <w:szCs w:val="22"/>
          <w:lang w:val="fr-CA"/>
        </w:rPr>
        <w:t>Source : Système de gestion de l’information des priorités</w:t>
      </w:r>
    </w:p>
    <w:p w14:paraId="746FFA76" w14:textId="77777777" w:rsidR="00961A62" w:rsidRPr="00F10A5B" w:rsidRDefault="00961A62" w:rsidP="00502DD6">
      <w:pPr>
        <w:pStyle w:val="Heading1"/>
        <w:spacing w:after="120"/>
        <w:contextualSpacing/>
        <w:rPr>
          <w:color w:val="auto"/>
        </w:rPr>
      </w:pPr>
      <w:r w:rsidRPr="00F10A5B">
        <w:rPr>
          <w:color w:val="auto"/>
        </w:rPr>
        <w:t xml:space="preserve">Impartialité de la fonction publique </w:t>
      </w:r>
    </w:p>
    <w:p w14:paraId="1FC0ABE5" w14:textId="7CE7B9C5" w:rsidR="00FC4AD0" w:rsidRPr="00F10A5B" w:rsidRDefault="00FC4AD0" w:rsidP="00502DD6">
      <w:pPr>
        <w:keepLines w:val="0"/>
        <w:spacing w:after="120" w:line="240" w:lineRule="auto"/>
        <w:rPr>
          <w:rFonts w:cstheme="minorHAnsi"/>
          <w:color w:val="auto"/>
          <w:lang w:eastAsia="en-CA"/>
        </w:rPr>
      </w:pPr>
      <w:r w:rsidRPr="00F10A5B">
        <w:rPr>
          <w:rFonts w:cstheme="minorHAnsi"/>
          <w:color w:val="auto"/>
          <w:lang w:eastAsia="en-CA"/>
        </w:rPr>
        <w:t>Depuis le 1</w:t>
      </w:r>
      <w:r w:rsidRPr="00F10A5B">
        <w:rPr>
          <w:rFonts w:cstheme="minorHAnsi"/>
          <w:color w:val="auto"/>
          <w:vertAlign w:val="superscript"/>
          <w:lang w:eastAsia="en-CA"/>
        </w:rPr>
        <w:t>er</w:t>
      </w:r>
      <w:r w:rsidR="00330D39" w:rsidRPr="00F10A5B">
        <w:rPr>
          <w:rFonts w:cstheme="minorHAnsi"/>
          <w:color w:val="auto"/>
          <w:lang w:eastAsia="en-CA"/>
        </w:rPr>
        <w:t xml:space="preserve"> avril 2015, la CFP a traité quatre</w:t>
      </w:r>
      <w:r w:rsidRPr="00F10A5B">
        <w:rPr>
          <w:rFonts w:cstheme="minorHAnsi"/>
          <w:color w:val="auto"/>
          <w:lang w:eastAsia="en-CA"/>
        </w:rPr>
        <w:t xml:space="preserve"> demandes </w:t>
      </w:r>
      <w:r w:rsidR="00A7743F" w:rsidRPr="00F10A5B">
        <w:rPr>
          <w:rFonts w:cstheme="minorHAnsi"/>
          <w:color w:val="auto"/>
          <w:lang w:eastAsia="en-CA"/>
        </w:rPr>
        <w:t xml:space="preserve">de permission </w:t>
      </w:r>
      <w:r w:rsidRPr="00F10A5B">
        <w:rPr>
          <w:rFonts w:cstheme="minorHAnsi"/>
          <w:color w:val="auto"/>
          <w:lang w:eastAsia="en-CA"/>
        </w:rPr>
        <w:t xml:space="preserve">(1 fédérale, 1 provinciale et 2 municipales) de </w:t>
      </w:r>
      <w:r w:rsidR="00376ACE" w:rsidRPr="00F10A5B">
        <w:rPr>
          <w:rFonts w:cstheme="minorHAnsi"/>
          <w:color w:val="auto"/>
          <w:lang w:eastAsia="en-CA"/>
        </w:rPr>
        <w:t>AANC</w:t>
      </w:r>
      <w:r w:rsidRPr="00F10A5B">
        <w:rPr>
          <w:rFonts w:cstheme="minorHAnsi"/>
          <w:color w:val="auto"/>
          <w:lang w:eastAsia="en-CA"/>
        </w:rPr>
        <w:t>. Actuellement, une de leurs fonctionnaires est une élue municipale à temps partiel.</w:t>
      </w:r>
    </w:p>
    <w:p w14:paraId="37388A37" w14:textId="77777777" w:rsidR="006C33B1" w:rsidRPr="00F10A5B" w:rsidRDefault="00120798" w:rsidP="00502DD6">
      <w:pPr>
        <w:spacing w:after="120" w:line="240" w:lineRule="auto"/>
        <w:rPr>
          <w:rFonts w:cstheme="minorHAnsi"/>
          <w:noProof/>
          <w:color w:val="auto"/>
          <w:lang w:eastAsia="en-CA"/>
        </w:rPr>
      </w:pPr>
      <w:r w:rsidRPr="00F10A5B">
        <w:rPr>
          <w:rFonts w:cstheme="minorHAnsi"/>
          <w:color w:val="auto"/>
          <w:lang w:eastAsia="en-CA"/>
        </w:rPr>
        <w:t>Les</w:t>
      </w:r>
      <w:r w:rsidRPr="00F10A5B">
        <w:rPr>
          <w:rFonts w:cstheme="minorHAnsi"/>
          <w:color w:val="auto"/>
        </w:rPr>
        <w:t xml:space="preserve"> résultats du </w:t>
      </w:r>
      <w:r w:rsidR="006C33B1" w:rsidRPr="00F10A5B">
        <w:rPr>
          <w:rFonts w:cstheme="minorHAnsi"/>
          <w:color w:val="auto"/>
          <w:lang w:eastAsia="en-CA"/>
        </w:rPr>
        <w:t>SDIP</w:t>
      </w:r>
      <w:r w:rsidRPr="00F10A5B">
        <w:rPr>
          <w:rFonts w:cstheme="minorHAnsi"/>
          <w:color w:val="auto"/>
          <w:lang w:eastAsia="en-CA"/>
        </w:rPr>
        <w:t xml:space="preserve"> 2018 indiquent que le niveau de sensibilisation des fonctionnaires d’AANC</w:t>
      </w:r>
      <w:r w:rsidR="00AD0D28" w:rsidRPr="00F10A5B">
        <w:rPr>
          <w:rFonts w:cstheme="minorHAnsi"/>
          <w:color w:val="auto"/>
          <w:lang w:eastAsia="en-CA"/>
        </w:rPr>
        <w:t xml:space="preserve"> par rapport à leurs droits et responsabilités </w:t>
      </w:r>
      <w:r w:rsidR="00AD0D28" w:rsidRPr="00F10A5B">
        <w:rPr>
          <w:rFonts w:cstheme="minorHAnsi"/>
          <w:color w:val="auto"/>
        </w:rPr>
        <w:t>concernant la participation à des activités politiques</w:t>
      </w:r>
      <w:r w:rsidR="00AD0D28" w:rsidRPr="00F10A5B">
        <w:rPr>
          <w:rFonts w:cstheme="minorHAnsi"/>
          <w:color w:val="auto"/>
          <w:lang w:eastAsia="en-CA"/>
        </w:rPr>
        <w:t xml:space="preserve"> </w:t>
      </w:r>
      <w:r w:rsidR="00AD0D28" w:rsidRPr="00F10A5B">
        <w:rPr>
          <w:rFonts w:cstheme="minorHAnsi"/>
          <w:color w:val="auto"/>
        </w:rPr>
        <w:t xml:space="preserve">est de </w:t>
      </w:r>
      <w:r w:rsidR="00AD0D28" w:rsidRPr="00F10A5B">
        <w:rPr>
          <w:rFonts w:cstheme="minorHAnsi"/>
          <w:bCs/>
          <w:color w:val="auto"/>
        </w:rPr>
        <w:t xml:space="preserve">80,4 </w:t>
      </w:r>
      <w:r w:rsidR="00AD0D28" w:rsidRPr="00F10A5B">
        <w:rPr>
          <w:rStyle w:val="Strong"/>
          <w:rFonts w:cstheme="minorHAnsi"/>
          <w:b w:val="0"/>
        </w:rPr>
        <w:t>%</w:t>
      </w:r>
      <w:r w:rsidR="00AD0D28" w:rsidRPr="00F10A5B">
        <w:rPr>
          <w:rStyle w:val="Strong"/>
          <w:rFonts w:cstheme="minorHAnsi"/>
          <w:b w:val="0"/>
          <w:bCs w:val="0"/>
        </w:rPr>
        <w:t>,</w:t>
      </w:r>
      <w:r w:rsidR="00AD0D28" w:rsidRPr="00F10A5B">
        <w:rPr>
          <w:rStyle w:val="Strong"/>
          <w:rFonts w:cstheme="minorHAnsi"/>
          <w:b w:val="0"/>
        </w:rPr>
        <w:t xml:space="preserve"> </w:t>
      </w:r>
      <w:r w:rsidR="00AD0D28" w:rsidRPr="00F10A5B">
        <w:rPr>
          <w:rStyle w:val="Strong"/>
          <w:rFonts w:cstheme="minorHAnsi"/>
          <w:b w:val="0"/>
          <w:bCs w:val="0"/>
        </w:rPr>
        <w:t>comparativement à</w:t>
      </w:r>
      <w:r w:rsidR="00AD0D28" w:rsidRPr="00F10A5B">
        <w:rPr>
          <w:rStyle w:val="Strong"/>
          <w:rFonts w:cstheme="minorHAnsi"/>
          <w:b w:val="0"/>
        </w:rPr>
        <w:t xml:space="preserve"> </w:t>
      </w:r>
      <w:r w:rsidR="00AD0D28" w:rsidRPr="00F10A5B">
        <w:rPr>
          <w:rFonts w:cstheme="minorHAnsi"/>
          <w:bCs/>
          <w:color w:val="auto"/>
        </w:rPr>
        <w:t>80,1 %</w:t>
      </w:r>
      <w:r w:rsidR="00AD0D28" w:rsidRPr="00F10A5B">
        <w:rPr>
          <w:rFonts w:cstheme="minorHAnsi"/>
          <w:color w:val="auto"/>
        </w:rPr>
        <w:t xml:space="preserve"> pour la fonction publique dans son ensemble.</w:t>
      </w:r>
      <w:r w:rsidR="00A92EBF" w:rsidRPr="00F10A5B">
        <w:rPr>
          <w:rFonts w:cstheme="minorHAnsi"/>
          <w:color w:val="auto"/>
        </w:rPr>
        <w:t xml:space="preserve">  De plus, 92,3</w:t>
      </w:r>
      <w:r w:rsidR="00D71AC4" w:rsidRPr="00F10A5B">
        <w:rPr>
          <w:rFonts w:cstheme="minorHAnsi"/>
          <w:color w:val="auto"/>
        </w:rPr>
        <w:t xml:space="preserve"> </w:t>
      </w:r>
      <w:r w:rsidR="00A92EBF" w:rsidRPr="00F10A5B">
        <w:rPr>
          <w:rFonts w:cstheme="minorHAnsi"/>
          <w:color w:val="auto"/>
        </w:rPr>
        <w:t xml:space="preserve">% des </w:t>
      </w:r>
      <w:r w:rsidR="00A92EBF" w:rsidRPr="00F10A5B">
        <w:rPr>
          <w:rFonts w:cstheme="minorHAnsi"/>
          <w:bCs/>
          <w:color w:val="auto"/>
        </w:rPr>
        <w:t xml:space="preserve">employés </w:t>
      </w:r>
      <w:r w:rsidR="00A92EBF" w:rsidRPr="00F10A5B">
        <w:rPr>
          <w:rFonts w:cstheme="minorHAnsi"/>
          <w:color w:val="auto"/>
        </w:rPr>
        <w:t xml:space="preserve">comprennent leurs responsabilités en matière d'impartialité politique dans l'exercice de leurs fonctions à titre de fonctionnaires, </w:t>
      </w:r>
      <w:r w:rsidR="00A92EBF" w:rsidRPr="00F10A5B">
        <w:rPr>
          <w:rFonts w:cstheme="minorHAnsi"/>
          <w:noProof/>
          <w:color w:val="auto"/>
          <w:lang w:eastAsia="en-CA"/>
        </w:rPr>
        <w:t xml:space="preserve">et ce pourcentage est le même l’ensemble des organisations de la fonction publique fédérale. </w:t>
      </w:r>
    </w:p>
    <w:p w14:paraId="238013B6" w14:textId="18861D04" w:rsidR="006C33B1" w:rsidRPr="00F10A5B" w:rsidRDefault="006C33B1" w:rsidP="00502DD6">
      <w:pPr>
        <w:spacing w:after="120" w:line="240" w:lineRule="auto"/>
        <w:rPr>
          <w:rFonts w:cstheme="minorHAnsi"/>
          <w:color w:val="auto"/>
          <w:lang w:eastAsia="en-CA"/>
        </w:rPr>
      </w:pPr>
      <w:r w:rsidRPr="00F10A5B">
        <w:rPr>
          <w:rFonts w:cstheme="minorHAnsi"/>
          <w:color w:val="auto"/>
          <w:lang w:eastAsia="en-CA"/>
        </w:rPr>
        <w:t>L</w:t>
      </w:r>
      <w:r w:rsidR="003D1B9F" w:rsidRPr="00F10A5B">
        <w:rPr>
          <w:rFonts w:cstheme="minorHAnsi"/>
          <w:color w:val="auto"/>
          <w:lang w:eastAsia="en-CA"/>
        </w:rPr>
        <w:t>e</w:t>
      </w:r>
      <w:r w:rsidRPr="00F10A5B">
        <w:rPr>
          <w:rFonts w:cstheme="minorHAnsi"/>
          <w:color w:val="auto"/>
          <w:lang w:eastAsia="en-CA"/>
        </w:rPr>
        <w:t xml:space="preserve"> représentant désigné en matière d’activités politiques (RDAP) de SAC est </w:t>
      </w:r>
      <w:r w:rsidR="00CA7802" w:rsidRPr="00F10A5B">
        <w:rPr>
          <w:rFonts w:cstheme="minorHAnsi"/>
          <w:color w:val="auto"/>
          <w:lang w:eastAsia="en-CA"/>
        </w:rPr>
        <w:t>André Picard</w:t>
      </w:r>
      <w:r w:rsidRPr="004A0F96">
        <w:rPr>
          <w:rFonts w:cstheme="minorHAnsi"/>
          <w:color w:val="auto"/>
          <w:lang w:eastAsia="en-CA"/>
        </w:rPr>
        <w:t>.</w:t>
      </w:r>
      <w:r w:rsidRPr="00F10A5B">
        <w:rPr>
          <w:rFonts w:cstheme="minorHAnsi"/>
          <w:color w:val="auto"/>
          <w:lang w:eastAsia="en-CA"/>
        </w:rPr>
        <w:t xml:space="preserve"> Le RDAP agit à titre de liaison avec la CFP en ce qui a trait aux activités politiques et à l’impartialité politique.</w:t>
      </w:r>
    </w:p>
    <w:p w14:paraId="0380F940" w14:textId="02587146" w:rsidR="00961A62" w:rsidRPr="00F10A5B" w:rsidRDefault="00961A62" w:rsidP="00502DD6">
      <w:pPr>
        <w:pStyle w:val="Heading1"/>
        <w:spacing w:after="120"/>
        <w:contextualSpacing/>
        <w:rPr>
          <w:color w:val="auto"/>
        </w:rPr>
      </w:pPr>
      <w:r w:rsidRPr="00F10A5B">
        <w:rPr>
          <w:color w:val="auto"/>
        </w:rPr>
        <w:t>Initiatives de la C</w:t>
      </w:r>
      <w:r w:rsidR="007B3246" w:rsidRPr="00F10A5B">
        <w:rPr>
          <w:color w:val="auto"/>
        </w:rPr>
        <w:t>FP</w:t>
      </w:r>
    </w:p>
    <w:p w14:paraId="7DBB323E" w14:textId="378C7AB0" w:rsidR="00CE3C7F" w:rsidRPr="00F10A5B" w:rsidRDefault="004F5647" w:rsidP="00502DD6">
      <w:pPr>
        <w:keepLines w:val="0"/>
        <w:spacing w:after="120" w:line="240" w:lineRule="auto"/>
        <w:rPr>
          <w:rFonts w:cstheme="minorHAnsi"/>
          <w:color w:val="auto"/>
        </w:rPr>
      </w:pPr>
      <w:r w:rsidRPr="00F10A5B">
        <w:rPr>
          <w:rFonts w:cstheme="minorHAnsi"/>
          <w:color w:val="auto"/>
        </w:rPr>
        <w:t>La C</w:t>
      </w:r>
      <w:r w:rsidR="008A294F" w:rsidRPr="00F10A5B">
        <w:rPr>
          <w:rFonts w:cstheme="minorHAnsi"/>
          <w:color w:val="auto"/>
        </w:rPr>
        <w:t xml:space="preserve">FP a lancé un projet pilote </w:t>
      </w:r>
      <w:r w:rsidR="00C732C7" w:rsidRPr="00F10A5B">
        <w:rPr>
          <w:rFonts w:cstheme="minorHAnsi"/>
          <w:color w:val="auto"/>
        </w:rPr>
        <w:t>pour le</w:t>
      </w:r>
      <w:r w:rsidR="008A294F" w:rsidRPr="00F10A5B">
        <w:rPr>
          <w:rFonts w:cstheme="minorHAnsi"/>
          <w:color w:val="auto"/>
        </w:rPr>
        <w:t xml:space="preserve"> P</w:t>
      </w:r>
      <w:r w:rsidRPr="00F10A5B">
        <w:rPr>
          <w:rFonts w:cstheme="minorHAnsi"/>
          <w:color w:val="auto"/>
        </w:rPr>
        <w:t>rogram</w:t>
      </w:r>
      <w:r w:rsidR="00DC5742" w:rsidRPr="00F10A5B">
        <w:rPr>
          <w:rFonts w:cstheme="minorHAnsi"/>
          <w:color w:val="auto"/>
        </w:rPr>
        <w:t>me de recommandation d'employés</w:t>
      </w:r>
      <w:r w:rsidR="008A294F" w:rsidRPr="00F10A5B">
        <w:rPr>
          <w:rFonts w:cstheme="minorHAnsi"/>
          <w:color w:val="auto"/>
        </w:rPr>
        <w:t xml:space="preserve"> </w:t>
      </w:r>
      <w:r w:rsidRPr="00F10A5B">
        <w:rPr>
          <w:rFonts w:cstheme="minorHAnsi"/>
          <w:color w:val="auto"/>
        </w:rPr>
        <w:t>dans le cadre duquel des outils ont été développés pour appuyer les organisations intére</w:t>
      </w:r>
      <w:r w:rsidR="00CE3C7F" w:rsidRPr="00F10A5B">
        <w:rPr>
          <w:rFonts w:cstheme="minorHAnsi"/>
          <w:color w:val="auto"/>
        </w:rPr>
        <w:t xml:space="preserve">ssées à lancer un tel programme. En plus des outils disponibles, la CFP publiera sous peu son rapport de projet, y compris les pratiques exemplaires pour la mise en œuvre d’une telle initiative. </w:t>
      </w:r>
    </w:p>
    <w:p w14:paraId="7A9D9B43" w14:textId="4E76364E" w:rsidR="004F5647" w:rsidRPr="00F10A5B" w:rsidRDefault="004F5647" w:rsidP="00502DD6">
      <w:pPr>
        <w:keepLines w:val="0"/>
        <w:spacing w:after="120" w:line="240" w:lineRule="auto"/>
        <w:rPr>
          <w:rFonts w:cstheme="minorHAnsi"/>
          <w:color w:val="auto"/>
        </w:rPr>
      </w:pPr>
      <w:r w:rsidRPr="00F10A5B">
        <w:rPr>
          <w:rFonts w:cstheme="minorHAnsi"/>
          <w:color w:val="auto"/>
        </w:rPr>
        <w:t xml:space="preserve">SAC s’est </w:t>
      </w:r>
      <w:r w:rsidR="00A7743F" w:rsidRPr="00F10A5B">
        <w:rPr>
          <w:rFonts w:cstheme="minorHAnsi"/>
          <w:color w:val="auto"/>
        </w:rPr>
        <w:t xml:space="preserve">montré </w:t>
      </w:r>
      <w:r w:rsidRPr="00F10A5B">
        <w:rPr>
          <w:rFonts w:cstheme="minorHAnsi"/>
          <w:color w:val="auto"/>
        </w:rPr>
        <w:t xml:space="preserve">intéressé au pilote pour le recrutement du personnel infirmier </w:t>
      </w:r>
      <w:r w:rsidR="00A7743F" w:rsidRPr="00F10A5B">
        <w:rPr>
          <w:rFonts w:cstheme="minorHAnsi"/>
          <w:color w:val="auto"/>
        </w:rPr>
        <w:t>étant donné</w:t>
      </w:r>
      <w:r w:rsidRPr="00F10A5B">
        <w:rPr>
          <w:rFonts w:cstheme="minorHAnsi"/>
          <w:color w:val="auto"/>
        </w:rPr>
        <w:t xml:space="preserve"> les nombreux défis </w:t>
      </w:r>
      <w:r w:rsidR="00A7743F" w:rsidRPr="00F10A5B">
        <w:rPr>
          <w:rFonts w:cstheme="minorHAnsi"/>
          <w:color w:val="auto"/>
        </w:rPr>
        <w:t>qui rendent</w:t>
      </w:r>
      <w:r w:rsidRPr="00F10A5B">
        <w:rPr>
          <w:rFonts w:cstheme="minorHAnsi"/>
          <w:color w:val="auto"/>
        </w:rPr>
        <w:t xml:space="preserve"> ces postes difficiles à combler</w:t>
      </w:r>
      <w:r w:rsidR="00A7743F" w:rsidRPr="00F10A5B">
        <w:rPr>
          <w:rFonts w:cstheme="minorHAnsi"/>
          <w:color w:val="auto"/>
        </w:rPr>
        <w:t>.  Des</w:t>
      </w:r>
      <w:r w:rsidRPr="00F10A5B">
        <w:rPr>
          <w:rFonts w:cstheme="minorHAnsi"/>
          <w:color w:val="auto"/>
        </w:rPr>
        <w:t xml:space="preserve"> discussions </w:t>
      </w:r>
      <w:r w:rsidR="00A7743F" w:rsidRPr="00F10A5B">
        <w:rPr>
          <w:rFonts w:cstheme="minorHAnsi"/>
          <w:color w:val="auto"/>
        </w:rPr>
        <w:t xml:space="preserve">à ce sujet </w:t>
      </w:r>
      <w:r w:rsidRPr="00F10A5B">
        <w:rPr>
          <w:rFonts w:cstheme="minorHAnsi"/>
          <w:color w:val="auto"/>
        </w:rPr>
        <w:t>ont eu lieu avec l’équipe de dotat</w:t>
      </w:r>
      <w:r w:rsidR="00CE3C7F" w:rsidRPr="00F10A5B">
        <w:rPr>
          <w:rFonts w:cstheme="minorHAnsi"/>
          <w:color w:val="auto"/>
        </w:rPr>
        <w:t>ion des soins infirmiers de SAC.  B</w:t>
      </w:r>
      <w:r w:rsidRPr="00F10A5B">
        <w:rPr>
          <w:rFonts w:cstheme="minorHAnsi"/>
          <w:color w:val="auto"/>
        </w:rPr>
        <w:t>ien que le pilote soit terminé, si SAC désire obtenir les conseils pour tirer parti d'un programme de référence, la CFP peut fournir son expertise en appui à cette initiative.</w:t>
      </w:r>
    </w:p>
    <w:p w14:paraId="24CDD3CC" w14:textId="77777777" w:rsidR="002A764F" w:rsidRPr="00F10A5B" w:rsidRDefault="002A764F" w:rsidP="00502DD6">
      <w:pPr>
        <w:keepLines w:val="0"/>
        <w:spacing w:after="120" w:line="240" w:lineRule="auto"/>
        <w:rPr>
          <w:rFonts w:cstheme="minorHAnsi"/>
          <w:color w:val="auto"/>
        </w:rPr>
      </w:pPr>
      <w:r w:rsidRPr="00F10A5B">
        <w:rPr>
          <w:rFonts w:cstheme="minorHAnsi"/>
          <w:color w:val="auto"/>
        </w:rPr>
        <w:lastRenderedPageBreak/>
        <w:t>SAC a pris part au Parcours de carrière pour Autochtones (PCA) en participant aux consultations</w:t>
      </w:r>
      <w:r w:rsidR="001E659A" w:rsidRPr="00F10A5B">
        <w:rPr>
          <w:rFonts w:cstheme="minorHAnsi"/>
          <w:color w:val="auto"/>
        </w:rPr>
        <w:t xml:space="preserve"> et en offrant de la rétroaction sur l’inventaire des postulants autochtones et la boîte à outil</w:t>
      </w:r>
      <w:r w:rsidR="00857FE9" w:rsidRPr="00F10A5B">
        <w:rPr>
          <w:rFonts w:cstheme="minorHAnsi"/>
          <w:color w:val="auto"/>
        </w:rPr>
        <w:t>s</w:t>
      </w:r>
      <w:r w:rsidR="001E659A" w:rsidRPr="00F10A5B">
        <w:rPr>
          <w:rFonts w:cstheme="minorHAnsi"/>
          <w:color w:val="auto"/>
        </w:rPr>
        <w:t xml:space="preserve"> de recrutement des autochtones</w:t>
      </w:r>
      <w:r w:rsidRPr="00F10A5B">
        <w:rPr>
          <w:rFonts w:cstheme="minorHAnsi"/>
          <w:color w:val="auto"/>
        </w:rPr>
        <w:t xml:space="preserve">. Le lancement de PCA </w:t>
      </w:r>
      <w:r w:rsidR="00EB7112" w:rsidRPr="00F10A5B">
        <w:rPr>
          <w:rFonts w:cstheme="minorHAnsi"/>
          <w:color w:val="auto"/>
        </w:rPr>
        <w:t xml:space="preserve">sera </w:t>
      </w:r>
      <w:r w:rsidRPr="00F10A5B">
        <w:rPr>
          <w:rFonts w:cstheme="minorHAnsi"/>
          <w:color w:val="auto"/>
        </w:rPr>
        <w:t xml:space="preserve">officialisé par une lettre aux administrateurs généraux prévue </w:t>
      </w:r>
      <w:r w:rsidR="008A294F" w:rsidRPr="00F10A5B">
        <w:rPr>
          <w:rFonts w:cstheme="minorHAnsi"/>
          <w:color w:val="auto"/>
        </w:rPr>
        <w:t>à l’automne</w:t>
      </w:r>
      <w:r w:rsidRPr="00F10A5B">
        <w:rPr>
          <w:rFonts w:cstheme="minorHAnsi"/>
          <w:color w:val="auto"/>
        </w:rPr>
        <w:t xml:space="preserve"> 2020 et </w:t>
      </w:r>
      <w:r w:rsidR="00EB7112" w:rsidRPr="00F10A5B">
        <w:rPr>
          <w:rFonts w:cstheme="minorHAnsi"/>
          <w:color w:val="auto"/>
        </w:rPr>
        <w:t xml:space="preserve">par </w:t>
      </w:r>
      <w:r w:rsidRPr="00F10A5B">
        <w:rPr>
          <w:rFonts w:cstheme="minorHAnsi"/>
          <w:color w:val="auto"/>
        </w:rPr>
        <w:t xml:space="preserve">un événement en collaboration avec l’École de la Fonction publique du Canada </w:t>
      </w:r>
      <w:r w:rsidR="00EB7112" w:rsidRPr="00F10A5B">
        <w:rPr>
          <w:rFonts w:cstheme="minorHAnsi"/>
          <w:color w:val="auto"/>
        </w:rPr>
        <w:t xml:space="preserve">qui </w:t>
      </w:r>
      <w:r w:rsidRPr="00F10A5B">
        <w:rPr>
          <w:rFonts w:cstheme="minorHAnsi"/>
          <w:color w:val="auto"/>
        </w:rPr>
        <w:t>aura lieu le 11 décembre</w:t>
      </w:r>
      <w:r w:rsidR="008A294F" w:rsidRPr="00F10A5B">
        <w:rPr>
          <w:rFonts w:cstheme="minorHAnsi"/>
          <w:color w:val="auto"/>
        </w:rPr>
        <w:t xml:space="preserve">. </w:t>
      </w:r>
      <w:r w:rsidRPr="00F10A5B">
        <w:rPr>
          <w:rFonts w:cstheme="minorHAnsi"/>
          <w:color w:val="auto"/>
        </w:rPr>
        <w:t xml:space="preserve">La prochaine étape est la création d’un Cercle d’acquisition de talent Autochtones </w:t>
      </w:r>
      <w:r w:rsidR="008309C7" w:rsidRPr="00F10A5B">
        <w:rPr>
          <w:rFonts w:cstheme="minorHAnsi"/>
          <w:color w:val="auto"/>
        </w:rPr>
        <w:t>dont l’objectif général est de créer un espace de collaboration pour les ministères de la Fonction publique fédérale afin de discuter, partager et fournir des conseils sur une variété de projets, programmes et initiatives liés à la sensibilisation, au recrutement et à la dotation des talents autochtones.</w:t>
      </w:r>
    </w:p>
    <w:p w14:paraId="32746EE0" w14:textId="36525B87" w:rsidR="002A764F" w:rsidRPr="00F10A5B" w:rsidRDefault="008A294F" w:rsidP="00502DD6">
      <w:pPr>
        <w:pStyle w:val="NoSpacing"/>
        <w:spacing w:after="120"/>
        <w:rPr>
          <w:rFonts w:asciiTheme="minorHAnsi" w:hAnsiTheme="minorHAnsi" w:cstheme="minorHAnsi"/>
          <w:sz w:val="22"/>
          <w:szCs w:val="22"/>
          <w:lang w:val="fr-CA"/>
        </w:rPr>
      </w:pPr>
      <w:r w:rsidRPr="00F10A5B">
        <w:rPr>
          <w:rFonts w:asciiTheme="minorHAnsi" w:hAnsiTheme="minorHAnsi" w:cstheme="minorHAnsi"/>
          <w:sz w:val="22"/>
          <w:szCs w:val="22"/>
          <w:lang w:val="fr-CA"/>
        </w:rPr>
        <w:t xml:space="preserve">SAC est également membre du groupe informel de recrutement autochtone pour la région du Québec, organisé par la CFP.  Ce groupe inclut aussi Emploi et Développement Social Canada, l’Agence du revenu du Canada et </w:t>
      </w:r>
      <w:r w:rsidR="00BE608B" w:rsidRPr="00F10A5B">
        <w:rPr>
          <w:rFonts w:asciiTheme="minorHAnsi" w:hAnsiTheme="minorHAnsi" w:cstheme="minorHAnsi"/>
          <w:sz w:val="22"/>
          <w:szCs w:val="22"/>
          <w:lang w:val="fr-CA"/>
        </w:rPr>
        <w:t>Relations Couronne-Autochtones et Affaires du Nord Canada</w:t>
      </w:r>
      <w:r w:rsidRPr="00F10A5B">
        <w:rPr>
          <w:rFonts w:asciiTheme="minorHAnsi" w:hAnsiTheme="minorHAnsi" w:cstheme="minorHAnsi"/>
          <w:sz w:val="22"/>
          <w:szCs w:val="22"/>
          <w:lang w:val="fr-CA"/>
        </w:rPr>
        <w:t>.</w:t>
      </w:r>
    </w:p>
    <w:p w14:paraId="0001D45C" w14:textId="3FC83628" w:rsidR="009217B9" w:rsidRPr="00F10A5B" w:rsidRDefault="009217B9" w:rsidP="00502DD6">
      <w:pPr>
        <w:spacing w:after="120" w:line="240" w:lineRule="auto"/>
        <w:rPr>
          <w:rFonts w:cstheme="minorHAnsi"/>
          <w:color w:val="auto"/>
        </w:rPr>
      </w:pPr>
      <w:r w:rsidRPr="00F10A5B">
        <w:rPr>
          <w:rFonts w:cstheme="minorHAnsi"/>
          <w:color w:val="auto"/>
        </w:rPr>
        <w:t xml:space="preserve">SAC co-anime plusieurs sessions d’information </w:t>
      </w:r>
      <w:r w:rsidR="00111365" w:rsidRPr="00F10A5B">
        <w:rPr>
          <w:rFonts w:cstheme="minorHAnsi"/>
          <w:color w:val="auto"/>
        </w:rPr>
        <w:t>ciblant</w:t>
      </w:r>
      <w:r w:rsidRPr="00F10A5B">
        <w:rPr>
          <w:rFonts w:cstheme="minorHAnsi"/>
          <w:color w:val="auto"/>
        </w:rPr>
        <w:t xml:space="preserve"> les étudiants autochtones dans la région du Québec, dont l’objectif est de créer et de maintenir une relation avec les communautés et associations. </w:t>
      </w:r>
      <w:r w:rsidR="00111365" w:rsidRPr="00F10A5B">
        <w:rPr>
          <w:rFonts w:cstheme="minorHAnsi"/>
          <w:color w:val="auto"/>
        </w:rPr>
        <w:t>À la s</w:t>
      </w:r>
      <w:r w:rsidRPr="00F10A5B">
        <w:rPr>
          <w:rFonts w:cstheme="minorHAnsi"/>
          <w:color w:val="auto"/>
        </w:rPr>
        <w:t xml:space="preserve">uite </w:t>
      </w:r>
      <w:r w:rsidR="00111365" w:rsidRPr="00F10A5B">
        <w:rPr>
          <w:rFonts w:cstheme="minorHAnsi"/>
          <w:color w:val="auto"/>
        </w:rPr>
        <w:t>d</w:t>
      </w:r>
      <w:r w:rsidRPr="00F10A5B">
        <w:rPr>
          <w:rFonts w:cstheme="minorHAnsi"/>
          <w:color w:val="auto"/>
        </w:rPr>
        <w:t xml:space="preserve">u succès de trois événements qui ont eu lieu dans les </w:t>
      </w:r>
      <w:r w:rsidR="00111365" w:rsidRPr="00F10A5B">
        <w:rPr>
          <w:rFonts w:cstheme="minorHAnsi"/>
          <w:color w:val="auto"/>
        </w:rPr>
        <w:t xml:space="preserve">18 </w:t>
      </w:r>
      <w:r w:rsidRPr="00F10A5B">
        <w:rPr>
          <w:rFonts w:cstheme="minorHAnsi"/>
          <w:color w:val="auto"/>
        </w:rPr>
        <w:t>derniers mois, une séance d’information virtuelle, en partenariat avec le Collège Kiuna, est en planification pour janvier 2021.</w:t>
      </w:r>
    </w:p>
    <w:p w14:paraId="042062E0" w14:textId="42379FC6" w:rsidR="00932E4E" w:rsidRPr="00F10A5B" w:rsidRDefault="00AD32D0" w:rsidP="00502DD6">
      <w:pPr>
        <w:pStyle w:val="PlainText"/>
        <w:spacing w:after="120"/>
        <w:rPr>
          <w:rFonts w:asciiTheme="minorHAnsi" w:hAnsiTheme="minorHAnsi" w:cstheme="minorHAnsi"/>
          <w:szCs w:val="22"/>
          <w:lang w:val="fr-CA"/>
        </w:rPr>
      </w:pPr>
      <w:r w:rsidRPr="00F10A5B">
        <w:rPr>
          <w:rFonts w:asciiTheme="minorHAnsi" w:hAnsiTheme="minorHAnsi" w:cstheme="minorHAnsi"/>
          <w:szCs w:val="22"/>
          <w:lang w:val="fr-CA"/>
        </w:rPr>
        <w:t>D’autre part, l</w:t>
      </w:r>
      <w:r w:rsidR="00BC0711" w:rsidRPr="00F10A5B">
        <w:rPr>
          <w:rFonts w:asciiTheme="minorHAnsi" w:hAnsiTheme="minorHAnsi" w:cstheme="minorHAnsi"/>
          <w:szCs w:val="22"/>
          <w:lang w:val="fr-CA"/>
        </w:rPr>
        <w:t xml:space="preserve">a CFP procède </w:t>
      </w:r>
      <w:r w:rsidRPr="00F10A5B">
        <w:rPr>
          <w:rFonts w:asciiTheme="minorHAnsi" w:hAnsiTheme="minorHAnsi" w:cstheme="minorHAnsi"/>
          <w:szCs w:val="22"/>
          <w:lang w:val="fr-CA"/>
        </w:rPr>
        <w:t xml:space="preserve">présentement </w:t>
      </w:r>
      <w:r w:rsidR="00BC0711" w:rsidRPr="00F10A5B">
        <w:rPr>
          <w:rFonts w:asciiTheme="minorHAnsi" w:hAnsiTheme="minorHAnsi" w:cstheme="minorHAnsi"/>
          <w:szCs w:val="22"/>
          <w:lang w:val="fr-CA"/>
        </w:rPr>
        <w:t xml:space="preserve">à l'examen du </w:t>
      </w:r>
      <w:r w:rsidR="00BC0711" w:rsidRPr="00F10A5B">
        <w:rPr>
          <w:rStyle w:val="Emphasis"/>
          <w:rFonts w:asciiTheme="minorHAnsi" w:hAnsiTheme="minorHAnsi" w:cstheme="minorHAnsi"/>
          <w:i/>
          <w:lang w:val="fr-CA"/>
        </w:rPr>
        <w:t xml:space="preserve">Règlement sur l'emploi dans la fonction publique </w:t>
      </w:r>
      <w:r w:rsidR="00BC0711" w:rsidRPr="00F10A5B">
        <w:rPr>
          <w:rFonts w:asciiTheme="minorHAnsi" w:hAnsiTheme="minorHAnsi" w:cstheme="minorHAnsi"/>
          <w:szCs w:val="22"/>
          <w:lang w:val="fr-CA"/>
        </w:rPr>
        <w:t xml:space="preserve">(REFP) - un instrument clé en appui à la </w:t>
      </w:r>
      <w:r w:rsidR="000C205C" w:rsidRPr="00F10A5B">
        <w:rPr>
          <w:rFonts w:asciiTheme="minorHAnsi" w:hAnsiTheme="minorHAnsi" w:cstheme="minorHAnsi"/>
          <w:szCs w:val="22"/>
          <w:lang w:val="fr-CA"/>
        </w:rPr>
        <w:t>LEFP</w:t>
      </w:r>
      <w:r w:rsidR="00BC0711" w:rsidRPr="00F10A5B">
        <w:rPr>
          <w:rFonts w:asciiTheme="minorHAnsi" w:hAnsiTheme="minorHAnsi" w:cstheme="minorHAnsi"/>
          <w:szCs w:val="22"/>
          <w:lang w:val="fr-CA"/>
        </w:rPr>
        <w:t>. Les objectifs de l'examen sont de répondre aux besoins présents et futurs des organisations d'embauche, ainsi que d'éliminer tout</w:t>
      </w:r>
      <w:r w:rsidR="00F91551" w:rsidRPr="00F10A5B">
        <w:rPr>
          <w:rFonts w:asciiTheme="minorHAnsi" w:hAnsiTheme="minorHAnsi" w:cstheme="minorHAnsi"/>
          <w:szCs w:val="22"/>
          <w:lang w:val="fr-CA"/>
        </w:rPr>
        <w:t>e</w:t>
      </w:r>
      <w:r w:rsidR="00BC0711" w:rsidRPr="00F10A5B">
        <w:rPr>
          <w:rFonts w:asciiTheme="minorHAnsi" w:hAnsiTheme="minorHAnsi" w:cstheme="minorHAnsi"/>
          <w:szCs w:val="22"/>
          <w:lang w:val="fr-CA"/>
        </w:rPr>
        <w:t xml:space="preserve"> exigence inutile.</w:t>
      </w:r>
    </w:p>
    <w:p w14:paraId="50A3E4B8" w14:textId="30D0EDFA" w:rsidR="00BC0711" w:rsidRPr="00F10A5B" w:rsidRDefault="00AD32D0" w:rsidP="00502DD6">
      <w:pPr>
        <w:pStyle w:val="PlainText"/>
        <w:spacing w:after="120"/>
        <w:rPr>
          <w:rFonts w:asciiTheme="minorHAnsi" w:hAnsiTheme="minorHAnsi" w:cstheme="minorHAnsi"/>
          <w:szCs w:val="22"/>
          <w:lang w:val="fr-CA"/>
        </w:rPr>
      </w:pPr>
      <w:r w:rsidRPr="00F10A5B">
        <w:rPr>
          <w:rFonts w:asciiTheme="minorHAnsi" w:hAnsiTheme="minorHAnsi" w:cstheme="minorHAnsi"/>
          <w:szCs w:val="22"/>
          <w:lang w:val="fr-CA"/>
        </w:rPr>
        <w:t>L</w:t>
      </w:r>
      <w:r w:rsidR="00BC0711" w:rsidRPr="00F10A5B">
        <w:rPr>
          <w:rFonts w:asciiTheme="minorHAnsi" w:hAnsiTheme="minorHAnsi" w:cstheme="minorHAnsi"/>
          <w:szCs w:val="22"/>
          <w:lang w:val="fr-CA"/>
        </w:rPr>
        <w:t xml:space="preserve">a CFP a </w:t>
      </w:r>
      <w:r w:rsidR="00286A53" w:rsidRPr="00F10A5B">
        <w:rPr>
          <w:rFonts w:asciiTheme="minorHAnsi" w:hAnsiTheme="minorHAnsi" w:cstheme="minorHAnsi"/>
          <w:szCs w:val="22"/>
          <w:lang w:val="fr-CA"/>
        </w:rPr>
        <w:t>consulté</w:t>
      </w:r>
      <w:r w:rsidR="00BC0711" w:rsidRPr="00F10A5B">
        <w:rPr>
          <w:rFonts w:asciiTheme="minorHAnsi" w:hAnsiTheme="minorHAnsi" w:cstheme="minorHAnsi"/>
          <w:szCs w:val="22"/>
          <w:lang w:val="fr-CA"/>
        </w:rPr>
        <w:t xml:space="preserve"> </w:t>
      </w:r>
      <w:r w:rsidRPr="00F10A5B">
        <w:rPr>
          <w:rFonts w:asciiTheme="minorHAnsi" w:hAnsiTheme="minorHAnsi" w:cstheme="minorHAnsi"/>
          <w:szCs w:val="22"/>
          <w:lang w:val="fr-CA"/>
        </w:rPr>
        <w:t>plusieurs</w:t>
      </w:r>
      <w:r w:rsidR="00BC0711" w:rsidRPr="00F10A5B">
        <w:rPr>
          <w:rFonts w:asciiTheme="minorHAnsi" w:hAnsiTheme="minorHAnsi" w:cstheme="minorHAnsi"/>
          <w:szCs w:val="22"/>
          <w:lang w:val="fr-CA"/>
        </w:rPr>
        <w:t xml:space="preserve"> intervenants </w:t>
      </w:r>
      <w:r w:rsidRPr="00F10A5B">
        <w:rPr>
          <w:rFonts w:asciiTheme="minorHAnsi" w:hAnsiTheme="minorHAnsi" w:cstheme="minorHAnsi"/>
          <w:szCs w:val="22"/>
          <w:lang w:val="fr-CA"/>
        </w:rPr>
        <w:t xml:space="preserve">dont SAC </w:t>
      </w:r>
      <w:r w:rsidR="00BC0711" w:rsidRPr="00F10A5B">
        <w:rPr>
          <w:rFonts w:asciiTheme="minorHAnsi" w:hAnsiTheme="minorHAnsi" w:cstheme="minorHAnsi"/>
          <w:szCs w:val="22"/>
          <w:lang w:val="fr-CA"/>
        </w:rPr>
        <w:t>afin de solliciter leurs opinions sur l'applica</w:t>
      </w:r>
      <w:r w:rsidR="00055C0A" w:rsidRPr="00F10A5B">
        <w:rPr>
          <w:rFonts w:asciiTheme="minorHAnsi" w:hAnsiTheme="minorHAnsi" w:cstheme="minorHAnsi"/>
          <w:szCs w:val="22"/>
          <w:lang w:val="fr-CA"/>
        </w:rPr>
        <w:t>tion du règlement</w:t>
      </w:r>
      <w:r w:rsidR="00D37034" w:rsidRPr="00F10A5B">
        <w:rPr>
          <w:rFonts w:asciiTheme="minorHAnsi" w:hAnsiTheme="minorHAnsi" w:cstheme="minorHAnsi"/>
          <w:szCs w:val="22"/>
          <w:lang w:val="fr-CA"/>
        </w:rPr>
        <w:t xml:space="preserve"> ainsi que </w:t>
      </w:r>
      <w:r w:rsidR="00A06F5A" w:rsidRPr="00F10A5B">
        <w:rPr>
          <w:rFonts w:asciiTheme="minorHAnsi" w:hAnsiTheme="minorHAnsi" w:cstheme="minorHAnsi"/>
          <w:szCs w:val="22"/>
          <w:lang w:val="fr-CA"/>
        </w:rPr>
        <w:t>sur le</w:t>
      </w:r>
      <w:r w:rsidRPr="00F10A5B">
        <w:rPr>
          <w:rFonts w:asciiTheme="minorHAnsi" w:hAnsiTheme="minorHAnsi" w:cstheme="minorHAnsi"/>
          <w:szCs w:val="22"/>
          <w:lang w:val="fr-CA"/>
        </w:rPr>
        <w:t>s changements proposés. SAC</w:t>
      </w:r>
      <w:r w:rsidR="00BC0711" w:rsidRPr="00F10A5B">
        <w:rPr>
          <w:rFonts w:asciiTheme="minorHAnsi" w:hAnsiTheme="minorHAnsi" w:cstheme="minorHAnsi"/>
          <w:szCs w:val="22"/>
          <w:lang w:val="fr-CA"/>
        </w:rPr>
        <w:t xml:space="preserve"> a fourni des commentaires par l'entremise d</w:t>
      </w:r>
      <w:r w:rsidR="00E66171" w:rsidRPr="00F10A5B">
        <w:rPr>
          <w:rFonts w:asciiTheme="minorHAnsi" w:hAnsiTheme="minorHAnsi" w:cstheme="minorHAnsi"/>
          <w:szCs w:val="22"/>
          <w:lang w:val="fr-CA"/>
        </w:rPr>
        <w:t>e leur</w:t>
      </w:r>
      <w:r w:rsidRPr="00F10A5B">
        <w:rPr>
          <w:rFonts w:asciiTheme="minorHAnsi" w:hAnsiTheme="minorHAnsi" w:cstheme="minorHAnsi"/>
          <w:szCs w:val="22"/>
          <w:lang w:val="fr-CA"/>
        </w:rPr>
        <w:t xml:space="preserve"> </w:t>
      </w:r>
      <w:r w:rsidR="00BC0711" w:rsidRPr="00F10A5B">
        <w:rPr>
          <w:rFonts w:asciiTheme="minorHAnsi" w:hAnsiTheme="minorHAnsi" w:cstheme="minorHAnsi"/>
          <w:szCs w:val="22"/>
          <w:lang w:val="fr-CA"/>
        </w:rPr>
        <w:t>chef des RH</w:t>
      </w:r>
      <w:r w:rsidRPr="00F10A5B">
        <w:rPr>
          <w:rFonts w:asciiTheme="minorHAnsi" w:hAnsiTheme="minorHAnsi" w:cstheme="minorHAnsi"/>
          <w:szCs w:val="22"/>
          <w:lang w:val="fr-CA"/>
        </w:rPr>
        <w:t xml:space="preserve">. </w:t>
      </w:r>
    </w:p>
    <w:p w14:paraId="66B7B609" w14:textId="77777777" w:rsidR="00BC0711" w:rsidRPr="00F10A5B" w:rsidRDefault="00BC0711" w:rsidP="00502DD6">
      <w:pPr>
        <w:pStyle w:val="PlainText"/>
        <w:spacing w:after="120"/>
        <w:rPr>
          <w:rFonts w:asciiTheme="minorHAnsi" w:hAnsiTheme="minorHAnsi" w:cstheme="minorHAnsi"/>
          <w:szCs w:val="22"/>
          <w:lang w:val="fr-CA"/>
        </w:rPr>
      </w:pPr>
      <w:r w:rsidRPr="00F10A5B">
        <w:rPr>
          <w:rFonts w:asciiTheme="minorHAnsi" w:hAnsiTheme="minorHAnsi" w:cstheme="minorHAnsi"/>
          <w:szCs w:val="22"/>
          <w:lang w:val="fr-CA"/>
        </w:rPr>
        <w:t>En ce qui a trait aux prochaines étapes</w:t>
      </w:r>
      <w:r w:rsidR="00E66171" w:rsidRPr="00F10A5B">
        <w:rPr>
          <w:rFonts w:asciiTheme="minorHAnsi" w:hAnsiTheme="minorHAnsi" w:cstheme="minorHAnsi"/>
          <w:szCs w:val="22"/>
          <w:lang w:val="fr-CA"/>
        </w:rPr>
        <w:t xml:space="preserve"> de la révision du règlement</w:t>
      </w:r>
      <w:r w:rsidRPr="00F10A5B">
        <w:rPr>
          <w:rFonts w:asciiTheme="minorHAnsi" w:hAnsiTheme="minorHAnsi" w:cstheme="minorHAnsi"/>
          <w:szCs w:val="22"/>
          <w:lang w:val="fr-CA"/>
        </w:rPr>
        <w:t xml:space="preserve">, </w:t>
      </w:r>
      <w:r w:rsidR="00AD32D0" w:rsidRPr="00F10A5B">
        <w:rPr>
          <w:rFonts w:asciiTheme="minorHAnsi" w:hAnsiTheme="minorHAnsi" w:cstheme="minorHAnsi"/>
          <w:szCs w:val="22"/>
          <w:lang w:val="fr-CA"/>
        </w:rPr>
        <w:t>la CFP</w:t>
      </w:r>
      <w:r w:rsidR="00E66171" w:rsidRPr="00F10A5B">
        <w:rPr>
          <w:rFonts w:asciiTheme="minorHAnsi" w:hAnsiTheme="minorHAnsi" w:cstheme="minorHAnsi"/>
          <w:szCs w:val="22"/>
          <w:lang w:val="fr-CA"/>
        </w:rPr>
        <w:t xml:space="preserve"> est à peaufiner</w:t>
      </w:r>
      <w:r w:rsidRPr="00F10A5B">
        <w:rPr>
          <w:rFonts w:asciiTheme="minorHAnsi" w:hAnsiTheme="minorHAnsi" w:cstheme="minorHAnsi"/>
          <w:szCs w:val="22"/>
          <w:lang w:val="fr-CA"/>
        </w:rPr>
        <w:t xml:space="preserve"> le</w:t>
      </w:r>
      <w:r w:rsidR="00E66171" w:rsidRPr="00F10A5B">
        <w:rPr>
          <w:rFonts w:asciiTheme="minorHAnsi" w:hAnsiTheme="minorHAnsi" w:cstheme="minorHAnsi"/>
          <w:szCs w:val="22"/>
          <w:lang w:val="fr-CA"/>
        </w:rPr>
        <w:t>s propositions de contenu</w:t>
      </w:r>
      <w:r w:rsidRPr="00F10A5B">
        <w:rPr>
          <w:rFonts w:asciiTheme="minorHAnsi" w:hAnsiTheme="minorHAnsi" w:cstheme="minorHAnsi"/>
          <w:szCs w:val="22"/>
          <w:lang w:val="fr-CA"/>
        </w:rPr>
        <w:t xml:space="preserve"> et commencer</w:t>
      </w:r>
      <w:r w:rsidR="00E66171" w:rsidRPr="00F10A5B">
        <w:rPr>
          <w:rFonts w:asciiTheme="minorHAnsi" w:hAnsiTheme="minorHAnsi" w:cstheme="minorHAnsi"/>
          <w:szCs w:val="22"/>
          <w:lang w:val="fr-CA"/>
        </w:rPr>
        <w:t>a</w:t>
      </w:r>
      <w:r w:rsidRPr="00F10A5B">
        <w:rPr>
          <w:rFonts w:asciiTheme="minorHAnsi" w:hAnsiTheme="minorHAnsi" w:cstheme="minorHAnsi"/>
          <w:szCs w:val="22"/>
          <w:lang w:val="fr-CA"/>
        </w:rPr>
        <w:t xml:space="preserve"> le processus de modification </w:t>
      </w:r>
      <w:r w:rsidR="00857FE9" w:rsidRPr="00F10A5B">
        <w:rPr>
          <w:rFonts w:asciiTheme="minorHAnsi" w:hAnsiTheme="minorHAnsi" w:cstheme="minorHAnsi"/>
          <w:szCs w:val="22"/>
          <w:lang w:val="fr-CA"/>
        </w:rPr>
        <w:t>réglementaire</w:t>
      </w:r>
      <w:r w:rsidRPr="00F10A5B">
        <w:rPr>
          <w:rFonts w:asciiTheme="minorHAnsi" w:hAnsiTheme="minorHAnsi" w:cstheme="minorHAnsi"/>
          <w:szCs w:val="22"/>
          <w:lang w:val="fr-CA"/>
        </w:rPr>
        <w:t xml:space="preserve"> en collaboration avec le S</w:t>
      </w:r>
      <w:r w:rsidR="00A06F5A" w:rsidRPr="00F10A5B">
        <w:rPr>
          <w:rFonts w:asciiTheme="minorHAnsi" w:hAnsiTheme="minorHAnsi" w:cstheme="minorHAnsi"/>
          <w:szCs w:val="22"/>
          <w:lang w:val="fr-CA"/>
        </w:rPr>
        <w:t xml:space="preserve">ecrétariat du </w:t>
      </w:r>
      <w:r w:rsidRPr="00F10A5B">
        <w:rPr>
          <w:rFonts w:asciiTheme="minorHAnsi" w:hAnsiTheme="minorHAnsi" w:cstheme="minorHAnsi"/>
          <w:szCs w:val="22"/>
          <w:lang w:val="fr-CA"/>
        </w:rPr>
        <w:t>C</w:t>
      </w:r>
      <w:r w:rsidR="00A06F5A" w:rsidRPr="00F10A5B">
        <w:rPr>
          <w:rFonts w:asciiTheme="minorHAnsi" w:hAnsiTheme="minorHAnsi" w:cstheme="minorHAnsi"/>
          <w:szCs w:val="22"/>
          <w:lang w:val="fr-CA"/>
        </w:rPr>
        <w:t>onseil du Trésor e</w:t>
      </w:r>
      <w:r w:rsidRPr="00F10A5B">
        <w:rPr>
          <w:rFonts w:asciiTheme="minorHAnsi" w:hAnsiTheme="minorHAnsi" w:cstheme="minorHAnsi"/>
          <w:szCs w:val="22"/>
          <w:lang w:val="fr-CA"/>
        </w:rPr>
        <w:t>t le ministère de la Justice</w:t>
      </w:r>
      <w:r w:rsidR="00E66171" w:rsidRPr="00F10A5B">
        <w:rPr>
          <w:rFonts w:asciiTheme="minorHAnsi" w:hAnsiTheme="minorHAnsi" w:cstheme="minorHAnsi"/>
          <w:szCs w:val="22"/>
          <w:lang w:val="fr-CA"/>
        </w:rPr>
        <w:t xml:space="preserve"> sous peu</w:t>
      </w:r>
      <w:r w:rsidRPr="00F10A5B">
        <w:rPr>
          <w:rFonts w:asciiTheme="minorHAnsi" w:hAnsiTheme="minorHAnsi" w:cstheme="minorHAnsi"/>
          <w:szCs w:val="22"/>
          <w:lang w:val="fr-CA"/>
        </w:rPr>
        <w:t>.</w:t>
      </w:r>
    </w:p>
    <w:p w14:paraId="031EE3D6" w14:textId="5E37315E" w:rsidR="002D6D0E" w:rsidRPr="00F10A5B" w:rsidRDefault="002D6D0E" w:rsidP="00502DD6">
      <w:pPr>
        <w:spacing w:after="120"/>
        <w:rPr>
          <w:rFonts w:cstheme="minorHAnsi"/>
          <w:color w:val="auto"/>
        </w:rPr>
      </w:pPr>
      <w:r w:rsidRPr="00F10A5B">
        <w:rPr>
          <w:rFonts w:cstheme="minorHAnsi"/>
          <w:color w:val="auto"/>
        </w:rPr>
        <w:t xml:space="preserve">Depuis le 1er avril 2012, les ministères et organismes assujettis à la </w:t>
      </w:r>
      <w:r w:rsidRPr="00F10A5B">
        <w:rPr>
          <w:rStyle w:val="Emphasis"/>
          <w:i/>
        </w:rPr>
        <w:t>Loi sur l'emploi dans la fonction publique</w:t>
      </w:r>
      <w:r w:rsidRPr="00F10A5B">
        <w:rPr>
          <w:rFonts w:cstheme="minorHAnsi"/>
          <w:color w:val="auto"/>
        </w:rPr>
        <w:t xml:space="preserve"> sont tenus d'utiliser le formulaire d'affirmation d'affiliation autochtone (FAAA) pour les processus de nomination internes et externes, annoncés et non annoncés, lorsque la personne proposée ou nommée s'est déclarée comme membre du groupe des Autochtones et que le processus de nomination visait les personnes autochtones.</w:t>
      </w:r>
    </w:p>
    <w:p w14:paraId="52A1229B" w14:textId="27A296E8" w:rsidR="009B2954" w:rsidRPr="00F10A5B" w:rsidRDefault="002D6D0E" w:rsidP="00502DD6">
      <w:pPr>
        <w:shd w:val="clear" w:color="auto" w:fill="FFFFFF"/>
        <w:spacing w:after="120"/>
        <w:rPr>
          <w:rFonts w:cstheme="minorHAnsi"/>
          <w:color w:val="auto"/>
        </w:rPr>
      </w:pPr>
      <w:r w:rsidRPr="00F10A5B">
        <w:rPr>
          <w:rFonts w:cstheme="minorHAnsi"/>
          <w:color w:val="auto"/>
        </w:rPr>
        <w:t>Comme le FAAA a été mis en œuvre depuis un certain temps, nous souhaitons revoir son utilisation afin d'en examiner l’efficacité et la pertinence</w:t>
      </w:r>
      <w:r w:rsidR="00DC794D" w:rsidRPr="00F10A5B">
        <w:rPr>
          <w:rFonts w:cstheme="minorHAnsi"/>
          <w:color w:val="auto"/>
        </w:rPr>
        <w:t xml:space="preserve"> et identifier les modifications potentielles</w:t>
      </w:r>
      <w:r w:rsidRPr="00F10A5B">
        <w:rPr>
          <w:rFonts w:cstheme="minorHAnsi"/>
          <w:color w:val="auto"/>
        </w:rPr>
        <w:t>.</w:t>
      </w:r>
      <w:r w:rsidR="00E94905" w:rsidRPr="00F10A5B">
        <w:rPr>
          <w:rFonts w:cstheme="minorHAnsi"/>
          <w:color w:val="auto"/>
        </w:rPr>
        <w:t xml:space="preserve">  D</w:t>
      </w:r>
      <w:r w:rsidR="009B2954" w:rsidRPr="00F10A5B">
        <w:rPr>
          <w:rFonts w:cstheme="minorHAnsi"/>
          <w:color w:val="auto"/>
        </w:rPr>
        <w:t xml:space="preserve">ans les prochains mois, nous consulterons la communauté des ressources humaines, des agents négociateurs et des groupes autochtones, tant à l'intérieur et qu’à l'extérieur de la fonction publique, au moyen de questionnaires en ligne et de rencontres virtuelles. </w:t>
      </w:r>
    </w:p>
    <w:p w14:paraId="5E4F37AC" w14:textId="77777777" w:rsidR="00961A62" w:rsidRPr="00F10A5B" w:rsidRDefault="00961A62" w:rsidP="00502DD6">
      <w:pPr>
        <w:pStyle w:val="Heading1"/>
        <w:spacing w:after="120"/>
        <w:contextualSpacing/>
        <w:rPr>
          <w:color w:val="auto"/>
        </w:rPr>
      </w:pPr>
      <w:r w:rsidRPr="00F10A5B">
        <w:rPr>
          <w:color w:val="auto"/>
        </w:rPr>
        <w:lastRenderedPageBreak/>
        <w:t>Programmes de recrutement</w:t>
      </w:r>
    </w:p>
    <w:p w14:paraId="45C84426" w14:textId="7F5917B8" w:rsidR="00AE6D7E" w:rsidRPr="00F10A5B" w:rsidRDefault="00AE6D7E" w:rsidP="00502DD6">
      <w:pPr>
        <w:keepLines w:val="0"/>
        <w:spacing w:after="120" w:line="240" w:lineRule="auto"/>
        <w:rPr>
          <w:rFonts w:cstheme="minorHAnsi"/>
          <w:bCs/>
          <w:color w:val="auto"/>
        </w:rPr>
      </w:pPr>
      <w:r w:rsidRPr="00F10A5B">
        <w:rPr>
          <w:rFonts w:cstheme="minorHAnsi"/>
          <w:color w:val="auto"/>
        </w:rPr>
        <w:t>Bien que l’organisation n</w:t>
      </w:r>
      <w:r w:rsidR="0076314E" w:rsidRPr="00F10A5B">
        <w:rPr>
          <w:rFonts w:cstheme="minorHAnsi"/>
          <w:color w:val="auto"/>
        </w:rPr>
        <w:t xml:space="preserve">’ait pas encore </w:t>
      </w:r>
      <w:r w:rsidRPr="00F10A5B">
        <w:rPr>
          <w:rFonts w:cstheme="minorHAnsi"/>
          <w:color w:val="auto"/>
        </w:rPr>
        <w:t>particip</w:t>
      </w:r>
      <w:r w:rsidR="0076314E" w:rsidRPr="00F10A5B">
        <w:rPr>
          <w:rFonts w:cstheme="minorHAnsi"/>
          <w:color w:val="auto"/>
        </w:rPr>
        <w:t>é</w:t>
      </w:r>
      <w:r w:rsidRPr="00F10A5B">
        <w:rPr>
          <w:rFonts w:cstheme="minorHAnsi"/>
          <w:color w:val="auto"/>
        </w:rPr>
        <w:t xml:space="preserve"> au </w:t>
      </w:r>
      <w:r w:rsidRPr="00F10A5B">
        <w:rPr>
          <w:rFonts w:cstheme="minorHAnsi"/>
          <w:bCs/>
          <w:color w:val="auto"/>
        </w:rPr>
        <w:t>Programme fédéral de stages pour les Canadiens en situation de handicap</w:t>
      </w:r>
      <w:r w:rsidRPr="00F10A5B">
        <w:rPr>
          <w:rFonts w:cstheme="minorHAnsi"/>
          <w:color w:val="auto"/>
        </w:rPr>
        <w:t>, le programme est une excellente initiative à envisager pour l’année prochaine pour les raisons suivantes : il c</w:t>
      </w:r>
      <w:r w:rsidRPr="00F10A5B">
        <w:rPr>
          <w:rFonts w:cstheme="minorHAnsi"/>
          <w:bCs/>
          <w:color w:val="auto"/>
        </w:rPr>
        <w:t>ontribue à la stratégie d’accessibilité du gouvernement du Canada, il offre un remboursement de 50 % du salaire aux ministères d’embauche pour la période de stage de deux ans et il fournit aux gestionnaires et aux stagiaires des services d’encadrement de carrières et des outils pour soutenir le développement du stagiaire.</w:t>
      </w:r>
    </w:p>
    <w:p w14:paraId="149BD018" w14:textId="4D7033AC" w:rsidR="00D81EB1" w:rsidRPr="00F10A5B" w:rsidRDefault="00D81EB1" w:rsidP="00502DD6">
      <w:pPr>
        <w:spacing w:after="120" w:line="240" w:lineRule="auto"/>
        <w:rPr>
          <w:rFonts w:cstheme="minorHAnsi"/>
          <w:color w:val="auto"/>
        </w:rPr>
      </w:pPr>
      <w:r w:rsidRPr="00F10A5B">
        <w:rPr>
          <w:rFonts w:cstheme="minorHAnsi"/>
          <w:color w:val="auto"/>
        </w:rPr>
        <w:t xml:space="preserve">La </w:t>
      </w:r>
      <w:r w:rsidR="00E149A1" w:rsidRPr="00F10A5B">
        <w:rPr>
          <w:rFonts w:cstheme="minorHAnsi"/>
          <w:color w:val="auto"/>
        </w:rPr>
        <w:t>crise liée à</w:t>
      </w:r>
      <w:r w:rsidR="00E66171" w:rsidRPr="00F10A5B">
        <w:rPr>
          <w:rFonts w:cstheme="minorHAnsi"/>
          <w:color w:val="auto"/>
        </w:rPr>
        <w:t xml:space="preserve"> la </w:t>
      </w:r>
      <w:r w:rsidRPr="00F10A5B">
        <w:rPr>
          <w:rFonts w:cstheme="minorHAnsi"/>
          <w:color w:val="auto"/>
        </w:rPr>
        <w:t>pandémie a retardé le lancement de la deuxième année du programme ainsi que le recrutement de la prochaine cohorte de stagiaires. Le plan révisé de la CFP consiste à embaucher des stagiaires d’ici décembre 2020</w:t>
      </w:r>
      <w:r w:rsidR="008E668A" w:rsidRPr="00F10A5B">
        <w:rPr>
          <w:rFonts w:cstheme="minorHAnsi"/>
          <w:color w:val="auto"/>
        </w:rPr>
        <w:t xml:space="preserve"> / </w:t>
      </w:r>
      <w:r w:rsidR="00111365" w:rsidRPr="00F10A5B">
        <w:rPr>
          <w:rFonts w:cstheme="minorHAnsi"/>
          <w:color w:val="auto"/>
        </w:rPr>
        <w:t>janvier 2021</w:t>
      </w:r>
      <w:r w:rsidRPr="00F10A5B">
        <w:rPr>
          <w:rFonts w:cstheme="minorHAnsi"/>
          <w:color w:val="auto"/>
        </w:rPr>
        <w:t xml:space="preserve">. Le processus d’évaluation initiale des candidats potentiels est en cours, tout comme l’engagement auprès des gestionnaires d’embauche intéressés. La phase de jumelage du processus est </w:t>
      </w:r>
      <w:r w:rsidR="00111365" w:rsidRPr="00F10A5B">
        <w:rPr>
          <w:rFonts w:cstheme="minorHAnsi"/>
          <w:color w:val="auto"/>
        </w:rPr>
        <w:t>en cours</w:t>
      </w:r>
      <w:r w:rsidR="00D13853" w:rsidRPr="00F10A5B">
        <w:rPr>
          <w:rFonts w:cstheme="minorHAnsi"/>
          <w:color w:val="auto"/>
        </w:rPr>
        <w:t>.  Si SAC</w:t>
      </w:r>
      <w:r w:rsidRPr="00F10A5B">
        <w:rPr>
          <w:rFonts w:cstheme="minorHAnsi"/>
          <w:color w:val="auto"/>
        </w:rPr>
        <w:t xml:space="preserve"> souhaite participer, le personnel du programme se fera un plaisir de fournir plus d'informations et d'aider l'organisation à démarrer. </w:t>
      </w:r>
    </w:p>
    <w:p w14:paraId="45D751AD" w14:textId="2DC0FC7A" w:rsidR="0087382F" w:rsidRPr="00F10A5B" w:rsidRDefault="0087382F" w:rsidP="00264119">
      <w:pPr>
        <w:keepLines w:val="0"/>
        <w:tabs>
          <w:tab w:val="center" w:pos="4680"/>
        </w:tabs>
        <w:spacing w:after="120" w:line="240" w:lineRule="auto"/>
        <w:rPr>
          <w:rFonts w:cstheme="minorHAnsi"/>
          <w:color w:val="auto"/>
        </w:rPr>
      </w:pPr>
      <w:r w:rsidRPr="00F10A5B">
        <w:rPr>
          <w:rFonts w:cstheme="minorHAnsi"/>
          <w:color w:val="auto"/>
        </w:rPr>
        <w:t>SAC a lancé un inventaire ciblé pour étudiants autochtones intitulé : Emplois d'été pour étudiants autochtones : Paiement des annuités prévues dans les traités – 2020.  Cet inventaire a été affiché du 15 novembre 2019 au 1</w:t>
      </w:r>
      <w:r w:rsidR="00857FE9" w:rsidRPr="00F10A5B">
        <w:rPr>
          <w:rFonts w:cstheme="minorHAnsi"/>
          <w:color w:val="auto"/>
        </w:rPr>
        <w:t>er</w:t>
      </w:r>
      <w:r w:rsidRPr="00F10A5B">
        <w:rPr>
          <w:rFonts w:cstheme="minorHAnsi"/>
          <w:color w:val="auto"/>
        </w:rPr>
        <w:t xml:space="preserve"> avril 2020 et est </w:t>
      </w:r>
      <w:r w:rsidR="00E149A1" w:rsidRPr="00F10A5B">
        <w:rPr>
          <w:rFonts w:cstheme="minorHAnsi"/>
          <w:color w:val="auto"/>
        </w:rPr>
        <w:t>ouvert/</w:t>
      </w:r>
      <w:r w:rsidRPr="00F10A5B">
        <w:rPr>
          <w:rFonts w:cstheme="minorHAnsi"/>
          <w:color w:val="auto"/>
        </w:rPr>
        <w:t>accessible jusqu’au 31 janvier 2021.</w:t>
      </w:r>
      <w:r w:rsidR="00D13853" w:rsidRPr="00F10A5B">
        <w:rPr>
          <w:rFonts w:cstheme="minorHAnsi"/>
          <w:color w:val="auto"/>
        </w:rPr>
        <w:t xml:space="preserve"> En raison de la pandémie, aucune embauche n’a résulté de cet inventaire.</w:t>
      </w:r>
    </w:p>
    <w:p w14:paraId="754EBAAD" w14:textId="308B3914" w:rsidR="00806317" w:rsidRPr="00F10A5B" w:rsidRDefault="00806317" w:rsidP="00502DD6">
      <w:pPr>
        <w:keepLines w:val="0"/>
        <w:spacing w:after="120" w:line="240" w:lineRule="auto"/>
        <w:rPr>
          <w:rFonts w:cstheme="minorHAnsi"/>
          <w:color w:val="auto"/>
        </w:rPr>
      </w:pPr>
      <w:r w:rsidRPr="00F10A5B">
        <w:rPr>
          <w:rFonts w:cstheme="minorHAnsi"/>
          <w:color w:val="auto"/>
        </w:rPr>
        <w:t>SAC a</w:t>
      </w:r>
      <w:r w:rsidR="007670D7" w:rsidRPr="00F10A5B">
        <w:rPr>
          <w:rFonts w:cstheme="minorHAnsi"/>
          <w:color w:val="auto"/>
        </w:rPr>
        <w:t xml:space="preserve"> aussi</w:t>
      </w:r>
      <w:r w:rsidRPr="00F10A5B">
        <w:rPr>
          <w:rFonts w:cstheme="minorHAnsi"/>
          <w:color w:val="auto"/>
        </w:rPr>
        <w:t xml:space="preserve"> utilisé plusieurs programmes de la CFP pour faire du recrutement, renouveler sa main-d’œuvre et accroître la diversité dans le milieu de travail. </w:t>
      </w:r>
      <w:r w:rsidR="0053747F" w:rsidRPr="00F10A5B">
        <w:rPr>
          <w:rFonts w:cstheme="minorHAnsi"/>
          <w:color w:val="auto"/>
        </w:rPr>
        <w:t xml:space="preserve"> </w:t>
      </w:r>
      <w:r w:rsidR="00DE182C" w:rsidRPr="00F10A5B">
        <w:rPr>
          <w:rFonts w:cstheme="minorHAnsi"/>
          <w:color w:val="auto"/>
        </w:rPr>
        <w:t>C</w:t>
      </w:r>
      <w:r w:rsidRPr="00F10A5B">
        <w:rPr>
          <w:rFonts w:cstheme="minorHAnsi"/>
          <w:color w:val="auto"/>
        </w:rPr>
        <w:t xml:space="preserve">es programmes </w:t>
      </w:r>
      <w:r w:rsidR="0053747F" w:rsidRPr="00F10A5B">
        <w:rPr>
          <w:rFonts w:cstheme="minorHAnsi"/>
          <w:color w:val="auto"/>
        </w:rPr>
        <w:t>incluaient</w:t>
      </w:r>
      <w:r w:rsidRPr="00F10A5B">
        <w:rPr>
          <w:rFonts w:cstheme="minorHAnsi"/>
          <w:color w:val="auto"/>
        </w:rPr>
        <w:t xml:space="preserve"> l</w:t>
      </w:r>
      <w:r w:rsidR="00987A73" w:rsidRPr="00F10A5B">
        <w:rPr>
          <w:rFonts w:cstheme="minorHAnsi"/>
          <w:bCs/>
          <w:color w:val="auto"/>
        </w:rPr>
        <w:t>’O</w:t>
      </w:r>
      <w:r w:rsidRPr="00F10A5B">
        <w:rPr>
          <w:rFonts w:cstheme="minorHAnsi"/>
          <w:bCs/>
          <w:color w:val="auto"/>
        </w:rPr>
        <w:t xml:space="preserve">ccasion d'emploi pour les étudiants en situation de handicap (OEESH), </w:t>
      </w:r>
      <w:r w:rsidRPr="00F10A5B">
        <w:rPr>
          <w:rFonts w:cstheme="minorHAnsi"/>
          <w:color w:val="auto"/>
        </w:rPr>
        <w:t>l'</w:t>
      </w:r>
      <w:r w:rsidRPr="00F10A5B">
        <w:rPr>
          <w:rFonts w:cstheme="minorHAnsi"/>
          <w:bCs/>
          <w:color w:val="auto"/>
        </w:rPr>
        <w:t xml:space="preserve">Occasion d'emploi pour étudiants autochtones (OEEA), </w:t>
      </w:r>
      <w:r w:rsidRPr="00F10A5B">
        <w:rPr>
          <w:rFonts w:cstheme="minorHAnsi"/>
          <w:color w:val="auto"/>
        </w:rPr>
        <w:t>le</w:t>
      </w:r>
      <w:r w:rsidR="00987A73" w:rsidRPr="00F10A5B">
        <w:rPr>
          <w:rFonts w:cstheme="minorHAnsi"/>
          <w:color w:val="auto"/>
        </w:rPr>
        <w:t xml:space="preserve"> Programme fédéral d'expérience de travail étudiant </w:t>
      </w:r>
      <w:r w:rsidRPr="00F10A5B">
        <w:rPr>
          <w:rFonts w:cstheme="minorHAnsi"/>
          <w:color w:val="auto"/>
        </w:rPr>
        <w:t xml:space="preserve">(PFETÉ) </w:t>
      </w:r>
      <w:r w:rsidR="00987A73" w:rsidRPr="00F10A5B">
        <w:rPr>
          <w:rFonts w:cstheme="minorHAnsi"/>
          <w:color w:val="auto"/>
        </w:rPr>
        <w:t>et le R</w:t>
      </w:r>
      <w:r w:rsidRPr="00F10A5B">
        <w:rPr>
          <w:rFonts w:cstheme="minorHAnsi"/>
          <w:color w:val="auto"/>
        </w:rPr>
        <w:t>ecrutement post-secondaire (RP).</w:t>
      </w:r>
    </w:p>
    <w:p w14:paraId="3DD97A9C" w14:textId="662FC5B7" w:rsidR="009D6A85" w:rsidRPr="00F10A5B" w:rsidRDefault="000F52A1" w:rsidP="00DA196D">
      <w:pPr>
        <w:keepLines w:val="0"/>
        <w:spacing w:after="0" w:line="240" w:lineRule="auto"/>
        <w:contextualSpacing/>
        <w:rPr>
          <w:rFonts w:cstheme="minorHAnsi"/>
          <w:bCs/>
          <w:color w:val="auto"/>
        </w:rPr>
      </w:pPr>
      <w:r w:rsidRPr="00F10A5B">
        <w:rPr>
          <w:rFonts w:cstheme="minorHAnsi"/>
          <w:bCs/>
          <w:color w:val="auto"/>
        </w:rPr>
        <w:t>P</w:t>
      </w:r>
      <w:r w:rsidR="00DE182C" w:rsidRPr="00F10A5B">
        <w:rPr>
          <w:rFonts w:cstheme="minorHAnsi"/>
          <w:bCs/>
          <w:color w:val="auto"/>
        </w:rPr>
        <w:t xml:space="preserve">our la période </w:t>
      </w:r>
      <w:r w:rsidR="00111365" w:rsidRPr="00F10A5B">
        <w:rPr>
          <w:rFonts w:cstheme="minorHAnsi"/>
          <w:bCs/>
          <w:color w:val="auto"/>
        </w:rPr>
        <w:t>allant du 1er</w:t>
      </w:r>
      <w:r w:rsidR="00DE182C" w:rsidRPr="00F10A5B">
        <w:rPr>
          <w:rFonts w:cstheme="minorHAnsi"/>
          <w:bCs/>
          <w:color w:val="auto"/>
        </w:rPr>
        <w:t xml:space="preserve"> janvier au 31</w:t>
      </w:r>
      <w:r w:rsidR="009D6A85" w:rsidRPr="00F10A5B">
        <w:rPr>
          <w:rFonts w:cstheme="minorHAnsi"/>
          <w:bCs/>
          <w:color w:val="auto"/>
        </w:rPr>
        <w:t xml:space="preserve"> août 2020, SAC a soumis :</w:t>
      </w:r>
    </w:p>
    <w:p w14:paraId="5B418F22" w14:textId="77777777" w:rsidR="009D6A85" w:rsidRPr="00F10A5B" w:rsidRDefault="009D6A85" w:rsidP="00DA196D">
      <w:pPr>
        <w:pStyle w:val="NoSpacing"/>
        <w:numPr>
          <w:ilvl w:val="0"/>
          <w:numId w:val="20"/>
        </w:numPr>
        <w:contextualSpacing/>
        <w:rPr>
          <w:rFonts w:asciiTheme="minorHAnsi" w:hAnsiTheme="minorHAnsi" w:cstheme="minorHAnsi"/>
          <w:sz w:val="22"/>
          <w:szCs w:val="22"/>
          <w:lang w:val="fr-CA"/>
        </w:rPr>
      </w:pPr>
      <w:r w:rsidRPr="00F10A5B">
        <w:rPr>
          <w:rFonts w:asciiTheme="minorHAnsi" w:hAnsiTheme="minorHAnsi" w:cstheme="minorHAnsi"/>
          <w:bCs/>
          <w:sz w:val="22"/>
          <w:szCs w:val="22"/>
          <w:lang w:val="fr-CA"/>
        </w:rPr>
        <w:t xml:space="preserve">12 demandes </w:t>
      </w:r>
      <w:r w:rsidRPr="00F10A5B">
        <w:rPr>
          <w:rFonts w:asciiTheme="minorHAnsi" w:hAnsiTheme="minorHAnsi" w:cstheme="minorHAnsi"/>
          <w:sz w:val="22"/>
          <w:szCs w:val="22"/>
          <w:lang w:val="fr-CA"/>
        </w:rPr>
        <w:t xml:space="preserve">de présentation d’étudiants </w:t>
      </w:r>
      <w:r w:rsidRPr="00F10A5B">
        <w:rPr>
          <w:rFonts w:asciiTheme="minorHAnsi" w:hAnsiTheme="minorHAnsi" w:cstheme="minorHAnsi"/>
          <w:bCs/>
          <w:sz w:val="22"/>
          <w:szCs w:val="22"/>
          <w:lang w:val="fr-CA"/>
        </w:rPr>
        <w:t>pour l’OEESH</w:t>
      </w:r>
    </w:p>
    <w:p w14:paraId="7D1CEABB" w14:textId="77777777" w:rsidR="009D6A85" w:rsidRPr="00F10A5B" w:rsidRDefault="009D6A85" w:rsidP="00DA196D">
      <w:pPr>
        <w:pStyle w:val="NoSpacing"/>
        <w:numPr>
          <w:ilvl w:val="0"/>
          <w:numId w:val="20"/>
        </w:numPr>
        <w:contextualSpacing/>
        <w:rPr>
          <w:rFonts w:asciiTheme="minorHAnsi" w:hAnsiTheme="minorHAnsi" w:cstheme="minorHAnsi"/>
          <w:sz w:val="22"/>
          <w:szCs w:val="22"/>
          <w:lang w:val="fr-CA"/>
        </w:rPr>
      </w:pPr>
      <w:r w:rsidRPr="00F10A5B">
        <w:rPr>
          <w:rFonts w:asciiTheme="minorHAnsi" w:hAnsiTheme="minorHAnsi" w:cstheme="minorHAnsi"/>
          <w:sz w:val="22"/>
          <w:szCs w:val="22"/>
          <w:lang w:val="fr-CA"/>
        </w:rPr>
        <w:t>3 demandes de présentation d’étudiants pour l’</w:t>
      </w:r>
      <w:r w:rsidRPr="00F10A5B">
        <w:rPr>
          <w:rFonts w:asciiTheme="minorHAnsi" w:hAnsiTheme="minorHAnsi" w:cstheme="minorHAnsi"/>
          <w:bCs/>
          <w:sz w:val="22"/>
          <w:szCs w:val="22"/>
          <w:lang w:val="fr-CA"/>
        </w:rPr>
        <w:t>OEEA</w:t>
      </w:r>
    </w:p>
    <w:p w14:paraId="596610E7" w14:textId="77777777" w:rsidR="009D6A85" w:rsidRPr="00F10A5B" w:rsidRDefault="009D6A85" w:rsidP="00DA196D">
      <w:pPr>
        <w:pStyle w:val="NoSpacing"/>
        <w:numPr>
          <w:ilvl w:val="0"/>
          <w:numId w:val="20"/>
        </w:numPr>
        <w:contextualSpacing/>
        <w:rPr>
          <w:rFonts w:asciiTheme="minorHAnsi" w:hAnsiTheme="minorHAnsi" w:cstheme="minorHAnsi"/>
          <w:sz w:val="22"/>
          <w:szCs w:val="22"/>
          <w:lang w:val="fr-CA"/>
        </w:rPr>
      </w:pPr>
      <w:r w:rsidRPr="00F10A5B">
        <w:rPr>
          <w:rFonts w:asciiTheme="minorHAnsi" w:hAnsiTheme="minorHAnsi" w:cstheme="minorHAnsi"/>
          <w:sz w:val="22"/>
          <w:szCs w:val="22"/>
          <w:lang w:val="fr-CA"/>
        </w:rPr>
        <w:t>24 demandes de présentation d’étudiants pour le PFETÉ</w:t>
      </w:r>
    </w:p>
    <w:p w14:paraId="3BA34942" w14:textId="6DDD1BA0" w:rsidR="009D6A85" w:rsidRPr="00F10A5B" w:rsidRDefault="009D6A85" w:rsidP="00DA196D">
      <w:pPr>
        <w:pStyle w:val="NoSpacing"/>
        <w:numPr>
          <w:ilvl w:val="0"/>
          <w:numId w:val="20"/>
        </w:numPr>
        <w:tabs>
          <w:tab w:val="center" w:pos="4680"/>
        </w:tabs>
        <w:contextualSpacing/>
        <w:rPr>
          <w:rFonts w:asciiTheme="minorHAnsi" w:hAnsiTheme="minorHAnsi" w:cstheme="minorHAnsi"/>
          <w:sz w:val="22"/>
          <w:szCs w:val="22"/>
          <w:lang w:val="fr-CA"/>
        </w:rPr>
      </w:pPr>
      <w:r w:rsidRPr="00F10A5B">
        <w:rPr>
          <w:rFonts w:asciiTheme="minorHAnsi" w:hAnsiTheme="minorHAnsi" w:cstheme="minorHAnsi"/>
          <w:sz w:val="22"/>
          <w:szCs w:val="22"/>
          <w:lang w:val="fr-CA"/>
        </w:rPr>
        <w:t xml:space="preserve">10 demandes de présentation d’étudiants pour le RP </w:t>
      </w:r>
      <w:r w:rsidR="00E35DC2" w:rsidRPr="00F10A5B">
        <w:rPr>
          <w:rFonts w:asciiTheme="minorHAnsi" w:hAnsiTheme="minorHAnsi" w:cstheme="minorHAnsi"/>
          <w:sz w:val="22"/>
          <w:szCs w:val="22"/>
          <w:lang w:val="fr-CA"/>
        </w:rPr>
        <w:t>pour doter</w:t>
      </w:r>
      <w:r w:rsidRPr="00F10A5B">
        <w:rPr>
          <w:rFonts w:asciiTheme="minorHAnsi" w:hAnsiTheme="minorHAnsi" w:cstheme="minorHAnsi"/>
          <w:sz w:val="22"/>
          <w:szCs w:val="22"/>
          <w:lang w:val="fr-CA"/>
        </w:rPr>
        <w:t xml:space="preserve"> des postes AS, CR, EC</w:t>
      </w:r>
    </w:p>
    <w:p w14:paraId="023E2C91" w14:textId="77777777" w:rsidR="009D6A85" w:rsidRPr="00F10A5B" w:rsidRDefault="009D6A85" w:rsidP="00502DD6">
      <w:pPr>
        <w:pStyle w:val="NoSpacing"/>
        <w:numPr>
          <w:ilvl w:val="0"/>
          <w:numId w:val="20"/>
        </w:numPr>
        <w:tabs>
          <w:tab w:val="center" w:pos="4680"/>
        </w:tabs>
        <w:spacing w:after="120"/>
        <w:contextualSpacing/>
        <w:rPr>
          <w:rFonts w:asciiTheme="minorHAnsi" w:hAnsiTheme="minorHAnsi" w:cstheme="minorHAnsi"/>
          <w:sz w:val="22"/>
          <w:szCs w:val="22"/>
          <w:lang w:val="fr-CA"/>
        </w:rPr>
      </w:pPr>
      <w:r w:rsidRPr="00F10A5B">
        <w:rPr>
          <w:rFonts w:asciiTheme="minorHAnsi" w:hAnsiTheme="minorHAnsi" w:cstheme="minorHAnsi"/>
          <w:sz w:val="22"/>
          <w:szCs w:val="22"/>
          <w:lang w:val="fr-CA"/>
        </w:rPr>
        <w:t xml:space="preserve">10 demandes de </w:t>
      </w:r>
      <w:r w:rsidR="00642000" w:rsidRPr="00F10A5B">
        <w:rPr>
          <w:rFonts w:asciiTheme="minorHAnsi" w:hAnsiTheme="minorHAnsi" w:cstheme="minorHAnsi"/>
          <w:sz w:val="22"/>
          <w:szCs w:val="22"/>
          <w:lang w:val="fr-CA"/>
        </w:rPr>
        <w:t>présentation d’étudiants pour l’inventaire ciblé pour étudiants autochtones</w:t>
      </w:r>
      <w:r w:rsidRPr="00F10A5B">
        <w:rPr>
          <w:rFonts w:asciiTheme="minorHAnsi" w:hAnsiTheme="minorHAnsi" w:cstheme="minorHAnsi"/>
          <w:sz w:val="22"/>
          <w:szCs w:val="22"/>
          <w:lang w:val="fr-CA"/>
        </w:rPr>
        <w:t xml:space="preserve"> </w:t>
      </w:r>
    </w:p>
    <w:p w14:paraId="40296F62" w14:textId="77777777" w:rsidR="00133711" w:rsidRPr="00F10A5B" w:rsidRDefault="00133711" w:rsidP="00DA196D">
      <w:pPr>
        <w:keepLines w:val="0"/>
        <w:spacing w:after="0" w:line="240" w:lineRule="auto"/>
        <w:contextualSpacing/>
        <w:rPr>
          <w:rFonts w:cstheme="minorHAnsi"/>
          <w:color w:val="auto"/>
        </w:rPr>
      </w:pPr>
      <w:r w:rsidRPr="00F10A5B">
        <w:rPr>
          <w:rFonts w:cstheme="minorHAnsi"/>
          <w:color w:val="auto"/>
        </w:rPr>
        <w:t>Pour l’OEESH et l’OEEA, les candidats sont disponibles toute l'année par l’entremise du répertoire continu du PFETÉ :</w:t>
      </w:r>
    </w:p>
    <w:p w14:paraId="10A2DBD8" w14:textId="77777777" w:rsidR="00133711" w:rsidRPr="00F10A5B" w:rsidRDefault="00133711" w:rsidP="00DA196D">
      <w:pPr>
        <w:pStyle w:val="ListParagraph"/>
        <w:keepLines w:val="0"/>
        <w:numPr>
          <w:ilvl w:val="0"/>
          <w:numId w:val="32"/>
        </w:numPr>
        <w:spacing w:after="0" w:line="240" w:lineRule="auto"/>
        <w:rPr>
          <w:rFonts w:cstheme="minorHAnsi"/>
          <w:color w:val="auto"/>
        </w:rPr>
      </w:pPr>
      <w:r w:rsidRPr="00F10A5B">
        <w:rPr>
          <w:rFonts w:cstheme="minorHAnsi"/>
          <w:color w:val="auto"/>
        </w:rPr>
        <w:t>Nombre d'étudiants disponibles dans l'OEESH : 3,714</w:t>
      </w:r>
    </w:p>
    <w:p w14:paraId="52D8ADC2" w14:textId="77777777" w:rsidR="00133711" w:rsidRPr="00F10A5B" w:rsidRDefault="00133711" w:rsidP="00347DDA">
      <w:pPr>
        <w:pStyle w:val="ListParagraph"/>
        <w:keepLines w:val="0"/>
        <w:numPr>
          <w:ilvl w:val="0"/>
          <w:numId w:val="32"/>
        </w:numPr>
        <w:spacing w:after="120" w:line="240" w:lineRule="auto"/>
        <w:rPr>
          <w:rFonts w:cstheme="minorHAnsi"/>
          <w:color w:val="auto"/>
        </w:rPr>
      </w:pPr>
      <w:r w:rsidRPr="00F10A5B">
        <w:rPr>
          <w:rFonts w:cstheme="minorHAnsi"/>
          <w:color w:val="auto"/>
        </w:rPr>
        <w:t>Nombre d'étudiants disponibles dans l'OEEA : 2,263</w:t>
      </w:r>
    </w:p>
    <w:p w14:paraId="4F631C34" w14:textId="77777777" w:rsidR="008F1E30" w:rsidRPr="00F10A5B" w:rsidRDefault="008F1E30" w:rsidP="00347DDA">
      <w:pPr>
        <w:keepLines w:val="0"/>
        <w:tabs>
          <w:tab w:val="center" w:pos="4680"/>
        </w:tabs>
        <w:spacing w:after="120" w:line="240" w:lineRule="auto"/>
        <w:rPr>
          <w:rFonts w:cstheme="minorHAnsi"/>
          <w:color w:val="auto"/>
        </w:rPr>
      </w:pPr>
      <w:r w:rsidRPr="00F10A5B">
        <w:rPr>
          <w:rFonts w:cstheme="minorHAnsi"/>
          <w:color w:val="auto"/>
        </w:rPr>
        <w:t>Pour l’année 2019-2020, SAC a embauché un total de 13 étudiants à partir de l’OEESH et 60 de l’OEEA.</w:t>
      </w:r>
    </w:p>
    <w:p w14:paraId="54570404" w14:textId="046DBFC3" w:rsidR="00961A62" w:rsidRPr="00F10A5B" w:rsidRDefault="00961A62" w:rsidP="00347DDA">
      <w:pPr>
        <w:pStyle w:val="Heading1"/>
        <w:spacing w:after="120"/>
        <w:contextualSpacing/>
        <w:rPr>
          <w:color w:val="auto"/>
        </w:rPr>
      </w:pPr>
      <w:r w:rsidRPr="00F10A5B">
        <w:rPr>
          <w:color w:val="auto"/>
        </w:rPr>
        <w:lastRenderedPageBreak/>
        <w:t xml:space="preserve">Soutien en dotation </w:t>
      </w:r>
    </w:p>
    <w:p w14:paraId="2941E951" w14:textId="77777777" w:rsidR="00961A62" w:rsidRPr="00F10A5B" w:rsidRDefault="00961A62" w:rsidP="00347DDA">
      <w:pPr>
        <w:pStyle w:val="Heading2"/>
        <w:spacing w:after="120"/>
        <w:contextualSpacing/>
        <w:rPr>
          <w:u w:val="single"/>
        </w:rPr>
      </w:pPr>
      <w:r w:rsidRPr="00F10A5B">
        <w:t>Représentants de la Commission de la fonction publique et personnes-ressources de l’organisation</w:t>
      </w:r>
    </w:p>
    <w:p w14:paraId="1D0806E5" w14:textId="4A5A2E6B" w:rsidR="002B3A35" w:rsidRPr="00F10A5B" w:rsidRDefault="00961A62" w:rsidP="00347DDA">
      <w:pPr>
        <w:spacing w:after="0" w:line="240" w:lineRule="auto"/>
        <w:contextualSpacing/>
        <w:rPr>
          <w:rFonts w:cstheme="minorHAnsi"/>
          <w:color w:val="auto"/>
          <w:lang w:eastAsia="en-CA"/>
        </w:rPr>
      </w:pPr>
      <w:r w:rsidRPr="00F10A5B">
        <w:rPr>
          <w:rFonts w:cstheme="minorHAnsi"/>
          <w:color w:val="auto"/>
          <w:lang w:eastAsia="en-CA"/>
        </w:rPr>
        <w:t xml:space="preserve">La </w:t>
      </w:r>
      <w:r w:rsidR="004C09D3" w:rsidRPr="00F10A5B">
        <w:rPr>
          <w:rFonts w:cstheme="minorHAnsi"/>
          <w:color w:val="auto"/>
          <w:lang w:eastAsia="en-CA"/>
        </w:rPr>
        <w:t>CSD</w:t>
      </w:r>
      <w:r w:rsidR="00F5580C" w:rsidRPr="00F10A5B">
        <w:rPr>
          <w:rFonts w:cstheme="minorHAnsi"/>
          <w:color w:val="auto"/>
          <w:lang w:eastAsia="en-CA"/>
        </w:rPr>
        <w:t xml:space="preserve"> </w:t>
      </w:r>
      <w:r w:rsidR="00B355AA" w:rsidRPr="00F10A5B">
        <w:rPr>
          <w:rFonts w:cstheme="minorHAnsi"/>
          <w:color w:val="auto"/>
          <w:lang w:eastAsia="en-CA"/>
        </w:rPr>
        <w:t xml:space="preserve">assignée </w:t>
      </w:r>
      <w:r w:rsidRPr="00F10A5B">
        <w:rPr>
          <w:rFonts w:cstheme="minorHAnsi"/>
          <w:color w:val="auto"/>
          <w:lang w:eastAsia="en-CA"/>
        </w:rPr>
        <w:t>à cette organisation est</w:t>
      </w:r>
      <w:r w:rsidR="00F5580C" w:rsidRPr="00F10A5B">
        <w:rPr>
          <w:rFonts w:cstheme="minorHAnsi"/>
          <w:color w:val="auto"/>
          <w:lang w:eastAsia="en-CA"/>
        </w:rPr>
        <w:t xml:space="preserve"> Gaétane Clément</w:t>
      </w:r>
      <w:r w:rsidR="00164EEB" w:rsidRPr="00F10A5B">
        <w:rPr>
          <w:rFonts w:cstheme="minorHAnsi"/>
          <w:color w:val="auto"/>
          <w:lang w:eastAsia="en-CA"/>
        </w:rPr>
        <w:t>. L</w:t>
      </w:r>
      <w:r w:rsidRPr="00F10A5B">
        <w:rPr>
          <w:rFonts w:cstheme="minorHAnsi"/>
          <w:color w:val="auto"/>
          <w:lang w:eastAsia="en-CA"/>
        </w:rPr>
        <w:t>es principales personnes-ressources de l’organisation sont</w:t>
      </w:r>
      <w:r w:rsidR="00164EEB" w:rsidRPr="00F10A5B">
        <w:rPr>
          <w:rFonts w:cstheme="minorHAnsi"/>
          <w:color w:val="auto"/>
          <w:lang w:eastAsia="en-CA"/>
        </w:rPr>
        <w:t xml:space="preserve"> Isabelle Larose, D</w:t>
      </w:r>
      <w:r w:rsidR="00F5580C" w:rsidRPr="00F10A5B">
        <w:rPr>
          <w:rFonts w:cstheme="minorHAnsi"/>
          <w:color w:val="auto"/>
          <w:lang w:eastAsia="en-CA"/>
        </w:rPr>
        <w:t>irectrice</w:t>
      </w:r>
      <w:r w:rsidR="001B4621" w:rsidRPr="00F10A5B">
        <w:rPr>
          <w:rFonts w:cstheme="minorHAnsi"/>
          <w:color w:val="auto"/>
          <w:lang w:eastAsia="en-CA"/>
        </w:rPr>
        <w:t xml:space="preserve"> des programmes et politiques</w:t>
      </w:r>
      <w:r w:rsidR="00F5580C" w:rsidRPr="00F10A5B">
        <w:rPr>
          <w:rFonts w:cstheme="minorHAnsi"/>
          <w:color w:val="auto"/>
          <w:lang w:eastAsia="en-CA"/>
        </w:rPr>
        <w:t xml:space="preserve">, </w:t>
      </w:r>
      <w:r w:rsidR="001B4621" w:rsidRPr="00F10A5B">
        <w:rPr>
          <w:rFonts w:cstheme="minorHAnsi"/>
          <w:color w:val="auto"/>
          <w:lang w:eastAsia="en-CA"/>
        </w:rPr>
        <w:t xml:space="preserve">et </w:t>
      </w:r>
      <w:r w:rsidR="00F5580C" w:rsidRPr="00F10A5B">
        <w:rPr>
          <w:rFonts w:cstheme="minorHAnsi"/>
          <w:color w:val="auto"/>
          <w:lang w:eastAsia="en-CA"/>
        </w:rPr>
        <w:t>Karine Renoux,</w:t>
      </w:r>
      <w:r w:rsidR="004C09D3" w:rsidRPr="00F10A5B">
        <w:rPr>
          <w:rFonts w:cstheme="minorHAnsi"/>
          <w:color w:val="auto"/>
          <w:lang w:eastAsia="en-CA"/>
        </w:rPr>
        <w:t xml:space="preserve"> </w:t>
      </w:r>
      <w:r w:rsidR="00164EEB" w:rsidRPr="00F10A5B">
        <w:rPr>
          <w:rFonts w:cstheme="minorHAnsi"/>
          <w:color w:val="auto"/>
          <w:lang w:eastAsia="en-CA"/>
        </w:rPr>
        <w:t>D</w:t>
      </w:r>
      <w:r w:rsidR="006B2129" w:rsidRPr="00F10A5B">
        <w:rPr>
          <w:rFonts w:cstheme="minorHAnsi"/>
          <w:color w:val="auto"/>
          <w:lang w:eastAsia="en-CA"/>
        </w:rPr>
        <w:t>irectrice</w:t>
      </w:r>
      <w:r w:rsidR="001B4621" w:rsidRPr="00F10A5B">
        <w:rPr>
          <w:rFonts w:cstheme="minorHAnsi"/>
          <w:color w:val="auto"/>
          <w:lang w:eastAsia="en-CA"/>
        </w:rPr>
        <w:t xml:space="preserve"> générale adjointe de l’efficacité organisationnelle ministérielle.  L</w:t>
      </w:r>
      <w:r w:rsidRPr="00F10A5B">
        <w:rPr>
          <w:rFonts w:cstheme="minorHAnsi"/>
          <w:color w:val="auto"/>
          <w:lang w:eastAsia="en-CA"/>
        </w:rPr>
        <w:t>e chef des ressources humaines est</w:t>
      </w:r>
      <w:r w:rsidR="004C09D3" w:rsidRPr="00F10A5B">
        <w:rPr>
          <w:rFonts w:cstheme="minorHAnsi"/>
          <w:color w:val="auto"/>
          <w:lang w:eastAsia="en-CA"/>
        </w:rPr>
        <w:t xml:space="preserve"> Maryse Lavigne, </w:t>
      </w:r>
      <w:r w:rsidR="00164EEB" w:rsidRPr="00F10A5B">
        <w:rPr>
          <w:rFonts w:cstheme="minorHAnsi"/>
          <w:color w:val="auto"/>
          <w:lang w:eastAsia="en-CA"/>
        </w:rPr>
        <w:t>D</w:t>
      </w:r>
      <w:r w:rsidR="006B2129" w:rsidRPr="00F10A5B">
        <w:rPr>
          <w:rFonts w:cstheme="minorHAnsi"/>
          <w:color w:val="auto"/>
          <w:lang w:eastAsia="en-CA"/>
        </w:rPr>
        <w:t>irectrice générale</w:t>
      </w:r>
      <w:r w:rsidRPr="00F10A5B">
        <w:rPr>
          <w:rFonts w:cstheme="minorHAnsi"/>
          <w:b/>
          <w:i/>
          <w:color w:val="auto"/>
          <w:lang w:eastAsia="en-CA"/>
        </w:rPr>
        <w:t>.</w:t>
      </w:r>
    </w:p>
    <w:p w14:paraId="235D9104" w14:textId="77777777" w:rsidR="00C34BF6" w:rsidRPr="00F10A5B" w:rsidRDefault="00C34BF6" w:rsidP="00DA196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Arial" w:hAnsi="Arial" w:cs="Arial"/>
          <w:b/>
          <w:bCs/>
          <w:color w:val="auto"/>
        </w:rPr>
        <w:sectPr w:rsidR="00C34BF6" w:rsidRPr="00F10A5B" w:rsidSect="00E54C20">
          <w:pgSz w:w="12240" w:h="15840"/>
          <w:pgMar w:top="1440" w:right="1440" w:bottom="1440" w:left="1440" w:header="708" w:footer="283" w:gutter="0"/>
          <w:cols w:space="708"/>
          <w:titlePg/>
          <w:docGrid w:linePitch="360"/>
        </w:sectPr>
      </w:pPr>
    </w:p>
    <w:p w14:paraId="57FD37E9" w14:textId="75679F77" w:rsidR="00961A62" w:rsidRPr="00F10A5B" w:rsidRDefault="00961A62" w:rsidP="00347DDA">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cstheme="minorHAnsi"/>
          <w:color w:val="auto"/>
        </w:rPr>
      </w:pPr>
      <w:r w:rsidRPr="00C33D4C">
        <w:rPr>
          <w:rStyle w:val="Strong"/>
        </w:rPr>
        <w:lastRenderedPageBreak/>
        <w:t>PRÉPARÉ PAR</w:t>
      </w:r>
      <w:r w:rsidRPr="00F10A5B">
        <w:rPr>
          <w:rFonts w:cstheme="minorHAnsi"/>
          <w:b/>
          <w:bCs/>
          <w:color w:val="auto"/>
        </w:rPr>
        <w:t> :</w:t>
      </w:r>
    </w:p>
    <w:p w14:paraId="25DF887C" w14:textId="77777777" w:rsidR="00961A62" w:rsidRPr="00F10A5B" w:rsidRDefault="006B2129" w:rsidP="00347DDA">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color w:val="auto"/>
        </w:rPr>
      </w:pPr>
      <w:r w:rsidRPr="00F10A5B">
        <w:rPr>
          <w:rFonts w:cstheme="minorHAnsi"/>
          <w:color w:val="auto"/>
        </w:rPr>
        <w:t>Gaétane Clément</w:t>
      </w:r>
      <w:r w:rsidR="00961A62" w:rsidRPr="00F10A5B">
        <w:rPr>
          <w:rFonts w:cstheme="minorHAnsi"/>
          <w:color w:val="auto"/>
        </w:rPr>
        <w:t xml:space="preserve">, </w:t>
      </w:r>
    </w:p>
    <w:p w14:paraId="0B83BF23" w14:textId="0FBB5959" w:rsidR="00C34BF6" w:rsidRPr="00F10A5B" w:rsidRDefault="00961A62" w:rsidP="00347DDA">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240" w:lineRule="auto"/>
        <w:rPr>
          <w:rFonts w:cstheme="minorHAnsi"/>
          <w:color w:val="auto"/>
        </w:rPr>
      </w:pPr>
      <w:r w:rsidRPr="00F10A5B">
        <w:rPr>
          <w:rFonts w:cstheme="minorHAnsi"/>
          <w:color w:val="auto"/>
        </w:rPr>
        <w:t>Conseillère au soutien en dotation</w:t>
      </w:r>
    </w:p>
    <w:p w14:paraId="48645C0C" w14:textId="77777777" w:rsidR="00347DDA" w:rsidRPr="00F10A5B" w:rsidRDefault="00347DDA" w:rsidP="005A4FE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rPr>
          <w:rFonts w:cstheme="minorHAnsi"/>
          <w:color w:val="auto"/>
        </w:rPr>
      </w:pPr>
      <w:r w:rsidRPr="00F10A5B">
        <w:rPr>
          <w:rFonts w:cstheme="minorHAnsi"/>
          <w:color w:val="auto"/>
        </w:rPr>
        <w:t>Annexes :</w:t>
      </w:r>
    </w:p>
    <w:p w14:paraId="4D2C192B" w14:textId="77777777" w:rsidR="00347DDA" w:rsidRPr="00F10A5B" w:rsidRDefault="0089318C" w:rsidP="005A4FEB">
      <w:pPr>
        <w:pStyle w:val="ListParagraph"/>
        <w:keepLines w:val="0"/>
        <w:numPr>
          <w:ilvl w:val="0"/>
          <w:numId w:val="41"/>
        </w:numPr>
        <w:spacing w:after="120" w:line="240" w:lineRule="auto"/>
        <w:ind w:left="714" w:hanging="357"/>
        <w:contextualSpacing w:val="0"/>
        <w:rPr>
          <w:rStyle w:val="Hyperlink"/>
          <w:rFonts w:cstheme="minorHAnsi"/>
          <w:bCs/>
        </w:rPr>
      </w:pPr>
      <w:hyperlink w:anchor="AnnexA" w:history="1">
        <w:r w:rsidR="00347DDA" w:rsidRPr="00F10A5B">
          <w:rPr>
            <w:rStyle w:val="Hyperlink"/>
            <w:rFonts w:cstheme="minorHAnsi"/>
          </w:rPr>
          <w:t xml:space="preserve">Annexe A –  Document Faits Saillants de la Nouvelle orientation en dotation (NOD) pour les AG </w:t>
        </w:r>
      </w:hyperlink>
    </w:p>
    <w:p w14:paraId="2FCE542C" w14:textId="77777777" w:rsidR="00347DDA" w:rsidRPr="00F10A5B" w:rsidRDefault="0089318C" w:rsidP="00347DDA">
      <w:pPr>
        <w:pStyle w:val="ListParagraph"/>
        <w:keepLines w:val="0"/>
        <w:numPr>
          <w:ilvl w:val="0"/>
          <w:numId w:val="41"/>
        </w:numPr>
        <w:spacing w:after="0" w:line="240" w:lineRule="auto"/>
        <w:rPr>
          <w:rFonts w:cstheme="minorHAnsi"/>
          <w:bCs/>
        </w:rPr>
        <w:sectPr w:rsidR="00347DDA" w:rsidRPr="00F10A5B" w:rsidSect="00E54C20">
          <w:footnotePr>
            <w:numFmt w:val="lowerLetter"/>
          </w:footnotePr>
          <w:endnotePr>
            <w:numFmt w:val="lowerLetter"/>
          </w:endnotePr>
          <w:pgSz w:w="12240" w:h="15840" w:code="1"/>
          <w:pgMar w:top="1440" w:right="1440" w:bottom="1440" w:left="1440" w:header="284" w:footer="284" w:gutter="0"/>
          <w:cols w:space="720"/>
          <w:docGrid w:linePitch="326"/>
        </w:sectPr>
      </w:pPr>
      <w:hyperlink w:anchor="AnnexB" w:history="1">
        <w:r w:rsidR="00347DDA" w:rsidRPr="00F10A5B">
          <w:rPr>
            <w:rStyle w:val="Hyperlink"/>
            <w:rFonts w:cstheme="minorHAnsi"/>
          </w:rPr>
          <w:t>Annexe B - Données sur l’effectif et les activités de dotation</w:t>
        </w:r>
      </w:hyperlink>
    </w:p>
    <w:p w14:paraId="35329AF4" w14:textId="77777777" w:rsidR="00347DDA" w:rsidRPr="00C33D4C" w:rsidRDefault="00347DDA" w:rsidP="00347DDA">
      <w:pPr>
        <w:pStyle w:val="Heading3"/>
        <w:jc w:val="right"/>
        <w:rPr>
          <w:color w:val="auto"/>
        </w:rPr>
      </w:pPr>
      <w:bookmarkStart w:id="0" w:name="Annexe_A"/>
      <w:r w:rsidRPr="00C33D4C">
        <w:rPr>
          <w:color w:val="auto"/>
        </w:rPr>
        <w:lastRenderedPageBreak/>
        <w:t>Annexe A</w:t>
      </w:r>
    </w:p>
    <w:bookmarkEnd w:id="0"/>
    <w:p w14:paraId="716F5DAD" w14:textId="77777777" w:rsidR="00347DDA" w:rsidRPr="00F10A5B" w:rsidRDefault="00347DDA" w:rsidP="00347DDA">
      <w:pPr>
        <w:keepNext/>
        <w:spacing w:before="40" w:after="120"/>
        <w:jc w:val="center"/>
        <w:outlineLvl w:val="1"/>
        <w:rPr>
          <w:rFonts w:ascii="Segoe UI" w:eastAsiaTheme="majorEastAsia" w:hAnsi="Segoe UI" w:cs="Segoe UI"/>
          <w:b/>
          <w:color w:val="5B315E" w:themeColor="accent2"/>
          <w:sz w:val="32"/>
          <w:szCs w:val="32"/>
        </w:rPr>
      </w:pPr>
      <w:r w:rsidRPr="00F10A5B">
        <w:rPr>
          <w:rFonts w:ascii="Segoe UI" w:eastAsiaTheme="majorEastAsia" w:hAnsi="Segoe UI" w:cs="Segoe UI"/>
          <w:b/>
          <w:color w:val="5B315E" w:themeColor="accent2"/>
          <w:sz w:val="32"/>
          <w:szCs w:val="32"/>
        </w:rPr>
        <w:t>Une nouvelle orientation en dotation - un système fondé sur le mérite</w:t>
      </w:r>
      <w:r w:rsidRPr="00F10A5B">
        <w:rPr>
          <w:rFonts w:asciiTheme="majorHAnsi" w:eastAsiaTheme="majorEastAsia" w:hAnsiTheme="majorHAnsi" w:cstheme="majorBidi"/>
          <w:b/>
          <w:sz w:val="48"/>
          <w:szCs w:val="48"/>
        </w:rPr>
        <w:t xml:space="preserve"> </w:t>
      </w:r>
      <w:r w:rsidRPr="00F10A5B">
        <w:rPr>
          <w:rFonts w:ascii="Segoe UI" w:eastAsiaTheme="majorEastAsia" w:hAnsi="Segoe UI" w:cs="Segoe UI"/>
          <w:b/>
          <w:color w:val="5B315E" w:themeColor="accent2"/>
          <w:sz w:val="32"/>
          <w:szCs w:val="32"/>
        </w:rPr>
        <w:t>et axé sur l’efficacité, l’efficience et la justice</w:t>
      </w:r>
    </w:p>
    <w:p w14:paraId="5869AA49" w14:textId="77777777" w:rsidR="00347DDA" w:rsidRPr="00F10A5B" w:rsidRDefault="00347DDA" w:rsidP="00347DDA">
      <w:pPr>
        <w:pStyle w:val="Heading3"/>
        <w:spacing w:after="120"/>
        <w:rPr>
          <w:color w:val="auto"/>
        </w:rPr>
      </w:pPr>
      <w:r w:rsidRPr="00F10A5B">
        <w:rPr>
          <w:color w:val="auto"/>
        </w:rPr>
        <w:t>Politique de nomination</w:t>
      </w:r>
    </w:p>
    <w:p w14:paraId="68B696D9" w14:textId="77777777" w:rsidR="00347DDA" w:rsidRPr="00F10A5B" w:rsidRDefault="00347DDA" w:rsidP="00347DDA">
      <w:pPr>
        <w:rPr>
          <w:rFonts w:cstheme="minorHAnsi"/>
          <w:color w:val="auto"/>
          <w:spacing w:val="-6"/>
        </w:rPr>
      </w:pPr>
      <w:r w:rsidRPr="00F10A5B">
        <w:rPr>
          <w:rStyle w:val="Strong"/>
          <w:rFonts w:cstheme="minorHAnsi"/>
        </w:rPr>
        <w:t>L’accent est davantage mis sur  les exigences de base</w:t>
      </w:r>
      <w:r w:rsidRPr="00F10A5B">
        <w:rPr>
          <w:rFonts w:cstheme="minorHAnsi"/>
          <w:color w:val="auto"/>
          <w:spacing w:val="-6"/>
        </w:rPr>
        <w:t xml:space="preserve"> afin de fournir aux personnes subdéléguées une plus grande  latitude à l’égard des nominations</w:t>
      </w:r>
    </w:p>
    <w:p w14:paraId="3FC5E4FD" w14:textId="77777777" w:rsidR="00347DDA" w:rsidRPr="00F10A5B" w:rsidRDefault="00347DDA" w:rsidP="00347DDA">
      <w:pPr>
        <w:numPr>
          <w:ilvl w:val="0"/>
          <w:numId w:val="45"/>
        </w:numPr>
        <w:spacing w:after="0"/>
        <w:rPr>
          <w:rFonts w:cstheme="minorHAnsi"/>
          <w:color w:val="auto"/>
          <w:spacing w:val="-6"/>
        </w:rPr>
      </w:pPr>
      <w:r w:rsidRPr="00F10A5B">
        <w:rPr>
          <w:rStyle w:val="Strong"/>
          <w:rFonts w:cstheme="minorHAnsi"/>
        </w:rPr>
        <w:t>Une seule politique de nomination</w:t>
      </w:r>
      <w:r w:rsidRPr="00F10A5B">
        <w:rPr>
          <w:rFonts w:cstheme="minorHAnsi"/>
          <w:color w:val="auto"/>
          <w:spacing w:val="-6"/>
        </w:rPr>
        <w:t xml:space="preserve">, sans chevauchement des obligations juridiques </w:t>
      </w:r>
    </w:p>
    <w:p w14:paraId="25EE95CE" w14:textId="77777777" w:rsidR="00347DDA" w:rsidRPr="00F10A5B" w:rsidRDefault="00347DDA" w:rsidP="00347DDA">
      <w:pPr>
        <w:numPr>
          <w:ilvl w:val="0"/>
          <w:numId w:val="45"/>
        </w:numPr>
        <w:spacing w:after="0"/>
        <w:rPr>
          <w:rFonts w:cstheme="minorHAnsi"/>
          <w:color w:val="auto"/>
          <w:spacing w:val="-6"/>
        </w:rPr>
      </w:pPr>
      <w:r w:rsidRPr="00F10A5B">
        <w:rPr>
          <w:rStyle w:val="Strong"/>
          <w:rFonts w:cstheme="minorHAnsi"/>
        </w:rPr>
        <w:t>Accent accru sur un système axé sur les valeurs</w:t>
      </w:r>
      <w:r w:rsidRPr="00F10A5B">
        <w:rPr>
          <w:rFonts w:cstheme="minorHAnsi"/>
          <w:color w:val="auto"/>
        </w:rPr>
        <w:t xml:space="preserve"> plutôt que sur un </w:t>
      </w:r>
      <w:r w:rsidRPr="00F10A5B">
        <w:rPr>
          <w:rFonts w:cstheme="minorHAnsi"/>
          <w:color w:val="auto"/>
          <w:spacing w:val="-6"/>
        </w:rPr>
        <w:t>système axé sur les règles</w:t>
      </w:r>
      <w:r w:rsidRPr="00F10A5B">
        <w:rPr>
          <w:rFonts w:cstheme="minorHAnsi"/>
          <w:b/>
          <w:color w:val="auto"/>
          <w:spacing w:val="-6"/>
        </w:rPr>
        <w:t xml:space="preserve"> </w:t>
      </w:r>
    </w:p>
    <w:p w14:paraId="4CF5B5C9" w14:textId="77777777" w:rsidR="00347DDA" w:rsidRPr="00F10A5B" w:rsidRDefault="00347DDA" w:rsidP="00347DDA">
      <w:pPr>
        <w:numPr>
          <w:ilvl w:val="0"/>
          <w:numId w:val="45"/>
        </w:numPr>
        <w:spacing w:after="0"/>
        <w:rPr>
          <w:rFonts w:cstheme="minorHAnsi"/>
          <w:color w:val="auto"/>
          <w:spacing w:val="-6"/>
        </w:rPr>
      </w:pPr>
      <w:r w:rsidRPr="00F10A5B">
        <w:rPr>
          <w:rFonts w:cstheme="minorHAnsi"/>
          <w:color w:val="auto"/>
          <w:spacing w:val="-6"/>
        </w:rPr>
        <w:t xml:space="preserve">Politique de nomination appuyée par une </w:t>
      </w:r>
      <w:r w:rsidRPr="00F10A5B">
        <w:rPr>
          <w:rStyle w:val="Strong"/>
          <w:rFonts w:cstheme="minorHAnsi"/>
        </w:rPr>
        <w:t>orientation rationalisée</w:t>
      </w:r>
      <w:r w:rsidRPr="00F10A5B">
        <w:rPr>
          <w:rFonts w:cstheme="minorHAnsi"/>
          <w:b/>
          <w:color w:val="auto"/>
          <w:spacing w:val="-6"/>
        </w:rPr>
        <w:t xml:space="preserve"> </w:t>
      </w:r>
      <w:r w:rsidRPr="00F10A5B">
        <w:rPr>
          <w:rFonts w:cstheme="minorHAnsi"/>
          <w:color w:val="auto"/>
          <w:spacing w:val="-6"/>
        </w:rPr>
        <w:t>:</w:t>
      </w:r>
    </w:p>
    <w:p w14:paraId="094BB178" w14:textId="77777777" w:rsidR="00347DDA" w:rsidRPr="00F10A5B" w:rsidRDefault="00347DDA" w:rsidP="00347DDA">
      <w:pPr>
        <w:numPr>
          <w:ilvl w:val="1"/>
          <w:numId w:val="11"/>
        </w:numPr>
        <w:spacing w:after="0"/>
        <w:ind w:left="1508" w:hanging="425"/>
        <w:rPr>
          <w:rFonts w:cstheme="minorHAnsi"/>
          <w:color w:val="auto"/>
          <w:spacing w:val="-6"/>
        </w:rPr>
      </w:pPr>
      <w:r w:rsidRPr="00F10A5B">
        <w:rPr>
          <w:rFonts w:cstheme="minorHAnsi"/>
          <w:color w:val="auto"/>
          <w:spacing w:val="-6"/>
        </w:rPr>
        <w:t>Feuille de route précisant les exigences relatives aux lois, règlements et politiques</w:t>
      </w:r>
    </w:p>
    <w:p w14:paraId="37E40D14" w14:textId="77777777" w:rsidR="00347DDA" w:rsidRPr="00F10A5B" w:rsidRDefault="00347DDA" w:rsidP="00347DDA">
      <w:pPr>
        <w:numPr>
          <w:ilvl w:val="1"/>
          <w:numId w:val="11"/>
        </w:numPr>
        <w:spacing w:after="0"/>
        <w:ind w:left="1508" w:hanging="425"/>
        <w:rPr>
          <w:rFonts w:cstheme="minorHAnsi"/>
          <w:color w:val="auto"/>
          <w:spacing w:val="-6"/>
        </w:rPr>
      </w:pPr>
      <w:r w:rsidRPr="00F10A5B">
        <w:rPr>
          <w:rFonts w:cstheme="minorHAnsi"/>
          <w:color w:val="auto"/>
          <w:spacing w:val="-6"/>
        </w:rPr>
        <w:t>Options et considérations relatives à  la prise de décisions dans les cas où il existe une certaine latitude</w:t>
      </w:r>
    </w:p>
    <w:p w14:paraId="42D692DB" w14:textId="77777777" w:rsidR="00347DDA" w:rsidRPr="00F10A5B" w:rsidRDefault="00347DDA" w:rsidP="00347DDA">
      <w:pPr>
        <w:numPr>
          <w:ilvl w:val="0"/>
          <w:numId w:val="46"/>
        </w:numPr>
        <w:spacing w:after="0"/>
        <w:rPr>
          <w:rFonts w:cstheme="minorHAnsi"/>
          <w:color w:val="auto"/>
          <w:spacing w:val="-6"/>
        </w:rPr>
      </w:pPr>
      <w:r w:rsidRPr="00F10A5B">
        <w:rPr>
          <w:rStyle w:val="Strong"/>
          <w:rFonts w:cstheme="minorHAnsi"/>
        </w:rPr>
        <w:t>Attentes clairement définies</w:t>
      </w:r>
      <w:r w:rsidRPr="00F10A5B">
        <w:rPr>
          <w:rFonts w:cstheme="minorHAnsi"/>
          <w:color w:val="auto"/>
          <w:spacing w:val="-6"/>
        </w:rPr>
        <w:t xml:space="preserve"> quant aux droits de priorité</w:t>
      </w:r>
    </w:p>
    <w:p w14:paraId="3CCCA630" w14:textId="77777777" w:rsidR="00347DDA" w:rsidRPr="00F10A5B" w:rsidRDefault="00347DDA" w:rsidP="00347DDA">
      <w:pPr>
        <w:numPr>
          <w:ilvl w:val="0"/>
          <w:numId w:val="46"/>
        </w:numPr>
        <w:spacing w:after="0"/>
        <w:rPr>
          <w:rFonts w:cstheme="minorHAnsi"/>
          <w:color w:val="auto"/>
          <w:spacing w:val="-6"/>
        </w:rPr>
      </w:pPr>
      <w:r w:rsidRPr="00F10A5B">
        <w:rPr>
          <w:rFonts w:cstheme="minorHAnsi"/>
          <w:color w:val="auto"/>
          <w:spacing w:val="-6"/>
        </w:rPr>
        <w:t>Aucune restriction quant aux méthodes d’évaluation pour la  nomination des cadres de direction (EX)</w:t>
      </w:r>
    </w:p>
    <w:p w14:paraId="121055FC" w14:textId="77777777" w:rsidR="00347DDA" w:rsidRPr="00F10A5B" w:rsidRDefault="00347DDA" w:rsidP="00347DDA">
      <w:pPr>
        <w:numPr>
          <w:ilvl w:val="0"/>
          <w:numId w:val="46"/>
        </w:numPr>
        <w:spacing w:after="240"/>
        <w:rPr>
          <w:rFonts w:cstheme="minorHAnsi"/>
          <w:color w:val="auto"/>
          <w:spacing w:val="-6"/>
        </w:rPr>
      </w:pPr>
      <w:r w:rsidRPr="00F10A5B">
        <w:rPr>
          <w:rFonts w:cstheme="minorHAnsi"/>
          <w:color w:val="auto"/>
          <w:spacing w:val="-6"/>
        </w:rPr>
        <w:t>Exceptions à la zone nationale de sélection approuvées</w:t>
      </w:r>
    </w:p>
    <w:p w14:paraId="17BF5028" w14:textId="77777777" w:rsidR="00347DDA" w:rsidRPr="00F10A5B" w:rsidRDefault="00347DDA" w:rsidP="00347DDA">
      <w:pPr>
        <w:pStyle w:val="Heading3"/>
        <w:spacing w:after="120"/>
        <w:rPr>
          <w:color w:val="auto"/>
        </w:rPr>
      </w:pPr>
      <w:r w:rsidRPr="00F10A5B">
        <w:rPr>
          <w:color w:val="auto"/>
        </w:rPr>
        <w:t>Délégation</w:t>
      </w:r>
    </w:p>
    <w:p w14:paraId="2172DD6F" w14:textId="77777777" w:rsidR="00347DDA" w:rsidRPr="00F10A5B" w:rsidRDefault="00347DDA" w:rsidP="00347DDA">
      <w:pPr>
        <w:pStyle w:val="ListParagraph"/>
        <w:numPr>
          <w:ilvl w:val="0"/>
          <w:numId w:val="47"/>
        </w:numPr>
        <w:spacing w:after="0"/>
        <w:rPr>
          <w:rFonts w:cstheme="minorHAnsi"/>
          <w:color w:val="auto"/>
          <w:spacing w:val="-8"/>
        </w:rPr>
      </w:pPr>
      <w:r w:rsidRPr="00F10A5B">
        <w:rPr>
          <w:rStyle w:val="Strong"/>
          <w:rFonts w:cstheme="minorHAnsi"/>
        </w:rPr>
        <w:t>L’accent est davantage mis sur la capacité d’adapter le système de dotation  de l’organisation</w:t>
      </w:r>
      <w:r w:rsidRPr="00F10A5B">
        <w:rPr>
          <w:rFonts w:cstheme="minorHAnsi"/>
          <w:b/>
          <w:bCs/>
          <w:color w:val="auto"/>
          <w:spacing w:val="-8"/>
        </w:rPr>
        <w:t xml:space="preserve"> </w:t>
      </w:r>
      <w:r w:rsidRPr="00F10A5B">
        <w:rPr>
          <w:rFonts w:cstheme="minorHAnsi"/>
          <w:color w:val="auto"/>
          <w:spacing w:val="-8"/>
        </w:rPr>
        <w:t xml:space="preserve">en fonction du contexte particulier et des besoins opérationnels en évolution </w:t>
      </w:r>
    </w:p>
    <w:p w14:paraId="4EA5A911" w14:textId="77777777" w:rsidR="00347DDA" w:rsidRPr="00F10A5B" w:rsidRDefault="00347DDA" w:rsidP="00347DDA">
      <w:pPr>
        <w:numPr>
          <w:ilvl w:val="0"/>
          <w:numId w:val="47"/>
        </w:numPr>
        <w:spacing w:after="0"/>
        <w:rPr>
          <w:rStyle w:val="Strong"/>
          <w:rFonts w:cstheme="minorHAnsi"/>
        </w:rPr>
      </w:pPr>
      <w:r w:rsidRPr="00F10A5B">
        <w:rPr>
          <w:rFonts w:cstheme="minorHAnsi"/>
          <w:color w:val="auto"/>
          <w:spacing w:val="-8"/>
        </w:rPr>
        <w:t xml:space="preserve">L’administrateur général établit une orientation quant à </w:t>
      </w:r>
      <w:r w:rsidRPr="00F10A5B">
        <w:rPr>
          <w:rStyle w:val="Strong"/>
          <w:rFonts w:cstheme="minorHAnsi"/>
        </w:rPr>
        <w:t xml:space="preserve">l’utilisation des processus de nomination annoncés et non annoncés </w:t>
      </w:r>
    </w:p>
    <w:p w14:paraId="4453BE6D" w14:textId="77777777" w:rsidR="00347DDA" w:rsidRPr="00F10A5B" w:rsidRDefault="00347DDA" w:rsidP="00347DDA">
      <w:pPr>
        <w:numPr>
          <w:ilvl w:val="0"/>
          <w:numId w:val="47"/>
        </w:numPr>
        <w:spacing w:after="0"/>
        <w:rPr>
          <w:rStyle w:val="Strong"/>
          <w:rFonts w:cstheme="minorHAnsi"/>
        </w:rPr>
      </w:pPr>
      <w:r w:rsidRPr="00F10A5B">
        <w:rPr>
          <w:rFonts w:cstheme="minorHAnsi"/>
          <w:color w:val="auto"/>
          <w:spacing w:val="-8"/>
        </w:rPr>
        <w:t xml:space="preserve">L’administrateur général établit les exigences pour les personnes subdéléguées </w:t>
      </w:r>
      <w:r w:rsidRPr="00F10A5B">
        <w:rPr>
          <w:rStyle w:val="Strong"/>
          <w:rFonts w:cstheme="minorHAnsi"/>
        </w:rPr>
        <w:t>de formuler, par écrit, la décision de sélection</w:t>
      </w:r>
    </w:p>
    <w:p w14:paraId="5BBD3FDA" w14:textId="77777777" w:rsidR="00347DDA" w:rsidRPr="00F10A5B" w:rsidRDefault="00347DDA" w:rsidP="00347DDA">
      <w:pPr>
        <w:numPr>
          <w:ilvl w:val="0"/>
          <w:numId w:val="47"/>
        </w:numPr>
        <w:spacing w:after="0"/>
        <w:rPr>
          <w:rFonts w:cstheme="minorHAnsi"/>
          <w:color w:val="auto"/>
          <w:spacing w:val="-8"/>
        </w:rPr>
      </w:pPr>
      <w:r w:rsidRPr="00F10A5B">
        <w:rPr>
          <w:rFonts w:cstheme="minorHAnsi"/>
          <w:color w:val="auto"/>
          <w:spacing w:val="-8"/>
        </w:rPr>
        <w:t>Exigences plus claires concernant les enquêtes</w:t>
      </w:r>
    </w:p>
    <w:p w14:paraId="06476963" w14:textId="77777777" w:rsidR="00347DDA" w:rsidRPr="00F10A5B" w:rsidRDefault="00347DDA" w:rsidP="00347DDA">
      <w:pPr>
        <w:numPr>
          <w:ilvl w:val="0"/>
          <w:numId w:val="47"/>
        </w:numPr>
        <w:spacing w:after="0"/>
        <w:rPr>
          <w:rFonts w:cstheme="minorHAnsi"/>
          <w:color w:val="auto"/>
          <w:spacing w:val="-8"/>
        </w:rPr>
      </w:pPr>
      <w:r w:rsidRPr="00F10A5B">
        <w:rPr>
          <w:rStyle w:val="Strong"/>
          <w:rFonts w:cstheme="minorHAnsi"/>
        </w:rPr>
        <w:t>Formulaire d’attestation</w:t>
      </w:r>
      <w:r w:rsidRPr="00F10A5B">
        <w:rPr>
          <w:rFonts w:cstheme="minorHAnsi"/>
          <w:color w:val="auto"/>
          <w:spacing w:val="-8"/>
        </w:rPr>
        <w:t xml:space="preserve"> réitérant les responsabilités des personnes subdéléguées</w:t>
      </w:r>
    </w:p>
    <w:p w14:paraId="7CA2B09C" w14:textId="77777777" w:rsidR="00347DDA" w:rsidRPr="00F10A5B" w:rsidRDefault="00347DDA" w:rsidP="00347DDA">
      <w:pPr>
        <w:ind w:right="-202"/>
        <w:rPr>
          <w:rFonts w:cstheme="minorHAnsi"/>
          <w:color w:val="auto"/>
          <w:spacing w:val="-8"/>
        </w:rPr>
      </w:pPr>
      <w:r w:rsidRPr="00F10A5B">
        <w:rPr>
          <w:rFonts w:cstheme="minorHAnsi"/>
          <w:color w:val="auto"/>
          <w:spacing w:val="-8"/>
        </w:rPr>
        <w:t>Toutes les exigences de la CFP en matière de surveillance et de présentation de rapports figurent maintenant dans l’Instrument de délégation et de responsabilisation en matière de nomination</w:t>
      </w:r>
    </w:p>
    <w:p w14:paraId="085E52FA" w14:textId="77777777" w:rsidR="00347DDA" w:rsidRPr="00F10A5B" w:rsidRDefault="00347DDA" w:rsidP="00347DDA">
      <w:pPr>
        <w:pStyle w:val="Heading3"/>
        <w:spacing w:after="120"/>
        <w:rPr>
          <w:color w:val="auto"/>
        </w:rPr>
      </w:pPr>
      <w:r w:rsidRPr="00F10A5B">
        <w:rPr>
          <w:color w:val="auto"/>
        </w:rPr>
        <w:br w:type="page"/>
      </w:r>
    </w:p>
    <w:p w14:paraId="25A1EF81" w14:textId="77777777" w:rsidR="00347DDA" w:rsidRPr="00F10A5B" w:rsidRDefault="00347DDA" w:rsidP="00347DDA">
      <w:pPr>
        <w:pStyle w:val="Heading3"/>
        <w:spacing w:after="120"/>
        <w:rPr>
          <w:color w:val="auto"/>
        </w:rPr>
      </w:pPr>
      <w:r w:rsidRPr="00F10A5B">
        <w:rPr>
          <w:color w:val="auto"/>
        </w:rPr>
        <w:lastRenderedPageBreak/>
        <w:t>Surveillance et rapports</w:t>
      </w:r>
    </w:p>
    <w:p w14:paraId="506DE18F" w14:textId="77777777" w:rsidR="00347DDA" w:rsidRPr="00F10A5B" w:rsidRDefault="00347DDA" w:rsidP="00347DDA">
      <w:pPr>
        <w:spacing w:after="120"/>
        <w:rPr>
          <w:rFonts w:cstheme="minorHAnsi"/>
          <w:color w:val="auto"/>
          <w:highlight w:val="yellow"/>
        </w:rPr>
      </w:pPr>
      <w:r w:rsidRPr="00F10A5B">
        <w:rPr>
          <w:rStyle w:val="Strong"/>
          <w:rFonts w:cstheme="minorHAnsi"/>
        </w:rPr>
        <w:t>La surveillance est établie par les organisations</w:t>
      </w:r>
      <w:r w:rsidRPr="00F10A5B">
        <w:rPr>
          <w:rFonts w:cstheme="minorHAnsi"/>
          <w:color w:val="auto"/>
        </w:rPr>
        <w:t>, ciblée à leurs besoins</w:t>
      </w:r>
    </w:p>
    <w:p w14:paraId="2272FF8C" w14:textId="77777777" w:rsidR="00347DDA" w:rsidRPr="00F10A5B" w:rsidRDefault="00347DDA" w:rsidP="00347DDA">
      <w:pPr>
        <w:pStyle w:val="ListParagraph"/>
        <w:keepLines w:val="0"/>
        <w:numPr>
          <w:ilvl w:val="0"/>
          <w:numId w:val="48"/>
        </w:numPr>
        <w:spacing w:after="0" w:line="240" w:lineRule="auto"/>
        <w:contextualSpacing w:val="0"/>
        <w:rPr>
          <w:rFonts w:cstheme="minorHAnsi"/>
          <w:color w:val="auto"/>
        </w:rPr>
      </w:pPr>
      <w:r w:rsidRPr="00F10A5B">
        <w:rPr>
          <w:rFonts w:cstheme="minorHAnsi"/>
          <w:color w:val="auto"/>
        </w:rPr>
        <w:t>Le Rapport ministériel sur l’obligation de rendre compte en dotation n’est plus requis</w:t>
      </w:r>
    </w:p>
    <w:p w14:paraId="30C2541C" w14:textId="77777777" w:rsidR="00347DDA" w:rsidRPr="00F10A5B" w:rsidRDefault="00347DDA" w:rsidP="00347DDA">
      <w:pPr>
        <w:pStyle w:val="ListParagraph"/>
        <w:keepLines w:val="0"/>
        <w:numPr>
          <w:ilvl w:val="0"/>
          <w:numId w:val="48"/>
        </w:numPr>
        <w:spacing w:after="0" w:line="240" w:lineRule="auto"/>
        <w:contextualSpacing w:val="0"/>
        <w:rPr>
          <w:rFonts w:cstheme="minorHAnsi"/>
          <w:color w:val="auto"/>
        </w:rPr>
      </w:pPr>
      <w:r w:rsidRPr="00F10A5B">
        <w:rPr>
          <w:rStyle w:val="Strong"/>
          <w:rFonts w:cstheme="minorHAnsi"/>
        </w:rPr>
        <w:t>Le rapport annuel à la CFP portera seulement</w:t>
      </w:r>
      <w:r w:rsidRPr="00F10A5B">
        <w:rPr>
          <w:rFonts w:cstheme="minorHAnsi"/>
          <w:color w:val="auto"/>
        </w:rPr>
        <w:t xml:space="preserve"> sur :</w:t>
      </w:r>
    </w:p>
    <w:p w14:paraId="2A217D21" w14:textId="77777777" w:rsidR="00347DDA" w:rsidRPr="00F10A5B" w:rsidRDefault="00347DDA" w:rsidP="00347DDA">
      <w:pPr>
        <w:pStyle w:val="ListParagraph"/>
        <w:keepLines w:val="0"/>
        <w:numPr>
          <w:ilvl w:val="0"/>
          <w:numId w:val="42"/>
        </w:numPr>
        <w:spacing w:after="0" w:line="240" w:lineRule="auto"/>
        <w:contextualSpacing w:val="0"/>
        <w:rPr>
          <w:rFonts w:cstheme="minorHAnsi"/>
          <w:color w:val="auto"/>
        </w:rPr>
      </w:pPr>
      <w:r w:rsidRPr="00F10A5B">
        <w:rPr>
          <w:rFonts w:cstheme="minorHAnsi"/>
          <w:color w:val="auto"/>
        </w:rPr>
        <w:t>l’utilisation du Décret d’exemption concernant les langues officielles dans la fonction publique</w:t>
      </w:r>
    </w:p>
    <w:p w14:paraId="61CA355A" w14:textId="77777777" w:rsidR="00347DDA" w:rsidRPr="00F10A5B" w:rsidRDefault="00347DDA" w:rsidP="00347DDA">
      <w:pPr>
        <w:pStyle w:val="ListParagraph"/>
        <w:keepLines w:val="0"/>
        <w:numPr>
          <w:ilvl w:val="0"/>
          <w:numId w:val="42"/>
        </w:numPr>
        <w:spacing w:after="0" w:line="240" w:lineRule="auto"/>
        <w:contextualSpacing w:val="0"/>
        <w:rPr>
          <w:rFonts w:cstheme="minorHAnsi"/>
          <w:color w:val="auto"/>
        </w:rPr>
      </w:pPr>
      <w:r w:rsidRPr="00F10A5B">
        <w:rPr>
          <w:rFonts w:cstheme="minorHAnsi"/>
          <w:color w:val="auto"/>
        </w:rPr>
        <w:t>les exceptions à la zone nationale de sélection approuvée par l’administrateur général</w:t>
      </w:r>
    </w:p>
    <w:p w14:paraId="256D99C9" w14:textId="77777777" w:rsidR="00347DDA" w:rsidRPr="00F10A5B" w:rsidRDefault="00347DDA" w:rsidP="00347DDA">
      <w:pPr>
        <w:pStyle w:val="ListParagraph"/>
        <w:keepLines w:val="0"/>
        <w:numPr>
          <w:ilvl w:val="0"/>
          <w:numId w:val="42"/>
        </w:numPr>
        <w:spacing w:after="0" w:line="240" w:lineRule="auto"/>
        <w:contextualSpacing w:val="0"/>
        <w:rPr>
          <w:rFonts w:cstheme="minorHAnsi"/>
          <w:color w:val="auto"/>
        </w:rPr>
      </w:pPr>
      <w:r w:rsidRPr="00F10A5B">
        <w:rPr>
          <w:rFonts w:cstheme="minorHAnsi"/>
          <w:color w:val="auto"/>
        </w:rPr>
        <w:t xml:space="preserve">les résultats de toutes enquêtes internes </w:t>
      </w:r>
    </w:p>
    <w:p w14:paraId="78B1708F" w14:textId="77777777" w:rsidR="00347DDA" w:rsidRPr="00F10A5B" w:rsidRDefault="00347DDA" w:rsidP="00347DDA">
      <w:pPr>
        <w:pStyle w:val="ListParagraph"/>
        <w:keepLines w:val="0"/>
        <w:numPr>
          <w:ilvl w:val="0"/>
          <w:numId w:val="42"/>
        </w:numPr>
        <w:spacing w:after="0" w:line="240" w:lineRule="auto"/>
        <w:contextualSpacing w:val="0"/>
        <w:rPr>
          <w:rFonts w:cstheme="minorHAnsi"/>
          <w:color w:val="auto"/>
        </w:rPr>
      </w:pPr>
      <w:r w:rsidRPr="00F10A5B">
        <w:rPr>
          <w:rFonts w:cstheme="minorHAnsi"/>
          <w:color w:val="auto"/>
        </w:rPr>
        <w:t>les mesures prises à la suite de toutes enquêtes ou vérifications menées par la CFP</w:t>
      </w:r>
    </w:p>
    <w:p w14:paraId="4A381529" w14:textId="77777777" w:rsidR="00347DDA" w:rsidRPr="00F10A5B" w:rsidRDefault="00347DDA" w:rsidP="00347DDA">
      <w:pPr>
        <w:pStyle w:val="ListParagraph"/>
        <w:keepLines w:val="0"/>
        <w:numPr>
          <w:ilvl w:val="0"/>
          <w:numId w:val="43"/>
        </w:numPr>
        <w:spacing w:after="0" w:line="240" w:lineRule="auto"/>
        <w:contextualSpacing w:val="0"/>
        <w:rPr>
          <w:rFonts w:cstheme="minorHAnsi"/>
          <w:color w:val="auto"/>
        </w:rPr>
      </w:pPr>
      <w:r w:rsidRPr="00F10A5B">
        <w:rPr>
          <w:rFonts w:cstheme="minorHAnsi"/>
          <w:color w:val="auto"/>
        </w:rPr>
        <w:t xml:space="preserve">L’administrateur général est responsable </w:t>
      </w:r>
      <w:r w:rsidRPr="00F10A5B">
        <w:rPr>
          <w:rStyle w:val="Strong"/>
          <w:rFonts w:cstheme="minorHAnsi"/>
        </w:rPr>
        <w:t>de la surveillance continue du système de dotation</w:t>
      </w:r>
      <w:r w:rsidRPr="00F10A5B">
        <w:rPr>
          <w:rFonts w:cstheme="minorHAnsi"/>
          <w:color w:val="auto"/>
        </w:rPr>
        <w:t xml:space="preserve"> de l’organisation en fonction de son contexte particulier</w:t>
      </w:r>
    </w:p>
    <w:p w14:paraId="64909F6F" w14:textId="77777777" w:rsidR="00347DDA" w:rsidRPr="00F10A5B" w:rsidRDefault="00347DDA" w:rsidP="00347DDA">
      <w:pPr>
        <w:pStyle w:val="ListParagraph"/>
        <w:keepLines w:val="0"/>
        <w:numPr>
          <w:ilvl w:val="0"/>
          <w:numId w:val="44"/>
        </w:numPr>
        <w:spacing w:line="240" w:lineRule="auto"/>
        <w:contextualSpacing w:val="0"/>
        <w:rPr>
          <w:rFonts w:cstheme="minorHAnsi"/>
          <w:color w:val="auto"/>
        </w:rPr>
      </w:pPr>
      <w:r w:rsidRPr="00F10A5B">
        <w:rPr>
          <w:rStyle w:val="Strong"/>
          <w:rFonts w:cstheme="minorHAnsi"/>
        </w:rPr>
        <w:t>examen de la conformité aux exigences</w:t>
      </w:r>
      <w:r w:rsidRPr="00F10A5B">
        <w:rPr>
          <w:rFonts w:cstheme="minorHAnsi"/>
          <w:color w:val="auto"/>
        </w:rPr>
        <w:t>, fondé sur les risques spécifiques de l’organisation, au moins une fois tous les cinq ans</w:t>
      </w:r>
    </w:p>
    <w:p w14:paraId="1B41417D" w14:textId="77777777" w:rsidR="00347DDA" w:rsidRPr="00F10A5B" w:rsidRDefault="00347DDA" w:rsidP="00347DDA">
      <w:pPr>
        <w:pStyle w:val="Heading3"/>
        <w:spacing w:after="120"/>
        <w:rPr>
          <w:color w:val="auto"/>
        </w:rPr>
      </w:pPr>
      <w:r w:rsidRPr="00F10A5B">
        <w:rPr>
          <w:color w:val="auto"/>
        </w:rPr>
        <w:t>Surveillance de la CFP</w:t>
      </w:r>
    </w:p>
    <w:p w14:paraId="317A1BEC" w14:textId="77777777" w:rsidR="00347DDA" w:rsidRPr="00F10A5B" w:rsidRDefault="00347DDA" w:rsidP="00347DDA">
      <w:pPr>
        <w:spacing w:after="120"/>
        <w:rPr>
          <w:rFonts w:cstheme="minorHAnsi"/>
          <w:color w:val="auto"/>
        </w:rPr>
      </w:pPr>
      <w:r w:rsidRPr="00F10A5B">
        <w:rPr>
          <w:rFonts w:cstheme="minorHAnsi"/>
          <w:color w:val="auto"/>
        </w:rPr>
        <w:t>Axée sur l’ensemble du système</w:t>
      </w:r>
    </w:p>
    <w:p w14:paraId="348DF976" w14:textId="77777777" w:rsidR="00347DDA" w:rsidRPr="00F10A5B" w:rsidRDefault="00347DDA" w:rsidP="00347DDA">
      <w:pPr>
        <w:pStyle w:val="ListParagraph"/>
        <w:keepLines w:val="0"/>
        <w:numPr>
          <w:ilvl w:val="0"/>
          <w:numId w:val="49"/>
        </w:numPr>
        <w:spacing w:after="0" w:line="240" w:lineRule="auto"/>
        <w:ind w:left="723"/>
        <w:contextualSpacing w:val="0"/>
        <w:rPr>
          <w:rStyle w:val="Strong"/>
          <w:rFonts w:cstheme="minorHAnsi"/>
        </w:rPr>
      </w:pPr>
      <w:r w:rsidRPr="00F10A5B">
        <w:rPr>
          <w:rStyle w:val="Strong"/>
          <w:rFonts w:cstheme="minorHAnsi"/>
        </w:rPr>
        <w:t xml:space="preserve">Vérification de la conformité pangouvernementale tous les deux ans </w:t>
      </w:r>
    </w:p>
    <w:p w14:paraId="45A7FDB5" w14:textId="77777777" w:rsidR="00347DDA" w:rsidRPr="00F10A5B" w:rsidRDefault="00347DDA" w:rsidP="00347DDA">
      <w:pPr>
        <w:pStyle w:val="ListParagraph"/>
        <w:keepLines w:val="0"/>
        <w:numPr>
          <w:ilvl w:val="0"/>
          <w:numId w:val="49"/>
        </w:numPr>
        <w:spacing w:after="0" w:line="240" w:lineRule="auto"/>
        <w:ind w:left="723"/>
        <w:contextualSpacing w:val="0"/>
        <w:rPr>
          <w:rFonts w:cstheme="minorHAnsi"/>
          <w:color w:val="auto"/>
        </w:rPr>
      </w:pPr>
      <w:r w:rsidRPr="00F10A5B">
        <w:rPr>
          <w:rStyle w:val="Strong"/>
          <w:rFonts w:cstheme="minorHAnsi"/>
        </w:rPr>
        <w:t>Nouveau Sondage sur la dotation</w:t>
      </w:r>
      <w:r w:rsidRPr="00F10A5B">
        <w:rPr>
          <w:rFonts w:cstheme="minorHAnsi"/>
          <w:color w:val="auto"/>
        </w:rPr>
        <w:t xml:space="preserve"> administré en alternance avec la vérification pangouvernementale</w:t>
      </w:r>
    </w:p>
    <w:p w14:paraId="58BCDA6D" w14:textId="77777777" w:rsidR="00347DDA" w:rsidRPr="00F10A5B" w:rsidRDefault="00347DDA" w:rsidP="00347DDA">
      <w:pPr>
        <w:pStyle w:val="ListParagraph"/>
        <w:keepLines w:val="0"/>
        <w:numPr>
          <w:ilvl w:val="0"/>
          <w:numId w:val="49"/>
        </w:numPr>
        <w:spacing w:after="0" w:line="240" w:lineRule="auto"/>
        <w:ind w:left="723"/>
        <w:contextualSpacing w:val="0"/>
        <w:rPr>
          <w:rFonts w:cstheme="minorHAnsi"/>
          <w:color w:val="auto"/>
        </w:rPr>
      </w:pPr>
      <w:r w:rsidRPr="00F10A5B">
        <w:rPr>
          <w:rStyle w:val="Strong"/>
          <w:rFonts w:cstheme="minorHAnsi"/>
        </w:rPr>
        <w:t>Examens de l’efficacité et de l’efficience de l’ensemble du système</w:t>
      </w:r>
      <w:r w:rsidRPr="00F10A5B">
        <w:rPr>
          <w:rFonts w:cstheme="minorHAnsi"/>
          <w:color w:val="auto"/>
        </w:rPr>
        <w:t xml:space="preserve"> pour appuyer l’amélioration continue</w:t>
      </w:r>
    </w:p>
    <w:p w14:paraId="601460FC" w14:textId="77777777" w:rsidR="00347DDA" w:rsidRPr="00F10A5B" w:rsidRDefault="00347DDA" w:rsidP="00347DDA">
      <w:pPr>
        <w:pStyle w:val="ListParagraph"/>
        <w:keepLines w:val="0"/>
        <w:numPr>
          <w:ilvl w:val="0"/>
          <w:numId w:val="49"/>
        </w:numPr>
        <w:spacing w:after="0" w:line="240" w:lineRule="auto"/>
        <w:ind w:left="723"/>
        <w:contextualSpacing w:val="0"/>
        <w:rPr>
          <w:rFonts w:cstheme="minorHAnsi"/>
          <w:color w:val="auto"/>
        </w:rPr>
      </w:pPr>
      <w:r w:rsidRPr="00F10A5B">
        <w:rPr>
          <w:rStyle w:val="Strong"/>
          <w:rFonts w:cstheme="minorHAnsi"/>
        </w:rPr>
        <w:t>Vérifications ciblées de la CFP</w:t>
      </w:r>
      <w:r w:rsidRPr="00F10A5B">
        <w:rPr>
          <w:rFonts w:cstheme="minorHAnsi"/>
          <w:color w:val="auto"/>
        </w:rPr>
        <w:t xml:space="preserve"> suite aux risques pangouvernementaux ou organisationnels identifiés, ou à la demande de l’administrateur général </w:t>
      </w:r>
    </w:p>
    <w:p w14:paraId="08D99824" w14:textId="77777777" w:rsidR="00347DDA" w:rsidRPr="00F10A5B" w:rsidRDefault="00347DDA" w:rsidP="00347DDA">
      <w:pPr>
        <w:pStyle w:val="ListParagraph"/>
        <w:keepLines w:val="0"/>
        <w:numPr>
          <w:ilvl w:val="0"/>
          <w:numId w:val="49"/>
        </w:numPr>
        <w:spacing w:line="240" w:lineRule="auto"/>
        <w:ind w:left="723"/>
        <w:contextualSpacing w:val="0"/>
        <w:rPr>
          <w:rFonts w:cstheme="minorHAnsi"/>
          <w:color w:val="auto"/>
        </w:rPr>
      </w:pPr>
      <w:r w:rsidRPr="00F10A5B">
        <w:rPr>
          <w:rStyle w:val="Strong"/>
          <w:rFonts w:cstheme="minorHAnsi"/>
        </w:rPr>
        <w:t>Enquêtes menées</w:t>
      </w:r>
      <w:r w:rsidRPr="00F10A5B">
        <w:rPr>
          <w:rFonts w:cstheme="minorHAnsi"/>
          <w:color w:val="auto"/>
        </w:rPr>
        <w:t xml:space="preserve"> lorsqu’il y a lieu de croire  qu’il pourrait y avoir ingérence politique, fraude ou conduite irrégulière dans le cadre d’un  processus de nomination</w:t>
      </w:r>
    </w:p>
    <w:p w14:paraId="1EAE4278" w14:textId="77777777" w:rsidR="00347DDA" w:rsidRPr="00F10A5B" w:rsidRDefault="00347DDA" w:rsidP="00347DDA">
      <w:pPr>
        <w:rPr>
          <w:color w:val="auto"/>
        </w:rPr>
      </w:pPr>
      <w:r w:rsidRPr="00F10A5B">
        <w:rPr>
          <w:color w:val="auto"/>
        </w:rPr>
        <w:t xml:space="preserve">Ce document doit être lu conjointement avec la </w:t>
      </w:r>
      <w:r w:rsidRPr="00F10A5B">
        <w:rPr>
          <w:rStyle w:val="Emphasis"/>
          <w:i/>
        </w:rPr>
        <w:t>Loi sur l’emploi dans la fonction publique</w:t>
      </w:r>
      <w:r w:rsidRPr="00F10A5B">
        <w:rPr>
          <w:color w:val="auto"/>
        </w:rPr>
        <w:t xml:space="preserve">, le </w:t>
      </w:r>
      <w:r w:rsidRPr="00F10A5B">
        <w:rPr>
          <w:rStyle w:val="Emphasis"/>
          <w:i/>
        </w:rPr>
        <w:t>Règlement sur l'emploi dans la fonction publique</w:t>
      </w:r>
      <w:r w:rsidRPr="00F10A5B">
        <w:rPr>
          <w:color w:val="auto"/>
        </w:rPr>
        <w:t>, la ligne directrice en matière de nomination de la CFP ainsi que l’Instrument de délégation et de responsabilisation en matière de nomination de la CFP</w:t>
      </w:r>
    </w:p>
    <w:p w14:paraId="1E38C193" w14:textId="77777777" w:rsidR="00347DDA" w:rsidRPr="00F10A5B" w:rsidRDefault="00347DDA" w:rsidP="00347DDA">
      <w:pPr>
        <w:rPr>
          <w:color w:val="auto"/>
        </w:rPr>
        <w:sectPr w:rsidR="00347DDA" w:rsidRPr="00F10A5B" w:rsidSect="00E54C20">
          <w:headerReference w:type="default" r:id="rId13"/>
          <w:footerReference w:type="even" r:id="rId14"/>
          <w:headerReference w:type="first" r:id="rId15"/>
          <w:footerReference w:type="first" r:id="rId16"/>
          <w:pgSz w:w="12240" w:h="15840"/>
          <w:pgMar w:top="1440" w:right="1440" w:bottom="1440" w:left="1440" w:header="709" w:footer="709" w:gutter="0"/>
          <w:cols w:space="708"/>
          <w:titlePg/>
          <w:docGrid w:linePitch="360"/>
        </w:sectPr>
      </w:pPr>
    </w:p>
    <w:p w14:paraId="7D7F9B29" w14:textId="5BF88566" w:rsidR="00905E5B" w:rsidRPr="00C33D4C" w:rsidRDefault="00905E5B" w:rsidP="00905E5B">
      <w:pPr>
        <w:pStyle w:val="Heading3"/>
        <w:jc w:val="right"/>
        <w:rPr>
          <w:noProof/>
          <w:color w:val="auto"/>
          <w:lang w:eastAsia="en-CA"/>
        </w:rPr>
      </w:pPr>
      <w:bookmarkStart w:id="1" w:name="Annexe_B"/>
      <w:r w:rsidRPr="00C33D4C">
        <w:rPr>
          <w:noProof/>
          <w:color w:val="auto"/>
          <w:lang w:eastAsia="en-CA"/>
        </w:rPr>
        <w:lastRenderedPageBreak/>
        <w:t>Annexe B</w:t>
      </w:r>
    </w:p>
    <w:bookmarkEnd w:id="1"/>
    <w:p w14:paraId="000A9CB9" w14:textId="77777777" w:rsidR="00972773" w:rsidRPr="00C33D4C" w:rsidRDefault="00972773" w:rsidP="00972773">
      <w:pPr>
        <w:pStyle w:val="Heading1"/>
        <w:spacing w:before="120" w:after="120"/>
        <w:rPr>
          <w:rFonts w:cstheme="majorHAnsi"/>
          <w:noProof/>
          <w:color w:val="auto"/>
          <w:sz w:val="40"/>
          <w:lang w:eastAsia="en-CA"/>
        </w:rPr>
      </w:pPr>
      <w:r w:rsidRPr="00C33D4C">
        <w:rPr>
          <w:rFonts w:cstheme="majorHAnsi"/>
          <w:noProof/>
          <w:color w:val="auto"/>
          <w:sz w:val="40"/>
          <w:lang w:eastAsia="en-CA"/>
        </w:rPr>
        <w:t>Population selon la durée d'emploi au 31 mars 2020</w:t>
      </w:r>
    </w:p>
    <w:p w14:paraId="5E0A1727" w14:textId="77777777" w:rsidR="00972773" w:rsidRPr="00F10A5B" w:rsidRDefault="009B50EA" w:rsidP="00C33D4C">
      <w:pPr>
        <w:keepNext/>
        <w:tabs>
          <w:tab w:val="left" w:pos="7839"/>
        </w:tabs>
        <w:spacing w:after="0"/>
        <w:jc w:val="center"/>
      </w:pPr>
      <w:r w:rsidRPr="00F10A5B">
        <w:rPr>
          <w:noProof/>
          <w:lang w:eastAsia="en-CA"/>
        </w:rPr>
        <w:drawing>
          <wp:inline distT="0" distB="0" distL="0" distR="0" wp14:anchorId="10FEDA60" wp14:editId="1E8F6131">
            <wp:extent cx="5648400" cy="3049200"/>
            <wp:effectExtent l="0" t="0" r="9525" b="18415"/>
            <wp:docPr id="13" name="Chart 13" descr="Population selon la durée d'emploi au 31 mars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7F417C" w14:textId="05A6E8A7" w:rsidR="007F7488" w:rsidRPr="00C33D4C" w:rsidRDefault="00972773" w:rsidP="00267136">
      <w:pPr>
        <w:pStyle w:val="Caption"/>
        <w:spacing w:after="0"/>
        <w:jc w:val="center"/>
        <w:rPr>
          <w:i w:val="0"/>
          <w:noProof/>
          <w:color w:val="auto"/>
          <w:lang w:eastAsia="en-CA"/>
        </w:rPr>
      </w:pPr>
      <w:r w:rsidRPr="00C33D4C">
        <w:rPr>
          <w:i w:val="0"/>
          <w:color w:val="auto"/>
        </w:rPr>
        <w:t xml:space="preserve">Figure </w:t>
      </w:r>
      <w:r w:rsidRPr="00C33D4C">
        <w:rPr>
          <w:i w:val="0"/>
          <w:color w:val="auto"/>
        </w:rPr>
        <w:fldChar w:fldCharType="begin"/>
      </w:r>
      <w:r w:rsidRPr="00C33D4C">
        <w:rPr>
          <w:i w:val="0"/>
          <w:color w:val="auto"/>
        </w:rPr>
        <w:instrText xml:space="preserve"> SEQ Figure \* ARABIC </w:instrText>
      </w:r>
      <w:r w:rsidRPr="00C33D4C">
        <w:rPr>
          <w:i w:val="0"/>
          <w:color w:val="auto"/>
        </w:rPr>
        <w:fldChar w:fldCharType="separate"/>
      </w:r>
      <w:r w:rsidR="00E5173D" w:rsidRPr="00C33D4C">
        <w:rPr>
          <w:i w:val="0"/>
          <w:noProof/>
          <w:color w:val="auto"/>
        </w:rPr>
        <w:t>1</w:t>
      </w:r>
      <w:r w:rsidRPr="00C33D4C">
        <w:rPr>
          <w:i w:val="0"/>
          <w:color w:val="auto"/>
        </w:rPr>
        <w:fldChar w:fldCharType="end"/>
      </w:r>
      <w:r w:rsidRPr="00C33D4C">
        <w:rPr>
          <w:i w:val="0"/>
          <w:color w:val="auto"/>
        </w:rPr>
        <w:t xml:space="preserve"> - Population selon la durée d'emploi au 31 mars 2020</w:t>
      </w:r>
    </w:p>
    <w:p w14:paraId="0045FDE3" w14:textId="0BC29D74" w:rsidR="00267136" w:rsidRPr="00C33D4C" w:rsidRDefault="00267136" w:rsidP="00267136">
      <w:pPr>
        <w:pStyle w:val="Caption"/>
        <w:keepNext/>
        <w:spacing w:before="240" w:after="0"/>
        <w:jc w:val="center"/>
        <w:rPr>
          <w:i w:val="0"/>
          <w:color w:val="auto"/>
        </w:rPr>
      </w:pPr>
      <w:r w:rsidRPr="00C33D4C">
        <w:rPr>
          <w:i w:val="0"/>
          <w:color w:val="auto"/>
        </w:rPr>
        <w:t xml:space="preserve">Table </w:t>
      </w:r>
      <w:r w:rsidRPr="00C33D4C">
        <w:rPr>
          <w:i w:val="0"/>
          <w:color w:val="auto"/>
        </w:rPr>
        <w:fldChar w:fldCharType="begin"/>
      </w:r>
      <w:r w:rsidRPr="00C33D4C">
        <w:rPr>
          <w:i w:val="0"/>
          <w:color w:val="auto"/>
        </w:rPr>
        <w:instrText xml:space="preserve"> SEQ Table \* ARABIC </w:instrText>
      </w:r>
      <w:r w:rsidRPr="00C33D4C">
        <w:rPr>
          <w:i w:val="0"/>
          <w:color w:val="auto"/>
        </w:rPr>
        <w:fldChar w:fldCharType="separate"/>
      </w:r>
      <w:r w:rsidR="007B3B19" w:rsidRPr="00C33D4C">
        <w:rPr>
          <w:i w:val="0"/>
          <w:noProof/>
          <w:color w:val="auto"/>
        </w:rPr>
        <w:t>4</w:t>
      </w:r>
      <w:r w:rsidRPr="00C33D4C">
        <w:rPr>
          <w:i w:val="0"/>
          <w:color w:val="auto"/>
        </w:rPr>
        <w:fldChar w:fldCharType="end"/>
      </w:r>
      <w:r w:rsidRPr="00C33D4C">
        <w:rPr>
          <w:i w:val="0"/>
          <w:color w:val="auto"/>
        </w:rPr>
        <w:t xml:space="preserve"> - Effectif régi par la </w:t>
      </w:r>
      <w:r w:rsidRPr="00C33D4C">
        <w:rPr>
          <w:rStyle w:val="Emphasis"/>
          <w:sz w:val="18"/>
        </w:rPr>
        <w:t>Loi sur l’emploi dans la fonction publique</w:t>
      </w:r>
      <w:r w:rsidRPr="00C33D4C">
        <w:rPr>
          <w:i w:val="0"/>
          <w:color w:val="auto"/>
        </w:rPr>
        <w:t xml:space="preserve"> au 31 mars selon la durée d’emploi</w:t>
      </w:r>
    </w:p>
    <w:tbl>
      <w:tblPr>
        <w:tblStyle w:val="TableGrid"/>
        <w:tblW w:w="5000" w:type="pct"/>
        <w:jc w:val="center"/>
        <w:tblLook w:val="0020" w:firstRow="1" w:lastRow="0" w:firstColumn="0" w:lastColumn="0" w:noHBand="0" w:noVBand="0"/>
        <w:tblDescription w:val="Effectif selon la durée d’emploi au 31 mars 2015 à 2020"/>
      </w:tblPr>
      <w:tblGrid>
        <w:gridCol w:w="2120"/>
        <w:gridCol w:w="2412"/>
        <w:gridCol w:w="2550"/>
        <w:gridCol w:w="2835"/>
        <w:gridCol w:w="2412"/>
        <w:gridCol w:w="2061"/>
      </w:tblGrid>
      <w:tr w:rsidR="00267136" w:rsidRPr="00F10A5B" w14:paraId="3FB81E5E" w14:textId="77777777" w:rsidTr="00FB62DB">
        <w:trPr>
          <w:cantSplit/>
          <w:trHeight w:val="290"/>
          <w:tblHeader/>
          <w:jc w:val="center"/>
        </w:trPr>
        <w:tc>
          <w:tcPr>
            <w:tcW w:w="737" w:type="pct"/>
          </w:tcPr>
          <w:p w14:paraId="01A742BB" w14:textId="77777777" w:rsidR="007F7488" w:rsidRPr="00F10A5B" w:rsidRDefault="007F7488" w:rsidP="00267136">
            <w:pPr>
              <w:pStyle w:val="TableTitle"/>
              <w:rPr>
                <w:rFonts w:cs="Segoe UI Semibold"/>
              </w:rPr>
            </w:pPr>
            <w:r w:rsidRPr="00F10A5B">
              <w:rPr>
                <w:rFonts w:cs="Segoe UI Semibold"/>
              </w:rPr>
              <w:t xml:space="preserve"> Année</w:t>
            </w:r>
          </w:p>
        </w:tc>
        <w:tc>
          <w:tcPr>
            <w:tcW w:w="838" w:type="pct"/>
          </w:tcPr>
          <w:p w14:paraId="08B7C027" w14:textId="77777777" w:rsidR="007F7488" w:rsidRPr="00F10A5B" w:rsidRDefault="007F7488" w:rsidP="00267136">
            <w:pPr>
              <w:pStyle w:val="TableTitle"/>
              <w:rPr>
                <w:rFonts w:cs="Segoe UI Semibold"/>
              </w:rPr>
            </w:pPr>
            <w:r w:rsidRPr="00F10A5B">
              <w:rPr>
                <w:rFonts w:cs="Segoe UI Semibold"/>
              </w:rPr>
              <w:t>Indéterminée</w:t>
            </w:r>
          </w:p>
        </w:tc>
        <w:tc>
          <w:tcPr>
            <w:tcW w:w="886" w:type="pct"/>
          </w:tcPr>
          <w:p w14:paraId="0C533ED6" w14:textId="77777777" w:rsidR="007F7488" w:rsidRPr="00F10A5B" w:rsidRDefault="007F7488" w:rsidP="00267136">
            <w:pPr>
              <w:pStyle w:val="TableTitle"/>
              <w:rPr>
                <w:rFonts w:cs="Segoe UI Semibold"/>
              </w:rPr>
            </w:pPr>
            <w:r w:rsidRPr="00F10A5B">
              <w:rPr>
                <w:rFonts w:cs="Segoe UI Semibold"/>
              </w:rPr>
              <w:t>Déterminée</w:t>
            </w:r>
          </w:p>
        </w:tc>
        <w:tc>
          <w:tcPr>
            <w:tcW w:w="985" w:type="pct"/>
          </w:tcPr>
          <w:p w14:paraId="709E4C3A" w14:textId="77777777" w:rsidR="007F7488" w:rsidRPr="00F10A5B" w:rsidRDefault="007F7488" w:rsidP="00267136">
            <w:pPr>
              <w:pStyle w:val="TableTitle"/>
              <w:rPr>
                <w:rFonts w:cs="Segoe UI Semibold"/>
              </w:rPr>
            </w:pPr>
            <w:r w:rsidRPr="00F10A5B">
              <w:rPr>
                <w:rFonts w:cs="Segoe UI Semibold"/>
              </w:rPr>
              <w:t>Occasionnels</w:t>
            </w:r>
          </w:p>
        </w:tc>
        <w:tc>
          <w:tcPr>
            <w:tcW w:w="838" w:type="pct"/>
          </w:tcPr>
          <w:p w14:paraId="03DF4346" w14:textId="77777777" w:rsidR="007F7488" w:rsidRPr="00F10A5B" w:rsidRDefault="007F7488" w:rsidP="00267136">
            <w:pPr>
              <w:pStyle w:val="TableTitle"/>
              <w:rPr>
                <w:rFonts w:cs="Segoe UI Semibold"/>
              </w:rPr>
            </w:pPr>
            <w:r w:rsidRPr="00F10A5B">
              <w:rPr>
                <w:rFonts w:cs="Segoe UI Semibold"/>
              </w:rPr>
              <w:t>Étudiant</w:t>
            </w:r>
          </w:p>
        </w:tc>
        <w:tc>
          <w:tcPr>
            <w:tcW w:w="716" w:type="pct"/>
          </w:tcPr>
          <w:p w14:paraId="27248968" w14:textId="77777777" w:rsidR="007F7488" w:rsidRPr="00F10A5B" w:rsidRDefault="007F7488" w:rsidP="00267136">
            <w:pPr>
              <w:pStyle w:val="TableTitle"/>
              <w:rPr>
                <w:rFonts w:cs="Segoe UI Semibold"/>
              </w:rPr>
            </w:pPr>
            <w:r w:rsidRPr="00F10A5B">
              <w:rPr>
                <w:rFonts w:cs="Segoe UI Semibold"/>
              </w:rPr>
              <w:t>Total</w:t>
            </w:r>
          </w:p>
        </w:tc>
      </w:tr>
      <w:tr w:rsidR="00267136" w:rsidRPr="00F10A5B" w14:paraId="7A26C511" w14:textId="77777777" w:rsidTr="00FB62DB">
        <w:trPr>
          <w:cantSplit/>
          <w:trHeight w:val="290"/>
          <w:tblHeader/>
          <w:jc w:val="center"/>
        </w:trPr>
        <w:tc>
          <w:tcPr>
            <w:tcW w:w="737" w:type="pct"/>
          </w:tcPr>
          <w:p w14:paraId="1571CFD9" w14:textId="77777777" w:rsidR="007F7488" w:rsidRPr="00F10A5B" w:rsidRDefault="007F7488" w:rsidP="00267136">
            <w:pPr>
              <w:autoSpaceDE w:val="0"/>
              <w:autoSpaceDN w:val="0"/>
              <w:adjustRightInd w:val="0"/>
              <w:contextualSpacing/>
              <w:rPr>
                <w:rFonts w:cstheme="minorHAnsi"/>
                <w:color w:val="000000"/>
                <w:szCs w:val="24"/>
              </w:rPr>
            </w:pPr>
            <w:r w:rsidRPr="00F10A5B">
              <w:rPr>
                <w:rFonts w:cstheme="minorHAnsi"/>
                <w:color w:val="000000"/>
                <w:szCs w:val="24"/>
              </w:rPr>
              <w:t>Au 31 mars 2015</w:t>
            </w:r>
          </w:p>
        </w:tc>
        <w:tc>
          <w:tcPr>
            <w:tcW w:w="838" w:type="pct"/>
          </w:tcPr>
          <w:p w14:paraId="4A3F6730"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3 898</w:t>
            </w:r>
          </w:p>
        </w:tc>
        <w:tc>
          <w:tcPr>
            <w:tcW w:w="886" w:type="pct"/>
          </w:tcPr>
          <w:p w14:paraId="7D666E7B"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261</w:t>
            </w:r>
          </w:p>
        </w:tc>
        <w:tc>
          <w:tcPr>
            <w:tcW w:w="985" w:type="pct"/>
          </w:tcPr>
          <w:p w14:paraId="5DA960EA"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258</w:t>
            </w:r>
          </w:p>
        </w:tc>
        <w:tc>
          <w:tcPr>
            <w:tcW w:w="838" w:type="pct"/>
          </w:tcPr>
          <w:p w14:paraId="45F7D124"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261</w:t>
            </w:r>
          </w:p>
        </w:tc>
        <w:tc>
          <w:tcPr>
            <w:tcW w:w="716" w:type="pct"/>
          </w:tcPr>
          <w:p w14:paraId="4F1F2DA4"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4 678</w:t>
            </w:r>
          </w:p>
        </w:tc>
      </w:tr>
      <w:tr w:rsidR="00267136" w:rsidRPr="00F10A5B" w14:paraId="67BF5091" w14:textId="77777777" w:rsidTr="00FB62DB">
        <w:trPr>
          <w:cantSplit/>
          <w:trHeight w:val="290"/>
          <w:tblHeader/>
          <w:jc w:val="center"/>
        </w:trPr>
        <w:tc>
          <w:tcPr>
            <w:tcW w:w="737" w:type="pct"/>
          </w:tcPr>
          <w:p w14:paraId="3C630ADF" w14:textId="77777777" w:rsidR="007F7488" w:rsidRPr="00F10A5B" w:rsidRDefault="007F7488" w:rsidP="00267136">
            <w:pPr>
              <w:autoSpaceDE w:val="0"/>
              <w:autoSpaceDN w:val="0"/>
              <w:adjustRightInd w:val="0"/>
              <w:contextualSpacing/>
              <w:rPr>
                <w:rFonts w:cstheme="minorHAnsi"/>
                <w:color w:val="000000"/>
                <w:szCs w:val="24"/>
              </w:rPr>
            </w:pPr>
            <w:r w:rsidRPr="00F10A5B">
              <w:rPr>
                <w:rFonts w:cstheme="minorHAnsi"/>
                <w:color w:val="000000"/>
                <w:szCs w:val="24"/>
              </w:rPr>
              <w:t>Au 31 mars 2016</w:t>
            </w:r>
          </w:p>
        </w:tc>
        <w:tc>
          <w:tcPr>
            <w:tcW w:w="838" w:type="pct"/>
          </w:tcPr>
          <w:p w14:paraId="3EA4E3DB"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3 807</w:t>
            </w:r>
          </w:p>
        </w:tc>
        <w:tc>
          <w:tcPr>
            <w:tcW w:w="886" w:type="pct"/>
          </w:tcPr>
          <w:p w14:paraId="56C6100A"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227</w:t>
            </w:r>
          </w:p>
        </w:tc>
        <w:tc>
          <w:tcPr>
            <w:tcW w:w="985" w:type="pct"/>
          </w:tcPr>
          <w:p w14:paraId="0762346A"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280</w:t>
            </w:r>
          </w:p>
        </w:tc>
        <w:tc>
          <w:tcPr>
            <w:tcW w:w="838" w:type="pct"/>
          </w:tcPr>
          <w:p w14:paraId="5D8185BF"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268</w:t>
            </w:r>
          </w:p>
        </w:tc>
        <w:tc>
          <w:tcPr>
            <w:tcW w:w="716" w:type="pct"/>
          </w:tcPr>
          <w:p w14:paraId="4CF4D5EA"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4 582</w:t>
            </w:r>
          </w:p>
        </w:tc>
      </w:tr>
      <w:tr w:rsidR="00267136" w:rsidRPr="00F10A5B" w14:paraId="0EB13B91" w14:textId="77777777" w:rsidTr="00FB62DB">
        <w:trPr>
          <w:cantSplit/>
          <w:trHeight w:val="290"/>
          <w:tblHeader/>
          <w:jc w:val="center"/>
        </w:trPr>
        <w:tc>
          <w:tcPr>
            <w:tcW w:w="737" w:type="pct"/>
          </w:tcPr>
          <w:p w14:paraId="3182AD5C" w14:textId="77777777" w:rsidR="007F7488" w:rsidRPr="00F10A5B" w:rsidRDefault="007F7488" w:rsidP="00267136">
            <w:pPr>
              <w:autoSpaceDE w:val="0"/>
              <w:autoSpaceDN w:val="0"/>
              <w:adjustRightInd w:val="0"/>
              <w:contextualSpacing/>
              <w:rPr>
                <w:rFonts w:cstheme="minorHAnsi"/>
                <w:color w:val="000000"/>
                <w:szCs w:val="24"/>
              </w:rPr>
            </w:pPr>
            <w:r w:rsidRPr="00F10A5B">
              <w:rPr>
                <w:rFonts w:cstheme="minorHAnsi"/>
                <w:color w:val="000000"/>
                <w:szCs w:val="24"/>
              </w:rPr>
              <w:t>Au 31 mars 2017</w:t>
            </w:r>
          </w:p>
        </w:tc>
        <w:tc>
          <w:tcPr>
            <w:tcW w:w="838" w:type="pct"/>
          </w:tcPr>
          <w:p w14:paraId="7D415E5C"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4 005</w:t>
            </w:r>
          </w:p>
        </w:tc>
        <w:tc>
          <w:tcPr>
            <w:tcW w:w="886" w:type="pct"/>
          </w:tcPr>
          <w:p w14:paraId="4FCDFB9D"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232</w:t>
            </w:r>
          </w:p>
        </w:tc>
        <w:tc>
          <w:tcPr>
            <w:tcW w:w="985" w:type="pct"/>
          </w:tcPr>
          <w:p w14:paraId="2C3A8A2E"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280</w:t>
            </w:r>
          </w:p>
        </w:tc>
        <w:tc>
          <w:tcPr>
            <w:tcW w:w="838" w:type="pct"/>
          </w:tcPr>
          <w:p w14:paraId="5CD3DFE0"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269</w:t>
            </w:r>
          </w:p>
        </w:tc>
        <w:tc>
          <w:tcPr>
            <w:tcW w:w="716" w:type="pct"/>
          </w:tcPr>
          <w:p w14:paraId="4740740F"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4 786</w:t>
            </w:r>
          </w:p>
        </w:tc>
      </w:tr>
      <w:tr w:rsidR="00267136" w:rsidRPr="00F10A5B" w14:paraId="0447D174" w14:textId="77777777" w:rsidTr="00FB62DB">
        <w:trPr>
          <w:cantSplit/>
          <w:trHeight w:val="290"/>
          <w:tblHeader/>
          <w:jc w:val="center"/>
        </w:trPr>
        <w:tc>
          <w:tcPr>
            <w:tcW w:w="737" w:type="pct"/>
          </w:tcPr>
          <w:p w14:paraId="4046F488" w14:textId="77777777" w:rsidR="007F7488" w:rsidRPr="00F10A5B" w:rsidRDefault="007F7488" w:rsidP="00267136">
            <w:pPr>
              <w:autoSpaceDE w:val="0"/>
              <w:autoSpaceDN w:val="0"/>
              <w:adjustRightInd w:val="0"/>
              <w:contextualSpacing/>
              <w:rPr>
                <w:rFonts w:cstheme="minorHAnsi"/>
                <w:color w:val="000000"/>
                <w:szCs w:val="24"/>
              </w:rPr>
            </w:pPr>
            <w:r w:rsidRPr="00F10A5B">
              <w:rPr>
                <w:rFonts w:cstheme="minorHAnsi"/>
                <w:color w:val="000000"/>
                <w:szCs w:val="24"/>
              </w:rPr>
              <w:t>Au 31 mars 2018</w:t>
            </w:r>
          </w:p>
        </w:tc>
        <w:tc>
          <w:tcPr>
            <w:tcW w:w="838" w:type="pct"/>
          </w:tcPr>
          <w:p w14:paraId="7D1FCA7D"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4 165</w:t>
            </w:r>
          </w:p>
        </w:tc>
        <w:tc>
          <w:tcPr>
            <w:tcW w:w="886" w:type="pct"/>
          </w:tcPr>
          <w:p w14:paraId="47A80962"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280</w:t>
            </w:r>
          </w:p>
        </w:tc>
        <w:tc>
          <w:tcPr>
            <w:tcW w:w="985" w:type="pct"/>
          </w:tcPr>
          <w:p w14:paraId="147CC4B4"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277</w:t>
            </w:r>
          </w:p>
        </w:tc>
        <w:tc>
          <w:tcPr>
            <w:tcW w:w="838" w:type="pct"/>
          </w:tcPr>
          <w:p w14:paraId="1192E78A"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264</w:t>
            </w:r>
          </w:p>
        </w:tc>
        <w:tc>
          <w:tcPr>
            <w:tcW w:w="716" w:type="pct"/>
          </w:tcPr>
          <w:p w14:paraId="4BC94ACF"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4 986</w:t>
            </w:r>
          </w:p>
        </w:tc>
      </w:tr>
      <w:tr w:rsidR="00267136" w:rsidRPr="00F10A5B" w14:paraId="2DCE0763" w14:textId="77777777" w:rsidTr="00FB62DB">
        <w:trPr>
          <w:cantSplit/>
          <w:trHeight w:val="290"/>
          <w:tblHeader/>
          <w:jc w:val="center"/>
        </w:trPr>
        <w:tc>
          <w:tcPr>
            <w:tcW w:w="737" w:type="pct"/>
          </w:tcPr>
          <w:p w14:paraId="523AF1FB" w14:textId="77777777" w:rsidR="007F7488" w:rsidRPr="00F10A5B" w:rsidRDefault="007F7488" w:rsidP="00267136">
            <w:pPr>
              <w:autoSpaceDE w:val="0"/>
              <w:autoSpaceDN w:val="0"/>
              <w:adjustRightInd w:val="0"/>
              <w:contextualSpacing/>
              <w:rPr>
                <w:rFonts w:cstheme="minorHAnsi"/>
                <w:color w:val="000000"/>
                <w:szCs w:val="24"/>
              </w:rPr>
            </w:pPr>
            <w:r w:rsidRPr="00F10A5B">
              <w:rPr>
                <w:rFonts w:cstheme="minorHAnsi"/>
                <w:color w:val="000000"/>
                <w:szCs w:val="24"/>
              </w:rPr>
              <w:t>Au 31 mars 2019</w:t>
            </w:r>
          </w:p>
        </w:tc>
        <w:tc>
          <w:tcPr>
            <w:tcW w:w="838" w:type="pct"/>
          </w:tcPr>
          <w:p w14:paraId="3A6215C8"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4 271</w:t>
            </w:r>
          </w:p>
        </w:tc>
        <w:tc>
          <w:tcPr>
            <w:tcW w:w="886" w:type="pct"/>
          </w:tcPr>
          <w:p w14:paraId="5FEA6D33"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306</w:t>
            </w:r>
          </w:p>
        </w:tc>
        <w:tc>
          <w:tcPr>
            <w:tcW w:w="985" w:type="pct"/>
          </w:tcPr>
          <w:p w14:paraId="3F6C2BAC"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298</w:t>
            </w:r>
          </w:p>
        </w:tc>
        <w:tc>
          <w:tcPr>
            <w:tcW w:w="838" w:type="pct"/>
          </w:tcPr>
          <w:p w14:paraId="33D43FC6"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246</w:t>
            </w:r>
          </w:p>
        </w:tc>
        <w:tc>
          <w:tcPr>
            <w:tcW w:w="716" w:type="pct"/>
          </w:tcPr>
          <w:p w14:paraId="709F640C"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5 121</w:t>
            </w:r>
          </w:p>
        </w:tc>
      </w:tr>
      <w:tr w:rsidR="00267136" w:rsidRPr="00F10A5B" w14:paraId="06671337" w14:textId="77777777" w:rsidTr="00FB62DB">
        <w:trPr>
          <w:cantSplit/>
          <w:trHeight w:val="290"/>
          <w:tblHeader/>
          <w:jc w:val="center"/>
        </w:trPr>
        <w:tc>
          <w:tcPr>
            <w:tcW w:w="737" w:type="pct"/>
          </w:tcPr>
          <w:p w14:paraId="53FE3183" w14:textId="77777777" w:rsidR="007F7488" w:rsidRPr="00F10A5B" w:rsidRDefault="007F7488" w:rsidP="00267136">
            <w:pPr>
              <w:autoSpaceDE w:val="0"/>
              <w:autoSpaceDN w:val="0"/>
              <w:adjustRightInd w:val="0"/>
              <w:contextualSpacing/>
              <w:rPr>
                <w:rFonts w:cstheme="minorHAnsi"/>
                <w:color w:val="000000"/>
                <w:szCs w:val="24"/>
              </w:rPr>
            </w:pPr>
            <w:r w:rsidRPr="00F10A5B">
              <w:rPr>
                <w:rFonts w:cstheme="minorHAnsi"/>
                <w:color w:val="000000"/>
                <w:szCs w:val="24"/>
              </w:rPr>
              <w:t>Au 31 mars 2020</w:t>
            </w:r>
          </w:p>
        </w:tc>
        <w:tc>
          <w:tcPr>
            <w:tcW w:w="838" w:type="pct"/>
          </w:tcPr>
          <w:p w14:paraId="59BE528B"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4 592</w:t>
            </w:r>
          </w:p>
        </w:tc>
        <w:tc>
          <w:tcPr>
            <w:tcW w:w="886" w:type="pct"/>
          </w:tcPr>
          <w:p w14:paraId="7571842C"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318</w:t>
            </w:r>
          </w:p>
        </w:tc>
        <w:tc>
          <w:tcPr>
            <w:tcW w:w="985" w:type="pct"/>
          </w:tcPr>
          <w:p w14:paraId="1EE8787C"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284</w:t>
            </w:r>
          </w:p>
        </w:tc>
        <w:tc>
          <w:tcPr>
            <w:tcW w:w="838" w:type="pct"/>
          </w:tcPr>
          <w:p w14:paraId="5762E11F"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276</w:t>
            </w:r>
          </w:p>
        </w:tc>
        <w:tc>
          <w:tcPr>
            <w:tcW w:w="716" w:type="pct"/>
          </w:tcPr>
          <w:p w14:paraId="07634552"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5 470</w:t>
            </w:r>
          </w:p>
        </w:tc>
      </w:tr>
    </w:tbl>
    <w:p w14:paraId="0373BF8C" w14:textId="77777777" w:rsidR="007F7488" w:rsidRPr="00F10A5B" w:rsidRDefault="007F7488" w:rsidP="00DA196D">
      <w:pPr>
        <w:tabs>
          <w:tab w:val="left" w:pos="7839"/>
        </w:tabs>
        <w:contextualSpacing/>
        <w:rPr>
          <w:noProof/>
          <w:lang w:eastAsia="en-CA"/>
        </w:rPr>
      </w:pPr>
    </w:p>
    <w:p w14:paraId="15709F50" w14:textId="77777777" w:rsidR="007F7488" w:rsidRPr="00F10A5B" w:rsidRDefault="007F7488" w:rsidP="00DA196D">
      <w:pPr>
        <w:tabs>
          <w:tab w:val="left" w:pos="7839"/>
        </w:tabs>
        <w:contextualSpacing/>
        <w:rPr>
          <w:noProof/>
          <w:lang w:eastAsia="en-CA"/>
        </w:rPr>
        <w:sectPr w:rsidR="007F7488" w:rsidRPr="00F10A5B" w:rsidSect="00E310D2">
          <w:headerReference w:type="default" r:id="rId18"/>
          <w:footerReference w:type="even" r:id="rId19"/>
          <w:headerReference w:type="first" r:id="rId20"/>
          <w:footerReference w:type="first" r:id="rId21"/>
          <w:pgSz w:w="15840" w:h="12240" w:orient="landscape"/>
          <w:pgMar w:top="720" w:right="720" w:bottom="720" w:left="720" w:header="708" w:footer="708" w:gutter="0"/>
          <w:cols w:space="708"/>
          <w:titlePg/>
          <w:docGrid w:linePitch="360"/>
        </w:sectPr>
      </w:pPr>
    </w:p>
    <w:p w14:paraId="77C0C9D1" w14:textId="77777777" w:rsidR="00267136" w:rsidRPr="009168D7" w:rsidRDefault="00267136" w:rsidP="00267136">
      <w:pPr>
        <w:pStyle w:val="Heading1"/>
        <w:spacing w:before="120" w:after="120"/>
        <w:rPr>
          <w:noProof/>
          <w:color w:val="auto"/>
          <w:sz w:val="40"/>
          <w:lang w:eastAsia="en-CA"/>
        </w:rPr>
      </w:pPr>
      <w:r w:rsidRPr="009168D7">
        <w:rPr>
          <w:noProof/>
          <w:color w:val="auto"/>
          <w:sz w:val="40"/>
          <w:lang w:eastAsia="en-CA"/>
        </w:rPr>
        <w:lastRenderedPageBreak/>
        <w:t>Population selon le profil linguistique au 31 mars 2020</w:t>
      </w:r>
    </w:p>
    <w:p w14:paraId="34249450" w14:textId="77777777" w:rsidR="00267136" w:rsidRPr="00F10A5B" w:rsidRDefault="007F7488" w:rsidP="009168D7">
      <w:pPr>
        <w:keepNext/>
        <w:tabs>
          <w:tab w:val="left" w:pos="7839"/>
        </w:tabs>
        <w:spacing w:after="0"/>
        <w:contextualSpacing/>
        <w:jc w:val="center"/>
      </w:pPr>
      <w:r w:rsidRPr="00F10A5B">
        <w:rPr>
          <w:noProof/>
          <w:lang w:eastAsia="en-CA"/>
        </w:rPr>
        <w:drawing>
          <wp:inline distT="0" distB="0" distL="0" distR="0" wp14:anchorId="3D8EAFDE" wp14:editId="757C7479">
            <wp:extent cx="1980000" cy="3020400"/>
            <wp:effectExtent l="0" t="0" r="1270" b="8890"/>
            <wp:docPr id="18" name="Chart 18" descr="Population selon le profil linguistique au 31 mars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3D84D1" w14:textId="5BE6C065" w:rsidR="007F7488" w:rsidRPr="009168D7" w:rsidRDefault="00267136" w:rsidP="00267136">
      <w:pPr>
        <w:pStyle w:val="Caption"/>
        <w:spacing w:after="0"/>
        <w:jc w:val="center"/>
        <w:rPr>
          <w:i w:val="0"/>
          <w:noProof/>
          <w:color w:val="auto"/>
          <w:lang w:eastAsia="en-CA"/>
        </w:rPr>
      </w:pPr>
      <w:r w:rsidRPr="009168D7">
        <w:rPr>
          <w:i w:val="0"/>
          <w:color w:val="auto"/>
        </w:rPr>
        <w:t xml:space="preserve">Figure </w:t>
      </w:r>
      <w:r w:rsidRPr="009168D7">
        <w:rPr>
          <w:i w:val="0"/>
          <w:color w:val="auto"/>
        </w:rPr>
        <w:fldChar w:fldCharType="begin"/>
      </w:r>
      <w:r w:rsidRPr="009168D7">
        <w:rPr>
          <w:i w:val="0"/>
          <w:color w:val="auto"/>
        </w:rPr>
        <w:instrText xml:space="preserve"> SEQ Figure \* ARABIC </w:instrText>
      </w:r>
      <w:r w:rsidRPr="009168D7">
        <w:rPr>
          <w:i w:val="0"/>
          <w:color w:val="auto"/>
        </w:rPr>
        <w:fldChar w:fldCharType="separate"/>
      </w:r>
      <w:r w:rsidR="00E5173D" w:rsidRPr="009168D7">
        <w:rPr>
          <w:i w:val="0"/>
          <w:noProof/>
          <w:color w:val="auto"/>
        </w:rPr>
        <w:t>2</w:t>
      </w:r>
      <w:r w:rsidRPr="009168D7">
        <w:rPr>
          <w:i w:val="0"/>
          <w:color w:val="auto"/>
        </w:rPr>
        <w:fldChar w:fldCharType="end"/>
      </w:r>
      <w:r w:rsidRPr="009168D7">
        <w:rPr>
          <w:i w:val="0"/>
          <w:color w:val="auto"/>
        </w:rPr>
        <w:t xml:space="preserve"> - Population selon le profil linguistique au 31 mars 2020</w:t>
      </w:r>
    </w:p>
    <w:p w14:paraId="2919F168" w14:textId="655F947B" w:rsidR="00267136" w:rsidRPr="009168D7" w:rsidRDefault="00267136" w:rsidP="00267136">
      <w:pPr>
        <w:pStyle w:val="Caption"/>
        <w:keepNext/>
        <w:spacing w:before="240" w:after="0"/>
        <w:jc w:val="center"/>
        <w:rPr>
          <w:i w:val="0"/>
          <w:color w:val="auto"/>
        </w:rPr>
      </w:pPr>
      <w:r w:rsidRPr="009168D7">
        <w:rPr>
          <w:i w:val="0"/>
          <w:color w:val="auto"/>
        </w:rPr>
        <w:t xml:space="preserve">Table </w:t>
      </w:r>
      <w:r w:rsidRPr="009168D7">
        <w:rPr>
          <w:i w:val="0"/>
          <w:color w:val="auto"/>
        </w:rPr>
        <w:fldChar w:fldCharType="begin"/>
      </w:r>
      <w:r w:rsidRPr="009168D7">
        <w:rPr>
          <w:i w:val="0"/>
          <w:color w:val="auto"/>
        </w:rPr>
        <w:instrText xml:space="preserve"> SEQ Table \* ARABIC </w:instrText>
      </w:r>
      <w:r w:rsidRPr="009168D7">
        <w:rPr>
          <w:i w:val="0"/>
          <w:color w:val="auto"/>
        </w:rPr>
        <w:fldChar w:fldCharType="separate"/>
      </w:r>
      <w:r w:rsidR="007B3B19" w:rsidRPr="009168D7">
        <w:rPr>
          <w:i w:val="0"/>
          <w:noProof/>
          <w:color w:val="auto"/>
        </w:rPr>
        <w:t>5</w:t>
      </w:r>
      <w:r w:rsidRPr="009168D7">
        <w:rPr>
          <w:i w:val="0"/>
          <w:color w:val="auto"/>
        </w:rPr>
        <w:fldChar w:fldCharType="end"/>
      </w:r>
      <w:r w:rsidRPr="009168D7">
        <w:rPr>
          <w:i w:val="0"/>
          <w:color w:val="auto"/>
        </w:rPr>
        <w:t xml:space="preserve"> - Effectif régi par la </w:t>
      </w:r>
      <w:r w:rsidRPr="009168D7">
        <w:rPr>
          <w:rStyle w:val="Emphasis"/>
          <w:sz w:val="18"/>
        </w:rPr>
        <w:t>Loi sur l’emploi dans la fonction publique</w:t>
      </w:r>
      <w:r w:rsidRPr="009168D7">
        <w:rPr>
          <w:i w:val="0"/>
          <w:color w:val="auto"/>
        </w:rPr>
        <w:t xml:space="preserve"> selon le profil linguistique au 31 mars 2020</w:t>
      </w:r>
    </w:p>
    <w:tbl>
      <w:tblPr>
        <w:tblStyle w:val="TableGrid"/>
        <w:tblW w:w="5000" w:type="pct"/>
        <w:jc w:val="center"/>
        <w:tblLook w:val="0020" w:firstRow="1" w:lastRow="0" w:firstColumn="0" w:lastColumn="0" w:noHBand="0" w:noVBand="0"/>
        <w:tblDescription w:val="Effectif selon les exigences linguistiques au 31 mars 2020"/>
      </w:tblPr>
      <w:tblGrid>
        <w:gridCol w:w="3201"/>
        <w:gridCol w:w="5442"/>
        <w:gridCol w:w="5747"/>
      </w:tblGrid>
      <w:tr w:rsidR="007F7488" w:rsidRPr="009168D7" w14:paraId="5E6E2B1F" w14:textId="77777777" w:rsidTr="00FB62DB">
        <w:trPr>
          <w:cantSplit/>
          <w:trHeight w:val="290"/>
          <w:tblHeader/>
          <w:jc w:val="center"/>
        </w:trPr>
        <w:tc>
          <w:tcPr>
            <w:tcW w:w="1112" w:type="pct"/>
          </w:tcPr>
          <w:p w14:paraId="274ACBA2" w14:textId="77777777" w:rsidR="007F7488" w:rsidRPr="009168D7" w:rsidRDefault="007F7488" w:rsidP="00267136">
            <w:pPr>
              <w:pStyle w:val="TableTitle"/>
              <w:rPr>
                <w:rFonts w:cs="Segoe UI Semibold"/>
                <w:color w:val="000000"/>
              </w:rPr>
            </w:pPr>
            <w:r w:rsidRPr="009168D7">
              <w:rPr>
                <w:rFonts w:cs="Segoe UI Semibold"/>
              </w:rPr>
              <w:t xml:space="preserve">Profil linguistique  </w:t>
            </w:r>
          </w:p>
        </w:tc>
        <w:tc>
          <w:tcPr>
            <w:tcW w:w="1891" w:type="pct"/>
          </w:tcPr>
          <w:p w14:paraId="7B72E049" w14:textId="77777777" w:rsidR="007F7488" w:rsidRPr="009168D7" w:rsidRDefault="007F7488" w:rsidP="00267136">
            <w:pPr>
              <w:pStyle w:val="TableTitle"/>
              <w:rPr>
                <w:rFonts w:cs="Segoe UI Semibold"/>
                <w:color w:val="000000"/>
              </w:rPr>
            </w:pPr>
            <w:r w:rsidRPr="009168D7">
              <w:rPr>
                <w:rFonts w:cs="Segoe UI Semibold"/>
                <w:color w:val="000000"/>
              </w:rPr>
              <w:t>Effectif au 31 mars 2020</w:t>
            </w:r>
          </w:p>
        </w:tc>
        <w:tc>
          <w:tcPr>
            <w:tcW w:w="1997" w:type="pct"/>
          </w:tcPr>
          <w:p w14:paraId="011359F1" w14:textId="77777777" w:rsidR="007F7488" w:rsidRPr="009168D7" w:rsidRDefault="007F7488" w:rsidP="00267136">
            <w:pPr>
              <w:pStyle w:val="TableTitle"/>
              <w:rPr>
                <w:rFonts w:cs="Segoe UI Semibold"/>
                <w:color w:val="000000"/>
              </w:rPr>
            </w:pPr>
            <w:r w:rsidRPr="009168D7">
              <w:rPr>
                <w:rFonts w:cs="Segoe UI Semibold"/>
              </w:rPr>
              <w:t>Pourcentage de l'effectif au 31 mars 2020</w:t>
            </w:r>
          </w:p>
        </w:tc>
      </w:tr>
      <w:tr w:rsidR="007F7488" w:rsidRPr="00F10A5B" w14:paraId="20BCA9C7" w14:textId="77777777" w:rsidTr="00FB62DB">
        <w:trPr>
          <w:cantSplit/>
          <w:trHeight w:val="290"/>
          <w:tblHeader/>
          <w:jc w:val="center"/>
        </w:trPr>
        <w:tc>
          <w:tcPr>
            <w:tcW w:w="1112" w:type="pct"/>
          </w:tcPr>
          <w:p w14:paraId="4379236C" w14:textId="77777777" w:rsidR="007F7488" w:rsidRPr="00F10A5B" w:rsidRDefault="007F7488" w:rsidP="0052484F">
            <w:pPr>
              <w:autoSpaceDE w:val="0"/>
              <w:autoSpaceDN w:val="0"/>
              <w:adjustRightInd w:val="0"/>
              <w:contextualSpacing/>
              <w:rPr>
                <w:rFonts w:cstheme="minorHAnsi"/>
                <w:color w:val="000000"/>
                <w:szCs w:val="24"/>
              </w:rPr>
            </w:pPr>
            <w:r w:rsidRPr="00F10A5B">
              <w:rPr>
                <w:rFonts w:cstheme="minorHAnsi"/>
                <w:color w:val="000000"/>
                <w:szCs w:val="24"/>
              </w:rPr>
              <w:t xml:space="preserve">Bilingue </w:t>
            </w:r>
          </w:p>
        </w:tc>
        <w:tc>
          <w:tcPr>
            <w:tcW w:w="1891" w:type="pct"/>
          </w:tcPr>
          <w:p w14:paraId="1950BF67"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1 708</w:t>
            </w:r>
          </w:p>
        </w:tc>
        <w:tc>
          <w:tcPr>
            <w:tcW w:w="1997" w:type="pct"/>
          </w:tcPr>
          <w:p w14:paraId="49CB8BBD"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38%</w:t>
            </w:r>
          </w:p>
        </w:tc>
      </w:tr>
      <w:tr w:rsidR="007F7488" w:rsidRPr="00F10A5B" w14:paraId="5AE9842C" w14:textId="77777777" w:rsidTr="00FB62DB">
        <w:trPr>
          <w:cantSplit/>
          <w:trHeight w:val="290"/>
          <w:tblHeader/>
          <w:jc w:val="center"/>
        </w:trPr>
        <w:tc>
          <w:tcPr>
            <w:tcW w:w="1112" w:type="pct"/>
          </w:tcPr>
          <w:p w14:paraId="00CA0227" w14:textId="77777777" w:rsidR="007F7488" w:rsidRPr="00F10A5B" w:rsidRDefault="007F7488" w:rsidP="0052484F">
            <w:pPr>
              <w:autoSpaceDE w:val="0"/>
              <w:autoSpaceDN w:val="0"/>
              <w:adjustRightInd w:val="0"/>
              <w:contextualSpacing/>
              <w:rPr>
                <w:rFonts w:cstheme="minorHAnsi"/>
                <w:color w:val="000000"/>
                <w:szCs w:val="24"/>
              </w:rPr>
            </w:pPr>
            <w:r w:rsidRPr="00F10A5B">
              <w:rPr>
                <w:rFonts w:cstheme="minorHAnsi"/>
                <w:color w:val="000000"/>
                <w:szCs w:val="24"/>
              </w:rPr>
              <w:t>Unilingue</w:t>
            </w:r>
          </w:p>
        </w:tc>
        <w:tc>
          <w:tcPr>
            <w:tcW w:w="1891" w:type="pct"/>
          </w:tcPr>
          <w:p w14:paraId="60C130E3"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2 835</w:t>
            </w:r>
          </w:p>
        </w:tc>
        <w:tc>
          <w:tcPr>
            <w:tcW w:w="1997" w:type="pct"/>
          </w:tcPr>
          <w:p w14:paraId="6E7D606F"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62%</w:t>
            </w:r>
          </w:p>
        </w:tc>
      </w:tr>
      <w:tr w:rsidR="007F7488" w:rsidRPr="00F10A5B" w14:paraId="1DFB023C" w14:textId="77777777" w:rsidTr="00FB62DB">
        <w:trPr>
          <w:cantSplit/>
          <w:trHeight w:val="290"/>
          <w:tblHeader/>
          <w:jc w:val="center"/>
        </w:trPr>
        <w:tc>
          <w:tcPr>
            <w:tcW w:w="1112" w:type="pct"/>
          </w:tcPr>
          <w:p w14:paraId="4B8083F2" w14:textId="77777777" w:rsidR="007F7488" w:rsidRPr="00F10A5B" w:rsidRDefault="007F7488" w:rsidP="0052484F">
            <w:pPr>
              <w:autoSpaceDE w:val="0"/>
              <w:autoSpaceDN w:val="0"/>
              <w:adjustRightInd w:val="0"/>
              <w:contextualSpacing/>
              <w:rPr>
                <w:rFonts w:cstheme="minorHAnsi"/>
                <w:color w:val="000000"/>
                <w:szCs w:val="24"/>
              </w:rPr>
            </w:pPr>
            <w:r w:rsidRPr="00F10A5B">
              <w:rPr>
                <w:rFonts w:cstheme="minorHAnsi"/>
                <w:color w:val="000000"/>
                <w:szCs w:val="24"/>
              </w:rPr>
              <w:t>Inconnus</w:t>
            </w:r>
          </w:p>
        </w:tc>
        <w:tc>
          <w:tcPr>
            <w:tcW w:w="1891" w:type="pct"/>
          </w:tcPr>
          <w:p w14:paraId="1C52AD56"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927</w:t>
            </w:r>
          </w:p>
        </w:tc>
        <w:tc>
          <w:tcPr>
            <w:tcW w:w="1997" w:type="pct"/>
          </w:tcPr>
          <w:p w14:paraId="2AD08E97" w14:textId="177D8B11" w:rsidR="007F7488" w:rsidRPr="00F10A5B" w:rsidRDefault="00267136" w:rsidP="0052484F">
            <w:pPr>
              <w:autoSpaceDE w:val="0"/>
              <w:autoSpaceDN w:val="0"/>
              <w:adjustRightInd w:val="0"/>
              <w:contextualSpacing/>
              <w:jc w:val="center"/>
              <w:rPr>
                <w:rFonts w:cstheme="minorHAnsi"/>
                <w:color w:val="000000"/>
                <w:szCs w:val="24"/>
              </w:rPr>
            </w:pPr>
            <w:r w:rsidRPr="00F10A5B">
              <w:rPr>
                <w:rFonts w:cstheme="minorHAnsi"/>
                <w:color w:val="000000"/>
                <w:szCs w:val="24"/>
              </w:rPr>
              <w:t>0%</w:t>
            </w:r>
          </w:p>
        </w:tc>
      </w:tr>
    </w:tbl>
    <w:p w14:paraId="1C9C823A" w14:textId="77777777" w:rsidR="007F7488" w:rsidRPr="00F10A5B" w:rsidRDefault="007F7488" w:rsidP="00DA196D">
      <w:pPr>
        <w:tabs>
          <w:tab w:val="left" w:pos="7839"/>
        </w:tabs>
        <w:contextualSpacing/>
        <w:rPr>
          <w:noProof/>
          <w:lang w:eastAsia="en-CA"/>
        </w:rPr>
      </w:pPr>
    </w:p>
    <w:p w14:paraId="4F8F8EFF" w14:textId="77777777" w:rsidR="007F7488" w:rsidRPr="00F10A5B" w:rsidRDefault="007F7488" w:rsidP="00DA196D">
      <w:pPr>
        <w:tabs>
          <w:tab w:val="left" w:pos="7839"/>
        </w:tabs>
        <w:contextualSpacing/>
        <w:rPr>
          <w:noProof/>
          <w:lang w:eastAsia="en-CA"/>
        </w:rPr>
        <w:sectPr w:rsidR="007F7488" w:rsidRPr="00F10A5B" w:rsidSect="00E310D2">
          <w:pgSz w:w="15840" w:h="12240" w:orient="landscape"/>
          <w:pgMar w:top="720" w:right="720" w:bottom="720" w:left="720" w:header="708" w:footer="708" w:gutter="0"/>
          <w:cols w:space="708"/>
          <w:titlePg/>
          <w:docGrid w:linePitch="360"/>
        </w:sectPr>
      </w:pPr>
    </w:p>
    <w:p w14:paraId="42986C50" w14:textId="77777777" w:rsidR="0052484F" w:rsidRPr="009168D7" w:rsidRDefault="0052484F" w:rsidP="0052484F">
      <w:pPr>
        <w:pStyle w:val="Heading1"/>
        <w:spacing w:before="120" w:after="120"/>
        <w:rPr>
          <w:noProof/>
          <w:color w:val="auto"/>
          <w:sz w:val="40"/>
          <w:lang w:eastAsia="en-CA"/>
        </w:rPr>
      </w:pPr>
      <w:r w:rsidRPr="009168D7">
        <w:rPr>
          <w:noProof/>
          <w:color w:val="auto"/>
          <w:sz w:val="40"/>
          <w:lang w:eastAsia="en-CA"/>
        </w:rPr>
        <w:lastRenderedPageBreak/>
        <w:t>Population selon le groupe professionnel au 31 mars 2020</w:t>
      </w:r>
    </w:p>
    <w:p w14:paraId="3E9788AA" w14:textId="77777777" w:rsidR="0052484F" w:rsidRPr="00F10A5B" w:rsidRDefault="007F7488" w:rsidP="009168D7">
      <w:pPr>
        <w:keepNext/>
        <w:tabs>
          <w:tab w:val="left" w:pos="7839"/>
        </w:tabs>
        <w:spacing w:after="0"/>
        <w:contextualSpacing/>
        <w:jc w:val="center"/>
      </w:pPr>
      <w:r w:rsidRPr="00F10A5B">
        <w:rPr>
          <w:noProof/>
          <w:lang w:eastAsia="en-CA"/>
        </w:rPr>
        <w:drawing>
          <wp:inline distT="0" distB="0" distL="0" distR="0" wp14:anchorId="10D5C14A" wp14:editId="4F87E968">
            <wp:extent cx="1980000" cy="3020400"/>
            <wp:effectExtent l="0" t="0" r="1270" b="8890"/>
            <wp:docPr id="5" name="Chart 5" descr="Population selon le groupe professionnel au 31 mars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A1CF43B" w14:textId="32360674" w:rsidR="007F7488" w:rsidRPr="00F10A5B" w:rsidRDefault="0052484F" w:rsidP="0052484F">
      <w:pPr>
        <w:pStyle w:val="Caption"/>
        <w:spacing w:after="0"/>
        <w:jc w:val="center"/>
        <w:rPr>
          <w:i w:val="0"/>
          <w:noProof/>
          <w:color w:val="auto"/>
          <w:lang w:eastAsia="en-CA"/>
        </w:rPr>
      </w:pPr>
      <w:r w:rsidRPr="00F10A5B">
        <w:rPr>
          <w:i w:val="0"/>
          <w:color w:val="auto"/>
        </w:rPr>
        <w:t xml:space="preserve">Figure </w:t>
      </w:r>
      <w:r w:rsidRPr="00F10A5B">
        <w:rPr>
          <w:i w:val="0"/>
          <w:color w:val="auto"/>
        </w:rPr>
        <w:fldChar w:fldCharType="begin"/>
      </w:r>
      <w:r w:rsidRPr="00F10A5B">
        <w:rPr>
          <w:i w:val="0"/>
          <w:color w:val="auto"/>
        </w:rPr>
        <w:instrText xml:space="preserve"> SEQ Figure \* ARABIC </w:instrText>
      </w:r>
      <w:r w:rsidRPr="00F10A5B">
        <w:rPr>
          <w:i w:val="0"/>
          <w:color w:val="auto"/>
        </w:rPr>
        <w:fldChar w:fldCharType="separate"/>
      </w:r>
      <w:r w:rsidR="00E5173D" w:rsidRPr="00F10A5B">
        <w:rPr>
          <w:i w:val="0"/>
          <w:noProof/>
          <w:color w:val="auto"/>
        </w:rPr>
        <w:t>3</w:t>
      </w:r>
      <w:r w:rsidRPr="00F10A5B">
        <w:rPr>
          <w:i w:val="0"/>
          <w:color w:val="auto"/>
        </w:rPr>
        <w:fldChar w:fldCharType="end"/>
      </w:r>
      <w:r w:rsidRPr="00F10A5B">
        <w:rPr>
          <w:i w:val="0"/>
          <w:color w:val="auto"/>
        </w:rPr>
        <w:t xml:space="preserve"> - Population selon le groupe professionnel au 31 mars 2020</w:t>
      </w:r>
    </w:p>
    <w:p w14:paraId="0790AB42" w14:textId="7EAD58A7" w:rsidR="0052484F" w:rsidRPr="009168D7" w:rsidRDefault="0052484F" w:rsidP="0052484F">
      <w:pPr>
        <w:pStyle w:val="Caption"/>
        <w:keepNext/>
        <w:spacing w:before="240" w:after="0"/>
        <w:jc w:val="center"/>
        <w:rPr>
          <w:i w:val="0"/>
          <w:color w:val="auto"/>
        </w:rPr>
      </w:pPr>
      <w:r w:rsidRPr="009168D7">
        <w:rPr>
          <w:i w:val="0"/>
          <w:color w:val="auto"/>
        </w:rPr>
        <w:t xml:space="preserve">Table </w:t>
      </w:r>
      <w:r w:rsidRPr="009168D7">
        <w:rPr>
          <w:i w:val="0"/>
          <w:color w:val="auto"/>
        </w:rPr>
        <w:fldChar w:fldCharType="begin"/>
      </w:r>
      <w:r w:rsidRPr="009168D7">
        <w:rPr>
          <w:i w:val="0"/>
          <w:color w:val="auto"/>
        </w:rPr>
        <w:instrText xml:space="preserve"> SEQ Table \* ARABIC </w:instrText>
      </w:r>
      <w:r w:rsidRPr="009168D7">
        <w:rPr>
          <w:i w:val="0"/>
          <w:color w:val="auto"/>
        </w:rPr>
        <w:fldChar w:fldCharType="separate"/>
      </w:r>
      <w:r w:rsidR="007B3B19" w:rsidRPr="009168D7">
        <w:rPr>
          <w:i w:val="0"/>
          <w:noProof/>
          <w:color w:val="auto"/>
        </w:rPr>
        <w:t>6</w:t>
      </w:r>
      <w:r w:rsidRPr="009168D7">
        <w:rPr>
          <w:i w:val="0"/>
          <w:color w:val="auto"/>
        </w:rPr>
        <w:fldChar w:fldCharType="end"/>
      </w:r>
      <w:r w:rsidRPr="009168D7">
        <w:rPr>
          <w:i w:val="0"/>
          <w:color w:val="auto"/>
        </w:rPr>
        <w:t xml:space="preserve"> - Groupes d’emploi, pourcentage de l'effectif régi par la </w:t>
      </w:r>
      <w:r w:rsidRPr="009168D7">
        <w:rPr>
          <w:rStyle w:val="Emphasis"/>
          <w:sz w:val="18"/>
        </w:rPr>
        <w:t>Loi sur l’emploi dans la fonction publique</w:t>
      </w:r>
      <w:r w:rsidRPr="009168D7">
        <w:rPr>
          <w:i w:val="0"/>
          <w:color w:val="auto"/>
        </w:rPr>
        <w:t xml:space="preserve"> au 31 mars 2020</w:t>
      </w:r>
    </w:p>
    <w:tbl>
      <w:tblPr>
        <w:tblStyle w:val="TableGrid"/>
        <w:tblW w:w="5000" w:type="pct"/>
        <w:jc w:val="center"/>
        <w:tblLook w:val="0020" w:firstRow="1" w:lastRow="0" w:firstColumn="0" w:lastColumn="0" w:noHBand="0" w:noVBand="0"/>
        <w:tblDescription w:val="Effectif selon le groupe professionnel au 31 mars 2020"/>
      </w:tblPr>
      <w:tblGrid>
        <w:gridCol w:w="4956"/>
        <w:gridCol w:w="4677"/>
        <w:gridCol w:w="4757"/>
      </w:tblGrid>
      <w:tr w:rsidR="007F7488" w:rsidRPr="00F10A5B" w14:paraId="4CD09470" w14:textId="77777777" w:rsidTr="00FB62DB">
        <w:trPr>
          <w:cantSplit/>
          <w:trHeight w:val="290"/>
          <w:tblHeader/>
          <w:jc w:val="center"/>
        </w:trPr>
        <w:tc>
          <w:tcPr>
            <w:tcW w:w="1722" w:type="pct"/>
          </w:tcPr>
          <w:p w14:paraId="21DB2576" w14:textId="77777777" w:rsidR="007F7488" w:rsidRPr="00F10A5B" w:rsidRDefault="007F7488" w:rsidP="0052484F">
            <w:pPr>
              <w:pStyle w:val="TableTitle"/>
              <w:rPr>
                <w:color w:val="000000"/>
              </w:rPr>
            </w:pPr>
            <w:r w:rsidRPr="00F10A5B">
              <w:t>Groupes professionnels</w:t>
            </w:r>
          </w:p>
        </w:tc>
        <w:tc>
          <w:tcPr>
            <w:tcW w:w="1625" w:type="pct"/>
          </w:tcPr>
          <w:p w14:paraId="6F38DA9C" w14:textId="77777777" w:rsidR="007F7488" w:rsidRPr="00F10A5B" w:rsidRDefault="007F7488" w:rsidP="0052484F">
            <w:pPr>
              <w:pStyle w:val="TableTitle"/>
              <w:rPr>
                <w:color w:val="000000"/>
              </w:rPr>
            </w:pPr>
            <w:r w:rsidRPr="00F10A5B">
              <w:t>Effectif au 31 mars 2020</w:t>
            </w:r>
          </w:p>
        </w:tc>
        <w:tc>
          <w:tcPr>
            <w:tcW w:w="1653" w:type="pct"/>
          </w:tcPr>
          <w:p w14:paraId="73277C18" w14:textId="77777777" w:rsidR="007F7488" w:rsidRPr="00F10A5B" w:rsidRDefault="007F7488" w:rsidP="0052484F">
            <w:pPr>
              <w:pStyle w:val="TableTitle"/>
            </w:pPr>
            <w:r w:rsidRPr="00F10A5B">
              <w:t>Pourcentage de l'effectif au 31 mars 2020</w:t>
            </w:r>
          </w:p>
        </w:tc>
      </w:tr>
      <w:tr w:rsidR="007F7488" w:rsidRPr="00F10A5B" w14:paraId="4D9EE222" w14:textId="77777777" w:rsidTr="00FB62DB">
        <w:trPr>
          <w:cantSplit/>
          <w:trHeight w:val="290"/>
          <w:tblHeader/>
          <w:jc w:val="center"/>
        </w:trPr>
        <w:tc>
          <w:tcPr>
            <w:tcW w:w="1722" w:type="pct"/>
          </w:tcPr>
          <w:p w14:paraId="78DB5FEE" w14:textId="77777777" w:rsidR="007F7488" w:rsidRPr="00F10A5B" w:rsidRDefault="007F7488" w:rsidP="0052484F">
            <w:pPr>
              <w:autoSpaceDE w:val="0"/>
              <w:autoSpaceDN w:val="0"/>
              <w:adjustRightInd w:val="0"/>
              <w:contextualSpacing/>
              <w:rPr>
                <w:rFonts w:asciiTheme="majorHAnsi" w:hAnsiTheme="majorHAnsi" w:cstheme="majorHAnsi"/>
                <w:color w:val="000000"/>
                <w:szCs w:val="24"/>
              </w:rPr>
            </w:pPr>
            <w:r w:rsidRPr="00F10A5B">
              <w:rPr>
                <w:rFonts w:asciiTheme="majorHAnsi" w:hAnsiTheme="majorHAnsi" w:cstheme="majorHAnsi"/>
                <w:color w:val="000000"/>
                <w:szCs w:val="24"/>
              </w:rPr>
              <w:t>PM – Administration des programmes</w:t>
            </w:r>
          </w:p>
        </w:tc>
        <w:tc>
          <w:tcPr>
            <w:tcW w:w="1625" w:type="pct"/>
          </w:tcPr>
          <w:p w14:paraId="12FC2619" w14:textId="77777777" w:rsidR="007F7488" w:rsidRPr="00F10A5B" w:rsidRDefault="007F7488"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1 357</w:t>
            </w:r>
          </w:p>
        </w:tc>
        <w:tc>
          <w:tcPr>
            <w:tcW w:w="1653" w:type="pct"/>
          </w:tcPr>
          <w:p w14:paraId="6E4E51A4" w14:textId="77777777" w:rsidR="007F7488" w:rsidRPr="00F10A5B" w:rsidRDefault="007F7488"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26%</w:t>
            </w:r>
          </w:p>
        </w:tc>
      </w:tr>
      <w:tr w:rsidR="007F7488" w:rsidRPr="00F10A5B" w14:paraId="2514F48B" w14:textId="77777777" w:rsidTr="00FB62DB">
        <w:trPr>
          <w:cantSplit/>
          <w:trHeight w:val="290"/>
          <w:tblHeader/>
          <w:jc w:val="center"/>
        </w:trPr>
        <w:tc>
          <w:tcPr>
            <w:tcW w:w="1722" w:type="pct"/>
          </w:tcPr>
          <w:p w14:paraId="63561F5F" w14:textId="77777777" w:rsidR="007F7488" w:rsidRPr="00F10A5B" w:rsidRDefault="007F7488" w:rsidP="0052484F">
            <w:pPr>
              <w:autoSpaceDE w:val="0"/>
              <w:autoSpaceDN w:val="0"/>
              <w:adjustRightInd w:val="0"/>
              <w:contextualSpacing/>
              <w:rPr>
                <w:rFonts w:asciiTheme="majorHAnsi" w:hAnsiTheme="majorHAnsi" w:cstheme="majorHAnsi"/>
                <w:color w:val="000000"/>
                <w:szCs w:val="24"/>
              </w:rPr>
            </w:pPr>
            <w:r w:rsidRPr="00F10A5B">
              <w:rPr>
                <w:rFonts w:asciiTheme="majorHAnsi" w:hAnsiTheme="majorHAnsi" w:cstheme="majorHAnsi"/>
                <w:color w:val="000000"/>
                <w:szCs w:val="24"/>
              </w:rPr>
              <w:t>AS – Services administratifs</w:t>
            </w:r>
          </w:p>
        </w:tc>
        <w:tc>
          <w:tcPr>
            <w:tcW w:w="1625" w:type="pct"/>
          </w:tcPr>
          <w:p w14:paraId="79FE645D" w14:textId="77777777" w:rsidR="007F7488" w:rsidRPr="00F10A5B" w:rsidRDefault="007F7488"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934</w:t>
            </w:r>
          </w:p>
        </w:tc>
        <w:tc>
          <w:tcPr>
            <w:tcW w:w="1653" w:type="pct"/>
          </w:tcPr>
          <w:p w14:paraId="2F5D305C" w14:textId="77777777" w:rsidR="007F7488" w:rsidRPr="00F10A5B" w:rsidRDefault="007F7488"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18%</w:t>
            </w:r>
          </w:p>
        </w:tc>
      </w:tr>
      <w:tr w:rsidR="007F7488" w:rsidRPr="00F10A5B" w14:paraId="1590101D" w14:textId="77777777" w:rsidTr="00FB62DB">
        <w:trPr>
          <w:cantSplit/>
          <w:trHeight w:val="290"/>
          <w:tblHeader/>
          <w:jc w:val="center"/>
        </w:trPr>
        <w:tc>
          <w:tcPr>
            <w:tcW w:w="1722" w:type="pct"/>
          </w:tcPr>
          <w:p w14:paraId="2FF63809" w14:textId="77777777" w:rsidR="007F7488" w:rsidRPr="00F10A5B" w:rsidRDefault="007F7488" w:rsidP="0052484F">
            <w:pPr>
              <w:autoSpaceDE w:val="0"/>
              <w:autoSpaceDN w:val="0"/>
              <w:adjustRightInd w:val="0"/>
              <w:contextualSpacing/>
              <w:rPr>
                <w:rFonts w:asciiTheme="majorHAnsi" w:hAnsiTheme="majorHAnsi" w:cstheme="majorHAnsi"/>
                <w:color w:val="000000"/>
                <w:szCs w:val="24"/>
              </w:rPr>
            </w:pPr>
            <w:r w:rsidRPr="00F10A5B">
              <w:rPr>
                <w:rFonts w:asciiTheme="majorHAnsi" w:hAnsiTheme="majorHAnsi" w:cstheme="majorHAnsi"/>
                <w:color w:val="000000"/>
                <w:szCs w:val="24"/>
              </w:rPr>
              <w:t>EC – Groupe Économique et services de sciences sociales</w:t>
            </w:r>
          </w:p>
        </w:tc>
        <w:tc>
          <w:tcPr>
            <w:tcW w:w="1625" w:type="pct"/>
          </w:tcPr>
          <w:p w14:paraId="13D08C4F" w14:textId="77777777" w:rsidR="007F7488" w:rsidRPr="00F10A5B" w:rsidRDefault="007F7488"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903</w:t>
            </w:r>
          </w:p>
        </w:tc>
        <w:tc>
          <w:tcPr>
            <w:tcW w:w="1653" w:type="pct"/>
          </w:tcPr>
          <w:p w14:paraId="42A380C6" w14:textId="77777777" w:rsidR="007F7488" w:rsidRPr="00F10A5B" w:rsidRDefault="007F7488"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17%</w:t>
            </w:r>
          </w:p>
        </w:tc>
      </w:tr>
      <w:tr w:rsidR="007F7488" w:rsidRPr="00F10A5B" w14:paraId="530F6073" w14:textId="77777777" w:rsidTr="00FB62DB">
        <w:trPr>
          <w:cantSplit/>
          <w:trHeight w:val="290"/>
          <w:tblHeader/>
          <w:jc w:val="center"/>
        </w:trPr>
        <w:tc>
          <w:tcPr>
            <w:tcW w:w="1722" w:type="pct"/>
          </w:tcPr>
          <w:p w14:paraId="52C6D664" w14:textId="77777777" w:rsidR="007F7488" w:rsidRPr="00F10A5B" w:rsidRDefault="007F7488" w:rsidP="0052484F">
            <w:pPr>
              <w:autoSpaceDE w:val="0"/>
              <w:autoSpaceDN w:val="0"/>
              <w:adjustRightInd w:val="0"/>
              <w:contextualSpacing/>
              <w:rPr>
                <w:rFonts w:asciiTheme="majorHAnsi" w:hAnsiTheme="majorHAnsi" w:cstheme="majorHAnsi"/>
                <w:color w:val="000000"/>
                <w:szCs w:val="24"/>
              </w:rPr>
            </w:pPr>
            <w:r w:rsidRPr="00F10A5B">
              <w:rPr>
                <w:rFonts w:asciiTheme="majorHAnsi" w:hAnsiTheme="majorHAnsi" w:cstheme="majorHAnsi"/>
                <w:color w:val="000000"/>
                <w:szCs w:val="24"/>
              </w:rPr>
              <w:t>CR – Commis aux écritures et aux règlements</w:t>
            </w:r>
          </w:p>
        </w:tc>
        <w:tc>
          <w:tcPr>
            <w:tcW w:w="1625" w:type="pct"/>
          </w:tcPr>
          <w:p w14:paraId="311B9A76" w14:textId="77777777" w:rsidR="007F7488" w:rsidRPr="00F10A5B" w:rsidRDefault="007F7488"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432</w:t>
            </w:r>
          </w:p>
        </w:tc>
        <w:tc>
          <w:tcPr>
            <w:tcW w:w="1653" w:type="pct"/>
          </w:tcPr>
          <w:p w14:paraId="0B017C6F" w14:textId="77777777" w:rsidR="007F7488" w:rsidRPr="00F10A5B" w:rsidRDefault="007F7488"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8%</w:t>
            </w:r>
          </w:p>
        </w:tc>
      </w:tr>
      <w:tr w:rsidR="007F7488" w:rsidRPr="00F10A5B" w14:paraId="010D7D6C" w14:textId="77777777" w:rsidTr="00FB62DB">
        <w:trPr>
          <w:cantSplit/>
          <w:trHeight w:val="290"/>
          <w:tblHeader/>
          <w:jc w:val="center"/>
        </w:trPr>
        <w:tc>
          <w:tcPr>
            <w:tcW w:w="1722" w:type="pct"/>
          </w:tcPr>
          <w:p w14:paraId="0FF4097A" w14:textId="77777777" w:rsidR="007F7488" w:rsidRPr="00F10A5B" w:rsidRDefault="007F7488" w:rsidP="0052484F">
            <w:pPr>
              <w:autoSpaceDE w:val="0"/>
              <w:autoSpaceDN w:val="0"/>
              <w:adjustRightInd w:val="0"/>
              <w:contextualSpacing/>
              <w:rPr>
                <w:rFonts w:asciiTheme="majorHAnsi" w:hAnsiTheme="majorHAnsi" w:cstheme="majorHAnsi"/>
                <w:color w:val="000000"/>
                <w:szCs w:val="24"/>
              </w:rPr>
            </w:pPr>
            <w:r w:rsidRPr="00F10A5B">
              <w:rPr>
                <w:rFonts w:asciiTheme="majorHAnsi" w:hAnsiTheme="majorHAnsi" w:cstheme="majorHAnsi"/>
                <w:color w:val="000000"/>
                <w:szCs w:val="24"/>
              </w:rPr>
              <w:t>Autre</w:t>
            </w:r>
          </w:p>
        </w:tc>
        <w:tc>
          <w:tcPr>
            <w:tcW w:w="1625" w:type="pct"/>
          </w:tcPr>
          <w:p w14:paraId="201C3DCD" w14:textId="77777777" w:rsidR="007F7488" w:rsidRPr="00F10A5B" w:rsidRDefault="007F7488"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1 568</w:t>
            </w:r>
          </w:p>
        </w:tc>
        <w:tc>
          <w:tcPr>
            <w:tcW w:w="1653" w:type="pct"/>
          </w:tcPr>
          <w:p w14:paraId="767BA8F4" w14:textId="77777777" w:rsidR="007F7488" w:rsidRPr="00F10A5B" w:rsidRDefault="007F7488"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30%</w:t>
            </w:r>
          </w:p>
        </w:tc>
      </w:tr>
      <w:tr w:rsidR="007F7488" w:rsidRPr="00F10A5B" w14:paraId="47001247" w14:textId="77777777" w:rsidTr="00FB62DB">
        <w:trPr>
          <w:cantSplit/>
          <w:trHeight w:val="290"/>
          <w:tblHeader/>
          <w:jc w:val="center"/>
        </w:trPr>
        <w:tc>
          <w:tcPr>
            <w:tcW w:w="1722" w:type="pct"/>
          </w:tcPr>
          <w:p w14:paraId="7D91578C" w14:textId="77777777" w:rsidR="007F7488" w:rsidRPr="00F10A5B" w:rsidRDefault="007F7488" w:rsidP="0052484F">
            <w:pPr>
              <w:autoSpaceDE w:val="0"/>
              <w:autoSpaceDN w:val="0"/>
              <w:adjustRightInd w:val="0"/>
              <w:contextualSpacing/>
              <w:rPr>
                <w:rFonts w:asciiTheme="majorHAnsi" w:hAnsiTheme="majorHAnsi" w:cstheme="majorHAnsi"/>
                <w:color w:val="000000"/>
                <w:szCs w:val="24"/>
              </w:rPr>
            </w:pPr>
            <w:r w:rsidRPr="00F10A5B">
              <w:rPr>
                <w:rFonts w:asciiTheme="majorHAnsi" w:hAnsiTheme="majorHAnsi" w:cstheme="majorHAnsi"/>
                <w:color w:val="000000"/>
                <w:szCs w:val="24"/>
              </w:rPr>
              <w:t>Inconnus</w:t>
            </w:r>
          </w:p>
        </w:tc>
        <w:tc>
          <w:tcPr>
            <w:tcW w:w="1625" w:type="pct"/>
          </w:tcPr>
          <w:p w14:paraId="4BD8825B" w14:textId="77777777" w:rsidR="007F7488" w:rsidRPr="00F10A5B" w:rsidRDefault="007F7488"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276</w:t>
            </w:r>
          </w:p>
        </w:tc>
        <w:tc>
          <w:tcPr>
            <w:tcW w:w="1653" w:type="pct"/>
          </w:tcPr>
          <w:p w14:paraId="4C0DC309" w14:textId="5D2BD051" w:rsidR="007F7488" w:rsidRPr="00F10A5B" w:rsidRDefault="0052484F" w:rsidP="0052484F">
            <w:pPr>
              <w:autoSpaceDE w:val="0"/>
              <w:autoSpaceDN w:val="0"/>
              <w:adjustRightInd w:val="0"/>
              <w:contextualSpacing/>
              <w:jc w:val="center"/>
              <w:rPr>
                <w:rFonts w:asciiTheme="majorHAnsi" w:hAnsiTheme="majorHAnsi" w:cstheme="majorHAnsi"/>
                <w:color w:val="000000"/>
                <w:szCs w:val="24"/>
              </w:rPr>
            </w:pPr>
            <w:r w:rsidRPr="00F10A5B">
              <w:rPr>
                <w:rFonts w:asciiTheme="majorHAnsi" w:hAnsiTheme="majorHAnsi" w:cstheme="majorHAnsi"/>
                <w:color w:val="000000"/>
                <w:szCs w:val="24"/>
              </w:rPr>
              <w:t>0%</w:t>
            </w:r>
          </w:p>
        </w:tc>
      </w:tr>
    </w:tbl>
    <w:p w14:paraId="630F2638" w14:textId="77777777" w:rsidR="007F7488" w:rsidRPr="00F10A5B" w:rsidRDefault="007F7488" w:rsidP="00DA196D">
      <w:pPr>
        <w:tabs>
          <w:tab w:val="left" w:pos="7839"/>
        </w:tabs>
        <w:contextualSpacing/>
        <w:rPr>
          <w:noProof/>
          <w:lang w:eastAsia="en-CA"/>
        </w:rPr>
      </w:pPr>
    </w:p>
    <w:p w14:paraId="3E70B713" w14:textId="77777777" w:rsidR="007F7488" w:rsidRPr="00F10A5B" w:rsidRDefault="007F7488" w:rsidP="00DA196D">
      <w:pPr>
        <w:tabs>
          <w:tab w:val="left" w:pos="7839"/>
        </w:tabs>
        <w:contextualSpacing/>
        <w:rPr>
          <w:noProof/>
          <w:lang w:eastAsia="en-CA"/>
        </w:rPr>
        <w:sectPr w:rsidR="007F7488" w:rsidRPr="00F10A5B" w:rsidSect="00E310D2">
          <w:pgSz w:w="15840" w:h="12240" w:orient="landscape"/>
          <w:pgMar w:top="720" w:right="720" w:bottom="720" w:left="720" w:header="708" w:footer="708" w:gutter="0"/>
          <w:cols w:space="708"/>
          <w:titlePg/>
          <w:docGrid w:linePitch="360"/>
        </w:sectPr>
      </w:pPr>
    </w:p>
    <w:p w14:paraId="573A2B80" w14:textId="437FCE3A" w:rsidR="007F7488" w:rsidRPr="009168D7" w:rsidRDefault="0052484F" w:rsidP="0052484F">
      <w:pPr>
        <w:pStyle w:val="Heading1"/>
        <w:spacing w:before="120" w:after="120"/>
        <w:rPr>
          <w:noProof/>
          <w:color w:val="auto"/>
          <w:sz w:val="40"/>
          <w:lang w:eastAsia="en-CA"/>
        </w:rPr>
      </w:pPr>
      <w:r w:rsidRPr="009168D7">
        <w:rPr>
          <w:noProof/>
          <w:color w:val="auto"/>
          <w:sz w:val="40"/>
          <w:lang w:eastAsia="en-CA"/>
        </w:rPr>
        <w:lastRenderedPageBreak/>
        <w:t>Population selon la région au 31 mars 2020</w:t>
      </w:r>
    </w:p>
    <w:p w14:paraId="3C5F0E61" w14:textId="77777777" w:rsidR="0052484F" w:rsidRPr="00F10A5B" w:rsidRDefault="007F7488" w:rsidP="009168D7">
      <w:pPr>
        <w:keepNext/>
        <w:tabs>
          <w:tab w:val="left" w:pos="7839"/>
        </w:tabs>
        <w:spacing w:after="0"/>
        <w:contextualSpacing/>
        <w:jc w:val="center"/>
      </w:pPr>
      <w:r w:rsidRPr="00F10A5B">
        <w:rPr>
          <w:noProof/>
          <w:lang w:eastAsia="en-CA"/>
        </w:rPr>
        <w:drawing>
          <wp:inline distT="0" distB="0" distL="0" distR="0" wp14:anchorId="354BA9E1" wp14:editId="7F227044">
            <wp:extent cx="1980000" cy="3020400"/>
            <wp:effectExtent l="0" t="0" r="1270" b="8890"/>
            <wp:docPr id="15" name="Chart 15" descr="Population selon la région au 31 mars 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3D25F03" w14:textId="57377670" w:rsidR="007F7488" w:rsidRPr="00F10A5B" w:rsidRDefault="0052484F" w:rsidP="0052484F">
      <w:pPr>
        <w:pStyle w:val="Caption"/>
        <w:spacing w:after="0"/>
        <w:jc w:val="center"/>
        <w:rPr>
          <w:i w:val="0"/>
          <w:noProof/>
          <w:color w:val="auto"/>
          <w:lang w:eastAsia="en-CA"/>
        </w:rPr>
      </w:pPr>
      <w:r w:rsidRPr="00F10A5B">
        <w:rPr>
          <w:i w:val="0"/>
          <w:color w:val="auto"/>
        </w:rPr>
        <w:t xml:space="preserve">Figure </w:t>
      </w:r>
      <w:r w:rsidRPr="00F10A5B">
        <w:rPr>
          <w:i w:val="0"/>
          <w:color w:val="auto"/>
        </w:rPr>
        <w:fldChar w:fldCharType="begin"/>
      </w:r>
      <w:r w:rsidRPr="00F10A5B">
        <w:rPr>
          <w:i w:val="0"/>
          <w:color w:val="auto"/>
        </w:rPr>
        <w:instrText xml:space="preserve"> SEQ Figure \* ARABIC </w:instrText>
      </w:r>
      <w:r w:rsidRPr="00F10A5B">
        <w:rPr>
          <w:i w:val="0"/>
          <w:color w:val="auto"/>
        </w:rPr>
        <w:fldChar w:fldCharType="separate"/>
      </w:r>
      <w:r w:rsidR="00E5173D" w:rsidRPr="00F10A5B">
        <w:rPr>
          <w:i w:val="0"/>
          <w:noProof/>
          <w:color w:val="auto"/>
        </w:rPr>
        <w:t>4</w:t>
      </w:r>
      <w:r w:rsidRPr="00F10A5B">
        <w:rPr>
          <w:i w:val="0"/>
          <w:color w:val="auto"/>
        </w:rPr>
        <w:fldChar w:fldCharType="end"/>
      </w:r>
      <w:r w:rsidRPr="00F10A5B">
        <w:rPr>
          <w:i w:val="0"/>
          <w:color w:val="auto"/>
        </w:rPr>
        <w:t xml:space="preserve"> - Population selon la région au 31 mars 2020</w:t>
      </w:r>
    </w:p>
    <w:p w14:paraId="384224CC" w14:textId="12138A79" w:rsidR="0052484F" w:rsidRPr="009168D7" w:rsidRDefault="0052484F" w:rsidP="0052484F">
      <w:pPr>
        <w:pStyle w:val="Caption"/>
        <w:keepNext/>
        <w:spacing w:before="240" w:after="0"/>
        <w:jc w:val="center"/>
        <w:rPr>
          <w:i w:val="0"/>
          <w:color w:val="auto"/>
        </w:rPr>
      </w:pPr>
      <w:r w:rsidRPr="009168D7">
        <w:rPr>
          <w:i w:val="0"/>
          <w:color w:val="auto"/>
        </w:rPr>
        <w:t xml:space="preserve">Table </w:t>
      </w:r>
      <w:r w:rsidRPr="009168D7">
        <w:rPr>
          <w:i w:val="0"/>
          <w:color w:val="auto"/>
        </w:rPr>
        <w:fldChar w:fldCharType="begin"/>
      </w:r>
      <w:r w:rsidRPr="009168D7">
        <w:rPr>
          <w:i w:val="0"/>
          <w:color w:val="auto"/>
        </w:rPr>
        <w:instrText xml:space="preserve"> SEQ Table \* ARABIC </w:instrText>
      </w:r>
      <w:r w:rsidRPr="009168D7">
        <w:rPr>
          <w:i w:val="0"/>
          <w:color w:val="auto"/>
        </w:rPr>
        <w:fldChar w:fldCharType="separate"/>
      </w:r>
      <w:r w:rsidR="007B3B19" w:rsidRPr="009168D7">
        <w:rPr>
          <w:i w:val="0"/>
          <w:noProof/>
          <w:color w:val="auto"/>
        </w:rPr>
        <w:t>7</w:t>
      </w:r>
      <w:r w:rsidRPr="009168D7">
        <w:rPr>
          <w:i w:val="0"/>
          <w:color w:val="auto"/>
        </w:rPr>
        <w:fldChar w:fldCharType="end"/>
      </w:r>
      <w:r w:rsidRPr="009168D7">
        <w:rPr>
          <w:i w:val="0"/>
          <w:color w:val="auto"/>
        </w:rPr>
        <w:t xml:space="preserve"> - Effectif par région, pourcentage de l'effectif régi par la </w:t>
      </w:r>
      <w:r w:rsidRPr="009168D7">
        <w:rPr>
          <w:rStyle w:val="Emphasis"/>
          <w:sz w:val="18"/>
        </w:rPr>
        <w:t>Loi sur l’emploi dans la fonction publique</w:t>
      </w:r>
      <w:r w:rsidRPr="009168D7">
        <w:rPr>
          <w:i w:val="0"/>
          <w:color w:val="auto"/>
        </w:rPr>
        <w:t xml:space="preserve"> au 31 mars 2020</w:t>
      </w:r>
    </w:p>
    <w:tbl>
      <w:tblPr>
        <w:tblStyle w:val="TableGrid"/>
        <w:tblW w:w="5000" w:type="pct"/>
        <w:jc w:val="center"/>
        <w:tblLook w:val="0020" w:firstRow="1" w:lastRow="0" w:firstColumn="0" w:lastColumn="0" w:noHBand="0" w:noVBand="0"/>
        <w:tblDescription w:val="Effectif selon la région au 31 mars 2020"/>
      </w:tblPr>
      <w:tblGrid>
        <w:gridCol w:w="4530"/>
        <w:gridCol w:w="5103"/>
        <w:gridCol w:w="4757"/>
      </w:tblGrid>
      <w:tr w:rsidR="007F7488" w:rsidRPr="00F10A5B" w14:paraId="43DEE610" w14:textId="77777777" w:rsidTr="00FB62DB">
        <w:trPr>
          <w:cantSplit/>
          <w:trHeight w:val="290"/>
          <w:tblHeader/>
          <w:jc w:val="center"/>
        </w:trPr>
        <w:tc>
          <w:tcPr>
            <w:tcW w:w="1574" w:type="pct"/>
          </w:tcPr>
          <w:p w14:paraId="19D50A05" w14:textId="77777777" w:rsidR="007F7488" w:rsidRPr="00F10A5B" w:rsidRDefault="007F7488" w:rsidP="0052484F">
            <w:pPr>
              <w:pStyle w:val="TableTitle"/>
            </w:pPr>
            <w:r w:rsidRPr="00F10A5B">
              <w:t>Région</w:t>
            </w:r>
          </w:p>
        </w:tc>
        <w:tc>
          <w:tcPr>
            <w:tcW w:w="1773" w:type="pct"/>
          </w:tcPr>
          <w:p w14:paraId="1CEE1D50" w14:textId="77777777" w:rsidR="007F7488" w:rsidRPr="00F10A5B" w:rsidRDefault="007F7488" w:rsidP="0052484F">
            <w:pPr>
              <w:pStyle w:val="TableTitle"/>
            </w:pPr>
            <w:r w:rsidRPr="00F10A5B">
              <w:t>Effectif au 31 mars 2020</w:t>
            </w:r>
          </w:p>
        </w:tc>
        <w:tc>
          <w:tcPr>
            <w:tcW w:w="1653" w:type="pct"/>
          </w:tcPr>
          <w:p w14:paraId="75E74214" w14:textId="77777777" w:rsidR="007F7488" w:rsidRPr="00F10A5B" w:rsidRDefault="007F7488" w:rsidP="0052484F">
            <w:pPr>
              <w:pStyle w:val="TableTitle"/>
            </w:pPr>
            <w:r w:rsidRPr="00F10A5B">
              <w:t>Pourcentage de l'effectif au 31 mars 2020</w:t>
            </w:r>
          </w:p>
        </w:tc>
      </w:tr>
      <w:tr w:rsidR="007F7488" w:rsidRPr="00F10A5B" w14:paraId="36035D19" w14:textId="77777777" w:rsidTr="00FB62DB">
        <w:trPr>
          <w:cantSplit/>
          <w:trHeight w:val="290"/>
          <w:tblHeader/>
          <w:jc w:val="center"/>
        </w:trPr>
        <w:tc>
          <w:tcPr>
            <w:tcW w:w="1574" w:type="pct"/>
          </w:tcPr>
          <w:p w14:paraId="592CC3C3" w14:textId="77777777" w:rsidR="007F7488" w:rsidRPr="00F10A5B" w:rsidRDefault="007F7488" w:rsidP="0052484F">
            <w:pPr>
              <w:autoSpaceDE w:val="0"/>
              <w:autoSpaceDN w:val="0"/>
              <w:adjustRightInd w:val="0"/>
              <w:contextualSpacing/>
              <w:rPr>
                <w:rFonts w:cstheme="minorHAnsi"/>
                <w:color w:val="000000"/>
                <w:szCs w:val="24"/>
              </w:rPr>
            </w:pPr>
            <w:r w:rsidRPr="00F10A5B">
              <w:rPr>
                <w:rFonts w:cstheme="minorHAnsi"/>
                <w:color w:val="000000"/>
                <w:szCs w:val="24"/>
              </w:rPr>
              <w:t>Région de la capitale nationale (RCN)</w:t>
            </w:r>
          </w:p>
        </w:tc>
        <w:tc>
          <w:tcPr>
            <w:tcW w:w="1773" w:type="pct"/>
          </w:tcPr>
          <w:p w14:paraId="255EE26A"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2 882</w:t>
            </w:r>
          </w:p>
        </w:tc>
        <w:tc>
          <w:tcPr>
            <w:tcW w:w="1653" w:type="pct"/>
          </w:tcPr>
          <w:p w14:paraId="4420B66D"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55%</w:t>
            </w:r>
          </w:p>
        </w:tc>
      </w:tr>
      <w:tr w:rsidR="007F7488" w:rsidRPr="00F10A5B" w14:paraId="5C7E6B41" w14:textId="77777777" w:rsidTr="00FB62DB">
        <w:trPr>
          <w:cantSplit/>
          <w:trHeight w:val="290"/>
          <w:tblHeader/>
          <w:jc w:val="center"/>
        </w:trPr>
        <w:tc>
          <w:tcPr>
            <w:tcW w:w="1574" w:type="pct"/>
          </w:tcPr>
          <w:p w14:paraId="3A175855" w14:textId="77777777" w:rsidR="007F7488" w:rsidRPr="00F10A5B" w:rsidRDefault="007F7488" w:rsidP="0052484F">
            <w:pPr>
              <w:autoSpaceDE w:val="0"/>
              <w:autoSpaceDN w:val="0"/>
              <w:adjustRightInd w:val="0"/>
              <w:contextualSpacing/>
              <w:rPr>
                <w:rFonts w:cstheme="minorHAnsi"/>
                <w:color w:val="000000"/>
                <w:szCs w:val="24"/>
              </w:rPr>
            </w:pPr>
            <w:r w:rsidRPr="00F10A5B">
              <w:rPr>
                <w:rFonts w:cstheme="minorHAnsi"/>
                <w:color w:val="000000"/>
                <w:szCs w:val="24"/>
              </w:rPr>
              <w:t>Régions à l’extérieur de la RCN</w:t>
            </w:r>
          </w:p>
        </w:tc>
        <w:tc>
          <w:tcPr>
            <w:tcW w:w="1773" w:type="pct"/>
          </w:tcPr>
          <w:p w14:paraId="2CA47CF6"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2 387</w:t>
            </w:r>
          </w:p>
        </w:tc>
        <w:tc>
          <w:tcPr>
            <w:tcW w:w="1653" w:type="pct"/>
          </w:tcPr>
          <w:p w14:paraId="3D5AB92B"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45%</w:t>
            </w:r>
          </w:p>
        </w:tc>
      </w:tr>
      <w:tr w:rsidR="007F7488" w:rsidRPr="00F10A5B" w14:paraId="0F42535A" w14:textId="77777777" w:rsidTr="00FB62DB">
        <w:trPr>
          <w:cantSplit/>
          <w:trHeight w:val="290"/>
          <w:tblHeader/>
          <w:jc w:val="center"/>
        </w:trPr>
        <w:tc>
          <w:tcPr>
            <w:tcW w:w="1574" w:type="pct"/>
          </w:tcPr>
          <w:p w14:paraId="78E58523" w14:textId="77777777" w:rsidR="007F7488" w:rsidRPr="00F10A5B" w:rsidRDefault="007F7488" w:rsidP="0052484F">
            <w:pPr>
              <w:autoSpaceDE w:val="0"/>
              <w:autoSpaceDN w:val="0"/>
              <w:adjustRightInd w:val="0"/>
              <w:contextualSpacing/>
              <w:rPr>
                <w:rFonts w:cstheme="minorHAnsi"/>
                <w:color w:val="000000"/>
                <w:szCs w:val="24"/>
              </w:rPr>
            </w:pPr>
            <w:r w:rsidRPr="00F10A5B">
              <w:rPr>
                <w:rFonts w:cstheme="minorHAnsi"/>
                <w:color w:val="000000"/>
                <w:szCs w:val="24"/>
              </w:rPr>
              <w:t>Inconnus</w:t>
            </w:r>
          </w:p>
        </w:tc>
        <w:tc>
          <w:tcPr>
            <w:tcW w:w="1773" w:type="pct"/>
          </w:tcPr>
          <w:p w14:paraId="18317878"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201</w:t>
            </w:r>
          </w:p>
        </w:tc>
        <w:tc>
          <w:tcPr>
            <w:tcW w:w="1653" w:type="pct"/>
          </w:tcPr>
          <w:p w14:paraId="3CE744AC" w14:textId="019D25B5" w:rsidR="007F7488" w:rsidRPr="00F10A5B" w:rsidRDefault="0052484F" w:rsidP="0052484F">
            <w:pPr>
              <w:autoSpaceDE w:val="0"/>
              <w:autoSpaceDN w:val="0"/>
              <w:adjustRightInd w:val="0"/>
              <w:contextualSpacing/>
              <w:jc w:val="center"/>
              <w:rPr>
                <w:rFonts w:cstheme="minorHAnsi"/>
                <w:color w:val="000000"/>
                <w:szCs w:val="24"/>
              </w:rPr>
            </w:pPr>
            <w:r w:rsidRPr="00F10A5B">
              <w:rPr>
                <w:rFonts w:cstheme="minorHAnsi"/>
                <w:color w:val="000000"/>
                <w:szCs w:val="24"/>
              </w:rPr>
              <w:t>0%</w:t>
            </w:r>
          </w:p>
        </w:tc>
      </w:tr>
    </w:tbl>
    <w:p w14:paraId="202EDF7D" w14:textId="77777777" w:rsidR="007F7488" w:rsidRPr="00F10A5B" w:rsidRDefault="007F7488" w:rsidP="00DA196D">
      <w:pPr>
        <w:tabs>
          <w:tab w:val="left" w:pos="7839"/>
        </w:tabs>
        <w:contextualSpacing/>
        <w:rPr>
          <w:noProof/>
          <w:lang w:eastAsia="en-CA"/>
        </w:rPr>
      </w:pPr>
    </w:p>
    <w:p w14:paraId="5ED1E89A" w14:textId="77777777" w:rsidR="007F7488" w:rsidRPr="00F10A5B" w:rsidRDefault="007F7488" w:rsidP="00DA196D">
      <w:pPr>
        <w:tabs>
          <w:tab w:val="left" w:pos="7839"/>
        </w:tabs>
        <w:contextualSpacing/>
        <w:rPr>
          <w:noProof/>
          <w:lang w:eastAsia="en-CA"/>
        </w:rPr>
        <w:sectPr w:rsidR="007F7488" w:rsidRPr="00F10A5B" w:rsidSect="00E310D2">
          <w:pgSz w:w="15840" w:h="12240" w:orient="landscape"/>
          <w:pgMar w:top="720" w:right="720" w:bottom="720" w:left="720" w:header="708" w:footer="708" w:gutter="0"/>
          <w:cols w:space="708"/>
          <w:titlePg/>
          <w:docGrid w:linePitch="360"/>
        </w:sectPr>
      </w:pPr>
    </w:p>
    <w:p w14:paraId="41409062" w14:textId="4AFAA33D" w:rsidR="007F7488" w:rsidRPr="009168D7" w:rsidRDefault="0052484F" w:rsidP="0052484F">
      <w:pPr>
        <w:pStyle w:val="Heading1"/>
        <w:spacing w:before="120" w:after="120"/>
        <w:rPr>
          <w:noProof/>
          <w:color w:val="auto"/>
          <w:sz w:val="40"/>
          <w:lang w:eastAsia="en-CA"/>
        </w:rPr>
      </w:pPr>
      <w:r w:rsidRPr="009168D7">
        <w:rPr>
          <w:noProof/>
          <w:color w:val="auto"/>
          <w:sz w:val="40"/>
          <w:lang w:eastAsia="en-CA"/>
        </w:rPr>
        <w:lastRenderedPageBreak/>
        <w:t>Embauche externe pour une période indéterminée selon le groupe professionnel, 2019-2020</w:t>
      </w:r>
    </w:p>
    <w:p w14:paraId="2983E698" w14:textId="77777777" w:rsidR="0052484F" w:rsidRPr="00F10A5B" w:rsidRDefault="009B50EA" w:rsidP="00D50D01">
      <w:pPr>
        <w:keepNext/>
        <w:tabs>
          <w:tab w:val="left" w:pos="7839"/>
        </w:tabs>
        <w:spacing w:after="0"/>
        <w:contextualSpacing/>
        <w:jc w:val="center"/>
      </w:pPr>
      <w:r w:rsidRPr="00F10A5B">
        <w:rPr>
          <w:noProof/>
          <w:lang w:eastAsia="en-CA"/>
        </w:rPr>
        <w:drawing>
          <wp:inline distT="0" distB="0" distL="0" distR="0" wp14:anchorId="61754E7C" wp14:editId="4F3D3318">
            <wp:extent cx="1980000" cy="3020400"/>
            <wp:effectExtent l="0" t="0" r="1270" b="8890"/>
            <wp:docPr id="7" name="Chart 7" descr="Embauche externe pour une période indéterminée selon le groupe professionnel, 2019-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55B22B" w14:textId="79DDFB81" w:rsidR="007F7488" w:rsidRPr="00F10A5B" w:rsidRDefault="0052484F" w:rsidP="00D060E8">
      <w:pPr>
        <w:pStyle w:val="Caption"/>
        <w:spacing w:after="0"/>
        <w:jc w:val="center"/>
        <w:rPr>
          <w:i w:val="0"/>
          <w:noProof/>
          <w:color w:val="auto"/>
          <w:lang w:eastAsia="en-CA"/>
        </w:rPr>
      </w:pPr>
      <w:r w:rsidRPr="00F10A5B">
        <w:rPr>
          <w:i w:val="0"/>
          <w:color w:val="auto"/>
        </w:rPr>
        <w:t xml:space="preserve">Figure </w:t>
      </w:r>
      <w:r w:rsidRPr="00F10A5B">
        <w:rPr>
          <w:i w:val="0"/>
          <w:color w:val="auto"/>
        </w:rPr>
        <w:fldChar w:fldCharType="begin"/>
      </w:r>
      <w:r w:rsidRPr="00F10A5B">
        <w:rPr>
          <w:i w:val="0"/>
          <w:color w:val="auto"/>
        </w:rPr>
        <w:instrText xml:space="preserve"> SEQ Figure \* ARABIC </w:instrText>
      </w:r>
      <w:r w:rsidRPr="00F10A5B">
        <w:rPr>
          <w:i w:val="0"/>
          <w:color w:val="auto"/>
        </w:rPr>
        <w:fldChar w:fldCharType="separate"/>
      </w:r>
      <w:r w:rsidR="00E5173D" w:rsidRPr="00F10A5B">
        <w:rPr>
          <w:i w:val="0"/>
          <w:noProof/>
          <w:color w:val="auto"/>
        </w:rPr>
        <w:t>5</w:t>
      </w:r>
      <w:r w:rsidRPr="00F10A5B">
        <w:rPr>
          <w:i w:val="0"/>
          <w:color w:val="auto"/>
        </w:rPr>
        <w:fldChar w:fldCharType="end"/>
      </w:r>
      <w:r w:rsidRPr="00F10A5B">
        <w:rPr>
          <w:i w:val="0"/>
          <w:color w:val="auto"/>
        </w:rPr>
        <w:t xml:space="preserve"> - Embauche externe pour une période indéterminée selon le groupe professionnel,</w:t>
      </w:r>
      <w:r w:rsidR="00A80C01">
        <w:rPr>
          <w:i w:val="0"/>
          <w:color w:val="auto"/>
        </w:rPr>
        <w:t xml:space="preserve"> 2019-2020</w:t>
      </w:r>
    </w:p>
    <w:p w14:paraId="3EBBC88F" w14:textId="7F602B5F" w:rsidR="00D060E8" w:rsidRPr="00F10A5B" w:rsidRDefault="00D060E8" w:rsidP="009168D7">
      <w:pPr>
        <w:pStyle w:val="Caption"/>
        <w:keepNext/>
        <w:spacing w:before="240" w:after="0"/>
        <w:jc w:val="center"/>
        <w:rPr>
          <w:i w:val="0"/>
          <w:color w:val="auto"/>
        </w:rPr>
      </w:pPr>
      <w:r w:rsidRPr="00F10A5B">
        <w:rPr>
          <w:i w:val="0"/>
          <w:color w:val="auto"/>
        </w:rPr>
        <w:t xml:space="preserve">Table </w:t>
      </w:r>
      <w:r w:rsidRPr="00F10A5B">
        <w:rPr>
          <w:i w:val="0"/>
          <w:color w:val="auto"/>
        </w:rPr>
        <w:fldChar w:fldCharType="begin"/>
      </w:r>
      <w:r w:rsidRPr="00F10A5B">
        <w:rPr>
          <w:i w:val="0"/>
          <w:color w:val="auto"/>
        </w:rPr>
        <w:instrText xml:space="preserve"> SEQ Table \* ARABIC </w:instrText>
      </w:r>
      <w:r w:rsidRPr="00F10A5B">
        <w:rPr>
          <w:i w:val="0"/>
          <w:color w:val="auto"/>
        </w:rPr>
        <w:fldChar w:fldCharType="separate"/>
      </w:r>
      <w:r w:rsidR="007B3B19" w:rsidRPr="00F10A5B">
        <w:rPr>
          <w:i w:val="0"/>
          <w:noProof/>
          <w:color w:val="auto"/>
        </w:rPr>
        <w:t>8</w:t>
      </w:r>
      <w:r w:rsidRPr="00F10A5B">
        <w:rPr>
          <w:i w:val="0"/>
          <w:color w:val="auto"/>
        </w:rPr>
        <w:fldChar w:fldCharType="end"/>
      </w:r>
      <w:r w:rsidRPr="00F10A5B">
        <w:rPr>
          <w:i w:val="0"/>
          <w:color w:val="auto"/>
        </w:rPr>
        <w:t xml:space="preserve"> -Embauche externe à des postes pour une période indéterminée selon le groupe professionnel, de 2019 à 2020</w:t>
      </w:r>
    </w:p>
    <w:tbl>
      <w:tblPr>
        <w:tblStyle w:val="TableGrid"/>
        <w:tblW w:w="5000" w:type="pct"/>
        <w:jc w:val="center"/>
        <w:tblLook w:val="0020" w:firstRow="1" w:lastRow="0" w:firstColumn="0" w:lastColumn="0" w:noHBand="0" w:noVBand="0"/>
        <w:tblDescription w:val="Embauches externes indéterminées selon le groupe professionnel 2019-2020"/>
      </w:tblPr>
      <w:tblGrid>
        <w:gridCol w:w="4956"/>
        <w:gridCol w:w="4654"/>
        <w:gridCol w:w="4780"/>
      </w:tblGrid>
      <w:tr w:rsidR="007F7488" w:rsidRPr="00F10A5B" w14:paraId="5A72563E" w14:textId="77777777" w:rsidTr="00FB62DB">
        <w:trPr>
          <w:cantSplit/>
          <w:trHeight w:val="290"/>
          <w:tblHeader/>
          <w:jc w:val="center"/>
        </w:trPr>
        <w:tc>
          <w:tcPr>
            <w:tcW w:w="1722" w:type="pct"/>
          </w:tcPr>
          <w:p w14:paraId="40A73358" w14:textId="77777777" w:rsidR="007F7488" w:rsidRPr="00F10A5B" w:rsidRDefault="007F7488" w:rsidP="0052484F">
            <w:pPr>
              <w:pStyle w:val="TableTitle"/>
              <w:contextualSpacing/>
              <w:rPr>
                <w:color w:val="000000"/>
              </w:rPr>
            </w:pPr>
            <w:r w:rsidRPr="00F10A5B">
              <w:t>Groupes professionnels</w:t>
            </w:r>
          </w:p>
        </w:tc>
        <w:tc>
          <w:tcPr>
            <w:tcW w:w="1617" w:type="pct"/>
          </w:tcPr>
          <w:p w14:paraId="12B41D90" w14:textId="12BDB871" w:rsidR="007F7488" w:rsidRPr="00F10A5B" w:rsidRDefault="007F7488" w:rsidP="005A4FEB">
            <w:pPr>
              <w:pStyle w:val="TableTitle"/>
              <w:contextualSpacing/>
              <w:rPr>
                <w:color w:val="000000"/>
              </w:rPr>
            </w:pPr>
            <w:r w:rsidRPr="00F10A5B">
              <w:rPr>
                <w:color w:val="000000"/>
              </w:rPr>
              <w:t xml:space="preserve">Nombre d'embauches pour une période indéterminée </w:t>
            </w:r>
          </w:p>
        </w:tc>
        <w:tc>
          <w:tcPr>
            <w:tcW w:w="1661" w:type="pct"/>
          </w:tcPr>
          <w:p w14:paraId="22DEDA88" w14:textId="563B3E32" w:rsidR="007F7488" w:rsidRPr="00F10A5B" w:rsidRDefault="007F7488" w:rsidP="005A4FEB">
            <w:pPr>
              <w:pStyle w:val="TableTitle"/>
              <w:contextualSpacing/>
              <w:rPr>
                <w:color w:val="000000"/>
              </w:rPr>
            </w:pPr>
            <w:r w:rsidRPr="00F10A5B">
              <w:rPr>
                <w:color w:val="000000"/>
              </w:rPr>
              <w:t xml:space="preserve">Pourcentage d'embauches pour une période indéterminée </w:t>
            </w:r>
          </w:p>
        </w:tc>
      </w:tr>
      <w:tr w:rsidR="007F7488" w:rsidRPr="00A80C01" w14:paraId="3E375197" w14:textId="77777777" w:rsidTr="00FB62DB">
        <w:trPr>
          <w:cantSplit/>
          <w:trHeight w:val="290"/>
          <w:tblHeader/>
          <w:jc w:val="center"/>
        </w:trPr>
        <w:tc>
          <w:tcPr>
            <w:tcW w:w="1722" w:type="pct"/>
          </w:tcPr>
          <w:p w14:paraId="6F636342" w14:textId="77777777" w:rsidR="007F7488" w:rsidRPr="00A80C01" w:rsidRDefault="007F7488" w:rsidP="0052484F">
            <w:pPr>
              <w:autoSpaceDE w:val="0"/>
              <w:autoSpaceDN w:val="0"/>
              <w:adjustRightInd w:val="0"/>
              <w:contextualSpacing/>
              <w:rPr>
                <w:rFonts w:cstheme="minorHAnsi"/>
                <w:color w:val="000000"/>
              </w:rPr>
            </w:pPr>
            <w:r w:rsidRPr="00A80C01">
              <w:rPr>
                <w:rFonts w:cstheme="minorHAnsi"/>
                <w:color w:val="000000"/>
              </w:rPr>
              <w:t>AS – Services administratifs</w:t>
            </w:r>
          </w:p>
        </w:tc>
        <w:tc>
          <w:tcPr>
            <w:tcW w:w="1617" w:type="pct"/>
          </w:tcPr>
          <w:p w14:paraId="52E3D9E7"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68</w:t>
            </w:r>
          </w:p>
        </w:tc>
        <w:tc>
          <w:tcPr>
            <w:tcW w:w="1661" w:type="pct"/>
          </w:tcPr>
          <w:p w14:paraId="0A2B67BC"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23%</w:t>
            </w:r>
          </w:p>
        </w:tc>
      </w:tr>
      <w:tr w:rsidR="007F7488" w:rsidRPr="00A80C01" w14:paraId="517A92ED" w14:textId="77777777" w:rsidTr="00FB62DB">
        <w:trPr>
          <w:cantSplit/>
          <w:trHeight w:val="290"/>
          <w:tblHeader/>
          <w:jc w:val="center"/>
        </w:trPr>
        <w:tc>
          <w:tcPr>
            <w:tcW w:w="1722" w:type="pct"/>
          </w:tcPr>
          <w:p w14:paraId="6B41F3D5" w14:textId="77777777" w:rsidR="007F7488" w:rsidRPr="00A80C01" w:rsidRDefault="007F7488" w:rsidP="0052484F">
            <w:pPr>
              <w:autoSpaceDE w:val="0"/>
              <w:autoSpaceDN w:val="0"/>
              <w:adjustRightInd w:val="0"/>
              <w:contextualSpacing/>
              <w:rPr>
                <w:rFonts w:cstheme="minorHAnsi"/>
                <w:color w:val="000000"/>
              </w:rPr>
            </w:pPr>
            <w:r w:rsidRPr="00A80C01">
              <w:rPr>
                <w:rFonts w:cstheme="minorHAnsi"/>
                <w:color w:val="000000"/>
              </w:rPr>
              <w:t>EC – Groupe Économique et services de sciences sociales</w:t>
            </w:r>
          </w:p>
        </w:tc>
        <w:tc>
          <w:tcPr>
            <w:tcW w:w="1617" w:type="pct"/>
          </w:tcPr>
          <w:p w14:paraId="5C341462"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67</w:t>
            </w:r>
          </w:p>
        </w:tc>
        <w:tc>
          <w:tcPr>
            <w:tcW w:w="1661" w:type="pct"/>
          </w:tcPr>
          <w:p w14:paraId="54FEE3EB"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22%</w:t>
            </w:r>
          </w:p>
        </w:tc>
      </w:tr>
      <w:tr w:rsidR="007F7488" w:rsidRPr="00A80C01" w14:paraId="57C38A8D" w14:textId="77777777" w:rsidTr="00FB62DB">
        <w:trPr>
          <w:cantSplit/>
          <w:trHeight w:val="290"/>
          <w:tblHeader/>
          <w:jc w:val="center"/>
        </w:trPr>
        <w:tc>
          <w:tcPr>
            <w:tcW w:w="1722" w:type="pct"/>
          </w:tcPr>
          <w:p w14:paraId="66635ECB" w14:textId="77777777" w:rsidR="007F7488" w:rsidRPr="00A80C01" w:rsidRDefault="007F7488" w:rsidP="0052484F">
            <w:pPr>
              <w:autoSpaceDE w:val="0"/>
              <w:autoSpaceDN w:val="0"/>
              <w:adjustRightInd w:val="0"/>
              <w:contextualSpacing/>
              <w:rPr>
                <w:rFonts w:cstheme="minorHAnsi"/>
                <w:color w:val="000000"/>
              </w:rPr>
            </w:pPr>
            <w:r w:rsidRPr="00A80C01">
              <w:rPr>
                <w:rFonts w:cstheme="minorHAnsi"/>
                <w:color w:val="000000"/>
              </w:rPr>
              <w:t>PM – Administration des programmes</w:t>
            </w:r>
          </w:p>
        </w:tc>
        <w:tc>
          <w:tcPr>
            <w:tcW w:w="1617" w:type="pct"/>
          </w:tcPr>
          <w:p w14:paraId="0D3883A4"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36</w:t>
            </w:r>
          </w:p>
        </w:tc>
        <w:tc>
          <w:tcPr>
            <w:tcW w:w="1661" w:type="pct"/>
          </w:tcPr>
          <w:p w14:paraId="4C1EE1A6"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12%</w:t>
            </w:r>
          </w:p>
        </w:tc>
      </w:tr>
      <w:tr w:rsidR="007F7488" w:rsidRPr="00A80C01" w14:paraId="0FB25B7A" w14:textId="77777777" w:rsidTr="00FB62DB">
        <w:trPr>
          <w:cantSplit/>
          <w:trHeight w:val="290"/>
          <w:tblHeader/>
          <w:jc w:val="center"/>
        </w:trPr>
        <w:tc>
          <w:tcPr>
            <w:tcW w:w="1722" w:type="pct"/>
          </w:tcPr>
          <w:p w14:paraId="03A7169F" w14:textId="77777777" w:rsidR="007F7488" w:rsidRPr="00A80C01" w:rsidRDefault="007F7488" w:rsidP="0052484F">
            <w:pPr>
              <w:autoSpaceDE w:val="0"/>
              <w:autoSpaceDN w:val="0"/>
              <w:adjustRightInd w:val="0"/>
              <w:contextualSpacing/>
              <w:rPr>
                <w:rFonts w:cstheme="minorHAnsi"/>
                <w:color w:val="000000"/>
              </w:rPr>
            </w:pPr>
            <w:r w:rsidRPr="00A80C01">
              <w:rPr>
                <w:rFonts w:cstheme="minorHAnsi"/>
                <w:color w:val="000000"/>
              </w:rPr>
              <w:t>CR – Commis aux écritures et aux règlements</w:t>
            </w:r>
          </w:p>
        </w:tc>
        <w:tc>
          <w:tcPr>
            <w:tcW w:w="1617" w:type="pct"/>
          </w:tcPr>
          <w:p w14:paraId="3C1B8B9B"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34</w:t>
            </w:r>
          </w:p>
        </w:tc>
        <w:tc>
          <w:tcPr>
            <w:tcW w:w="1661" w:type="pct"/>
          </w:tcPr>
          <w:p w14:paraId="07C79BD8"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11%</w:t>
            </w:r>
          </w:p>
        </w:tc>
      </w:tr>
      <w:tr w:rsidR="007F7488" w:rsidRPr="00A80C01" w14:paraId="19596869" w14:textId="77777777" w:rsidTr="00FB62DB">
        <w:trPr>
          <w:cantSplit/>
          <w:trHeight w:val="290"/>
          <w:tblHeader/>
          <w:jc w:val="center"/>
        </w:trPr>
        <w:tc>
          <w:tcPr>
            <w:tcW w:w="1722" w:type="pct"/>
          </w:tcPr>
          <w:p w14:paraId="486C1F07" w14:textId="77777777" w:rsidR="007F7488" w:rsidRPr="00A80C01" w:rsidRDefault="007F7488" w:rsidP="0052484F">
            <w:pPr>
              <w:autoSpaceDE w:val="0"/>
              <w:autoSpaceDN w:val="0"/>
              <w:adjustRightInd w:val="0"/>
              <w:contextualSpacing/>
              <w:rPr>
                <w:rFonts w:cstheme="minorHAnsi"/>
                <w:color w:val="000000"/>
              </w:rPr>
            </w:pPr>
            <w:r w:rsidRPr="00A80C01">
              <w:rPr>
                <w:rFonts w:cstheme="minorHAnsi"/>
                <w:color w:val="000000"/>
              </w:rPr>
              <w:t>CS – Systèmes d’ordinateurs</w:t>
            </w:r>
          </w:p>
        </w:tc>
        <w:tc>
          <w:tcPr>
            <w:tcW w:w="1617" w:type="pct"/>
          </w:tcPr>
          <w:p w14:paraId="76EF22DC"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30</w:t>
            </w:r>
          </w:p>
        </w:tc>
        <w:tc>
          <w:tcPr>
            <w:tcW w:w="1661" w:type="pct"/>
          </w:tcPr>
          <w:p w14:paraId="4F195186"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10%</w:t>
            </w:r>
          </w:p>
        </w:tc>
      </w:tr>
      <w:tr w:rsidR="007F7488" w:rsidRPr="00A80C01" w14:paraId="654B3CBF" w14:textId="77777777" w:rsidTr="00FB62DB">
        <w:trPr>
          <w:cantSplit/>
          <w:trHeight w:val="290"/>
          <w:tblHeader/>
          <w:jc w:val="center"/>
        </w:trPr>
        <w:tc>
          <w:tcPr>
            <w:tcW w:w="1722" w:type="pct"/>
          </w:tcPr>
          <w:p w14:paraId="160738BF" w14:textId="77777777" w:rsidR="007F7488" w:rsidRPr="00A80C01" w:rsidRDefault="007F7488" w:rsidP="0052484F">
            <w:pPr>
              <w:autoSpaceDE w:val="0"/>
              <w:autoSpaceDN w:val="0"/>
              <w:adjustRightInd w:val="0"/>
              <w:contextualSpacing/>
              <w:rPr>
                <w:rFonts w:cstheme="minorHAnsi"/>
                <w:color w:val="000000"/>
              </w:rPr>
            </w:pPr>
            <w:r w:rsidRPr="00A80C01">
              <w:rPr>
                <w:rFonts w:cstheme="minorHAnsi"/>
                <w:color w:val="000000"/>
              </w:rPr>
              <w:t>Autre</w:t>
            </w:r>
          </w:p>
        </w:tc>
        <w:tc>
          <w:tcPr>
            <w:tcW w:w="1617" w:type="pct"/>
          </w:tcPr>
          <w:p w14:paraId="2E18BE7F"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64</w:t>
            </w:r>
          </w:p>
        </w:tc>
        <w:tc>
          <w:tcPr>
            <w:tcW w:w="1661" w:type="pct"/>
          </w:tcPr>
          <w:p w14:paraId="0650D014"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21%</w:t>
            </w:r>
          </w:p>
        </w:tc>
      </w:tr>
      <w:tr w:rsidR="007F7488" w:rsidRPr="00A80C01" w14:paraId="0F1CF04C" w14:textId="77777777" w:rsidTr="00FB62DB">
        <w:trPr>
          <w:cantSplit/>
          <w:trHeight w:val="290"/>
          <w:tblHeader/>
          <w:jc w:val="center"/>
        </w:trPr>
        <w:tc>
          <w:tcPr>
            <w:tcW w:w="1722" w:type="pct"/>
          </w:tcPr>
          <w:p w14:paraId="12664F0B" w14:textId="77777777" w:rsidR="007F7488" w:rsidRPr="00A80C01" w:rsidRDefault="007F7488" w:rsidP="0052484F">
            <w:pPr>
              <w:autoSpaceDE w:val="0"/>
              <w:autoSpaceDN w:val="0"/>
              <w:adjustRightInd w:val="0"/>
              <w:contextualSpacing/>
              <w:rPr>
                <w:rFonts w:cstheme="minorHAnsi"/>
                <w:color w:val="000000"/>
              </w:rPr>
            </w:pPr>
            <w:r w:rsidRPr="00A80C01">
              <w:rPr>
                <w:rFonts w:cstheme="minorHAnsi"/>
                <w:color w:val="000000"/>
              </w:rPr>
              <w:t>Total</w:t>
            </w:r>
          </w:p>
        </w:tc>
        <w:tc>
          <w:tcPr>
            <w:tcW w:w="1617" w:type="pct"/>
          </w:tcPr>
          <w:p w14:paraId="79F322CC"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299</w:t>
            </w:r>
          </w:p>
        </w:tc>
        <w:tc>
          <w:tcPr>
            <w:tcW w:w="1661" w:type="pct"/>
          </w:tcPr>
          <w:p w14:paraId="7F8AE916" w14:textId="77777777" w:rsidR="007F7488" w:rsidRPr="00A80C01" w:rsidRDefault="007F7488" w:rsidP="0052484F">
            <w:pPr>
              <w:autoSpaceDE w:val="0"/>
              <w:autoSpaceDN w:val="0"/>
              <w:adjustRightInd w:val="0"/>
              <w:contextualSpacing/>
              <w:jc w:val="center"/>
              <w:rPr>
                <w:rFonts w:cstheme="minorHAnsi"/>
                <w:color w:val="000000"/>
              </w:rPr>
            </w:pPr>
            <w:r w:rsidRPr="00A80C01">
              <w:rPr>
                <w:rFonts w:cstheme="minorHAnsi"/>
                <w:color w:val="000000"/>
              </w:rPr>
              <w:t>100%</w:t>
            </w:r>
          </w:p>
        </w:tc>
      </w:tr>
    </w:tbl>
    <w:p w14:paraId="2D8E12DA" w14:textId="77777777" w:rsidR="007F7488" w:rsidRPr="00F10A5B" w:rsidRDefault="007F7488" w:rsidP="00DA196D">
      <w:pPr>
        <w:tabs>
          <w:tab w:val="left" w:pos="7839"/>
        </w:tabs>
        <w:contextualSpacing/>
        <w:rPr>
          <w:noProof/>
          <w:lang w:eastAsia="en-CA"/>
        </w:rPr>
        <w:sectPr w:rsidR="007F7488" w:rsidRPr="00F10A5B" w:rsidSect="00E310D2">
          <w:pgSz w:w="15840" w:h="12240" w:orient="landscape"/>
          <w:pgMar w:top="720" w:right="720" w:bottom="720" w:left="720" w:header="708" w:footer="708" w:gutter="0"/>
          <w:cols w:space="708"/>
          <w:titlePg/>
          <w:docGrid w:linePitch="360"/>
        </w:sectPr>
      </w:pPr>
    </w:p>
    <w:p w14:paraId="17C20540" w14:textId="77777777" w:rsidR="00D50D01" w:rsidRPr="00A80C01" w:rsidRDefault="00D50D01" w:rsidP="00D50D01">
      <w:pPr>
        <w:pStyle w:val="Heading1"/>
        <w:spacing w:before="120" w:after="120"/>
        <w:rPr>
          <w:color w:val="auto"/>
          <w:sz w:val="36"/>
        </w:rPr>
      </w:pPr>
      <w:r w:rsidRPr="00A80C01">
        <w:rPr>
          <w:color w:val="auto"/>
          <w:sz w:val="40"/>
        </w:rPr>
        <w:lastRenderedPageBreak/>
        <w:t>Dotation selon la région</w:t>
      </w:r>
    </w:p>
    <w:p w14:paraId="1D6739C3" w14:textId="77777777" w:rsidR="00D50D01" w:rsidRPr="00F10A5B" w:rsidRDefault="007F7488" w:rsidP="000F1FAD">
      <w:pPr>
        <w:keepNext/>
        <w:tabs>
          <w:tab w:val="left" w:pos="7839"/>
        </w:tabs>
        <w:spacing w:after="0"/>
        <w:contextualSpacing/>
        <w:jc w:val="center"/>
      </w:pPr>
      <w:r w:rsidRPr="00F10A5B">
        <w:rPr>
          <w:noProof/>
          <w:lang w:eastAsia="en-CA"/>
        </w:rPr>
        <w:drawing>
          <wp:inline distT="0" distB="0" distL="0" distR="0" wp14:anchorId="6A024A36" wp14:editId="573769C1">
            <wp:extent cx="5648400" cy="3049200"/>
            <wp:effectExtent l="0" t="0" r="9525" b="18415"/>
            <wp:docPr id="10" name="Chart 10" descr="Dotation selon la rég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4931648" w14:textId="47775793" w:rsidR="007F7488" w:rsidRPr="00A80C01" w:rsidRDefault="00D50D01" w:rsidP="000F1FAD">
      <w:pPr>
        <w:pStyle w:val="Caption"/>
        <w:spacing w:after="0"/>
        <w:jc w:val="center"/>
        <w:rPr>
          <w:i w:val="0"/>
          <w:noProof/>
          <w:color w:val="auto"/>
          <w:lang w:eastAsia="en-CA"/>
        </w:rPr>
      </w:pPr>
      <w:r w:rsidRPr="00A80C01">
        <w:rPr>
          <w:i w:val="0"/>
          <w:color w:val="auto"/>
        </w:rPr>
        <w:t xml:space="preserve">Figure </w:t>
      </w:r>
      <w:r w:rsidRPr="00A80C01">
        <w:rPr>
          <w:i w:val="0"/>
          <w:color w:val="auto"/>
        </w:rPr>
        <w:fldChar w:fldCharType="begin"/>
      </w:r>
      <w:r w:rsidRPr="00A80C01">
        <w:rPr>
          <w:i w:val="0"/>
          <w:color w:val="auto"/>
        </w:rPr>
        <w:instrText xml:space="preserve"> SEQ Figure \* ARABIC </w:instrText>
      </w:r>
      <w:r w:rsidRPr="00A80C01">
        <w:rPr>
          <w:i w:val="0"/>
          <w:color w:val="auto"/>
        </w:rPr>
        <w:fldChar w:fldCharType="separate"/>
      </w:r>
      <w:r w:rsidR="00E5173D" w:rsidRPr="00A80C01">
        <w:rPr>
          <w:i w:val="0"/>
          <w:noProof/>
          <w:color w:val="auto"/>
        </w:rPr>
        <w:t>6</w:t>
      </w:r>
      <w:r w:rsidRPr="00A80C01">
        <w:rPr>
          <w:i w:val="0"/>
          <w:color w:val="auto"/>
        </w:rPr>
        <w:fldChar w:fldCharType="end"/>
      </w:r>
      <w:r w:rsidRPr="00A80C01">
        <w:rPr>
          <w:i w:val="0"/>
          <w:color w:val="auto"/>
        </w:rPr>
        <w:t xml:space="preserve"> - Dotation selon la région</w:t>
      </w:r>
    </w:p>
    <w:p w14:paraId="24623EA2" w14:textId="02EB8DED" w:rsidR="00273EC4" w:rsidRPr="00A80C01" w:rsidRDefault="00273EC4" w:rsidP="000F1FAD">
      <w:pPr>
        <w:pStyle w:val="Caption"/>
        <w:keepNext/>
        <w:spacing w:before="240" w:after="0"/>
        <w:jc w:val="center"/>
        <w:rPr>
          <w:i w:val="0"/>
          <w:color w:val="auto"/>
        </w:rPr>
      </w:pPr>
      <w:r w:rsidRPr="00A80C01">
        <w:rPr>
          <w:i w:val="0"/>
          <w:color w:val="auto"/>
        </w:rPr>
        <w:t xml:space="preserve">Table </w:t>
      </w:r>
      <w:r w:rsidRPr="00A80C01">
        <w:rPr>
          <w:i w:val="0"/>
          <w:color w:val="auto"/>
        </w:rPr>
        <w:fldChar w:fldCharType="begin"/>
      </w:r>
      <w:r w:rsidRPr="00A80C01">
        <w:rPr>
          <w:i w:val="0"/>
          <w:color w:val="auto"/>
        </w:rPr>
        <w:instrText xml:space="preserve"> SEQ Table \* ARABIC </w:instrText>
      </w:r>
      <w:r w:rsidRPr="00A80C01">
        <w:rPr>
          <w:i w:val="0"/>
          <w:color w:val="auto"/>
        </w:rPr>
        <w:fldChar w:fldCharType="separate"/>
      </w:r>
      <w:r w:rsidR="007B3B19" w:rsidRPr="00A80C01">
        <w:rPr>
          <w:i w:val="0"/>
          <w:noProof/>
          <w:color w:val="auto"/>
        </w:rPr>
        <w:t>9</w:t>
      </w:r>
      <w:r w:rsidRPr="00A80C01">
        <w:rPr>
          <w:i w:val="0"/>
          <w:color w:val="auto"/>
        </w:rPr>
        <w:fldChar w:fldCharType="end"/>
      </w:r>
      <w:r w:rsidRPr="00A80C01">
        <w:rPr>
          <w:i w:val="0"/>
          <w:color w:val="auto"/>
        </w:rPr>
        <w:t xml:space="preserve"> - Pourcentage des activités de dotation dans la région de la capitale nationale en comparaison avec les régions à l’extérieur de la région de la capitale nationale selon l'exercice financier</w:t>
      </w:r>
    </w:p>
    <w:tbl>
      <w:tblPr>
        <w:tblStyle w:val="TableGrid"/>
        <w:tblW w:w="5000" w:type="pct"/>
        <w:jc w:val="center"/>
        <w:tblLook w:val="0020" w:firstRow="1" w:lastRow="0" w:firstColumn="0" w:lastColumn="0" w:noHBand="0" w:noVBand="0"/>
        <w:tblDescription w:val="Dotation selon la région au 31 mars 2020"/>
      </w:tblPr>
      <w:tblGrid>
        <w:gridCol w:w="2193"/>
        <w:gridCol w:w="5883"/>
        <w:gridCol w:w="6314"/>
      </w:tblGrid>
      <w:tr w:rsidR="000F1FAD" w:rsidRPr="00F10A5B" w14:paraId="10491157" w14:textId="77777777" w:rsidTr="00FB62DB">
        <w:trPr>
          <w:cantSplit/>
          <w:trHeight w:val="290"/>
          <w:tblHeader/>
          <w:jc w:val="center"/>
        </w:trPr>
        <w:tc>
          <w:tcPr>
            <w:tcW w:w="762" w:type="pct"/>
          </w:tcPr>
          <w:p w14:paraId="392EFA58" w14:textId="77777777" w:rsidR="007F7488" w:rsidRPr="00F10A5B" w:rsidRDefault="007F7488" w:rsidP="000F1FAD">
            <w:pPr>
              <w:pStyle w:val="TableTitle"/>
            </w:pPr>
            <w:r w:rsidRPr="00F10A5B">
              <w:t>L'exercice financier</w:t>
            </w:r>
          </w:p>
        </w:tc>
        <w:tc>
          <w:tcPr>
            <w:tcW w:w="2044" w:type="pct"/>
          </w:tcPr>
          <w:p w14:paraId="5A46D91C" w14:textId="77777777" w:rsidR="007F7488" w:rsidRPr="00F10A5B" w:rsidRDefault="007F7488" w:rsidP="000F1FAD">
            <w:pPr>
              <w:pStyle w:val="TableTitle"/>
            </w:pPr>
            <w:r w:rsidRPr="00F10A5B">
              <w:t xml:space="preserve">Pourcentage des activités de dotation à l’organisation qui a eu lieu dans la région de la capitale nationale (RCN) </w:t>
            </w:r>
          </w:p>
        </w:tc>
        <w:tc>
          <w:tcPr>
            <w:tcW w:w="2194" w:type="pct"/>
          </w:tcPr>
          <w:p w14:paraId="6B03EA86" w14:textId="77777777" w:rsidR="007F7488" w:rsidRPr="00F10A5B" w:rsidRDefault="007F7488" w:rsidP="000F1FAD">
            <w:pPr>
              <w:pStyle w:val="TableTitle"/>
            </w:pPr>
            <w:r w:rsidRPr="00F10A5B">
              <w:t>Pourcentage des activités de dotation à l’organisation qui a eu lieu à l’extérieur de la région de la capitale nationale (RCN)</w:t>
            </w:r>
          </w:p>
        </w:tc>
      </w:tr>
      <w:tr w:rsidR="00A80C01" w:rsidRPr="00A80C01" w14:paraId="6A42FA1A" w14:textId="77777777" w:rsidTr="00FB62DB">
        <w:trPr>
          <w:cantSplit/>
          <w:trHeight w:val="290"/>
          <w:tblHeader/>
          <w:jc w:val="center"/>
        </w:trPr>
        <w:tc>
          <w:tcPr>
            <w:tcW w:w="762" w:type="pct"/>
          </w:tcPr>
          <w:p w14:paraId="5E2AF76B" w14:textId="77777777" w:rsidR="007F7488" w:rsidRPr="00A80C01" w:rsidRDefault="007F7488" w:rsidP="0052484F">
            <w:pPr>
              <w:autoSpaceDE w:val="0"/>
              <w:autoSpaceDN w:val="0"/>
              <w:adjustRightInd w:val="0"/>
              <w:contextualSpacing/>
              <w:rPr>
                <w:rFonts w:cstheme="minorHAnsi"/>
                <w:color w:val="auto"/>
              </w:rPr>
            </w:pPr>
            <w:r w:rsidRPr="00A80C01">
              <w:rPr>
                <w:rFonts w:cstheme="minorHAnsi"/>
                <w:color w:val="auto"/>
              </w:rPr>
              <w:t>2015 à 2016</w:t>
            </w:r>
          </w:p>
        </w:tc>
        <w:tc>
          <w:tcPr>
            <w:tcW w:w="2044" w:type="pct"/>
          </w:tcPr>
          <w:p w14:paraId="3162A248" w14:textId="77777777" w:rsidR="007F7488" w:rsidRPr="00A80C01" w:rsidRDefault="007F7488" w:rsidP="0052484F">
            <w:pPr>
              <w:autoSpaceDE w:val="0"/>
              <w:autoSpaceDN w:val="0"/>
              <w:adjustRightInd w:val="0"/>
              <w:contextualSpacing/>
              <w:jc w:val="center"/>
              <w:rPr>
                <w:rFonts w:cstheme="minorHAnsi"/>
                <w:color w:val="auto"/>
              </w:rPr>
            </w:pPr>
            <w:r w:rsidRPr="00A80C01">
              <w:rPr>
                <w:rFonts w:cstheme="minorHAnsi"/>
                <w:color w:val="auto"/>
              </w:rPr>
              <w:t>55%</w:t>
            </w:r>
          </w:p>
        </w:tc>
        <w:tc>
          <w:tcPr>
            <w:tcW w:w="2194" w:type="pct"/>
          </w:tcPr>
          <w:p w14:paraId="2FF878E7" w14:textId="77777777" w:rsidR="007F7488" w:rsidRPr="00A80C01" w:rsidRDefault="007F7488" w:rsidP="0052484F">
            <w:pPr>
              <w:autoSpaceDE w:val="0"/>
              <w:autoSpaceDN w:val="0"/>
              <w:adjustRightInd w:val="0"/>
              <w:contextualSpacing/>
              <w:jc w:val="center"/>
              <w:rPr>
                <w:rFonts w:cstheme="minorHAnsi"/>
                <w:color w:val="auto"/>
              </w:rPr>
            </w:pPr>
            <w:r w:rsidRPr="00A80C01">
              <w:rPr>
                <w:rFonts w:cstheme="minorHAnsi"/>
                <w:color w:val="auto"/>
              </w:rPr>
              <w:t>45%</w:t>
            </w:r>
          </w:p>
        </w:tc>
      </w:tr>
      <w:tr w:rsidR="00A80C01" w:rsidRPr="00A80C01" w14:paraId="6A181870" w14:textId="77777777" w:rsidTr="00FB62DB">
        <w:trPr>
          <w:cantSplit/>
          <w:trHeight w:val="290"/>
          <w:tblHeader/>
          <w:jc w:val="center"/>
        </w:trPr>
        <w:tc>
          <w:tcPr>
            <w:tcW w:w="762" w:type="pct"/>
          </w:tcPr>
          <w:p w14:paraId="26819C87" w14:textId="77777777" w:rsidR="007F7488" w:rsidRPr="00A80C01" w:rsidRDefault="007F7488" w:rsidP="0052484F">
            <w:pPr>
              <w:autoSpaceDE w:val="0"/>
              <w:autoSpaceDN w:val="0"/>
              <w:adjustRightInd w:val="0"/>
              <w:contextualSpacing/>
              <w:rPr>
                <w:rFonts w:cstheme="minorHAnsi"/>
                <w:color w:val="auto"/>
              </w:rPr>
            </w:pPr>
            <w:r w:rsidRPr="00A80C01">
              <w:rPr>
                <w:rFonts w:cstheme="minorHAnsi"/>
                <w:color w:val="auto"/>
              </w:rPr>
              <w:t>2016 à 2017</w:t>
            </w:r>
          </w:p>
        </w:tc>
        <w:tc>
          <w:tcPr>
            <w:tcW w:w="2044" w:type="pct"/>
          </w:tcPr>
          <w:p w14:paraId="555E9BCB" w14:textId="77777777" w:rsidR="007F7488" w:rsidRPr="00A80C01" w:rsidRDefault="007F7488" w:rsidP="0052484F">
            <w:pPr>
              <w:autoSpaceDE w:val="0"/>
              <w:autoSpaceDN w:val="0"/>
              <w:adjustRightInd w:val="0"/>
              <w:contextualSpacing/>
              <w:jc w:val="center"/>
              <w:rPr>
                <w:rFonts w:cstheme="minorHAnsi"/>
                <w:color w:val="auto"/>
              </w:rPr>
            </w:pPr>
            <w:r w:rsidRPr="00A80C01">
              <w:rPr>
                <w:rFonts w:cstheme="minorHAnsi"/>
                <w:color w:val="auto"/>
              </w:rPr>
              <w:t>56%</w:t>
            </w:r>
          </w:p>
        </w:tc>
        <w:tc>
          <w:tcPr>
            <w:tcW w:w="2194" w:type="pct"/>
          </w:tcPr>
          <w:p w14:paraId="298B8FCB" w14:textId="77777777" w:rsidR="007F7488" w:rsidRPr="00A80C01" w:rsidRDefault="007F7488" w:rsidP="0052484F">
            <w:pPr>
              <w:autoSpaceDE w:val="0"/>
              <w:autoSpaceDN w:val="0"/>
              <w:adjustRightInd w:val="0"/>
              <w:contextualSpacing/>
              <w:jc w:val="center"/>
              <w:rPr>
                <w:rFonts w:cstheme="minorHAnsi"/>
                <w:color w:val="auto"/>
              </w:rPr>
            </w:pPr>
            <w:r w:rsidRPr="00A80C01">
              <w:rPr>
                <w:rFonts w:cstheme="minorHAnsi"/>
                <w:color w:val="auto"/>
              </w:rPr>
              <w:t>44%</w:t>
            </w:r>
          </w:p>
        </w:tc>
      </w:tr>
      <w:tr w:rsidR="00A80C01" w:rsidRPr="00A80C01" w14:paraId="4F15F1DC" w14:textId="77777777" w:rsidTr="00FB62DB">
        <w:trPr>
          <w:cantSplit/>
          <w:trHeight w:val="290"/>
          <w:tblHeader/>
          <w:jc w:val="center"/>
        </w:trPr>
        <w:tc>
          <w:tcPr>
            <w:tcW w:w="762" w:type="pct"/>
          </w:tcPr>
          <w:p w14:paraId="396E7BA5" w14:textId="77777777" w:rsidR="007F7488" w:rsidRPr="00A80C01" w:rsidRDefault="007F7488" w:rsidP="0052484F">
            <w:pPr>
              <w:autoSpaceDE w:val="0"/>
              <w:autoSpaceDN w:val="0"/>
              <w:adjustRightInd w:val="0"/>
              <w:contextualSpacing/>
              <w:rPr>
                <w:rFonts w:cstheme="minorHAnsi"/>
                <w:color w:val="auto"/>
              </w:rPr>
            </w:pPr>
            <w:r w:rsidRPr="00A80C01">
              <w:rPr>
                <w:rFonts w:cstheme="minorHAnsi"/>
                <w:color w:val="auto"/>
              </w:rPr>
              <w:t>2017 à 2018</w:t>
            </w:r>
          </w:p>
        </w:tc>
        <w:tc>
          <w:tcPr>
            <w:tcW w:w="2044" w:type="pct"/>
          </w:tcPr>
          <w:p w14:paraId="5E8A458D" w14:textId="77777777" w:rsidR="007F7488" w:rsidRPr="00A80C01" w:rsidRDefault="007F7488" w:rsidP="0052484F">
            <w:pPr>
              <w:autoSpaceDE w:val="0"/>
              <w:autoSpaceDN w:val="0"/>
              <w:adjustRightInd w:val="0"/>
              <w:contextualSpacing/>
              <w:jc w:val="center"/>
              <w:rPr>
                <w:rFonts w:cstheme="minorHAnsi"/>
                <w:color w:val="auto"/>
              </w:rPr>
            </w:pPr>
            <w:r w:rsidRPr="00A80C01">
              <w:rPr>
                <w:rFonts w:cstheme="minorHAnsi"/>
                <w:color w:val="auto"/>
              </w:rPr>
              <w:t>55%</w:t>
            </w:r>
          </w:p>
        </w:tc>
        <w:tc>
          <w:tcPr>
            <w:tcW w:w="2194" w:type="pct"/>
          </w:tcPr>
          <w:p w14:paraId="799B1F8A" w14:textId="77777777" w:rsidR="007F7488" w:rsidRPr="00A80C01" w:rsidRDefault="007F7488" w:rsidP="0052484F">
            <w:pPr>
              <w:autoSpaceDE w:val="0"/>
              <w:autoSpaceDN w:val="0"/>
              <w:adjustRightInd w:val="0"/>
              <w:contextualSpacing/>
              <w:jc w:val="center"/>
              <w:rPr>
                <w:rFonts w:cstheme="minorHAnsi"/>
                <w:color w:val="auto"/>
              </w:rPr>
            </w:pPr>
            <w:r w:rsidRPr="00A80C01">
              <w:rPr>
                <w:rFonts w:cstheme="minorHAnsi"/>
                <w:color w:val="auto"/>
              </w:rPr>
              <w:t>45%</w:t>
            </w:r>
          </w:p>
        </w:tc>
      </w:tr>
      <w:tr w:rsidR="00A80C01" w:rsidRPr="00A80C01" w14:paraId="201673E6" w14:textId="77777777" w:rsidTr="00FB62DB">
        <w:trPr>
          <w:cantSplit/>
          <w:trHeight w:val="290"/>
          <w:tblHeader/>
          <w:jc w:val="center"/>
        </w:trPr>
        <w:tc>
          <w:tcPr>
            <w:tcW w:w="762" w:type="pct"/>
          </w:tcPr>
          <w:p w14:paraId="17EC6129" w14:textId="77777777" w:rsidR="007F7488" w:rsidRPr="00A80C01" w:rsidRDefault="007F7488" w:rsidP="0052484F">
            <w:pPr>
              <w:autoSpaceDE w:val="0"/>
              <w:autoSpaceDN w:val="0"/>
              <w:adjustRightInd w:val="0"/>
              <w:contextualSpacing/>
              <w:rPr>
                <w:rFonts w:cstheme="minorHAnsi"/>
                <w:color w:val="auto"/>
              </w:rPr>
            </w:pPr>
            <w:r w:rsidRPr="00A80C01">
              <w:rPr>
                <w:rFonts w:cstheme="minorHAnsi"/>
                <w:color w:val="auto"/>
              </w:rPr>
              <w:t>2018 à 2019</w:t>
            </w:r>
          </w:p>
        </w:tc>
        <w:tc>
          <w:tcPr>
            <w:tcW w:w="2044" w:type="pct"/>
          </w:tcPr>
          <w:p w14:paraId="62582C5F" w14:textId="77777777" w:rsidR="007F7488" w:rsidRPr="00A80C01" w:rsidRDefault="007F7488" w:rsidP="0052484F">
            <w:pPr>
              <w:autoSpaceDE w:val="0"/>
              <w:autoSpaceDN w:val="0"/>
              <w:adjustRightInd w:val="0"/>
              <w:contextualSpacing/>
              <w:jc w:val="center"/>
              <w:rPr>
                <w:rFonts w:cstheme="minorHAnsi"/>
                <w:color w:val="auto"/>
              </w:rPr>
            </w:pPr>
            <w:r w:rsidRPr="00A80C01">
              <w:rPr>
                <w:rFonts w:cstheme="minorHAnsi"/>
                <w:color w:val="auto"/>
              </w:rPr>
              <w:t>62%</w:t>
            </w:r>
          </w:p>
        </w:tc>
        <w:tc>
          <w:tcPr>
            <w:tcW w:w="2194" w:type="pct"/>
          </w:tcPr>
          <w:p w14:paraId="6BAB277A" w14:textId="77777777" w:rsidR="007F7488" w:rsidRPr="00A80C01" w:rsidRDefault="007F7488" w:rsidP="0052484F">
            <w:pPr>
              <w:autoSpaceDE w:val="0"/>
              <w:autoSpaceDN w:val="0"/>
              <w:adjustRightInd w:val="0"/>
              <w:contextualSpacing/>
              <w:jc w:val="center"/>
              <w:rPr>
                <w:rFonts w:cstheme="minorHAnsi"/>
                <w:color w:val="auto"/>
              </w:rPr>
            </w:pPr>
            <w:r w:rsidRPr="00A80C01">
              <w:rPr>
                <w:rFonts w:cstheme="minorHAnsi"/>
                <w:color w:val="auto"/>
              </w:rPr>
              <w:t>38%</w:t>
            </w:r>
          </w:p>
        </w:tc>
      </w:tr>
      <w:tr w:rsidR="00A80C01" w:rsidRPr="00A80C01" w14:paraId="4007BDF1" w14:textId="77777777" w:rsidTr="00FB62DB">
        <w:trPr>
          <w:cantSplit/>
          <w:trHeight w:val="290"/>
          <w:tblHeader/>
          <w:jc w:val="center"/>
        </w:trPr>
        <w:tc>
          <w:tcPr>
            <w:tcW w:w="762" w:type="pct"/>
          </w:tcPr>
          <w:p w14:paraId="18690CB5" w14:textId="77777777" w:rsidR="007F7488" w:rsidRPr="00A80C01" w:rsidRDefault="007F7488" w:rsidP="0052484F">
            <w:pPr>
              <w:autoSpaceDE w:val="0"/>
              <w:autoSpaceDN w:val="0"/>
              <w:adjustRightInd w:val="0"/>
              <w:contextualSpacing/>
              <w:rPr>
                <w:rFonts w:cstheme="minorHAnsi"/>
                <w:color w:val="auto"/>
              </w:rPr>
            </w:pPr>
            <w:r w:rsidRPr="00A80C01">
              <w:rPr>
                <w:rFonts w:cstheme="minorHAnsi"/>
                <w:color w:val="auto"/>
              </w:rPr>
              <w:t>2019 à 2020</w:t>
            </w:r>
          </w:p>
        </w:tc>
        <w:tc>
          <w:tcPr>
            <w:tcW w:w="2044" w:type="pct"/>
          </w:tcPr>
          <w:p w14:paraId="1119408B" w14:textId="77777777" w:rsidR="007F7488" w:rsidRPr="00A80C01" w:rsidRDefault="007F7488" w:rsidP="0052484F">
            <w:pPr>
              <w:autoSpaceDE w:val="0"/>
              <w:autoSpaceDN w:val="0"/>
              <w:adjustRightInd w:val="0"/>
              <w:contextualSpacing/>
              <w:jc w:val="center"/>
              <w:rPr>
                <w:rFonts w:cstheme="minorHAnsi"/>
                <w:color w:val="auto"/>
              </w:rPr>
            </w:pPr>
            <w:r w:rsidRPr="00A80C01">
              <w:rPr>
                <w:rFonts w:cstheme="minorHAnsi"/>
                <w:color w:val="auto"/>
              </w:rPr>
              <w:t>62%</w:t>
            </w:r>
          </w:p>
        </w:tc>
        <w:tc>
          <w:tcPr>
            <w:tcW w:w="2194" w:type="pct"/>
          </w:tcPr>
          <w:p w14:paraId="10CDBE3C" w14:textId="77777777" w:rsidR="007F7488" w:rsidRPr="00A80C01" w:rsidRDefault="007F7488" w:rsidP="0052484F">
            <w:pPr>
              <w:autoSpaceDE w:val="0"/>
              <w:autoSpaceDN w:val="0"/>
              <w:adjustRightInd w:val="0"/>
              <w:contextualSpacing/>
              <w:jc w:val="center"/>
              <w:rPr>
                <w:rFonts w:cstheme="minorHAnsi"/>
                <w:color w:val="auto"/>
              </w:rPr>
            </w:pPr>
            <w:r w:rsidRPr="00A80C01">
              <w:rPr>
                <w:rFonts w:cstheme="minorHAnsi"/>
                <w:color w:val="auto"/>
              </w:rPr>
              <w:t>38%</w:t>
            </w:r>
          </w:p>
        </w:tc>
      </w:tr>
    </w:tbl>
    <w:p w14:paraId="040E9E98" w14:textId="77777777" w:rsidR="007F7488" w:rsidRPr="00A80C01" w:rsidRDefault="007F7488" w:rsidP="007F7488">
      <w:pPr>
        <w:pStyle w:val="ListParagraph"/>
        <w:keepLines w:val="0"/>
        <w:numPr>
          <w:ilvl w:val="0"/>
          <w:numId w:val="39"/>
        </w:numPr>
        <w:spacing w:after="100" w:afterAutospacing="1" w:line="240" w:lineRule="auto"/>
        <w:rPr>
          <w:rFonts w:cstheme="minorHAnsi"/>
          <w:color w:val="auto"/>
        </w:rPr>
      </w:pPr>
      <w:r w:rsidRPr="00A80C01">
        <w:rPr>
          <w:rFonts w:cstheme="minorHAnsi"/>
          <w:color w:val="auto"/>
        </w:rPr>
        <w:t>La distribution régionale exclus les inconnus</w:t>
      </w:r>
    </w:p>
    <w:p w14:paraId="367037B9" w14:textId="77777777" w:rsidR="007F7488" w:rsidRPr="00F10A5B" w:rsidRDefault="007F7488" w:rsidP="00DA196D">
      <w:pPr>
        <w:tabs>
          <w:tab w:val="left" w:pos="7839"/>
        </w:tabs>
        <w:contextualSpacing/>
        <w:rPr>
          <w:noProof/>
          <w:lang w:eastAsia="en-CA"/>
        </w:rPr>
        <w:sectPr w:rsidR="007F7488" w:rsidRPr="00F10A5B" w:rsidSect="00E310D2">
          <w:pgSz w:w="15840" w:h="12240" w:orient="landscape"/>
          <w:pgMar w:top="720" w:right="720" w:bottom="720" w:left="720" w:header="708" w:footer="708" w:gutter="0"/>
          <w:cols w:space="708"/>
          <w:titlePg/>
          <w:docGrid w:linePitch="360"/>
        </w:sectPr>
      </w:pPr>
    </w:p>
    <w:p w14:paraId="7AFABC78" w14:textId="77777777" w:rsidR="001E49D7" w:rsidRPr="00FC70C7" w:rsidRDefault="001E49D7" w:rsidP="001E49D7">
      <w:pPr>
        <w:pStyle w:val="Heading1"/>
        <w:spacing w:before="120" w:after="120"/>
        <w:rPr>
          <w:noProof/>
          <w:color w:val="auto"/>
          <w:sz w:val="40"/>
          <w:lang w:eastAsia="en-CA"/>
        </w:rPr>
      </w:pPr>
      <w:r w:rsidRPr="00FC70C7">
        <w:rPr>
          <w:noProof/>
          <w:color w:val="auto"/>
          <w:sz w:val="40"/>
          <w:lang w:eastAsia="en-CA"/>
        </w:rPr>
        <w:lastRenderedPageBreak/>
        <w:t>Dotation selon le type de processus</w:t>
      </w:r>
    </w:p>
    <w:p w14:paraId="2787219A" w14:textId="77777777" w:rsidR="001E49D7" w:rsidRPr="00F10A5B" w:rsidRDefault="007F7488" w:rsidP="001E49D7">
      <w:pPr>
        <w:keepNext/>
        <w:tabs>
          <w:tab w:val="left" w:pos="7839"/>
        </w:tabs>
        <w:spacing w:after="0"/>
        <w:contextualSpacing/>
        <w:jc w:val="center"/>
      </w:pPr>
      <w:r w:rsidRPr="00F10A5B">
        <w:rPr>
          <w:noProof/>
          <w:lang w:eastAsia="en-CA"/>
        </w:rPr>
        <w:drawing>
          <wp:inline distT="0" distB="0" distL="0" distR="0" wp14:anchorId="1BDF5BB3" wp14:editId="4852552C">
            <wp:extent cx="5648400" cy="3049200"/>
            <wp:effectExtent l="0" t="0" r="9525" b="18415"/>
            <wp:docPr id="3" name="Chart 3" descr="Dotation selon le type de processu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84643E7" w14:textId="0CB6C6CE" w:rsidR="007F7488" w:rsidRPr="00F10A5B" w:rsidRDefault="001E49D7" w:rsidP="001E49D7">
      <w:pPr>
        <w:pStyle w:val="Caption"/>
        <w:spacing w:after="0"/>
        <w:jc w:val="center"/>
        <w:rPr>
          <w:i w:val="0"/>
          <w:color w:val="auto"/>
        </w:rPr>
      </w:pPr>
      <w:r w:rsidRPr="00F10A5B">
        <w:rPr>
          <w:i w:val="0"/>
          <w:color w:val="auto"/>
        </w:rPr>
        <w:t xml:space="preserve">Figure </w:t>
      </w:r>
      <w:r w:rsidRPr="00F10A5B">
        <w:rPr>
          <w:i w:val="0"/>
          <w:color w:val="auto"/>
        </w:rPr>
        <w:fldChar w:fldCharType="begin"/>
      </w:r>
      <w:r w:rsidRPr="00F10A5B">
        <w:rPr>
          <w:i w:val="0"/>
          <w:color w:val="auto"/>
        </w:rPr>
        <w:instrText xml:space="preserve"> SEQ Figure \* ARABIC </w:instrText>
      </w:r>
      <w:r w:rsidRPr="00F10A5B">
        <w:rPr>
          <w:i w:val="0"/>
          <w:color w:val="auto"/>
        </w:rPr>
        <w:fldChar w:fldCharType="separate"/>
      </w:r>
      <w:r w:rsidR="00E5173D" w:rsidRPr="00F10A5B">
        <w:rPr>
          <w:i w:val="0"/>
          <w:noProof/>
          <w:color w:val="auto"/>
        </w:rPr>
        <w:t>7</w:t>
      </w:r>
      <w:r w:rsidRPr="00F10A5B">
        <w:rPr>
          <w:i w:val="0"/>
          <w:color w:val="auto"/>
        </w:rPr>
        <w:fldChar w:fldCharType="end"/>
      </w:r>
      <w:r w:rsidRPr="00F10A5B">
        <w:rPr>
          <w:i w:val="0"/>
          <w:color w:val="auto"/>
        </w:rPr>
        <w:t xml:space="preserve"> - Dotation selon le type de processus</w:t>
      </w:r>
    </w:p>
    <w:p w14:paraId="71DA4720" w14:textId="6F7C99B5" w:rsidR="001E49D7" w:rsidRPr="00F10A5B" w:rsidRDefault="001E49D7" w:rsidP="001E49D7">
      <w:pPr>
        <w:pStyle w:val="Caption"/>
        <w:keepNext/>
        <w:spacing w:before="240" w:after="0"/>
        <w:jc w:val="center"/>
        <w:rPr>
          <w:i w:val="0"/>
          <w:color w:val="auto"/>
        </w:rPr>
      </w:pPr>
      <w:r w:rsidRPr="00F10A5B">
        <w:rPr>
          <w:i w:val="0"/>
          <w:color w:val="auto"/>
        </w:rPr>
        <w:t xml:space="preserve">Table </w:t>
      </w:r>
      <w:r w:rsidRPr="00F10A5B">
        <w:rPr>
          <w:i w:val="0"/>
          <w:color w:val="auto"/>
        </w:rPr>
        <w:fldChar w:fldCharType="begin"/>
      </w:r>
      <w:r w:rsidRPr="00F10A5B">
        <w:rPr>
          <w:i w:val="0"/>
          <w:color w:val="auto"/>
        </w:rPr>
        <w:instrText xml:space="preserve"> SEQ Table \* ARABIC </w:instrText>
      </w:r>
      <w:r w:rsidRPr="00F10A5B">
        <w:rPr>
          <w:i w:val="0"/>
          <w:color w:val="auto"/>
        </w:rPr>
        <w:fldChar w:fldCharType="separate"/>
      </w:r>
      <w:r w:rsidR="007B3B19" w:rsidRPr="00F10A5B">
        <w:rPr>
          <w:i w:val="0"/>
          <w:noProof/>
          <w:color w:val="auto"/>
        </w:rPr>
        <w:t>10</w:t>
      </w:r>
      <w:r w:rsidRPr="00F10A5B">
        <w:rPr>
          <w:i w:val="0"/>
          <w:color w:val="auto"/>
        </w:rPr>
        <w:fldChar w:fldCharType="end"/>
      </w:r>
      <w:r w:rsidRPr="00F10A5B">
        <w:rPr>
          <w:i w:val="0"/>
          <w:color w:val="auto"/>
        </w:rPr>
        <w:t xml:space="preserve"> - Nombre et pourcentage des activités de dotation selon le type de processus et l’exercice financier</w:t>
      </w:r>
    </w:p>
    <w:tbl>
      <w:tblPr>
        <w:tblStyle w:val="TableGrid"/>
        <w:tblW w:w="5000" w:type="pct"/>
        <w:jc w:val="center"/>
        <w:tblLook w:val="0020" w:firstRow="1" w:lastRow="0" w:firstColumn="0" w:lastColumn="0" w:noHBand="0" w:noVBand="0"/>
        <w:tblDescription w:val="Dotation selon le type de processus de 2015 à 2020"/>
      </w:tblPr>
      <w:tblGrid>
        <w:gridCol w:w="2120"/>
        <w:gridCol w:w="4395"/>
        <w:gridCol w:w="3546"/>
        <w:gridCol w:w="4329"/>
      </w:tblGrid>
      <w:tr w:rsidR="007F7488" w:rsidRPr="00F10A5B" w14:paraId="5C3B698A" w14:textId="77777777" w:rsidTr="00FB62DB">
        <w:trPr>
          <w:cantSplit/>
          <w:trHeight w:val="290"/>
          <w:tblHeader/>
          <w:jc w:val="center"/>
        </w:trPr>
        <w:tc>
          <w:tcPr>
            <w:tcW w:w="737" w:type="pct"/>
          </w:tcPr>
          <w:p w14:paraId="320B13D6" w14:textId="77777777" w:rsidR="007F7488" w:rsidRPr="00F10A5B" w:rsidRDefault="007F7488" w:rsidP="001E49D7">
            <w:pPr>
              <w:pStyle w:val="TableTitle"/>
            </w:pPr>
            <w:r w:rsidRPr="00F10A5B">
              <w:t>Exercice financier</w:t>
            </w:r>
          </w:p>
        </w:tc>
        <w:tc>
          <w:tcPr>
            <w:tcW w:w="1527" w:type="pct"/>
          </w:tcPr>
          <w:p w14:paraId="6E04CA30" w14:textId="77777777" w:rsidR="007F7488" w:rsidRPr="00F10A5B" w:rsidRDefault="007F7488" w:rsidP="001E49D7">
            <w:pPr>
              <w:pStyle w:val="TableTitle"/>
            </w:pPr>
            <w:r w:rsidRPr="00F10A5B">
              <w:t>Processus non annoncé (inconnus exclus)</w:t>
            </w:r>
          </w:p>
        </w:tc>
        <w:tc>
          <w:tcPr>
            <w:tcW w:w="1232" w:type="pct"/>
          </w:tcPr>
          <w:p w14:paraId="48CD7E49" w14:textId="77777777" w:rsidR="007F7488" w:rsidRPr="00F10A5B" w:rsidRDefault="007F7488" w:rsidP="001E49D7">
            <w:pPr>
              <w:pStyle w:val="TableTitle"/>
            </w:pPr>
            <w:r w:rsidRPr="00F10A5B">
              <w:t>Processus annoncés</w:t>
            </w:r>
          </w:p>
        </w:tc>
        <w:tc>
          <w:tcPr>
            <w:tcW w:w="1505" w:type="pct"/>
          </w:tcPr>
          <w:p w14:paraId="0E729143" w14:textId="77777777" w:rsidR="007F7488" w:rsidRPr="00F10A5B" w:rsidRDefault="007F7488" w:rsidP="001E49D7">
            <w:pPr>
              <w:pStyle w:val="TableTitle"/>
            </w:pPr>
            <w:r w:rsidRPr="00F10A5B">
              <w:t xml:space="preserve">Pourcentage de processus non annoncés </w:t>
            </w:r>
          </w:p>
        </w:tc>
      </w:tr>
      <w:tr w:rsidR="007F7488" w:rsidRPr="00F10A5B" w14:paraId="3F12E315" w14:textId="77777777" w:rsidTr="00FB62DB">
        <w:trPr>
          <w:cantSplit/>
          <w:trHeight w:val="290"/>
          <w:tblHeader/>
          <w:jc w:val="center"/>
        </w:trPr>
        <w:tc>
          <w:tcPr>
            <w:tcW w:w="737" w:type="pct"/>
          </w:tcPr>
          <w:p w14:paraId="6E4CC7CB" w14:textId="77777777" w:rsidR="007F7488" w:rsidRPr="00F10A5B" w:rsidRDefault="007F7488" w:rsidP="0052484F">
            <w:pPr>
              <w:autoSpaceDE w:val="0"/>
              <w:autoSpaceDN w:val="0"/>
              <w:adjustRightInd w:val="0"/>
              <w:contextualSpacing/>
              <w:rPr>
                <w:rFonts w:cstheme="minorHAnsi"/>
                <w:color w:val="000000"/>
              </w:rPr>
            </w:pPr>
            <w:r w:rsidRPr="00F10A5B">
              <w:rPr>
                <w:rFonts w:cstheme="minorHAnsi"/>
                <w:color w:val="000000"/>
              </w:rPr>
              <w:t xml:space="preserve">2015 à 2016 </w:t>
            </w:r>
          </w:p>
        </w:tc>
        <w:tc>
          <w:tcPr>
            <w:tcW w:w="1527" w:type="pct"/>
          </w:tcPr>
          <w:p w14:paraId="1299AFD5"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152</w:t>
            </w:r>
          </w:p>
        </w:tc>
        <w:tc>
          <w:tcPr>
            <w:tcW w:w="1232" w:type="pct"/>
          </w:tcPr>
          <w:p w14:paraId="2CFB463D"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374</w:t>
            </w:r>
          </w:p>
        </w:tc>
        <w:tc>
          <w:tcPr>
            <w:tcW w:w="1505" w:type="pct"/>
          </w:tcPr>
          <w:p w14:paraId="3EC24D0E"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29%</w:t>
            </w:r>
          </w:p>
        </w:tc>
      </w:tr>
      <w:tr w:rsidR="007F7488" w:rsidRPr="00F10A5B" w14:paraId="50159474" w14:textId="77777777" w:rsidTr="00FB62DB">
        <w:trPr>
          <w:cantSplit/>
          <w:trHeight w:val="290"/>
          <w:tblHeader/>
          <w:jc w:val="center"/>
        </w:trPr>
        <w:tc>
          <w:tcPr>
            <w:tcW w:w="737" w:type="pct"/>
          </w:tcPr>
          <w:p w14:paraId="529E8407" w14:textId="77777777" w:rsidR="007F7488" w:rsidRPr="00F10A5B" w:rsidRDefault="007F7488" w:rsidP="0052484F">
            <w:pPr>
              <w:autoSpaceDE w:val="0"/>
              <w:autoSpaceDN w:val="0"/>
              <w:adjustRightInd w:val="0"/>
              <w:contextualSpacing/>
              <w:rPr>
                <w:rFonts w:cstheme="minorHAnsi"/>
                <w:color w:val="000000"/>
              </w:rPr>
            </w:pPr>
            <w:r w:rsidRPr="00F10A5B">
              <w:rPr>
                <w:rFonts w:cstheme="minorHAnsi"/>
                <w:color w:val="000000"/>
              </w:rPr>
              <w:t>2016 à 2017</w:t>
            </w:r>
          </w:p>
        </w:tc>
        <w:tc>
          <w:tcPr>
            <w:tcW w:w="1527" w:type="pct"/>
          </w:tcPr>
          <w:p w14:paraId="263BF3DC"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247</w:t>
            </w:r>
          </w:p>
        </w:tc>
        <w:tc>
          <w:tcPr>
            <w:tcW w:w="1232" w:type="pct"/>
          </w:tcPr>
          <w:p w14:paraId="6507074D"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564</w:t>
            </w:r>
          </w:p>
        </w:tc>
        <w:tc>
          <w:tcPr>
            <w:tcW w:w="1505" w:type="pct"/>
          </w:tcPr>
          <w:p w14:paraId="59B000A5"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30%</w:t>
            </w:r>
          </w:p>
        </w:tc>
      </w:tr>
      <w:tr w:rsidR="007F7488" w:rsidRPr="00F10A5B" w14:paraId="1F64FF52" w14:textId="77777777" w:rsidTr="00FB62DB">
        <w:trPr>
          <w:cantSplit/>
          <w:trHeight w:val="290"/>
          <w:tblHeader/>
          <w:jc w:val="center"/>
        </w:trPr>
        <w:tc>
          <w:tcPr>
            <w:tcW w:w="737" w:type="pct"/>
          </w:tcPr>
          <w:p w14:paraId="66ED1029" w14:textId="77777777" w:rsidR="007F7488" w:rsidRPr="00F10A5B" w:rsidRDefault="007F7488" w:rsidP="0052484F">
            <w:pPr>
              <w:autoSpaceDE w:val="0"/>
              <w:autoSpaceDN w:val="0"/>
              <w:adjustRightInd w:val="0"/>
              <w:contextualSpacing/>
              <w:rPr>
                <w:rFonts w:cstheme="minorHAnsi"/>
                <w:color w:val="000000"/>
              </w:rPr>
            </w:pPr>
            <w:r w:rsidRPr="00F10A5B">
              <w:rPr>
                <w:rFonts w:cstheme="minorHAnsi"/>
                <w:color w:val="000000"/>
              </w:rPr>
              <w:t>2017 à 2018</w:t>
            </w:r>
          </w:p>
        </w:tc>
        <w:tc>
          <w:tcPr>
            <w:tcW w:w="1527" w:type="pct"/>
          </w:tcPr>
          <w:p w14:paraId="2F91F5EC"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532</w:t>
            </w:r>
          </w:p>
        </w:tc>
        <w:tc>
          <w:tcPr>
            <w:tcW w:w="1232" w:type="pct"/>
          </w:tcPr>
          <w:p w14:paraId="0D943056"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577</w:t>
            </w:r>
          </w:p>
        </w:tc>
        <w:tc>
          <w:tcPr>
            <w:tcW w:w="1505" w:type="pct"/>
          </w:tcPr>
          <w:p w14:paraId="090EFF4E"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48%</w:t>
            </w:r>
          </w:p>
        </w:tc>
      </w:tr>
      <w:tr w:rsidR="007F7488" w:rsidRPr="00F10A5B" w14:paraId="4A0B1D2F" w14:textId="77777777" w:rsidTr="00FB62DB">
        <w:trPr>
          <w:cantSplit/>
          <w:trHeight w:val="290"/>
          <w:tblHeader/>
          <w:jc w:val="center"/>
        </w:trPr>
        <w:tc>
          <w:tcPr>
            <w:tcW w:w="737" w:type="pct"/>
          </w:tcPr>
          <w:p w14:paraId="00A3B82C" w14:textId="77777777" w:rsidR="007F7488" w:rsidRPr="00F10A5B" w:rsidRDefault="007F7488" w:rsidP="0052484F">
            <w:pPr>
              <w:autoSpaceDE w:val="0"/>
              <w:autoSpaceDN w:val="0"/>
              <w:adjustRightInd w:val="0"/>
              <w:contextualSpacing/>
              <w:rPr>
                <w:rFonts w:cstheme="minorHAnsi"/>
                <w:color w:val="000000"/>
              </w:rPr>
            </w:pPr>
            <w:r w:rsidRPr="00F10A5B">
              <w:rPr>
                <w:rFonts w:cstheme="minorHAnsi"/>
                <w:color w:val="000000"/>
              </w:rPr>
              <w:t>2018 à 2019</w:t>
            </w:r>
          </w:p>
        </w:tc>
        <w:tc>
          <w:tcPr>
            <w:tcW w:w="1527" w:type="pct"/>
          </w:tcPr>
          <w:p w14:paraId="23DD191F"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728</w:t>
            </w:r>
          </w:p>
        </w:tc>
        <w:tc>
          <w:tcPr>
            <w:tcW w:w="1232" w:type="pct"/>
          </w:tcPr>
          <w:p w14:paraId="74198962"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642</w:t>
            </w:r>
          </w:p>
        </w:tc>
        <w:tc>
          <w:tcPr>
            <w:tcW w:w="1505" w:type="pct"/>
          </w:tcPr>
          <w:p w14:paraId="12B8791E"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53%</w:t>
            </w:r>
          </w:p>
        </w:tc>
      </w:tr>
      <w:tr w:rsidR="007F7488" w:rsidRPr="00F10A5B" w14:paraId="47865D9B" w14:textId="77777777" w:rsidTr="00FB62DB">
        <w:trPr>
          <w:cantSplit/>
          <w:trHeight w:val="290"/>
          <w:tblHeader/>
          <w:jc w:val="center"/>
        </w:trPr>
        <w:tc>
          <w:tcPr>
            <w:tcW w:w="737" w:type="pct"/>
          </w:tcPr>
          <w:p w14:paraId="276B7123" w14:textId="77777777" w:rsidR="007F7488" w:rsidRPr="00F10A5B" w:rsidRDefault="007F7488" w:rsidP="0052484F">
            <w:pPr>
              <w:autoSpaceDE w:val="0"/>
              <w:autoSpaceDN w:val="0"/>
              <w:adjustRightInd w:val="0"/>
              <w:contextualSpacing/>
              <w:rPr>
                <w:rFonts w:cstheme="minorHAnsi"/>
                <w:color w:val="000000"/>
              </w:rPr>
            </w:pPr>
            <w:r w:rsidRPr="00F10A5B">
              <w:rPr>
                <w:rFonts w:cstheme="minorHAnsi"/>
                <w:color w:val="000000"/>
              </w:rPr>
              <w:t>2019 à 2020</w:t>
            </w:r>
          </w:p>
        </w:tc>
        <w:tc>
          <w:tcPr>
            <w:tcW w:w="1527" w:type="pct"/>
          </w:tcPr>
          <w:p w14:paraId="5FE0161E"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831</w:t>
            </w:r>
          </w:p>
        </w:tc>
        <w:tc>
          <w:tcPr>
            <w:tcW w:w="1232" w:type="pct"/>
          </w:tcPr>
          <w:p w14:paraId="32BD64E6"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718</w:t>
            </w:r>
          </w:p>
        </w:tc>
        <w:tc>
          <w:tcPr>
            <w:tcW w:w="1505" w:type="pct"/>
          </w:tcPr>
          <w:p w14:paraId="26D4A9E4"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54%</w:t>
            </w:r>
          </w:p>
        </w:tc>
      </w:tr>
    </w:tbl>
    <w:p w14:paraId="08C1CB9E" w14:textId="77777777" w:rsidR="007F7488" w:rsidRPr="00F10A5B" w:rsidRDefault="007F7488" w:rsidP="007F7488">
      <w:pPr>
        <w:pStyle w:val="ListParagraph"/>
        <w:keepLines w:val="0"/>
        <w:numPr>
          <w:ilvl w:val="0"/>
          <w:numId w:val="36"/>
        </w:numPr>
        <w:spacing w:after="100" w:afterAutospacing="1" w:line="240" w:lineRule="auto"/>
        <w:rPr>
          <w:rFonts w:cstheme="minorHAnsi"/>
          <w:color w:val="auto"/>
        </w:rPr>
      </w:pPr>
      <w:r w:rsidRPr="00F10A5B">
        <w:rPr>
          <w:rFonts w:cstheme="minorHAnsi"/>
          <w:color w:val="auto"/>
        </w:rPr>
        <w:t>Comprend les nominations pour une période indéterminée et pour une durée déterminée.</w:t>
      </w:r>
    </w:p>
    <w:p w14:paraId="0DAD2ABE" w14:textId="77777777" w:rsidR="007F7488" w:rsidRPr="00F10A5B" w:rsidRDefault="007F7488" w:rsidP="007F7488">
      <w:pPr>
        <w:pStyle w:val="ListParagraph"/>
        <w:keepLines w:val="0"/>
        <w:numPr>
          <w:ilvl w:val="0"/>
          <w:numId w:val="36"/>
        </w:numPr>
        <w:spacing w:after="100" w:afterAutospacing="1" w:line="240" w:lineRule="auto"/>
        <w:rPr>
          <w:rFonts w:cstheme="minorHAnsi"/>
          <w:color w:val="auto"/>
        </w:rPr>
      </w:pPr>
      <w:r w:rsidRPr="00F10A5B">
        <w:rPr>
          <w:rFonts w:cstheme="minorHAnsi"/>
          <w:color w:val="auto"/>
        </w:rPr>
        <w:t>Exclut les déplacements latéraux et régressifs, les mutations et les nominations intérimaires de moins de 4 mois.</w:t>
      </w:r>
    </w:p>
    <w:p w14:paraId="0A16764C" w14:textId="10368FCC" w:rsidR="007F7488" w:rsidRPr="00F10A5B" w:rsidRDefault="007F7488" w:rsidP="007F7488">
      <w:pPr>
        <w:pStyle w:val="ListParagraph"/>
        <w:keepLines w:val="0"/>
        <w:numPr>
          <w:ilvl w:val="0"/>
          <w:numId w:val="36"/>
        </w:numPr>
        <w:spacing w:after="100" w:afterAutospacing="1" w:line="240" w:lineRule="auto"/>
        <w:rPr>
          <w:rFonts w:cstheme="minorHAnsi"/>
          <w:color w:val="auto"/>
        </w:rPr>
      </w:pPr>
      <w:r w:rsidRPr="00F10A5B">
        <w:rPr>
          <w:rFonts w:cstheme="minorHAnsi"/>
          <w:color w:val="auto"/>
        </w:rPr>
        <w:t>Inclut seulement les nominations où le type de processus est connu (59% à 83% des nominations).</w:t>
      </w:r>
    </w:p>
    <w:p w14:paraId="6EFAB674" w14:textId="77777777" w:rsidR="007F7488" w:rsidRPr="00F10A5B" w:rsidRDefault="007F7488" w:rsidP="00DA196D">
      <w:pPr>
        <w:tabs>
          <w:tab w:val="left" w:pos="7839"/>
        </w:tabs>
        <w:contextualSpacing/>
        <w:sectPr w:rsidR="007F7488" w:rsidRPr="00F10A5B" w:rsidSect="00E310D2">
          <w:pgSz w:w="15840" w:h="12240" w:orient="landscape"/>
          <w:pgMar w:top="720" w:right="720" w:bottom="720" w:left="720" w:header="708" w:footer="708" w:gutter="0"/>
          <w:cols w:space="708"/>
          <w:titlePg/>
          <w:docGrid w:linePitch="360"/>
        </w:sectPr>
      </w:pPr>
    </w:p>
    <w:p w14:paraId="7B7A8D7D" w14:textId="77777777" w:rsidR="00014002" w:rsidRPr="00FC70C7" w:rsidRDefault="00014002" w:rsidP="00014002">
      <w:pPr>
        <w:pStyle w:val="Heading1"/>
        <w:spacing w:before="120" w:after="120"/>
        <w:rPr>
          <w:color w:val="auto"/>
          <w:sz w:val="40"/>
        </w:rPr>
      </w:pPr>
      <w:r w:rsidRPr="00FC70C7">
        <w:rPr>
          <w:color w:val="auto"/>
          <w:sz w:val="40"/>
        </w:rPr>
        <w:lastRenderedPageBreak/>
        <w:t>Dotation selon le type de nomination</w:t>
      </w:r>
    </w:p>
    <w:p w14:paraId="03650F59" w14:textId="77777777" w:rsidR="00014002" w:rsidRPr="00F10A5B" w:rsidRDefault="0035095E" w:rsidP="00014002">
      <w:pPr>
        <w:keepNext/>
        <w:spacing w:after="0"/>
        <w:contextualSpacing/>
        <w:jc w:val="center"/>
      </w:pPr>
      <w:r w:rsidRPr="00F10A5B">
        <w:rPr>
          <w:noProof/>
          <w:lang w:eastAsia="en-CA"/>
        </w:rPr>
        <w:drawing>
          <wp:inline distT="0" distB="0" distL="0" distR="0" wp14:anchorId="730E1FE3" wp14:editId="6750E208">
            <wp:extent cx="5648400" cy="3049200"/>
            <wp:effectExtent l="0" t="0" r="9525" b="18415"/>
            <wp:docPr id="9" name="Chart 9" descr="Dotation selon le type de nominat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33667C5" w14:textId="687A50FB" w:rsidR="007F7488" w:rsidRPr="00F10A5B" w:rsidRDefault="00014002" w:rsidP="00014002">
      <w:pPr>
        <w:pStyle w:val="Caption"/>
        <w:spacing w:after="0"/>
        <w:jc w:val="center"/>
        <w:rPr>
          <w:i w:val="0"/>
          <w:color w:val="auto"/>
        </w:rPr>
      </w:pPr>
      <w:r w:rsidRPr="00F10A5B">
        <w:rPr>
          <w:i w:val="0"/>
          <w:color w:val="auto"/>
        </w:rPr>
        <w:t xml:space="preserve">Figure </w:t>
      </w:r>
      <w:r w:rsidRPr="00F10A5B">
        <w:rPr>
          <w:i w:val="0"/>
          <w:color w:val="auto"/>
        </w:rPr>
        <w:fldChar w:fldCharType="begin"/>
      </w:r>
      <w:r w:rsidRPr="00F10A5B">
        <w:rPr>
          <w:i w:val="0"/>
          <w:color w:val="auto"/>
        </w:rPr>
        <w:instrText xml:space="preserve"> SEQ Figure \* ARABIC </w:instrText>
      </w:r>
      <w:r w:rsidRPr="00F10A5B">
        <w:rPr>
          <w:i w:val="0"/>
          <w:color w:val="auto"/>
        </w:rPr>
        <w:fldChar w:fldCharType="separate"/>
      </w:r>
      <w:r w:rsidR="00E5173D" w:rsidRPr="00F10A5B">
        <w:rPr>
          <w:i w:val="0"/>
          <w:noProof/>
          <w:color w:val="auto"/>
        </w:rPr>
        <w:t>8</w:t>
      </w:r>
      <w:r w:rsidRPr="00F10A5B">
        <w:rPr>
          <w:i w:val="0"/>
          <w:color w:val="auto"/>
        </w:rPr>
        <w:fldChar w:fldCharType="end"/>
      </w:r>
      <w:r w:rsidRPr="00F10A5B">
        <w:rPr>
          <w:i w:val="0"/>
          <w:color w:val="auto"/>
        </w:rPr>
        <w:t xml:space="preserve"> - Dotation selon le type de nomination</w:t>
      </w:r>
    </w:p>
    <w:p w14:paraId="78CC0FE3" w14:textId="364AABA3" w:rsidR="00014002" w:rsidRPr="00F10A5B" w:rsidRDefault="00014002" w:rsidP="00014002">
      <w:pPr>
        <w:pStyle w:val="Caption"/>
        <w:keepNext/>
        <w:spacing w:before="240" w:after="0"/>
        <w:jc w:val="center"/>
        <w:rPr>
          <w:i w:val="0"/>
          <w:color w:val="auto"/>
        </w:rPr>
      </w:pPr>
      <w:r w:rsidRPr="00F10A5B">
        <w:rPr>
          <w:i w:val="0"/>
          <w:color w:val="auto"/>
        </w:rPr>
        <w:t xml:space="preserve">Table </w:t>
      </w:r>
      <w:r w:rsidRPr="00F10A5B">
        <w:rPr>
          <w:i w:val="0"/>
          <w:color w:val="auto"/>
        </w:rPr>
        <w:fldChar w:fldCharType="begin"/>
      </w:r>
      <w:r w:rsidRPr="00F10A5B">
        <w:rPr>
          <w:i w:val="0"/>
          <w:color w:val="auto"/>
        </w:rPr>
        <w:instrText xml:space="preserve"> SEQ Table \* ARABIC </w:instrText>
      </w:r>
      <w:r w:rsidRPr="00F10A5B">
        <w:rPr>
          <w:i w:val="0"/>
          <w:color w:val="auto"/>
        </w:rPr>
        <w:fldChar w:fldCharType="separate"/>
      </w:r>
      <w:r w:rsidR="007B3B19" w:rsidRPr="00F10A5B">
        <w:rPr>
          <w:i w:val="0"/>
          <w:noProof/>
          <w:color w:val="auto"/>
        </w:rPr>
        <w:t>11</w:t>
      </w:r>
      <w:r w:rsidRPr="00F10A5B">
        <w:rPr>
          <w:i w:val="0"/>
          <w:color w:val="auto"/>
        </w:rPr>
        <w:fldChar w:fldCharType="end"/>
      </w:r>
      <w:r w:rsidRPr="00F10A5B">
        <w:rPr>
          <w:i w:val="0"/>
          <w:color w:val="auto"/>
        </w:rPr>
        <w:t xml:space="preserve"> - Activités de dotation selon le type de nomination et exercice financier</w:t>
      </w:r>
    </w:p>
    <w:tbl>
      <w:tblPr>
        <w:tblStyle w:val="TableGrid"/>
        <w:tblW w:w="5000" w:type="pct"/>
        <w:jc w:val="center"/>
        <w:tblLook w:val="0020" w:firstRow="1" w:lastRow="0" w:firstColumn="0" w:lastColumn="0" w:noHBand="0" w:noVBand="0"/>
        <w:tblDescription w:val="Dotation selon le type de nomination de 2015 à 2020"/>
      </w:tblPr>
      <w:tblGrid>
        <w:gridCol w:w="1694"/>
        <w:gridCol w:w="1701"/>
        <w:gridCol w:w="2409"/>
        <w:gridCol w:w="3828"/>
        <w:gridCol w:w="3120"/>
        <w:gridCol w:w="1638"/>
      </w:tblGrid>
      <w:tr w:rsidR="007F7488" w:rsidRPr="00F10A5B" w14:paraId="520A8535" w14:textId="77777777" w:rsidTr="00FB62DB">
        <w:trPr>
          <w:cantSplit/>
          <w:tblHeader/>
          <w:jc w:val="center"/>
        </w:trPr>
        <w:tc>
          <w:tcPr>
            <w:tcW w:w="589" w:type="pct"/>
          </w:tcPr>
          <w:p w14:paraId="1A4A38FC" w14:textId="77777777" w:rsidR="007F7488" w:rsidRPr="00F10A5B" w:rsidRDefault="007F7488" w:rsidP="00014002">
            <w:pPr>
              <w:pStyle w:val="TableTitle"/>
            </w:pPr>
            <w:r w:rsidRPr="00F10A5B">
              <w:t>Exercice financier</w:t>
            </w:r>
          </w:p>
        </w:tc>
        <w:tc>
          <w:tcPr>
            <w:tcW w:w="591" w:type="pct"/>
          </w:tcPr>
          <w:p w14:paraId="2C78D8EA" w14:textId="77777777" w:rsidR="007F7488" w:rsidRPr="00F10A5B" w:rsidRDefault="007F7488" w:rsidP="00014002">
            <w:pPr>
              <w:pStyle w:val="TableTitle"/>
            </w:pPr>
            <w:r w:rsidRPr="00F10A5B">
              <w:t>Promotions</w:t>
            </w:r>
          </w:p>
        </w:tc>
        <w:tc>
          <w:tcPr>
            <w:tcW w:w="837" w:type="pct"/>
          </w:tcPr>
          <w:p w14:paraId="332659C8" w14:textId="77777777" w:rsidR="007F7488" w:rsidRPr="00F10A5B" w:rsidRDefault="007F7488" w:rsidP="00014002">
            <w:pPr>
              <w:pStyle w:val="TableTitle"/>
            </w:pPr>
            <w:r w:rsidRPr="00F10A5B">
              <w:t>Déplacements latéraux et régressifs</w:t>
            </w:r>
          </w:p>
        </w:tc>
        <w:tc>
          <w:tcPr>
            <w:tcW w:w="1330" w:type="pct"/>
          </w:tcPr>
          <w:p w14:paraId="614F2027" w14:textId="77777777" w:rsidR="007F7488" w:rsidRPr="00F10A5B" w:rsidRDefault="007F7488" w:rsidP="00014002">
            <w:pPr>
              <w:pStyle w:val="TableTitle"/>
            </w:pPr>
            <w:r w:rsidRPr="00F10A5B">
              <w:t>Nominations à la fonction publique (y compris les employés occasionnels et les étudiants)</w:t>
            </w:r>
          </w:p>
        </w:tc>
        <w:tc>
          <w:tcPr>
            <w:tcW w:w="1084" w:type="pct"/>
          </w:tcPr>
          <w:p w14:paraId="3391517C" w14:textId="77777777" w:rsidR="007F7488" w:rsidRPr="00F10A5B" w:rsidRDefault="007F7488" w:rsidP="00014002">
            <w:pPr>
              <w:pStyle w:val="TableTitle"/>
            </w:pPr>
            <w:r w:rsidRPr="00F10A5B">
              <w:t>Nominations intérimaires (Excluant les nominations de moins de 4 mois)</w:t>
            </w:r>
          </w:p>
        </w:tc>
        <w:tc>
          <w:tcPr>
            <w:tcW w:w="569" w:type="pct"/>
          </w:tcPr>
          <w:p w14:paraId="68EFC94D" w14:textId="77777777" w:rsidR="007F7488" w:rsidRPr="00F10A5B" w:rsidRDefault="007F7488" w:rsidP="00014002">
            <w:pPr>
              <w:pStyle w:val="TableTitle"/>
            </w:pPr>
            <w:r w:rsidRPr="00F10A5B">
              <w:t>Total</w:t>
            </w:r>
          </w:p>
        </w:tc>
      </w:tr>
      <w:tr w:rsidR="00FC70C7" w:rsidRPr="00FC70C7" w14:paraId="26A44887" w14:textId="77777777" w:rsidTr="00FB62DB">
        <w:trPr>
          <w:cantSplit/>
          <w:tblHeader/>
          <w:jc w:val="center"/>
        </w:trPr>
        <w:tc>
          <w:tcPr>
            <w:tcW w:w="589" w:type="pct"/>
          </w:tcPr>
          <w:p w14:paraId="78A53437" w14:textId="77777777" w:rsidR="007F7488" w:rsidRPr="00FC70C7" w:rsidRDefault="007F7488" w:rsidP="0052484F">
            <w:pPr>
              <w:autoSpaceDE w:val="0"/>
              <w:autoSpaceDN w:val="0"/>
              <w:adjustRightInd w:val="0"/>
              <w:contextualSpacing/>
              <w:rPr>
                <w:rFonts w:cstheme="minorHAnsi"/>
                <w:color w:val="auto"/>
                <w:szCs w:val="24"/>
              </w:rPr>
            </w:pPr>
            <w:r w:rsidRPr="00FC70C7">
              <w:rPr>
                <w:rFonts w:cstheme="minorHAnsi"/>
                <w:color w:val="auto"/>
                <w:szCs w:val="24"/>
              </w:rPr>
              <w:t>2015 à 2016</w:t>
            </w:r>
          </w:p>
        </w:tc>
        <w:tc>
          <w:tcPr>
            <w:tcW w:w="591" w:type="pct"/>
          </w:tcPr>
          <w:p w14:paraId="74D12CBF"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248</w:t>
            </w:r>
          </w:p>
        </w:tc>
        <w:tc>
          <w:tcPr>
            <w:tcW w:w="837" w:type="pct"/>
          </w:tcPr>
          <w:p w14:paraId="17AE8484"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446</w:t>
            </w:r>
          </w:p>
        </w:tc>
        <w:tc>
          <w:tcPr>
            <w:tcW w:w="1330" w:type="pct"/>
          </w:tcPr>
          <w:p w14:paraId="1D1E6970"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1 443</w:t>
            </w:r>
          </w:p>
        </w:tc>
        <w:tc>
          <w:tcPr>
            <w:tcW w:w="1084" w:type="pct"/>
          </w:tcPr>
          <w:p w14:paraId="32BFAAFB"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431</w:t>
            </w:r>
          </w:p>
        </w:tc>
        <w:tc>
          <w:tcPr>
            <w:tcW w:w="569" w:type="pct"/>
          </w:tcPr>
          <w:p w14:paraId="7E0F28FC"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2 568</w:t>
            </w:r>
          </w:p>
        </w:tc>
      </w:tr>
      <w:tr w:rsidR="00FC70C7" w:rsidRPr="00FC70C7" w14:paraId="3D28AF77" w14:textId="77777777" w:rsidTr="00FB62DB">
        <w:trPr>
          <w:cantSplit/>
          <w:tblHeader/>
          <w:jc w:val="center"/>
        </w:trPr>
        <w:tc>
          <w:tcPr>
            <w:tcW w:w="589" w:type="pct"/>
          </w:tcPr>
          <w:p w14:paraId="077F3BFD" w14:textId="77777777" w:rsidR="007F7488" w:rsidRPr="00FC70C7" w:rsidRDefault="007F7488" w:rsidP="0052484F">
            <w:pPr>
              <w:autoSpaceDE w:val="0"/>
              <w:autoSpaceDN w:val="0"/>
              <w:adjustRightInd w:val="0"/>
              <w:contextualSpacing/>
              <w:rPr>
                <w:rFonts w:cstheme="minorHAnsi"/>
                <w:color w:val="auto"/>
                <w:szCs w:val="24"/>
              </w:rPr>
            </w:pPr>
            <w:r w:rsidRPr="00FC70C7">
              <w:rPr>
                <w:rFonts w:cstheme="minorHAnsi"/>
                <w:color w:val="auto"/>
                <w:szCs w:val="24"/>
              </w:rPr>
              <w:t xml:space="preserve">2016 à 2017 </w:t>
            </w:r>
          </w:p>
        </w:tc>
        <w:tc>
          <w:tcPr>
            <w:tcW w:w="591" w:type="pct"/>
          </w:tcPr>
          <w:p w14:paraId="372CFD54"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480</w:t>
            </w:r>
          </w:p>
        </w:tc>
        <w:tc>
          <w:tcPr>
            <w:tcW w:w="837" w:type="pct"/>
          </w:tcPr>
          <w:p w14:paraId="53FF3DA1"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769</w:t>
            </w:r>
          </w:p>
        </w:tc>
        <w:tc>
          <w:tcPr>
            <w:tcW w:w="1330" w:type="pct"/>
          </w:tcPr>
          <w:p w14:paraId="01EC3996"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1 505</w:t>
            </w:r>
          </w:p>
        </w:tc>
        <w:tc>
          <w:tcPr>
            <w:tcW w:w="1084" w:type="pct"/>
          </w:tcPr>
          <w:p w14:paraId="5E69D8C7"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309</w:t>
            </w:r>
          </w:p>
        </w:tc>
        <w:tc>
          <w:tcPr>
            <w:tcW w:w="569" w:type="pct"/>
          </w:tcPr>
          <w:p w14:paraId="1DAE275C"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3 063</w:t>
            </w:r>
          </w:p>
        </w:tc>
      </w:tr>
      <w:tr w:rsidR="00FC70C7" w:rsidRPr="00FC70C7" w14:paraId="504526A8" w14:textId="77777777" w:rsidTr="00FB62DB">
        <w:trPr>
          <w:cantSplit/>
          <w:tblHeader/>
          <w:jc w:val="center"/>
        </w:trPr>
        <w:tc>
          <w:tcPr>
            <w:tcW w:w="589" w:type="pct"/>
          </w:tcPr>
          <w:p w14:paraId="5CE0472A" w14:textId="77777777" w:rsidR="007F7488" w:rsidRPr="00FC70C7" w:rsidRDefault="007F7488" w:rsidP="0052484F">
            <w:pPr>
              <w:autoSpaceDE w:val="0"/>
              <w:autoSpaceDN w:val="0"/>
              <w:adjustRightInd w:val="0"/>
              <w:contextualSpacing/>
              <w:rPr>
                <w:rFonts w:cstheme="minorHAnsi"/>
                <w:color w:val="auto"/>
                <w:szCs w:val="24"/>
              </w:rPr>
            </w:pPr>
            <w:r w:rsidRPr="00FC70C7">
              <w:rPr>
                <w:rFonts w:cstheme="minorHAnsi"/>
                <w:color w:val="auto"/>
                <w:szCs w:val="24"/>
              </w:rPr>
              <w:t>2017 à 2018</w:t>
            </w:r>
          </w:p>
        </w:tc>
        <w:tc>
          <w:tcPr>
            <w:tcW w:w="591" w:type="pct"/>
          </w:tcPr>
          <w:p w14:paraId="2316F56B"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544</w:t>
            </w:r>
          </w:p>
        </w:tc>
        <w:tc>
          <w:tcPr>
            <w:tcW w:w="837" w:type="pct"/>
          </w:tcPr>
          <w:p w14:paraId="42D1D792"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671</w:t>
            </w:r>
          </w:p>
        </w:tc>
        <w:tc>
          <w:tcPr>
            <w:tcW w:w="1330" w:type="pct"/>
          </w:tcPr>
          <w:p w14:paraId="0747E3BE"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1 579</w:t>
            </w:r>
          </w:p>
        </w:tc>
        <w:tc>
          <w:tcPr>
            <w:tcW w:w="1084" w:type="pct"/>
          </w:tcPr>
          <w:p w14:paraId="6BF8B27C"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314</w:t>
            </w:r>
          </w:p>
        </w:tc>
        <w:tc>
          <w:tcPr>
            <w:tcW w:w="569" w:type="pct"/>
          </w:tcPr>
          <w:p w14:paraId="3EE41D4F"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3 108</w:t>
            </w:r>
          </w:p>
        </w:tc>
      </w:tr>
      <w:tr w:rsidR="00FC70C7" w:rsidRPr="00FC70C7" w14:paraId="47F1431B" w14:textId="77777777" w:rsidTr="00FB62DB">
        <w:trPr>
          <w:cantSplit/>
          <w:tblHeader/>
          <w:jc w:val="center"/>
        </w:trPr>
        <w:tc>
          <w:tcPr>
            <w:tcW w:w="589" w:type="pct"/>
          </w:tcPr>
          <w:p w14:paraId="07E8D566" w14:textId="77777777" w:rsidR="007F7488" w:rsidRPr="00FC70C7" w:rsidRDefault="007F7488" w:rsidP="0052484F">
            <w:pPr>
              <w:autoSpaceDE w:val="0"/>
              <w:autoSpaceDN w:val="0"/>
              <w:adjustRightInd w:val="0"/>
              <w:contextualSpacing/>
              <w:rPr>
                <w:rFonts w:cstheme="minorHAnsi"/>
                <w:color w:val="auto"/>
                <w:szCs w:val="24"/>
              </w:rPr>
            </w:pPr>
            <w:r w:rsidRPr="00FC70C7">
              <w:rPr>
                <w:rFonts w:cstheme="minorHAnsi"/>
                <w:color w:val="auto"/>
                <w:szCs w:val="24"/>
              </w:rPr>
              <w:t>2018 à 2019</w:t>
            </w:r>
          </w:p>
        </w:tc>
        <w:tc>
          <w:tcPr>
            <w:tcW w:w="591" w:type="pct"/>
          </w:tcPr>
          <w:p w14:paraId="0A4F5FC8"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675</w:t>
            </w:r>
          </w:p>
        </w:tc>
        <w:tc>
          <w:tcPr>
            <w:tcW w:w="837" w:type="pct"/>
          </w:tcPr>
          <w:p w14:paraId="221A3833"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677</w:t>
            </w:r>
          </w:p>
        </w:tc>
        <w:tc>
          <w:tcPr>
            <w:tcW w:w="1330" w:type="pct"/>
          </w:tcPr>
          <w:p w14:paraId="62EACD60"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1 623</w:t>
            </w:r>
          </w:p>
        </w:tc>
        <w:tc>
          <w:tcPr>
            <w:tcW w:w="1084" w:type="pct"/>
          </w:tcPr>
          <w:p w14:paraId="64D5B556"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469</w:t>
            </w:r>
          </w:p>
        </w:tc>
        <w:tc>
          <w:tcPr>
            <w:tcW w:w="569" w:type="pct"/>
          </w:tcPr>
          <w:p w14:paraId="759A9FCC"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3 444</w:t>
            </w:r>
          </w:p>
        </w:tc>
      </w:tr>
      <w:tr w:rsidR="00FC70C7" w:rsidRPr="00FC70C7" w14:paraId="72319886" w14:textId="77777777" w:rsidTr="00FB62DB">
        <w:trPr>
          <w:cantSplit/>
          <w:tblHeader/>
          <w:jc w:val="center"/>
        </w:trPr>
        <w:tc>
          <w:tcPr>
            <w:tcW w:w="589" w:type="pct"/>
          </w:tcPr>
          <w:p w14:paraId="0DA82F2A" w14:textId="77777777" w:rsidR="007F7488" w:rsidRPr="00FC70C7" w:rsidRDefault="007F7488" w:rsidP="0052484F">
            <w:pPr>
              <w:autoSpaceDE w:val="0"/>
              <w:autoSpaceDN w:val="0"/>
              <w:adjustRightInd w:val="0"/>
              <w:contextualSpacing/>
              <w:rPr>
                <w:rFonts w:cstheme="minorHAnsi"/>
                <w:color w:val="auto"/>
                <w:szCs w:val="24"/>
              </w:rPr>
            </w:pPr>
            <w:r w:rsidRPr="00FC70C7">
              <w:rPr>
                <w:rFonts w:cstheme="minorHAnsi"/>
                <w:color w:val="auto"/>
                <w:szCs w:val="24"/>
              </w:rPr>
              <w:t>2019 à 2020</w:t>
            </w:r>
          </w:p>
        </w:tc>
        <w:tc>
          <w:tcPr>
            <w:tcW w:w="591" w:type="pct"/>
          </w:tcPr>
          <w:p w14:paraId="08261542"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858</w:t>
            </w:r>
          </w:p>
        </w:tc>
        <w:tc>
          <w:tcPr>
            <w:tcW w:w="837" w:type="pct"/>
          </w:tcPr>
          <w:p w14:paraId="380A44E4"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820</w:t>
            </w:r>
          </w:p>
        </w:tc>
        <w:tc>
          <w:tcPr>
            <w:tcW w:w="1330" w:type="pct"/>
          </w:tcPr>
          <w:p w14:paraId="7D01B657"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1 722</w:t>
            </w:r>
          </w:p>
        </w:tc>
        <w:tc>
          <w:tcPr>
            <w:tcW w:w="1084" w:type="pct"/>
          </w:tcPr>
          <w:p w14:paraId="45BD2DCD"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568</w:t>
            </w:r>
          </w:p>
        </w:tc>
        <w:tc>
          <w:tcPr>
            <w:tcW w:w="569" w:type="pct"/>
          </w:tcPr>
          <w:p w14:paraId="0592F79B" w14:textId="77777777" w:rsidR="007F7488" w:rsidRPr="00FC70C7" w:rsidRDefault="007F7488" w:rsidP="0052484F">
            <w:pPr>
              <w:autoSpaceDE w:val="0"/>
              <w:autoSpaceDN w:val="0"/>
              <w:adjustRightInd w:val="0"/>
              <w:contextualSpacing/>
              <w:jc w:val="center"/>
              <w:rPr>
                <w:rFonts w:cstheme="minorHAnsi"/>
                <w:color w:val="auto"/>
                <w:szCs w:val="24"/>
              </w:rPr>
            </w:pPr>
            <w:r w:rsidRPr="00FC70C7">
              <w:rPr>
                <w:rFonts w:cstheme="minorHAnsi"/>
                <w:color w:val="auto"/>
                <w:szCs w:val="24"/>
              </w:rPr>
              <w:t>3 968</w:t>
            </w:r>
          </w:p>
        </w:tc>
      </w:tr>
    </w:tbl>
    <w:p w14:paraId="676B9C68" w14:textId="77777777" w:rsidR="007F7488" w:rsidRPr="00F10A5B" w:rsidRDefault="007F7488" w:rsidP="00DA196D">
      <w:pPr>
        <w:contextualSpacing/>
      </w:pPr>
    </w:p>
    <w:p w14:paraId="5432ECD5" w14:textId="77777777" w:rsidR="007F7488" w:rsidRPr="00F10A5B" w:rsidRDefault="007F7488" w:rsidP="00DA196D">
      <w:pPr>
        <w:contextualSpacing/>
        <w:sectPr w:rsidR="007F7488" w:rsidRPr="00F10A5B" w:rsidSect="00E310D2">
          <w:pgSz w:w="15840" w:h="12240" w:orient="landscape"/>
          <w:pgMar w:top="720" w:right="720" w:bottom="720" w:left="720" w:header="708" w:footer="708" w:gutter="0"/>
          <w:cols w:space="708"/>
          <w:titlePg/>
          <w:docGrid w:linePitch="360"/>
        </w:sectPr>
      </w:pPr>
    </w:p>
    <w:p w14:paraId="1B9CAB55" w14:textId="77777777" w:rsidR="00014002" w:rsidRPr="009168D7" w:rsidRDefault="00014002" w:rsidP="00014002">
      <w:pPr>
        <w:pStyle w:val="Heading1"/>
        <w:spacing w:before="120" w:after="120"/>
        <w:rPr>
          <w:color w:val="auto"/>
          <w:sz w:val="40"/>
        </w:rPr>
      </w:pPr>
      <w:r w:rsidRPr="009168D7">
        <w:rPr>
          <w:color w:val="auto"/>
          <w:sz w:val="40"/>
        </w:rPr>
        <w:lastRenderedPageBreak/>
        <w:t>Dotation selon la durée d'emploi</w:t>
      </w:r>
    </w:p>
    <w:p w14:paraId="46941BB6" w14:textId="77777777" w:rsidR="00014002" w:rsidRPr="00F10A5B" w:rsidRDefault="007F7488" w:rsidP="00014002">
      <w:pPr>
        <w:keepNext/>
        <w:spacing w:after="0"/>
        <w:contextualSpacing/>
        <w:jc w:val="center"/>
      </w:pPr>
      <w:r w:rsidRPr="00F10A5B">
        <w:rPr>
          <w:noProof/>
          <w:lang w:eastAsia="en-CA"/>
        </w:rPr>
        <w:drawing>
          <wp:inline distT="0" distB="0" distL="0" distR="0" wp14:anchorId="04036458" wp14:editId="5DE9F1D5">
            <wp:extent cx="5648400" cy="3049200"/>
            <wp:effectExtent l="0" t="0" r="9525" b="18415"/>
            <wp:docPr id="2" name="Chart 2" descr="Dotation selon la durée d'emploi&#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6429350" w14:textId="64C44D37" w:rsidR="007F7488" w:rsidRPr="00F10A5B" w:rsidRDefault="00014002" w:rsidP="00014002">
      <w:pPr>
        <w:pStyle w:val="Caption"/>
        <w:spacing w:after="0"/>
        <w:jc w:val="center"/>
        <w:rPr>
          <w:i w:val="0"/>
          <w:color w:val="auto"/>
        </w:rPr>
      </w:pPr>
      <w:r w:rsidRPr="00F10A5B">
        <w:rPr>
          <w:i w:val="0"/>
          <w:color w:val="auto"/>
        </w:rPr>
        <w:t xml:space="preserve">Figure </w:t>
      </w:r>
      <w:r w:rsidRPr="00F10A5B">
        <w:rPr>
          <w:i w:val="0"/>
          <w:color w:val="auto"/>
        </w:rPr>
        <w:fldChar w:fldCharType="begin"/>
      </w:r>
      <w:r w:rsidRPr="00F10A5B">
        <w:rPr>
          <w:i w:val="0"/>
          <w:color w:val="auto"/>
        </w:rPr>
        <w:instrText xml:space="preserve"> SEQ Figure \* ARABIC </w:instrText>
      </w:r>
      <w:r w:rsidRPr="00F10A5B">
        <w:rPr>
          <w:i w:val="0"/>
          <w:color w:val="auto"/>
        </w:rPr>
        <w:fldChar w:fldCharType="separate"/>
      </w:r>
      <w:r w:rsidR="00E5173D" w:rsidRPr="00F10A5B">
        <w:rPr>
          <w:i w:val="0"/>
          <w:noProof/>
          <w:color w:val="auto"/>
        </w:rPr>
        <w:t>9</w:t>
      </w:r>
      <w:r w:rsidRPr="00F10A5B">
        <w:rPr>
          <w:i w:val="0"/>
          <w:color w:val="auto"/>
        </w:rPr>
        <w:fldChar w:fldCharType="end"/>
      </w:r>
      <w:r w:rsidRPr="00F10A5B">
        <w:rPr>
          <w:i w:val="0"/>
          <w:color w:val="auto"/>
        </w:rPr>
        <w:t xml:space="preserve"> - Dotation selon la durée d'emploi</w:t>
      </w:r>
    </w:p>
    <w:p w14:paraId="19AB6F9B" w14:textId="0EA21810" w:rsidR="00014002" w:rsidRPr="00F10A5B" w:rsidRDefault="00014002" w:rsidP="00014002">
      <w:pPr>
        <w:pStyle w:val="Caption"/>
        <w:keepNext/>
        <w:spacing w:before="240" w:after="0"/>
        <w:jc w:val="center"/>
        <w:rPr>
          <w:i w:val="0"/>
          <w:color w:val="auto"/>
        </w:rPr>
      </w:pPr>
      <w:r w:rsidRPr="00F10A5B">
        <w:rPr>
          <w:i w:val="0"/>
          <w:color w:val="auto"/>
        </w:rPr>
        <w:t xml:space="preserve">Table </w:t>
      </w:r>
      <w:r w:rsidRPr="00F10A5B">
        <w:rPr>
          <w:i w:val="0"/>
          <w:color w:val="auto"/>
        </w:rPr>
        <w:fldChar w:fldCharType="begin"/>
      </w:r>
      <w:r w:rsidRPr="00F10A5B">
        <w:rPr>
          <w:i w:val="0"/>
          <w:color w:val="auto"/>
        </w:rPr>
        <w:instrText xml:space="preserve"> SEQ Table \* ARABIC </w:instrText>
      </w:r>
      <w:r w:rsidRPr="00F10A5B">
        <w:rPr>
          <w:i w:val="0"/>
          <w:color w:val="auto"/>
        </w:rPr>
        <w:fldChar w:fldCharType="separate"/>
      </w:r>
      <w:r w:rsidR="007B3B19" w:rsidRPr="00F10A5B">
        <w:rPr>
          <w:i w:val="0"/>
          <w:noProof/>
          <w:color w:val="auto"/>
        </w:rPr>
        <w:t>12</w:t>
      </w:r>
      <w:r w:rsidRPr="00F10A5B">
        <w:rPr>
          <w:i w:val="0"/>
          <w:color w:val="auto"/>
        </w:rPr>
        <w:fldChar w:fldCharType="end"/>
      </w:r>
      <w:r w:rsidRPr="00F10A5B">
        <w:rPr>
          <w:i w:val="0"/>
          <w:color w:val="auto"/>
        </w:rPr>
        <w:t xml:space="preserve"> - Activités de dotation selon la durée d’emploi et l’exercice financier</w:t>
      </w:r>
    </w:p>
    <w:tbl>
      <w:tblPr>
        <w:tblStyle w:val="TableGrid"/>
        <w:tblW w:w="5000" w:type="pct"/>
        <w:jc w:val="center"/>
        <w:tblLook w:val="0020" w:firstRow="1" w:lastRow="0" w:firstColumn="0" w:lastColumn="0" w:noHBand="0" w:noVBand="0"/>
        <w:tblDescription w:val="Dotation selon la durée d’emploi de 2015 à 2020"/>
      </w:tblPr>
      <w:tblGrid>
        <w:gridCol w:w="1840"/>
        <w:gridCol w:w="2977"/>
        <w:gridCol w:w="2694"/>
        <w:gridCol w:w="2691"/>
        <w:gridCol w:w="2268"/>
        <w:gridCol w:w="1920"/>
      </w:tblGrid>
      <w:tr w:rsidR="007F7488" w:rsidRPr="00F10A5B" w14:paraId="58715CA4" w14:textId="77777777" w:rsidTr="00FB62DB">
        <w:trPr>
          <w:cantSplit/>
          <w:tblHeader/>
          <w:jc w:val="center"/>
        </w:trPr>
        <w:tc>
          <w:tcPr>
            <w:tcW w:w="639" w:type="pct"/>
          </w:tcPr>
          <w:p w14:paraId="7E892E14" w14:textId="77777777" w:rsidR="007F7488" w:rsidRPr="00F10A5B" w:rsidRDefault="007F7488" w:rsidP="00014002">
            <w:pPr>
              <w:pStyle w:val="TableTitle"/>
            </w:pPr>
            <w:r w:rsidRPr="00F10A5B">
              <w:t>Exercice financier</w:t>
            </w:r>
          </w:p>
        </w:tc>
        <w:tc>
          <w:tcPr>
            <w:tcW w:w="1034" w:type="pct"/>
          </w:tcPr>
          <w:p w14:paraId="6FB9B8FD" w14:textId="77777777" w:rsidR="007F7488" w:rsidRPr="00F10A5B" w:rsidRDefault="007F7488" w:rsidP="00014002">
            <w:pPr>
              <w:pStyle w:val="TableTitle"/>
            </w:pPr>
            <w:r w:rsidRPr="00F10A5B">
              <w:t>Activités de dotation pour des postes pour une période indéterminée</w:t>
            </w:r>
          </w:p>
        </w:tc>
        <w:tc>
          <w:tcPr>
            <w:tcW w:w="936" w:type="pct"/>
          </w:tcPr>
          <w:p w14:paraId="42FAA856" w14:textId="77777777" w:rsidR="007F7488" w:rsidRPr="00F10A5B" w:rsidRDefault="007F7488" w:rsidP="00014002">
            <w:pPr>
              <w:pStyle w:val="TableTitle"/>
            </w:pPr>
            <w:r w:rsidRPr="00F10A5B">
              <w:t>Activités de dotation pour des postes de durée déterminée</w:t>
            </w:r>
          </w:p>
        </w:tc>
        <w:tc>
          <w:tcPr>
            <w:tcW w:w="935" w:type="pct"/>
          </w:tcPr>
          <w:p w14:paraId="2518D0C6" w14:textId="77777777" w:rsidR="007F7488" w:rsidRPr="00F10A5B" w:rsidRDefault="007F7488" w:rsidP="00014002">
            <w:pPr>
              <w:pStyle w:val="TableTitle"/>
            </w:pPr>
            <w:r w:rsidRPr="00F10A5B">
              <w:t>Activités de dotation de durée pour les emplois occasionnels</w:t>
            </w:r>
          </w:p>
        </w:tc>
        <w:tc>
          <w:tcPr>
            <w:tcW w:w="788" w:type="pct"/>
          </w:tcPr>
          <w:p w14:paraId="440DF420" w14:textId="77777777" w:rsidR="007F7488" w:rsidRPr="00F10A5B" w:rsidRDefault="007F7488" w:rsidP="00014002">
            <w:pPr>
              <w:pStyle w:val="TableTitle"/>
            </w:pPr>
            <w:r w:rsidRPr="00F10A5B">
              <w:t>Activités de dotation pour les emplois étudiants</w:t>
            </w:r>
          </w:p>
        </w:tc>
        <w:tc>
          <w:tcPr>
            <w:tcW w:w="667" w:type="pct"/>
          </w:tcPr>
          <w:p w14:paraId="665B524E" w14:textId="77777777" w:rsidR="007F7488" w:rsidRPr="00F10A5B" w:rsidRDefault="007F7488" w:rsidP="00014002">
            <w:pPr>
              <w:pStyle w:val="TableTitle"/>
            </w:pPr>
            <w:r w:rsidRPr="00F10A5B">
              <w:t>Activités de dotation totale</w:t>
            </w:r>
          </w:p>
        </w:tc>
      </w:tr>
      <w:tr w:rsidR="007F7488" w:rsidRPr="00F10A5B" w14:paraId="01A14C69" w14:textId="77777777" w:rsidTr="00FB62DB">
        <w:trPr>
          <w:cantSplit/>
          <w:tblHeader/>
          <w:jc w:val="center"/>
        </w:trPr>
        <w:tc>
          <w:tcPr>
            <w:tcW w:w="639" w:type="pct"/>
          </w:tcPr>
          <w:p w14:paraId="0FFBE569" w14:textId="77777777" w:rsidR="007F7488" w:rsidRPr="00F10A5B" w:rsidRDefault="007F7488" w:rsidP="0052484F">
            <w:pPr>
              <w:autoSpaceDE w:val="0"/>
              <w:autoSpaceDN w:val="0"/>
              <w:adjustRightInd w:val="0"/>
              <w:contextualSpacing/>
              <w:rPr>
                <w:rFonts w:cstheme="minorHAnsi"/>
                <w:color w:val="000000"/>
              </w:rPr>
            </w:pPr>
            <w:r w:rsidRPr="00F10A5B">
              <w:rPr>
                <w:rFonts w:cstheme="minorHAnsi"/>
                <w:color w:val="000000"/>
              </w:rPr>
              <w:t>2015 à 2016</w:t>
            </w:r>
          </w:p>
        </w:tc>
        <w:tc>
          <w:tcPr>
            <w:tcW w:w="1034" w:type="pct"/>
          </w:tcPr>
          <w:p w14:paraId="4D9C9ADA"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1 131</w:t>
            </w:r>
          </w:p>
        </w:tc>
        <w:tc>
          <w:tcPr>
            <w:tcW w:w="936" w:type="pct"/>
          </w:tcPr>
          <w:p w14:paraId="0BED6F65"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206</w:t>
            </w:r>
          </w:p>
        </w:tc>
        <w:tc>
          <w:tcPr>
            <w:tcW w:w="935" w:type="pct"/>
          </w:tcPr>
          <w:p w14:paraId="2ED73322"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597</w:t>
            </w:r>
          </w:p>
        </w:tc>
        <w:tc>
          <w:tcPr>
            <w:tcW w:w="788" w:type="pct"/>
          </w:tcPr>
          <w:p w14:paraId="10D17719"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634</w:t>
            </w:r>
          </w:p>
        </w:tc>
        <w:tc>
          <w:tcPr>
            <w:tcW w:w="667" w:type="pct"/>
          </w:tcPr>
          <w:p w14:paraId="4ED2A218"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2 568</w:t>
            </w:r>
          </w:p>
        </w:tc>
      </w:tr>
      <w:tr w:rsidR="007F7488" w:rsidRPr="00F10A5B" w14:paraId="12F73755" w14:textId="77777777" w:rsidTr="00FB62DB">
        <w:trPr>
          <w:cantSplit/>
          <w:tblHeader/>
          <w:jc w:val="center"/>
        </w:trPr>
        <w:tc>
          <w:tcPr>
            <w:tcW w:w="639" w:type="pct"/>
          </w:tcPr>
          <w:p w14:paraId="23FD1BE2" w14:textId="70FBC0FC" w:rsidR="007F7488" w:rsidRPr="00F10A5B" w:rsidRDefault="007F7488" w:rsidP="00014002">
            <w:pPr>
              <w:tabs>
                <w:tab w:val="right" w:pos="3316"/>
              </w:tabs>
              <w:autoSpaceDE w:val="0"/>
              <w:autoSpaceDN w:val="0"/>
              <w:adjustRightInd w:val="0"/>
              <w:contextualSpacing/>
              <w:rPr>
                <w:rFonts w:cstheme="minorHAnsi"/>
                <w:color w:val="000000"/>
              </w:rPr>
            </w:pPr>
            <w:r w:rsidRPr="00F10A5B">
              <w:rPr>
                <w:rFonts w:cstheme="minorHAnsi"/>
                <w:color w:val="000000"/>
              </w:rPr>
              <w:t>2016 à 2017</w:t>
            </w:r>
          </w:p>
        </w:tc>
        <w:tc>
          <w:tcPr>
            <w:tcW w:w="1034" w:type="pct"/>
          </w:tcPr>
          <w:p w14:paraId="4023685F"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1 682</w:t>
            </w:r>
          </w:p>
        </w:tc>
        <w:tc>
          <w:tcPr>
            <w:tcW w:w="936" w:type="pct"/>
          </w:tcPr>
          <w:p w14:paraId="2967DD7E"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267</w:t>
            </w:r>
          </w:p>
        </w:tc>
        <w:tc>
          <w:tcPr>
            <w:tcW w:w="935" w:type="pct"/>
          </w:tcPr>
          <w:p w14:paraId="10A8E5D2"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547</w:t>
            </w:r>
          </w:p>
        </w:tc>
        <w:tc>
          <w:tcPr>
            <w:tcW w:w="788" w:type="pct"/>
          </w:tcPr>
          <w:p w14:paraId="3A8561DC"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567</w:t>
            </w:r>
          </w:p>
        </w:tc>
        <w:tc>
          <w:tcPr>
            <w:tcW w:w="667" w:type="pct"/>
          </w:tcPr>
          <w:p w14:paraId="2A081415"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3 063</w:t>
            </w:r>
          </w:p>
        </w:tc>
      </w:tr>
      <w:tr w:rsidR="007F7488" w:rsidRPr="00F10A5B" w14:paraId="2A1F50B5" w14:textId="77777777" w:rsidTr="00FB62DB">
        <w:trPr>
          <w:cantSplit/>
          <w:tblHeader/>
          <w:jc w:val="center"/>
        </w:trPr>
        <w:tc>
          <w:tcPr>
            <w:tcW w:w="639" w:type="pct"/>
          </w:tcPr>
          <w:p w14:paraId="31127938" w14:textId="77777777" w:rsidR="007F7488" w:rsidRPr="00F10A5B" w:rsidRDefault="007F7488" w:rsidP="0052484F">
            <w:pPr>
              <w:autoSpaceDE w:val="0"/>
              <w:autoSpaceDN w:val="0"/>
              <w:adjustRightInd w:val="0"/>
              <w:contextualSpacing/>
              <w:rPr>
                <w:rFonts w:cstheme="minorHAnsi"/>
                <w:color w:val="000000"/>
              </w:rPr>
            </w:pPr>
            <w:r w:rsidRPr="00F10A5B">
              <w:rPr>
                <w:rFonts w:cstheme="minorHAnsi"/>
                <w:color w:val="000000"/>
              </w:rPr>
              <w:t>2017 à 2018</w:t>
            </w:r>
          </w:p>
        </w:tc>
        <w:tc>
          <w:tcPr>
            <w:tcW w:w="1034" w:type="pct"/>
          </w:tcPr>
          <w:p w14:paraId="2CC11BCF"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1 696</w:t>
            </w:r>
          </w:p>
        </w:tc>
        <w:tc>
          <w:tcPr>
            <w:tcW w:w="936" w:type="pct"/>
          </w:tcPr>
          <w:p w14:paraId="07548C19"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314</w:t>
            </w:r>
          </w:p>
        </w:tc>
        <w:tc>
          <w:tcPr>
            <w:tcW w:w="935" w:type="pct"/>
          </w:tcPr>
          <w:p w14:paraId="518F61E3"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557</w:t>
            </w:r>
          </w:p>
        </w:tc>
        <w:tc>
          <w:tcPr>
            <w:tcW w:w="788" w:type="pct"/>
          </w:tcPr>
          <w:p w14:paraId="04AB3442"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541</w:t>
            </w:r>
          </w:p>
        </w:tc>
        <w:tc>
          <w:tcPr>
            <w:tcW w:w="667" w:type="pct"/>
          </w:tcPr>
          <w:p w14:paraId="370085F1"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3 108</w:t>
            </w:r>
          </w:p>
        </w:tc>
      </w:tr>
      <w:tr w:rsidR="007F7488" w:rsidRPr="00F10A5B" w14:paraId="37A3F413" w14:textId="77777777" w:rsidTr="00FB62DB">
        <w:trPr>
          <w:cantSplit/>
          <w:tblHeader/>
          <w:jc w:val="center"/>
        </w:trPr>
        <w:tc>
          <w:tcPr>
            <w:tcW w:w="639" w:type="pct"/>
          </w:tcPr>
          <w:p w14:paraId="0E6807A6" w14:textId="77777777" w:rsidR="007F7488" w:rsidRPr="00F10A5B" w:rsidRDefault="007F7488" w:rsidP="0052484F">
            <w:pPr>
              <w:autoSpaceDE w:val="0"/>
              <w:autoSpaceDN w:val="0"/>
              <w:adjustRightInd w:val="0"/>
              <w:contextualSpacing/>
              <w:rPr>
                <w:rFonts w:cstheme="minorHAnsi"/>
                <w:color w:val="000000"/>
              </w:rPr>
            </w:pPr>
            <w:r w:rsidRPr="00F10A5B">
              <w:rPr>
                <w:rFonts w:cstheme="minorHAnsi"/>
                <w:color w:val="000000"/>
              </w:rPr>
              <w:t>2018 à 2019</w:t>
            </w:r>
          </w:p>
        </w:tc>
        <w:tc>
          <w:tcPr>
            <w:tcW w:w="1034" w:type="pct"/>
          </w:tcPr>
          <w:p w14:paraId="47FA2141"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1 993</w:t>
            </w:r>
          </w:p>
        </w:tc>
        <w:tc>
          <w:tcPr>
            <w:tcW w:w="936" w:type="pct"/>
          </w:tcPr>
          <w:p w14:paraId="61DA8C0F"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328</w:t>
            </w:r>
          </w:p>
        </w:tc>
        <w:tc>
          <w:tcPr>
            <w:tcW w:w="935" w:type="pct"/>
          </w:tcPr>
          <w:p w14:paraId="183C064D"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599</w:t>
            </w:r>
          </w:p>
        </w:tc>
        <w:tc>
          <w:tcPr>
            <w:tcW w:w="788" w:type="pct"/>
          </w:tcPr>
          <w:p w14:paraId="51CA6C32"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524</w:t>
            </w:r>
          </w:p>
        </w:tc>
        <w:tc>
          <w:tcPr>
            <w:tcW w:w="667" w:type="pct"/>
          </w:tcPr>
          <w:p w14:paraId="5DA5AB28"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3 444</w:t>
            </w:r>
          </w:p>
        </w:tc>
      </w:tr>
      <w:tr w:rsidR="007F7488" w:rsidRPr="00F10A5B" w14:paraId="03881096" w14:textId="77777777" w:rsidTr="00FB62DB">
        <w:trPr>
          <w:cantSplit/>
          <w:tblHeader/>
          <w:jc w:val="center"/>
        </w:trPr>
        <w:tc>
          <w:tcPr>
            <w:tcW w:w="639" w:type="pct"/>
          </w:tcPr>
          <w:p w14:paraId="27D74EE0" w14:textId="77777777" w:rsidR="007F7488" w:rsidRPr="00F10A5B" w:rsidRDefault="007F7488" w:rsidP="0052484F">
            <w:pPr>
              <w:autoSpaceDE w:val="0"/>
              <w:autoSpaceDN w:val="0"/>
              <w:adjustRightInd w:val="0"/>
              <w:contextualSpacing/>
              <w:rPr>
                <w:rFonts w:cstheme="minorHAnsi"/>
                <w:color w:val="000000"/>
              </w:rPr>
            </w:pPr>
            <w:r w:rsidRPr="00F10A5B">
              <w:rPr>
                <w:rFonts w:cstheme="minorHAnsi"/>
                <w:color w:val="000000"/>
              </w:rPr>
              <w:t>2019 à 2020</w:t>
            </w:r>
          </w:p>
        </w:tc>
        <w:tc>
          <w:tcPr>
            <w:tcW w:w="1034" w:type="pct"/>
          </w:tcPr>
          <w:p w14:paraId="09F9B647"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2 470</w:t>
            </w:r>
          </w:p>
        </w:tc>
        <w:tc>
          <w:tcPr>
            <w:tcW w:w="936" w:type="pct"/>
          </w:tcPr>
          <w:p w14:paraId="4BD27F89"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372</w:t>
            </w:r>
          </w:p>
        </w:tc>
        <w:tc>
          <w:tcPr>
            <w:tcW w:w="935" w:type="pct"/>
          </w:tcPr>
          <w:p w14:paraId="65737805"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609</w:t>
            </w:r>
          </w:p>
        </w:tc>
        <w:tc>
          <w:tcPr>
            <w:tcW w:w="788" w:type="pct"/>
          </w:tcPr>
          <w:p w14:paraId="19D03C13"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517</w:t>
            </w:r>
          </w:p>
        </w:tc>
        <w:tc>
          <w:tcPr>
            <w:tcW w:w="667" w:type="pct"/>
          </w:tcPr>
          <w:p w14:paraId="649D59BA" w14:textId="77777777" w:rsidR="007F7488" w:rsidRPr="00F10A5B" w:rsidRDefault="007F7488" w:rsidP="0052484F">
            <w:pPr>
              <w:autoSpaceDE w:val="0"/>
              <w:autoSpaceDN w:val="0"/>
              <w:adjustRightInd w:val="0"/>
              <w:contextualSpacing/>
              <w:jc w:val="center"/>
              <w:rPr>
                <w:rFonts w:cstheme="minorHAnsi"/>
                <w:color w:val="000000"/>
              </w:rPr>
            </w:pPr>
            <w:r w:rsidRPr="00F10A5B">
              <w:rPr>
                <w:rFonts w:cstheme="minorHAnsi"/>
                <w:color w:val="000000"/>
              </w:rPr>
              <w:t>3 968</w:t>
            </w:r>
          </w:p>
        </w:tc>
      </w:tr>
    </w:tbl>
    <w:p w14:paraId="599C6125" w14:textId="77777777" w:rsidR="007F7488" w:rsidRPr="00F10A5B" w:rsidRDefault="007F7488" w:rsidP="00014002">
      <w:pPr>
        <w:spacing w:before="120" w:after="0"/>
        <w:rPr>
          <w:rStyle w:val="Strong"/>
        </w:rPr>
      </w:pPr>
      <w:r w:rsidRPr="00F10A5B">
        <w:rPr>
          <w:rStyle w:val="Strong"/>
        </w:rPr>
        <w:t>Sondage sur la dotation et l’impartialité politique (2018) – Principales constatations</w:t>
      </w:r>
    </w:p>
    <w:p w14:paraId="5F47A188" w14:textId="77777777" w:rsidR="007F7488" w:rsidRPr="00F10A5B" w:rsidRDefault="007F7488" w:rsidP="00014002">
      <w:pPr>
        <w:pStyle w:val="ListParagraph"/>
        <w:keepLines w:val="0"/>
        <w:numPr>
          <w:ilvl w:val="0"/>
          <w:numId w:val="37"/>
        </w:numPr>
        <w:spacing w:after="0" w:line="240" w:lineRule="auto"/>
        <w:jc w:val="both"/>
        <w:rPr>
          <w:rFonts w:cstheme="minorHAnsi"/>
          <w:color w:val="auto"/>
        </w:rPr>
      </w:pPr>
      <w:r w:rsidRPr="00F10A5B">
        <w:rPr>
          <w:rFonts w:cstheme="minorHAnsi"/>
          <w:color w:val="auto"/>
        </w:rPr>
        <w:t xml:space="preserve">55,9% des </w:t>
      </w:r>
      <w:r w:rsidRPr="00F10A5B">
        <w:rPr>
          <w:rStyle w:val="Strong"/>
        </w:rPr>
        <w:t xml:space="preserve">employés </w:t>
      </w:r>
      <w:r w:rsidRPr="00F10A5B">
        <w:rPr>
          <w:rFonts w:cstheme="minorHAnsi"/>
          <w:color w:val="auto"/>
        </w:rPr>
        <w:t>estiment que les personnes embauchées peuvent effectuer le travail, comparativement à 52,3% dans les organisations de même taille et à 53,8% dans la fonction publique fédérale.</w:t>
      </w:r>
    </w:p>
    <w:p w14:paraId="5A0CB71F" w14:textId="77777777" w:rsidR="007F7488" w:rsidRPr="00F10A5B" w:rsidRDefault="007F7488" w:rsidP="00014002">
      <w:pPr>
        <w:pStyle w:val="ListParagraph"/>
        <w:keepLines w:val="0"/>
        <w:numPr>
          <w:ilvl w:val="0"/>
          <w:numId w:val="37"/>
        </w:numPr>
        <w:spacing w:after="0" w:line="240" w:lineRule="auto"/>
        <w:jc w:val="both"/>
        <w:rPr>
          <w:rFonts w:cstheme="minorHAnsi"/>
          <w:color w:val="auto"/>
        </w:rPr>
      </w:pPr>
      <w:r w:rsidRPr="00F10A5B">
        <w:rPr>
          <w:rFonts w:cstheme="minorHAnsi"/>
          <w:color w:val="auto"/>
        </w:rPr>
        <w:lastRenderedPageBreak/>
        <w:t xml:space="preserve">59,8% des </w:t>
      </w:r>
      <w:r w:rsidRPr="00F10A5B">
        <w:rPr>
          <w:rStyle w:val="Strong"/>
        </w:rPr>
        <w:t>gestionnaires</w:t>
      </w:r>
      <w:r w:rsidRPr="00F10A5B">
        <w:rPr>
          <w:rFonts w:cstheme="minorHAnsi"/>
          <w:color w:val="auto"/>
        </w:rPr>
        <w:t xml:space="preserve"> estiment que la Nouvelle orientation en dotation a amélioré la façon d'embaucher et de nommer les candidats au sein de leur organisation, comparativement à 54,4% dans les organisations de même taille et à 56,1% dans la fonction publique fédérale.</w:t>
      </w:r>
    </w:p>
    <w:p w14:paraId="27A040BC" w14:textId="029069B4" w:rsidR="007F7488" w:rsidRPr="00F10A5B" w:rsidRDefault="007F7488" w:rsidP="00014002">
      <w:pPr>
        <w:pStyle w:val="ListParagraph"/>
        <w:keepLines w:val="0"/>
        <w:numPr>
          <w:ilvl w:val="0"/>
          <w:numId w:val="37"/>
        </w:numPr>
        <w:spacing w:after="0" w:line="240" w:lineRule="auto"/>
        <w:jc w:val="both"/>
      </w:pPr>
      <w:r w:rsidRPr="00F10A5B">
        <w:rPr>
          <w:rFonts w:cstheme="minorHAnsi"/>
          <w:color w:val="auto"/>
        </w:rPr>
        <w:t xml:space="preserve">91,6% des </w:t>
      </w:r>
      <w:r w:rsidRPr="00F10A5B">
        <w:rPr>
          <w:rStyle w:val="Strong"/>
        </w:rPr>
        <w:t>gestionnaires</w:t>
      </w:r>
      <w:r w:rsidRPr="00F10A5B">
        <w:rPr>
          <w:rFonts w:cstheme="minorHAnsi"/>
          <w:color w:val="auto"/>
        </w:rPr>
        <w:t xml:space="preserve"> estiment qu'au sein de leur organisation, le processus administratif visant à pourvoir un poste est </w:t>
      </w:r>
      <w:r w:rsidRPr="00F10A5B">
        <w:rPr>
          <w:rStyle w:val="Strong"/>
        </w:rPr>
        <w:t>lourd</w:t>
      </w:r>
      <w:r w:rsidRPr="00F10A5B">
        <w:rPr>
          <w:rFonts w:cstheme="minorHAnsi"/>
          <w:color w:val="auto"/>
        </w:rPr>
        <w:t>, comparativement à 88,6% dans les organisations de même taille et à 87,9% dans la fonction publique fédérale.</w:t>
      </w:r>
    </w:p>
    <w:p w14:paraId="60DD903A" w14:textId="77777777" w:rsidR="007F7488" w:rsidRPr="00F10A5B" w:rsidRDefault="007F7488" w:rsidP="00DA196D">
      <w:pPr>
        <w:contextualSpacing/>
        <w:sectPr w:rsidR="007F7488" w:rsidRPr="00F10A5B" w:rsidSect="00E310D2">
          <w:pgSz w:w="15840" w:h="12240" w:orient="landscape"/>
          <w:pgMar w:top="720" w:right="720" w:bottom="720" w:left="720" w:header="708" w:footer="708" w:gutter="0"/>
          <w:cols w:space="708"/>
          <w:titlePg/>
          <w:docGrid w:linePitch="360"/>
        </w:sectPr>
      </w:pPr>
    </w:p>
    <w:p w14:paraId="1A00DD79" w14:textId="77777777" w:rsidR="00D163A8" w:rsidRPr="00F10A5B" w:rsidRDefault="00D163A8" w:rsidP="00D163A8">
      <w:pPr>
        <w:pStyle w:val="Heading1"/>
        <w:spacing w:before="120" w:after="120"/>
        <w:rPr>
          <w:color w:val="auto"/>
          <w:sz w:val="40"/>
        </w:rPr>
      </w:pPr>
      <w:r w:rsidRPr="00F10A5B">
        <w:rPr>
          <w:color w:val="auto"/>
          <w:sz w:val="40"/>
        </w:rPr>
        <w:lastRenderedPageBreak/>
        <w:t>Embauche d'étudiants</w:t>
      </w:r>
    </w:p>
    <w:p w14:paraId="055A557A" w14:textId="77777777" w:rsidR="00D163A8" w:rsidRPr="00F10A5B" w:rsidRDefault="0035095E" w:rsidP="00D163A8">
      <w:pPr>
        <w:keepNext/>
        <w:spacing w:after="0"/>
        <w:contextualSpacing/>
        <w:jc w:val="center"/>
      </w:pPr>
      <w:r w:rsidRPr="00F10A5B">
        <w:rPr>
          <w:noProof/>
          <w:lang w:eastAsia="en-CA"/>
        </w:rPr>
        <w:drawing>
          <wp:inline distT="0" distB="0" distL="0" distR="0" wp14:anchorId="5D2EBC1D" wp14:editId="6B0F6163">
            <wp:extent cx="5648400" cy="3049200"/>
            <wp:effectExtent l="0" t="0" r="9525" b="18415"/>
            <wp:docPr id="17" name="Chart 17" descr="Embauche d'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02AB774" w14:textId="3C409E7B" w:rsidR="0035095E" w:rsidRPr="00F10A5B" w:rsidRDefault="00D163A8" w:rsidP="00D163A8">
      <w:pPr>
        <w:pStyle w:val="Caption"/>
        <w:spacing w:after="0"/>
        <w:jc w:val="center"/>
        <w:rPr>
          <w:i w:val="0"/>
          <w:color w:val="auto"/>
        </w:rPr>
      </w:pPr>
      <w:r w:rsidRPr="00F10A5B">
        <w:rPr>
          <w:i w:val="0"/>
          <w:color w:val="auto"/>
        </w:rPr>
        <w:t xml:space="preserve">Figure </w:t>
      </w:r>
      <w:r w:rsidRPr="00F10A5B">
        <w:rPr>
          <w:i w:val="0"/>
          <w:color w:val="auto"/>
        </w:rPr>
        <w:fldChar w:fldCharType="begin"/>
      </w:r>
      <w:r w:rsidRPr="00F10A5B">
        <w:rPr>
          <w:i w:val="0"/>
          <w:color w:val="auto"/>
        </w:rPr>
        <w:instrText xml:space="preserve"> SEQ Figure \* ARABIC </w:instrText>
      </w:r>
      <w:r w:rsidRPr="00F10A5B">
        <w:rPr>
          <w:i w:val="0"/>
          <w:color w:val="auto"/>
        </w:rPr>
        <w:fldChar w:fldCharType="separate"/>
      </w:r>
      <w:r w:rsidR="00E5173D" w:rsidRPr="00F10A5B">
        <w:rPr>
          <w:i w:val="0"/>
          <w:noProof/>
          <w:color w:val="auto"/>
        </w:rPr>
        <w:t>10</w:t>
      </w:r>
      <w:r w:rsidRPr="00F10A5B">
        <w:rPr>
          <w:i w:val="0"/>
          <w:color w:val="auto"/>
        </w:rPr>
        <w:fldChar w:fldCharType="end"/>
      </w:r>
      <w:r w:rsidRPr="00F10A5B">
        <w:rPr>
          <w:i w:val="0"/>
          <w:color w:val="auto"/>
        </w:rPr>
        <w:t xml:space="preserve"> - Embauche d'étudiants</w:t>
      </w:r>
    </w:p>
    <w:p w14:paraId="27283013" w14:textId="4F09C598" w:rsidR="00D163A8" w:rsidRPr="00F10A5B" w:rsidRDefault="00D163A8" w:rsidP="00D163A8">
      <w:pPr>
        <w:pStyle w:val="Caption"/>
        <w:keepNext/>
        <w:spacing w:before="240" w:after="0"/>
        <w:jc w:val="center"/>
        <w:rPr>
          <w:i w:val="0"/>
          <w:color w:val="auto"/>
        </w:rPr>
      </w:pPr>
      <w:r w:rsidRPr="00F10A5B">
        <w:rPr>
          <w:i w:val="0"/>
          <w:color w:val="auto"/>
        </w:rPr>
        <w:t xml:space="preserve">Table </w:t>
      </w:r>
      <w:r w:rsidRPr="00F10A5B">
        <w:rPr>
          <w:i w:val="0"/>
          <w:color w:val="auto"/>
        </w:rPr>
        <w:fldChar w:fldCharType="begin"/>
      </w:r>
      <w:r w:rsidRPr="00F10A5B">
        <w:rPr>
          <w:i w:val="0"/>
          <w:color w:val="auto"/>
        </w:rPr>
        <w:instrText xml:space="preserve"> SEQ Table \* ARABIC </w:instrText>
      </w:r>
      <w:r w:rsidRPr="00F10A5B">
        <w:rPr>
          <w:i w:val="0"/>
          <w:color w:val="auto"/>
        </w:rPr>
        <w:fldChar w:fldCharType="separate"/>
      </w:r>
      <w:r w:rsidR="007B3B19" w:rsidRPr="00F10A5B">
        <w:rPr>
          <w:i w:val="0"/>
          <w:noProof/>
          <w:color w:val="auto"/>
        </w:rPr>
        <w:t>13</w:t>
      </w:r>
      <w:r w:rsidRPr="00F10A5B">
        <w:rPr>
          <w:i w:val="0"/>
          <w:color w:val="auto"/>
        </w:rPr>
        <w:fldChar w:fldCharType="end"/>
      </w:r>
      <w:r w:rsidRPr="00F10A5B">
        <w:rPr>
          <w:i w:val="0"/>
          <w:color w:val="auto"/>
        </w:rPr>
        <w:t xml:space="preserve"> - Activités d’embauche d’étudiants selon le programme de recrutement et l’exercice financier</w:t>
      </w:r>
    </w:p>
    <w:tbl>
      <w:tblPr>
        <w:tblStyle w:val="TableGrid"/>
        <w:tblW w:w="5000" w:type="pct"/>
        <w:jc w:val="center"/>
        <w:tblLook w:val="0020" w:firstRow="1" w:lastRow="0" w:firstColumn="0" w:lastColumn="0" w:noHBand="0" w:noVBand="0"/>
        <w:tblDescription w:val="Embauches dans le cadre de programmes d’étudiants de 2015 à 2020"/>
      </w:tblPr>
      <w:tblGrid>
        <w:gridCol w:w="1840"/>
        <w:gridCol w:w="3685"/>
        <w:gridCol w:w="4110"/>
        <w:gridCol w:w="2976"/>
        <w:gridCol w:w="1779"/>
      </w:tblGrid>
      <w:tr w:rsidR="007F7488" w:rsidRPr="00F10A5B" w14:paraId="6F7739CF" w14:textId="77777777" w:rsidTr="00FB62DB">
        <w:trPr>
          <w:cantSplit/>
          <w:tblHeader/>
          <w:jc w:val="center"/>
        </w:trPr>
        <w:tc>
          <w:tcPr>
            <w:tcW w:w="639" w:type="pct"/>
          </w:tcPr>
          <w:p w14:paraId="02EDB2F0" w14:textId="77777777" w:rsidR="007F7488" w:rsidRPr="00F10A5B" w:rsidRDefault="007F7488" w:rsidP="00D163A8">
            <w:pPr>
              <w:pStyle w:val="TableTitle"/>
            </w:pPr>
            <w:r w:rsidRPr="00F10A5B">
              <w:t>Exercice financier</w:t>
            </w:r>
          </w:p>
        </w:tc>
        <w:tc>
          <w:tcPr>
            <w:tcW w:w="1280" w:type="pct"/>
          </w:tcPr>
          <w:p w14:paraId="73F654A9" w14:textId="77777777" w:rsidR="007F7488" w:rsidRPr="00F10A5B" w:rsidRDefault="007F7488" w:rsidP="00D163A8">
            <w:pPr>
              <w:pStyle w:val="TableTitle"/>
            </w:pPr>
            <w:r w:rsidRPr="00F10A5B">
              <w:t xml:space="preserve">Programme fédéral d’expérience de travail étudiant </w:t>
            </w:r>
          </w:p>
        </w:tc>
        <w:tc>
          <w:tcPr>
            <w:tcW w:w="1428" w:type="pct"/>
          </w:tcPr>
          <w:p w14:paraId="4C1ACF6E" w14:textId="77777777" w:rsidR="007F7488" w:rsidRPr="00F10A5B" w:rsidRDefault="007F7488" w:rsidP="00D163A8">
            <w:pPr>
              <w:pStyle w:val="TableTitle"/>
            </w:pPr>
            <w:r w:rsidRPr="00F10A5B">
              <w:t xml:space="preserve">Programme postsecondaire d'enseignement coopératif/de stages </w:t>
            </w:r>
          </w:p>
        </w:tc>
        <w:tc>
          <w:tcPr>
            <w:tcW w:w="1034" w:type="pct"/>
          </w:tcPr>
          <w:p w14:paraId="3B949F6E" w14:textId="77777777" w:rsidR="007F7488" w:rsidRPr="00F10A5B" w:rsidRDefault="007F7488" w:rsidP="00D163A8">
            <w:pPr>
              <w:pStyle w:val="TableTitle"/>
            </w:pPr>
            <w:r w:rsidRPr="00F10A5B">
              <w:t>Programme des adjoints de recherche</w:t>
            </w:r>
          </w:p>
        </w:tc>
        <w:tc>
          <w:tcPr>
            <w:tcW w:w="618" w:type="pct"/>
          </w:tcPr>
          <w:p w14:paraId="4FB50B16" w14:textId="77777777" w:rsidR="007F7488" w:rsidRPr="00F10A5B" w:rsidRDefault="007F7488" w:rsidP="00D163A8">
            <w:pPr>
              <w:pStyle w:val="TableTitle"/>
            </w:pPr>
            <w:r w:rsidRPr="00F10A5B">
              <w:t>Total</w:t>
            </w:r>
          </w:p>
        </w:tc>
      </w:tr>
      <w:tr w:rsidR="007F7488" w:rsidRPr="00F10A5B" w14:paraId="66FF8B08" w14:textId="77777777" w:rsidTr="00FB62DB">
        <w:trPr>
          <w:cantSplit/>
          <w:tblHeader/>
          <w:jc w:val="center"/>
        </w:trPr>
        <w:tc>
          <w:tcPr>
            <w:tcW w:w="639" w:type="pct"/>
          </w:tcPr>
          <w:p w14:paraId="4BF1ACD7" w14:textId="77777777" w:rsidR="007F7488" w:rsidRPr="00F10A5B" w:rsidRDefault="007F7488" w:rsidP="0052484F">
            <w:pPr>
              <w:autoSpaceDE w:val="0"/>
              <w:autoSpaceDN w:val="0"/>
              <w:adjustRightInd w:val="0"/>
              <w:contextualSpacing/>
              <w:rPr>
                <w:rFonts w:cstheme="minorHAnsi"/>
                <w:color w:val="000000"/>
                <w:szCs w:val="24"/>
              </w:rPr>
            </w:pPr>
            <w:r w:rsidRPr="00F10A5B">
              <w:rPr>
                <w:rFonts w:cstheme="minorHAnsi"/>
                <w:color w:val="000000"/>
                <w:szCs w:val="24"/>
              </w:rPr>
              <w:t>2015 à 2016</w:t>
            </w:r>
          </w:p>
        </w:tc>
        <w:tc>
          <w:tcPr>
            <w:tcW w:w="1280" w:type="pct"/>
          </w:tcPr>
          <w:p w14:paraId="11808AA7"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286</w:t>
            </w:r>
          </w:p>
        </w:tc>
        <w:tc>
          <w:tcPr>
            <w:tcW w:w="1428" w:type="pct"/>
          </w:tcPr>
          <w:p w14:paraId="0B53D448"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347</w:t>
            </w:r>
          </w:p>
        </w:tc>
        <w:tc>
          <w:tcPr>
            <w:tcW w:w="1034" w:type="pct"/>
          </w:tcPr>
          <w:p w14:paraId="2A0376B2"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1</w:t>
            </w:r>
          </w:p>
        </w:tc>
        <w:tc>
          <w:tcPr>
            <w:tcW w:w="618" w:type="pct"/>
          </w:tcPr>
          <w:p w14:paraId="61ED4867"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634</w:t>
            </w:r>
          </w:p>
        </w:tc>
      </w:tr>
      <w:tr w:rsidR="007F7488" w:rsidRPr="00F10A5B" w14:paraId="1D433D08" w14:textId="77777777" w:rsidTr="00FB62DB">
        <w:trPr>
          <w:cantSplit/>
          <w:tblHeader/>
          <w:jc w:val="center"/>
        </w:trPr>
        <w:tc>
          <w:tcPr>
            <w:tcW w:w="639" w:type="pct"/>
          </w:tcPr>
          <w:p w14:paraId="74859628" w14:textId="77777777" w:rsidR="007F7488" w:rsidRPr="00F10A5B" w:rsidRDefault="007F7488" w:rsidP="0052484F">
            <w:pPr>
              <w:autoSpaceDE w:val="0"/>
              <w:autoSpaceDN w:val="0"/>
              <w:adjustRightInd w:val="0"/>
              <w:contextualSpacing/>
              <w:rPr>
                <w:rFonts w:cstheme="minorHAnsi"/>
                <w:color w:val="000000"/>
                <w:szCs w:val="24"/>
              </w:rPr>
            </w:pPr>
            <w:r w:rsidRPr="00F10A5B">
              <w:rPr>
                <w:rFonts w:cstheme="minorHAnsi"/>
                <w:color w:val="000000"/>
                <w:szCs w:val="24"/>
              </w:rPr>
              <w:t>2016 à 2017</w:t>
            </w:r>
          </w:p>
        </w:tc>
        <w:tc>
          <w:tcPr>
            <w:tcW w:w="1280" w:type="pct"/>
          </w:tcPr>
          <w:p w14:paraId="43DE7E15"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305</w:t>
            </w:r>
          </w:p>
        </w:tc>
        <w:tc>
          <w:tcPr>
            <w:tcW w:w="1428" w:type="pct"/>
          </w:tcPr>
          <w:p w14:paraId="4997C7B7"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262</w:t>
            </w:r>
          </w:p>
        </w:tc>
        <w:tc>
          <w:tcPr>
            <w:tcW w:w="1034" w:type="pct"/>
          </w:tcPr>
          <w:p w14:paraId="5ED59A62"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0</w:t>
            </w:r>
          </w:p>
        </w:tc>
        <w:tc>
          <w:tcPr>
            <w:tcW w:w="618" w:type="pct"/>
          </w:tcPr>
          <w:p w14:paraId="439098D0"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567</w:t>
            </w:r>
          </w:p>
        </w:tc>
      </w:tr>
      <w:tr w:rsidR="007F7488" w:rsidRPr="00F10A5B" w14:paraId="3C62F69B" w14:textId="77777777" w:rsidTr="00FB62DB">
        <w:trPr>
          <w:cantSplit/>
          <w:tblHeader/>
          <w:jc w:val="center"/>
        </w:trPr>
        <w:tc>
          <w:tcPr>
            <w:tcW w:w="639" w:type="pct"/>
          </w:tcPr>
          <w:p w14:paraId="37890ABD" w14:textId="77777777" w:rsidR="007F7488" w:rsidRPr="00F10A5B" w:rsidRDefault="007F7488" w:rsidP="0052484F">
            <w:pPr>
              <w:autoSpaceDE w:val="0"/>
              <w:autoSpaceDN w:val="0"/>
              <w:adjustRightInd w:val="0"/>
              <w:contextualSpacing/>
              <w:rPr>
                <w:rFonts w:cstheme="minorHAnsi"/>
                <w:color w:val="000000"/>
                <w:szCs w:val="24"/>
              </w:rPr>
            </w:pPr>
            <w:r w:rsidRPr="00F10A5B">
              <w:rPr>
                <w:rFonts w:cstheme="minorHAnsi"/>
                <w:color w:val="000000"/>
                <w:szCs w:val="24"/>
              </w:rPr>
              <w:t>2017 à 2018</w:t>
            </w:r>
          </w:p>
        </w:tc>
        <w:tc>
          <w:tcPr>
            <w:tcW w:w="1280" w:type="pct"/>
          </w:tcPr>
          <w:p w14:paraId="1F6DBC4B"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290</w:t>
            </w:r>
          </w:p>
        </w:tc>
        <w:tc>
          <w:tcPr>
            <w:tcW w:w="1428" w:type="pct"/>
          </w:tcPr>
          <w:p w14:paraId="4FDD5599"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250</w:t>
            </w:r>
          </w:p>
        </w:tc>
        <w:tc>
          <w:tcPr>
            <w:tcW w:w="1034" w:type="pct"/>
          </w:tcPr>
          <w:p w14:paraId="7929ABF1"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1</w:t>
            </w:r>
          </w:p>
        </w:tc>
        <w:tc>
          <w:tcPr>
            <w:tcW w:w="618" w:type="pct"/>
          </w:tcPr>
          <w:p w14:paraId="4EB622D4"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541</w:t>
            </w:r>
          </w:p>
        </w:tc>
      </w:tr>
      <w:tr w:rsidR="007F7488" w:rsidRPr="00F10A5B" w14:paraId="5D07C0FF" w14:textId="77777777" w:rsidTr="00FB62DB">
        <w:trPr>
          <w:cantSplit/>
          <w:tblHeader/>
          <w:jc w:val="center"/>
        </w:trPr>
        <w:tc>
          <w:tcPr>
            <w:tcW w:w="639" w:type="pct"/>
          </w:tcPr>
          <w:p w14:paraId="3B9B7F1C" w14:textId="77777777" w:rsidR="007F7488" w:rsidRPr="00F10A5B" w:rsidRDefault="007F7488" w:rsidP="0052484F">
            <w:pPr>
              <w:autoSpaceDE w:val="0"/>
              <w:autoSpaceDN w:val="0"/>
              <w:adjustRightInd w:val="0"/>
              <w:contextualSpacing/>
              <w:rPr>
                <w:rFonts w:cstheme="minorHAnsi"/>
                <w:color w:val="000000"/>
                <w:szCs w:val="24"/>
              </w:rPr>
            </w:pPr>
            <w:r w:rsidRPr="00F10A5B">
              <w:rPr>
                <w:rFonts w:cstheme="minorHAnsi"/>
                <w:color w:val="000000"/>
                <w:szCs w:val="24"/>
              </w:rPr>
              <w:t>2018 à 2019</w:t>
            </w:r>
          </w:p>
        </w:tc>
        <w:tc>
          <w:tcPr>
            <w:tcW w:w="1280" w:type="pct"/>
          </w:tcPr>
          <w:p w14:paraId="5768371A"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285</w:t>
            </w:r>
          </w:p>
        </w:tc>
        <w:tc>
          <w:tcPr>
            <w:tcW w:w="1428" w:type="pct"/>
          </w:tcPr>
          <w:p w14:paraId="5416C9CB"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235</w:t>
            </w:r>
          </w:p>
        </w:tc>
        <w:tc>
          <w:tcPr>
            <w:tcW w:w="1034" w:type="pct"/>
          </w:tcPr>
          <w:p w14:paraId="0948596D"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4</w:t>
            </w:r>
          </w:p>
        </w:tc>
        <w:tc>
          <w:tcPr>
            <w:tcW w:w="618" w:type="pct"/>
          </w:tcPr>
          <w:p w14:paraId="379B548F"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524</w:t>
            </w:r>
          </w:p>
        </w:tc>
      </w:tr>
      <w:tr w:rsidR="007F7488" w:rsidRPr="00F10A5B" w14:paraId="336FF8BB" w14:textId="77777777" w:rsidTr="00FB62DB">
        <w:trPr>
          <w:cantSplit/>
          <w:tblHeader/>
          <w:jc w:val="center"/>
        </w:trPr>
        <w:tc>
          <w:tcPr>
            <w:tcW w:w="639" w:type="pct"/>
          </w:tcPr>
          <w:p w14:paraId="0D83E8AE" w14:textId="77777777" w:rsidR="007F7488" w:rsidRPr="00F10A5B" w:rsidRDefault="007F7488" w:rsidP="0052484F">
            <w:pPr>
              <w:autoSpaceDE w:val="0"/>
              <w:autoSpaceDN w:val="0"/>
              <w:adjustRightInd w:val="0"/>
              <w:contextualSpacing/>
              <w:rPr>
                <w:rFonts w:cstheme="minorHAnsi"/>
                <w:color w:val="000000"/>
                <w:szCs w:val="24"/>
              </w:rPr>
            </w:pPr>
            <w:r w:rsidRPr="00F10A5B">
              <w:rPr>
                <w:rFonts w:cstheme="minorHAnsi"/>
                <w:color w:val="000000"/>
                <w:szCs w:val="24"/>
              </w:rPr>
              <w:t>2019 à 2020</w:t>
            </w:r>
          </w:p>
        </w:tc>
        <w:tc>
          <w:tcPr>
            <w:tcW w:w="1280" w:type="pct"/>
          </w:tcPr>
          <w:p w14:paraId="18822039"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324</w:t>
            </w:r>
          </w:p>
        </w:tc>
        <w:tc>
          <w:tcPr>
            <w:tcW w:w="1428" w:type="pct"/>
          </w:tcPr>
          <w:p w14:paraId="531AE959"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193</w:t>
            </w:r>
          </w:p>
        </w:tc>
        <w:tc>
          <w:tcPr>
            <w:tcW w:w="1034" w:type="pct"/>
          </w:tcPr>
          <w:p w14:paraId="4A76CF7A"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0</w:t>
            </w:r>
          </w:p>
        </w:tc>
        <w:tc>
          <w:tcPr>
            <w:tcW w:w="618" w:type="pct"/>
          </w:tcPr>
          <w:p w14:paraId="4B02547C" w14:textId="77777777" w:rsidR="007F7488" w:rsidRPr="00F10A5B" w:rsidRDefault="007F7488" w:rsidP="0052484F">
            <w:pPr>
              <w:autoSpaceDE w:val="0"/>
              <w:autoSpaceDN w:val="0"/>
              <w:adjustRightInd w:val="0"/>
              <w:contextualSpacing/>
              <w:jc w:val="center"/>
              <w:rPr>
                <w:rFonts w:cstheme="minorHAnsi"/>
                <w:color w:val="000000"/>
                <w:szCs w:val="24"/>
              </w:rPr>
            </w:pPr>
            <w:r w:rsidRPr="00F10A5B">
              <w:rPr>
                <w:rFonts w:cstheme="minorHAnsi"/>
                <w:color w:val="000000"/>
                <w:szCs w:val="24"/>
              </w:rPr>
              <w:t>517</w:t>
            </w:r>
          </w:p>
        </w:tc>
      </w:tr>
    </w:tbl>
    <w:p w14:paraId="1F5C1481" w14:textId="77777777" w:rsidR="00BC14AD" w:rsidRPr="00F10A5B" w:rsidRDefault="00BC14AD" w:rsidP="00DA196D">
      <w:pPr>
        <w:contextualSpacing/>
      </w:pPr>
    </w:p>
    <w:p w14:paraId="62565820" w14:textId="77777777" w:rsidR="007F7488" w:rsidRPr="00F10A5B" w:rsidRDefault="007F7488" w:rsidP="00DA196D">
      <w:pPr>
        <w:contextualSpacing/>
        <w:sectPr w:rsidR="007F7488" w:rsidRPr="00F10A5B" w:rsidSect="00E310D2">
          <w:pgSz w:w="15840" w:h="12240" w:orient="landscape"/>
          <w:pgMar w:top="720" w:right="720" w:bottom="720" w:left="720" w:header="708" w:footer="708" w:gutter="0"/>
          <w:cols w:space="708"/>
          <w:titlePg/>
          <w:docGrid w:linePitch="360"/>
        </w:sectPr>
      </w:pPr>
    </w:p>
    <w:p w14:paraId="3D4F883D" w14:textId="77777777" w:rsidR="00D163A8" w:rsidRPr="00FC70C7" w:rsidRDefault="00D163A8" w:rsidP="00D163A8">
      <w:pPr>
        <w:pStyle w:val="Heading1"/>
        <w:spacing w:before="120" w:after="120"/>
        <w:rPr>
          <w:rFonts w:cstheme="majorHAnsi"/>
          <w:color w:val="auto"/>
          <w:sz w:val="40"/>
        </w:rPr>
      </w:pPr>
      <w:r w:rsidRPr="00FC70C7">
        <w:rPr>
          <w:rFonts w:cstheme="majorHAnsi"/>
          <w:color w:val="auto"/>
          <w:sz w:val="40"/>
        </w:rPr>
        <w:lastRenderedPageBreak/>
        <w:t>Activités d'embauche externe pour une période indéterminée et d'une durée déterminée : Programme de recrutement postsecondaire et embauche d'anciens étudiants</w:t>
      </w:r>
    </w:p>
    <w:p w14:paraId="0A0C7AE9" w14:textId="77777777" w:rsidR="00D163A8" w:rsidRPr="00F10A5B" w:rsidRDefault="007F7488" w:rsidP="00D163A8">
      <w:pPr>
        <w:keepNext/>
        <w:spacing w:after="0"/>
        <w:contextualSpacing/>
        <w:jc w:val="center"/>
      </w:pPr>
      <w:r w:rsidRPr="00F10A5B">
        <w:rPr>
          <w:noProof/>
          <w:lang w:eastAsia="en-CA"/>
        </w:rPr>
        <w:drawing>
          <wp:inline distT="0" distB="0" distL="0" distR="0" wp14:anchorId="58DA813C" wp14:editId="06221DD6">
            <wp:extent cx="5648400" cy="3049200"/>
            <wp:effectExtent l="0" t="0" r="9525" b="18415"/>
            <wp:docPr id="4" name="Chart 4" descr="Activités d'embauche externe pour une période indéterminée et d'une durée déterminée : Programme de recrutement postsecondaire et embauche d'anciens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7AD9855" w14:textId="7C9D03D4" w:rsidR="007F7488" w:rsidRPr="00F10A5B" w:rsidRDefault="00D163A8" w:rsidP="00D163A8">
      <w:pPr>
        <w:pStyle w:val="Caption"/>
        <w:spacing w:after="0"/>
        <w:jc w:val="center"/>
        <w:rPr>
          <w:i w:val="0"/>
          <w:color w:val="auto"/>
        </w:rPr>
      </w:pPr>
      <w:r w:rsidRPr="00F10A5B">
        <w:rPr>
          <w:i w:val="0"/>
          <w:color w:val="auto"/>
        </w:rPr>
        <w:t xml:space="preserve">Figure </w:t>
      </w:r>
      <w:r w:rsidRPr="00F10A5B">
        <w:rPr>
          <w:i w:val="0"/>
          <w:color w:val="auto"/>
        </w:rPr>
        <w:fldChar w:fldCharType="begin"/>
      </w:r>
      <w:r w:rsidRPr="00F10A5B">
        <w:rPr>
          <w:i w:val="0"/>
          <w:color w:val="auto"/>
        </w:rPr>
        <w:instrText xml:space="preserve"> SEQ Figure \* ARABIC </w:instrText>
      </w:r>
      <w:r w:rsidRPr="00F10A5B">
        <w:rPr>
          <w:i w:val="0"/>
          <w:color w:val="auto"/>
        </w:rPr>
        <w:fldChar w:fldCharType="separate"/>
      </w:r>
      <w:r w:rsidR="00E5173D" w:rsidRPr="00F10A5B">
        <w:rPr>
          <w:i w:val="0"/>
          <w:noProof/>
          <w:color w:val="auto"/>
        </w:rPr>
        <w:t>11</w:t>
      </w:r>
      <w:r w:rsidRPr="00F10A5B">
        <w:rPr>
          <w:i w:val="0"/>
          <w:color w:val="auto"/>
        </w:rPr>
        <w:fldChar w:fldCharType="end"/>
      </w:r>
      <w:r w:rsidRPr="00F10A5B">
        <w:rPr>
          <w:i w:val="0"/>
          <w:color w:val="auto"/>
        </w:rPr>
        <w:t xml:space="preserve"> - Activités d'embauche externe pour une période indéterminée et d'une durée déterminée : Programme de recrutement postsecondaire et embauche d'anciens étudiants</w:t>
      </w:r>
    </w:p>
    <w:p w14:paraId="30036EF5" w14:textId="72B1C751" w:rsidR="00D163A8" w:rsidRPr="00F10A5B" w:rsidRDefault="00D163A8" w:rsidP="00D163A8">
      <w:pPr>
        <w:pStyle w:val="Caption"/>
        <w:keepNext/>
        <w:spacing w:before="240" w:after="0"/>
        <w:jc w:val="center"/>
        <w:rPr>
          <w:i w:val="0"/>
          <w:color w:val="auto"/>
        </w:rPr>
      </w:pPr>
      <w:r w:rsidRPr="00F10A5B">
        <w:rPr>
          <w:i w:val="0"/>
          <w:color w:val="auto"/>
        </w:rPr>
        <w:t xml:space="preserve">Table </w:t>
      </w:r>
      <w:r w:rsidRPr="00F10A5B">
        <w:rPr>
          <w:i w:val="0"/>
          <w:color w:val="auto"/>
        </w:rPr>
        <w:fldChar w:fldCharType="begin"/>
      </w:r>
      <w:r w:rsidRPr="00F10A5B">
        <w:rPr>
          <w:i w:val="0"/>
          <w:color w:val="auto"/>
        </w:rPr>
        <w:instrText xml:space="preserve"> SEQ Table \* ARABIC </w:instrText>
      </w:r>
      <w:r w:rsidRPr="00F10A5B">
        <w:rPr>
          <w:i w:val="0"/>
          <w:color w:val="auto"/>
        </w:rPr>
        <w:fldChar w:fldCharType="separate"/>
      </w:r>
      <w:r w:rsidR="007B3B19" w:rsidRPr="00F10A5B">
        <w:rPr>
          <w:i w:val="0"/>
          <w:noProof/>
          <w:color w:val="auto"/>
        </w:rPr>
        <w:t>14</w:t>
      </w:r>
      <w:r w:rsidRPr="00F10A5B">
        <w:rPr>
          <w:i w:val="0"/>
          <w:color w:val="auto"/>
        </w:rPr>
        <w:fldChar w:fldCharType="end"/>
      </w:r>
      <w:r w:rsidRPr="00F10A5B">
        <w:rPr>
          <w:i w:val="0"/>
          <w:color w:val="auto"/>
        </w:rPr>
        <w:t xml:space="preserve"> - Activités d'embauche externe pour une période indéterminée et d'une durée déterminée : Programme de recrutement postsecondaire et embauche d'anciens étudiants selon l’exercice financier</w:t>
      </w:r>
    </w:p>
    <w:tbl>
      <w:tblPr>
        <w:tblStyle w:val="TableGrid"/>
        <w:tblW w:w="5000" w:type="pct"/>
        <w:jc w:val="center"/>
        <w:tblLook w:val="0020" w:firstRow="1" w:lastRow="0" w:firstColumn="0" w:lastColumn="0" w:noHBand="0" w:noVBand="0"/>
        <w:tblDescription w:val="Programme de recrutement postsecondaire et embauche d'anciens étudiants"/>
      </w:tblPr>
      <w:tblGrid>
        <w:gridCol w:w="2973"/>
        <w:gridCol w:w="6237"/>
        <w:gridCol w:w="5180"/>
      </w:tblGrid>
      <w:tr w:rsidR="00805850" w:rsidRPr="00F10A5B" w14:paraId="5ABF5FDE" w14:textId="77777777" w:rsidTr="00FB62DB">
        <w:trPr>
          <w:cantSplit/>
          <w:tblHeader/>
          <w:jc w:val="center"/>
        </w:trPr>
        <w:tc>
          <w:tcPr>
            <w:tcW w:w="1033" w:type="pct"/>
          </w:tcPr>
          <w:p w14:paraId="68F58711" w14:textId="77777777" w:rsidR="00805850" w:rsidRPr="00F10A5B" w:rsidRDefault="00805850" w:rsidP="00D163A8">
            <w:pPr>
              <w:pStyle w:val="TableTitle"/>
            </w:pPr>
            <w:r w:rsidRPr="00F10A5B">
              <w:t>Exercice financier</w:t>
            </w:r>
          </w:p>
        </w:tc>
        <w:tc>
          <w:tcPr>
            <w:tcW w:w="2167" w:type="pct"/>
          </w:tcPr>
          <w:p w14:paraId="2E4B8240" w14:textId="77777777" w:rsidR="00805850" w:rsidRPr="00F10A5B" w:rsidRDefault="00805850" w:rsidP="00D163A8">
            <w:pPr>
              <w:pStyle w:val="TableTitle"/>
            </w:pPr>
            <w:r w:rsidRPr="00F10A5B">
              <w:t>Embauches du programme de recrutement postsecondaire</w:t>
            </w:r>
          </w:p>
        </w:tc>
        <w:tc>
          <w:tcPr>
            <w:tcW w:w="1800" w:type="pct"/>
          </w:tcPr>
          <w:p w14:paraId="21D09A62" w14:textId="77777777" w:rsidR="00805850" w:rsidRPr="00F10A5B" w:rsidRDefault="00805850" w:rsidP="00D163A8">
            <w:pPr>
              <w:pStyle w:val="TableTitle"/>
            </w:pPr>
            <w:r w:rsidRPr="00F10A5B">
              <w:t>Embauches d’anciens étudiants</w:t>
            </w:r>
          </w:p>
        </w:tc>
      </w:tr>
      <w:tr w:rsidR="00D163A8" w:rsidRPr="00F10A5B" w14:paraId="78BFD507" w14:textId="77777777" w:rsidTr="00FB62DB">
        <w:trPr>
          <w:cantSplit/>
          <w:tblHeader/>
          <w:jc w:val="center"/>
        </w:trPr>
        <w:tc>
          <w:tcPr>
            <w:tcW w:w="1033" w:type="pct"/>
          </w:tcPr>
          <w:p w14:paraId="7ACD9F50" w14:textId="77777777" w:rsidR="00805850" w:rsidRPr="00F10A5B" w:rsidRDefault="00805850" w:rsidP="0052484F">
            <w:pPr>
              <w:autoSpaceDE w:val="0"/>
              <w:autoSpaceDN w:val="0"/>
              <w:adjustRightInd w:val="0"/>
              <w:contextualSpacing/>
              <w:rPr>
                <w:rFonts w:cstheme="minorHAnsi"/>
                <w:color w:val="auto"/>
                <w:szCs w:val="24"/>
              </w:rPr>
            </w:pPr>
            <w:r w:rsidRPr="00F10A5B">
              <w:rPr>
                <w:rFonts w:cstheme="minorHAnsi"/>
                <w:color w:val="auto"/>
                <w:szCs w:val="24"/>
              </w:rPr>
              <w:t>2015 à 2016</w:t>
            </w:r>
          </w:p>
        </w:tc>
        <w:tc>
          <w:tcPr>
            <w:tcW w:w="2167" w:type="pct"/>
          </w:tcPr>
          <w:p w14:paraId="3D65ADD5" w14:textId="77777777" w:rsidR="00805850" w:rsidRPr="00F10A5B" w:rsidRDefault="00805850" w:rsidP="0052484F">
            <w:pPr>
              <w:autoSpaceDE w:val="0"/>
              <w:autoSpaceDN w:val="0"/>
              <w:adjustRightInd w:val="0"/>
              <w:contextualSpacing/>
              <w:jc w:val="center"/>
              <w:rPr>
                <w:rFonts w:cstheme="minorHAnsi"/>
                <w:color w:val="auto"/>
                <w:szCs w:val="24"/>
              </w:rPr>
            </w:pPr>
            <w:r w:rsidRPr="00F10A5B">
              <w:rPr>
                <w:rFonts w:cstheme="minorHAnsi"/>
                <w:color w:val="auto"/>
                <w:szCs w:val="24"/>
              </w:rPr>
              <w:t>6</w:t>
            </w:r>
          </w:p>
        </w:tc>
        <w:tc>
          <w:tcPr>
            <w:tcW w:w="1800" w:type="pct"/>
          </w:tcPr>
          <w:p w14:paraId="00CAA245" w14:textId="77777777" w:rsidR="00805850" w:rsidRPr="00F10A5B" w:rsidRDefault="00805850" w:rsidP="0052484F">
            <w:pPr>
              <w:autoSpaceDE w:val="0"/>
              <w:autoSpaceDN w:val="0"/>
              <w:adjustRightInd w:val="0"/>
              <w:contextualSpacing/>
              <w:jc w:val="center"/>
              <w:rPr>
                <w:rFonts w:cstheme="minorHAnsi"/>
                <w:color w:val="auto"/>
                <w:szCs w:val="24"/>
              </w:rPr>
            </w:pPr>
            <w:r w:rsidRPr="00F10A5B">
              <w:rPr>
                <w:rFonts w:cstheme="minorHAnsi"/>
                <w:color w:val="auto"/>
                <w:szCs w:val="24"/>
              </w:rPr>
              <w:t>66</w:t>
            </w:r>
          </w:p>
        </w:tc>
      </w:tr>
      <w:tr w:rsidR="00D163A8" w:rsidRPr="00F10A5B" w14:paraId="3168A8B9" w14:textId="77777777" w:rsidTr="00FB62DB">
        <w:trPr>
          <w:cantSplit/>
          <w:tblHeader/>
          <w:jc w:val="center"/>
        </w:trPr>
        <w:tc>
          <w:tcPr>
            <w:tcW w:w="1033" w:type="pct"/>
          </w:tcPr>
          <w:p w14:paraId="725C74F0" w14:textId="77777777" w:rsidR="00805850" w:rsidRPr="00F10A5B" w:rsidRDefault="00805850" w:rsidP="0052484F">
            <w:pPr>
              <w:autoSpaceDE w:val="0"/>
              <w:autoSpaceDN w:val="0"/>
              <w:adjustRightInd w:val="0"/>
              <w:contextualSpacing/>
              <w:rPr>
                <w:rFonts w:cstheme="minorHAnsi"/>
                <w:color w:val="auto"/>
                <w:szCs w:val="24"/>
              </w:rPr>
            </w:pPr>
            <w:r w:rsidRPr="00F10A5B">
              <w:rPr>
                <w:rFonts w:cstheme="minorHAnsi"/>
                <w:color w:val="auto"/>
                <w:szCs w:val="24"/>
              </w:rPr>
              <w:t>2016 à 2017</w:t>
            </w:r>
          </w:p>
        </w:tc>
        <w:tc>
          <w:tcPr>
            <w:tcW w:w="2167" w:type="pct"/>
          </w:tcPr>
          <w:p w14:paraId="5FFF0941" w14:textId="77777777" w:rsidR="00805850" w:rsidRPr="00F10A5B" w:rsidRDefault="00805850" w:rsidP="0052484F">
            <w:pPr>
              <w:autoSpaceDE w:val="0"/>
              <w:autoSpaceDN w:val="0"/>
              <w:adjustRightInd w:val="0"/>
              <w:contextualSpacing/>
              <w:jc w:val="center"/>
              <w:rPr>
                <w:rFonts w:cstheme="minorHAnsi"/>
                <w:color w:val="auto"/>
                <w:szCs w:val="24"/>
              </w:rPr>
            </w:pPr>
            <w:r w:rsidRPr="00F10A5B">
              <w:rPr>
                <w:rFonts w:cstheme="minorHAnsi"/>
                <w:color w:val="auto"/>
                <w:szCs w:val="24"/>
              </w:rPr>
              <w:t>14</w:t>
            </w:r>
          </w:p>
        </w:tc>
        <w:tc>
          <w:tcPr>
            <w:tcW w:w="1800" w:type="pct"/>
          </w:tcPr>
          <w:p w14:paraId="5612FC5F" w14:textId="77777777" w:rsidR="00805850" w:rsidRPr="00F10A5B" w:rsidRDefault="00805850" w:rsidP="0052484F">
            <w:pPr>
              <w:autoSpaceDE w:val="0"/>
              <w:autoSpaceDN w:val="0"/>
              <w:adjustRightInd w:val="0"/>
              <w:contextualSpacing/>
              <w:jc w:val="center"/>
              <w:rPr>
                <w:rFonts w:cstheme="minorHAnsi"/>
                <w:color w:val="auto"/>
                <w:szCs w:val="24"/>
              </w:rPr>
            </w:pPr>
            <w:r w:rsidRPr="00F10A5B">
              <w:rPr>
                <w:rFonts w:cstheme="minorHAnsi"/>
                <w:color w:val="auto"/>
                <w:szCs w:val="24"/>
              </w:rPr>
              <w:t>148</w:t>
            </w:r>
          </w:p>
        </w:tc>
      </w:tr>
      <w:tr w:rsidR="00D163A8" w:rsidRPr="00F10A5B" w14:paraId="2BBA928A" w14:textId="77777777" w:rsidTr="00FB62DB">
        <w:trPr>
          <w:cantSplit/>
          <w:tblHeader/>
          <w:jc w:val="center"/>
        </w:trPr>
        <w:tc>
          <w:tcPr>
            <w:tcW w:w="1033" w:type="pct"/>
          </w:tcPr>
          <w:p w14:paraId="171D7D61" w14:textId="77777777" w:rsidR="00805850" w:rsidRPr="00F10A5B" w:rsidRDefault="00805850" w:rsidP="0052484F">
            <w:pPr>
              <w:autoSpaceDE w:val="0"/>
              <w:autoSpaceDN w:val="0"/>
              <w:adjustRightInd w:val="0"/>
              <w:contextualSpacing/>
              <w:rPr>
                <w:rFonts w:cstheme="minorHAnsi"/>
                <w:color w:val="auto"/>
                <w:szCs w:val="24"/>
              </w:rPr>
            </w:pPr>
            <w:r w:rsidRPr="00F10A5B">
              <w:rPr>
                <w:rFonts w:cstheme="minorHAnsi"/>
                <w:color w:val="auto"/>
                <w:szCs w:val="24"/>
              </w:rPr>
              <w:t>2017 à 2018</w:t>
            </w:r>
          </w:p>
        </w:tc>
        <w:tc>
          <w:tcPr>
            <w:tcW w:w="2167" w:type="pct"/>
          </w:tcPr>
          <w:p w14:paraId="615FA03E" w14:textId="77777777" w:rsidR="00805850" w:rsidRPr="00F10A5B" w:rsidRDefault="00805850" w:rsidP="0052484F">
            <w:pPr>
              <w:autoSpaceDE w:val="0"/>
              <w:autoSpaceDN w:val="0"/>
              <w:adjustRightInd w:val="0"/>
              <w:contextualSpacing/>
              <w:jc w:val="center"/>
              <w:rPr>
                <w:rFonts w:cstheme="minorHAnsi"/>
                <w:color w:val="auto"/>
                <w:szCs w:val="24"/>
              </w:rPr>
            </w:pPr>
            <w:r w:rsidRPr="00F10A5B">
              <w:rPr>
                <w:rFonts w:cstheme="minorHAnsi"/>
                <w:color w:val="auto"/>
                <w:szCs w:val="24"/>
              </w:rPr>
              <w:t>10</w:t>
            </w:r>
          </w:p>
        </w:tc>
        <w:tc>
          <w:tcPr>
            <w:tcW w:w="1800" w:type="pct"/>
          </w:tcPr>
          <w:p w14:paraId="2C935898" w14:textId="77777777" w:rsidR="00805850" w:rsidRPr="00F10A5B" w:rsidRDefault="00805850" w:rsidP="0052484F">
            <w:pPr>
              <w:autoSpaceDE w:val="0"/>
              <w:autoSpaceDN w:val="0"/>
              <w:adjustRightInd w:val="0"/>
              <w:contextualSpacing/>
              <w:jc w:val="center"/>
              <w:rPr>
                <w:rFonts w:cstheme="minorHAnsi"/>
                <w:color w:val="auto"/>
                <w:szCs w:val="24"/>
              </w:rPr>
            </w:pPr>
            <w:r w:rsidRPr="00F10A5B">
              <w:rPr>
                <w:rFonts w:cstheme="minorHAnsi"/>
                <w:color w:val="auto"/>
                <w:szCs w:val="24"/>
              </w:rPr>
              <w:t>142</w:t>
            </w:r>
          </w:p>
        </w:tc>
      </w:tr>
      <w:tr w:rsidR="00D163A8" w:rsidRPr="00F10A5B" w14:paraId="37F71BEB" w14:textId="77777777" w:rsidTr="00FB62DB">
        <w:trPr>
          <w:cantSplit/>
          <w:tblHeader/>
          <w:jc w:val="center"/>
        </w:trPr>
        <w:tc>
          <w:tcPr>
            <w:tcW w:w="1033" w:type="pct"/>
          </w:tcPr>
          <w:p w14:paraId="2F949160" w14:textId="77777777" w:rsidR="00805850" w:rsidRPr="00F10A5B" w:rsidRDefault="00805850" w:rsidP="0052484F">
            <w:pPr>
              <w:autoSpaceDE w:val="0"/>
              <w:autoSpaceDN w:val="0"/>
              <w:adjustRightInd w:val="0"/>
              <w:contextualSpacing/>
              <w:rPr>
                <w:rFonts w:cstheme="minorHAnsi"/>
                <w:color w:val="auto"/>
                <w:szCs w:val="24"/>
              </w:rPr>
            </w:pPr>
            <w:r w:rsidRPr="00F10A5B">
              <w:rPr>
                <w:rFonts w:cstheme="minorHAnsi"/>
                <w:color w:val="auto"/>
                <w:szCs w:val="24"/>
              </w:rPr>
              <w:t>2018 à 2019</w:t>
            </w:r>
          </w:p>
        </w:tc>
        <w:tc>
          <w:tcPr>
            <w:tcW w:w="2167" w:type="pct"/>
          </w:tcPr>
          <w:p w14:paraId="7199D029" w14:textId="77777777" w:rsidR="00805850" w:rsidRPr="00F10A5B" w:rsidRDefault="00805850" w:rsidP="0052484F">
            <w:pPr>
              <w:autoSpaceDE w:val="0"/>
              <w:autoSpaceDN w:val="0"/>
              <w:adjustRightInd w:val="0"/>
              <w:contextualSpacing/>
              <w:jc w:val="center"/>
              <w:rPr>
                <w:rFonts w:cstheme="minorHAnsi"/>
                <w:color w:val="auto"/>
                <w:szCs w:val="24"/>
              </w:rPr>
            </w:pPr>
            <w:r w:rsidRPr="00F10A5B">
              <w:rPr>
                <w:rFonts w:cstheme="minorHAnsi"/>
                <w:color w:val="auto"/>
                <w:szCs w:val="24"/>
              </w:rPr>
              <w:t>12</w:t>
            </w:r>
          </w:p>
        </w:tc>
        <w:tc>
          <w:tcPr>
            <w:tcW w:w="1800" w:type="pct"/>
          </w:tcPr>
          <w:p w14:paraId="34D3AF41" w14:textId="77777777" w:rsidR="00805850" w:rsidRPr="00F10A5B" w:rsidRDefault="00805850" w:rsidP="0052484F">
            <w:pPr>
              <w:autoSpaceDE w:val="0"/>
              <w:autoSpaceDN w:val="0"/>
              <w:adjustRightInd w:val="0"/>
              <w:contextualSpacing/>
              <w:jc w:val="center"/>
              <w:rPr>
                <w:rFonts w:cstheme="minorHAnsi"/>
                <w:color w:val="auto"/>
                <w:szCs w:val="24"/>
              </w:rPr>
            </w:pPr>
            <w:r w:rsidRPr="00F10A5B">
              <w:rPr>
                <w:rFonts w:cstheme="minorHAnsi"/>
                <w:color w:val="auto"/>
                <w:szCs w:val="24"/>
              </w:rPr>
              <w:t>146</w:t>
            </w:r>
          </w:p>
        </w:tc>
      </w:tr>
      <w:tr w:rsidR="00D163A8" w:rsidRPr="00F10A5B" w14:paraId="25CF6DD1" w14:textId="77777777" w:rsidTr="00FB62DB">
        <w:trPr>
          <w:cantSplit/>
          <w:tblHeader/>
          <w:jc w:val="center"/>
        </w:trPr>
        <w:tc>
          <w:tcPr>
            <w:tcW w:w="1033" w:type="pct"/>
          </w:tcPr>
          <w:p w14:paraId="1DF6CEE7" w14:textId="77777777" w:rsidR="00805850" w:rsidRPr="00F10A5B" w:rsidRDefault="00805850" w:rsidP="0052484F">
            <w:pPr>
              <w:autoSpaceDE w:val="0"/>
              <w:autoSpaceDN w:val="0"/>
              <w:adjustRightInd w:val="0"/>
              <w:contextualSpacing/>
              <w:rPr>
                <w:rFonts w:cstheme="minorHAnsi"/>
                <w:color w:val="auto"/>
                <w:szCs w:val="24"/>
              </w:rPr>
            </w:pPr>
            <w:r w:rsidRPr="00F10A5B">
              <w:rPr>
                <w:rFonts w:cstheme="minorHAnsi"/>
                <w:color w:val="auto"/>
                <w:szCs w:val="24"/>
              </w:rPr>
              <w:t>2019 à 2020</w:t>
            </w:r>
          </w:p>
        </w:tc>
        <w:tc>
          <w:tcPr>
            <w:tcW w:w="2167" w:type="pct"/>
          </w:tcPr>
          <w:p w14:paraId="206C472A" w14:textId="77777777" w:rsidR="00805850" w:rsidRPr="00F10A5B" w:rsidRDefault="00805850" w:rsidP="0052484F">
            <w:pPr>
              <w:autoSpaceDE w:val="0"/>
              <w:autoSpaceDN w:val="0"/>
              <w:adjustRightInd w:val="0"/>
              <w:contextualSpacing/>
              <w:jc w:val="center"/>
              <w:rPr>
                <w:rFonts w:cstheme="minorHAnsi"/>
                <w:color w:val="auto"/>
                <w:szCs w:val="24"/>
              </w:rPr>
            </w:pPr>
            <w:r w:rsidRPr="00F10A5B">
              <w:rPr>
                <w:rFonts w:cstheme="minorHAnsi"/>
                <w:color w:val="auto"/>
                <w:szCs w:val="24"/>
              </w:rPr>
              <w:t>12</w:t>
            </w:r>
          </w:p>
        </w:tc>
        <w:tc>
          <w:tcPr>
            <w:tcW w:w="1800" w:type="pct"/>
          </w:tcPr>
          <w:p w14:paraId="74F2E887" w14:textId="77777777" w:rsidR="00805850" w:rsidRPr="00F10A5B" w:rsidRDefault="00805850" w:rsidP="0052484F">
            <w:pPr>
              <w:autoSpaceDE w:val="0"/>
              <w:autoSpaceDN w:val="0"/>
              <w:adjustRightInd w:val="0"/>
              <w:contextualSpacing/>
              <w:jc w:val="center"/>
              <w:rPr>
                <w:rFonts w:cstheme="minorHAnsi"/>
                <w:color w:val="auto"/>
                <w:szCs w:val="24"/>
              </w:rPr>
            </w:pPr>
            <w:r w:rsidRPr="00F10A5B">
              <w:rPr>
                <w:rFonts w:cstheme="minorHAnsi"/>
                <w:color w:val="auto"/>
                <w:szCs w:val="24"/>
              </w:rPr>
              <w:t>161</w:t>
            </w:r>
          </w:p>
        </w:tc>
      </w:tr>
    </w:tbl>
    <w:p w14:paraId="257FBAFD" w14:textId="22ACA022" w:rsidR="007F7488" w:rsidRPr="00AF28FB" w:rsidRDefault="00805850" w:rsidP="00805850">
      <w:pPr>
        <w:spacing w:after="240"/>
        <w:contextualSpacing/>
        <w:rPr>
          <w:rFonts w:cstheme="minorHAnsi"/>
          <w:color w:val="auto"/>
          <w:szCs w:val="24"/>
        </w:rPr>
      </w:pPr>
      <w:r w:rsidRPr="00AF28FB">
        <w:rPr>
          <w:rFonts w:cstheme="minorHAnsi"/>
          <w:color w:val="auto"/>
          <w:szCs w:val="24"/>
        </w:rPr>
        <w:t>L’embauche des anciens étudiants qui avaient une expérience dans le programme fédéral de recrutement étudiant au cours des 10 dernières années.</w:t>
      </w:r>
    </w:p>
    <w:p w14:paraId="15FCD5BA" w14:textId="77777777" w:rsidR="007F7488" w:rsidRPr="00AF28FB" w:rsidRDefault="007F7488" w:rsidP="00DA196D">
      <w:pPr>
        <w:contextualSpacing/>
        <w:rPr>
          <w:color w:val="auto"/>
        </w:rPr>
        <w:sectPr w:rsidR="007F7488" w:rsidRPr="00AF28FB" w:rsidSect="00E310D2">
          <w:pgSz w:w="15840" w:h="12240" w:orient="landscape"/>
          <w:pgMar w:top="720" w:right="720" w:bottom="720" w:left="720" w:header="708" w:footer="708" w:gutter="0"/>
          <w:cols w:space="708"/>
          <w:titlePg/>
          <w:docGrid w:linePitch="360"/>
        </w:sectPr>
      </w:pPr>
    </w:p>
    <w:p w14:paraId="5BCA353C" w14:textId="7A37D9D0" w:rsidR="007F7488" w:rsidRPr="009168D7" w:rsidRDefault="002B0C2C" w:rsidP="002B0C2C">
      <w:pPr>
        <w:pStyle w:val="Heading1"/>
        <w:spacing w:before="120" w:after="120"/>
        <w:rPr>
          <w:color w:val="auto"/>
          <w:sz w:val="40"/>
        </w:rPr>
      </w:pPr>
      <w:r w:rsidRPr="009168D7">
        <w:rPr>
          <w:color w:val="auto"/>
          <w:sz w:val="40"/>
        </w:rPr>
        <w:lastRenderedPageBreak/>
        <w:t>Durée de dotation interne</w:t>
      </w:r>
    </w:p>
    <w:p w14:paraId="3613F923" w14:textId="3915E553" w:rsidR="002B0C2C" w:rsidRPr="00F10A5B" w:rsidRDefault="00AF28FB" w:rsidP="00EB48D9">
      <w:pPr>
        <w:keepNext/>
        <w:spacing w:after="0"/>
        <w:contextualSpacing/>
      </w:pPr>
      <w:r w:rsidRPr="00F10A5B">
        <w:rPr>
          <w:noProof/>
          <w:lang w:eastAsia="en-CA"/>
        </w:rPr>
        <w:drawing>
          <wp:inline distT="0" distB="0" distL="0" distR="0" wp14:anchorId="180B6B69" wp14:editId="09244ED9">
            <wp:extent cx="5648400" cy="3049200"/>
            <wp:effectExtent l="0" t="0" r="9525" b="18415"/>
            <wp:docPr id="22" name="Chart 22" descr="Durée de dotation interne Médiane pour la fonction publique = 175 jour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2B0C2C" w:rsidRPr="00F10A5B">
        <w:rPr>
          <w:noProof/>
          <w:lang w:eastAsia="en-CA"/>
        </w:rPr>
        <w:drawing>
          <wp:inline distT="0" distB="0" distL="0" distR="0" wp14:anchorId="726395E0" wp14:editId="382F2EBE">
            <wp:extent cx="5648400" cy="3049200"/>
            <wp:effectExtent l="0" t="0" r="9525" b="18415"/>
            <wp:docPr id="23" name="Chart 23" descr="Durée de dotation interne - Médiane pour Affaires indiennes et du Nord canadien = 195 jour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0064BD7" w14:textId="39B29C52" w:rsidR="002B0C2C" w:rsidRPr="00AF28FB" w:rsidRDefault="002B0C2C" w:rsidP="002B0C2C">
      <w:pPr>
        <w:pStyle w:val="Caption"/>
        <w:tabs>
          <w:tab w:val="left" w:pos="8930"/>
        </w:tabs>
        <w:rPr>
          <w:rFonts w:cstheme="minorHAnsi"/>
          <w:i w:val="0"/>
          <w:color w:val="auto"/>
        </w:rPr>
      </w:pPr>
      <w:r w:rsidRPr="00AF28FB">
        <w:rPr>
          <w:rFonts w:cstheme="minorHAnsi"/>
          <w:i w:val="0"/>
          <w:color w:val="auto"/>
        </w:rPr>
        <w:t xml:space="preserve">Figure </w:t>
      </w:r>
      <w:r w:rsidRPr="00AF28FB">
        <w:rPr>
          <w:rFonts w:cstheme="minorHAnsi"/>
          <w:i w:val="0"/>
          <w:color w:val="auto"/>
        </w:rPr>
        <w:fldChar w:fldCharType="begin"/>
      </w:r>
      <w:r w:rsidRPr="00AF28FB">
        <w:rPr>
          <w:rFonts w:cstheme="minorHAnsi"/>
          <w:i w:val="0"/>
          <w:color w:val="auto"/>
        </w:rPr>
        <w:instrText xml:space="preserve"> SEQ Figure \* ARABIC </w:instrText>
      </w:r>
      <w:r w:rsidRPr="00AF28FB">
        <w:rPr>
          <w:rFonts w:cstheme="minorHAnsi"/>
          <w:i w:val="0"/>
          <w:color w:val="auto"/>
        </w:rPr>
        <w:fldChar w:fldCharType="separate"/>
      </w:r>
      <w:r w:rsidR="00E5173D" w:rsidRPr="00AF28FB">
        <w:rPr>
          <w:rFonts w:cstheme="minorHAnsi"/>
          <w:i w:val="0"/>
          <w:noProof/>
          <w:color w:val="auto"/>
        </w:rPr>
        <w:t>12</w:t>
      </w:r>
      <w:r w:rsidRPr="00AF28FB">
        <w:rPr>
          <w:rFonts w:cstheme="minorHAnsi"/>
          <w:i w:val="0"/>
          <w:color w:val="auto"/>
        </w:rPr>
        <w:fldChar w:fldCharType="end"/>
      </w:r>
      <w:r w:rsidRPr="00AF28FB">
        <w:rPr>
          <w:rFonts w:cstheme="minorHAnsi"/>
          <w:i w:val="0"/>
          <w:color w:val="auto"/>
        </w:rPr>
        <w:t xml:space="preserve"> - Durée de dotation interne - Médiane pour la fonction publique = 175 jours, 2019-2020</w:t>
      </w:r>
      <w:r w:rsidRPr="00AF28FB">
        <w:rPr>
          <w:rFonts w:cstheme="minorHAnsi"/>
          <w:i w:val="0"/>
          <w:color w:val="auto"/>
        </w:rPr>
        <w:tab/>
        <w:t xml:space="preserve">Figure </w:t>
      </w:r>
      <w:r w:rsidRPr="00AF28FB">
        <w:rPr>
          <w:rFonts w:cstheme="minorHAnsi"/>
          <w:i w:val="0"/>
          <w:color w:val="auto"/>
        </w:rPr>
        <w:fldChar w:fldCharType="begin"/>
      </w:r>
      <w:r w:rsidRPr="00AF28FB">
        <w:rPr>
          <w:rFonts w:cstheme="minorHAnsi"/>
          <w:i w:val="0"/>
          <w:color w:val="auto"/>
        </w:rPr>
        <w:instrText xml:space="preserve"> SEQ Figure \* ARABIC </w:instrText>
      </w:r>
      <w:r w:rsidRPr="00AF28FB">
        <w:rPr>
          <w:rFonts w:cstheme="minorHAnsi"/>
          <w:i w:val="0"/>
          <w:color w:val="auto"/>
        </w:rPr>
        <w:fldChar w:fldCharType="separate"/>
      </w:r>
      <w:r w:rsidR="00E5173D" w:rsidRPr="00AF28FB">
        <w:rPr>
          <w:rFonts w:cstheme="minorHAnsi"/>
          <w:i w:val="0"/>
          <w:noProof/>
          <w:color w:val="auto"/>
        </w:rPr>
        <w:t>13</w:t>
      </w:r>
      <w:r w:rsidRPr="00AF28FB">
        <w:rPr>
          <w:rFonts w:cstheme="minorHAnsi"/>
          <w:i w:val="0"/>
          <w:color w:val="auto"/>
        </w:rPr>
        <w:fldChar w:fldCharType="end"/>
      </w:r>
      <w:r w:rsidRPr="00AF28FB">
        <w:rPr>
          <w:rFonts w:cstheme="minorHAnsi"/>
          <w:i w:val="0"/>
          <w:color w:val="auto"/>
        </w:rPr>
        <w:t xml:space="preserve"> - </w:t>
      </w:r>
      <w:r w:rsidRPr="00AF28FB">
        <w:rPr>
          <w:rFonts w:cstheme="minorHAnsi"/>
          <w:bCs/>
          <w:i w:val="0"/>
          <w:color w:val="auto"/>
        </w:rPr>
        <w:t>Durée de dotation interne</w:t>
      </w:r>
      <w:r w:rsidRPr="00AF28FB">
        <w:rPr>
          <w:rFonts w:cstheme="minorHAnsi"/>
          <w:i w:val="0"/>
          <w:color w:val="auto"/>
        </w:rPr>
        <w:t xml:space="preserve"> </w:t>
      </w:r>
      <w:r w:rsidRPr="00AF28FB">
        <w:rPr>
          <w:rFonts w:cstheme="minorHAnsi"/>
          <w:bCs/>
          <w:i w:val="0"/>
          <w:color w:val="auto"/>
        </w:rPr>
        <w:t xml:space="preserve">Médiane </w:t>
      </w:r>
      <w:r w:rsidR="00AF28FB">
        <w:rPr>
          <w:rFonts w:cstheme="minorHAnsi"/>
          <w:bCs/>
          <w:i w:val="0"/>
          <w:color w:val="auto"/>
        </w:rPr>
        <w:t>pour Affaires indiennes et Nord canadien = 195 jours, 2019-2020</w:t>
      </w:r>
    </w:p>
    <w:p w14:paraId="0FD200CA" w14:textId="0B202DC7" w:rsidR="00905E5B" w:rsidRPr="00F10A5B" w:rsidRDefault="0089318C" w:rsidP="00446F0D">
      <w:pPr>
        <w:numPr>
          <w:ilvl w:val="1"/>
          <w:numId w:val="0"/>
        </w:numPr>
        <w:spacing w:before="240" w:after="120"/>
        <w:rPr>
          <w:rFonts w:cstheme="minorHAnsi"/>
        </w:rPr>
      </w:pPr>
      <w:hyperlink w:anchor="Durée_de_dotation_interne" w:history="1">
        <w:r w:rsidR="00905E5B" w:rsidRPr="00F10A5B">
          <w:rPr>
            <w:rStyle w:val="Hyperlink"/>
            <w:rFonts w:cstheme="minorHAnsi"/>
          </w:rPr>
          <w:t>Tableau des données sur la durée de dotation interne disponible ici</w:t>
        </w:r>
      </w:hyperlink>
      <w:r w:rsidR="00905E5B" w:rsidRPr="00F10A5B">
        <w:rPr>
          <w:rFonts w:cstheme="minorHAnsi"/>
        </w:rPr>
        <w:t>.</w:t>
      </w:r>
    </w:p>
    <w:p w14:paraId="5E8F69DA" w14:textId="77777777" w:rsidR="00905E5B" w:rsidRPr="00F10A5B" w:rsidRDefault="00905E5B" w:rsidP="00AF28FB">
      <w:pPr>
        <w:keepLines w:val="0"/>
        <w:spacing w:after="0" w:line="240" w:lineRule="auto"/>
        <w:rPr>
          <w:rFonts w:cstheme="minorHAnsi"/>
          <w:color w:val="auto"/>
        </w:rPr>
        <w:sectPr w:rsidR="00905E5B" w:rsidRPr="00F10A5B" w:rsidSect="00E310D2">
          <w:pgSz w:w="20160" w:h="12240" w:orient="landscape" w:code="5"/>
          <w:pgMar w:top="720" w:right="720" w:bottom="720" w:left="720" w:header="708" w:footer="708" w:gutter="0"/>
          <w:cols w:space="708"/>
          <w:titlePg/>
          <w:docGrid w:linePitch="360"/>
        </w:sectPr>
      </w:pPr>
    </w:p>
    <w:p w14:paraId="5DF32148" w14:textId="23B12970" w:rsidR="007F7488" w:rsidRPr="00F10A5B" w:rsidRDefault="007F7488" w:rsidP="007E0D2F">
      <w:pPr>
        <w:keepLines w:val="0"/>
        <w:spacing w:before="100" w:beforeAutospacing="1" w:after="100" w:afterAutospacing="1" w:line="240" w:lineRule="auto"/>
        <w:rPr>
          <w:rFonts w:cstheme="minorHAnsi"/>
          <w:color w:val="auto"/>
        </w:rPr>
      </w:pPr>
      <w:r w:rsidRPr="00F10A5B">
        <w:rPr>
          <w:rFonts w:cstheme="minorHAnsi"/>
          <w:color w:val="auto"/>
        </w:rPr>
        <w:t>La durée de dotation interne correspond au nombre de jours civils entre la date d'ouverture de l'annonce et la date de la première notification.</w:t>
      </w:r>
    </w:p>
    <w:p w14:paraId="3761D42B" w14:textId="77777777" w:rsidR="00905E5B" w:rsidRPr="00F10A5B" w:rsidRDefault="00905E5B" w:rsidP="00AF28FB">
      <w:pPr>
        <w:spacing w:after="120"/>
        <w:contextualSpacing/>
        <w:rPr>
          <w:rStyle w:val="Strong"/>
        </w:rPr>
        <w:sectPr w:rsidR="00905E5B" w:rsidRPr="00F10A5B" w:rsidSect="00E54C20">
          <w:type w:val="continuous"/>
          <w:pgSz w:w="20160" w:h="12240" w:orient="landscape" w:code="5"/>
          <w:pgMar w:top="1440" w:right="1440" w:bottom="1440" w:left="1440" w:header="708" w:footer="708" w:gutter="0"/>
          <w:cols w:num="2" w:space="708"/>
          <w:titlePg/>
          <w:docGrid w:linePitch="360"/>
        </w:sectPr>
      </w:pPr>
    </w:p>
    <w:p w14:paraId="1F3DEF46" w14:textId="77777777" w:rsidR="00805850" w:rsidRPr="00F10A5B" w:rsidRDefault="00805850" w:rsidP="00AF28FB">
      <w:pPr>
        <w:spacing w:after="120"/>
        <w:contextualSpacing/>
        <w:rPr>
          <w:rFonts w:cstheme="minorHAnsi"/>
          <w:color w:val="auto"/>
        </w:rPr>
      </w:pPr>
      <w:r w:rsidRPr="00F10A5B">
        <w:rPr>
          <w:rFonts w:cstheme="minorHAnsi"/>
          <w:color w:val="auto"/>
        </w:rPr>
        <w:t xml:space="preserve">La durée médiane de dotation interne pour la fonction publique (organisations assujetties à la </w:t>
      </w:r>
      <w:r w:rsidRPr="00AF28FB">
        <w:rPr>
          <w:rStyle w:val="Emphasis"/>
          <w:i/>
        </w:rPr>
        <w:t>Loi sur l’emploi dans la fonction publique</w:t>
      </w:r>
      <w:r w:rsidRPr="00F10A5B">
        <w:rPr>
          <w:rFonts w:cstheme="minorHAnsi"/>
          <w:color w:val="auto"/>
        </w:rPr>
        <w:t>) pour l’exercice financier 2019 à 2020 est 175 jours</w:t>
      </w:r>
    </w:p>
    <w:p w14:paraId="64898E65" w14:textId="0C28A92A" w:rsidR="008C38F5" w:rsidRPr="00AF28FB" w:rsidRDefault="008C38F5" w:rsidP="00AF28FB">
      <w:pPr>
        <w:spacing w:after="0"/>
        <w:contextualSpacing/>
        <w:rPr>
          <w:rStyle w:val="Strong"/>
        </w:rPr>
      </w:pPr>
      <w:r w:rsidRPr="00F10A5B">
        <w:rPr>
          <w:rStyle w:val="Strong"/>
        </w:rPr>
        <w:br w:type="column"/>
      </w:r>
      <w:r w:rsidRPr="00AF28FB">
        <w:rPr>
          <w:rStyle w:val="Strong"/>
        </w:rPr>
        <w:t>Durée de dotation interne pour l’exercice financier de 2019 à 2020</w:t>
      </w:r>
    </w:p>
    <w:p w14:paraId="781A1291" w14:textId="0F16B08D" w:rsidR="00805850" w:rsidRPr="00F10A5B" w:rsidRDefault="007B3B19" w:rsidP="007B3B19">
      <w:pPr>
        <w:tabs>
          <w:tab w:val="left" w:pos="2415"/>
        </w:tabs>
        <w:contextualSpacing/>
        <w:rPr>
          <w:rFonts w:cstheme="minorHAnsi"/>
          <w:color w:val="auto"/>
        </w:rPr>
      </w:pPr>
      <w:r w:rsidRPr="00F10A5B">
        <w:rPr>
          <w:rFonts w:cstheme="minorHAnsi"/>
          <w:color w:val="auto"/>
        </w:rPr>
        <w:t>La</w:t>
      </w:r>
      <w:r w:rsidR="00805850" w:rsidRPr="00F10A5B">
        <w:rPr>
          <w:rFonts w:cstheme="minorHAnsi"/>
          <w:color w:val="auto"/>
        </w:rPr>
        <w:t xml:space="preserve"> durée médiane de dotation interne des Affaires indiennes et du Nord canadien pour l’exercice fina</w:t>
      </w:r>
      <w:r w:rsidR="007E0D2F" w:rsidRPr="00F10A5B">
        <w:rPr>
          <w:rFonts w:cstheme="minorHAnsi"/>
          <w:color w:val="auto"/>
        </w:rPr>
        <w:t>ncier 2019 à 2020 est 195 jours</w:t>
      </w:r>
    </w:p>
    <w:p w14:paraId="326C422F" w14:textId="77777777" w:rsidR="00EB48D9" w:rsidRPr="00F10A5B" w:rsidRDefault="00EB48D9" w:rsidP="00AF28FB">
      <w:pPr>
        <w:spacing w:after="120"/>
        <w:contextualSpacing/>
        <w:rPr>
          <w:rFonts w:eastAsia="Times New Roman" w:cs="Arial"/>
          <w:lang w:eastAsia="en-CA"/>
        </w:rPr>
        <w:sectPr w:rsidR="00EB48D9" w:rsidRPr="00F10A5B" w:rsidSect="00E54C20">
          <w:type w:val="continuous"/>
          <w:pgSz w:w="20160" w:h="12240" w:orient="landscape" w:code="5"/>
          <w:pgMar w:top="1440" w:right="1440" w:bottom="1440" w:left="1440" w:header="708" w:footer="708" w:gutter="0"/>
          <w:cols w:num="2" w:space="708"/>
          <w:titlePg/>
          <w:docGrid w:linePitch="360"/>
        </w:sectPr>
      </w:pPr>
    </w:p>
    <w:p w14:paraId="00B096FE" w14:textId="14EF1102" w:rsidR="007F7488" w:rsidRPr="00F10A5B" w:rsidRDefault="007F7488" w:rsidP="00DA196D">
      <w:pPr>
        <w:contextualSpacing/>
        <w:rPr>
          <w:rFonts w:eastAsia="Times New Roman" w:cs="Arial"/>
          <w:lang w:eastAsia="en-CA"/>
        </w:rPr>
      </w:pPr>
    </w:p>
    <w:p w14:paraId="4EE04AB5" w14:textId="77777777" w:rsidR="007F7488" w:rsidRPr="00F10A5B" w:rsidRDefault="007F7488" w:rsidP="00DA196D">
      <w:pPr>
        <w:contextualSpacing/>
        <w:rPr>
          <w:rFonts w:eastAsia="Times New Roman" w:cs="Arial"/>
          <w:lang w:eastAsia="en-CA"/>
        </w:rPr>
        <w:sectPr w:rsidR="007F7488" w:rsidRPr="00F10A5B" w:rsidSect="00E54C20">
          <w:type w:val="continuous"/>
          <w:pgSz w:w="20160" w:h="12240" w:orient="landscape" w:code="5"/>
          <w:pgMar w:top="1440" w:right="1440" w:bottom="1440" w:left="1440" w:header="708" w:footer="708" w:gutter="0"/>
          <w:cols w:space="708"/>
          <w:titlePg/>
          <w:docGrid w:linePitch="360"/>
        </w:sectPr>
      </w:pPr>
    </w:p>
    <w:p w14:paraId="41DC867B" w14:textId="31C93D78" w:rsidR="00AF28E1" w:rsidRPr="00F10A5B" w:rsidRDefault="00AF28E1" w:rsidP="00AF28E1">
      <w:pPr>
        <w:pStyle w:val="Heading1"/>
        <w:spacing w:before="120" w:after="120"/>
        <w:rPr>
          <w:color w:val="auto"/>
          <w:sz w:val="40"/>
        </w:rPr>
      </w:pPr>
      <w:r w:rsidRPr="00F10A5B">
        <w:rPr>
          <w:color w:val="auto"/>
          <w:sz w:val="40"/>
        </w:rPr>
        <w:lastRenderedPageBreak/>
        <w:t>Durée de dotation interne</w:t>
      </w:r>
    </w:p>
    <w:p w14:paraId="43B7C95B" w14:textId="20C5084F" w:rsidR="00AF28E1" w:rsidRPr="00F10A5B" w:rsidRDefault="00AF28E1" w:rsidP="00AF28E1">
      <w:pPr>
        <w:pStyle w:val="Caption"/>
        <w:keepNext/>
        <w:spacing w:after="0"/>
        <w:rPr>
          <w:i w:val="0"/>
          <w:color w:val="auto"/>
        </w:rPr>
      </w:pPr>
      <w:r w:rsidRPr="00F10A5B">
        <w:rPr>
          <w:i w:val="0"/>
          <w:color w:val="auto"/>
        </w:rPr>
        <w:t xml:space="preserve">Table </w:t>
      </w:r>
      <w:r w:rsidRPr="00F10A5B">
        <w:rPr>
          <w:i w:val="0"/>
          <w:color w:val="auto"/>
        </w:rPr>
        <w:fldChar w:fldCharType="begin"/>
      </w:r>
      <w:r w:rsidRPr="00F10A5B">
        <w:rPr>
          <w:i w:val="0"/>
          <w:color w:val="auto"/>
        </w:rPr>
        <w:instrText xml:space="preserve"> SEQ Table \* ARABIC </w:instrText>
      </w:r>
      <w:r w:rsidRPr="00F10A5B">
        <w:rPr>
          <w:i w:val="0"/>
          <w:color w:val="auto"/>
        </w:rPr>
        <w:fldChar w:fldCharType="separate"/>
      </w:r>
      <w:r w:rsidR="007B3B19" w:rsidRPr="00F10A5B">
        <w:rPr>
          <w:i w:val="0"/>
          <w:noProof/>
          <w:color w:val="auto"/>
        </w:rPr>
        <w:t>15</w:t>
      </w:r>
      <w:r w:rsidRPr="00F10A5B">
        <w:rPr>
          <w:i w:val="0"/>
          <w:color w:val="auto"/>
        </w:rPr>
        <w:fldChar w:fldCharType="end"/>
      </w:r>
      <w:r w:rsidRPr="00F10A5B">
        <w:rPr>
          <w:i w:val="0"/>
          <w:color w:val="auto"/>
        </w:rPr>
        <w:t xml:space="preserve"> - Durée de dotation interne</w:t>
      </w:r>
    </w:p>
    <w:tbl>
      <w:tblPr>
        <w:tblStyle w:val="TableGrid"/>
        <w:tblpPr w:leftFromText="180" w:rightFromText="180" w:vertAnchor="text" w:tblpXSpec="center" w:tblpY="1"/>
        <w:tblOverlap w:val="never"/>
        <w:tblW w:w="5072" w:type="pct"/>
        <w:jc w:val="center"/>
        <w:tblLook w:val="0020" w:firstRow="1" w:lastRow="0" w:firstColumn="0" w:lastColumn="0" w:noHBand="0" w:noVBand="0"/>
        <w:tblDescription w:val="Durée des processus de dotation interne"/>
      </w:tblPr>
      <w:tblGrid>
        <w:gridCol w:w="5962"/>
        <w:gridCol w:w="8700"/>
        <w:gridCol w:w="8700"/>
      </w:tblGrid>
      <w:tr w:rsidR="00805850" w:rsidRPr="00F10A5B" w14:paraId="7F969453" w14:textId="77777777" w:rsidTr="00FB62DB">
        <w:trPr>
          <w:cantSplit/>
          <w:trHeight w:val="290"/>
          <w:tblHeader/>
          <w:jc w:val="center"/>
        </w:trPr>
        <w:tc>
          <w:tcPr>
            <w:tcW w:w="1276" w:type="pct"/>
          </w:tcPr>
          <w:p w14:paraId="433EF517" w14:textId="77777777" w:rsidR="00805850" w:rsidRPr="00F10A5B" w:rsidRDefault="00805850" w:rsidP="00AF28E1">
            <w:pPr>
              <w:pStyle w:val="TableTitle"/>
            </w:pPr>
            <w:bookmarkStart w:id="2" w:name="Durée_de_dotation_interne"/>
            <w:r w:rsidRPr="00F10A5B">
              <w:t>Nombre de jours civils</w:t>
            </w:r>
            <w:bookmarkEnd w:id="2"/>
          </w:p>
        </w:tc>
        <w:tc>
          <w:tcPr>
            <w:tcW w:w="1862" w:type="pct"/>
          </w:tcPr>
          <w:p w14:paraId="614D42C7" w14:textId="77777777" w:rsidR="00805850" w:rsidRPr="00F10A5B" w:rsidRDefault="00805850" w:rsidP="00AF28E1">
            <w:pPr>
              <w:pStyle w:val="TableTitle"/>
            </w:pPr>
            <w:r w:rsidRPr="00F10A5B">
              <w:t xml:space="preserve">Le nombre de premières embauches internes dans un processus interne (durée de dotation interne) dans les organisations assujetties à la </w:t>
            </w:r>
            <w:r w:rsidRPr="00AF28FB">
              <w:rPr>
                <w:rStyle w:val="Emphasis"/>
                <w:rFonts w:ascii="Segoe UI Semibold" w:hAnsi="Segoe UI Semibold" w:cs="Segoe UI Semibold"/>
                <w:i/>
              </w:rPr>
              <w:t>Loi sur l’emploi dans la fonction publique,</w:t>
            </w:r>
            <w:r w:rsidRPr="00AF28FB">
              <w:rPr>
                <w:rFonts w:cs="Segoe UI Semibold"/>
              </w:rPr>
              <w:t xml:space="preserve"> dans le nombre de jours civils spécifié</w:t>
            </w:r>
          </w:p>
        </w:tc>
        <w:tc>
          <w:tcPr>
            <w:tcW w:w="1862" w:type="pct"/>
          </w:tcPr>
          <w:p w14:paraId="6C07BACF" w14:textId="77777777" w:rsidR="00805850" w:rsidRPr="00F10A5B" w:rsidRDefault="00805850" w:rsidP="00AF28E1">
            <w:pPr>
              <w:pStyle w:val="TableTitle"/>
            </w:pPr>
            <w:r w:rsidRPr="00F10A5B">
              <w:t>Le nombre de premières embauches internes dans un processus interne (durée de dotation interne) dans l’organisation spécifiée, dans le nombre de jours civils spécifié</w:t>
            </w:r>
          </w:p>
        </w:tc>
      </w:tr>
      <w:tr w:rsidR="00805850" w:rsidRPr="00F10A5B" w14:paraId="0EACE6F6" w14:textId="77777777" w:rsidTr="00FB62DB">
        <w:trPr>
          <w:cantSplit/>
          <w:trHeight w:val="290"/>
          <w:tblHeader/>
          <w:jc w:val="center"/>
        </w:trPr>
        <w:tc>
          <w:tcPr>
            <w:tcW w:w="1276" w:type="pct"/>
          </w:tcPr>
          <w:p w14:paraId="4EC5418B"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0 jours civils</w:t>
            </w:r>
          </w:p>
        </w:tc>
        <w:tc>
          <w:tcPr>
            <w:tcW w:w="1862" w:type="pct"/>
          </w:tcPr>
          <w:p w14:paraId="0070420C"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c>
          <w:tcPr>
            <w:tcW w:w="1862" w:type="pct"/>
          </w:tcPr>
          <w:p w14:paraId="6DA283F3"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00D5BFED" w14:textId="77777777" w:rsidTr="00FB62DB">
        <w:trPr>
          <w:cantSplit/>
          <w:trHeight w:val="290"/>
          <w:tblHeader/>
          <w:jc w:val="center"/>
        </w:trPr>
        <w:tc>
          <w:tcPr>
            <w:tcW w:w="1276" w:type="pct"/>
          </w:tcPr>
          <w:p w14:paraId="1A2516C1"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0 à 29 jours civils</w:t>
            </w:r>
          </w:p>
        </w:tc>
        <w:tc>
          <w:tcPr>
            <w:tcW w:w="1862" w:type="pct"/>
          </w:tcPr>
          <w:p w14:paraId="1BE6A41C"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13</w:t>
            </w:r>
          </w:p>
        </w:tc>
        <w:tc>
          <w:tcPr>
            <w:tcW w:w="1862" w:type="pct"/>
          </w:tcPr>
          <w:p w14:paraId="7A329046"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w:t>
            </w:r>
          </w:p>
        </w:tc>
      </w:tr>
      <w:tr w:rsidR="00805850" w:rsidRPr="00F10A5B" w14:paraId="4E9CA594" w14:textId="77777777" w:rsidTr="00FB62DB">
        <w:trPr>
          <w:cantSplit/>
          <w:trHeight w:val="290"/>
          <w:tblHeader/>
          <w:jc w:val="center"/>
        </w:trPr>
        <w:tc>
          <w:tcPr>
            <w:tcW w:w="1276" w:type="pct"/>
          </w:tcPr>
          <w:p w14:paraId="23308931"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30 à 59 jours civils</w:t>
            </w:r>
          </w:p>
        </w:tc>
        <w:tc>
          <w:tcPr>
            <w:tcW w:w="1862" w:type="pct"/>
          </w:tcPr>
          <w:p w14:paraId="180BE915"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106</w:t>
            </w:r>
          </w:p>
        </w:tc>
        <w:tc>
          <w:tcPr>
            <w:tcW w:w="1862" w:type="pct"/>
          </w:tcPr>
          <w:p w14:paraId="1BF98629"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4</w:t>
            </w:r>
          </w:p>
        </w:tc>
      </w:tr>
      <w:tr w:rsidR="00805850" w:rsidRPr="00F10A5B" w14:paraId="2B5FD564" w14:textId="77777777" w:rsidTr="00FB62DB">
        <w:trPr>
          <w:cantSplit/>
          <w:trHeight w:val="290"/>
          <w:tblHeader/>
          <w:jc w:val="center"/>
        </w:trPr>
        <w:tc>
          <w:tcPr>
            <w:tcW w:w="1276" w:type="pct"/>
          </w:tcPr>
          <w:p w14:paraId="6A88F651"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60 à 89 jours civils</w:t>
            </w:r>
          </w:p>
        </w:tc>
        <w:tc>
          <w:tcPr>
            <w:tcW w:w="1862" w:type="pct"/>
          </w:tcPr>
          <w:p w14:paraId="235E77F7"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256</w:t>
            </w:r>
          </w:p>
        </w:tc>
        <w:tc>
          <w:tcPr>
            <w:tcW w:w="1862" w:type="pct"/>
          </w:tcPr>
          <w:p w14:paraId="7A2CFFD7"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10</w:t>
            </w:r>
          </w:p>
        </w:tc>
      </w:tr>
      <w:tr w:rsidR="00805850" w:rsidRPr="00F10A5B" w14:paraId="0890AD0C" w14:textId="77777777" w:rsidTr="00FB62DB">
        <w:trPr>
          <w:cantSplit/>
          <w:trHeight w:val="290"/>
          <w:tblHeader/>
          <w:jc w:val="center"/>
        </w:trPr>
        <w:tc>
          <w:tcPr>
            <w:tcW w:w="1276" w:type="pct"/>
          </w:tcPr>
          <w:p w14:paraId="168A2197"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90 à 119 jours civils</w:t>
            </w:r>
          </w:p>
        </w:tc>
        <w:tc>
          <w:tcPr>
            <w:tcW w:w="1862" w:type="pct"/>
          </w:tcPr>
          <w:p w14:paraId="4C37638A"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331</w:t>
            </w:r>
          </w:p>
        </w:tc>
        <w:tc>
          <w:tcPr>
            <w:tcW w:w="1862" w:type="pct"/>
          </w:tcPr>
          <w:p w14:paraId="03F27C21"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10</w:t>
            </w:r>
          </w:p>
        </w:tc>
      </w:tr>
      <w:tr w:rsidR="00805850" w:rsidRPr="00F10A5B" w14:paraId="612A6F14" w14:textId="77777777" w:rsidTr="00FB62DB">
        <w:trPr>
          <w:cantSplit/>
          <w:trHeight w:val="290"/>
          <w:tblHeader/>
          <w:jc w:val="center"/>
        </w:trPr>
        <w:tc>
          <w:tcPr>
            <w:tcW w:w="1276" w:type="pct"/>
          </w:tcPr>
          <w:p w14:paraId="314B5B89"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120 à 149 jours civils</w:t>
            </w:r>
          </w:p>
        </w:tc>
        <w:tc>
          <w:tcPr>
            <w:tcW w:w="1862" w:type="pct"/>
          </w:tcPr>
          <w:p w14:paraId="330356C2"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313</w:t>
            </w:r>
          </w:p>
        </w:tc>
        <w:tc>
          <w:tcPr>
            <w:tcW w:w="1862" w:type="pct"/>
          </w:tcPr>
          <w:p w14:paraId="22242EF7"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10</w:t>
            </w:r>
          </w:p>
        </w:tc>
      </w:tr>
      <w:tr w:rsidR="00805850" w:rsidRPr="00F10A5B" w14:paraId="64BCD231" w14:textId="77777777" w:rsidTr="00FB62DB">
        <w:trPr>
          <w:cantSplit/>
          <w:trHeight w:val="290"/>
          <w:tblHeader/>
          <w:jc w:val="center"/>
        </w:trPr>
        <w:tc>
          <w:tcPr>
            <w:tcW w:w="1276" w:type="pct"/>
          </w:tcPr>
          <w:p w14:paraId="33F438B2"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150 à 179 jours civils</w:t>
            </w:r>
          </w:p>
        </w:tc>
        <w:tc>
          <w:tcPr>
            <w:tcW w:w="1862" w:type="pct"/>
          </w:tcPr>
          <w:p w14:paraId="3B2FC3C1"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314</w:t>
            </w:r>
          </w:p>
        </w:tc>
        <w:tc>
          <w:tcPr>
            <w:tcW w:w="1862" w:type="pct"/>
          </w:tcPr>
          <w:p w14:paraId="32759AB5"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13</w:t>
            </w:r>
          </w:p>
        </w:tc>
      </w:tr>
      <w:tr w:rsidR="00805850" w:rsidRPr="00F10A5B" w14:paraId="195D9BB4" w14:textId="77777777" w:rsidTr="00FB62DB">
        <w:trPr>
          <w:cantSplit/>
          <w:trHeight w:val="290"/>
          <w:tblHeader/>
          <w:jc w:val="center"/>
        </w:trPr>
        <w:tc>
          <w:tcPr>
            <w:tcW w:w="1276" w:type="pct"/>
          </w:tcPr>
          <w:p w14:paraId="3AD883BC"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180 à 209 jours civils</w:t>
            </w:r>
          </w:p>
        </w:tc>
        <w:tc>
          <w:tcPr>
            <w:tcW w:w="1862" w:type="pct"/>
          </w:tcPr>
          <w:p w14:paraId="1F428649"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258</w:t>
            </w:r>
          </w:p>
        </w:tc>
        <w:tc>
          <w:tcPr>
            <w:tcW w:w="1862" w:type="pct"/>
          </w:tcPr>
          <w:p w14:paraId="562660D4"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10</w:t>
            </w:r>
          </w:p>
        </w:tc>
      </w:tr>
      <w:tr w:rsidR="00805850" w:rsidRPr="00F10A5B" w14:paraId="3C76E18E" w14:textId="77777777" w:rsidTr="00FB62DB">
        <w:trPr>
          <w:cantSplit/>
          <w:trHeight w:val="290"/>
          <w:tblHeader/>
          <w:jc w:val="center"/>
        </w:trPr>
        <w:tc>
          <w:tcPr>
            <w:tcW w:w="1276" w:type="pct"/>
          </w:tcPr>
          <w:p w14:paraId="372B1771"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210 à 239 jours civils</w:t>
            </w:r>
          </w:p>
        </w:tc>
        <w:tc>
          <w:tcPr>
            <w:tcW w:w="1862" w:type="pct"/>
          </w:tcPr>
          <w:p w14:paraId="0B2F15BB"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191</w:t>
            </w:r>
          </w:p>
        </w:tc>
        <w:tc>
          <w:tcPr>
            <w:tcW w:w="1862" w:type="pct"/>
          </w:tcPr>
          <w:p w14:paraId="28616BF2"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11</w:t>
            </w:r>
          </w:p>
        </w:tc>
      </w:tr>
      <w:tr w:rsidR="00805850" w:rsidRPr="00F10A5B" w14:paraId="07B8EC53" w14:textId="77777777" w:rsidTr="00FB62DB">
        <w:trPr>
          <w:cantSplit/>
          <w:trHeight w:val="290"/>
          <w:tblHeader/>
          <w:jc w:val="center"/>
        </w:trPr>
        <w:tc>
          <w:tcPr>
            <w:tcW w:w="1276" w:type="pct"/>
          </w:tcPr>
          <w:p w14:paraId="37B7D8BB"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240 à 269 jours civils</w:t>
            </w:r>
          </w:p>
        </w:tc>
        <w:tc>
          <w:tcPr>
            <w:tcW w:w="1862" w:type="pct"/>
          </w:tcPr>
          <w:p w14:paraId="2302571A"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143</w:t>
            </w:r>
          </w:p>
        </w:tc>
        <w:tc>
          <w:tcPr>
            <w:tcW w:w="1862" w:type="pct"/>
          </w:tcPr>
          <w:p w14:paraId="2BD439C4"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3</w:t>
            </w:r>
          </w:p>
        </w:tc>
      </w:tr>
      <w:tr w:rsidR="00805850" w:rsidRPr="00F10A5B" w14:paraId="0C81B932" w14:textId="77777777" w:rsidTr="00FB62DB">
        <w:trPr>
          <w:cantSplit/>
          <w:trHeight w:val="290"/>
          <w:tblHeader/>
          <w:jc w:val="center"/>
        </w:trPr>
        <w:tc>
          <w:tcPr>
            <w:tcW w:w="1276" w:type="pct"/>
          </w:tcPr>
          <w:p w14:paraId="5C4ED0A4"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270 à 299 jours civils</w:t>
            </w:r>
          </w:p>
        </w:tc>
        <w:tc>
          <w:tcPr>
            <w:tcW w:w="1862" w:type="pct"/>
          </w:tcPr>
          <w:p w14:paraId="56A70F06"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109</w:t>
            </w:r>
          </w:p>
        </w:tc>
        <w:tc>
          <w:tcPr>
            <w:tcW w:w="1862" w:type="pct"/>
          </w:tcPr>
          <w:p w14:paraId="61F84526"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10</w:t>
            </w:r>
          </w:p>
        </w:tc>
      </w:tr>
      <w:tr w:rsidR="00805850" w:rsidRPr="00F10A5B" w14:paraId="38AC1BFE" w14:textId="77777777" w:rsidTr="00FB62DB">
        <w:trPr>
          <w:cantSplit/>
          <w:trHeight w:val="290"/>
          <w:tblHeader/>
          <w:jc w:val="center"/>
        </w:trPr>
        <w:tc>
          <w:tcPr>
            <w:tcW w:w="1276" w:type="pct"/>
          </w:tcPr>
          <w:p w14:paraId="67AA6657"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300 à 329 jours civils</w:t>
            </w:r>
          </w:p>
        </w:tc>
        <w:tc>
          <w:tcPr>
            <w:tcW w:w="1862" w:type="pct"/>
          </w:tcPr>
          <w:p w14:paraId="0F24F3C5"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91</w:t>
            </w:r>
          </w:p>
        </w:tc>
        <w:tc>
          <w:tcPr>
            <w:tcW w:w="1862" w:type="pct"/>
          </w:tcPr>
          <w:p w14:paraId="17A89014"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5</w:t>
            </w:r>
          </w:p>
        </w:tc>
      </w:tr>
      <w:tr w:rsidR="00805850" w:rsidRPr="00F10A5B" w14:paraId="5A58812A" w14:textId="77777777" w:rsidTr="00FB62DB">
        <w:trPr>
          <w:cantSplit/>
          <w:trHeight w:val="290"/>
          <w:tblHeader/>
          <w:jc w:val="center"/>
        </w:trPr>
        <w:tc>
          <w:tcPr>
            <w:tcW w:w="1276" w:type="pct"/>
          </w:tcPr>
          <w:p w14:paraId="3DBAB91D"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330 à 359 jours civils</w:t>
            </w:r>
          </w:p>
        </w:tc>
        <w:tc>
          <w:tcPr>
            <w:tcW w:w="1862" w:type="pct"/>
          </w:tcPr>
          <w:p w14:paraId="3F5C5F35"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70</w:t>
            </w:r>
          </w:p>
        </w:tc>
        <w:tc>
          <w:tcPr>
            <w:tcW w:w="1862" w:type="pct"/>
          </w:tcPr>
          <w:p w14:paraId="55BD4DA4"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6</w:t>
            </w:r>
          </w:p>
        </w:tc>
      </w:tr>
      <w:tr w:rsidR="00805850" w:rsidRPr="00F10A5B" w14:paraId="3CE14FC9" w14:textId="77777777" w:rsidTr="00FB62DB">
        <w:trPr>
          <w:cantSplit/>
          <w:trHeight w:val="290"/>
          <w:tblHeader/>
          <w:jc w:val="center"/>
        </w:trPr>
        <w:tc>
          <w:tcPr>
            <w:tcW w:w="1276" w:type="pct"/>
          </w:tcPr>
          <w:p w14:paraId="10601A60"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360 à 389 jours civils</w:t>
            </w:r>
          </w:p>
        </w:tc>
        <w:tc>
          <w:tcPr>
            <w:tcW w:w="1862" w:type="pct"/>
          </w:tcPr>
          <w:p w14:paraId="51E0A0DA"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49</w:t>
            </w:r>
          </w:p>
        </w:tc>
        <w:tc>
          <w:tcPr>
            <w:tcW w:w="1862" w:type="pct"/>
          </w:tcPr>
          <w:p w14:paraId="3187AC14"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2</w:t>
            </w:r>
          </w:p>
        </w:tc>
      </w:tr>
      <w:tr w:rsidR="00805850" w:rsidRPr="00F10A5B" w14:paraId="5FCCEB9E" w14:textId="77777777" w:rsidTr="00FB62DB">
        <w:trPr>
          <w:cantSplit/>
          <w:trHeight w:val="290"/>
          <w:tblHeader/>
          <w:jc w:val="center"/>
        </w:trPr>
        <w:tc>
          <w:tcPr>
            <w:tcW w:w="1276" w:type="pct"/>
          </w:tcPr>
          <w:p w14:paraId="2ABEA7AA"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390 à 419 jours civils</w:t>
            </w:r>
          </w:p>
        </w:tc>
        <w:tc>
          <w:tcPr>
            <w:tcW w:w="1862" w:type="pct"/>
          </w:tcPr>
          <w:p w14:paraId="6F32EFD5"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43</w:t>
            </w:r>
          </w:p>
        </w:tc>
        <w:tc>
          <w:tcPr>
            <w:tcW w:w="1862" w:type="pct"/>
          </w:tcPr>
          <w:p w14:paraId="1027BEBC"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w:t>
            </w:r>
          </w:p>
        </w:tc>
      </w:tr>
      <w:tr w:rsidR="00805850" w:rsidRPr="00F10A5B" w14:paraId="77D02E20" w14:textId="77777777" w:rsidTr="00FB62DB">
        <w:trPr>
          <w:cantSplit/>
          <w:trHeight w:val="290"/>
          <w:tblHeader/>
          <w:jc w:val="center"/>
        </w:trPr>
        <w:tc>
          <w:tcPr>
            <w:tcW w:w="1276" w:type="pct"/>
          </w:tcPr>
          <w:p w14:paraId="5377E483"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420 à 449 jours civils</w:t>
            </w:r>
          </w:p>
        </w:tc>
        <w:tc>
          <w:tcPr>
            <w:tcW w:w="1862" w:type="pct"/>
          </w:tcPr>
          <w:p w14:paraId="398666CF"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41</w:t>
            </w:r>
          </w:p>
        </w:tc>
        <w:tc>
          <w:tcPr>
            <w:tcW w:w="1862" w:type="pct"/>
          </w:tcPr>
          <w:p w14:paraId="7422D848"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4</w:t>
            </w:r>
          </w:p>
        </w:tc>
      </w:tr>
      <w:tr w:rsidR="00805850" w:rsidRPr="00F10A5B" w14:paraId="497D1446" w14:textId="77777777" w:rsidTr="00FB62DB">
        <w:trPr>
          <w:cantSplit/>
          <w:trHeight w:val="290"/>
          <w:tblHeader/>
          <w:jc w:val="center"/>
        </w:trPr>
        <w:tc>
          <w:tcPr>
            <w:tcW w:w="1276" w:type="pct"/>
          </w:tcPr>
          <w:p w14:paraId="08867817"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450 à 479 jours civils</w:t>
            </w:r>
          </w:p>
        </w:tc>
        <w:tc>
          <w:tcPr>
            <w:tcW w:w="1862" w:type="pct"/>
          </w:tcPr>
          <w:p w14:paraId="29B9C494"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36</w:t>
            </w:r>
          </w:p>
        </w:tc>
        <w:tc>
          <w:tcPr>
            <w:tcW w:w="1862" w:type="pct"/>
          </w:tcPr>
          <w:p w14:paraId="56B71A69"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2</w:t>
            </w:r>
          </w:p>
        </w:tc>
      </w:tr>
      <w:tr w:rsidR="00805850" w:rsidRPr="00F10A5B" w14:paraId="4A282FF2" w14:textId="77777777" w:rsidTr="00FB62DB">
        <w:trPr>
          <w:cantSplit/>
          <w:trHeight w:val="290"/>
          <w:tblHeader/>
          <w:jc w:val="center"/>
        </w:trPr>
        <w:tc>
          <w:tcPr>
            <w:tcW w:w="1276" w:type="pct"/>
          </w:tcPr>
          <w:p w14:paraId="5E7F8B02"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480 à 509 jours civils</w:t>
            </w:r>
          </w:p>
        </w:tc>
        <w:tc>
          <w:tcPr>
            <w:tcW w:w="1862" w:type="pct"/>
          </w:tcPr>
          <w:p w14:paraId="5E04B3CD"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20</w:t>
            </w:r>
          </w:p>
        </w:tc>
        <w:tc>
          <w:tcPr>
            <w:tcW w:w="1862" w:type="pct"/>
          </w:tcPr>
          <w:p w14:paraId="7572A4C6"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w:t>
            </w:r>
          </w:p>
        </w:tc>
      </w:tr>
      <w:tr w:rsidR="00805850" w:rsidRPr="00F10A5B" w14:paraId="0DD507F6" w14:textId="77777777" w:rsidTr="00FB62DB">
        <w:trPr>
          <w:cantSplit/>
          <w:trHeight w:val="290"/>
          <w:tblHeader/>
          <w:jc w:val="center"/>
        </w:trPr>
        <w:tc>
          <w:tcPr>
            <w:tcW w:w="1276" w:type="pct"/>
          </w:tcPr>
          <w:p w14:paraId="02C44609"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 xml:space="preserve">510 à 539 jours civils </w:t>
            </w:r>
          </w:p>
        </w:tc>
        <w:tc>
          <w:tcPr>
            <w:tcW w:w="1862" w:type="pct"/>
          </w:tcPr>
          <w:p w14:paraId="3EBF890F"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15</w:t>
            </w:r>
          </w:p>
        </w:tc>
        <w:tc>
          <w:tcPr>
            <w:tcW w:w="1862" w:type="pct"/>
          </w:tcPr>
          <w:p w14:paraId="54F9CA5C"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20D9D8AF" w14:textId="77777777" w:rsidTr="00FB62DB">
        <w:trPr>
          <w:cantSplit/>
          <w:trHeight w:val="290"/>
          <w:tblHeader/>
          <w:jc w:val="center"/>
        </w:trPr>
        <w:tc>
          <w:tcPr>
            <w:tcW w:w="1276" w:type="pct"/>
          </w:tcPr>
          <w:p w14:paraId="409F285B"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540 à 569 jours civils</w:t>
            </w:r>
          </w:p>
        </w:tc>
        <w:tc>
          <w:tcPr>
            <w:tcW w:w="1862" w:type="pct"/>
          </w:tcPr>
          <w:p w14:paraId="34DC098B"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23</w:t>
            </w:r>
          </w:p>
        </w:tc>
        <w:tc>
          <w:tcPr>
            <w:tcW w:w="1862" w:type="pct"/>
          </w:tcPr>
          <w:p w14:paraId="7866F535"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3F1B3C7C" w14:textId="77777777" w:rsidTr="00FB62DB">
        <w:trPr>
          <w:cantSplit/>
          <w:trHeight w:val="290"/>
          <w:tblHeader/>
          <w:jc w:val="center"/>
        </w:trPr>
        <w:tc>
          <w:tcPr>
            <w:tcW w:w="1276" w:type="pct"/>
          </w:tcPr>
          <w:p w14:paraId="605A70BD"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570 à 599 jours civils</w:t>
            </w:r>
          </w:p>
        </w:tc>
        <w:tc>
          <w:tcPr>
            <w:tcW w:w="1862" w:type="pct"/>
          </w:tcPr>
          <w:p w14:paraId="08A3E139"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20</w:t>
            </w:r>
          </w:p>
        </w:tc>
        <w:tc>
          <w:tcPr>
            <w:tcW w:w="1862" w:type="pct"/>
          </w:tcPr>
          <w:p w14:paraId="12040407"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w:t>
            </w:r>
          </w:p>
        </w:tc>
      </w:tr>
      <w:tr w:rsidR="00805850" w:rsidRPr="00F10A5B" w14:paraId="7F96DA79" w14:textId="77777777" w:rsidTr="00FB62DB">
        <w:trPr>
          <w:cantSplit/>
          <w:trHeight w:val="290"/>
          <w:tblHeader/>
          <w:jc w:val="center"/>
        </w:trPr>
        <w:tc>
          <w:tcPr>
            <w:tcW w:w="1276" w:type="pct"/>
          </w:tcPr>
          <w:p w14:paraId="12EC46E1"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600 à 629 jours civils</w:t>
            </w:r>
          </w:p>
        </w:tc>
        <w:tc>
          <w:tcPr>
            <w:tcW w:w="1862" w:type="pct"/>
          </w:tcPr>
          <w:p w14:paraId="0D67D373"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18</w:t>
            </w:r>
          </w:p>
        </w:tc>
        <w:tc>
          <w:tcPr>
            <w:tcW w:w="1862" w:type="pct"/>
          </w:tcPr>
          <w:p w14:paraId="63278E9C"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720F8C9D" w14:textId="77777777" w:rsidTr="00FB62DB">
        <w:trPr>
          <w:cantSplit/>
          <w:trHeight w:val="290"/>
          <w:tblHeader/>
          <w:jc w:val="center"/>
        </w:trPr>
        <w:tc>
          <w:tcPr>
            <w:tcW w:w="1276" w:type="pct"/>
          </w:tcPr>
          <w:p w14:paraId="5948520F"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630 à 659 jours civils</w:t>
            </w:r>
          </w:p>
        </w:tc>
        <w:tc>
          <w:tcPr>
            <w:tcW w:w="1862" w:type="pct"/>
          </w:tcPr>
          <w:p w14:paraId="4680FE43"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11</w:t>
            </w:r>
          </w:p>
        </w:tc>
        <w:tc>
          <w:tcPr>
            <w:tcW w:w="1862" w:type="pct"/>
          </w:tcPr>
          <w:p w14:paraId="5DA730FF"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69B59213" w14:textId="77777777" w:rsidTr="00FB62DB">
        <w:trPr>
          <w:cantSplit/>
          <w:trHeight w:val="290"/>
          <w:tblHeader/>
          <w:jc w:val="center"/>
        </w:trPr>
        <w:tc>
          <w:tcPr>
            <w:tcW w:w="1276" w:type="pct"/>
          </w:tcPr>
          <w:p w14:paraId="5992450A"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660 à 689 jours civils</w:t>
            </w:r>
          </w:p>
        </w:tc>
        <w:tc>
          <w:tcPr>
            <w:tcW w:w="1862" w:type="pct"/>
          </w:tcPr>
          <w:p w14:paraId="5B6F80F3"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15</w:t>
            </w:r>
          </w:p>
        </w:tc>
        <w:tc>
          <w:tcPr>
            <w:tcW w:w="1862" w:type="pct"/>
          </w:tcPr>
          <w:p w14:paraId="5FB2CED4"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1967CC46" w14:textId="77777777" w:rsidTr="00FB62DB">
        <w:trPr>
          <w:cantSplit/>
          <w:trHeight w:val="290"/>
          <w:tblHeader/>
          <w:jc w:val="center"/>
        </w:trPr>
        <w:tc>
          <w:tcPr>
            <w:tcW w:w="1276" w:type="pct"/>
          </w:tcPr>
          <w:p w14:paraId="75B1D4CA"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690 à 719 jours civils</w:t>
            </w:r>
          </w:p>
        </w:tc>
        <w:tc>
          <w:tcPr>
            <w:tcW w:w="1862" w:type="pct"/>
          </w:tcPr>
          <w:p w14:paraId="423D4D2F"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6</w:t>
            </w:r>
          </w:p>
        </w:tc>
        <w:tc>
          <w:tcPr>
            <w:tcW w:w="1862" w:type="pct"/>
          </w:tcPr>
          <w:p w14:paraId="44C6CB08"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w:t>
            </w:r>
          </w:p>
        </w:tc>
      </w:tr>
      <w:tr w:rsidR="00805850" w:rsidRPr="00F10A5B" w14:paraId="0ED16238" w14:textId="77777777" w:rsidTr="00FB62DB">
        <w:trPr>
          <w:cantSplit/>
          <w:trHeight w:val="302"/>
          <w:tblHeader/>
          <w:jc w:val="center"/>
        </w:trPr>
        <w:tc>
          <w:tcPr>
            <w:tcW w:w="1276" w:type="pct"/>
          </w:tcPr>
          <w:p w14:paraId="3E144F27"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720 à 749 jours civils</w:t>
            </w:r>
          </w:p>
        </w:tc>
        <w:tc>
          <w:tcPr>
            <w:tcW w:w="1862" w:type="pct"/>
          </w:tcPr>
          <w:p w14:paraId="2C2D6E13"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11</w:t>
            </w:r>
          </w:p>
        </w:tc>
        <w:tc>
          <w:tcPr>
            <w:tcW w:w="1862" w:type="pct"/>
          </w:tcPr>
          <w:p w14:paraId="65E49FBF"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1D2C5822" w14:textId="77777777" w:rsidTr="00FB62DB">
        <w:trPr>
          <w:cantSplit/>
          <w:trHeight w:val="290"/>
          <w:tblHeader/>
          <w:jc w:val="center"/>
        </w:trPr>
        <w:tc>
          <w:tcPr>
            <w:tcW w:w="1276" w:type="pct"/>
          </w:tcPr>
          <w:p w14:paraId="11B1AD2D"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750 à 779 jours civils</w:t>
            </w:r>
          </w:p>
        </w:tc>
        <w:tc>
          <w:tcPr>
            <w:tcW w:w="1862" w:type="pct"/>
          </w:tcPr>
          <w:p w14:paraId="684D5EFA"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6</w:t>
            </w:r>
          </w:p>
        </w:tc>
        <w:tc>
          <w:tcPr>
            <w:tcW w:w="1862" w:type="pct"/>
          </w:tcPr>
          <w:p w14:paraId="7B418F88"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073050CF" w14:textId="77777777" w:rsidTr="00FB62DB">
        <w:trPr>
          <w:cantSplit/>
          <w:trHeight w:val="290"/>
          <w:tblHeader/>
          <w:jc w:val="center"/>
        </w:trPr>
        <w:tc>
          <w:tcPr>
            <w:tcW w:w="1276" w:type="pct"/>
          </w:tcPr>
          <w:p w14:paraId="493DD06A"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780 à 809 jours civils</w:t>
            </w:r>
          </w:p>
        </w:tc>
        <w:tc>
          <w:tcPr>
            <w:tcW w:w="1862" w:type="pct"/>
          </w:tcPr>
          <w:p w14:paraId="637157F5"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5</w:t>
            </w:r>
          </w:p>
        </w:tc>
        <w:tc>
          <w:tcPr>
            <w:tcW w:w="1862" w:type="pct"/>
          </w:tcPr>
          <w:p w14:paraId="0E484FF6"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0BB924F5" w14:textId="77777777" w:rsidTr="00FB62DB">
        <w:trPr>
          <w:cantSplit/>
          <w:trHeight w:val="290"/>
          <w:tblHeader/>
          <w:jc w:val="center"/>
        </w:trPr>
        <w:tc>
          <w:tcPr>
            <w:tcW w:w="1276" w:type="pct"/>
          </w:tcPr>
          <w:p w14:paraId="6398D0C4"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810 à 839 jours civils</w:t>
            </w:r>
          </w:p>
        </w:tc>
        <w:tc>
          <w:tcPr>
            <w:tcW w:w="1862" w:type="pct"/>
          </w:tcPr>
          <w:p w14:paraId="788DD88D"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6</w:t>
            </w:r>
          </w:p>
        </w:tc>
        <w:tc>
          <w:tcPr>
            <w:tcW w:w="1862" w:type="pct"/>
          </w:tcPr>
          <w:p w14:paraId="74B981E5"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6B7021DD" w14:textId="77777777" w:rsidTr="00FB62DB">
        <w:trPr>
          <w:cantSplit/>
          <w:trHeight w:val="290"/>
          <w:tblHeader/>
          <w:jc w:val="center"/>
        </w:trPr>
        <w:tc>
          <w:tcPr>
            <w:tcW w:w="1276" w:type="pct"/>
          </w:tcPr>
          <w:p w14:paraId="58CB7ABB"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840 à 869 jours civils</w:t>
            </w:r>
          </w:p>
        </w:tc>
        <w:tc>
          <w:tcPr>
            <w:tcW w:w="1862" w:type="pct"/>
          </w:tcPr>
          <w:p w14:paraId="11304CD3"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10</w:t>
            </w:r>
          </w:p>
        </w:tc>
        <w:tc>
          <w:tcPr>
            <w:tcW w:w="1862" w:type="pct"/>
          </w:tcPr>
          <w:p w14:paraId="04FFFBEB"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2460263C" w14:textId="77777777" w:rsidTr="00FB62DB">
        <w:trPr>
          <w:cantSplit/>
          <w:trHeight w:val="290"/>
          <w:tblHeader/>
          <w:jc w:val="center"/>
        </w:trPr>
        <w:tc>
          <w:tcPr>
            <w:tcW w:w="1276" w:type="pct"/>
          </w:tcPr>
          <w:p w14:paraId="47CFFDAA"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870 à 899 jours civils</w:t>
            </w:r>
          </w:p>
        </w:tc>
        <w:tc>
          <w:tcPr>
            <w:tcW w:w="1862" w:type="pct"/>
          </w:tcPr>
          <w:p w14:paraId="11434FA2"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w:t>
            </w:r>
          </w:p>
        </w:tc>
        <w:tc>
          <w:tcPr>
            <w:tcW w:w="1862" w:type="pct"/>
          </w:tcPr>
          <w:p w14:paraId="5E52AA67"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02B3EA6C" w14:textId="77777777" w:rsidTr="00FB62DB">
        <w:trPr>
          <w:cantSplit/>
          <w:trHeight w:val="290"/>
          <w:tblHeader/>
          <w:jc w:val="center"/>
        </w:trPr>
        <w:tc>
          <w:tcPr>
            <w:tcW w:w="1276" w:type="pct"/>
          </w:tcPr>
          <w:p w14:paraId="17A78618"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900 à 929 jours civils</w:t>
            </w:r>
          </w:p>
        </w:tc>
        <w:tc>
          <w:tcPr>
            <w:tcW w:w="1862" w:type="pct"/>
          </w:tcPr>
          <w:p w14:paraId="10D00656"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4</w:t>
            </w:r>
          </w:p>
        </w:tc>
        <w:tc>
          <w:tcPr>
            <w:tcW w:w="1862" w:type="pct"/>
          </w:tcPr>
          <w:p w14:paraId="178FCCE3"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05F92874" w14:textId="77777777" w:rsidTr="00FB62DB">
        <w:trPr>
          <w:cantSplit/>
          <w:trHeight w:val="290"/>
          <w:tblHeader/>
          <w:jc w:val="center"/>
        </w:trPr>
        <w:tc>
          <w:tcPr>
            <w:tcW w:w="1276" w:type="pct"/>
          </w:tcPr>
          <w:p w14:paraId="4B34EF6D"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930 à 959 jours civils</w:t>
            </w:r>
          </w:p>
        </w:tc>
        <w:tc>
          <w:tcPr>
            <w:tcW w:w="1862" w:type="pct"/>
          </w:tcPr>
          <w:p w14:paraId="48D1F94C"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5</w:t>
            </w:r>
          </w:p>
        </w:tc>
        <w:tc>
          <w:tcPr>
            <w:tcW w:w="1862" w:type="pct"/>
          </w:tcPr>
          <w:p w14:paraId="3A55BB24"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193EEE9F" w14:textId="77777777" w:rsidTr="00FB62DB">
        <w:trPr>
          <w:cantSplit/>
          <w:trHeight w:val="290"/>
          <w:tblHeader/>
          <w:jc w:val="center"/>
        </w:trPr>
        <w:tc>
          <w:tcPr>
            <w:tcW w:w="1276" w:type="pct"/>
          </w:tcPr>
          <w:p w14:paraId="42918B7C"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960 à 989 jours civils</w:t>
            </w:r>
          </w:p>
        </w:tc>
        <w:tc>
          <w:tcPr>
            <w:tcW w:w="1862" w:type="pct"/>
          </w:tcPr>
          <w:p w14:paraId="64A0E75D"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4</w:t>
            </w:r>
          </w:p>
        </w:tc>
        <w:tc>
          <w:tcPr>
            <w:tcW w:w="1862" w:type="pct"/>
          </w:tcPr>
          <w:p w14:paraId="0BD8DA64"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0</w:t>
            </w:r>
          </w:p>
        </w:tc>
      </w:tr>
      <w:tr w:rsidR="00805850" w:rsidRPr="00F10A5B" w14:paraId="67B465F9" w14:textId="77777777" w:rsidTr="00FB62DB">
        <w:trPr>
          <w:cantSplit/>
          <w:trHeight w:val="290"/>
          <w:tblHeader/>
          <w:jc w:val="center"/>
        </w:trPr>
        <w:tc>
          <w:tcPr>
            <w:tcW w:w="1276" w:type="pct"/>
          </w:tcPr>
          <w:p w14:paraId="1E54F765" w14:textId="77777777" w:rsidR="00805850" w:rsidRPr="00F10A5B" w:rsidRDefault="00805850" w:rsidP="00AF28E1">
            <w:pPr>
              <w:autoSpaceDE w:val="0"/>
              <w:autoSpaceDN w:val="0"/>
              <w:adjustRightInd w:val="0"/>
              <w:contextualSpacing/>
              <w:rPr>
                <w:rFonts w:cstheme="minorHAnsi"/>
                <w:color w:val="000000"/>
                <w:szCs w:val="24"/>
              </w:rPr>
            </w:pPr>
            <w:r w:rsidRPr="00F10A5B">
              <w:rPr>
                <w:rFonts w:cstheme="minorHAnsi"/>
                <w:color w:val="000000"/>
                <w:szCs w:val="24"/>
              </w:rPr>
              <w:t>Plus de 990 jours civils</w:t>
            </w:r>
          </w:p>
        </w:tc>
        <w:tc>
          <w:tcPr>
            <w:tcW w:w="1862" w:type="pct"/>
          </w:tcPr>
          <w:p w14:paraId="3CA3A8EC"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43</w:t>
            </w:r>
          </w:p>
        </w:tc>
        <w:tc>
          <w:tcPr>
            <w:tcW w:w="1862" w:type="pct"/>
          </w:tcPr>
          <w:p w14:paraId="6D94274B" w14:textId="77777777" w:rsidR="00805850" w:rsidRPr="00F10A5B" w:rsidRDefault="00805850" w:rsidP="00AF28E1">
            <w:pPr>
              <w:autoSpaceDE w:val="0"/>
              <w:autoSpaceDN w:val="0"/>
              <w:adjustRightInd w:val="0"/>
              <w:contextualSpacing/>
              <w:jc w:val="center"/>
              <w:rPr>
                <w:rFonts w:cstheme="minorHAnsi"/>
                <w:color w:val="000000"/>
                <w:sz w:val="24"/>
                <w:szCs w:val="24"/>
              </w:rPr>
            </w:pPr>
            <w:r w:rsidRPr="00F10A5B">
              <w:rPr>
                <w:rFonts w:cstheme="minorHAnsi"/>
                <w:color w:val="000000"/>
                <w:sz w:val="24"/>
                <w:szCs w:val="24"/>
              </w:rPr>
              <w:t>1</w:t>
            </w:r>
          </w:p>
        </w:tc>
      </w:tr>
    </w:tbl>
    <w:p w14:paraId="7D7EE790" w14:textId="77777777" w:rsidR="00805850" w:rsidRPr="00F10A5B" w:rsidRDefault="00805850" w:rsidP="00DA196D">
      <w:pPr>
        <w:contextualSpacing/>
        <w:rPr>
          <w:rFonts w:eastAsia="Times New Roman" w:cs="Arial"/>
          <w:lang w:eastAsia="en-CA"/>
        </w:rPr>
        <w:sectPr w:rsidR="00805850" w:rsidRPr="00F10A5B" w:rsidSect="00E310D2">
          <w:pgSz w:w="24480" w:h="15840" w:orient="landscape" w:code="3"/>
          <w:pgMar w:top="720" w:right="720" w:bottom="720" w:left="720" w:header="708" w:footer="708" w:gutter="0"/>
          <w:cols w:space="708"/>
          <w:titlePg/>
          <w:docGrid w:linePitch="360"/>
        </w:sectPr>
      </w:pPr>
    </w:p>
    <w:p w14:paraId="45AD6717" w14:textId="24E2ACDC" w:rsidR="008C38F5" w:rsidRPr="00F10A5B" w:rsidRDefault="00371F70" w:rsidP="00E5173D">
      <w:pPr>
        <w:pStyle w:val="Heading1"/>
        <w:spacing w:before="120" w:after="120"/>
        <w:rPr>
          <w:color w:val="auto"/>
          <w:sz w:val="40"/>
        </w:rPr>
      </w:pPr>
      <w:r w:rsidRPr="00F10A5B">
        <w:rPr>
          <w:color w:val="auto"/>
          <w:sz w:val="40"/>
        </w:rPr>
        <w:lastRenderedPageBreak/>
        <w:t>Durée de dotation externe</w:t>
      </w:r>
    </w:p>
    <w:p w14:paraId="0D6AC2E5" w14:textId="77777777" w:rsidR="00E5173D" w:rsidRPr="00F10A5B" w:rsidRDefault="008C38F5" w:rsidP="00E5173D">
      <w:pPr>
        <w:keepNext/>
        <w:spacing w:after="0"/>
        <w:contextualSpacing/>
      </w:pPr>
      <w:r w:rsidRPr="00F10A5B">
        <w:rPr>
          <w:noProof/>
          <w:lang w:eastAsia="en-CA"/>
        </w:rPr>
        <w:drawing>
          <wp:inline distT="0" distB="0" distL="0" distR="0" wp14:anchorId="7EDF0FBC" wp14:editId="2BE5DDC5">
            <wp:extent cx="5648400" cy="3049200"/>
            <wp:effectExtent l="0" t="0" r="9525" b="18415"/>
            <wp:docPr id="21" name="Chart 21" descr="Durée de dotation externe - Médiane pour la fonction publique = 203 jour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E5173D" w:rsidRPr="00F10A5B">
        <w:rPr>
          <w:noProof/>
          <w:lang w:eastAsia="en-CA"/>
        </w:rPr>
        <w:drawing>
          <wp:inline distT="0" distB="0" distL="0" distR="0" wp14:anchorId="5A2F1E68" wp14:editId="5CAE704B">
            <wp:extent cx="5648400" cy="3049200"/>
            <wp:effectExtent l="0" t="0" r="9525" b="18415"/>
            <wp:docPr id="6" name="Chart 6" descr="Durée de dotation externe - Médiane pour Affaires indiennes et du Nord canadien = 248 jour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8B031FA" w14:textId="3E934DB2" w:rsidR="00E5173D" w:rsidRPr="00F10A5B" w:rsidRDefault="00E5173D" w:rsidP="00E5173D">
      <w:pPr>
        <w:pStyle w:val="Caption"/>
        <w:tabs>
          <w:tab w:val="left" w:pos="8930"/>
        </w:tabs>
        <w:rPr>
          <w:rFonts w:cstheme="minorHAnsi"/>
          <w:i w:val="0"/>
          <w:color w:val="auto"/>
        </w:rPr>
      </w:pPr>
      <w:r w:rsidRPr="00F10A5B">
        <w:rPr>
          <w:rFonts w:cstheme="minorHAnsi"/>
          <w:i w:val="0"/>
          <w:color w:val="auto"/>
        </w:rPr>
        <w:t xml:space="preserve">Figure </w:t>
      </w:r>
      <w:r w:rsidRPr="00F10A5B">
        <w:rPr>
          <w:rFonts w:cstheme="minorHAnsi"/>
          <w:i w:val="0"/>
          <w:color w:val="auto"/>
        </w:rPr>
        <w:fldChar w:fldCharType="begin"/>
      </w:r>
      <w:r w:rsidRPr="00F10A5B">
        <w:rPr>
          <w:rFonts w:cstheme="minorHAnsi"/>
          <w:i w:val="0"/>
          <w:color w:val="auto"/>
        </w:rPr>
        <w:instrText xml:space="preserve"> SEQ Figure \* ARABIC </w:instrText>
      </w:r>
      <w:r w:rsidRPr="00F10A5B">
        <w:rPr>
          <w:rFonts w:cstheme="minorHAnsi"/>
          <w:i w:val="0"/>
          <w:color w:val="auto"/>
        </w:rPr>
        <w:fldChar w:fldCharType="separate"/>
      </w:r>
      <w:r w:rsidRPr="00F10A5B">
        <w:rPr>
          <w:rFonts w:cstheme="minorHAnsi"/>
          <w:i w:val="0"/>
          <w:noProof/>
          <w:color w:val="auto"/>
        </w:rPr>
        <w:t>14</w:t>
      </w:r>
      <w:r w:rsidRPr="00F10A5B">
        <w:rPr>
          <w:rFonts w:cstheme="minorHAnsi"/>
          <w:i w:val="0"/>
          <w:color w:val="auto"/>
        </w:rPr>
        <w:fldChar w:fldCharType="end"/>
      </w:r>
      <w:r w:rsidRPr="00F10A5B">
        <w:rPr>
          <w:rFonts w:cstheme="minorHAnsi"/>
          <w:i w:val="0"/>
          <w:color w:val="auto"/>
        </w:rPr>
        <w:t xml:space="preserve"> - Durée de dotation externe - Médiane pour la fonction publique = 203 jours, 2019-2020</w:t>
      </w:r>
      <w:r w:rsidRPr="00F10A5B">
        <w:rPr>
          <w:rFonts w:cstheme="minorHAnsi"/>
          <w:i w:val="0"/>
          <w:color w:val="auto"/>
        </w:rPr>
        <w:tab/>
        <w:t xml:space="preserve">Figure </w:t>
      </w:r>
      <w:r w:rsidRPr="00F10A5B">
        <w:rPr>
          <w:rFonts w:cstheme="minorHAnsi"/>
          <w:i w:val="0"/>
          <w:color w:val="auto"/>
        </w:rPr>
        <w:fldChar w:fldCharType="begin"/>
      </w:r>
      <w:r w:rsidRPr="00F10A5B">
        <w:rPr>
          <w:rFonts w:cstheme="minorHAnsi"/>
          <w:i w:val="0"/>
          <w:color w:val="auto"/>
        </w:rPr>
        <w:instrText xml:space="preserve"> SEQ Figure \* ARABIC </w:instrText>
      </w:r>
      <w:r w:rsidRPr="00F10A5B">
        <w:rPr>
          <w:rFonts w:cstheme="minorHAnsi"/>
          <w:i w:val="0"/>
          <w:color w:val="auto"/>
        </w:rPr>
        <w:fldChar w:fldCharType="separate"/>
      </w:r>
      <w:r w:rsidRPr="00F10A5B">
        <w:rPr>
          <w:rFonts w:cstheme="minorHAnsi"/>
          <w:i w:val="0"/>
          <w:noProof/>
          <w:color w:val="auto"/>
        </w:rPr>
        <w:t>15</w:t>
      </w:r>
      <w:r w:rsidRPr="00F10A5B">
        <w:rPr>
          <w:rFonts w:cstheme="minorHAnsi"/>
          <w:i w:val="0"/>
          <w:color w:val="auto"/>
        </w:rPr>
        <w:fldChar w:fldCharType="end"/>
      </w:r>
      <w:r w:rsidRPr="00F10A5B">
        <w:rPr>
          <w:rFonts w:cstheme="minorHAnsi"/>
          <w:i w:val="0"/>
          <w:color w:val="auto"/>
        </w:rPr>
        <w:t xml:space="preserve"> - Durée de dotation externe – Médiane pour</w:t>
      </w:r>
      <w:r w:rsidR="00446F0D">
        <w:rPr>
          <w:rFonts w:cstheme="minorHAnsi"/>
          <w:i w:val="0"/>
          <w:color w:val="auto"/>
        </w:rPr>
        <w:t xml:space="preserve"> Affaires indiennes et du Nord c</w:t>
      </w:r>
      <w:r w:rsidRPr="00F10A5B">
        <w:rPr>
          <w:rFonts w:cstheme="minorHAnsi"/>
          <w:i w:val="0"/>
          <w:color w:val="auto"/>
        </w:rPr>
        <w:t>anadien = 248 jours, 2019-20</w:t>
      </w:r>
      <w:r w:rsidR="00446F0D">
        <w:rPr>
          <w:rFonts w:cstheme="minorHAnsi"/>
          <w:i w:val="0"/>
          <w:color w:val="auto"/>
        </w:rPr>
        <w:t>20</w:t>
      </w:r>
    </w:p>
    <w:p w14:paraId="78EC398B" w14:textId="4A389E1D" w:rsidR="00E5173D" w:rsidRPr="00F10A5B" w:rsidRDefault="00E5173D" w:rsidP="00446F0D">
      <w:pPr>
        <w:numPr>
          <w:ilvl w:val="1"/>
          <w:numId w:val="0"/>
        </w:numPr>
        <w:spacing w:before="240" w:after="120"/>
        <w:rPr>
          <w:rStyle w:val="Hyperlink"/>
          <w:rFonts w:cstheme="minorHAnsi"/>
        </w:rPr>
      </w:pPr>
      <w:r w:rsidRPr="00F10A5B">
        <w:rPr>
          <w:rStyle w:val="Hyperlink"/>
          <w:rFonts w:cstheme="minorHAnsi"/>
        </w:rPr>
        <w:fldChar w:fldCharType="begin"/>
      </w:r>
      <w:r w:rsidRPr="00F10A5B">
        <w:rPr>
          <w:rStyle w:val="Hyperlink"/>
          <w:rFonts w:cstheme="minorHAnsi"/>
        </w:rPr>
        <w:instrText xml:space="preserve"> HYPERLINK  \l "Durée_de_dotation_externe" </w:instrText>
      </w:r>
      <w:r w:rsidRPr="00F10A5B">
        <w:rPr>
          <w:rStyle w:val="Hyperlink"/>
          <w:rFonts w:cstheme="minorHAnsi"/>
        </w:rPr>
        <w:fldChar w:fldCharType="separate"/>
      </w:r>
      <w:r w:rsidRPr="00F10A5B">
        <w:rPr>
          <w:rStyle w:val="Hyperlink"/>
          <w:rFonts w:cstheme="minorHAnsi"/>
        </w:rPr>
        <w:t>Tableau des données sur la durée de dotation externe disponible ici.</w:t>
      </w:r>
    </w:p>
    <w:p w14:paraId="656F2F2D" w14:textId="77777777" w:rsidR="00E5173D" w:rsidRPr="00F10A5B" w:rsidRDefault="00E5173D" w:rsidP="00E5173D">
      <w:pPr>
        <w:spacing w:before="360"/>
        <w:rPr>
          <w:rStyle w:val="Hyperlink"/>
          <w:rFonts w:eastAsia="Times New Roman" w:cstheme="minorHAnsi"/>
          <w:lang w:eastAsia="en-CA"/>
        </w:rPr>
        <w:sectPr w:rsidR="00E5173D" w:rsidRPr="00F10A5B" w:rsidSect="00E310D2">
          <w:headerReference w:type="default" r:id="rId36"/>
          <w:footerReference w:type="default" r:id="rId37"/>
          <w:footerReference w:type="first" r:id="rId38"/>
          <w:pgSz w:w="20160" w:h="12240" w:orient="landscape" w:code="5"/>
          <w:pgMar w:top="720" w:right="720" w:bottom="720" w:left="720" w:header="709" w:footer="284" w:gutter="0"/>
          <w:cols w:space="708"/>
          <w:titlePg/>
          <w:docGrid w:linePitch="360"/>
        </w:sectPr>
      </w:pPr>
    </w:p>
    <w:p w14:paraId="3DF6F8BF" w14:textId="32375BA5" w:rsidR="00E5173D" w:rsidRPr="00F10A5B" w:rsidRDefault="00E5173D" w:rsidP="00446F0D">
      <w:pPr>
        <w:spacing w:after="120"/>
        <w:rPr>
          <w:rFonts w:cstheme="minorHAnsi"/>
          <w:color w:val="auto"/>
        </w:rPr>
      </w:pPr>
      <w:r w:rsidRPr="00F10A5B">
        <w:rPr>
          <w:rStyle w:val="Hyperlink"/>
          <w:rFonts w:cstheme="minorHAnsi"/>
        </w:rPr>
        <w:fldChar w:fldCharType="end"/>
      </w:r>
      <w:r w:rsidRPr="00F10A5B">
        <w:rPr>
          <w:rFonts w:eastAsia="Times New Roman" w:cstheme="minorHAnsi"/>
          <w:color w:val="auto"/>
          <w:lang w:eastAsia="en-CA"/>
        </w:rPr>
        <w:t>La durée de dotation externe est calculée en tant que le nombre de jours civils entre la date d’ouverture de l’annonce et la date estimée de la première embauche externe</w:t>
      </w:r>
    </w:p>
    <w:p w14:paraId="785FACAE" w14:textId="77777777" w:rsidR="00E5173D" w:rsidRPr="00F10A5B" w:rsidRDefault="00E5173D" w:rsidP="00446F0D">
      <w:pPr>
        <w:spacing w:after="120"/>
        <w:contextualSpacing/>
        <w:rPr>
          <w:rFonts w:cstheme="minorHAnsi"/>
          <w:color w:val="auto"/>
        </w:rPr>
      </w:pPr>
      <w:r w:rsidRPr="00F10A5B">
        <w:rPr>
          <w:rFonts w:eastAsia="Times New Roman" w:cstheme="minorHAnsi"/>
          <w:color w:val="auto"/>
          <w:lang w:eastAsia="en-CA"/>
        </w:rPr>
        <w:t xml:space="preserve">La durée médiane de dotation externe pour la fonction publique (organisations assujetties à la </w:t>
      </w:r>
      <w:r w:rsidRPr="00446F0D">
        <w:rPr>
          <w:rStyle w:val="Emphasis"/>
          <w:i/>
        </w:rPr>
        <w:t>Loi sur l’emploi dans la fonction publiques</w:t>
      </w:r>
      <w:r w:rsidRPr="00F10A5B">
        <w:rPr>
          <w:rFonts w:eastAsia="Times New Roman" w:cstheme="minorHAnsi"/>
          <w:i/>
          <w:color w:val="auto"/>
          <w:lang w:eastAsia="en-CA"/>
        </w:rPr>
        <w:t xml:space="preserve"> </w:t>
      </w:r>
      <w:r w:rsidRPr="00F10A5B">
        <w:rPr>
          <w:rFonts w:eastAsia="Times New Roman" w:cstheme="minorHAnsi"/>
          <w:color w:val="auto"/>
          <w:lang w:eastAsia="en-CA"/>
        </w:rPr>
        <w:t>(LEFP)) pour l’exercice financier 2019 à 2020 est 203 jours</w:t>
      </w:r>
    </w:p>
    <w:p w14:paraId="07F2FF6A" w14:textId="77777777" w:rsidR="00E5173D" w:rsidRPr="00F10A5B" w:rsidRDefault="00E5173D" w:rsidP="00446F0D">
      <w:pPr>
        <w:spacing w:after="120"/>
        <w:contextualSpacing/>
        <w:rPr>
          <w:rStyle w:val="Strong"/>
        </w:rPr>
      </w:pPr>
      <w:r w:rsidRPr="00F10A5B">
        <w:rPr>
          <w:rStyle w:val="Strong"/>
        </w:rPr>
        <w:t>Durée de dotation externe pour l’exercice financier 2019 à 2020</w:t>
      </w:r>
    </w:p>
    <w:p w14:paraId="103D3F5B" w14:textId="77777777" w:rsidR="00E5173D" w:rsidRPr="00F10A5B" w:rsidRDefault="00E5173D" w:rsidP="00E5173D">
      <w:pPr>
        <w:contextualSpacing/>
        <w:rPr>
          <w:rFonts w:cstheme="minorHAnsi"/>
          <w:color w:val="auto"/>
        </w:rPr>
      </w:pPr>
      <w:r w:rsidRPr="00F10A5B">
        <w:rPr>
          <w:rFonts w:cstheme="minorHAnsi"/>
          <w:color w:val="auto"/>
        </w:rPr>
        <w:t>La durée médiane de dotation externe des Affaires indiennes et du Nord canadien pour l’exercice financier 2019 à 2020 est 248 jours</w:t>
      </w:r>
    </w:p>
    <w:p w14:paraId="261452DA" w14:textId="77777777" w:rsidR="00E5173D" w:rsidRPr="00F10A5B" w:rsidRDefault="00E5173D" w:rsidP="00AF28E1">
      <w:pPr>
        <w:keepNext/>
        <w:spacing w:after="0"/>
        <w:contextualSpacing/>
        <w:sectPr w:rsidR="00E5173D" w:rsidRPr="00F10A5B" w:rsidSect="00E54C20">
          <w:type w:val="continuous"/>
          <w:pgSz w:w="20160" w:h="12240" w:orient="landscape" w:code="5"/>
          <w:pgMar w:top="1440" w:right="1440" w:bottom="1440" w:left="1440" w:header="709" w:footer="284" w:gutter="0"/>
          <w:cols w:num="2" w:space="708"/>
          <w:titlePg/>
          <w:docGrid w:linePitch="360"/>
        </w:sectPr>
      </w:pPr>
    </w:p>
    <w:p w14:paraId="092CCA1B" w14:textId="7571B406" w:rsidR="008C38F5" w:rsidRPr="00F10A5B" w:rsidRDefault="008C38F5" w:rsidP="00AF28E1">
      <w:pPr>
        <w:keepNext/>
        <w:spacing w:after="0"/>
        <w:contextualSpacing/>
      </w:pPr>
    </w:p>
    <w:p w14:paraId="22BD3FA8" w14:textId="77777777" w:rsidR="008C38F5" w:rsidRPr="00F10A5B" w:rsidRDefault="008C38F5" w:rsidP="00AF28E1">
      <w:pPr>
        <w:keepNext/>
        <w:spacing w:after="0"/>
        <w:contextualSpacing/>
        <w:sectPr w:rsidR="008C38F5" w:rsidRPr="00F10A5B" w:rsidSect="00E54C20">
          <w:type w:val="continuous"/>
          <w:pgSz w:w="20160" w:h="12240" w:orient="landscape" w:code="5"/>
          <w:pgMar w:top="1440" w:right="1440" w:bottom="1440" w:left="1440" w:header="709" w:footer="284" w:gutter="0"/>
          <w:cols w:space="708"/>
          <w:titlePg/>
          <w:docGrid w:linePitch="360"/>
        </w:sectPr>
      </w:pPr>
    </w:p>
    <w:p w14:paraId="4B3C9AF2" w14:textId="27F8EB0B" w:rsidR="00805850" w:rsidRPr="00446F0D" w:rsidRDefault="007B3B19" w:rsidP="00446F0D">
      <w:pPr>
        <w:spacing w:before="120" w:after="120"/>
        <w:contextualSpacing/>
        <w:rPr>
          <w:rFonts w:cstheme="minorHAnsi"/>
          <w:color w:val="auto"/>
          <w:sz w:val="40"/>
        </w:rPr>
      </w:pPr>
      <w:r w:rsidRPr="00446F0D">
        <w:rPr>
          <w:rFonts w:cstheme="minorHAnsi"/>
          <w:color w:val="auto"/>
          <w:sz w:val="40"/>
        </w:rPr>
        <w:lastRenderedPageBreak/>
        <w:t>Durée de dotation externe</w:t>
      </w:r>
    </w:p>
    <w:p w14:paraId="17BAAAFE" w14:textId="70149F19" w:rsidR="007B3B19" w:rsidRPr="00F10A5B" w:rsidRDefault="007B3B19" w:rsidP="007B3B19">
      <w:pPr>
        <w:pStyle w:val="Caption"/>
        <w:keepNext/>
        <w:spacing w:after="0"/>
        <w:rPr>
          <w:i w:val="0"/>
          <w:color w:val="auto"/>
        </w:rPr>
      </w:pPr>
      <w:r w:rsidRPr="00F10A5B">
        <w:rPr>
          <w:i w:val="0"/>
          <w:color w:val="auto"/>
        </w:rPr>
        <w:t xml:space="preserve">Table </w:t>
      </w:r>
      <w:r w:rsidRPr="00F10A5B">
        <w:rPr>
          <w:i w:val="0"/>
          <w:color w:val="auto"/>
        </w:rPr>
        <w:fldChar w:fldCharType="begin"/>
      </w:r>
      <w:r w:rsidRPr="00F10A5B">
        <w:rPr>
          <w:i w:val="0"/>
          <w:color w:val="auto"/>
        </w:rPr>
        <w:instrText xml:space="preserve"> SEQ Table \* ARABIC </w:instrText>
      </w:r>
      <w:r w:rsidRPr="00F10A5B">
        <w:rPr>
          <w:i w:val="0"/>
          <w:color w:val="auto"/>
        </w:rPr>
        <w:fldChar w:fldCharType="separate"/>
      </w:r>
      <w:r w:rsidRPr="00F10A5B">
        <w:rPr>
          <w:i w:val="0"/>
          <w:noProof/>
          <w:color w:val="auto"/>
        </w:rPr>
        <w:t>16</w:t>
      </w:r>
      <w:r w:rsidRPr="00F10A5B">
        <w:rPr>
          <w:i w:val="0"/>
          <w:color w:val="auto"/>
        </w:rPr>
        <w:fldChar w:fldCharType="end"/>
      </w:r>
      <w:r w:rsidRPr="00F10A5B">
        <w:rPr>
          <w:i w:val="0"/>
          <w:color w:val="auto"/>
        </w:rPr>
        <w:t xml:space="preserve"> - Durée de dotation externe</w:t>
      </w:r>
    </w:p>
    <w:tbl>
      <w:tblPr>
        <w:tblStyle w:val="TableGrid"/>
        <w:tblpPr w:leftFromText="180" w:rightFromText="180" w:vertAnchor="text" w:tblpXSpec="center" w:tblpY="1"/>
        <w:tblOverlap w:val="never"/>
        <w:tblW w:w="5000" w:type="pct"/>
        <w:jc w:val="center"/>
        <w:tblLook w:val="0020" w:firstRow="1" w:lastRow="0" w:firstColumn="0" w:lastColumn="0" w:noHBand="0" w:noVBand="0"/>
        <w:tblDescription w:val="Durée des processus de dotation externe"/>
      </w:tblPr>
      <w:tblGrid>
        <w:gridCol w:w="5933"/>
        <w:gridCol w:w="8553"/>
        <w:gridCol w:w="8544"/>
      </w:tblGrid>
      <w:tr w:rsidR="007B3B19" w:rsidRPr="00F10A5B" w14:paraId="0DBE419B" w14:textId="77777777" w:rsidTr="00FB62DB">
        <w:trPr>
          <w:cantSplit/>
          <w:trHeight w:val="290"/>
          <w:tblHeader/>
          <w:jc w:val="center"/>
        </w:trPr>
        <w:tc>
          <w:tcPr>
            <w:tcW w:w="1288" w:type="pct"/>
          </w:tcPr>
          <w:p w14:paraId="3C58BE27" w14:textId="77777777" w:rsidR="007B3B19" w:rsidRPr="00F10A5B" w:rsidRDefault="007B3B19" w:rsidP="007B3B19">
            <w:pPr>
              <w:pStyle w:val="TableTitle"/>
            </w:pPr>
            <w:bookmarkStart w:id="3" w:name="Durée_de_dotation_externe"/>
            <w:r w:rsidRPr="00F10A5B">
              <w:t>Nombre de jours civils</w:t>
            </w:r>
            <w:bookmarkEnd w:id="3"/>
          </w:p>
        </w:tc>
        <w:tc>
          <w:tcPr>
            <w:tcW w:w="1857" w:type="pct"/>
          </w:tcPr>
          <w:p w14:paraId="3383B9F5" w14:textId="77777777" w:rsidR="007B3B19" w:rsidRPr="00F10A5B" w:rsidRDefault="007B3B19" w:rsidP="007B3B19">
            <w:pPr>
              <w:pStyle w:val="TableTitle"/>
            </w:pPr>
            <w:r w:rsidRPr="00F10A5B">
              <w:t>Le nombre de premières embauches externes dans un processus externe (durée de dotation externe) dans les organisations assujetties à la</w:t>
            </w:r>
            <w:r w:rsidRPr="00F10A5B">
              <w:rPr>
                <w:i/>
              </w:rPr>
              <w:t xml:space="preserve"> </w:t>
            </w:r>
            <w:r w:rsidRPr="00446F0D">
              <w:rPr>
                <w:rStyle w:val="Emphasis"/>
                <w:rFonts w:ascii="Segoe UI Semibold" w:hAnsi="Segoe UI Semibold" w:cs="Segoe UI Semibold"/>
                <w:i/>
              </w:rPr>
              <w:t>Loi sur l’emploi dans la fonction publique,</w:t>
            </w:r>
            <w:r w:rsidRPr="00446F0D">
              <w:rPr>
                <w:rFonts w:cs="Segoe UI Semibold"/>
                <w:i/>
              </w:rPr>
              <w:t xml:space="preserve"> </w:t>
            </w:r>
            <w:r w:rsidRPr="00446F0D">
              <w:rPr>
                <w:rFonts w:cs="Segoe UI Semibold"/>
              </w:rPr>
              <w:t>dans le nombre de jours civils spécifié</w:t>
            </w:r>
          </w:p>
        </w:tc>
        <w:tc>
          <w:tcPr>
            <w:tcW w:w="1855" w:type="pct"/>
          </w:tcPr>
          <w:p w14:paraId="5F81B309" w14:textId="77777777" w:rsidR="007B3B19" w:rsidRPr="00F10A5B" w:rsidRDefault="007B3B19" w:rsidP="007B3B19">
            <w:pPr>
              <w:pStyle w:val="TableTitle"/>
            </w:pPr>
            <w:r w:rsidRPr="00F10A5B">
              <w:t>Le nombre de premières embauches internes dans un processus interne (durée de dotation interne) dans l’organisation spécifiée, dans le nombre de jours civils spécifié</w:t>
            </w:r>
          </w:p>
        </w:tc>
      </w:tr>
      <w:tr w:rsidR="007B3B19" w:rsidRPr="00F10A5B" w14:paraId="6A572474" w14:textId="77777777" w:rsidTr="00FB62DB">
        <w:trPr>
          <w:cantSplit/>
          <w:trHeight w:val="290"/>
          <w:tblHeader/>
          <w:jc w:val="center"/>
        </w:trPr>
        <w:tc>
          <w:tcPr>
            <w:tcW w:w="1288" w:type="pct"/>
          </w:tcPr>
          <w:p w14:paraId="56E788E9"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0 jours civils</w:t>
            </w:r>
          </w:p>
        </w:tc>
        <w:tc>
          <w:tcPr>
            <w:tcW w:w="1857" w:type="pct"/>
          </w:tcPr>
          <w:p w14:paraId="0B7C35EE"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c>
          <w:tcPr>
            <w:tcW w:w="1855" w:type="pct"/>
          </w:tcPr>
          <w:p w14:paraId="372D926D"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2FBAB3D1" w14:textId="77777777" w:rsidTr="00FB62DB">
        <w:trPr>
          <w:cantSplit/>
          <w:trHeight w:val="290"/>
          <w:tblHeader/>
          <w:jc w:val="center"/>
        </w:trPr>
        <w:tc>
          <w:tcPr>
            <w:tcW w:w="1288" w:type="pct"/>
          </w:tcPr>
          <w:p w14:paraId="2C1E7392"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0 à 29 jours civils</w:t>
            </w:r>
          </w:p>
        </w:tc>
        <w:tc>
          <w:tcPr>
            <w:tcW w:w="1857" w:type="pct"/>
          </w:tcPr>
          <w:p w14:paraId="2744846D"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55</w:t>
            </w:r>
          </w:p>
        </w:tc>
        <w:tc>
          <w:tcPr>
            <w:tcW w:w="1855" w:type="pct"/>
          </w:tcPr>
          <w:p w14:paraId="0A992204"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w:t>
            </w:r>
          </w:p>
        </w:tc>
      </w:tr>
      <w:tr w:rsidR="007B3B19" w:rsidRPr="00F10A5B" w14:paraId="49B10C78" w14:textId="77777777" w:rsidTr="00FB62DB">
        <w:trPr>
          <w:cantSplit/>
          <w:trHeight w:val="290"/>
          <w:tblHeader/>
          <w:jc w:val="center"/>
        </w:trPr>
        <w:tc>
          <w:tcPr>
            <w:tcW w:w="1288" w:type="pct"/>
          </w:tcPr>
          <w:p w14:paraId="289133E4"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30 à 59 jours civils</w:t>
            </w:r>
          </w:p>
        </w:tc>
        <w:tc>
          <w:tcPr>
            <w:tcW w:w="1857" w:type="pct"/>
          </w:tcPr>
          <w:p w14:paraId="658078EF"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75</w:t>
            </w:r>
          </w:p>
        </w:tc>
        <w:tc>
          <w:tcPr>
            <w:tcW w:w="1855" w:type="pct"/>
          </w:tcPr>
          <w:p w14:paraId="0CAC5121"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2</w:t>
            </w:r>
          </w:p>
        </w:tc>
      </w:tr>
      <w:tr w:rsidR="007B3B19" w:rsidRPr="00F10A5B" w14:paraId="286EF555" w14:textId="77777777" w:rsidTr="00FB62DB">
        <w:trPr>
          <w:cantSplit/>
          <w:trHeight w:val="290"/>
          <w:tblHeader/>
          <w:jc w:val="center"/>
        </w:trPr>
        <w:tc>
          <w:tcPr>
            <w:tcW w:w="1288" w:type="pct"/>
          </w:tcPr>
          <w:p w14:paraId="28383B40"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60 à 89 jours civils</w:t>
            </w:r>
          </w:p>
        </w:tc>
        <w:tc>
          <w:tcPr>
            <w:tcW w:w="1857" w:type="pct"/>
          </w:tcPr>
          <w:p w14:paraId="1045D00F"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95</w:t>
            </w:r>
          </w:p>
        </w:tc>
        <w:tc>
          <w:tcPr>
            <w:tcW w:w="1855" w:type="pct"/>
          </w:tcPr>
          <w:p w14:paraId="614B7FB4"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4</w:t>
            </w:r>
          </w:p>
        </w:tc>
      </w:tr>
      <w:tr w:rsidR="007B3B19" w:rsidRPr="00F10A5B" w14:paraId="6552F970" w14:textId="77777777" w:rsidTr="00FB62DB">
        <w:trPr>
          <w:cantSplit/>
          <w:trHeight w:val="290"/>
          <w:tblHeader/>
          <w:jc w:val="center"/>
        </w:trPr>
        <w:tc>
          <w:tcPr>
            <w:tcW w:w="1288" w:type="pct"/>
          </w:tcPr>
          <w:p w14:paraId="43C688A8"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90 à 119 jours civils</w:t>
            </w:r>
          </w:p>
        </w:tc>
        <w:tc>
          <w:tcPr>
            <w:tcW w:w="1857" w:type="pct"/>
          </w:tcPr>
          <w:p w14:paraId="32757983"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108</w:t>
            </w:r>
          </w:p>
        </w:tc>
        <w:tc>
          <w:tcPr>
            <w:tcW w:w="1855" w:type="pct"/>
          </w:tcPr>
          <w:p w14:paraId="5FC36051"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16BDA1F5" w14:textId="77777777" w:rsidTr="00FB62DB">
        <w:trPr>
          <w:cantSplit/>
          <w:trHeight w:val="290"/>
          <w:tblHeader/>
          <w:jc w:val="center"/>
        </w:trPr>
        <w:tc>
          <w:tcPr>
            <w:tcW w:w="1288" w:type="pct"/>
          </w:tcPr>
          <w:p w14:paraId="3B381AC0"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120 à 149 jours civils</w:t>
            </w:r>
          </w:p>
        </w:tc>
        <w:tc>
          <w:tcPr>
            <w:tcW w:w="1857" w:type="pct"/>
          </w:tcPr>
          <w:p w14:paraId="72670227"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166</w:t>
            </w:r>
          </w:p>
        </w:tc>
        <w:tc>
          <w:tcPr>
            <w:tcW w:w="1855" w:type="pct"/>
          </w:tcPr>
          <w:p w14:paraId="74CA7A2A"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3</w:t>
            </w:r>
          </w:p>
        </w:tc>
      </w:tr>
      <w:tr w:rsidR="007B3B19" w:rsidRPr="00F10A5B" w14:paraId="063B2061" w14:textId="77777777" w:rsidTr="00FB62DB">
        <w:trPr>
          <w:cantSplit/>
          <w:trHeight w:val="290"/>
          <w:tblHeader/>
          <w:jc w:val="center"/>
        </w:trPr>
        <w:tc>
          <w:tcPr>
            <w:tcW w:w="1288" w:type="pct"/>
          </w:tcPr>
          <w:p w14:paraId="03FB01DC"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150 à 179 jours civils</w:t>
            </w:r>
          </w:p>
        </w:tc>
        <w:tc>
          <w:tcPr>
            <w:tcW w:w="1857" w:type="pct"/>
          </w:tcPr>
          <w:p w14:paraId="4F82FDD5"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164</w:t>
            </w:r>
          </w:p>
        </w:tc>
        <w:tc>
          <w:tcPr>
            <w:tcW w:w="1855" w:type="pct"/>
          </w:tcPr>
          <w:p w14:paraId="6F50B4F5"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6</w:t>
            </w:r>
          </w:p>
        </w:tc>
      </w:tr>
      <w:tr w:rsidR="007B3B19" w:rsidRPr="00F10A5B" w14:paraId="4101E481" w14:textId="77777777" w:rsidTr="00FB62DB">
        <w:trPr>
          <w:cantSplit/>
          <w:trHeight w:val="290"/>
          <w:tblHeader/>
          <w:jc w:val="center"/>
        </w:trPr>
        <w:tc>
          <w:tcPr>
            <w:tcW w:w="1288" w:type="pct"/>
          </w:tcPr>
          <w:p w14:paraId="2555E901"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180 à 209 jours civils</w:t>
            </w:r>
          </w:p>
        </w:tc>
        <w:tc>
          <w:tcPr>
            <w:tcW w:w="1857" w:type="pct"/>
          </w:tcPr>
          <w:p w14:paraId="6BD894F1"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160</w:t>
            </w:r>
          </w:p>
        </w:tc>
        <w:tc>
          <w:tcPr>
            <w:tcW w:w="1855" w:type="pct"/>
          </w:tcPr>
          <w:p w14:paraId="6ED6C9A0"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4</w:t>
            </w:r>
          </w:p>
        </w:tc>
      </w:tr>
      <w:tr w:rsidR="007B3B19" w:rsidRPr="00F10A5B" w14:paraId="338FBBD8" w14:textId="77777777" w:rsidTr="00FB62DB">
        <w:trPr>
          <w:cantSplit/>
          <w:trHeight w:val="290"/>
          <w:tblHeader/>
          <w:jc w:val="center"/>
        </w:trPr>
        <w:tc>
          <w:tcPr>
            <w:tcW w:w="1288" w:type="pct"/>
          </w:tcPr>
          <w:p w14:paraId="00A7F991"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210 à 239 jours civils</w:t>
            </w:r>
          </w:p>
        </w:tc>
        <w:tc>
          <w:tcPr>
            <w:tcW w:w="1857" w:type="pct"/>
          </w:tcPr>
          <w:p w14:paraId="471DD4D7"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133</w:t>
            </w:r>
          </w:p>
        </w:tc>
        <w:tc>
          <w:tcPr>
            <w:tcW w:w="1855" w:type="pct"/>
          </w:tcPr>
          <w:p w14:paraId="5E7B198A"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5</w:t>
            </w:r>
          </w:p>
        </w:tc>
      </w:tr>
      <w:tr w:rsidR="007B3B19" w:rsidRPr="00F10A5B" w14:paraId="1F364103" w14:textId="77777777" w:rsidTr="00FB62DB">
        <w:trPr>
          <w:cantSplit/>
          <w:trHeight w:val="290"/>
          <w:tblHeader/>
          <w:jc w:val="center"/>
        </w:trPr>
        <w:tc>
          <w:tcPr>
            <w:tcW w:w="1288" w:type="pct"/>
          </w:tcPr>
          <w:p w14:paraId="2C2618D9"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240 à 269 jours civils</w:t>
            </w:r>
          </w:p>
        </w:tc>
        <w:tc>
          <w:tcPr>
            <w:tcW w:w="1857" w:type="pct"/>
          </w:tcPr>
          <w:p w14:paraId="4C940C55"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122</w:t>
            </w:r>
          </w:p>
        </w:tc>
        <w:tc>
          <w:tcPr>
            <w:tcW w:w="1855" w:type="pct"/>
          </w:tcPr>
          <w:p w14:paraId="66A9E800"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7</w:t>
            </w:r>
          </w:p>
        </w:tc>
      </w:tr>
      <w:tr w:rsidR="007B3B19" w:rsidRPr="00F10A5B" w14:paraId="76E449AC" w14:textId="77777777" w:rsidTr="00FB62DB">
        <w:trPr>
          <w:cantSplit/>
          <w:trHeight w:val="290"/>
          <w:tblHeader/>
          <w:jc w:val="center"/>
        </w:trPr>
        <w:tc>
          <w:tcPr>
            <w:tcW w:w="1288" w:type="pct"/>
          </w:tcPr>
          <w:p w14:paraId="7F68D0F9"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270 à 299 jours civils</w:t>
            </w:r>
          </w:p>
        </w:tc>
        <w:tc>
          <w:tcPr>
            <w:tcW w:w="1857" w:type="pct"/>
          </w:tcPr>
          <w:p w14:paraId="7325EC32"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101</w:t>
            </w:r>
          </w:p>
        </w:tc>
        <w:tc>
          <w:tcPr>
            <w:tcW w:w="1855" w:type="pct"/>
          </w:tcPr>
          <w:p w14:paraId="10E3313A"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3</w:t>
            </w:r>
          </w:p>
        </w:tc>
      </w:tr>
      <w:tr w:rsidR="007B3B19" w:rsidRPr="00F10A5B" w14:paraId="6E5EFACF" w14:textId="77777777" w:rsidTr="00FB62DB">
        <w:trPr>
          <w:cantSplit/>
          <w:trHeight w:val="290"/>
          <w:tblHeader/>
          <w:jc w:val="center"/>
        </w:trPr>
        <w:tc>
          <w:tcPr>
            <w:tcW w:w="1288" w:type="pct"/>
          </w:tcPr>
          <w:p w14:paraId="2EEB2FE4"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300 à 329 jours civils</w:t>
            </w:r>
          </w:p>
        </w:tc>
        <w:tc>
          <w:tcPr>
            <w:tcW w:w="1857" w:type="pct"/>
          </w:tcPr>
          <w:p w14:paraId="0F990098"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80</w:t>
            </w:r>
          </w:p>
        </w:tc>
        <w:tc>
          <w:tcPr>
            <w:tcW w:w="1855" w:type="pct"/>
          </w:tcPr>
          <w:p w14:paraId="7BB8749F"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4</w:t>
            </w:r>
          </w:p>
        </w:tc>
      </w:tr>
      <w:tr w:rsidR="007B3B19" w:rsidRPr="00F10A5B" w14:paraId="0173D278" w14:textId="77777777" w:rsidTr="00FB62DB">
        <w:trPr>
          <w:cantSplit/>
          <w:trHeight w:val="290"/>
          <w:tblHeader/>
          <w:jc w:val="center"/>
        </w:trPr>
        <w:tc>
          <w:tcPr>
            <w:tcW w:w="1288" w:type="pct"/>
          </w:tcPr>
          <w:p w14:paraId="4CC8CB90"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330 à 359 jours civils</w:t>
            </w:r>
          </w:p>
        </w:tc>
        <w:tc>
          <w:tcPr>
            <w:tcW w:w="1857" w:type="pct"/>
          </w:tcPr>
          <w:p w14:paraId="4E363099"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61</w:t>
            </w:r>
          </w:p>
        </w:tc>
        <w:tc>
          <w:tcPr>
            <w:tcW w:w="1855" w:type="pct"/>
          </w:tcPr>
          <w:p w14:paraId="0FF33CE5"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4</w:t>
            </w:r>
          </w:p>
        </w:tc>
      </w:tr>
      <w:tr w:rsidR="007B3B19" w:rsidRPr="00F10A5B" w14:paraId="7C82745E" w14:textId="77777777" w:rsidTr="00FB62DB">
        <w:trPr>
          <w:cantSplit/>
          <w:trHeight w:val="290"/>
          <w:tblHeader/>
          <w:jc w:val="center"/>
        </w:trPr>
        <w:tc>
          <w:tcPr>
            <w:tcW w:w="1288" w:type="pct"/>
          </w:tcPr>
          <w:p w14:paraId="535DFEB0"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360 à 389 jours civils</w:t>
            </w:r>
          </w:p>
        </w:tc>
        <w:tc>
          <w:tcPr>
            <w:tcW w:w="1857" w:type="pct"/>
          </w:tcPr>
          <w:p w14:paraId="58008F83"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50</w:t>
            </w:r>
          </w:p>
        </w:tc>
        <w:tc>
          <w:tcPr>
            <w:tcW w:w="1855" w:type="pct"/>
          </w:tcPr>
          <w:p w14:paraId="288E7746"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5</w:t>
            </w:r>
          </w:p>
        </w:tc>
      </w:tr>
      <w:tr w:rsidR="007B3B19" w:rsidRPr="00F10A5B" w14:paraId="4C7E39B1" w14:textId="77777777" w:rsidTr="00FB62DB">
        <w:trPr>
          <w:cantSplit/>
          <w:trHeight w:val="290"/>
          <w:tblHeader/>
          <w:jc w:val="center"/>
        </w:trPr>
        <w:tc>
          <w:tcPr>
            <w:tcW w:w="1288" w:type="pct"/>
          </w:tcPr>
          <w:p w14:paraId="33B74657"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390 à 419 jours civils</w:t>
            </w:r>
          </w:p>
        </w:tc>
        <w:tc>
          <w:tcPr>
            <w:tcW w:w="1857" w:type="pct"/>
          </w:tcPr>
          <w:p w14:paraId="19124BC1"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45</w:t>
            </w:r>
          </w:p>
        </w:tc>
        <w:tc>
          <w:tcPr>
            <w:tcW w:w="1855" w:type="pct"/>
          </w:tcPr>
          <w:p w14:paraId="6DF0DDEA"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w:t>
            </w:r>
          </w:p>
        </w:tc>
      </w:tr>
      <w:tr w:rsidR="007B3B19" w:rsidRPr="00F10A5B" w14:paraId="2226E0D8" w14:textId="77777777" w:rsidTr="00FB62DB">
        <w:trPr>
          <w:cantSplit/>
          <w:trHeight w:val="290"/>
          <w:tblHeader/>
          <w:jc w:val="center"/>
        </w:trPr>
        <w:tc>
          <w:tcPr>
            <w:tcW w:w="1288" w:type="pct"/>
          </w:tcPr>
          <w:p w14:paraId="2178137E"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420 à 449 jours civils</w:t>
            </w:r>
          </w:p>
        </w:tc>
        <w:tc>
          <w:tcPr>
            <w:tcW w:w="1857" w:type="pct"/>
          </w:tcPr>
          <w:p w14:paraId="16909A99"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34</w:t>
            </w:r>
          </w:p>
        </w:tc>
        <w:tc>
          <w:tcPr>
            <w:tcW w:w="1855" w:type="pct"/>
          </w:tcPr>
          <w:p w14:paraId="4487A08B"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2</w:t>
            </w:r>
          </w:p>
        </w:tc>
      </w:tr>
      <w:tr w:rsidR="007B3B19" w:rsidRPr="00F10A5B" w14:paraId="09F7290E" w14:textId="77777777" w:rsidTr="00FB62DB">
        <w:trPr>
          <w:cantSplit/>
          <w:trHeight w:val="290"/>
          <w:tblHeader/>
          <w:jc w:val="center"/>
        </w:trPr>
        <w:tc>
          <w:tcPr>
            <w:tcW w:w="1288" w:type="pct"/>
          </w:tcPr>
          <w:p w14:paraId="488C8AF8"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450 à 479 jours civils</w:t>
            </w:r>
          </w:p>
        </w:tc>
        <w:tc>
          <w:tcPr>
            <w:tcW w:w="1857" w:type="pct"/>
          </w:tcPr>
          <w:p w14:paraId="52BC3764"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34</w:t>
            </w:r>
          </w:p>
        </w:tc>
        <w:tc>
          <w:tcPr>
            <w:tcW w:w="1855" w:type="pct"/>
          </w:tcPr>
          <w:p w14:paraId="19A5D55E"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w:t>
            </w:r>
          </w:p>
        </w:tc>
      </w:tr>
      <w:tr w:rsidR="007B3B19" w:rsidRPr="00F10A5B" w14:paraId="4E12D093" w14:textId="77777777" w:rsidTr="00FB62DB">
        <w:trPr>
          <w:cantSplit/>
          <w:trHeight w:val="290"/>
          <w:tblHeader/>
          <w:jc w:val="center"/>
        </w:trPr>
        <w:tc>
          <w:tcPr>
            <w:tcW w:w="1288" w:type="pct"/>
          </w:tcPr>
          <w:p w14:paraId="69EEB083"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480 à 509 jours civils</w:t>
            </w:r>
          </w:p>
        </w:tc>
        <w:tc>
          <w:tcPr>
            <w:tcW w:w="1857" w:type="pct"/>
          </w:tcPr>
          <w:p w14:paraId="04F674CD"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21</w:t>
            </w:r>
          </w:p>
        </w:tc>
        <w:tc>
          <w:tcPr>
            <w:tcW w:w="1855" w:type="pct"/>
          </w:tcPr>
          <w:p w14:paraId="7DEB7C77"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w:t>
            </w:r>
          </w:p>
        </w:tc>
      </w:tr>
      <w:tr w:rsidR="007B3B19" w:rsidRPr="00F10A5B" w14:paraId="770D59B3" w14:textId="77777777" w:rsidTr="00FB62DB">
        <w:trPr>
          <w:cantSplit/>
          <w:trHeight w:val="290"/>
          <w:tblHeader/>
          <w:jc w:val="center"/>
        </w:trPr>
        <w:tc>
          <w:tcPr>
            <w:tcW w:w="1288" w:type="pct"/>
          </w:tcPr>
          <w:p w14:paraId="42D86E3F"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 xml:space="preserve">510 à 539 jours civils </w:t>
            </w:r>
          </w:p>
        </w:tc>
        <w:tc>
          <w:tcPr>
            <w:tcW w:w="1857" w:type="pct"/>
          </w:tcPr>
          <w:p w14:paraId="040A2E5F"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16</w:t>
            </w:r>
          </w:p>
        </w:tc>
        <w:tc>
          <w:tcPr>
            <w:tcW w:w="1855" w:type="pct"/>
          </w:tcPr>
          <w:p w14:paraId="15A1B0EE"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2</w:t>
            </w:r>
          </w:p>
        </w:tc>
      </w:tr>
      <w:tr w:rsidR="007B3B19" w:rsidRPr="00F10A5B" w14:paraId="6176FE75" w14:textId="77777777" w:rsidTr="00FB62DB">
        <w:trPr>
          <w:cantSplit/>
          <w:trHeight w:val="290"/>
          <w:tblHeader/>
          <w:jc w:val="center"/>
        </w:trPr>
        <w:tc>
          <w:tcPr>
            <w:tcW w:w="1288" w:type="pct"/>
          </w:tcPr>
          <w:p w14:paraId="56370D8E"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540 à 569 jours civils</w:t>
            </w:r>
          </w:p>
        </w:tc>
        <w:tc>
          <w:tcPr>
            <w:tcW w:w="1857" w:type="pct"/>
          </w:tcPr>
          <w:p w14:paraId="190FDF39"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19</w:t>
            </w:r>
          </w:p>
        </w:tc>
        <w:tc>
          <w:tcPr>
            <w:tcW w:w="1855" w:type="pct"/>
          </w:tcPr>
          <w:p w14:paraId="10F350FF"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1BA8F6C7" w14:textId="77777777" w:rsidTr="00FB62DB">
        <w:trPr>
          <w:cantSplit/>
          <w:trHeight w:val="290"/>
          <w:tblHeader/>
          <w:jc w:val="center"/>
        </w:trPr>
        <w:tc>
          <w:tcPr>
            <w:tcW w:w="1288" w:type="pct"/>
          </w:tcPr>
          <w:p w14:paraId="2D0CB4B5"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570 à 599 jours civils</w:t>
            </w:r>
          </w:p>
        </w:tc>
        <w:tc>
          <w:tcPr>
            <w:tcW w:w="1857" w:type="pct"/>
          </w:tcPr>
          <w:p w14:paraId="5B7D544D"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13</w:t>
            </w:r>
          </w:p>
        </w:tc>
        <w:tc>
          <w:tcPr>
            <w:tcW w:w="1855" w:type="pct"/>
          </w:tcPr>
          <w:p w14:paraId="7217F1ED"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w:t>
            </w:r>
          </w:p>
        </w:tc>
      </w:tr>
      <w:tr w:rsidR="007B3B19" w:rsidRPr="00F10A5B" w14:paraId="1C53E924" w14:textId="77777777" w:rsidTr="00FB62DB">
        <w:trPr>
          <w:cantSplit/>
          <w:trHeight w:val="290"/>
          <w:tblHeader/>
          <w:jc w:val="center"/>
        </w:trPr>
        <w:tc>
          <w:tcPr>
            <w:tcW w:w="1288" w:type="pct"/>
          </w:tcPr>
          <w:p w14:paraId="3C0FF680"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600 à 629 jours civils</w:t>
            </w:r>
          </w:p>
        </w:tc>
        <w:tc>
          <w:tcPr>
            <w:tcW w:w="1857" w:type="pct"/>
          </w:tcPr>
          <w:p w14:paraId="4B706DE8"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7</w:t>
            </w:r>
          </w:p>
        </w:tc>
        <w:tc>
          <w:tcPr>
            <w:tcW w:w="1855" w:type="pct"/>
          </w:tcPr>
          <w:p w14:paraId="33353C37"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6B568657" w14:textId="77777777" w:rsidTr="00FB62DB">
        <w:trPr>
          <w:cantSplit/>
          <w:trHeight w:val="290"/>
          <w:tblHeader/>
          <w:jc w:val="center"/>
        </w:trPr>
        <w:tc>
          <w:tcPr>
            <w:tcW w:w="1288" w:type="pct"/>
          </w:tcPr>
          <w:p w14:paraId="5A23D7C7"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630 à 659 jours civils</w:t>
            </w:r>
          </w:p>
        </w:tc>
        <w:tc>
          <w:tcPr>
            <w:tcW w:w="1857" w:type="pct"/>
          </w:tcPr>
          <w:p w14:paraId="2C19D4FF"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7</w:t>
            </w:r>
          </w:p>
        </w:tc>
        <w:tc>
          <w:tcPr>
            <w:tcW w:w="1855" w:type="pct"/>
          </w:tcPr>
          <w:p w14:paraId="760CFD18"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5FADE161" w14:textId="77777777" w:rsidTr="00FB62DB">
        <w:trPr>
          <w:cantSplit/>
          <w:trHeight w:val="290"/>
          <w:tblHeader/>
          <w:jc w:val="center"/>
        </w:trPr>
        <w:tc>
          <w:tcPr>
            <w:tcW w:w="1288" w:type="pct"/>
          </w:tcPr>
          <w:p w14:paraId="716CA4EC"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660 à 689 jours civils</w:t>
            </w:r>
          </w:p>
        </w:tc>
        <w:tc>
          <w:tcPr>
            <w:tcW w:w="1857" w:type="pct"/>
          </w:tcPr>
          <w:p w14:paraId="6FFFF289"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4</w:t>
            </w:r>
          </w:p>
        </w:tc>
        <w:tc>
          <w:tcPr>
            <w:tcW w:w="1855" w:type="pct"/>
          </w:tcPr>
          <w:p w14:paraId="490854E6"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29C1C432" w14:textId="77777777" w:rsidTr="00FB62DB">
        <w:trPr>
          <w:cantSplit/>
          <w:trHeight w:val="290"/>
          <w:tblHeader/>
          <w:jc w:val="center"/>
        </w:trPr>
        <w:tc>
          <w:tcPr>
            <w:tcW w:w="1288" w:type="pct"/>
          </w:tcPr>
          <w:p w14:paraId="2CAC40AC"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690 à 719 jours civils</w:t>
            </w:r>
          </w:p>
        </w:tc>
        <w:tc>
          <w:tcPr>
            <w:tcW w:w="1857" w:type="pct"/>
          </w:tcPr>
          <w:p w14:paraId="6739D8AE"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11</w:t>
            </w:r>
          </w:p>
        </w:tc>
        <w:tc>
          <w:tcPr>
            <w:tcW w:w="1855" w:type="pct"/>
          </w:tcPr>
          <w:p w14:paraId="313A6F04"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w:t>
            </w:r>
          </w:p>
        </w:tc>
      </w:tr>
      <w:tr w:rsidR="007B3B19" w:rsidRPr="00F10A5B" w14:paraId="6B97D098" w14:textId="77777777" w:rsidTr="00FB62DB">
        <w:trPr>
          <w:cantSplit/>
          <w:trHeight w:val="302"/>
          <w:tblHeader/>
          <w:jc w:val="center"/>
        </w:trPr>
        <w:tc>
          <w:tcPr>
            <w:tcW w:w="1288" w:type="pct"/>
          </w:tcPr>
          <w:p w14:paraId="0990808B"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720 à 749 jours civils</w:t>
            </w:r>
          </w:p>
        </w:tc>
        <w:tc>
          <w:tcPr>
            <w:tcW w:w="1857" w:type="pct"/>
          </w:tcPr>
          <w:p w14:paraId="07A007D3"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6</w:t>
            </w:r>
          </w:p>
        </w:tc>
        <w:tc>
          <w:tcPr>
            <w:tcW w:w="1855" w:type="pct"/>
          </w:tcPr>
          <w:p w14:paraId="2158ED64"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67AE7308" w14:textId="77777777" w:rsidTr="00FB62DB">
        <w:trPr>
          <w:cantSplit/>
          <w:trHeight w:val="290"/>
          <w:tblHeader/>
          <w:jc w:val="center"/>
        </w:trPr>
        <w:tc>
          <w:tcPr>
            <w:tcW w:w="1288" w:type="pct"/>
          </w:tcPr>
          <w:p w14:paraId="3A2A4B0F"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750 à 779 jours civils</w:t>
            </w:r>
          </w:p>
        </w:tc>
        <w:tc>
          <w:tcPr>
            <w:tcW w:w="1857" w:type="pct"/>
          </w:tcPr>
          <w:p w14:paraId="038E5166"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2</w:t>
            </w:r>
          </w:p>
        </w:tc>
        <w:tc>
          <w:tcPr>
            <w:tcW w:w="1855" w:type="pct"/>
          </w:tcPr>
          <w:p w14:paraId="05D56C75"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4772B943" w14:textId="77777777" w:rsidTr="00FB62DB">
        <w:trPr>
          <w:cantSplit/>
          <w:trHeight w:val="290"/>
          <w:tblHeader/>
          <w:jc w:val="center"/>
        </w:trPr>
        <w:tc>
          <w:tcPr>
            <w:tcW w:w="1288" w:type="pct"/>
          </w:tcPr>
          <w:p w14:paraId="2A7FF265"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780 à 809 jours civils</w:t>
            </w:r>
          </w:p>
        </w:tc>
        <w:tc>
          <w:tcPr>
            <w:tcW w:w="1857" w:type="pct"/>
          </w:tcPr>
          <w:p w14:paraId="0982C32B"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4</w:t>
            </w:r>
          </w:p>
        </w:tc>
        <w:tc>
          <w:tcPr>
            <w:tcW w:w="1855" w:type="pct"/>
          </w:tcPr>
          <w:p w14:paraId="7885FE1E"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w:t>
            </w:r>
          </w:p>
        </w:tc>
      </w:tr>
      <w:tr w:rsidR="007B3B19" w:rsidRPr="00F10A5B" w14:paraId="2E9C12D4" w14:textId="77777777" w:rsidTr="00FB62DB">
        <w:trPr>
          <w:cantSplit/>
          <w:trHeight w:val="290"/>
          <w:tblHeader/>
          <w:jc w:val="center"/>
        </w:trPr>
        <w:tc>
          <w:tcPr>
            <w:tcW w:w="1288" w:type="pct"/>
          </w:tcPr>
          <w:p w14:paraId="173A1CA1"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810 à 839 jours civils</w:t>
            </w:r>
          </w:p>
        </w:tc>
        <w:tc>
          <w:tcPr>
            <w:tcW w:w="1857" w:type="pct"/>
          </w:tcPr>
          <w:p w14:paraId="2B69056F"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4</w:t>
            </w:r>
          </w:p>
        </w:tc>
        <w:tc>
          <w:tcPr>
            <w:tcW w:w="1855" w:type="pct"/>
          </w:tcPr>
          <w:p w14:paraId="77024EF5"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w:t>
            </w:r>
          </w:p>
        </w:tc>
      </w:tr>
      <w:tr w:rsidR="007B3B19" w:rsidRPr="00F10A5B" w14:paraId="27E3230D" w14:textId="77777777" w:rsidTr="00FB62DB">
        <w:trPr>
          <w:cantSplit/>
          <w:trHeight w:val="290"/>
          <w:tblHeader/>
          <w:jc w:val="center"/>
        </w:trPr>
        <w:tc>
          <w:tcPr>
            <w:tcW w:w="1288" w:type="pct"/>
          </w:tcPr>
          <w:p w14:paraId="348B1261"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840 à 869 jours civils</w:t>
            </w:r>
          </w:p>
        </w:tc>
        <w:tc>
          <w:tcPr>
            <w:tcW w:w="1857" w:type="pct"/>
          </w:tcPr>
          <w:p w14:paraId="564CD207"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c>
          <w:tcPr>
            <w:tcW w:w="1855" w:type="pct"/>
          </w:tcPr>
          <w:p w14:paraId="5C22389F"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25177771" w14:textId="77777777" w:rsidTr="00FB62DB">
        <w:trPr>
          <w:cantSplit/>
          <w:trHeight w:val="290"/>
          <w:tblHeader/>
          <w:jc w:val="center"/>
        </w:trPr>
        <w:tc>
          <w:tcPr>
            <w:tcW w:w="1288" w:type="pct"/>
          </w:tcPr>
          <w:p w14:paraId="4FC463CB"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870 à 899 jours civils</w:t>
            </w:r>
          </w:p>
        </w:tc>
        <w:tc>
          <w:tcPr>
            <w:tcW w:w="1857" w:type="pct"/>
          </w:tcPr>
          <w:p w14:paraId="3C3533D2"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1</w:t>
            </w:r>
          </w:p>
        </w:tc>
        <w:tc>
          <w:tcPr>
            <w:tcW w:w="1855" w:type="pct"/>
          </w:tcPr>
          <w:p w14:paraId="6011C74B"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0FB200D3" w14:textId="77777777" w:rsidTr="00FB62DB">
        <w:trPr>
          <w:cantSplit/>
          <w:trHeight w:val="290"/>
          <w:tblHeader/>
          <w:jc w:val="center"/>
        </w:trPr>
        <w:tc>
          <w:tcPr>
            <w:tcW w:w="1288" w:type="pct"/>
          </w:tcPr>
          <w:p w14:paraId="104DF2CF"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900 à 929 jours civils</w:t>
            </w:r>
          </w:p>
        </w:tc>
        <w:tc>
          <w:tcPr>
            <w:tcW w:w="1857" w:type="pct"/>
          </w:tcPr>
          <w:p w14:paraId="1968B0FD"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c>
          <w:tcPr>
            <w:tcW w:w="1855" w:type="pct"/>
          </w:tcPr>
          <w:p w14:paraId="605A9FD1"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5F93D8A4" w14:textId="77777777" w:rsidTr="00FB62DB">
        <w:trPr>
          <w:cantSplit/>
          <w:trHeight w:val="290"/>
          <w:tblHeader/>
          <w:jc w:val="center"/>
        </w:trPr>
        <w:tc>
          <w:tcPr>
            <w:tcW w:w="1288" w:type="pct"/>
          </w:tcPr>
          <w:p w14:paraId="3AD667B5"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930 à 959 jours civils</w:t>
            </w:r>
          </w:p>
        </w:tc>
        <w:tc>
          <w:tcPr>
            <w:tcW w:w="1857" w:type="pct"/>
          </w:tcPr>
          <w:p w14:paraId="4E55686A"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c>
          <w:tcPr>
            <w:tcW w:w="1855" w:type="pct"/>
          </w:tcPr>
          <w:p w14:paraId="3D93864C"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1BFFA2F8" w14:textId="77777777" w:rsidTr="00FB62DB">
        <w:trPr>
          <w:cantSplit/>
          <w:trHeight w:val="290"/>
          <w:tblHeader/>
          <w:jc w:val="center"/>
        </w:trPr>
        <w:tc>
          <w:tcPr>
            <w:tcW w:w="1288" w:type="pct"/>
          </w:tcPr>
          <w:p w14:paraId="45EAECE9"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960 à 989 jours civils</w:t>
            </w:r>
          </w:p>
        </w:tc>
        <w:tc>
          <w:tcPr>
            <w:tcW w:w="1857" w:type="pct"/>
          </w:tcPr>
          <w:p w14:paraId="608F7E9C"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c>
          <w:tcPr>
            <w:tcW w:w="1855" w:type="pct"/>
          </w:tcPr>
          <w:p w14:paraId="7BF909F3"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r w:rsidR="007B3B19" w:rsidRPr="00F10A5B" w14:paraId="3DA09092" w14:textId="77777777" w:rsidTr="00FB62DB">
        <w:trPr>
          <w:cantSplit/>
          <w:trHeight w:val="290"/>
          <w:tblHeader/>
          <w:jc w:val="center"/>
        </w:trPr>
        <w:tc>
          <w:tcPr>
            <w:tcW w:w="1288" w:type="pct"/>
          </w:tcPr>
          <w:p w14:paraId="391BC8F4" w14:textId="77777777" w:rsidR="007B3B19" w:rsidRPr="00F10A5B" w:rsidRDefault="007B3B19" w:rsidP="007B3B19">
            <w:pPr>
              <w:autoSpaceDE w:val="0"/>
              <w:autoSpaceDN w:val="0"/>
              <w:adjustRightInd w:val="0"/>
              <w:contextualSpacing/>
              <w:rPr>
                <w:rFonts w:cstheme="minorHAnsi"/>
                <w:color w:val="000000"/>
              </w:rPr>
            </w:pPr>
            <w:r w:rsidRPr="00F10A5B">
              <w:rPr>
                <w:rFonts w:cstheme="minorHAnsi"/>
                <w:color w:val="000000"/>
              </w:rPr>
              <w:t>Plus de 990 jours civils</w:t>
            </w:r>
          </w:p>
        </w:tc>
        <w:tc>
          <w:tcPr>
            <w:tcW w:w="1857" w:type="pct"/>
          </w:tcPr>
          <w:p w14:paraId="79F90FB4"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c>
          <w:tcPr>
            <w:tcW w:w="1855" w:type="pct"/>
          </w:tcPr>
          <w:p w14:paraId="62DC6F24" w14:textId="77777777" w:rsidR="007B3B19" w:rsidRPr="00F10A5B" w:rsidRDefault="007B3B19" w:rsidP="007B3B19">
            <w:pPr>
              <w:autoSpaceDE w:val="0"/>
              <w:autoSpaceDN w:val="0"/>
              <w:adjustRightInd w:val="0"/>
              <w:contextualSpacing/>
              <w:jc w:val="center"/>
              <w:rPr>
                <w:rFonts w:cstheme="minorHAnsi"/>
                <w:color w:val="000000"/>
              </w:rPr>
            </w:pPr>
            <w:r w:rsidRPr="00F10A5B">
              <w:rPr>
                <w:rFonts w:cstheme="minorHAnsi"/>
                <w:color w:val="000000"/>
              </w:rPr>
              <w:t>0</w:t>
            </w:r>
          </w:p>
        </w:tc>
      </w:tr>
    </w:tbl>
    <w:p w14:paraId="649AF344" w14:textId="77777777" w:rsidR="007B3B19" w:rsidRPr="00F10A5B" w:rsidRDefault="007B3B19" w:rsidP="00DA196D">
      <w:pPr>
        <w:contextualSpacing/>
        <w:rPr>
          <w:rFonts w:cstheme="minorHAnsi"/>
          <w:b/>
          <w:bCs/>
        </w:rPr>
        <w:sectPr w:rsidR="007B3B19" w:rsidRPr="00F10A5B" w:rsidSect="00E310D2">
          <w:pgSz w:w="24480" w:h="15840" w:orient="landscape" w:code="3"/>
          <w:pgMar w:top="720" w:right="720" w:bottom="720" w:left="720" w:header="709" w:footer="284" w:gutter="0"/>
          <w:cols w:space="708"/>
          <w:titlePg/>
          <w:docGrid w:linePitch="360"/>
        </w:sectPr>
      </w:pPr>
    </w:p>
    <w:p w14:paraId="26687653" w14:textId="5ACED134" w:rsidR="00CA3A2F" w:rsidRPr="00446F0D" w:rsidRDefault="00CA3A2F" w:rsidP="007B3B19">
      <w:pPr>
        <w:pStyle w:val="Heading1"/>
        <w:spacing w:after="120"/>
        <w:rPr>
          <w:color w:val="auto"/>
          <w:sz w:val="40"/>
        </w:rPr>
      </w:pPr>
      <w:r w:rsidRPr="00446F0D">
        <w:rPr>
          <w:color w:val="auto"/>
          <w:sz w:val="40"/>
        </w:rPr>
        <w:lastRenderedPageBreak/>
        <w:t>Notes techniques :</w:t>
      </w:r>
    </w:p>
    <w:p w14:paraId="0127FD51" w14:textId="77777777" w:rsidR="00CA3A2F" w:rsidRPr="00446F0D" w:rsidRDefault="00CA3A2F" w:rsidP="00805850">
      <w:pPr>
        <w:pStyle w:val="ListParagraph"/>
        <w:keepLines w:val="0"/>
        <w:numPr>
          <w:ilvl w:val="0"/>
          <w:numId w:val="38"/>
        </w:numPr>
        <w:spacing w:after="0" w:line="240" w:lineRule="auto"/>
        <w:ind w:left="426" w:hanging="426"/>
        <w:rPr>
          <w:rFonts w:cstheme="minorHAnsi"/>
          <w:color w:val="auto"/>
        </w:rPr>
      </w:pPr>
      <w:r w:rsidRPr="00446F0D">
        <w:rPr>
          <w:rFonts w:cstheme="minorHAnsi"/>
          <w:bCs/>
          <w:color w:val="auto"/>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(SRFP) pour les postes internes de durée déterminée et ceux pour une période indéterminée. </w:t>
      </w:r>
      <w:r w:rsidRPr="00446F0D">
        <w:rPr>
          <w:rFonts w:cstheme="minorHAnsi"/>
          <w:color w:val="auto"/>
        </w:rPr>
        <w:t>Les PANA ne sont pas requis pour toutes les activités de dotation interne. Par conséquent, cette mesure se limite aux rapports sur les nominations promotionnels internes.</w:t>
      </w:r>
    </w:p>
    <w:p w14:paraId="762DC631" w14:textId="77777777" w:rsidR="00CA3A2F" w:rsidRPr="00446F0D" w:rsidRDefault="00CA3A2F" w:rsidP="00805850">
      <w:pPr>
        <w:pStyle w:val="ListParagraph"/>
        <w:keepLines w:val="0"/>
        <w:numPr>
          <w:ilvl w:val="0"/>
          <w:numId w:val="35"/>
        </w:numPr>
        <w:spacing w:after="0" w:line="240" w:lineRule="auto"/>
        <w:ind w:left="360"/>
        <w:rPr>
          <w:rFonts w:cstheme="minorHAnsi"/>
          <w:bCs/>
          <w:color w:val="auto"/>
        </w:rPr>
      </w:pPr>
      <w:r w:rsidRPr="00446F0D">
        <w:rPr>
          <w:rFonts w:cstheme="minorHAnsi"/>
          <w:bCs/>
          <w:color w:val="auto"/>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w:t>
      </w:r>
      <w:r w:rsidRPr="00446F0D">
        <w:rPr>
          <w:rStyle w:val="Emphasis"/>
          <w:i/>
        </w:rPr>
        <w:t>Loi sur l'emploi dans la fonction publique</w:t>
      </w:r>
      <w:r w:rsidRPr="00446F0D">
        <w:rPr>
          <w:rFonts w:cstheme="minorHAnsi"/>
          <w:bCs/>
          <w:i/>
          <w:color w:val="auto"/>
        </w:rPr>
        <w:t xml:space="preserve"> </w:t>
      </w:r>
      <w:r w:rsidRPr="00446F0D">
        <w:rPr>
          <w:rFonts w:cstheme="minorHAnsi"/>
          <w:bCs/>
          <w:color w:val="auto"/>
        </w:rPr>
        <w:t>pour les postes de durée déterminée et ceux pour une période indéterminée. Parce que le lien des données entre les systèmes utilise un jumelage probabiliste, des erreurs de mesure sont donc possibles.</w:t>
      </w:r>
    </w:p>
    <w:p w14:paraId="45E18E99" w14:textId="77777777" w:rsidR="00CA3A2F" w:rsidRPr="00446F0D" w:rsidRDefault="00CA3A2F" w:rsidP="007B3B19">
      <w:pPr>
        <w:pStyle w:val="ListParagraph"/>
        <w:keepLines w:val="0"/>
        <w:numPr>
          <w:ilvl w:val="0"/>
          <w:numId w:val="35"/>
        </w:numPr>
        <w:spacing w:after="120" w:line="240" w:lineRule="auto"/>
        <w:ind w:left="360"/>
        <w:rPr>
          <w:rFonts w:cstheme="minorHAnsi"/>
          <w:bCs/>
          <w:color w:val="auto"/>
        </w:rPr>
      </w:pPr>
      <w:r w:rsidRPr="00446F0D">
        <w:rPr>
          <w:rFonts w:cstheme="minorHAnsi"/>
          <w:bCs/>
          <w:color w:val="auto"/>
        </w:rPr>
        <w:t>Seules les nominations d'une durée déterminée et les nominations pour une période indéterminée sont incluses (les mutations, les nominations d’employés occasionnels et les nominations intérimaires sont exclues).</w:t>
      </w:r>
    </w:p>
    <w:p w14:paraId="7928703A" w14:textId="7916A303" w:rsidR="00CA3A2F" w:rsidRPr="00446F0D" w:rsidRDefault="00CA3A2F" w:rsidP="007B3B19">
      <w:pPr>
        <w:pStyle w:val="Heading1"/>
        <w:spacing w:after="120"/>
        <w:rPr>
          <w:color w:val="auto"/>
          <w:sz w:val="40"/>
        </w:rPr>
      </w:pPr>
      <w:r w:rsidRPr="00446F0D">
        <w:rPr>
          <w:color w:val="auto"/>
          <w:sz w:val="40"/>
        </w:rPr>
        <w:t>Source</w:t>
      </w:r>
      <w:r w:rsidR="00E5173D" w:rsidRPr="00446F0D">
        <w:rPr>
          <w:color w:val="auto"/>
          <w:sz w:val="40"/>
        </w:rPr>
        <w:t>s</w:t>
      </w:r>
      <w:r w:rsidRPr="00446F0D">
        <w:rPr>
          <w:color w:val="auto"/>
          <w:sz w:val="40"/>
        </w:rPr>
        <w:t xml:space="preserve"> :</w:t>
      </w:r>
    </w:p>
    <w:p w14:paraId="1F664973" w14:textId="77777777" w:rsidR="00CA3A2F" w:rsidRPr="00446F0D" w:rsidRDefault="00CA3A2F" w:rsidP="00805850">
      <w:pPr>
        <w:pStyle w:val="ListParagraph"/>
        <w:keepLines w:val="0"/>
        <w:numPr>
          <w:ilvl w:val="0"/>
          <w:numId w:val="35"/>
        </w:numPr>
        <w:spacing w:after="0" w:line="240" w:lineRule="auto"/>
        <w:ind w:left="360"/>
        <w:rPr>
          <w:rFonts w:cstheme="minorHAnsi"/>
          <w:bCs/>
          <w:color w:val="auto"/>
        </w:rPr>
      </w:pPr>
      <w:r w:rsidRPr="00446F0D">
        <w:rPr>
          <w:rFonts w:cstheme="minorHAnsi"/>
          <w:bCs/>
          <w:color w:val="auto"/>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08CCF17A" w14:textId="77777777" w:rsidR="00CA3A2F" w:rsidRPr="00446F0D" w:rsidRDefault="00CA3A2F" w:rsidP="00805850">
      <w:pPr>
        <w:pStyle w:val="ListParagraph"/>
        <w:keepLines w:val="0"/>
        <w:numPr>
          <w:ilvl w:val="0"/>
          <w:numId w:val="35"/>
        </w:numPr>
        <w:spacing w:after="0" w:line="240" w:lineRule="auto"/>
        <w:ind w:left="360"/>
        <w:rPr>
          <w:rFonts w:cstheme="minorHAnsi"/>
          <w:bCs/>
          <w:color w:val="auto"/>
        </w:rPr>
      </w:pPr>
      <w:r w:rsidRPr="00446F0D">
        <w:rPr>
          <w:rFonts w:cstheme="minorHAnsi"/>
          <w:bCs/>
          <w:color w:val="auto"/>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174DABB6" w14:textId="77777777" w:rsidR="00CA3A2F" w:rsidRPr="00446F0D" w:rsidRDefault="00CA3A2F" w:rsidP="00805850">
      <w:pPr>
        <w:pStyle w:val="ListParagraph"/>
        <w:keepLines w:val="0"/>
        <w:numPr>
          <w:ilvl w:val="0"/>
          <w:numId w:val="35"/>
        </w:numPr>
        <w:spacing w:after="0" w:line="240" w:lineRule="auto"/>
        <w:ind w:left="360"/>
        <w:rPr>
          <w:rFonts w:cstheme="minorHAnsi"/>
          <w:bCs/>
          <w:color w:val="auto"/>
        </w:rPr>
      </w:pPr>
      <w:r w:rsidRPr="00446F0D">
        <w:rPr>
          <w:rFonts w:cstheme="minorHAnsi"/>
          <w:bCs/>
          <w:color w:val="auto"/>
        </w:rPr>
        <w:t>Ces données ne correspondent pas nécessairement aux donnés sur les ressources humaines de chaque organisation en raison des différences de méthodologie et des périodes visées par l’analyse.</w:t>
      </w:r>
    </w:p>
    <w:p w14:paraId="34A37FE8" w14:textId="07E1E56F" w:rsidR="00CA3A2F" w:rsidRPr="00446F0D" w:rsidRDefault="00CA3A2F" w:rsidP="00DA196D">
      <w:pPr>
        <w:pStyle w:val="ListParagraph"/>
        <w:keepLines w:val="0"/>
        <w:numPr>
          <w:ilvl w:val="0"/>
          <w:numId w:val="40"/>
        </w:numPr>
        <w:spacing w:after="0" w:line="240" w:lineRule="auto"/>
        <w:ind w:left="360"/>
        <w:rPr>
          <w:rFonts w:cstheme="minorHAnsi"/>
          <w:color w:val="auto"/>
        </w:rPr>
      </w:pPr>
      <w:r w:rsidRPr="00446F0D">
        <w:rPr>
          <w:rFonts w:cstheme="minorHAnsi"/>
          <w:color w:val="auto"/>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pour les postes internes de durée déterminée et indéterminée. Les PANA ne sont pas requis pour toutes les activités de dotation interne. Par conséquent, cette mesure se limite aux rapports sur </w:t>
      </w:r>
      <w:r w:rsidR="004A0F96" w:rsidRPr="00446F0D">
        <w:rPr>
          <w:rFonts w:cstheme="minorHAnsi"/>
          <w:color w:val="auto"/>
        </w:rPr>
        <w:t>les nominations promotionnelles</w:t>
      </w:r>
      <w:r w:rsidRPr="00446F0D">
        <w:rPr>
          <w:rFonts w:cstheme="minorHAnsi"/>
          <w:color w:val="auto"/>
        </w:rPr>
        <w:t xml:space="preserve"> internes</w:t>
      </w:r>
    </w:p>
    <w:p w14:paraId="7F6EBE45" w14:textId="77777777" w:rsidR="00CA3A2F" w:rsidRPr="00446F0D" w:rsidRDefault="00CA3A2F" w:rsidP="00DA196D">
      <w:pPr>
        <w:pStyle w:val="ListParagraph"/>
        <w:keepLines w:val="0"/>
        <w:numPr>
          <w:ilvl w:val="0"/>
          <w:numId w:val="40"/>
        </w:numPr>
        <w:spacing w:after="0" w:line="240" w:lineRule="auto"/>
        <w:ind w:left="360"/>
        <w:rPr>
          <w:rFonts w:cstheme="minorHAnsi"/>
          <w:color w:val="auto"/>
        </w:rPr>
      </w:pPr>
      <w:r w:rsidRPr="00446F0D">
        <w:rPr>
          <w:rFonts w:cstheme="minorHAnsi"/>
          <w:color w:val="auto"/>
        </w:rPr>
        <w:t>Seules les nominations à des postes de durée déterminée et les nominations à des postes pour une période indéterminée sont incluses (les mutations, les nominations occasionnelles et les nominations intérimaires sont exclues)</w:t>
      </w:r>
    </w:p>
    <w:p w14:paraId="568658D9" w14:textId="77777777" w:rsidR="00CA3A2F" w:rsidRPr="00446F0D" w:rsidRDefault="00CA3A2F" w:rsidP="00DA196D">
      <w:pPr>
        <w:pStyle w:val="ListParagraph"/>
        <w:keepLines w:val="0"/>
        <w:numPr>
          <w:ilvl w:val="0"/>
          <w:numId w:val="40"/>
        </w:numPr>
        <w:spacing w:after="0" w:line="240" w:lineRule="auto"/>
        <w:ind w:left="360"/>
        <w:rPr>
          <w:rFonts w:cstheme="minorHAnsi"/>
          <w:color w:val="auto"/>
        </w:rPr>
      </w:pPr>
      <w:r w:rsidRPr="00446F0D">
        <w:rPr>
          <w:rFonts w:cstheme="minorHAnsi"/>
          <w:color w:val="auto"/>
        </w:rPr>
        <w:t xml:space="preserve">Le temps nécessaire à la dotation - Nominations externes (TND-NE) est le nombre médian de jours civils entre la date d'ouverture d'une annonce externe et la date de la première </w:t>
      </w:r>
      <w:r w:rsidRPr="00446F0D">
        <w:rPr>
          <w:rFonts w:cstheme="minorHAnsi"/>
          <w:color w:val="auto"/>
        </w:rPr>
        <w:lastRenderedPageBreak/>
        <w:t xml:space="preserve">nomination estimative d'une personne de l'extérieur d'une organisation assujettie à la </w:t>
      </w:r>
      <w:r w:rsidRPr="00446F0D">
        <w:rPr>
          <w:rStyle w:val="Emphasis"/>
          <w:i/>
        </w:rPr>
        <w:t>Loi sur l'emploi dans la fonction publique</w:t>
      </w:r>
      <w:r w:rsidRPr="00446F0D">
        <w:rPr>
          <w:rFonts w:cstheme="minorHAnsi"/>
          <w:color w:val="auto"/>
        </w:rPr>
        <w:t xml:space="preserve"> pour les postes de durée déterminée et pour les postes pour une période indéterminée. Seules les nominations d’une durée déterminée et les nominations pour une période indéterminée sont incluses (les mutations, les nominations occasionnelles et les nominations intérimaires sont exclues)</w:t>
      </w:r>
    </w:p>
    <w:p w14:paraId="7B0B595D" w14:textId="77777777" w:rsidR="00CA3A2F" w:rsidRPr="00446F0D" w:rsidRDefault="00CA3A2F" w:rsidP="00DA196D">
      <w:pPr>
        <w:pStyle w:val="ListParagraph"/>
        <w:keepLines w:val="0"/>
        <w:numPr>
          <w:ilvl w:val="0"/>
          <w:numId w:val="40"/>
        </w:numPr>
        <w:spacing w:after="0" w:line="240" w:lineRule="auto"/>
        <w:ind w:left="360"/>
        <w:rPr>
          <w:rFonts w:cstheme="minorHAnsi"/>
          <w:color w:val="auto"/>
        </w:rPr>
      </w:pPr>
      <w:r w:rsidRPr="00446F0D">
        <w:rPr>
          <w:rFonts w:cstheme="minorHAnsi"/>
          <w:color w:val="auto"/>
        </w:rPr>
        <w:t>Parce que le lien des données entre les systèmes utilise un jumelage probabiliste, des erreurs de mesure sont donc possibles</w:t>
      </w:r>
    </w:p>
    <w:p w14:paraId="58F37A22" w14:textId="77777777" w:rsidR="00CA3A2F" w:rsidRPr="00446F0D" w:rsidRDefault="00CA3A2F" w:rsidP="00DA196D">
      <w:pPr>
        <w:pStyle w:val="ListParagraph"/>
        <w:keepLines w:val="0"/>
        <w:numPr>
          <w:ilvl w:val="0"/>
          <w:numId w:val="40"/>
        </w:numPr>
        <w:spacing w:after="0" w:line="240" w:lineRule="auto"/>
        <w:ind w:left="360"/>
        <w:rPr>
          <w:rFonts w:cstheme="minorHAnsi"/>
          <w:color w:val="auto"/>
        </w:rPr>
      </w:pPr>
      <w:r w:rsidRPr="00446F0D">
        <w:rPr>
          <w:rFonts w:cstheme="minorHAnsi"/>
          <w:color w:val="auto"/>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0FA15414" w14:textId="77777777" w:rsidR="00CA3A2F" w:rsidRPr="00446F0D" w:rsidRDefault="00CA3A2F" w:rsidP="00DA196D">
      <w:pPr>
        <w:pStyle w:val="ListParagraph"/>
        <w:keepLines w:val="0"/>
        <w:numPr>
          <w:ilvl w:val="0"/>
          <w:numId w:val="40"/>
        </w:numPr>
        <w:spacing w:after="0" w:line="240" w:lineRule="auto"/>
        <w:ind w:left="360"/>
        <w:rPr>
          <w:rFonts w:cstheme="minorHAnsi"/>
          <w:color w:val="auto"/>
        </w:rPr>
      </w:pPr>
      <w:r w:rsidRPr="00446F0D">
        <w:rPr>
          <w:rFonts w:cstheme="minorHAnsi"/>
          <w:color w:val="auto"/>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3B23420E" w14:textId="77777777" w:rsidR="00CA3A2F" w:rsidRPr="00446F0D" w:rsidRDefault="00CA3A2F" w:rsidP="00DA196D">
      <w:pPr>
        <w:pStyle w:val="ListParagraph"/>
        <w:keepLines w:val="0"/>
        <w:numPr>
          <w:ilvl w:val="0"/>
          <w:numId w:val="40"/>
        </w:numPr>
        <w:spacing w:after="0" w:line="240" w:lineRule="auto"/>
        <w:ind w:left="360"/>
        <w:rPr>
          <w:rFonts w:cstheme="minorHAnsi"/>
          <w:color w:val="auto"/>
        </w:rPr>
      </w:pPr>
      <w:r w:rsidRPr="00446F0D">
        <w:rPr>
          <w:rFonts w:cstheme="minorHAnsi"/>
          <w:color w:val="auto"/>
        </w:rPr>
        <w:t>Ces données ne correspondent pas nécessairement aux donnés sur les ressources humaines de chaque organisation en raison des différences de méthodologie et des périodes visées par l’analyse.</w:t>
      </w:r>
    </w:p>
    <w:sectPr w:rsidR="00CA3A2F" w:rsidRPr="00446F0D" w:rsidSect="00E54C20">
      <w:pgSz w:w="12240" w:h="15840"/>
      <w:pgMar w:top="1440" w:right="1440" w:bottom="1440" w:left="144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13D2" w14:textId="77777777" w:rsidR="0089318C" w:rsidRDefault="0089318C" w:rsidP="0051557E">
      <w:pPr>
        <w:spacing w:after="0" w:line="240" w:lineRule="auto"/>
      </w:pPr>
      <w:r>
        <w:separator/>
      </w:r>
    </w:p>
  </w:endnote>
  <w:endnote w:type="continuationSeparator" w:id="0">
    <w:p w14:paraId="172E47EC" w14:textId="77777777" w:rsidR="0089318C" w:rsidRDefault="0089318C" w:rsidP="0051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477847"/>
      <w:docPartObj>
        <w:docPartGallery w:val="Page Numbers (Bottom of Page)"/>
        <w:docPartUnique/>
      </w:docPartObj>
    </w:sdtPr>
    <w:sdtEndPr/>
    <w:sdtContent>
      <w:p w14:paraId="1147EBD2" w14:textId="09E437FB" w:rsidR="0068483C" w:rsidRDefault="0068483C">
        <w:pPr>
          <w:pStyle w:val="Footer"/>
        </w:pPr>
        <w:r>
          <w:fldChar w:fldCharType="begin"/>
        </w:r>
        <w:r>
          <w:instrText>PAGE   \* MERGEFORMAT</w:instrText>
        </w:r>
        <w:r>
          <w:fldChar w:fldCharType="separate"/>
        </w:r>
        <w:r w:rsidRPr="00446F0D">
          <w:rPr>
            <w:noProof/>
            <w:lang w:val="fr-FR"/>
          </w:rPr>
          <w:t>9</w:t>
        </w:r>
        <w:r>
          <w:fldChar w:fldCharType="end"/>
        </w:r>
      </w:p>
    </w:sdtContent>
  </w:sdt>
  <w:p w14:paraId="7A25D97B" w14:textId="77777777" w:rsidR="0068483C" w:rsidRDefault="00684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92495"/>
      <w:docPartObj>
        <w:docPartGallery w:val="Page Numbers (Bottom of Page)"/>
        <w:docPartUnique/>
      </w:docPartObj>
    </w:sdtPr>
    <w:sdtEndPr/>
    <w:sdtContent>
      <w:p w14:paraId="19842853" w14:textId="20373780" w:rsidR="0068483C" w:rsidRDefault="0068483C">
        <w:pPr>
          <w:pStyle w:val="Footer"/>
        </w:pPr>
        <w:r>
          <w:fldChar w:fldCharType="begin"/>
        </w:r>
        <w:r>
          <w:instrText>PAGE   \* MERGEFORMAT</w:instrText>
        </w:r>
        <w:r>
          <w:fldChar w:fldCharType="separate"/>
        </w:r>
        <w:r w:rsidRPr="00446F0D">
          <w:rPr>
            <w:noProof/>
            <w:lang w:val="fr-FR"/>
          </w:rPr>
          <w:t>7</w:t>
        </w:r>
        <w:r>
          <w:fldChar w:fldCharType="end"/>
        </w:r>
      </w:p>
    </w:sdtContent>
  </w:sdt>
  <w:p w14:paraId="1FDDC2BA" w14:textId="77777777" w:rsidR="0068483C" w:rsidRDefault="00684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0B43" w14:textId="77777777" w:rsidR="0068483C" w:rsidRPr="00AE55B7" w:rsidRDefault="0068483C" w:rsidP="0052484F">
    <w:pPr>
      <w:pStyle w:val="Footer"/>
      <w:jc w:val="center"/>
      <w:rPr>
        <w:lang w:val="en-CA"/>
      </w:rPr>
    </w:pPr>
    <w:r w:rsidRPr="00AE55B7">
      <w:rPr>
        <w:lang w:val="en-CA"/>
      </w:rPr>
      <w:t xml:space="preserve"> Produced by Data Services and Analysis Directorate (PSC) – Updated on July 15,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36053"/>
      <w:docPartObj>
        <w:docPartGallery w:val="Page Numbers (Bottom of Page)"/>
        <w:docPartUnique/>
      </w:docPartObj>
    </w:sdtPr>
    <w:sdtEndPr/>
    <w:sdtContent>
      <w:p w14:paraId="069FDBC8" w14:textId="6A6F2E7D" w:rsidR="0068483C" w:rsidRDefault="0068483C">
        <w:pPr>
          <w:pStyle w:val="Footer"/>
        </w:pPr>
        <w:r>
          <w:fldChar w:fldCharType="begin"/>
        </w:r>
        <w:r>
          <w:instrText>PAGE   \* MERGEFORMAT</w:instrText>
        </w:r>
        <w:r>
          <w:fldChar w:fldCharType="separate"/>
        </w:r>
        <w:r w:rsidRPr="00446F0D">
          <w:rPr>
            <w:noProof/>
            <w:lang w:val="fr-FR"/>
          </w:rPr>
          <w:t>14</w:t>
        </w:r>
        <w:r>
          <w:fldChar w:fldCharType="end"/>
        </w:r>
      </w:p>
    </w:sdtContent>
  </w:sdt>
  <w:p w14:paraId="3C577177" w14:textId="77777777" w:rsidR="0068483C" w:rsidRDefault="0068483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5A64" w14:textId="77777777" w:rsidR="0068483C" w:rsidRPr="00ED49DF" w:rsidRDefault="0068483C" w:rsidP="00565BE3">
    <w:pPr>
      <w:pStyle w:val="Footer"/>
      <w:jc w:val="center"/>
      <w:rPr>
        <w:sz w:val="20"/>
        <w:szCs w:val="20"/>
      </w:rPr>
    </w:pPr>
    <w:r w:rsidRPr="0079292E">
      <w:rPr>
        <w:sz w:val="20"/>
        <w:szCs w:val="20"/>
      </w:rPr>
      <w:t xml:space="preserve">Produit par la Direction des services de données et de l’analyse de la Commission de la fonction publique du Canada – Mise à jour le </w:t>
    </w:r>
    <w:r>
      <w:rPr>
        <w:sz w:val="20"/>
        <w:szCs w:val="20"/>
      </w:rPr>
      <w:t>5 octobre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437428"/>
      <w:docPartObj>
        <w:docPartGallery w:val="Page Numbers (Bottom of Page)"/>
        <w:docPartUnique/>
      </w:docPartObj>
    </w:sdtPr>
    <w:sdtEndPr/>
    <w:sdtContent>
      <w:p w14:paraId="121CDA20" w14:textId="34C80527" w:rsidR="0068483C" w:rsidRDefault="0068483C">
        <w:pPr>
          <w:pStyle w:val="Footer"/>
        </w:pPr>
        <w:r>
          <w:fldChar w:fldCharType="begin"/>
        </w:r>
        <w:r>
          <w:instrText>PAGE   \* MERGEFORMAT</w:instrText>
        </w:r>
        <w:r>
          <w:fldChar w:fldCharType="separate"/>
        </w:r>
        <w:r w:rsidRPr="00446F0D">
          <w:rPr>
            <w:noProof/>
            <w:lang w:val="fr-FR"/>
          </w:rPr>
          <w:t>29</w:t>
        </w:r>
        <w:r>
          <w:fldChar w:fldCharType="end"/>
        </w:r>
      </w:p>
    </w:sdtContent>
  </w:sdt>
  <w:p w14:paraId="23F879C7" w14:textId="6901C1C6" w:rsidR="0068483C" w:rsidRPr="002016D1" w:rsidRDefault="0068483C" w:rsidP="00565BE3">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943546"/>
      <w:docPartObj>
        <w:docPartGallery w:val="Page Numbers (Bottom of Page)"/>
        <w:docPartUnique/>
      </w:docPartObj>
    </w:sdtPr>
    <w:sdtEndPr/>
    <w:sdtContent>
      <w:p w14:paraId="5EAF4456" w14:textId="41BA7C99" w:rsidR="0068483C" w:rsidRDefault="0068483C">
        <w:pPr>
          <w:pStyle w:val="Footer"/>
        </w:pPr>
        <w:r>
          <w:fldChar w:fldCharType="begin"/>
        </w:r>
        <w:r>
          <w:instrText>PAGE   \* MERGEFORMAT</w:instrText>
        </w:r>
        <w:r>
          <w:fldChar w:fldCharType="separate"/>
        </w:r>
        <w:r w:rsidRPr="00446F0D">
          <w:rPr>
            <w:noProof/>
            <w:lang w:val="fr-FR"/>
          </w:rPr>
          <w:t>33</w:t>
        </w:r>
        <w:r>
          <w:fldChar w:fldCharType="end"/>
        </w:r>
      </w:p>
    </w:sdtContent>
  </w:sdt>
  <w:p w14:paraId="32EA4A5F" w14:textId="1020A5E8" w:rsidR="0068483C" w:rsidRDefault="0068483C" w:rsidP="00653453">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258872"/>
      <w:docPartObj>
        <w:docPartGallery w:val="Page Numbers (Bottom of Page)"/>
        <w:docPartUnique/>
      </w:docPartObj>
    </w:sdtPr>
    <w:sdtEndPr/>
    <w:sdtContent>
      <w:p w14:paraId="31E9A5AF" w14:textId="0B50B721" w:rsidR="0068483C" w:rsidRDefault="0068483C">
        <w:pPr>
          <w:pStyle w:val="Footer"/>
        </w:pPr>
        <w:r>
          <w:fldChar w:fldCharType="begin"/>
        </w:r>
        <w:r>
          <w:instrText>PAGE   \* MERGEFORMAT</w:instrText>
        </w:r>
        <w:r>
          <w:fldChar w:fldCharType="separate"/>
        </w:r>
        <w:r w:rsidRPr="00446F0D">
          <w:rPr>
            <w:noProof/>
            <w:lang w:val="fr-FR"/>
          </w:rPr>
          <w:t>32</w:t>
        </w:r>
        <w:r>
          <w:fldChar w:fldCharType="end"/>
        </w:r>
      </w:p>
    </w:sdtContent>
  </w:sdt>
  <w:p w14:paraId="206136AA" w14:textId="77777777" w:rsidR="0068483C" w:rsidRDefault="0068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790F" w14:textId="77777777" w:rsidR="0089318C" w:rsidRDefault="0089318C" w:rsidP="0051557E">
      <w:pPr>
        <w:spacing w:after="0" w:line="240" w:lineRule="auto"/>
      </w:pPr>
      <w:r>
        <w:separator/>
      </w:r>
    </w:p>
  </w:footnote>
  <w:footnote w:type="continuationSeparator" w:id="0">
    <w:p w14:paraId="5EC55278" w14:textId="77777777" w:rsidR="0089318C" w:rsidRDefault="0089318C" w:rsidP="00515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19AE" w14:textId="77777777" w:rsidR="0068483C" w:rsidRDefault="0068483C" w:rsidP="0051557E">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DEED" w14:textId="77777777" w:rsidR="0068483C" w:rsidRPr="007C2C61" w:rsidRDefault="0068483C" w:rsidP="00524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A15F" w14:textId="77777777" w:rsidR="0068483C" w:rsidRPr="00B423D3" w:rsidRDefault="0068483C" w:rsidP="005248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57C3" w14:textId="4FE99333" w:rsidR="0068483C" w:rsidRPr="00805850" w:rsidRDefault="0068483C" w:rsidP="008058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E559" w14:textId="77777777" w:rsidR="0068483C" w:rsidRPr="00564301" w:rsidRDefault="0068483C" w:rsidP="005643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AB6C" w14:textId="77777777" w:rsidR="0068483C" w:rsidRDefault="006848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E65"/>
    <w:multiLevelType w:val="hybridMultilevel"/>
    <w:tmpl w:val="245092F2"/>
    <w:lvl w:ilvl="0" w:tplc="10090005">
      <w:start w:val="1"/>
      <w:numFmt w:val="bullet"/>
      <w:lvlText w:val=""/>
      <w:lvlJc w:val="left"/>
      <w:pPr>
        <w:ind w:left="360" w:hanging="360"/>
      </w:pPr>
      <w:rPr>
        <w:rFonts w:ascii="Wingdings" w:hAnsi="Wingdings" w:hint="default"/>
        <w:color w:val="54575A" w:themeColor="text1"/>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55E0581"/>
    <w:multiLevelType w:val="hybridMultilevel"/>
    <w:tmpl w:val="55502F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816517"/>
    <w:multiLevelType w:val="hybridMultilevel"/>
    <w:tmpl w:val="63784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0F7DC8"/>
    <w:multiLevelType w:val="hybridMultilevel"/>
    <w:tmpl w:val="E4E013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5"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6E2164"/>
    <w:multiLevelType w:val="hybridMultilevel"/>
    <w:tmpl w:val="0680D156"/>
    <w:lvl w:ilvl="0" w:tplc="3DE84C70">
      <w:start w:val="1"/>
      <w:numFmt w:val="bullet"/>
      <w:lvlText w:val=""/>
      <w:lvlJc w:val="left"/>
      <w:pPr>
        <w:ind w:left="720" w:hanging="360"/>
      </w:pPr>
      <w:rPr>
        <w:rFonts w:ascii="Wingdings" w:hAnsi="Wingdings" w:hint="default"/>
        <w:color w:val="auto"/>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005E58"/>
    <w:multiLevelType w:val="hybridMultilevel"/>
    <w:tmpl w:val="45461872"/>
    <w:lvl w:ilvl="0" w:tplc="1009000F">
      <w:start w:val="1"/>
      <w:numFmt w:val="decimal"/>
      <w:lvlText w:val="%1."/>
      <w:lvlJc w:val="left"/>
      <w:pPr>
        <w:ind w:left="720" w:hanging="360"/>
      </w:pPr>
      <w:rPr>
        <w:rFonts w:cs="Times New Roman"/>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47858AE"/>
    <w:multiLevelType w:val="multilevel"/>
    <w:tmpl w:val="8EC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966E7"/>
    <w:multiLevelType w:val="hybridMultilevel"/>
    <w:tmpl w:val="581A3D12"/>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25756D"/>
    <w:multiLevelType w:val="hybridMultilevel"/>
    <w:tmpl w:val="56A8C4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8BA146D"/>
    <w:multiLevelType w:val="hybridMultilevel"/>
    <w:tmpl w:val="DA3CAB66"/>
    <w:lvl w:ilvl="0" w:tplc="10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95D155A"/>
    <w:multiLevelType w:val="hybridMultilevel"/>
    <w:tmpl w:val="4AE8FDE2"/>
    <w:lvl w:ilvl="0" w:tplc="7BAE545A">
      <w:start w:val="1"/>
      <w:numFmt w:val="bullet"/>
      <w:lvlText w:val="o"/>
      <w:lvlJc w:val="left"/>
      <w:pPr>
        <w:ind w:left="1080" w:hanging="360"/>
      </w:pPr>
      <w:rPr>
        <w:rFonts w:ascii="Courier New" w:hAnsi="Courier New" w:cs="Courier New" w:hint="default"/>
        <w:color w:val="auto"/>
        <w:lang w:val="fr-CA"/>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AAE2091"/>
    <w:multiLevelType w:val="hybridMultilevel"/>
    <w:tmpl w:val="29225EF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18"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56937E1"/>
    <w:multiLevelType w:val="multilevel"/>
    <w:tmpl w:val="E42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72C5FA5"/>
    <w:multiLevelType w:val="hybridMultilevel"/>
    <w:tmpl w:val="47C60D3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390D5788"/>
    <w:multiLevelType w:val="hybridMultilevel"/>
    <w:tmpl w:val="AF2A80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A767296"/>
    <w:multiLevelType w:val="multilevel"/>
    <w:tmpl w:val="6AE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E01697"/>
    <w:multiLevelType w:val="hybridMultilevel"/>
    <w:tmpl w:val="AE1E5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C19D5"/>
    <w:multiLevelType w:val="hybridMultilevel"/>
    <w:tmpl w:val="F3D258B6"/>
    <w:lvl w:ilvl="0" w:tplc="10090005">
      <w:start w:val="1"/>
      <w:numFmt w:val="bullet"/>
      <w:lvlText w:val=""/>
      <w:lvlJc w:val="left"/>
      <w:pPr>
        <w:ind w:left="720" w:hanging="360"/>
      </w:pPr>
      <w:rPr>
        <w:rFonts w:ascii="Wingdings" w:hAnsi="Wingdings" w:hint="default"/>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A254077"/>
    <w:multiLevelType w:val="hybridMultilevel"/>
    <w:tmpl w:val="9CD063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F3864BF"/>
    <w:multiLevelType w:val="hybridMultilevel"/>
    <w:tmpl w:val="99EA136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51E03E94"/>
    <w:multiLevelType w:val="hybridMultilevel"/>
    <w:tmpl w:val="CDB8B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8D64185"/>
    <w:multiLevelType w:val="hybridMultilevel"/>
    <w:tmpl w:val="A516D5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B906229"/>
    <w:multiLevelType w:val="hybridMultilevel"/>
    <w:tmpl w:val="E98C22B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5EEB1B67"/>
    <w:multiLevelType w:val="hybridMultilevel"/>
    <w:tmpl w:val="EBC2F7DC"/>
    <w:lvl w:ilvl="0" w:tplc="10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F2A097E"/>
    <w:multiLevelType w:val="hybridMultilevel"/>
    <w:tmpl w:val="9FB20F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3BC7F93"/>
    <w:multiLevelType w:val="hybridMultilevel"/>
    <w:tmpl w:val="E8DCE7A6"/>
    <w:lvl w:ilvl="0" w:tplc="B1629A8E">
      <w:start w:val="3"/>
      <w:numFmt w:val="bullet"/>
      <w:lvlText w:val="-"/>
      <w:lvlJc w:val="left"/>
      <w:pPr>
        <w:ind w:left="720" w:hanging="360"/>
      </w:pPr>
      <w:rPr>
        <w:rFonts w:ascii="Segoe UI Semilight" w:eastAsia="Times New Roman"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B821CFB"/>
    <w:multiLevelType w:val="hybridMultilevel"/>
    <w:tmpl w:val="264233CA"/>
    <w:lvl w:ilvl="0" w:tplc="1009000D">
      <w:start w:val="1"/>
      <w:numFmt w:val="bullet"/>
      <w:lvlText w:val=""/>
      <w:lvlJc w:val="left"/>
      <w:pPr>
        <w:ind w:left="1080" w:hanging="360"/>
      </w:pPr>
      <w:rPr>
        <w:rFonts w:ascii="Wingdings" w:hAnsi="Wingdings" w:hint="default"/>
        <w:color w:val="auto"/>
        <w:lang w:val="en-CA"/>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44" w15:restartNumberingAfterBreak="0">
    <w:nsid w:val="7276730E"/>
    <w:multiLevelType w:val="hybridMultilevel"/>
    <w:tmpl w:val="97562B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72F44239"/>
    <w:multiLevelType w:val="hybridMultilevel"/>
    <w:tmpl w:val="9CBEAB36"/>
    <w:lvl w:ilvl="0" w:tplc="10090003">
      <w:start w:val="1"/>
      <w:numFmt w:val="bullet"/>
      <w:lvlText w:val="o"/>
      <w:lvlJc w:val="left"/>
      <w:pPr>
        <w:ind w:left="1080" w:hanging="360"/>
      </w:pPr>
      <w:rPr>
        <w:rFonts w:ascii="Courier New" w:hAnsi="Courier New" w:cs="Courier New"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78702446"/>
    <w:multiLevelType w:val="hybridMultilevel"/>
    <w:tmpl w:val="04069656"/>
    <w:lvl w:ilvl="0" w:tplc="DF961A7E">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35"/>
  </w:num>
  <w:num w:numId="4">
    <w:abstractNumId w:val="1"/>
  </w:num>
  <w:num w:numId="5">
    <w:abstractNumId w:val="29"/>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33"/>
  </w:num>
  <w:num w:numId="9">
    <w:abstractNumId w:val="25"/>
  </w:num>
  <w:num w:numId="10">
    <w:abstractNumId w:val="0"/>
  </w:num>
  <w:num w:numId="11">
    <w:abstractNumId w:val="30"/>
  </w:num>
  <w:num w:numId="12">
    <w:abstractNumId w:val="16"/>
  </w:num>
  <w:num w:numId="13">
    <w:abstractNumId w:val="6"/>
  </w:num>
  <w:num w:numId="14">
    <w:abstractNumId w:val="22"/>
  </w:num>
  <w:num w:numId="15">
    <w:abstractNumId w:val="26"/>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0"/>
  </w:num>
  <w:num w:numId="18">
    <w:abstractNumId w:val="12"/>
  </w:num>
  <w:num w:numId="19">
    <w:abstractNumId w:val="24"/>
  </w:num>
  <w:num w:numId="20">
    <w:abstractNumId w:val="41"/>
  </w:num>
  <w:num w:numId="2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7"/>
  </w:num>
  <w:num w:numId="24">
    <w:abstractNumId w:val="13"/>
  </w:num>
  <w:num w:numId="25">
    <w:abstractNumId w:val="36"/>
  </w:num>
  <w:num w:numId="26">
    <w:abstractNumId w:val="27"/>
  </w:num>
  <w:num w:numId="27">
    <w:abstractNumId w:val="38"/>
  </w:num>
  <w:num w:numId="28">
    <w:abstractNumId w:val="2"/>
  </w:num>
  <w:num w:numId="29">
    <w:abstractNumId w:val="31"/>
  </w:num>
  <w:num w:numId="30">
    <w:abstractNumId w:val="47"/>
  </w:num>
  <w:num w:numId="31">
    <w:abstractNumId w:val="3"/>
  </w:num>
  <w:num w:numId="32">
    <w:abstractNumId w:val="32"/>
  </w:num>
  <w:num w:numId="33">
    <w:abstractNumId w:val="42"/>
  </w:num>
  <w:num w:numId="34">
    <w:abstractNumId w:val="44"/>
  </w:num>
  <w:num w:numId="35">
    <w:abstractNumId w:val="11"/>
  </w:num>
  <w:num w:numId="36">
    <w:abstractNumId w:val="15"/>
  </w:num>
  <w:num w:numId="37">
    <w:abstractNumId w:val="39"/>
  </w:num>
  <w:num w:numId="38">
    <w:abstractNumId w:val="4"/>
  </w:num>
  <w:num w:numId="39">
    <w:abstractNumId w:val="46"/>
  </w:num>
  <w:num w:numId="40">
    <w:abstractNumId w:val="19"/>
  </w:num>
  <w:num w:numId="41">
    <w:abstractNumId w:val="21"/>
  </w:num>
  <w:num w:numId="42">
    <w:abstractNumId w:val="48"/>
  </w:num>
  <w:num w:numId="43">
    <w:abstractNumId w:val="34"/>
  </w:num>
  <w:num w:numId="44">
    <w:abstractNumId w:val="20"/>
  </w:num>
  <w:num w:numId="45">
    <w:abstractNumId w:val="23"/>
  </w:num>
  <w:num w:numId="46">
    <w:abstractNumId w:val="5"/>
  </w:num>
  <w:num w:numId="47">
    <w:abstractNumId w:val="40"/>
  </w:num>
  <w:num w:numId="48">
    <w:abstractNumId w:val="18"/>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62"/>
    <w:rsid w:val="00002813"/>
    <w:rsid w:val="00002A16"/>
    <w:rsid w:val="0000691F"/>
    <w:rsid w:val="00007994"/>
    <w:rsid w:val="0001148A"/>
    <w:rsid w:val="00011BBA"/>
    <w:rsid w:val="00012FF2"/>
    <w:rsid w:val="000131D2"/>
    <w:rsid w:val="00014002"/>
    <w:rsid w:val="000140C1"/>
    <w:rsid w:val="00016C7B"/>
    <w:rsid w:val="00022824"/>
    <w:rsid w:val="00022F6E"/>
    <w:rsid w:val="00024905"/>
    <w:rsid w:val="00026F04"/>
    <w:rsid w:val="0004095F"/>
    <w:rsid w:val="00042DED"/>
    <w:rsid w:val="000441C2"/>
    <w:rsid w:val="00051552"/>
    <w:rsid w:val="00052327"/>
    <w:rsid w:val="00053995"/>
    <w:rsid w:val="00055C0A"/>
    <w:rsid w:val="00055F0D"/>
    <w:rsid w:val="0005750E"/>
    <w:rsid w:val="00062E37"/>
    <w:rsid w:val="00065326"/>
    <w:rsid w:val="00071544"/>
    <w:rsid w:val="000720C7"/>
    <w:rsid w:val="0007335B"/>
    <w:rsid w:val="0007365F"/>
    <w:rsid w:val="0008018C"/>
    <w:rsid w:val="00081F75"/>
    <w:rsid w:val="000853C5"/>
    <w:rsid w:val="00086E3C"/>
    <w:rsid w:val="0009166B"/>
    <w:rsid w:val="00094B8B"/>
    <w:rsid w:val="00094E18"/>
    <w:rsid w:val="000969E5"/>
    <w:rsid w:val="000A0200"/>
    <w:rsid w:val="000A20BF"/>
    <w:rsid w:val="000A3F96"/>
    <w:rsid w:val="000A7F8B"/>
    <w:rsid w:val="000B2139"/>
    <w:rsid w:val="000B3A5E"/>
    <w:rsid w:val="000C205C"/>
    <w:rsid w:val="000C3136"/>
    <w:rsid w:val="000C324C"/>
    <w:rsid w:val="000C3EA5"/>
    <w:rsid w:val="000C7B53"/>
    <w:rsid w:val="000E0133"/>
    <w:rsid w:val="000E1B81"/>
    <w:rsid w:val="000E2FD9"/>
    <w:rsid w:val="000E50AC"/>
    <w:rsid w:val="000F1FAD"/>
    <w:rsid w:val="000F52A1"/>
    <w:rsid w:val="000F6BAA"/>
    <w:rsid w:val="00104736"/>
    <w:rsid w:val="00107796"/>
    <w:rsid w:val="00110309"/>
    <w:rsid w:val="00111365"/>
    <w:rsid w:val="0011172D"/>
    <w:rsid w:val="0011394F"/>
    <w:rsid w:val="00120798"/>
    <w:rsid w:val="00121BF0"/>
    <w:rsid w:val="00127735"/>
    <w:rsid w:val="00127996"/>
    <w:rsid w:val="00131C14"/>
    <w:rsid w:val="00133711"/>
    <w:rsid w:val="00135045"/>
    <w:rsid w:val="0013510D"/>
    <w:rsid w:val="00141B3A"/>
    <w:rsid w:val="00142E75"/>
    <w:rsid w:val="0014588E"/>
    <w:rsid w:val="001475D4"/>
    <w:rsid w:val="00150426"/>
    <w:rsid w:val="001549FB"/>
    <w:rsid w:val="00154E00"/>
    <w:rsid w:val="001565AD"/>
    <w:rsid w:val="001613D3"/>
    <w:rsid w:val="00164EEB"/>
    <w:rsid w:val="00172F56"/>
    <w:rsid w:val="001839D2"/>
    <w:rsid w:val="00186AC8"/>
    <w:rsid w:val="001A0AC0"/>
    <w:rsid w:val="001A3CCF"/>
    <w:rsid w:val="001A75B9"/>
    <w:rsid w:val="001B0DDD"/>
    <w:rsid w:val="001B168F"/>
    <w:rsid w:val="001B1944"/>
    <w:rsid w:val="001B315D"/>
    <w:rsid w:val="001B4621"/>
    <w:rsid w:val="001B61DC"/>
    <w:rsid w:val="001C048C"/>
    <w:rsid w:val="001C2DEB"/>
    <w:rsid w:val="001C7A79"/>
    <w:rsid w:val="001D07A2"/>
    <w:rsid w:val="001D3FB8"/>
    <w:rsid w:val="001D47FA"/>
    <w:rsid w:val="001D528D"/>
    <w:rsid w:val="001D55DA"/>
    <w:rsid w:val="001D7BCA"/>
    <w:rsid w:val="001E49D7"/>
    <w:rsid w:val="001E5084"/>
    <w:rsid w:val="001E6213"/>
    <w:rsid w:val="001E659A"/>
    <w:rsid w:val="001F0FF7"/>
    <w:rsid w:val="001F3451"/>
    <w:rsid w:val="001F365A"/>
    <w:rsid w:val="001F3B2C"/>
    <w:rsid w:val="001F3D48"/>
    <w:rsid w:val="001F4D5B"/>
    <w:rsid w:val="001F6E59"/>
    <w:rsid w:val="00202D16"/>
    <w:rsid w:val="002049B0"/>
    <w:rsid w:val="00206DB3"/>
    <w:rsid w:val="00210586"/>
    <w:rsid w:val="00210749"/>
    <w:rsid w:val="002115CA"/>
    <w:rsid w:val="00214F2A"/>
    <w:rsid w:val="0021700E"/>
    <w:rsid w:val="00224FDB"/>
    <w:rsid w:val="00226B3A"/>
    <w:rsid w:val="00231AB4"/>
    <w:rsid w:val="00242DAB"/>
    <w:rsid w:val="00244CD0"/>
    <w:rsid w:val="0025252F"/>
    <w:rsid w:val="00252E4C"/>
    <w:rsid w:val="00253E5B"/>
    <w:rsid w:val="00256D13"/>
    <w:rsid w:val="00257138"/>
    <w:rsid w:val="0026293A"/>
    <w:rsid w:val="00264119"/>
    <w:rsid w:val="00265FF4"/>
    <w:rsid w:val="00267136"/>
    <w:rsid w:val="00273EC4"/>
    <w:rsid w:val="002746D2"/>
    <w:rsid w:val="002747CF"/>
    <w:rsid w:val="002777A9"/>
    <w:rsid w:val="00283616"/>
    <w:rsid w:val="00286A53"/>
    <w:rsid w:val="00296674"/>
    <w:rsid w:val="002A4749"/>
    <w:rsid w:val="002A764F"/>
    <w:rsid w:val="002B0C2C"/>
    <w:rsid w:val="002B3A35"/>
    <w:rsid w:val="002B730D"/>
    <w:rsid w:val="002C4EE9"/>
    <w:rsid w:val="002C4F8B"/>
    <w:rsid w:val="002C67F1"/>
    <w:rsid w:val="002D35DE"/>
    <w:rsid w:val="002D6D0E"/>
    <w:rsid w:val="002D784B"/>
    <w:rsid w:val="002E04E2"/>
    <w:rsid w:val="002E5C50"/>
    <w:rsid w:val="002E5D24"/>
    <w:rsid w:val="002E7A9B"/>
    <w:rsid w:val="002F1BA6"/>
    <w:rsid w:val="002F3684"/>
    <w:rsid w:val="002F66A9"/>
    <w:rsid w:val="00300035"/>
    <w:rsid w:val="00317920"/>
    <w:rsid w:val="00320CF9"/>
    <w:rsid w:val="0032283F"/>
    <w:rsid w:val="00324739"/>
    <w:rsid w:val="00327694"/>
    <w:rsid w:val="00330D39"/>
    <w:rsid w:val="00341E3A"/>
    <w:rsid w:val="0034352A"/>
    <w:rsid w:val="00345F64"/>
    <w:rsid w:val="00346C98"/>
    <w:rsid w:val="00347DDA"/>
    <w:rsid w:val="00347EFB"/>
    <w:rsid w:val="003503E0"/>
    <w:rsid w:val="0035095E"/>
    <w:rsid w:val="003530B8"/>
    <w:rsid w:val="003536FC"/>
    <w:rsid w:val="00354E3A"/>
    <w:rsid w:val="00357532"/>
    <w:rsid w:val="00360861"/>
    <w:rsid w:val="00371F70"/>
    <w:rsid w:val="00376ACE"/>
    <w:rsid w:val="003818D4"/>
    <w:rsid w:val="00387A53"/>
    <w:rsid w:val="00392199"/>
    <w:rsid w:val="00392DDA"/>
    <w:rsid w:val="00393398"/>
    <w:rsid w:val="003934CB"/>
    <w:rsid w:val="00393DC8"/>
    <w:rsid w:val="0039404C"/>
    <w:rsid w:val="00394A80"/>
    <w:rsid w:val="003A14BE"/>
    <w:rsid w:val="003A23CD"/>
    <w:rsid w:val="003A59AF"/>
    <w:rsid w:val="003A5D2D"/>
    <w:rsid w:val="003A6422"/>
    <w:rsid w:val="003B1D5F"/>
    <w:rsid w:val="003B3629"/>
    <w:rsid w:val="003C162E"/>
    <w:rsid w:val="003C3D55"/>
    <w:rsid w:val="003C6D5E"/>
    <w:rsid w:val="003D1ABD"/>
    <w:rsid w:val="003D1B9F"/>
    <w:rsid w:val="003D3205"/>
    <w:rsid w:val="003D3D58"/>
    <w:rsid w:val="003D5543"/>
    <w:rsid w:val="003E0B92"/>
    <w:rsid w:val="003E1BE2"/>
    <w:rsid w:val="003F3F12"/>
    <w:rsid w:val="003F641B"/>
    <w:rsid w:val="00400041"/>
    <w:rsid w:val="0040574F"/>
    <w:rsid w:val="00410E7E"/>
    <w:rsid w:val="004153DD"/>
    <w:rsid w:val="0042579D"/>
    <w:rsid w:val="00431C01"/>
    <w:rsid w:val="0043578E"/>
    <w:rsid w:val="00446CBB"/>
    <w:rsid w:val="00446F0D"/>
    <w:rsid w:val="00453E26"/>
    <w:rsid w:val="00457D5D"/>
    <w:rsid w:val="00461A43"/>
    <w:rsid w:val="00462781"/>
    <w:rsid w:val="004668F7"/>
    <w:rsid w:val="004715FA"/>
    <w:rsid w:val="00472E2B"/>
    <w:rsid w:val="00473941"/>
    <w:rsid w:val="004749DD"/>
    <w:rsid w:val="00485AF3"/>
    <w:rsid w:val="004870D4"/>
    <w:rsid w:val="004923B3"/>
    <w:rsid w:val="004933E9"/>
    <w:rsid w:val="00494124"/>
    <w:rsid w:val="004976A2"/>
    <w:rsid w:val="004A0F96"/>
    <w:rsid w:val="004A46A1"/>
    <w:rsid w:val="004A6900"/>
    <w:rsid w:val="004A7469"/>
    <w:rsid w:val="004B1551"/>
    <w:rsid w:val="004C09D3"/>
    <w:rsid w:val="004C4BBA"/>
    <w:rsid w:val="004C7EAF"/>
    <w:rsid w:val="004D1393"/>
    <w:rsid w:val="004D1CD3"/>
    <w:rsid w:val="004D4FF2"/>
    <w:rsid w:val="004E0FC7"/>
    <w:rsid w:val="004E1750"/>
    <w:rsid w:val="004E4A8C"/>
    <w:rsid w:val="004F2632"/>
    <w:rsid w:val="004F5647"/>
    <w:rsid w:val="00502890"/>
    <w:rsid w:val="00502DD6"/>
    <w:rsid w:val="005036E8"/>
    <w:rsid w:val="00504447"/>
    <w:rsid w:val="00506F51"/>
    <w:rsid w:val="005074E0"/>
    <w:rsid w:val="00510D95"/>
    <w:rsid w:val="00514B94"/>
    <w:rsid w:val="0051557E"/>
    <w:rsid w:val="005234B2"/>
    <w:rsid w:val="005237AF"/>
    <w:rsid w:val="00523C65"/>
    <w:rsid w:val="0052484F"/>
    <w:rsid w:val="00527C13"/>
    <w:rsid w:val="005319B7"/>
    <w:rsid w:val="00532303"/>
    <w:rsid w:val="00533C78"/>
    <w:rsid w:val="00533E00"/>
    <w:rsid w:val="005346EB"/>
    <w:rsid w:val="005360B6"/>
    <w:rsid w:val="0053747F"/>
    <w:rsid w:val="00537B73"/>
    <w:rsid w:val="00552A85"/>
    <w:rsid w:val="00553696"/>
    <w:rsid w:val="00553B18"/>
    <w:rsid w:val="00555BCA"/>
    <w:rsid w:val="00560214"/>
    <w:rsid w:val="00560871"/>
    <w:rsid w:val="005631F5"/>
    <w:rsid w:val="00564301"/>
    <w:rsid w:val="00565BE3"/>
    <w:rsid w:val="00566B57"/>
    <w:rsid w:val="00567B71"/>
    <w:rsid w:val="00576717"/>
    <w:rsid w:val="005767AC"/>
    <w:rsid w:val="00577430"/>
    <w:rsid w:val="00577666"/>
    <w:rsid w:val="00594591"/>
    <w:rsid w:val="00595587"/>
    <w:rsid w:val="00596F07"/>
    <w:rsid w:val="0059753E"/>
    <w:rsid w:val="005A0B7D"/>
    <w:rsid w:val="005A0C1D"/>
    <w:rsid w:val="005A22BA"/>
    <w:rsid w:val="005A44F8"/>
    <w:rsid w:val="005A4FEB"/>
    <w:rsid w:val="005A55E6"/>
    <w:rsid w:val="005A682C"/>
    <w:rsid w:val="005A6D35"/>
    <w:rsid w:val="005B23E4"/>
    <w:rsid w:val="005B3B45"/>
    <w:rsid w:val="005C0BBB"/>
    <w:rsid w:val="005C4B5D"/>
    <w:rsid w:val="005C4D9F"/>
    <w:rsid w:val="005C7BA9"/>
    <w:rsid w:val="005D5253"/>
    <w:rsid w:val="005D5E98"/>
    <w:rsid w:val="005F0C29"/>
    <w:rsid w:val="005F0C76"/>
    <w:rsid w:val="005F1CD8"/>
    <w:rsid w:val="005F70C2"/>
    <w:rsid w:val="005F7473"/>
    <w:rsid w:val="005F7AC9"/>
    <w:rsid w:val="006016BC"/>
    <w:rsid w:val="00604535"/>
    <w:rsid w:val="006047F0"/>
    <w:rsid w:val="0060535A"/>
    <w:rsid w:val="00610980"/>
    <w:rsid w:val="00613917"/>
    <w:rsid w:val="00615BF7"/>
    <w:rsid w:val="00622756"/>
    <w:rsid w:val="006302A3"/>
    <w:rsid w:val="0063233D"/>
    <w:rsid w:val="006337BA"/>
    <w:rsid w:val="00642000"/>
    <w:rsid w:val="00646E26"/>
    <w:rsid w:val="00651A29"/>
    <w:rsid w:val="00653453"/>
    <w:rsid w:val="00655352"/>
    <w:rsid w:val="0065674C"/>
    <w:rsid w:val="006602C5"/>
    <w:rsid w:val="00661DA5"/>
    <w:rsid w:val="00667EF5"/>
    <w:rsid w:val="006731FD"/>
    <w:rsid w:val="00673F23"/>
    <w:rsid w:val="00674941"/>
    <w:rsid w:val="0067753D"/>
    <w:rsid w:val="00677CE2"/>
    <w:rsid w:val="00682A1E"/>
    <w:rsid w:val="0068313C"/>
    <w:rsid w:val="00683AA4"/>
    <w:rsid w:val="00683D24"/>
    <w:rsid w:val="0068483C"/>
    <w:rsid w:val="00686331"/>
    <w:rsid w:val="006915DD"/>
    <w:rsid w:val="0069412B"/>
    <w:rsid w:val="006941A6"/>
    <w:rsid w:val="006A2CA1"/>
    <w:rsid w:val="006A4A1C"/>
    <w:rsid w:val="006A4CCE"/>
    <w:rsid w:val="006A7FA9"/>
    <w:rsid w:val="006B2129"/>
    <w:rsid w:val="006C30B1"/>
    <w:rsid w:val="006C33B1"/>
    <w:rsid w:val="006C33E7"/>
    <w:rsid w:val="006C3A69"/>
    <w:rsid w:val="006C5D8B"/>
    <w:rsid w:val="006C7F8A"/>
    <w:rsid w:val="006D3359"/>
    <w:rsid w:val="006D3ACD"/>
    <w:rsid w:val="006D3E86"/>
    <w:rsid w:val="006E0CEE"/>
    <w:rsid w:val="006E0E41"/>
    <w:rsid w:val="006E0F0D"/>
    <w:rsid w:val="006E16CC"/>
    <w:rsid w:val="006E25B3"/>
    <w:rsid w:val="006E2988"/>
    <w:rsid w:val="006E2DB3"/>
    <w:rsid w:val="006E5F8E"/>
    <w:rsid w:val="006F33D5"/>
    <w:rsid w:val="00704E76"/>
    <w:rsid w:val="00715958"/>
    <w:rsid w:val="00715BDB"/>
    <w:rsid w:val="0072354E"/>
    <w:rsid w:val="00726F88"/>
    <w:rsid w:val="00734C53"/>
    <w:rsid w:val="00737DEC"/>
    <w:rsid w:val="00743860"/>
    <w:rsid w:val="00743DDE"/>
    <w:rsid w:val="00744031"/>
    <w:rsid w:val="007534AE"/>
    <w:rsid w:val="0076031E"/>
    <w:rsid w:val="00761EAC"/>
    <w:rsid w:val="0076314E"/>
    <w:rsid w:val="007670D7"/>
    <w:rsid w:val="00775B8A"/>
    <w:rsid w:val="00785D23"/>
    <w:rsid w:val="00786005"/>
    <w:rsid w:val="00791507"/>
    <w:rsid w:val="00793A3F"/>
    <w:rsid w:val="00795408"/>
    <w:rsid w:val="00797381"/>
    <w:rsid w:val="007B2B3D"/>
    <w:rsid w:val="007B3246"/>
    <w:rsid w:val="007B3B19"/>
    <w:rsid w:val="007C05E1"/>
    <w:rsid w:val="007C73AF"/>
    <w:rsid w:val="007C7696"/>
    <w:rsid w:val="007D10E9"/>
    <w:rsid w:val="007D23C4"/>
    <w:rsid w:val="007D3D17"/>
    <w:rsid w:val="007D738B"/>
    <w:rsid w:val="007D7FD4"/>
    <w:rsid w:val="007E0D2F"/>
    <w:rsid w:val="007E17D1"/>
    <w:rsid w:val="007E61F3"/>
    <w:rsid w:val="007F22A2"/>
    <w:rsid w:val="007F61E8"/>
    <w:rsid w:val="007F6658"/>
    <w:rsid w:val="007F7488"/>
    <w:rsid w:val="0080139D"/>
    <w:rsid w:val="00805850"/>
    <w:rsid w:val="00805CD2"/>
    <w:rsid w:val="00806317"/>
    <w:rsid w:val="008066D9"/>
    <w:rsid w:val="00812F61"/>
    <w:rsid w:val="008153C4"/>
    <w:rsid w:val="0081738A"/>
    <w:rsid w:val="008210D8"/>
    <w:rsid w:val="008309C7"/>
    <w:rsid w:val="00835BF7"/>
    <w:rsid w:val="00837ABE"/>
    <w:rsid w:val="008445F7"/>
    <w:rsid w:val="00854000"/>
    <w:rsid w:val="00857FE9"/>
    <w:rsid w:val="00861CD9"/>
    <w:rsid w:val="00867492"/>
    <w:rsid w:val="008723B0"/>
    <w:rsid w:val="0087382F"/>
    <w:rsid w:val="0087481E"/>
    <w:rsid w:val="00876224"/>
    <w:rsid w:val="0087676D"/>
    <w:rsid w:val="00876F85"/>
    <w:rsid w:val="00884F29"/>
    <w:rsid w:val="00891B4D"/>
    <w:rsid w:val="0089318C"/>
    <w:rsid w:val="00895ACC"/>
    <w:rsid w:val="008A0AFB"/>
    <w:rsid w:val="008A294F"/>
    <w:rsid w:val="008A4368"/>
    <w:rsid w:val="008B4CA3"/>
    <w:rsid w:val="008B7FB8"/>
    <w:rsid w:val="008C1A84"/>
    <w:rsid w:val="008C2BDB"/>
    <w:rsid w:val="008C2EB2"/>
    <w:rsid w:val="008C38F5"/>
    <w:rsid w:val="008C3CEE"/>
    <w:rsid w:val="008C5AE0"/>
    <w:rsid w:val="008C6721"/>
    <w:rsid w:val="008C7F8A"/>
    <w:rsid w:val="008D01E4"/>
    <w:rsid w:val="008E668A"/>
    <w:rsid w:val="008E6ADE"/>
    <w:rsid w:val="008F1E30"/>
    <w:rsid w:val="008F7E7F"/>
    <w:rsid w:val="009005E5"/>
    <w:rsid w:val="00900A03"/>
    <w:rsid w:val="009016A5"/>
    <w:rsid w:val="00905E5B"/>
    <w:rsid w:val="009127C4"/>
    <w:rsid w:val="009130A8"/>
    <w:rsid w:val="00914AD1"/>
    <w:rsid w:val="009168D7"/>
    <w:rsid w:val="009217B9"/>
    <w:rsid w:val="0092412A"/>
    <w:rsid w:val="00926570"/>
    <w:rsid w:val="00932E4E"/>
    <w:rsid w:val="009335F0"/>
    <w:rsid w:val="00937E05"/>
    <w:rsid w:val="00941767"/>
    <w:rsid w:val="009429A9"/>
    <w:rsid w:val="00946FB8"/>
    <w:rsid w:val="0095351D"/>
    <w:rsid w:val="0095476B"/>
    <w:rsid w:val="0095533B"/>
    <w:rsid w:val="00960A9A"/>
    <w:rsid w:val="00961A62"/>
    <w:rsid w:val="00962ED2"/>
    <w:rsid w:val="00967C30"/>
    <w:rsid w:val="00972773"/>
    <w:rsid w:val="0097640D"/>
    <w:rsid w:val="00976D04"/>
    <w:rsid w:val="0097774B"/>
    <w:rsid w:val="00987A73"/>
    <w:rsid w:val="00993118"/>
    <w:rsid w:val="009935C2"/>
    <w:rsid w:val="0099763D"/>
    <w:rsid w:val="00997D3F"/>
    <w:rsid w:val="009A1022"/>
    <w:rsid w:val="009B0C3B"/>
    <w:rsid w:val="009B2954"/>
    <w:rsid w:val="009B50EA"/>
    <w:rsid w:val="009C22EC"/>
    <w:rsid w:val="009C5AC9"/>
    <w:rsid w:val="009C6836"/>
    <w:rsid w:val="009D0A78"/>
    <w:rsid w:val="009D6A85"/>
    <w:rsid w:val="009E18FC"/>
    <w:rsid w:val="009E5F95"/>
    <w:rsid w:val="009F37D9"/>
    <w:rsid w:val="00A0335B"/>
    <w:rsid w:val="00A0391C"/>
    <w:rsid w:val="00A0405D"/>
    <w:rsid w:val="00A06F5A"/>
    <w:rsid w:val="00A10451"/>
    <w:rsid w:val="00A11433"/>
    <w:rsid w:val="00A15B2F"/>
    <w:rsid w:val="00A21E73"/>
    <w:rsid w:val="00A24B37"/>
    <w:rsid w:val="00A3040B"/>
    <w:rsid w:val="00A33ED1"/>
    <w:rsid w:val="00A3677B"/>
    <w:rsid w:val="00A37367"/>
    <w:rsid w:val="00A42DAD"/>
    <w:rsid w:val="00A42FFD"/>
    <w:rsid w:val="00A43971"/>
    <w:rsid w:val="00A45BE1"/>
    <w:rsid w:val="00A507EA"/>
    <w:rsid w:val="00A60918"/>
    <w:rsid w:val="00A61CC0"/>
    <w:rsid w:val="00A63028"/>
    <w:rsid w:val="00A633DF"/>
    <w:rsid w:val="00A67B8B"/>
    <w:rsid w:val="00A716F4"/>
    <w:rsid w:val="00A722CA"/>
    <w:rsid w:val="00A73E5A"/>
    <w:rsid w:val="00A7565F"/>
    <w:rsid w:val="00A77330"/>
    <w:rsid w:val="00A7743F"/>
    <w:rsid w:val="00A80C01"/>
    <w:rsid w:val="00A8102B"/>
    <w:rsid w:val="00A8183A"/>
    <w:rsid w:val="00A85C96"/>
    <w:rsid w:val="00A92EBF"/>
    <w:rsid w:val="00A965D8"/>
    <w:rsid w:val="00AA3F6A"/>
    <w:rsid w:val="00AA669D"/>
    <w:rsid w:val="00AA7E51"/>
    <w:rsid w:val="00AB1241"/>
    <w:rsid w:val="00AB222A"/>
    <w:rsid w:val="00AC054C"/>
    <w:rsid w:val="00AC534D"/>
    <w:rsid w:val="00AD0D28"/>
    <w:rsid w:val="00AD1358"/>
    <w:rsid w:val="00AD32D0"/>
    <w:rsid w:val="00AD5528"/>
    <w:rsid w:val="00AD5EB8"/>
    <w:rsid w:val="00AD72EF"/>
    <w:rsid w:val="00AE1971"/>
    <w:rsid w:val="00AE1E1C"/>
    <w:rsid w:val="00AE6D7E"/>
    <w:rsid w:val="00AF28E1"/>
    <w:rsid w:val="00AF28FB"/>
    <w:rsid w:val="00AF55E7"/>
    <w:rsid w:val="00AF6FE4"/>
    <w:rsid w:val="00AF7684"/>
    <w:rsid w:val="00B04226"/>
    <w:rsid w:val="00B05F83"/>
    <w:rsid w:val="00B07A3E"/>
    <w:rsid w:val="00B11B73"/>
    <w:rsid w:val="00B12B7A"/>
    <w:rsid w:val="00B13168"/>
    <w:rsid w:val="00B1358A"/>
    <w:rsid w:val="00B15200"/>
    <w:rsid w:val="00B1602A"/>
    <w:rsid w:val="00B17058"/>
    <w:rsid w:val="00B22407"/>
    <w:rsid w:val="00B27826"/>
    <w:rsid w:val="00B355AA"/>
    <w:rsid w:val="00B35D0C"/>
    <w:rsid w:val="00B41A3D"/>
    <w:rsid w:val="00B47871"/>
    <w:rsid w:val="00B515EC"/>
    <w:rsid w:val="00B54734"/>
    <w:rsid w:val="00B60166"/>
    <w:rsid w:val="00B647AE"/>
    <w:rsid w:val="00B65BC8"/>
    <w:rsid w:val="00B670EC"/>
    <w:rsid w:val="00B701EA"/>
    <w:rsid w:val="00B70A70"/>
    <w:rsid w:val="00B727C0"/>
    <w:rsid w:val="00B8194C"/>
    <w:rsid w:val="00B83037"/>
    <w:rsid w:val="00BA0B23"/>
    <w:rsid w:val="00BA1C14"/>
    <w:rsid w:val="00BB2469"/>
    <w:rsid w:val="00BB3FF2"/>
    <w:rsid w:val="00BB48EB"/>
    <w:rsid w:val="00BB55CD"/>
    <w:rsid w:val="00BB5971"/>
    <w:rsid w:val="00BB6DCF"/>
    <w:rsid w:val="00BC0711"/>
    <w:rsid w:val="00BC14AD"/>
    <w:rsid w:val="00BC2777"/>
    <w:rsid w:val="00BC511C"/>
    <w:rsid w:val="00BC5F54"/>
    <w:rsid w:val="00BD0682"/>
    <w:rsid w:val="00BD29F1"/>
    <w:rsid w:val="00BD401A"/>
    <w:rsid w:val="00BD5D25"/>
    <w:rsid w:val="00BD60C5"/>
    <w:rsid w:val="00BE1A2C"/>
    <w:rsid w:val="00BE1B24"/>
    <w:rsid w:val="00BE2098"/>
    <w:rsid w:val="00BE608B"/>
    <w:rsid w:val="00BF1B5D"/>
    <w:rsid w:val="00BF2909"/>
    <w:rsid w:val="00BF40A2"/>
    <w:rsid w:val="00C00775"/>
    <w:rsid w:val="00C051CB"/>
    <w:rsid w:val="00C10613"/>
    <w:rsid w:val="00C123C5"/>
    <w:rsid w:val="00C15D2B"/>
    <w:rsid w:val="00C23A3F"/>
    <w:rsid w:val="00C27B77"/>
    <w:rsid w:val="00C3205A"/>
    <w:rsid w:val="00C33D4C"/>
    <w:rsid w:val="00C34BF6"/>
    <w:rsid w:val="00C42D55"/>
    <w:rsid w:val="00C45D0C"/>
    <w:rsid w:val="00C5011A"/>
    <w:rsid w:val="00C50C3A"/>
    <w:rsid w:val="00C51B0B"/>
    <w:rsid w:val="00C562F1"/>
    <w:rsid w:val="00C611A6"/>
    <w:rsid w:val="00C64569"/>
    <w:rsid w:val="00C72210"/>
    <w:rsid w:val="00C732C7"/>
    <w:rsid w:val="00C74136"/>
    <w:rsid w:val="00C83574"/>
    <w:rsid w:val="00C85014"/>
    <w:rsid w:val="00C86200"/>
    <w:rsid w:val="00C9070B"/>
    <w:rsid w:val="00C962F6"/>
    <w:rsid w:val="00CA3A2F"/>
    <w:rsid w:val="00CA4FA2"/>
    <w:rsid w:val="00CA74CE"/>
    <w:rsid w:val="00CA7802"/>
    <w:rsid w:val="00CB4BD9"/>
    <w:rsid w:val="00CB50FD"/>
    <w:rsid w:val="00CD0D6C"/>
    <w:rsid w:val="00CD55D6"/>
    <w:rsid w:val="00CE358C"/>
    <w:rsid w:val="00CE3C7F"/>
    <w:rsid w:val="00CF07EC"/>
    <w:rsid w:val="00CF14C1"/>
    <w:rsid w:val="00CF1550"/>
    <w:rsid w:val="00CF664F"/>
    <w:rsid w:val="00D00806"/>
    <w:rsid w:val="00D0247F"/>
    <w:rsid w:val="00D0365A"/>
    <w:rsid w:val="00D060E8"/>
    <w:rsid w:val="00D1280F"/>
    <w:rsid w:val="00D12C7E"/>
    <w:rsid w:val="00D13853"/>
    <w:rsid w:val="00D163A8"/>
    <w:rsid w:val="00D22530"/>
    <w:rsid w:val="00D26387"/>
    <w:rsid w:val="00D303CE"/>
    <w:rsid w:val="00D3399F"/>
    <w:rsid w:val="00D37034"/>
    <w:rsid w:val="00D3798E"/>
    <w:rsid w:val="00D40692"/>
    <w:rsid w:val="00D42E8D"/>
    <w:rsid w:val="00D45672"/>
    <w:rsid w:val="00D50D01"/>
    <w:rsid w:val="00D568B2"/>
    <w:rsid w:val="00D6229F"/>
    <w:rsid w:val="00D71AC4"/>
    <w:rsid w:val="00D81EB1"/>
    <w:rsid w:val="00D87D16"/>
    <w:rsid w:val="00D90097"/>
    <w:rsid w:val="00D9056C"/>
    <w:rsid w:val="00D92B74"/>
    <w:rsid w:val="00D94AC3"/>
    <w:rsid w:val="00DA196D"/>
    <w:rsid w:val="00DA351F"/>
    <w:rsid w:val="00DA7AD3"/>
    <w:rsid w:val="00DB1EF7"/>
    <w:rsid w:val="00DB7985"/>
    <w:rsid w:val="00DC08F5"/>
    <w:rsid w:val="00DC0F8C"/>
    <w:rsid w:val="00DC4F3B"/>
    <w:rsid w:val="00DC5742"/>
    <w:rsid w:val="00DC794D"/>
    <w:rsid w:val="00DC7B9E"/>
    <w:rsid w:val="00DD1789"/>
    <w:rsid w:val="00DE182C"/>
    <w:rsid w:val="00DF5312"/>
    <w:rsid w:val="00E0027B"/>
    <w:rsid w:val="00E009D7"/>
    <w:rsid w:val="00E01763"/>
    <w:rsid w:val="00E02190"/>
    <w:rsid w:val="00E148F3"/>
    <w:rsid w:val="00E149A1"/>
    <w:rsid w:val="00E178B6"/>
    <w:rsid w:val="00E17D04"/>
    <w:rsid w:val="00E2054B"/>
    <w:rsid w:val="00E26F3B"/>
    <w:rsid w:val="00E2736B"/>
    <w:rsid w:val="00E27EFF"/>
    <w:rsid w:val="00E310D2"/>
    <w:rsid w:val="00E32907"/>
    <w:rsid w:val="00E35DC2"/>
    <w:rsid w:val="00E41726"/>
    <w:rsid w:val="00E41A42"/>
    <w:rsid w:val="00E452EE"/>
    <w:rsid w:val="00E5125C"/>
    <w:rsid w:val="00E5173D"/>
    <w:rsid w:val="00E54C20"/>
    <w:rsid w:val="00E6243D"/>
    <w:rsid w:val="00E66171"/>
    <w:rsid w:val="00E70039"/>
    <w:rsid w:val="00E71012"/>
    <w:rsid w:val="00E7393F"/>
    <w:rsid w:val="00E75739"/>
    <w:rsid w:val="00E7740E"/>
    <w:rsid w:val="00E83603"/>
    <w:rsid w:val="00E86718"/>
    <w:rsid w:val="00E93C6A"/>
    <w:rsid w:val="00E94905"/>
    <w:rsid w:val="00E95C1B"/>
    <w:rsid w:val="00EA2502"/>
    <w:rsid w:val="00EA3749"/>
    <w:rsid w:val="00EB01BF"/>
    <w:rsid w:val="00EB292A"/>
    <w:rsid w:val="00EB48D9"/>
    <w:rsid w:val="00EB6609"/>
    <w:rsid w:val="00EB7112"/>
    <w:rsid w:val="00EC1AEC"/>
    <w:rsid w:val="00ED372A"/>
    <w:rsid w:val="00ED5A5D"/>
    <w:rsid w:val="00ED7F0A"/>
    <w:rsid w:val="00EE1005"/>
    <w:rsid w:val="00EE20D8"/>
    <w:rsid w:val="00EE7C57"/>
    <w:rsid w:val="00EF2975"/>
    <w:rsid w:val="00EF5B6B"/>
    <w:rsid w:val="00EF65DE"/>
    <w:rsid w:val="00EF688F"/>
    <w:rsid w:val="00F0136D"/>
    <w:rsid w:val="00F06122"/>
    <w:rsid w:val="00F065F5"/>
    <w:rsid w:val="00F06E8E"/>
    <w:rsid w:val="00F10A5B"/>
    <w:rsid w:val="00F1265D"/>
    <w:rsid w:val="00F13492"/>
    <w:rsid w:val="00F20173"/>
    <w:rsid w:val="00F20B0C"/>
    <w:rsid w:val="00F226A3"/>
    <w:rsid w:val="00F23207"/>
    <w:rsid w:val="00F266FB"/>
    <w:rsid w:val="00F32733"/>
    <w:rsid w:val="00F33DAD"/>
    <w:rsid w:val="00F37F87"/>
    <w:rsid w:val="00F417A8"/>
    <w:rsid w:val="00F41B5A"/>
    <w:rsid w:val="00F41CE2"/>
    <w:rsid w:val="00F41E25"/>
    <w:rsid w:val="00F45096"/>
    <w:rsid w:val="00F51EB3"/>
    <w:rsid w:val="00F5580C"/>
    <w:rsid w:val="00F72BF5"/>
    <w:rsid w:val="00F73636"/>
    <w:rsid w:val="00F8046F"/>
    <w:rsid w:val="00F842D8"/>
    <w:rsid w:val="00F85873"/>
    <w:rsid w:val="00F91551"/>
    <w:rsid w:val="00F95155"/>
    <w:rsid w:val="00FA5124"/>
    <w:rsid w:val="00FB62DB"/>
    <w:rsid w:val="00FB7DC3"/>
    <w:rsid w:val="00FC273C"/>
    <w:rsid w:val="00FC4206"/>
    <w:rsid w:val="00FC4AD0"/>
    <w:rsid w:val="00FC70C7"/>
    <w:rsid w:val="00FD0FE5"/>
    <w:rsid w:val="00FD1FD0"/>
    <w:rsid w:val="00FD2647"/>
    <w:rsid w:val="00FD352F"/>
    <w:rsid w:val="00FD7B67"/>
    <w:rsid w:val="00FE1045"/>
    <w:rsid w:val="00FF1E90"/>
    <w:rsid w:val="00FF6F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617BA"/>
  <w15:chartTrackingRefBased/>
  <w15:docId w15:val="{B9FB8A3C-5394-4F51-A911-78E17394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49"/>
    <w:pPr>
      <w:keepLines/>
    </w:pPr>
    <w:rPr>
      <w:color w:val="54575A" w:themeColor="text1"/>
      <w:lang w:val="fr-CA"/>
    </w:rPr>
  </w:style>
  <w:style w:type="paragraph" w:styleId="Heading1">
    <w:name w:val="heading 1"/>
    <w:basedOn w:val="Normal"/>
    <w:next w:val="Normal"/>
    <w:link w:val="Heading1Char"/>
    <w:uiPriority w:val="9"/>
    <w:qFormat/>
    <w:rsid w:val="00210749"/>
    <w:pPr>
      <w:keepNext/>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0F6BAA"/>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after="0"/>
      <w:outlineLvl w:val="2"/>
    </w:pPr>
    <w:rPr>
      <w:rFonts w:ascii="Segoe UI Semibold" w:eastAsiaTheme="majorEastAsia" w:hAnsi="Segoe UI Semibold" w:cs="Segoe UI Semibold"/>
      <w:sz w:val="24"/>
      <w:szCs w:val="24"/>
    </w:rPr>
  </w:style>
  <w:style w:type="paragraph" w:styleId="Heading4">
    <w:name w:val="heading 4"/>
    <w:basedOn w:val="Normal"/>
    <w:next w:val="Normal"/>
    <w:link w:val="Heading4Char"/>
    <w:uiPriority w:val="9"/>
    <w:unhideWhenUsed/>
    <w:qFormat/>
    <w:rsid w:val="00210749"/>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after="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10749"/>
    <w:pPr>
      <w:spacing w:after="0" w:line="240" w:lineRule="auto"/>
    </w:pPr>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pPr>
      <w:spacing w:after="0" w:line="240" w:lineRule="auto"/>
    </w:pPr>
    <w:rPr>
      <w:sz w:val="20"/>
      <w:szCs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0F6BAA"/>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 w:val="24"/>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Liste 1"/>
    <w:basedOn w:val="Normal"/>
    <w:link w:val="ListParagraphCh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267136"/>
    <w:rPr>
      <w:rFonts w:ascii="Segoe UI Semibold" w:hAnsi="Segoe UI Semibold"/>
      <w:b w:val="0"/>
      <w:color w:val="auto"/>
      <w:sz w:val="22"/>
    </w:rPr>
  </w:style>
  <w:style w:type="paragraph" w:styleId="Title">
    <w:name w:val="Title"/>
    <w:basedOn w:val="Normal"/>
    <w:next w:val="Normal"/>
    <w:link w:val="TitleChar"/>
    <w:autoRedefine/>
    <w:uiPriority w:val="10"/>
    <w:qFormat/>
    <w:rsid w:val="00FD1FD0"/>
    <w:pPr>
      <w:spacing w:after="240" w:line="240" w:lineRule="auto"/>
      <w:contextualSpacing/>
      <w:jc w:val="center"/>
    </w:pPr>
    <w:rPr>
      <w:rFonts w:asciiTheme="majorHAnsi" w:eastAsiaTheme="majorEastAsia" w:hAnsiTheme="majorHAnsi" w:cstheme="majorHAnsi"/>
      <w:color w:val="auto"/>
      <w:spacing w:val="-10"/>
      <w:kern w:val="28"/>
      <w:sz w:val="52"/>
      <w:szCs w:val="48"/>
    </w:rPr>
  </w:style>
  <w:style w:type="character" w:customStyle="1" w:styleId="TitleChar">
    <w:name w:val="Title Char"/>
    <w:basedOn w:val="DefaultParagraphFont"/>
    <w:link w:val="Title"/>
    <w:uiPriority w:val="10"/>
    <w:rsid w:val="00FD1FD0"/>
    <w:rPr>
      <w:rFonts w:asciiTheme="majorHAnsi" w:eastAsiaTheme="majorEastAsia" w:hAnsiTheme="majorHAnsi" w:cstheme="majorHAnsi"/>
      <w:spacing w:val="-10"/>
      <w:kern w:val="28"/>
      <w:sz w:val="52"/>
      <w:szCs w:val="48"/>
      <w:lang w:val="fr-CA"/>
    </w:rPr>
  </w:style>
  <w:style w:type="paragraph" w:styleId="NormalWeb">
    <w:name w:val="Normal (Web)"/>
    <w:basedOn w:val="Normal"/>
    <w:uiPriority w:val="99"/>
    <w:unhideWhenUsed/>
    <w:rsid w:val="00961A62"/>
    <w:pPr>
      <w:keepLines w:val="0"/>
      <w:spacing w:before="100" w:beforeAutospacing="1" w:after="100" w:afterAutospacing="1" w:line="240" w:lineRule="auto"/>
    </w:pPr>
    <w:rPr>
      <w:rFonts w:ascii="Verdana" w:eastAsia="Times New Roman" w:hAnsi="Verdana" w:cs="Times New Roman"/>
      <w:color w:val="auto"/>
      <w:sz w:val="24"/>
      <w:szCs w:val="24"/>
      <w:lang w:val="en-US"/>
    </w:rPr>
  </w:style>
  <w:style w:type="character" w:styleId="Hyperlink">
    <w:name w:val="Hyperlink"/>
    <w:uiPriority w:val="99"/>
    <w:unhideWhenUsed/>
    <w:rsid w:val="00961A62"/>
    <w:rPr>
      <w:color w:val="0563C1"/>
      <w:u w:val="single"/>
    </w:rPr>
  </w:style>
  <w:style w:type="paragraph" w:styleId="NoSpacing">
    <w:name w:val="No Spacing"/>
    <w:uiPriority w:val="1"/>
    <w:qFormat/>
    <w:rsid w:val="00961A62"/>
    <w:pPr>
      <w:spacing w:after="0" w:line="240" w:lineRule="auto"/>
    </w:pPr>
    <w:rPr>
      <w:rFonts w:ascii="Times New Roman" w:eastAsia="Times New Roman" w:hAnsi="Times New Roman" w:cs="Times New Roman"/>
      <w:sz w:val="24"/>
      <w:szCs w:val="20"/>
      <w:lang w:val="en-US"/>
    </w:rPr>
  </w:style>
  <w:style w:type="paragraph" w:customStyle="1" w:styleId="Style2">
    <w:name w:val="Style2"/>
    <w:basedOn w:val="Normal"/>
    <w:link w:val="Style2Char"/>
    <w:qFormat/>
    <w:rsid w:val="00961A62"/>
    <w:pPr>
      <w:keepLines w:val="0"/>
      <w:spacing w:after="0" w:line="240" w:lineRule="auto"/>
    </w:pPr>
    <w:rPr>
      <w:rFonts w:ascii="Arial" w:eastAsia="Times New Roman" w:hAnsi="Arial" w:cs="Arial"/>
      <w:color w:val="auto"/>
      <w:u w:val="single"/>
      <w:lang w:eastAsia="en-CA"/>
    </w:rPr>
  </w:style>
  <w:style w:type="character" w:customStyle="1" w:styleId="Style2Char">
    <w:name w:val="Style2 Char"/>
    <w:basedOn w:val="DefaultParagraphFont"/>
    <w:link w:val="Style2"/>
    <w:rsid w:val="00961A62"/>
    <w:rPr>
      <w:rFonts w:ascii="Arial" w:eastAsia="Times New Roman" w:hAnsi="Arial" w:cs="Arial"/>
      <w:u w:val="single"/>
      <w:lang w:val="fr-CA" w:eastAsia="en-CA"/>
    </w:rPr>
  </w:style>
  <w:style w:type="paragraph" w:customStyle="1" w:styleId="Style6">
    <w:name w:val="Style6"/>
    <w:basedOn w:val="Normal"/>
    <w:link w:val="Style6Char"/>
    <w:qFormat/>
    <w:rsid w:val="00961A62"/>
    <w:pPr>
      <w:keepLines w:val="0"/>
      <w:spacing w:after="0" w:line="240" w:lineRule="auto"/>
    </w:pPr>
    <w:rPr>
      <w:rFonts w:ascii="Arial" w:eastAsia="Times New Roman" w:hAnsi="Arial" w:cs="Arial"/>
      <w:b/>
      <w:color w:val="009999"/>
      <w:spacing w:val="-10"/>
    </w:rPr>
  </w:style>
  <w:style w:type="character" w:customStyle="1" w:styleId="Style6Char">
    <w:name w:val="Style6 Char"/>
    <w:basedOn w:val="DefaultParagraphFont"/>
    <w:link w:val="Style6"/>
    <w:rsid w:val="00961A62"/>
    <w:rPr>
      <w:rFonts w:ascii="Arial" w:eastAsia="Times New Roman" w:hAnsi="Arial" w:cs="Arial"/>
      <w:b/>
      <w:color w:val="009999"/>
      <w:spacing w:val="-10"/>
      <w:lang w:val="fr-CA"/>
    </w:rPr>
  </w:style>
  <w:style w:type="character" w:customStyle="1" w:styleId="mw-headline">
    <w:name w:val="mw-headline"/>
    <w:rsid w:val="00961A62"/>
  </w:style>
  <w:style w:type="paragraph" w:customStyle="1" w:styleId="Level1">
    <w:name w:val="Level 1"/>
    <w:basedOn w:val="Normal"/>
    <w:uiPriority w:val="99"/>
    <w:rsid w:val="00961A62"/>
    <w:pPr>
      <w:keepLines w:val="0"/>
      <w:widowControl w:val="0"/>
      <w:spacing w:after="0" w:line="240" w:lineRule="auto"/>
    </w:pPr>
    <w:rPr>
      <w:rFonts w:ascii="Times New Roman" w:eastAsia="Times New Roman" w:hAnsi="Times New Roman" w:cs="Times New Roman"/>
      <w:color w:val="auto"/>
      <w:sz w:val="24"/>
      <w:szCs w:val="20"/>
      <w:lang w:val="en-US"/>
    </w:rPr>
  </w:style>
  <w:style w:type="character" w:customStyle="1" w:styleId="tlid-translation">
    <w:name w:val="tlid-translation"/>
    <w:basedOn w:val="DefaultParagraphFont"/>
    <w:rsid w:val="00961A62"/>
  </w:style>
  <w:style w:type="paragraph" w:styleId="HTMLPreformatted">
    <w:name w:val="HTML Preformatted"/>
    <w:basedOn w:val="Normal"/>
    <w:link w:val="HTMLPreformattedChar"/>
    <w:uiPriority w:val="99"/>
    <w:semiHidden/>
    <w:unhideWhenUsed/>
    <w:rsid w:val="00961A62"/>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fr-CA"/>
    </w:rPr>
  </w:style>
  <w:style w:type="character" w:customStyle="1" w:styleId="HTMLPreformattedChar">
    <w:name w:val="HTML Preformatted Char"/>
    <w:basedOn w:val="DefaultParagraphFont"/>
    <w:link w:val="HTMLPreformatted"/>
    <w:uiPriority w:val="99"/>
    <w:semiHidden/>
    <w:rsid w:val="00961A62"/>
    <w:rPr>
      <w:rFonts w:ascii="Courier New" w:eastAsia="Times New Roman" w:hAnsi="Courier New" w:cs="Courier New"/>
      <w:sz w:val="20"/>
      <w:szCs w:val="20"/>
      <w:lang w:val="fr-CA" w:eastAsia="fr-CA"/>
    </w:rPr>
  </w:style>
  <w:style w:type="character" w:styleId="Strong">
    <w:name w:val="Strong"/>
    <w:basedOn w:val="DefaultParagraphFont"/>
    <w:uiPriority w:val="22"/>
    <w:qFormat/>
    <w:rsid w:val="00014002"/>
    <w:rPr>
      <w:b/>
      <w:bCs/>
      <w:color w:val="auto"/>
    </w:rPr>
  </w:style>
  <w:style w:type="character" w:styleId="FollowedHyperlink">
    <w:name w:val="FollowedHyperlink"/>
    <w:basedOn w:val="DefaultParagraphFont"/>
    <w:uiPriority w:val="99"/>
    <w:semiHidden/>
    <w:unhideWhenUsed/>
    <w:rsid w:val="00494124"/>
    <w:rPr>
      <w:color w:val="A5A5A5" w:themeColor="followedHyperlink"/>
      <w:u w:val="single"/>
    </w:rPr>
  </w:style>
  <w:style w:type="character" w:customStyle="1" w:styleId="hidden1">
    <w:name w:val="hidden1"/>
    <w:basedOn w:val="DefaultParagraphFont"/>
    <w:rsid w:val="0001148A"/>
    <w:rPr>
      <w:vanish/>
      <w:webHidden w:val="0"/>
      <w:specVanish w:val="0"/>
    </w:rPr>
  </w:style>
  <w:style w:type="character" w:customStyle="1" w:styleId="goto-en">
    <w:name w:val="goto-en"/>
    <w:basedOn w:val="DefaultParagraphFont"/>
    <w:rsid w:val="0001148A"/>
  </w:style>
  <w:style w:type="character" w:customStyle="1" w:styleId="inline-date">
    <w:name w:val="inline-date"/>
    <w:basedOn w:val="DefaultParagraphFont"/>
    <w:rsid w:val="0001148A"/>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basedOn w:val="DefaultParagraphFont"/>
    <w:link w:val="ListParagraph"/>
    <w:uiPriority w:val="34"/>
    <w:qFormat/>
    <w:locked/>
    <w:rsid w:val="00CE3C7F"/>
    <w:rPr>
      <w:color w:val="54575A" w:themeColor="text1"/>
      <w:lang w:val="fr-CA"/>
    </w:rPr>
  </w:style>
  <w:style w:type="paragraph" w:styleId="PlainText">
    <w:name w:val="Plain Text"/>
    <w:basedOn w:val="Normal"/>
    <w:link w:val="PlainTextChar"/>
    <w:uiPriority w:val="99"/>
    <w:semiHidden/>
    <w:unhideWhenUsed/>
    <w:rsid w:val="00BC0711"/>
    <w:pPr>
      <w:keepLines w:val="0"/>
      <w:spacing w:after="0" w:line="240" w:lineRule="auto"/>
    </w:pPr>
    <w:rPr>
      <w:rFonts w:ascii="Calibri" w:hAnsi="Calibri"/>
      <w:color w:val="auto"/>
      <w:szCs w:val="21"/>
      <w:lang w:val="en-CA"/>
    </w:rPr>
  </w:style>
  <w:style w:type="character" w:customStyle="1" w:styleId="PlainTextChar">
    <w:name w:val="Plain Text Char"/>
    <w:basedOn w:val="DefaultParagraphFont"/>
    <w:link w:val="PlainText"/>
    <w:uiPriority w:val="99"/>
    <w:semiHidden/>
    <w:rsid w:val="00BC0711"/>
    <w:rPr>
      <w:rFonts w:ascii="Calibri" w:hAnsi="Calibri"/>
      <w:szCs w:val="21"/>
    </w:rPr>
  </w:style>
  <w:style w:type="character" w:customStyle="1" w:styleId="nowrap">
    <w:name w:val="nowrap"/>
    <w:basedOn w:val="DefaultParagraphFont"/>
    <w:rsid w:val="0026293A"/>
  </w:style>
  <w:style w:type="paragraph" w:customStyle="1" w:styleId="Style4">
    <w:name w:val="Style4"/>
    <w:basedOn w:val="Normal"/>
    <w:link w:val="Style4Char"/>
    <w:qFormat/>
    <w:rsid w:val="006E25B3"/>
    <w:pPr>
      <w:keepLines w:val="0"/>
      <w:spacing w:after="0" w:line="240" w:lineRule="auto"/>
    </w:pPr>
    <w:rPr>
      <w:rFonts w:ascii="Arial" w:eastAsia="Times New Roman" w:hAnsi="Arial" w:cs="Arial"/>
      <w:color w:val="auto"/>
      <w:sz w:val="24"/>
      <w:szCs w:val="20"/>
      <w:u w:val="single"/>
      <w:lang w:val="en-CA" w:eastAsia="en-CA"/>
    </w:rPr>
  </w:style>
  <w:style w:type="character" w:customStyle="1" w:styleId="Style4Char">
    <w:name w:val="Style4 Char"/>
    <w:basedOn w:val="DefaultParagraphFont"/>
    <w:link w:val="Style4"/>
    <w:rsid w:val="006E25B3"/>
    <w:rPr>
      <w:rFonts w:ascii="Arial" w:eastAsia="Times New Roman" w:hAnsi="Arial" w:cs="Arial"/>
      <w:sz w:val="24"/>
      <w:szCs w:val="20"/>
      <w:u w:val="single"/>
      <w:lang w:eastAsia="en-CA"/>
    </w:rPr>
  </w:style>
  <w:style w:type="character" w:styleId="CommentReference">
    <w:name w:val="annotation reference"/>
    <w:basedOn w:val="DefaultParagraphFont"/>
    <w:uiPriority w:val="99"/>
    <w:semiHidden/>
    <w:unhideWhenUsed/>
    <w:rsid w:val="008C2BDB"/>
    <w:rPr>
      <w:sz w:val="16"/>
      <w:szCs w:val="16"/>
    </w:rPr>
  </w:style>
  <w:style w:type="paragraph" w:styleId="CommentText">
    <w:name w:val="annotation text"/>
    <w:basedOn w:val="Normal"/>
    <w:link w:val="CommentTextChar"/>
    <w:uiPriority w:val="99"/>
    <w:semiHidden/>
    <w:unhideWhenUsed/>
    <w:rsid w:val="008C2BDB"/>
    <w:pPr>
      <w:spacing w:line="240" w:lineRule="auto"/>
    </w:pPr>
    <w:rPr>
      <w:sz w:val="20"/>
      <w:szCs w:val="20"/>
    </w:rPr>
  </w:style>
  <w:style w:type="character" w:customStyle="1" w:styleId="CommentTextChar">
    <w:name w:val="Comment Text Char"/>
    <w:basedOn w:val="DefaultParagraphFont"/>
    <w:link w:val="CommentText"/>
    <w:uiPriority w:val="99"/>
    <w:semiHidden/>
    <w:rsid w:val="008C2BDB"/>
    <w:rPr>
      <w:color w:val="54575A" w:themeColor="text1"/>
      <w:sz w:val="20"/>
      <w:szCs w:val="20"/>
      <w:lang w:val="fr-CA"/>
    </w:rPr>
  </w:style>
  <w:style w:type="paragraph" w:styleId="CommentSubject">
    <w:name w:val="annotation subject"/>
    <w:basedOn w:val="CommentText"/>
    <w:next w:val="CommentText"/>
    <w:link w:val="CommentSubjectChar"/>
    <w:uiPriority w:val="99"/>
    <w:semiHidden/>
    <w:unhideWhenUsed/>
    <w:rsid w:val="008C2BDB"/>
    <w:rPr>
      <w:b/>
      <w:bCs/>
    </w:rPr>
  </w:style>
  <w:style w:type="character" w:customStyle="1" w:styleId="CommentSubjectChar">
    <w:name w:val="Comment Subject Char"/>
    <w:basedOn w:val="CommentTextChar"/>
    <w:link w:val="CommentSubject"/>
    <w:uiPriority w:val="99"/>
    <w:semiHidden/>
    <w:rsid w:val="008C2BDB"/>
    <w:rPr>
      <w:b/>
      <w:bCs/>
      <w:color w:val="54575A" w:themeColor="text1"/>
      <w:sz w:val="20"/>
      <w:szCs w:val="20"/>
      <w:lang w:val="fr-CA"/>
    </w:rPr>
  </w:style>
  <w:style w:type="character" w:styleId="Emphasis">
    <w:name w:val="Emphasis"/>
    <w:basedOn w:val="DefaultParagraphFont"/>
    <w:uiPriority w:val="20"/>
    <w:qFormat/>
    <w:rsid w:val="00B83037"/>
    <w:rPr>
      <w:rFonts w:ascii="Segoe UI Semilight" w:hAnsi="Segoe UI Semilight"/>
      <w:color w:val="auto"/>
      <w:sz w:val="22"/>
    </w:rPr>
  </w:style>
  <w:style w:type="paragraph" w:styleId="Caption">
    <w:name w:val="caption"/>
    <w:basedOn w:val="Normal"/>
    <w:next w:val="Normal"/>
    <w:uiPriority w:val="35"/>
    <w:unhideWhenUsed/>
    <w:qFormat/>
    <w:rsid w:val="006602C5"/>
    <w:pPr>
      <w:spacing w:after="200" w:line="240" w:lineRule="auto"/>
    </w:pPr>
    <w:rPr>
      <w:i/>
      <w:iCs/>
      <w:color w:val="54575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5374">
      <w:bodyDiv w:val="1"/>
      <w:marLeft w:val="0"/>
      <w:marRight w:val="0"/>
      <w:marTop w:val="0"/>
      <w:marBottom w:val="0"/>
      <w:divBdr>
        <w:top w:val="none" w:sz="0" w:space="0" w:color="auto"/>
        <w:left w:val="none" w:sz="0" w:space="0" w:color="auto"/>
        <w:bottom w:val="none" w:sz="0" w:space="0" w:color="auto"/>
        <w:right w:val="none" w:sz="0" w:space="0" w:color="auto"/>
      </w:divBdr>
    </w:div>
    <w:div w:id="232399979">
      <w:bodyDiv w:val="1"/>
      <w:marLeft w:val="0"/>
      <w:marRight w:val="0"/>
      <w:marTop w:val="0"/>
      <w:marBottom w:val="0"/>
      <w:divBdr>
        <w:top w:val="none" w:sz="0" w:space="0" w:color="auto"/>
        <w:left w:val="none" w:sz="0" w:space="0" w:color="auto"/>
        <w:bottom w:val="none" w:sz="0" w:space="0" w:color="auto"/>
        <w:right w:val="none" w:sz="0" w:space="0" w:color="auto"/>
      </w:divBdr>
    </w:div>
    <w:div w:id="345407012">
      <w:bodyDiv w:val="1"/>
      <w:marLeft w:val="0"/>
      <w:marRight w:val="0"/>
      <w:marTop w:val="0"/>
      <w:marBottom w:val="0"/>
      <w:divBdr>
        <w:top w:val="none" w:sz="0" w:space="0" w:color="auto"/>
        <w:left w:val="none" w:sz="0" w:space="0" w:color="auto"/>
        <w:bottom w:val="none" w:sz="0" w:space="0" w:color="auto"/>
        <w:right w:val="none" w:sz="0" w:space="0" w:color="auto"/>
      </w:divBdr>
    </w:div>
    <w:div w:id="393091260">
      <w:bodyDiv w:val="1"/>
      <w:marLeft w:val="0"/>
      <w:marRight w:val="0"/>
      <w:marTop w:val="0"/>
      <w:marBottom w:val="0"/>
      <w:divBdr>
        <w:top w:val="none" w:sz="0" w:space="0" w:color="auto"/>
        <w:left w:val="none" w:sz="0" w:space="0" w:color="auto"/>
        <w:bottom w:val="none" w:sz="0" w:space="0" w:color="auto"/>
        <w:right w:val="none" w:sz="0" w:space="0" w:color="auto"/>
      </w:divBdr>
    </w:div>
    <w:div w:id="419109583">
      <w:bodyDiv w:val="1"/>
      <w:marLeft w:val="0"/>
      <w:marRight w:val="0"/>
      <w:marTop w:val="0"/>
      <w:marBottom w:val="0"/>
      <w:divBdr>
        <w:top w:val="none" w:sz="0" w:space="0" w:color="auto"/>
        <w:left w:val="none" w:sz="0" w:space="0" w:color="auto"/>
        <w:bottom w:val="none" w:sz="0" w:space="0" w:color="auto"/>
        <w:right w:val="none" w:sz="0" w:space="0" w:color="auto"/>
      </w:divBdr>
    </w:div>
    <w:div w:id="453787379">
      <w:bodyDiv w:val="1"/>
      <w:marLeft w:val="0"/>
      <w:marRight w:val="0"/>
      <w:marTop w:val="0"/>
      <w:marBottom w:val="0"/>
      <w:divBdr>
        <w:top w:val="none" w:sz="0" w:space="0" w:color="auto"/>
        <w:left w:val="none" w:sz="0" w:space="0" w:color="auto"/>
        <w:bottom w:val="none" w:sz="0" w:space="0" w:color="auto"/>
        <w:right w:val="none" w:sz="0" w:space="0" w:color="auto"/>
      </w:divBdr>
    </w:div>
    <w:div w:id="463428877">
      <w:bodyDiv w:val="1"/>
      <w:marLeft w:val="0"/>
      <w:marRight w:val="0"/>
      <w:marTop w:val="0"/>
      <w:marBottom w:val="0"/>
      <w:divBdr>
        <w:top w:val="none" w:sz="0" w:space="0" w:color="auto"/>
        <w:left w:val="none" w:sz="0" w:space="0" w:color="auto"/>
        <w:bottom w:val="none" w:sz="0" w:space="0" w:color="auto"/>
        <w:right w:val="none" w:sz="0" w:space="0" w:color="auto"/>
      </w:divBdr>
    </w:div>
    <w:div w:id="503976115">
      <w:bodyDiv w:val="1"/>
      <w:marLeft w:val="0"/>
      <w:marRight w:val="0"/>
      <w:marTop w:val="0"/>
      <w:marBottom w:val="0"/>
      <w:divBdr>
        <w:top w:val="none" w:sz="0" w:space="0" w:color="auto"/>
        <w:left w:val="none" w:sz="0" w:space="0" w:color="auto"/>
        <w:bottom w:val="none" w:sz="0" w:space="0" w:color="auto"/>
        <w:right w:val="none" w:sz="0" w:space="0" w:color="auto"/>
      </w:divBdr>
      <w:divsChild>
        <w:div w:id="272444103">
          <w:marLeft w:val="0"/>
          <w:marRight w:val="0"/>
          <w:marTop w:val="0"/>
          <w:marBottom w:val="0"/>
          <w:divBdr>
            <w:top w:val="none" w:sz="0" w:space="0" w:color="auto"/>
            <w:left w:val="none" w:sz="0" w:space="0" w:color="auto"/>
            <w:bottom w:val="none" w:sz="0" w:space="0" w:color="auto"/>
            <w:right w:val="none" w:sz="0" w:space="0" w:color="auto"/>
          </w:divBdr>
          <w:divsChild>
            <w:div w:id="706831204">
              <w:marLeft w:val="0"/>
              <w:marRight w:val="0"/>
              <w:marTop w:val="0"/>
              <w:marBottom w:val="0"/>
              <w:divBdr>
                <w:top w:val="none" w:sz="0" w:space="0" w:color="auto"/>
                <w:left w:val="none" w:sz="0" w:space="0" w:color="auto"/>
                <w:bottom w:val="none" w:sz="0" w:space="0" w:color="auto"/>
                <w:right w:val="none" w:sz="0" w:space="0" w:color="auto"/>
              </w:divBdr>
              <w:divsChild>
                <w:div w:id="1892031744">
                  <w:marLeft w:val="-225"/>
                  <w:marRight w:val="-225"/>
                  <w:marTop w:val="0"/>
                  <w:marBottom w:val="0"/>
                  <w:divBdr>
                    <w:top w:val="none" w:sz="0" w:space="0" w:color="auto"/>
                    <w:left w:val="none" w:sz="0" w:space="0" w:color="auto"/>
                    <w:bottom w:val="none" w:sz="0" w:space="0" w:color="auto"/>
                    <w:right w:val="none" w:sz="0" w:space="0" w:color="auto"/>
                  </w:divBdr>
                  <w:divsChild>
                    <w:div w:id="513302948">
                      <w:marLeft w:val="0"/>
                      <w:marRight w:val="0"/>
                      <w:marTop w:val="0"/>
                      <w:marBottom w:val="0"/>
                      <w:divBdr>
                        <w:top w:val="none" w:sz="0" w:space="0" w:color="auto"/>
                        <w:left w:val="none" w:sz="0" w:space="0" w:color="auto"/>
                        <w:bottom w:val="none" w:sz="0" w:space="0" w:color="auto"/>
                        <w:right w:val="none" w:sz="0" w:space="0" w:color="auto"/>
                      </w:divBdr>
                      <w:divsChild>
                        <w:div w:id="228229056">
                          <w:marLeft w:val="0"/>
                          <w:marRight w:val="0"/>
                          <w:marTop w:val="0"/>
                          <w:marBottom w:val="0"/>
                          <w:divBdr>
                            <w:top w:val="none" w:sz="0" w:space="0" w:color="auto"/>
                            <w:left w:val="none" w:sz="0" w:space="0" w:color="auto"/>
                            <w:bottom w:val="none" w:sz="0" w:space="0" w:color="auto"/>
                            <w:right w:val="none" w:sz="0" w:space="0" w:color="auto"/>
                          </w:divBdr>
                        </w:div>
                        <w:div w:id="1616212350">
                          <w:marLeft w:val="0"/>
                          <w:marRight w:val="0"/>
                          <w:marTop w:val="0"/>
                          <w:marBottom w:val="0"/>
                          <w:divBdr>
                            <w:top w:val="none" w:sz="0" w:space="0" w:color="auto"/>
                            <w:left w:val="none" w:sz="0" w:space="0" w:color="auto"/>
                            <w:bottom w:val="none" w:sz="0" w:space="0" w:color="auto"/>
                            <w:right w:val="none" w:sz="0" w:space="0" w:color="auto"/>
                          </w:divBdr>
                          <w:divsChild>
                            <w:div w:id="426581307">
                              <w:marLeft w:val="0"/>
                              <w:marRight w:val="0"/>
                              <w:marTop w:val="0"/>
                              <w:marBottom w:val="0"/>
                              <w:divBdr>
                                <w:top w:val="none" w:sz="0" w:space="0" w:color="auto"/>
                                <w:left w:val="none" w:sz="0" w:space="0" w:color="auto"/>
                                <w:bottom w:val="none" w:sz="0" w:space="0" w:color="auto"/>
                                <w:right w:val="none" w:sz="0" w:space="0" w:color="auto"/>
                              </w:divBdr>
                              <w:divsChild>
                                <w:div w:id="165632554">
                                  <w:marLeft w:val="0"/>
                                  <w:marRight w:val="0"/>
                                  <w:marTop w:val="0"/>
                                  <w:marBottom w:val="0"/>
                                  <w:divBdr>
                                    <w:top w:val="none" w:sz="0" w:space="0" w:color="auto"/>
                                    <w:left w:val="none" w:sz="0" w:space="0" w:color="auto"/>
                                    <w:bottom w:val="none" w:sz="0" w:space="0" w:color="auto"/>
                                    <w:right w:val="none" w:sz="0" w:space="0" w:color="auto"/>
                                  </w:divBdr>
                                  <w:divsChild>
                                    <w:div w:id="473451635">
                                      <w:marLeft w:val="0"/>
                                      <w:marRight w:val="0"/>
                                      <w:marTop w:val="0"/>
                                      <w:marBottom w:val="0"/>
                                      <w:divBdr>
                                        <w:top w:val="none" w:sz="0" w:space="0" w:color="auto"/>
                                        <w:left w:val="none" w:sz="0" w:space="0" w:color="auto"/>
                                        <w:bottom w:val="none" w:sz="0" w:space="0" w:color="auto"/>
                                        <w:right w:val="none" w:sz="0" w:space="0" w:color="auto"/>
                                      </w:divBdr>
                                    </w:div>
                                    <w:div w:id="822160714">
                                      <w:marLeft w:val="0"/>
                                      <w:marRight w:val="0"/>
                                      <w:marTop w:val="0"/>
                                      <w:marBottom w:val="0"/>
                                      <w:divBdr>
                                        <w:top w:val="none" w:sz="0" w:space="0" w:color="auto"/>
                                        <w:left w:val="none" w:sz="0" w:space="0" w:color="auto"/>
                                        <w:bottom w:val="none" w:sz="0" w:space="0" w:color="auto"/>
                                        <w:right w:val="none" w:sz="0" w:space="0" w:color="auto"/>
                                      </w:divBdr>
                                      <w:divsChild>
                                        <w:div w:id="1703049853">
                                          <w:marLeft w:val="0"/>
                                          <w:marRight w:val="0"/>
                                          <w:marTop w:val="0"/>
                                          <w:marBottom w:val="0"/>
                                          <w:divBdr>
                                            <w:top w:val="none" w:sz="0" w:space="0" w:color="auto"/>
                                            <w:left w:val="none" w:sz="0" w:space="0" w:color="auto"/>
                                            <w:bottom w:val="none" w:sz="0" w:space="0" w:color="auto"/>
                                            <w:right w:val="none" w:sz="0" w:space="0" w:color="auto"/>
                                          </w:divBdr>
                                          <w:divsChild>
                                            <w:div w:id="1517308555">
                                              <w:marLeft w:val="150"/>
                                              <w:marRight w:val="150"/>
                                              <w:marTop w:val="150"/>
                                              <w:marBottom w:val="150"/>
                                              <w:divBdr>
                                                <w:top w:val="none" w:sz="0" w:space="0" w:color="auto"/>
                                                <w:left w:val="none" w:sz="0" w:space="0" w:color="auto"/>
                                                <w:bottom w:val="none" w:sz="0" w:space="0" w:color="auto"/>
                                                <w:right w:val="none" w:sz="0" w:space="0" w:color="auto"/>
                                              </w:divBdr>
                                              <w:divsChild>
                                                <w:div w:id="1725641514">
                                                  <w:marLeft w:val="0"/>
                                                  <w:marRight w:val="0"/>
                                                  <w:marTop w:val="0"/>
                                                  <w:marBottom w:val="0"/>
                                                  <w:divBdr>
                                                    <w:top w:val="single" w:sz="6" w:space="0" w:color="999999"/>
                                                    <w:left w:val="single" w:sz="6" w:space="0" w:color="999999"/>
                                                    <w:bottom w:val="single" w:sz="6" w:space="0" w:color="999999"/>
                                                    <w:right w:val="single" w:sz="6" w:space="0" w:color="999999"/>
                                                  </w:divBdr>
                                                  <w:divsChild>
                                                    <w:div w:id="2041783186">
                                                      <w:marLeft w:val="0"/>
                                                      <w:marRight w:val="0"/>
                                                      <w:marTop w:val="0"/>
                                                      <w:marBottom w:val="0"/>
                                                      <w:divBdr>
                                                        <w:top w:val="none" w:sz="0" w:space="0" w:color="auto"/>
                                                        <w:left w:val="none" w:sz="0" w:space="0" w:color="auto"/>
                                                        <w:bottom w:val="single" w:sz="6" w:space="11" w:color="E5E5E5"/>
                                                        <w:right w:val="none" w:sz="0" w:space="0" w:color="auto"/>
                                                      </w:divBdr>
                                                    </w:div>
                                                    <w:div w:id="15654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98586">
                      <w:marLeft w:val="0"/>
                      <w:marRight w:val="0"/>
                      <w:marTop w:val="0"/>
                      <w:marBottom w:val="0"/>
                      <w:divBdr>
                        <w:top w:val="none" w:sz="0" w:space="0" w:color="auto"/>
                        <w:left w:val="none" w:sz="0" w:space="0" w:color="auto"/>
                        <w:bottom w:val="none" w:sz="0" w:space="0" w:color="auto"/>
                        <w:right w:val="none" w:sz="0" w:space="0" w:color="auto"/>
                      </w:divBdr>
                      <w:divsChild>
                        <w:div w:id="68120644">
                          <w:marLeft w:val="0"/>
                          <w:marRight w:val="0"/>
                          <w:marTop w:val="0"/>
                          <w:marBottom w:val="0"/>
                          <w:divBdr>
                            <w:top w:val="none" w:sz="0" w:space="0" w:color="auto"/>
                            <w:left w:val="none" w:sz="0" w:space="0" w:color="auto"/>
                            <w:bottom w:val="none" w:sz="0" w:space="0" w:color="auto"/>
                            <w:right w:val="none" w:sz="0" w:space="0" w:color="auto"/>
                          </w:divBdr>
                          <w:divsChild>
                            <w:div w:id="191191006">
                              <w:marLeft w:val="0"/>
                              <w:marRight w:val="0"/>
                              <w:marTop w:val="0"/>
                              <w:marBottom w:val="0"/>
                              <w:divBdr>
                                <w:top w:val="none" w:sz="0" w:space="0" w:color="auto"/>
                                <w:left w:val="none" w:sz="0" w:space="0" w:color="auto"/>
                                <w:bottom w:val="none" w:sz="0" w:space="0" w:color="auto"/>
                                <w:right w:val="none" w:sz="0" w:space="0" w:color="auto"/>
                              </w:divBdr>
                              <w:divsChild>
                                <w:div w:id="1953173492">
                                  <w:marLeft w:val="0"/>
                                  <w:marRight w:val="0"/>
                                  <w:marTop w:val="0"/>
                                  <w:marBottom w:val="0"/>
                                  <w:divBdr>
                                    <w:top w:val="none" w:sz="0" w:space="0" w:color="auto"/>
                                    <w:left w:val="none" w:sz="0" w:space="0" w:color="auto"/>
                                    <w:bottom w:val="none" w:sz="0" w:space="0" w:color="auto"/>
                                    <w:right w:val="none" w:sz="0" w:space="0" w:color="auto"/>
                                  </w:divBdr>
                                </w:div>
                                <w:div w:id="198056409">
                                  <w:marLeft w:val="0"/>
                                  <w:marRight w:val="0"/>
                                  <w:marTop w:val="0"/>
                                  <w:marBottom w:val="0"/>
                                  <w:divBdr>
                                    <w:top w:val="none" w:sz="0" w:space="0" w:color="auto"/>
                                    <w:left w:val="none" w:sz="0" w:space="0" w:color="auto"/>
                                    <w:bottom w:val="none" w:sz="0" w:space="0" w:color="auto"/>
                                    <w:right w:val="none" w:sz="0" w:space="0" w:color="auto"/>
                                  </w:divBdr>
                                </w:div>
                                <w:div w:id="1393194950">
                                  <w:marLeft w:val="0"/>
                                  <w:marRight w:val="0"/>
                                  <w:marTop w:val="0"/>
                                  <w:marBottom w:val="0"/>
                                  <w:divBdr>
                                    <w:top w:val="none" w:sz="0" w:space="0" w:color="auto"/>
                                    <w:left w:val="none" w:sz="0" w:space="0" w:color="auto"/>
                                    <w:bottom w:val="none" w:sz="0" w:space="0" w:color="auto"/>
                                    <w:right w:val="none" w:sz="0" w:space="0" w:color="auto"/>
                                  </w:divBdr>
                                  <w:divsChild>
                                    <w:div w:id="6087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80430">
      <w:bodyDiv w:val="1"/>
      <w:marLeft w:val="0"/>
      <w:marRight w:val="0"/>
      <w:marTop w:val="0"/>
      <w:marBottom w:val="0"/>
      <w:divBdr>
        <w:top w:val="none" w:sz="0" w:space="0" w:color="auto"/>
        <w:left w:val="none" w:sz="0" w:space="0" w:color="auto"/>
        <w:bottom w:val="none" w:sz="0" w:space="0" w:color="auto"/>
        <w:right w:val="none" w:sz="0" w:space="0" w:color="auto"/>
      </w:divBdr>
    </w:div>
    <w:div w:id="532308333">
      <w:bodyDiv w:val="1"/>
      <w:marLeft w:val="0"/>
      <w:marRight w:val="0"/>
      <w:marTop w:val="0"/>
      <w:marBottom w:val="0"/>
      <w:divBdr>
        <w:top w:val="none" w:sz="0" w:space="0" w:color="auto"/>
        <w:left w:val="none" w:sz="0" w:space="0" w:color="auto"/>
        <w:bottom w:val="none" w:sz="0" w:space="0" w:color="auto"/>
        <w:right w:val="none" w:sz="0" w:space="0" w:color="auto"/>
      </w:divBdr>
    </w:div>
    <w:div w:id="620498364">
      <w:bodyDiv w:val="1"/>
      <w:marLeft w:val="0"/>
      <w:marRight w:val="0"/>
      <w:marTop w:val="0"/>
      <w:marBottom w:val="0"/>
      <w:divBdr>
        <w:top w:val="none" w:sz="0" w:space="0" w:color="auto"/>
        <w:left w:val="none" w:sz="0" w:space="0" w:color="auto"/>
        <w:bottom w:val="none" w:sz="0" w:space="0" w:color="auto"/>
        <w:right w:val="none" w:sz="0" w:space="0" w:color="auto"/>
      </w:divBdr>
    </w:div>
    <w:div w:id="682518355">
      <w:bodyDiv w:val="1"/>
      <w:marLeft w:val="0"/>
      <w:marRight w:val="0"/>
      <w:marTop w:val="0"/>
      <w:marBottom w:val="0"/>
      <w:divBdr>
        <w:top w:val="none" w:sz="0" w:space="0" w:color="auto"/>
        <w:left w:val="none" w:sz="0" w:space="0" w:color="auto"/>
        <w:bottom w:val="none" w:sz="0" w:space="0" w:color="auto"/>
        <w:right w:val="none" w:sz="0" w:space="0" w:color="auto"/>
      </w:divBdr>
    </w:div>
    <w:div w:id="1031875605">
      <w:bodyDiv w:val="1"/>
      <w:marLeft w:val="0"/>
      <w:marRight w:val="0"/>
      <w:marTop w:val="0"/>
      <w:marBottom w:val="0"/>
      <w:divBdr>
        <w:top w:val="none" w:sz="0" w:space="0" w:color="auto"/>
        <w:left w:val="none" w:sz="0" w:space="0" w:color="auto"/>
        <w:bottom w:val="none" w:sz="0" w:space="0" w:color="auto"/>
        <w:right w:val="none" w:sz="0" w:space="0" w:color="auto"/>
      </w:divBdr>
    </w:div>
    <w:div w:id="1127898242">
      <w:bodyDiv w:val="1"/>
      <w:marLeft w:val="0"/>
      <w:marRight w:val="0"/>
      <w:marTop w:val="0"/>
      <w:marBottom w:val="0"/>
      <w:divBdr>
        <w:top w:val="none" w:sz="0" w:space="0" w:color="auto"/>
        <w:left w:val="none" w:sz="0" w:space="0" w:color="auto"/>
        <w:bottom w:val="none" w:sz="0" w:space="0" w:color="auto"/>
        <w:right w:val="none" w:sz="0" w:space="0" w:color="auto"/>
      </w:divBdr>
    </w:div>
    <w:div w:id="1295865556">
      <w:bodyDiv w:val="1"/>
      <w:marLeft w:val="0"/>
      <w:marRight w:val="0"/>
      <w:marTop w:val="0"/>
      <w:marBottom w:val="0"/>
      <w:divBdr>
        <w:top w:val="none" w:sz="0" w:space="0" w:color="auto"/>
        <w:left w:val="none" w:sz="0" w:space="0" w:color="auto"/>
        <w:bottom w:val="none" w:sz="0" w:space="0" w:color="auto"/>
        <w:right w:val="none" w:sz="0" w:space="0" w:color="auto"/>
      </w:divBdr>
    </w:div>
    <w:div w:id="1478954220">
      <w:bodyDiv w:val="1"/>
      <w:marLeft w:val="0"/>
      <w:marRight w:val="0"/>
      <w:marTop w:val="0"/>
      <w:marBottom w:val="0"/>
      <w:divBdr>
        <w:top w:val="none" w:sz="0" w:space="0" w:color="auto"/>
        <w:left w:val="none" w:sz="0" w:space="0" w:color="auto"/>
        <w:bottom w:val="none" w:sz="0" w:space="0" w:color="auto"/>
        <w:right w:val="none" w:sz="0" w:space="0" w:color="auto"/>
      </w:divBdr>
    </w:div>
    <w:div w:id="1521509932">
      <w:bodyDiv w:val="1"/>
      <w:marLeft w:val="0"/>
      <w:marRight w:val="0"/>
      <w:marTop w:val="0"/>
      <w:marBottom w:val="0"/>
      <w:divBdr>
        <w:top w:val="none" w:sz="0" w:space="0" w:color="auto"/>
        <w:left w:val="none" w:sz="0" w:space="0" w:color="auto"/>
        <w:bottom w:val="none" w:sz="0" w:space="0" w:color="auto"/>
        <w:right w:val="none" w:sz="0" w:space="0" w:color="auto"/>
      </w:divBdr>
      <w:divsChild>
        <w:div w:id="856969164">
          <w:marLeft w:val="0"/>
          <w:marRight w:val="0"/>
          <w:marTop w:val="0"/>
          <w:marBottom w:val="0"/>
          <w:divBdr>
            <w:top w:val="none" w:sz="0" w:space="0" w:color="auto"/>
            <w:left w:val="none" w:sz="0" w:space="0" w:color="auto"/>
            <w:bottom w:val="none" w:sz="0" w:space="0" w:color="auto"/>
            <w:right w:val="none" w:sz="0" w:space="0" w:color="auto"/>
          </w:divBdr>
          <w:divsChild>
            <w:div w:id="976225772">
              <w:marLeft w:val="0"/>
              <w:marRight w:val="0"/>
              <w:marTop w:val="0"/>
              <w:marBottom w:val="0"/>
              <w:divBdr>
                <w:top w:val="none" w:sz="0" w:space="0" w:color="auto"/>
                <w:left w:val="none" w:sz="0" w:space="0" w:color="auto"/>
                <w:bottom w:val="none" w:sz="0" w:space="0" w:color="auto"/>
                <w:right w:val="none" w:sz="0" w:space="0" w:color="auto"/>
              </w:divBdr>
              <w:divsChild>
                <w:div w:id="1645230152">
                  <w:marLeft w:val="0"/>
                  <w:marRight w:val="0"/>
                  <w:marTop w:val="0"/>
                  <w:marBottom w:val="0"/>
                  <w:divBdr>
                    <w:top w:val="none" w:sz="0" w:space="0" w:color="auto"/>
                    <w:left w:val="none" w:sz="0" w:space="0" w:color="auto"/>
                    <w:bottom w:val="none" w:sz="0" w:space="0" w:color="auto"/>
                    <w:right w:val="none" w:sz="0" w:space="0" w:color="auto"/>
                  </w:divBdr>
                  <w:divsChild>
                    <w:div w:id="1345864331">
                      <w:marLeft w:val="0"/>
                      <w:marRight w:val="0"/>
                      <w:marTop w:val="0"/>
                      <w:marBottom w:val="0"/>
                      <w:divBdr>
                        <w:top w:val="none" w:sz="0" w:space="0" w:color="auto"/>
                        <w:left w:val="none" w:sz="0" w:space="0" w:color="auto"/>
                        <w:bottom w:val="none" w:sz="0" w:space="0" w:color="auto"/>
                        <w:right w:val="none" w:sz="0" w:space="0" w:color="auto"/>
                      </w:divBdr>
                      <w:divsChild>
                        <w:div w:id="623586269">
                          <w:marLeft w:val="0"/>
                          <w:marRight w:val="0"/>
                          <w:marTop w:val="0"/>
                          <w:marBottom w:val="0"/>
                          <w:divBdr>
                            <w:top w:val="none" w:sz="0" w:space="0" w:color="auto"/>
                            <w:left w:val="none" w:sz="0" w:space="0" w:color="auto"/>
                            <w:bottom w:val="none" w:sz="0" w:space="0" w:color="auto"/>
                            <w:right w:val="none" w:sz="0" w:space="0" w:color="auto"/>
                          </w:divBdr>
                          <w:divsChild>
                            <w:div w:id="808977613">
                              <w:marLeft w:val="2700"/>
                              <w:marRight w:val="3960"/>
                              <w:marTop w:val="0"/>
                              <w:marBottom w:val="0"/>
                              <w:divBdr>
                                <w:top w:val="none" w:sz="0" w:space="0" w:color="auto"/>
                                <w:left w:val="none" w:sz="0" w:space="0" w:color="auto"/>
                                <w:bottom w:val="none" w:sz="0" w:space="0" w:color="auto"/>
                                <w:right w:val="none" w:sz="0" w:space="0" w:color="auto"/>
                              </w:divBdr>
                              <w:divsChild>
                                <w:div w:id="1724597064">
                                  <w:marLeft w:val="0"/>
                                  <w:marRight w:val="0"/>
                                  <w:marTop w:val="0"/>
                                  <w:marBottom w:val="0"/>
                                  <w:divBdr>
                                    <w:top w:val="none" w:sz="0" w:space="0" w:color="auto"/>
                                    <w:left w:val="none" w:sz="0" w:space="0" w:color="auto"/>
                                    <w:bottom w:val="none" w:sz="0" w:space="0" w:color="auto"/>
                                    <w:right w:val="none" w:sz="0" w:space="0" w:color="auto"/>
                                  </w:divBdr>
                                  <w:divsChild>
                                    <w:div w:id="243993520">
                                      <w:marLeft w:val="0"/>
                                      <w:marRight w:val="0"/>
                                      <w:marTop w:val="0"/>
                                      <w:marBottom w:val="0"/>
                                      <w:divBdr>
                                        <w:top w:val="none" w:sz="0" w:space="0" w:color="auto"/>
                                        <w:left w:val="none" w:sz="0" w:space="0" w:color="auto"/>
                                        <w:bottom w:val="none" w:sz="0" w:space="0" w:color="auto"/>
                                        <w:right w:val="none" w:sz="0" w:space="0" w:color="auto"/>
                                      </w:divBdr>
                                      <w:divsChild>
                                        <w:div w:id="783503319">
                                          <w:marLeft w:val="0"/>
                                          <w:marRight w:val="0"/>
                                          <w:marTop w:val="0"/>
                                          <w:marBottom w:val="0"/>
                                          <w:divBdr>
                                            <w:top w:val="none" w:sz="0" w:space="0" w:color="auto"/>
                                            <w:left w:val="none" w:sz="0" w:space="0" w:color="auto"/>
                                            <w:bottom w:val="none" w:sz="0" w:space="0" w:color="auto"/>
                                            <w:right w:val="none" w:sz="0" w:space="0" w:color="auto"/>
                                          </w:divBdr>
                                          <w:divsChild>
                                            <w:div w:id="1609195484">
                                              <w:marLeft w:val="0"/>
                                              <w:marRight w:val="0"/>
                                              <w:marTop w:val="90"/>
                                              <w:marBottom w:val="0"/>
                                              <w:divBdr>
                                                <w:top w:val="none" w:sz="0" w:space="0" w:color="auto"/>
                                                <w:left w:val="none" w:sz="0" w:space="0" w:color="auto"/>
                                                <w:bottom w:val="none" w:sz="0" w:space="0" w:color="auto"/>
                                                <w:right w:val="none" w:sz="0" w:space="0" w:color="auto"/>
                                              </w:divBdr>
                                              <w:divsChild>
                                                <w:div w:id="877736742">
                                                  <w:marLeft w:val="0"/>
                                                  <w:marRight w:val="0"/>
                                                  <w:marTop w:val="0"/>
                                                  <w:marBottom w:val="420"/>
                                                  <w:divBdr>
                                                    <w:top w:val="none" w:sz="0" w:space="0" w:color="auto"/>
                                                    <w:left w:val="none" w:sz="0" w:space="0" w:color="auto"/>
                                                    <w:bottom w:val="none" w:sz="0" w:space="0" w:color="auto"/>
                                                    <w:right w:val="none" w:sz="0" w:space="0" w:color="auto"/>
                                                  </w:divBdr>
                                                  <w:divsChild>
                                                    <w:div w:id="2029092510">
                                                      <w:marLeft w:val="0"/>
                                                      <w:marRight w:val="0"/>
                                                      <w:marTop w:val="0"/>
                                                      <w:marBottom w:val="0"/>
                                                      <w:divBdr>
                                                        <w:top w:val="none" w:sz="0" w:space="0" w:color="auto"/>
                                                        <w:left w:val="none" w:sz="0" w:space="0" w:color="auto"/>
                                                        <w:bottom w:val="none" w:sz="0" w:space="0" w:color="auto"/>
                                                        <w:right w:val="none" w:sz="0" w:space="0" w:color="auto"/>
                                                      </w:divBdr>
                                                      <w:divsChild>
                                                        <w:div w:id="478813546">
                                                          <w:marLeft w:val="0"/>
                                                          <w:marRight w:val="0"/>
                                                          <w:marTop w:val="0"/>
                                                          <w:marBottom w:val="0"/>
                                                          <w:divBdr>
                                                            <w:top w:val="single" w:sz="6" w:space="0" w:color="DFE1E5"/>
                                                            <w:left w:val="single" w:sz="6" w:space="0" w:color="DFE1E5"/>
                                                            <w:bottom w:val="single" w:sz="6" w:space="0" w:color="DFE1E5"/>
                                                            <w:right w:val="single" w:sz="6" w:space="0" w:color="DFE1E5"/>
                                                          </w:divBdr>
                                                          <w:divsChild>
                                                            <w:div w:id="866019366">
                                                              <w:marLeft w:val="0"/>
                                                              <w:marRight w:val="0"/>
                                                              <w:marTop w:val="0"/>
                                                              <w:marBottom w:val="0"/>
                                                              <w:divBdr>
                                                                <w:top w:val="none" w:sz="0" w:space="0" w:color="auto"/>
                                                                <w:left w:val="none" w:sz="0" w:space="0" w:color="auto"/>
                                                                <w:bottom w:val="none" w:sz="0" w:space="0" w:color="auto"/>
                                                                <w:right w:val="none" w:sz="0" w:space="0" w:color="auto"/>
                                                              </w:divBdr>
                                                              <w:divsChild>
                                                                <w:div w:id="335420152">
                                                                  <w:marLeft w:val="0"/>
                                                                  <w:marRight w:val="0"/>
                                                                  <w:marTop w:val="0"/>
                                                                  <w:marBottom w:val="0"/>
                                                                  <w:divBdr>
                                                                    <w:top w:val="none" w:sz="0" w:space="0" w:color="auto"/>
                                                                    <w:left w:val="none" w:sz="0" w:space="0" w:color="auto"/>
                                                                    <w:bottom w:val="none" w:sz="0" w:space="0" w:color="auto"/>
                                                                    <w:right w:val="none" w:sz="0" w:space="0" w:color="auto"/>
                                                                  </w:divBdr>
                                                                  <w:divsChild>
                                                                    <w:div w:id="1304307345">
                                                                      <w:marLeft w:val="0"/>
                                                                      <w:marRight w:val="0"/>
                                                                      <w:marTop w:val="0"/>
                                                                      <w:marBottom w:val="0"/>
                                                                      <w:divBdr>
                                                                        <w:top w:val="none" w:sz="0" w:space="0" w:color="auto"/>
                                                                        <w:left w:val="none" w:sz="0" w:space="0" w:color="auto"/>
                                                                        <w:bottom w:val="none" w:sz="0" w:space="0" w:color="auto"/>
                                                                        <w:right w:val="none" w:sz="0" w:space="0" w:color="auto"/>
                                                                      </w:divBdr>
                                                                      <w:divsChild>
                                                                        <w:div w:id="1529181197">
                                                                          <w:marLeft w:val="0"/>
                                                                          <w:marRight w:val="0"/>
                                                                          <w:marTop w:val="0"/>
                                                                          <w:marBottom w:val="0"/>
                                                                          <w:divBdr>
                                                                            <w:top w:val="none" w:sz="0" w:space="0" w:color="auto"/>
                                                                            <w:left w:val="none" w:sz="0" w:space="0" w:color="auto"/>
                                                                            <w:bottom w:val="none" w:sz="0" w:space="0" w:color="auto"/>
                                                                            <w:right w:val="none" w:sz="0" w:space="0" w:color="auto"/>
                                                                          </w:divBdr>
                                                                          <w:divsChild>
                                                                            <w:div w:id="1897352003">
                                                                              <w:marLeft w:val="0"/>
                                                                              <w:marRight w:val="0"/>
                                                                              <w:marTop w:val="0"/>
                                                                              <w:marBottom w:val="0"/>
                                                                              <w:divBdr>
                                                                                <w:top w:val="none" w:sz="0" w:space="0" w:color="auto"/>
                                                                                <w:left w:val="none" w:sz="0" w:space="0" w:color="auto"/>
                                                                                <w:bottom w:val="none" w:sz="0" w:space="0" w:color="auto"/>
                                                                                <w:right w:val="none" w:sz="0" w:space="0" w:color="auto"/>
                                                                              </w:divBdr>
                                                                              <w:divsChild>
                                                                                <w:div w:id="117644817">
                                                                                  <w:marLeft w:val="0"/>
                                                                                  <w:marRight w:val="0"/>
                                                                                  <w:marTop w:val="0"/>
                                                                                  <w:marBottom w:val="0"/>
                                                                                  <w:divBdr>
                                                                                    <w:top w:val="none" w:sz="0" w:space="0" w:color="auto"/>
                                                                                    <w:left w:val="none" w:sz="0" w:space="0" w:color="auto"/>
                                                                                    <w:bottom w:val="none" w:sz="0" w:space="0" w:color="auto"/>
                                                                                    <w:right w:val="none" w:sz="0" w:space="0" w:color="auto"/>
                                                                                  </w:divBdr>
                                                                                  <w:divsChild>
                                                                                    <w:div w:id="1888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490879">
      <w:bodyDiv w:val="1"/>
      <w:marLeft w:val="0"/>
      <w:marRight w:val="0"/>
      <w:marTop w:val="0"/>
      <w:marBottom w:val="0"/>
      <w:divBdr>
        <w:top w:val="none" w:sz="0" w:space="0" w:color="auto"/>
        <w:left w:val="none" w:sz="0" w:space="0" w:color="auto"/>
        <w:bottom w:val="none" w:sz="0" w:space="0" w:color="auto"/>
        <w:right w:val="none" w:sz="0" w:space="0" w:color="auto"/>
      </w:divBdr>
    </w:div>
    <w:div w:id="1616476202">
      <w:bodyDiv w:val="1"/>
      <w:marLeft w:val="0"/>
      <w:marRight w:val="0"/>
      <w:marTop w:val="0"/>
      <w:marBottom w:val="0"/>
      <w:divBdr>
        <w:top w:val="none" w:sz="0" w:space="0" w:color="auto"/>
        <w:left w:val="none" w:sz="0" w:space="0" w:color="auto"/>
        <w:bottom w:val="none" w:sz="0" w:space="0" w:color="auto"/>
        <w:right w:val="none" w:sz="0" w:space="0" w:color="auto"/>
      </w:divBdr>
    </w:div>
    <w:div w:id="1654406050">
      <w:bodyDiv w:val="1"/>
      <w:marLeft w:val="0"/>
      <w:marRight w:val="0"/>
      <w:marTop w:val="0"/>
      <w:marBottom w:val="0"/>
      <w:divBdr>
        <w:top w:val="none" w:sz="0" w:space="0" w:color="auto"/>
        <w:left w:val="none" w:sz="0" w:space="0" w:color="auto"/>
        <w:bottom w:val="none" w:sz="0" w:space="0" w:color="auto"/>
        <w:right w:val="none" w:sz="0" w:space="0" w:color="auto"/>
      </w:divBdr>
    </w:div>
    <w:div w:id="1758558402">
      <w:bodyDiv w:val="1"/>
      <w:marLeft w:val="0"/>
      <w:marRight w:val="0"/>
      <w:marTop w:val="0"/>
      <w:marBottom w:val="0"/>
      <w:divBdr>
        <w:top w:val="none" w:sz="0" w:space="0" w:color="auto"/>
        <w:left w:val="none" w:sz="0" w:space="0" w:color="auto"/>
        <w:bottom w:val="none" w:sz="0" w:space="0" w:color="auto"/>
        <w:right w:val="none" w:sz="0" w:space="0" w:color="auto"/>
      </w:divBdr>
    </w:div>
    <w:div w:id="1766413548">
      <w:bodyDiv w:val="1"/>
      <w:marLeft w:val="0"/>
      <w:marRight w:val="0"/>
      <w:marTop w:val="0"/>
      <w:marBottom w:val="0"/>
      <w:divBdr>
        <w:top w:val="none" w:sz="0" w:space="0" w:color="auto"/>
        <w:left w:val="none" w:sz="0" w:space="0" w:color="auto"/>
        <w:bottom w:val="none" w:sz="0" w:space="0" w:color="auto"/>
        <w:right w:val="none" w:sz="0" w:space="0" w:color="auto"/>
      </w:divBdr>
    </w:div>
    <w:div w:id="1779524445">
      <w:bodyDiv w:val="1"/>
      <w:marLeft w:val="0"/>
      <w:marRight w:val="0"/>
      <w:marTop w:val="0"/>
      <w:marBottom w:val="0"/>
      <w:divBdr>
        <w:top w:val="none" w:sz="0" w:space="0" w:color="auto"/>
        <w:left w:val="none" w:sz="0" w:space="0" w:color="auto"/>
        <w:bottom w:val="none" w:sz="0" w:space="0" w:color="auto"/>
        <w:right w:val="none" w:sz="0" w:space="0" w:color="auto"/>
      </w:divBdr>
    </w:div>
    <w:div w:id="1918394131">
      <w:bodyDiv w:val="1"/>
      <w:marLeft w:val="0"/>
      <w:marRight w:val="0"/>
      <w:marTop w:val="0"/>
      <w:marBottom w:val="0"/>
      <w:divBdr>
        <w:top w:val="none" w:sz="0" w:space="0" w:color="auto"/>
        <w:left w:val="none" w:sz="0" w:space="0" w:color="auto"/>
        <w:bottom w:val="none" w:sz="0" w:space="0" w:color="auto"/>
        <w:right w:val="none" w:sz="0" w:space="0" w:color="auto"/>
      </w:divBdr>
    </w:div>
    <w:div w:id="1939019491">
      <w:bodyDiv w:val="1"/>
      <w:marLeft w:val="0"/>
      <w:marRight w:val="0"/>
      <w:marTop w:val="0"/>
      <w:marBottom w:val="0"/>
      <w:divBdr>
        <w:top w:val="none" w:sz="0" w:space="0" w:color="auto"/>
        <w:left w:val="none" w:sz="0" w:space="0" w:color="auto"/>
        <w:bottom w:val="none" w:sz="0" w:space="0" w:color="auto"/>
        <w:right w:val="none" w:sz="0" w:space="0" w:color="auto"/>
      </w:divBdr>
    </w:div>
    <w:div w:id="2011710432">
      <w:bodyDiv w:val="1"/>
      <w:marLeft w:val="0"/>
      <w:marRight w:val="0"/>
      <w:marTop w:val="0"/>
      <w:marBottom w:val="0"/>
      <w:divBdr>
        <w:top w:val="none" w:sz="0" w:space="0" w:color="auto"/>
        <w:left w:val="none" w:sz="0" w:space="0" w:color="auto"/>
        <w:bottom w:val="none" w:sz="0" w:space="0" w:color="auto"/>
        <w:right w:val="none" w:sz="0" w:space="0" w:color="auto"/>
      </w:divBdr>
      <w:divsChild>
        <w:div w:id="1335766029">
          <w:marLeft w:val="0"/>
          <w:marRight w:val="0"/>
          <w:marTop w:val="0"/>
          <w:marBottom w:val="0"/>
          <w:divBdr>
            <w:top w:val="none" w:sz="0" w:space="0" w:color="auto"/>
            <w:left w:val="none" w:sz="0" w:space="0" w:color="auto"/>
            <w:bottom w:val="none" w:sz="0" w:space="0" w:color="auto"/>
            <w:right w:val="none" w:sz="0" w:space="0" w:color="auto"/>
          </w:divBdr>
          <w:divsChild>
            <w:div w:id="1018045865">
              <w:marLeft w:val="0"/>
              <w:marRight w:val="0"/>
              <w:marTop w:val="0"/>
              <w:marBottom w:val="0"/>
              <w:divBdr>
                <w:top w:val="none" w:sz="0" w:space="0" w:color="auto"/>
                <w:left w:val="none" w:sz="0" w:space="0" w:color="auto"/>
                <w:bottom w:val="none" w:sz="0" w:space="0" w:color="auto"/>
                <w:right w:val="none" w:sz="0" w:space="0" w:color="auto"/>
              </w:divBdr>
              <w:divsChild>
                <w:div w:id="13037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6961">
      <w:bodyDiv w:val="1"/>
      <w:marLeft w:val="0"/>
      <w:marRight w:val="0"/>
      <w:marTop w:val="0"/>
      <w:marBottom w:val="0"/>
      <w:divBdr>
        <w:top w:val="none" w:sz="0" w:space="0" w:color="auto"/>
        <w:left w:val="none" w:sz="0" w:space="0" w:color="auto"/>
        <w:bottom w:val="none" w:sz="0" w:space="0" w:color="auto"/>
        <w:right w:val="none" w:sz="0" w:space="0" w:color="auto"/>
      </w:divBdr>
    </w:div>
    <w:div w:id="2093117441">
      <w:bodyDiv w:val="1"/>
      <w:marLeft w:val="0"/>
      <w:marRight w:val="0"/>
      <w:marTop w:val="0"/>
      <w:marBottom w:val="0"/>
      <w:divBdr>
        <w:top w:val="none" w:sz="0" w:space="0" w:color="auto"/>
        <w:left w:val="none" w:sz="0" w:space="0" w:color="auto"/>
        <w:bottom w:val="none" w:sz="0" w:space="0" w:color="auto"/>
        <w:right w:val="none" w:sz="0" w:space="0" w:color="auto"/>
      </w:divBdr>
      <w:divsChild>
        <w:div w:id="1599437612">
          <w:marLeft w:val="0"/>
          <w:marRight w:val="0"/>
          <w:marTop w:val="0"/>
          <w:marBottom w:val="0"/>
          <w:divBdr>
            <w:top w:val="none" w:sz="0" w:space="0" w:color="auto"/>
            <w:left w:val="none" w:sz="0" w:space="0" w:color="auto"/>
            <w:bottom w:val="none" w:sz="0" w:space="0" w:color="auto"/>
            <w:right w:val="none" w:sz="0" w:space="0" w:color="auto"/>
          </w:divBdr>
          <w:divsChild>
            <w:div w:id="1298947378">
              <w:marLeft w:val="0"/>
              <w:marRight w:val="0"/>
              <w:marTop w:val="0"/>
              <w:marBottom w:val="0"/>
              <w:divBdr>
                <w:top w:val="none" w:sz="0" w:space="0" w:color="auto"/>
                <w:left w:val="none" w:sz="0" w:space="0" w:color="auto"/>
                <w:bottom w:val="none" w:sz="0" w:space="0" w:color="auto"/>
                <w:right w:val="none" w:sz="0" w:space="0" w:color="auto"/>
              </w:divBdr>
              <w:divsChild>
                <w:div w:id="1581208217">
                  <w:marLeft w:val="-225"/>
                  <w:marRight w:val="-225"/>
                  <w:marTop w:val="0"/>
                  <w:marBottom w:val="0"/>
                  <w:divBdr>
                    <w:top w:val="none" w:sz="0" w:space="0" w:color="auto"/>
                    <w:left w:val="none" w:sz="0" w:space="0" w:color="auto"/>
                    <w:bottom w:val="none" w:sz="0" w:space="0" w:color="auto"/>
                    <w:right w:val="none" w:sz="0" w:space="0" w:color="auto"/>
                  </w:divBdr>
                  <w:divsChild>
                    <w:div w:id="608320632">
                      <w:marLeft w:val="0"/>
                      <w:marRight w:val="0"/>
                      <w:marTop w:val="0"/>
                      <w:marBottom w:val="0"/>
                      <w:divBdr>
                        <w:top w:val="none" w:sz="0" w:space="0" w:color="auto"/>
                        <w:left w:val="none" w:sz="0" w:space="0" w:color="auto"/>
                        <w:bottom w:val="none" w:sz="0" w:space="0" w:color="auto"/>
                        <w:right w:val="none" w:sz="0" w:space="0" w:color="auto"/>
                      </w:divBdr>
                      <w:divsChild>
                        <w:div w:id="112023909">
                          <w:marLeft w:val="0"/>
                          <w:marRight w:val="0"/>
                          <w:marTop w:val="0"/>
                          <w:marBottom w:val="0"/>
                          <w:divBdr>
                            <w:top w:val="none" w:sz="0" w:space="0" w:color="auto"/>
                            <w:left w:val="none" w:sz="0" w:space="0" w:color="auto"/>
                            <w:bottom w:val="none" w:sz="0" w:space="0" w:color="auto"/>
                            <w:right w:val="none" w:sz="0" w:space="0" w:color="auto"/>
                          </w:divBdr>
                          <w:divsChild>
                            <w:div w:id="1254628928">
                              <w:marLeft w:val="0"/>
                              <w:marRight w:val="0"/>
                              <w:marTop w:val="0"/>
                              <w:marBottom w:val="0"/>
                              <w:divBdr>
                                <w:top w:val="none" w:sz="0" w:space="0" w:color="auto"/>
                                <w:left w:val="none" w:sz="0" w:space="0" w:color="auto"/>
                                <w:bottom w:val="none" w:sz="0" w:space="0" w:color="auto"/>
                                <w:right w:val="none" w:sz="0" w:space="0" w:color="auto"/>
                              </w:divBdr>
                              <w:divsChild>
                                <w:div w:id="1662198281">
                                  <w:marLeft w:val="0"/>
                                  <w:marRight w:val="0"/>
                                  <w:marTop w:val="0"/>
                                  <w:marBottom w:val="0"/>
                                  <w:divBdr>
                                    <w:top w:val="none" w:sz="0" w:space="0" w:color="auto"/>
                                    <w:left w:val="none" w:sz="0" w:space="0" w:color="auto"/>
                                    <w:bottom w:val="none" w:sz="0" w:space="0" w:color="auto"/>
                                    <w:right w:val="none" w:sz="0" w:space="0" w:color="auto"/>
                                  </w:divBdr>
                                  <w:divsChild>
                                    <w:div w:id="7733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67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hart" Target="charts/chart6.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hyperlink" Target="https://www.sac-isc.gc.ca/fra/1562156065850/1562156080548" TargetMode="External"/><Relationship Id="rId17" Type="http://schemas.openxmlformats.org/officeDocument/2006/relationships/chart" Target="charts/chart1.xm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fr/gouvernement/fonctionpublique/mieux-etre-inclusion-diversite-fonction-publique/diversite-equite-matiere-emploi/equite-emploi-rapports-annuel/equite-emploi-fonction-publique-canada-2018-2019.html"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6.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7.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8.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9.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Population selon la durée d'emploi au 31 mars 2020</a:t>
            </a:r>
          </a:p>
        </c:rich>
      </c:tx>
      <c:layout>
        <c:manualLayout>
          <c:xMode val="edge"/>
          <c:yMode val="edge"/>
          <c:x val="0.19680357653999353"/>
          <c:y val="1.5584415584415584E-2"/>
        </c:manualLayout>
      </c:layout>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225561684641545"/>
          <c:y val="9.350649350649351E-2"/>
          <c:w val="0.8438565211696043"/>
          <c:h val="0.6100861028735044"/>
        </c:manualLayout>
      </c:layout>
      <c:barChart>
        <c:barDir val="col"/>
        <c:grouping val="stacked"/>
        <c:varyColors val="0"/>
        <c:ser>
          <c:idx val="0"/>
          <c:order val="0"/>
          <c:tx>
            <c:strRef>
              <c:f>Sheet1!$B$1</c:f>
              <c:strCache>
                <c:ptCount val="1"/>
                <c:pt idx="0">
                  <c:v>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(N=4 678) </c:v>
                </c:pt>
                <c:pt idx="1">
                  <c:v> 2016
(N=4 582) </c:v>
                </c:pt>
                <c:pt idx="2">
                  <c:v> 2017
(N=4 786) </c:v>
                </c:pt>
                <c:pt idx="3">
                  <c:v> 2018
(N=4 986) </c:v>
                </c:pt>
                <c:pt idx="4">
                  <c:v>2019
(N=5 121)</c:v>
                </c:pt>
                <c:pt idx="5">
                  <c:v>2020
(N=5 470)</c:v>
                </c:pt>
              </c:strCache>
            </c:strRef>
          </c:cat>
          <c:val>
            <c:numRef>
              <c:f>Sheet1!$B$2:$B$7</c:f>
              <c:numCache>
                <c:formatCode>#\ ###</c:formatCode>
                <c:ptCount val="6"/>
                <c:pt idx="0">
                  <c:v>3898</c:v>
                </c:pt>
                <c:pt idx="1">
                  <c:v>3807</c:v>
                </c:pt>
                <c:pt idx="2">
                  <c:v>4005</c:v>
                </c:pt>
                <c:pt idx="3">
                  <c:v>4165</c:v>
                </c:pt>
                <c:pt idx="4">
                  <c:v>4271</c:v>
                </c:pt>
                <c:pt idx="5">
                  <c:v>4592</c:v>
                </c:pt>
              </c:numCache>
            </c:numRef>
          </c:val>
          <c:extLst>
            <c:ext xmlns:c16="http://schemas.microsoft.com/office/drawing/2014/chart" uri="{C3380CC4-5D6E-409C-BE32-E72D297353CC}">
              <c16:uniqueId val="{00000000-42F4-4A05-950D-66C396E7EB33}"/>
            </c:ext>
          </c:extLst>
        </c:ser>
        <c:ser>
          <c:idx val="1"/>
          <c:order val="1"/>
          <c:tx>
            <c:strRef>
              <c:f>Sheet1!$C$1</c:f>
              <c:strCache>
                <c:ptCount val="1"/>
                <c:pt idx="0">
                  <c:v>Déterminée</c:v>
                </c:pt>
              </c:strCache>
            </c:strRef>
          </c:tx>
          <c:spPr>
            <a:solidFill>
              <a:schemeClr val="accent2"/>
            </a:solidFill>
            <a:ln>
              <a:noFill/>
            </a:ln>
            <a:effectLst/>
          </c:spPr>
          <c:invertIfNegative val="0"/>
          <c:dLbls>
            <c:dLbl>
              <c:idx val="0"/>
              <c:layout>
                <c:manualLayout>
                  <c:x val="0"/>
                  <c:y val="3.1168831168831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F4-4A05-950D-66C396E7EB33}"/>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F4-4A05-950D-66C396E7EB33}"/>
                </c:ext>
              </c:extLst>
            </c:dLbl>
            <c:dLbl>
              <c:idx val="2"/>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F4-4A05-950D-66C396E7EB33}"/>
                </c:ext>
              </c:extLst>
            </c:dLbl>
            <c:dLbl>
              <c:idx val="3"/>
              <c:layout>
                <c:manualLayout>
                  <c:x val="0"/>
                  <c:y val="3.1168831168831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F4-4A05-950D-66C396E7EB33}"/>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F4-4A05-950D-66C396E7EB33}"/>
                </c:ext>
              </c:extLst>
            </c:dLbl>
            <c:dLbl>
              <c:idx val="5"/>
              <c:layout>
                <c:manualLayout>
                  <c:x val="0"/>
                  <c:y val="2.597402597402597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F4-4A05-950D-66C396E7EB33}"/>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(N=4 678) </c:v>
                </c:pt>
                <c:pt idx="1">
                  <c:v> 2016
(N=4 582) </c:v>
                </c:pt>
                <c:pt idx="2">
                  <c:v> 2017
(N=4 786) </c:v>
                </c:pt>
                <c:pt idx="3">
                  <c:v> 2018
(N=4 986) </c:v>
                </c:pt>
                <c:pt idx="4">
                  <c:v>2019
(N=5 121)</c:v>
                </c:pt>
                <c:pt idx="5">
                  <c:v>2020
(N=5 470)</c:v>
                </c:pt>
              </c:strCache>
            </c:strRef>
          </c:cat>
          <c:val>
            <c:numRef>
              <c:f>Sheet1!$C$2:$C$7</c:f>
              <c:numCache>
                <c:formatCode>#\ ###</c:formatCode>
                <c:ptCount val="6"/>
                <c:pt idx="0">
                  <c:v>261</c:v>
                </c:pt>
                <c:pt idx="1">
                  <c:v>227</c:v>
                </c:pt>
                <c:pt idx="2">
                  <c:v>232</c:v>
                </c:pt>
                <c:pt idx="3">
                  <c:v>280</c:v>
                </c:pt>
                <c:pt idx="4">
                  <c:v>306</c:v>
                </c:pt>
                <c:pt idx="5">
                  <c:v>318</c:v>
                </c:pt>
              </c:numCache>
            </c:numRef>
          </c:val>
          <c:extLst>
            <c:ext xmlns:c16="http://schemas.microsoft.com/office/drawing/2014/chart" uri="{C3380CC4-5D6E-409C-BE32-E72D297353CC}">
              <c16:uniqueId val="{00000007-42F4-4A05-950D-66C396E7EB33}"/>
            </c:ext>
          </c:extLst>
        </c:ser>
        <c:ser>
          <c:idx val="2"/>
          <c:order val="2"/>
          <c:tx>
            <c:strRef>
              <c:f>Sheet1!$D$1</c:f>
              <c:strCache>
                <c:ptCount val="1"/>
                <c:pt idx="0">
                  <c:v>Occasionnel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(N=4 678) </c:v>
                </c:pt>
                <c:pt idx="1">
                  <c:v> 2016
(N=4 582) </c:v>
                </c:pt>
                <c:pt idx="2">
                  <c:v> 2017
(N=4 786) </c:v>
                </c:pt>
                <c:pt idx="3">
                  <c:v> 2018
(N=4 986) </c:v>
                </c:pt>
                <c:pt idx="4">
                  <c:v>2019
(N=5 121)</c:v>
                </c:pt>
                <c:pt idx="5">
                  <c:v>2020
(N=5 470)</c:v>
                </c:pt>
              </c:strCache>
            </c:strRef>
          </c:cat>
          <c:val>
            <c:numRef>
              <c:f>Sheet1!$D$2:$D$7</c:f>
              <c:numCache>
                <c:formatCode>#\ ###</c:formatCode>
                <c:ptCount val="6"/>
                <c:pt idx="0">
                  <c:v>258</c:v>
                </c:pt>
                <c:pt idx="1">
                  <c:v>280</c:v>
                </c:pt>
                <c:pt idx="2">
                  <c:v>280</c:v>
                </c:pt>
                <c:pt idx="3">
                  <c:v>277</c:v>
                </c:pt>
                <c:pt idx="4">
                  <c:v>298</c:v>
                </c:pt>
                <c:pt idx="5">
                  <c:v>284</c:v>
                </c:pt>
              </c:numCache>
            </c:numRef>
          </c:val>
          <c:extLst>
            <c:ext xmlns:c16="http://schemas.microsoft.com/office/drawing/2014/chart" uri="{C3380CC4-5D6E-409C-BE32-E72D297353CC}">
              <c16:uniqueId val="{00000008-42F4-4A05-950D-66C396E7EB33}"/>
            </c:ext>
          </c:extLst>
        </c:ser>
        <c:ser>
          <c:idx val="3"/>
          <c:order val="3"/>
          <c:tx>
            <c:strRef>
              <c:f>Sheet1!$E$1</c:f>
              <c:strCache>
                <c:ptCount val="1"/>
                <c:pt idx="0">
                  <c:v>Étudiant</c:v>
                </c:pt>
              </c:strCache>
            </c:strRef>
          </c:tx>
          <c:spPr>
            <a:solidFill>
              <a:schemeClr val="accent4"/>
            </a:solidFill>
            <a:ln>
              <a:noFill/>
            </a:ln>
            <a:effectLst/>
          </c:spPr>
          <c:invertIfNegative val="0"/>
          <c:dLbls>
            <c:dLbl>
              <c:idx val="0"/>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F4-4A05-950D-66C396E7EB33}"/>
                </c:ext>
              </c:extLst>
            </c:dLbl>
            <c:dLbl>
              <c:idx val="1"/>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2F4-4A05-950D-66C396E7EB33}"/>
                </c:ext>
              </c:extLst>
            </c:dLbl>
            <c:dLbl>
              <c:idx val="2"/>
              <c:layout>
                <c:manualLayout>
                  <c:x val="0"/>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2F4-4A05-950D-66C396E7EB33}"/>
                </c:ext>
              </c:extLst>
            </c:dLbl>
            <c:dLbl>
              <c:idx val="3"/>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2F4-4A05-950D-66C396E7EB33}"/>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2F4-4A05-950D-66C396E7EB33}"/>
                </c:ext>
              </c:extLst>
            </c:dLbl>
            <c:dLbl>
              <c:idx val="5"/>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2F4-4A05-950D-66C396E7EB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(N=4 678) </c:v>
                </c:pt>
                <c:pt idx="1">
                  <c:v> 2016
(N=4 582) </c:v>
                </c:pt>
                <c:pt idx="2">
                  <c:v> 2017
(N=4 786) </c:v>
                </c:pt>
                <c:pt idx="3">
                  <c:v> 2018
(N=4 986) </c:v>
                </c:pt>
                <c:pt idx="4">
                  <c:v>2019
(N=5 121)</c:v>
                </c:pt>
                <c:pt idx="5">
                  <c:v>2020
(N=5 470)</c:v>
                </c:pt>
              </c:strCache>
            </c:strRef>
          </c:cat>
          <c:val>
            <c:numRef>
              <c:f>Sheet1!$E$2:$E$7</c:f>
              <c:numCache>
                <c:formatCode>#\ ###</c:formatCode>
                <c:ptCount val="6"/>
                <c:pt idx="0">
                  <c:v>261</c:v>
                </c:pt>
                <c:pt idx="1">
                  <c:v>268</c:v>
                </c:pt>
                <c:pt idx="2">
                  <c:v>269</c:v>
                </c:pt>
                <c:pt idx="3">
                  <c:v>264</c:v>
                </c:pt>
                <c:pt idx="4">
                  <c:v>246</c:v>
                </c:pt>
                <c:pt idx="5">
                  <c:v>276</c:v>
                </c:pt>
              </c:numCache>
            </c:numRef>
          </c:val>
          <c:extLst>
            <c:ext xmlns:c16="http://schemas.microsoft.com/office/drawing/2014/chart" uri="{C3380CC4-5D6E-409C-BE32-E72D297353CC}">
              <c16:uniqueId val="{0000000F-42F4-4A05-950D-66C396E7EB33}"/>
            </c:ext>
          </c:extLst>
        </c:ser>
        <c:dLbls>
          <c:dLblPos val="ctr"/>
          <c:showLegendKey val="0"/>
          <c:showVal val="1"/>
          <c:showCatName val="0"/>
          <c:showSerName val="0"/>
          <c:showPercent val="0"/>
          <c:showBubbleSize val="0"/>
        </c:dLbls>
        <c:gapWidth val="150"/>
        <c:overlap val="100"/>
        <c:axId val="690292320"/>
        <c:axId val="690290752"/>
      </c:barChart>
      <c:catAx>
        <c:axId val="69029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0290752"/>
        <c:crosses val="autoZero"/>
        <c:auto val="1"/>
        <c:lblAlgn val="ctr"/>
        <c:lblOffset val="100"/>
        <c:noMultiLvlLbl val="0"/>
      </c:catAx>
      <c:valAx>
        <c:axId val="69029075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0292320"/>
        <c:crosses val="autoZero"/>
        <c:crossBetween val="between"/>
      </c:valAx>
      <c:spPr>
        <a:noFill/>
        <a:ln>
          <a:noFill/>
        </a:ln>
        <a:effectLst/>
      </c:spPr>
    </c:plotArea>
    <c:legend>
      <c:legendPos val="b"/>
      <c:layout>
        <c:manualLayout>
          <c:xMode val="edge"/>
          <c:yMode val="edge"/>
          <c:x val="0.13638008742437693"/>
          <c:y val="0.88116821760916253"/>
          <c:w val="0.77653126076430834"/>
          <c:h val="8.76629512220063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Embauche d'étudiants</a:t>
            </a:r>
          </a:p>
        </c:rich>
      </c:tx>
      <c:layout>
        <c:manualLayout>
          <c:xMode val="edge"/>
          <c:yMode val="edge"/>
          <c:x val="0.38487657845467454"/>
          <c:y val="3.1027000608469035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946256204627399"/>
          <c:y val="0.10525709900230237"/>
          <c:w val="0.83536289996604629"/>
          <c:h val="0.58717180352455944"/>
        </c:manualLayout>
      </c:layout>
      <c:barChart>
        <c:barDir val="col"/>
        <c:grouping val="stacked"/>
        <c:varyColors val="0"/>
        <c:ser>
          <c:idx val="0"/>
          <c:order val="0"/>
          <c:tx>
            <c:strRef>
              <c:f>Sheet1!$B$1</c:f>
              <c:strCache>
                <c:ptCount val="1"/>
                <c:pt idx="0">
                  <c:v>Programme fédéral d'expérience de travail étudiant (PFETÉ)</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(N=634)</c:v>
                </c:pt>
                <c:pt idx="1">
                  <c:v>2016-2017
 (N=567)</c:v>
                </c:pt>
                <c:pt idx="2">
                  <c:v>2017-2018
 (N=541)</c:v>
                </c:pt>
                <c:pt idx="3">
                  <c:v>2018-2019
(N=524)</c:v>
                </c:pt>
                <c:pt idx="4">
                  <c:v>2019-2020
(N=517)</c:v>
                </c:pt>
              </c:strCache>
            </c:strRef>
          </c:cat>
          <c:val>
            <c:numRef>
              <c:f>Sheet1!$B$2:$B$6</c:f>
              <c:numCache>
                <c:formatCode>General</c:formatCode>
                <c:ptCount val="5"/>
                <c:pt idx="0">
                  <c:v>286</c:v>
                </c:pt>
                <c:pt idx="1">
                  <c:v>305</c:v>
                </c:pt>
                <c:pt idx="2">
                  <c:v>290</c:v>
                </c:pt>
                <c:pt idx="3" formatCode="0">
                  <c:v>285</c:v>
                </c:pt>
                <c:pt idx="4" formatCode="0">
                  <c:v>324</c:v>
                </c:pt>
              </c:numCache>
            </c:numRef>
          </c:val>
          <c:extLst>
            <c:ext xmlns:c16="http://schemas.microsoft.com/office/drawing/2014/chart" uri="{C3380CC4-5D6E-409C-BE32-E72D297353CC}">
              <c16:uniqueId val="{00000000-6439-46E9-B0DE-32F543D369A1}"/>
            </c:ext>
          </c:extLst>
        </c:ser>
        <c:ser>
          <c:idx val="1"/>
          <c:order val="1"/>
          <c:tx>
            <c:strRef>
              <c:f>Sheet1!$C$1</c:f>
              <c:strCache>
                <c:ptCount val="1"/>
                <c:pt idx="0">
                  <c:v>Programme post secondaire d'enseignement coopératif/stage (COOP)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(N=634)</c:v>
                </c:pt>
                <c:pt idx="1">
                  <c:v>2016-2017
 (N=567)</c:v>
                </c:pt>
                <c:pt idx="2">
                  <c:v>2017-2018
 (N=541)</c:v>
                </c:pt>
                <c:pt idx="3">
                  <c:v>2018-2019
(N=524)</c:v>
                </c:pt>
                <c:pt idx="4">
                  <c:v>2019-2020
(N=517)</c:v>
                </c:pt>
              </c:strCache>
            </c:strRef>
          </c:cat>
          <c:val>
            <c:numRef>
              <c:f>Sheet1!$C$2:$C$6</c:f>
              <c:numCache>
                <c:formatCode>General</c:formatCode>
                <c:ptCount val="5"/>
                <c:pt idx="0">
                  <c:v>347</c:v>
                </c:pt>
                <c:pt idx="1">
                  <c:v>262</c:v>
                </c:pt>
                <c:pt idx="2">
                  <c:v>250</c:v>
                </c:pt>
                <c:pt idx="3" formatCode="0">
                  <c:v>235</c:v>
                </c:pt>
                <c:pt idx="4" formatCode="0">
                  <c:v>193</c:v>
                </c:pt>
              </c:numCache>
            </c:numRef>
          </c:val>
          <c:extLst>
            <c:ext xmlns:c16="http://schemas.microsoft.com/office/drawing/2014/chart" uri="{C3380CC4-5D6E-409C-BE32-E72D297353CC}">
              <c16:uniqueId val="{00000001-6439-46E9-B0DE-32F543D369A1}"/>
            </c:ext>
          </c:extLst>
        </c:ser>
        <c:ser>
          <c:idx val="2"/>
          <c:order val="2"/>
          <c:tx>
            <c:strRef>
              <c:f>Sheet1!$D$1</c:f>
              <c:strCache>
                <c:ptCount val="1"/>
                <c:pt idx="0">
                  <c:v>Programme des adjoints de recherche (PAR)</c:v>
                </c:pt>
              </c:strCache>
            </c:strRef>
          </c:tx>
          <c:spPr>
            <a:solidFill>
              <a:schemeClr val="accent3"/>
            </a:solidFill>
            <a:ln>
              <a:noFill/>
            </a:ln>
            <a:effectLst/>
          </c:spPr>
          <c:invertIfNegative val="0"/>
          <c:dLbls>
            <c:dLbl>
              <c:idx val="0"/>
              <c:layout>
                <c:manualLayout>
                  <c:x val="4.1067761806981521E-3"/>
                  <c:y val="-2.60999254287844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39-46E9-B0DE-32F543D369A1}"/>
                </c:ext>
              </c:extLst>
            </c:dLbl>
            <c:dLbl>
              <c:idx val="1"/>
              <c:delete val="1"/>
              <c:extLst>
                <c:ext xmlns:c15="http://schemas.microsoft.com/office/drawing/2012/chart" uri="{CE6537A1-D6FC-4f65-9D91-7224C49458BB}"/>
                <c:ext xmlns:c16="http://schemas.microsoft.com/office/drawing/2014/chart" uri="{C3380CC4-5D6E-409C-BE32-E72D297353CC}">
                  <c16:uniqueId val="{00000003-6439-46E9-B0DE-32F543D369A1}"/>
                </c:ext>
              </c:extLst>
            </c:dLbl>
            <c:dLbl>
              <c:idx val="2"/>
              <c:layout>
                <c:manualLayout>
                  <c:x val="8.2135523613963042E-3"/>
                  <c:y val="-1.864280387770320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439-46E9-B0DE-32F543D369A1}"/>
                </c:ext>
              </c:extLst>
            </c:dLbl>
            <c:dLbl>
              <c:idx val="3"/>
              <c:layout>
                <c:manualLayout>
                  <c:x val="4.1067761806981521E-3"/>
                  <c:y val="-2.60999254287845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39-46E9-B0DE-32F543D369A1}"/>
                </c:ext>
              </c:extLst>
            </c:dLbl>
            <c:dLbl>
              <c:idx val="4"/>
              <c:delete val="1"/>
              <c:extLst>
                <c:ext xmlns:c15="http://schemas.microsoft.com/office/drawing/2012/chart" uri="{CE6537A1-D6FC-4f65-9D91-7224C49458BB}"/>
                <c:ext xmlns:c16="http://schemas.microsoft.com/office/drawing/2014/chart" uri="{C3380CC4-5D6E-409C-BE32-E72D297353CC}">
                  <c16:uniqueId val="{00000006-6439-46E9-B0DE-32F543D369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(N=634)</c:v>
                </c:pt>
                <c:pt idx="1">
                  <c:v>2016-2017
 (N=567)</c:v>
                </c:pt>
                <c:pt idx="2">
                  <c:v>2017-2018
 (N=541)</c:v>
                </c:pt>
                <c:pt idx="3">
                  <c:v>2018-2019
(N=524)</c:v>
                </c:pt>
                <c:pt idx="4">
                  <c:v>2019-2020
(N=517)</c:v>
                </c:pt>
              </c:strCache>
            </c:strRef>
          </c:cat>
          <c:val>
            <c:numRef>
              <c:f>Sheet1!$D$2:$D$6</c:f>
              <c:numCache>
                <c:formatCode>General</c:formatCode>
                <c:ptCount val="5"/>
                <c:pt idx="0">
                  <c:v>1</c:v>
                </c:pt>
                <c:pt idx="1">
                  <c:v>0</c:v>
                </c:pt>
                <c:pt idx="2">
                  <c:v>1</c:v>
                </c:pt>
                <c:pt idx="3" formatCode="0">
                  <c:v>4</c:v>
                </c:pt>
                <c:pt idx="4" formatCode="0">
                  <c:v>0</c:v>
                </c:pt>
              </c:numCache>
            </c:numRef>
          </c:val>
          <c:extLst>
            <c:ext xmlns:c16="http://schemas.microsoft.com/office/drawing/2014/chart" uri="{C3380CC4-5D6E-409C-BE32-E72D297353CC}">
              <c16:uniqueId val="{00000007-6439-46E9-B0DE-32F543D369A1}"/>
            </c:ext>
          </c:extLst>
        </c:ser>
        <c:dLbls>
          <c:dLblPos val="ctr"/>
          <c:showLegendKey val="0"/>
          <c:showVal val="1"/>
          <c:showCatName val="0"/>
          <c:showSerName val="0"/>
          <c:showPercent val="0"/>
          <c:showBubbleSize val="0"/>
        </c:dLbls>
        <c:gapWidth val="150"/>
        <c:overlap val="100"/>
        <c:axId val="732830632"/>
        <c:axId val="732831024"/>
      </c:barChart>
      <c:catAx>
        <c:axId val="732830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2831024"/>
        <c:crosses val="autoZero"/>
        <c:auto val="1"/>
        <c:lblAlgn val="ctr"/>
        <c:lblOffset val="100"/>
        <c:noMultiLvlLbl val="0"/>
      </c:catAx>
      <c:valAx>
        <c:axId val="7328310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2830632"/>
        <c:crosses val="autoZero"/>
        <c:crossBetween val="between"/>
      </c:valAx>
      <c:spPr>
        <a:noFill/>
        <a:ln>
          <a:noFill/>
        </a:ln>
        <a:effectLst/>
      </c:spPr>
    </c:plotArea>
    <c:legend>
      <c:legendPos val="b"/>
      <c:layout>
        <c:manualLayout>
          <c:xMode val="edge"/>
          <c:yMode val="edge"/>
          <c:x val="4.4100955553040477E-3"/>
          <c:y val="0.80836371963571652"/>
          <c:w val="0.97885948034729742"/>
          <c:h val="0.1504210044214271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Activités d'embauche externe pour une période indéterminée et d'une durée déterminée : Programme de recrutement postsecondaire et embauche d'anciens étudiants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22897203123760965"/>
          <c:w val="0.90621744112971792"/>
          <c:h val="0.46782755288748168"/>
        </c:manualLayout>
      </c:layout>
      <c:bar3DChart>
        <c:barDir val="col"/>
        <c:grouping val="clustered"/>
        <c:varyColors val="0"/>
        <c:ser>
          <c:idx val="0"/>
          <c:order val="0"/>
          <c:tx>
            <c:strRef>
              <c:f>Sheet1!$B$1</c:f>
              <c:strCache>
                <c:ptCount val="1"/>
                <c:pt idx="0">
                  <c:v>Recrutement postsecondaire (RP)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c:v>
                </c:pt>
                <c:pt idx="1">
                  <c:v>2016-2017</c:v>
                </c:pt>
                <c:pt idx="2">
                  <c:v>2017-2018</c:v>
                </c:pt>
                <c:pt idx="3">
                  <c:v>2018-2019</c:v>
                </c:pt>
                <c:pt idx="4">
                  <c:v>2019-2020</c:v>
                </c:pt>
              </c:strCache>
            </c:strRef>
          </c:cat>
          <c:val>
            <c:numRef>
              <c:f>Sheet1!$B$2:$B$6</c:f>
              <c:numCache>
                <c:formatCode>_-* #,##0_-;\-* #,##0_-;_-* "-"??_-;_-@_-</c:formatCode>
                <c:ptCount val="5"/>
                <c:pt idx="0">
                  <c:v>6</c:v>
                </c:pt>
                <c:pt idx="1">
                  <c:v>14</c:v>
                </c:pt>
                <c:pt idx="2">
                  <c:v>10</c:v>
                </c:pt>
                <c:pt idx="3" formatCode="_(* #,##0_);_(* \(#,##0\);_(* &quot;-&quot;_);_(@_)">
                  <c:v>12</c:v>
                </c:pt>
                <c:pt idx="4" formatCode="_(* #,##0_);_(* \(#,##0\);_(* &quot;-&quot;_);_(@_)">
                  <c:v>12</c:v>
                </c:pt>
              </c:numCache>
            </c:numRef>
          </c:val>
          <c:extLst>
            <c:ext xmlns:c16="http://schemas.microsoft.com/office/drawing/2014/chart" uri="{C3380CC4-5D6E-409C-BE32-E72D297353CC}">
              <c16:uniqueId val="{00000000-74F9-4D36-9120-A4B376DFE9EE}"/>
            </c:ext>
          </c:extLst>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c:v>
                </c:pt>
                <c:pt idx="1">
                  <c:v>2016-2017</c:v>
                </c:pt>
                <c:pt idx="2">
                  <c:v>2017-2018</c:v>
                </c:pt>
                <c:pt idx="3">
                  <c:v>2018-2019</c:v>
                </c:pt>
                <c:pt idx="4">
                  <c:v>2019-2020</c:v>
                </c:pt>
              </c:strCache>
            </c:strRef>
          </c:cat>
          <c:val>
            <c:numRef>
              <c:f>Sheet1!$C$2:$C$6</c:f>
              <c:numCache>
                <c:formatCode>_-* #,##0_-;\-* #,##0_-;_-* "-"??_-;_-@_-</c:formatCode>
                <c:ptCount val="5"/>
                <c:pt idx="0">
                  <c:v>66</c:v>
                </c:pt>
                <c:pt idx="1">
                  <c:v>148</c:v>
                </c:pt>
                <c:pt idx="2">
                  <c:v>142</c:v>
                </c:pt>
                <c:pt idx="3" formatCode="_(* #,##0_);_(* \(#,##0\);_(* &quot;-&quot;_);_(@_)">
                  <c:v>146</c:v>
                </c:pt>
                <c:pt idx="4" formatCode="_(* #,##0_);_(* \(#,##0\);_(* &quot;-&quot;_);_(@_)">
                  <c:v>161</c:v>
                </c:pt>
              </c:numCache>
            </c:numRef>
          </c:val>
          <c:extLst>
            <c:ext xmlns:c16="http://schemas.microsoft.com/office/drawing/2014/chart" uri="{C3380CC4-5D6E-409C-BE32-E72D297353CC}">
              <c16:uniqueId val="{00000001-74F9-4D36-9120-A4B376DFE9EE}"/>
            </c:ext>
          </c:extLst>
        </c:ser>
        <c:dLbls>
          <c:showLegendKey val="0"/>
          <c:showVal val="1"/>
          <c:showCatName val="0"/>
          <c:showSerName val="0"/>
          <c:showPercent val="0"/>
          <c:showBubbleSize val="0"/>
        </c:dLbls>
        <c:gapWidth val="150"/>
        <c:shape val="box"/>
        <c:axId val="732829848"/>
        <c:axId val="656805592"/>
        <c:axId val="0"/>
      </c:bar3DChart>
      <c:catAx>
        <c:axId val="7328298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6805592"/>
        <c:crosses val="autoZero"/>
        <c:auto val="1"/>
        <c:lblAlgn val="ctr"/>
        <c:lblOffset val="100"/>
        <c:noMultiLvlLbl val="0"/>
      </c:catAx>
      <c:valAx>
        <c:axId val="65680559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2829848"/>
        <c:crosses val="autoZero"/>
        <c:crossBetween val="between"/>
        <c:minorUnit val="1"/>
      </c:valAx>
      <c:spPr>
        <a:noFill/>
        <a:ln>
          <a:noFill/>
        </a:ln>
        <a:effectLst/>
      </c:spPr>
    </c:plotArea>
    <c:legend>
      <c:legendPos val="r"/>
      <c:layout>
        <c:manualLayout>
          <c:xMode val="edge"/>
          <c:yMode val="edge"/>
          <c:x val="4.702680967107524E-2"/>
          <c:y val="0.79415189659235808"/>
          <c:w val="0.88258285263088621"/>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interne</a:t>
            </a:r>
          </a:p>
          <a:p>
            <a:pPr>
              <a:defRPr sz="1200"/>
            </a:pPr>
            <a:r>
              <a:rPr lang="en-CA" sz="1200"/>
              <a:t>Médiane pour la fonction publique = 175 jours</a:t>
            </a:r>
          </a:p>
          <a:p>
            <a:pPr>
              <a:defRPr sz="1200"/>
            </a:pPr>
            <a:r>
              <a:rPr lang="en-CA" sz="1200"/>
              <a:t> 2019-2020</a:t>
            </a:r>
          </a:p>
        </c:rich>
      </c:tx>
      <c:layout>
        <c:manualLayout>
          <c:xMode val="edge"/>
          <c:yMode val="edge"/>
          <c:x val="0.19102453102453099"/>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13</c:v>
                </c:pt>
                <c:pt idx="2">
                  <c:v>106</c:v>
                </c:pt>
                <c:pt idx="3">
                  <c:v>256</c:v>
                </c:pt>
                <c:pt idx="4">
                  <c:v>331</c:v>
                </c:pt>
                <c:pt idx="5">
                  <c:v>313</c:v>
                </c:pt>
                <c:pt idx="6">
                  <c:v>314</c:v>
                </c:pt>
                <c:pt idx="7">
                  <c:v>258</c:v>
                </c:pt>
                <c:pt idx="8">
                  <c:v>191</c:v>
                </c:pt>
                <c:pt idx="9">
                  <c:v>143</c:v>
                </c:pt>
                <c:pt idx="10">
                  <c:v>109</c:v>
                </c:pt>
                <c:pt idx="11">
                  <c:v>91</c:v>
                </c:pt>
                <c:pt idx="12">
                  <c:v>70</c:v>
                </c:pt>
                <c:pt idx="13">
                  <c:v>49</c:v>
                </c:pt>
                <c:pt idx="14">
                  <c:v>43</c:v>
                </c:pt>
                <c:pt idx="15">
                  <c:v>41</c:v>
                </c:pt>
                <c:pt idx="16">
                  <c:v>36</c:v>
                </c:pt>
                <c:pt idx="17">
                  <c:v>20</c:v>
                </c:pt>
                <c:pt idx="18">
                  <c:v>15</c:v>
                </c:pt>
                <c:pt idx="19">
                  <c:v>23</c:v>
                </c:pt>
                <c:pt idx="20">
                  <c:v>20</c:v>
                </c:pt>
                <c:pt idx="21">
                  <c:v>18</c:v>
                </c:pt>
                <c:pt idx="22">
                  <c:v>11</c:v>
                </c:pt>
                <c:pt idx="23">
                  <c:v>15</c:v>
                </c:pt>
                <c:pt idx="24">
                  <c:v>6</c:v>
                </c:pt>
                <c:pt idx="25">
                  <c:v>11</c:v>
                </c:pt>
                <c:pt idx="26">
                  <c:v>6</c:v>
                </c:pt>
                <c:pt idx="27">
                  <c:v>5</c:v>
                </c:pt>
                <c:pt idx="28">
                  <c:v>6</c:v>
                </c:pt>
                <c:pt idx="29">
                  <c:v>10</c:v>
                </c:pt>
                <c:pt idx="30">
                  <c:v>1</c:v>
                </c:pt>
                <c:pt idx="31">
                  <c:v>4</c:v>
                </c:pt>
                <c:pt idx="32">
                  <c:v>5</c:v>
                </c:pt>
                <c:pt idx="33">
                  <c:v>4</c:v>
                </c:pt>
                <c:pt idx="34">
                  <c:v>43</c:v>
                </c:pt>
              </c:numCache>
            </c:numRef>
          </c:val>
          <c:extLst>
            <c:ext xmlns:c16="http://schemas.microsoft.com/office/drawing/2014/chart" uri="{C3380CC4-5D6E-409C-BE32-E72D297353CC}">
              <c16:uniqueId val="{00000000-7C12-4968-8299-C2FE663209D1}"/>
            </c:ext>
          </c:extLst>
        </c:ser>
        <c:dLbls>
          <c:showLegendKey val="0"/>
          <c:showVal val="0"/>
          <c:showCatName val="0"/>
          <c:showSerName val="0"/>
          <c:showPercent val="0"/>
          <c:showBubbleSize val="0"/>
        </c:dLbls>
        <c:gapWidth val="150"/>
        <c:overlap val="100"/>
        <c:axId val="678153152"/>
        <c:axId val="678146880"/>
      </c:barChart>
      <c:catAx>
        <c:axId val="67815315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8146880"/>
        <c:crosses val="autoZero"/>
        <c:auto val="1"/>
        <c:lblAlgn val="ctr"/>
        <c:lblOffset val="100"/>
        <c:noMultiLvlLbl val="0"/>
      </c:catAx>
      <c:valAx>
        <c:axId val="678146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8153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interne - Médiane pour </a:t>
            </a:r>
          </a:p>
          <a:p>
            <a:pPr>
              <a:defRPr sz="1200"/>
            </a:pPr>
            <a:r>
              <a:rPr lang="en-CA" sz="1200"/>
              <a:t>Affaires indiennes et du Nord canadien = 195 jours</a:t>
            </a:r>
          </a:p>
          <a:p>
            <a:pPr>
              <a:defRPr sz="1200"/>
            </a:pPr>
            <a:r>
              <a:rPr lang="en-CA" sz="1200"/>
              <a:t> 2019-2020</a:t>
            </a:r>
          </a:p>
        </c:rich>
      </c:tx>
      <c:layout>
        <c:manualLayout>
          <c:xMode val="edge"/>
          <c:yMode val="edge"/>
          <c:x val="0.19391053391053392"/>
          <c:y val="3.6182062608027653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c:v>
                </c:pt>
                <c:pt idx="2">
                  <c:v>4</c:v>
                </c:pt>
                <c:pt idx="3">
                  <c:v>10</c:v>
                </c:pt>
                <c:pt idx="4">
                  <c:v>10</c:v>
                </c:pt>
                <c:pt idx="5">
                  <c:v>10</c:v>
                </c:pt>
                <c:pt idx="6">
                  <c:v>13</c:v>
                </c:pt>
                <c:pt idx="7">
                  <c:v>10</c:v>
                </c:pt>
                <c:pt idx="8">
                  <c:v>11</c:v>
                </c:pt>
                <c:pt idx="9">
                  <c:v>3</c:v>
                </c:pt>
                <c:pt idx="10">
                  <c:v>10</c:v>
                </c:pt>
                <c:pt idx="11">
                  <c:v>5</c:v>
                </c:pt>
                <c:pt idx="12">
                  <c:v>6</c:v>
                </c:pt>
                <c:pt idx="13">
                  <c:v>2</c:v>
                </c:pt>
                <c:pt idx="14">
                  <c:v>1</c:v>
                </c:pt>
                <c:pt idx="15">
                  <c:v>4</c:v>
                </c:pt>
                <c:pt idx="16">
                  <c:v>2</c:v>
                </c:pt>
                <c:pt idx="17">
                  <c:v>1</c:v>
                </c:pt>
                <c:pt idx="18">
                  <c:v>0</c:v>
                </c:pt>
                <c:pt idx="19">
                  <c:v>0</c:v>
                </c:pt>
                <c:pt idx="20">
                  <c:v>1</c:v>
                </c:pt>
                <c:pt idx="21">
                  <c:v>0</c:v>
                </c:pt>
                <c:pt idx="22">
                  <c:v>0</c:v>
                </c:pt>
                <c:pt idx="23">
                  <c:v>0</c:v>
                </c:pt>
                <c:pt idx="24">
                  <c:v>1</c:v>
                </c:pt>
                <c:pt idx="25">
                  <c:v>0</c:v>
                </c:pt>
                <c:pt idx="26">
                  <c:v>0</c:v>
                </c:pt>
                <c:pt idx="27">
                  <c:v>0</c:v>
                </c:pt>
                <c:pt idx="28">
                  <c:v>0</c:v>
                </c:pt>
                <c:pt idx="29">
                  <c:v>0</c:v>
                </c:pt>
                <c:pt idx="30">
                  <c:v>0</c:v>
                </c:pt>
                <c:pt idx="31">
                  <c:v>0</c:v>
                </c:pt>
                <c:pt idx="32">
                  <c:v>0</c:v>
                </c:pt>
                <c:pt idx="33">
                  <c:v>0</c:v>
                </c:pt>
                <c:pt idx="34">
                  <c:v>1</c:v>
                </c:pt>
              </c:numCache>
            </c:numRef>
          </c:val>
          <c:extLst>
            <c:ext xmlns:c16="http://schemas.microsoft.com/office/drawing/2014/chart" uri="{C3380CC4-5D6E-409C-BE32-E72D297353CC}">
              <c16:uniqueId val="{00000000-3288-4C45-B592-47644F0D6FDF}"/>
            </c:ext>
          </c:extLst>
        </c:ser>
        <c:dLbls>
          <c:showLegendKey val="0"/>
          <c:showVal val="0"/>
          <c:showCatName val="0"/>
          <c:showSerName val="0"/>
          <c:showPercent val="0"/>
          <c:showBubbleSize val="0"/>
        </c:dLbls>
        <c:gapWidth val="150"/>
        <c:overlap val="100"/>
        <c:axId val="656806376"/>
        <c:axId val="656807160"/>
      </c:barChart>
      <c:catAx>
        <c:axId val="6568063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6807160"/>
        <c:crosses val="autoZero"/>
        <c:auto val="1"/>
        <c:lblAlgn val="ctr"/>
        <c:lblOffset val="100"/>
        <c:noMultiLvlLbl val="0"/>
      </c:catAx>
      <c:valAx>
        <c:axId val="656807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6806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externe</a:t>
            </a:r>
          </a:p>
          <a:p>
            <a:pPr>
              <a:defRPr sz="1200"/>
            </a:pPr>
            <a:r>
              <a:rPr lang="en-CA" sz="1200"/>
              <a:t>Médiane pour la fonction publique = 203 jours</a:t>
            </a:r>
          </a:p>
          <a:p>
            <a:pPr>
              <a:defRPr sz="1200"/>
            </a:pPr>
            <a:r>
              <a:rPr lang="en-CA" sz="1200"/>
              <a:t> 2019-2020</a:t>
            </a:r>
          </a:p>
        </c:rich>
      </c:tx>
      <c:layout>
        <c:manualLayout>
          <c:xMode val="edge"/>
          <c:yMode val="edge"/>
          <c:x val="0.25163059163059165"/>
          <c:y val="1.278206203605992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55</c:v>
                </c:pt>
                <c:pt idx="2">
                  <c:v>75</c:v>
                </c:pt>
                <c:pt idx="3">
                  <c:v>95</c:v>
                </c:pt>
                <c:pt idx="4">
                  <c:v>108</c:v>
                </c:pt>
                <c:pt idx="5">
                  <c:v>166</c:v>
                </c:pt>
                <c:pt idx="6">
                  <c:v>164</c:v>
                </c:pt>
                <c:pt idx="7">
                  <c:v>160</c:v>
                </c:pt>
                <c:pt idx="8">
                  <c:v>133</c:v>
                </c:pt>
                <c:pt idx="9">
                  <c:v>122</c:v>
                </c:pt>
                <c:pt idx="10">
                  <c:v>101</c:v>
                </c:pt>
                <c:pt idx="11">
                  <c:v>80</c:v>
                </c:pt>
                <c:pt idx="12">
                  <c:v>61</c:v>
                </c:pt>
                <c:pt idx="13">
                  <c:v>50</c:v>
                </c:pt>
                <c:pt idx="14">
                  <c:v>45</c:v>
                </c:pt>
                <c:pt idx="15">
                  <c:v>34</c:v>
                </c:pt>
                <c:pt idx="16">
                  <c:v>34</c:v>
                </c:pt>
                <c:pt idx="17">
                  <c:v>21</c:v>
                </c:pt>
                <c:pt idx="18">
                  <c:v>16</c:v>
                </c:pt>
                <c:pt idx="19">
                  <c:v>19</c:v>
                </c:pt>
                <c:pt idx="20">
                  <c:v>13</c:v>
                </c:pt>
                <c:pt idx="21">
                  <c:v>7</c:v>
                </c:pt>
                <c:pt idx="22">
                  <c:v>7</c:v>
                </c:pt>
                <c:pt idx="23">
                  <c:v>4</c:v>
                </c:pt>
                <c:pt idx="24">
                  <c:v>11</c:v>
                </c:pt>
                <c:pt idx="25">
                  <c:v>6</c:v>
                </c:pt>
                <c:pt idx="26">
                  <c:v>2</c:v>
                </c:pt>
                <c:pt idx="27">
                  <c:v>4</c:v>
                </c:pt>
                <c:pt idx="28">
                  <c:v>4</c:v>
                </c:pt>
                <c:pt idx="29">
                  <c:v>0</c:v>
                </c:pt>
                <c:pt idx="30">
                  <c:v>1</c:v>
                </c:pt>
                <c:pt idx="31">
                  <c:v>0</c:v>
                </c:pt>
                <c:pt idx="32">
                  <c:v>0</c:v>
                </c:pt>
                <c:pt idx="33">
                  <c:v>0</c:v>
                </c:pt>
                <c:pt idx="34">
                  <c:v>0</c:v>
                </c:pt>
              </c:numCache>
            </c:numRef>
          </c:val>
          <c:extLst>
            <c:ext xmlns:c16="http://schemas.microsoft.com/office/drawing/2014/chart" uri="{C3380CC4-5D6E-409C-BE32-E72D297353CC}">
              <c16:uniqueId val="{00000000-84B3-4C3B-A9B5-D47244BD1220}"/>
            </c:ext>
          </c:extLst>
        </c:ser>
        <c:dLbls>
          <c:showLegendKey val="0"/>
          <c:showVal val="0"/>
          <c:showCatName val="0"/>
          <c:showSerName val="0"/>
          <c:showPercent val="0"/>
          <c:showBubbleSize val="0"/>
        </c:dLbls>
        <c:gapWidth val="150"/>
        <c:overlap val="100"/>
        <c:axId val="745236672"/>
        <c:axId val="745237064"/>
      </c:barChart>
      <c:catAx>
        <c:axId val="74523667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5237064"/>
        <c:crosses val="autoZero"/>
        <c:auto val="1"/>
        <c:lblAlgn val="ctr"/>
        <c:lblOffset val="100"/>
        <c:noMultiLvlLbl val="0"/>
      </c:catAx>
      <c:valAx>
        <c:axId val="745237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5236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externe - Médiane pour</a:t>
            </a:r>
          </a:p>
          <a:p>
            <a:pPr>
              <a:defRPr sz="1200"/>
            </a:pPr>
            <a:r>
              <a:rPr lang="en-CA" sz="1200"/>
              <a:t>Affaires indiennes et du Nord canadien = 248 jours</a:t>
            </a:r>
          </a:p>
          <a:p>
            <a:pPr>
              <a:defRPr sz="1200"/>
            </a:pPr>
            <a:r>
              <a:rPr lang="en-CA" sz="1200"/>
              <a:t> 2019-2020</a:t>
            </a:r>
          </a:p>
        </c:rich>
      </c:tx>
      <c:layout>
        <c:manualLayout>
          <c:xMode val="edge"/>
          <c:yMode val="edge"/>
          <c:x val="0.19391053391053392"/>
          <c:y val="3.6182062608027653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c:v>
                </c:pt>
                <c:pt idx="2">
                  <c:v>2</c:v>
                </c:pt>
                <c:pt idx="3">
                  <c:v>4</c:v>
                </c:pt>
                <c:pt idx="4">
                  <c:v>0</c:v>
                </c:pt>
                <c:pt idx="5">
                  <c:v>3</c:v>
                </c:pt>
                <c:pt idx="6">
                  <c:v>6</c:v>
                </c:pt>
                <c:pt idx="7">
                  <c:v>4</c:v>
                </c:pt>
                <c:pt idx="8">
                  <c:v>5</c:v>
                </c:pt>
                <c:pt idx="9">
                  <c:v>7</c:v>
                </c:pt>
                <c:pt idx="10">
                  <c:v>3</c:v>
                </c:pt>
                <c:pt idx="11">
                  <c:v>4</c:v>
                </c:pt>
                <c:pt idx="12">
                  <c:v>4</c:v>
                </c:pt>
                <c:pt idx="13">
                  <c:v>5</c:v>
                </c:pt>
                <c:pt idx="14">
                  <c:v>1</c:v>
                </c:pt>
                <c:pt idx="15">
                  <c:v>2</c:v>
                </c:pt>
                <c:pt idx="16">
                  <c:v>1</c:v>
                </c:pt>
                <c:pt idx="17">
                  <c:v>1</c:v>
                </c:pt>
                <c:pt idx="18">
                  <c:v>2</c:v>
                </c:pt>
                <c:pt idx="19">
                  <c:v>0</c:v>
                </c:pt>
                <c:pt idx="20">
                  <c:v>1</c:v>
                </c:pt>
                <c:pt idx="21">
                  <c:v>0</c:v>
                </c:pt>
                <c:pt idx="22">
                  <c:v>0</c:v>
                </c:pt>
                <c:pt idx="23">
                  <c:v>0</c:v>
                </c:pt>
                <c:pt idx="24">
                  <c:v>1</c:v>
                </c:pt>
                <c:pt idx="25">
                  <c:v>0</c:v>
                </c:pt>
                <c:pt idx="26">
                  <c:v>0</c:v>
                </c:pt>
                <c:pt idx="27">
                  <c:v>1</c:v>
                </c:pt>
                <c:pt idx="28">
                  <c:v>1</c:v>
                </c:pt>
                <c:pt idx="29">
                  <c:v>0</c:v>
                </c:pt>
                <c:pt idx="30">
                  <c:v>0</c:v>
                </c:pt>
                <c:pt idx="31">
                  <c:v>0</c:v>
                </c:pt>
                <c:pt idx="32">
                  <c:v>0</c:v>
                </c:pt>
                <c:pt idx="33">
                  <c:v>0</c:v>
                </c:pt>
                <c:pt idx="34">
                  <c:v>0</c:v>
                </c:pt>
              </c:numCache>
            </c:numRef>
          </c:val>
          <c:extLst>
            <c:ext xmlns:c16="http://schemas.microsoft.com/office/drawing/2014/chart" uri="{C3380CC4-5D6E-409C-BE32-E72D297353CC}">
              <c16:uniqueId val="{00000000-7219-484C-B773-7CED21C71546}"/>
            </c:ext>
          </c:extLst>
        </c:ser>
        <c:dLbls>
          <c:showLegendKey val="0"/>
          <c:showVal val="0"/>
          <c:showCatName val="0"/>
          <c:showSerName val="0"/>
          <c:showPercent val="0"/>
          <c:showBubbleSize val="0"/>
        </c:dLbls>
        <c:gapWidth val="150"/>
        <c:overlap val="100"/>
        <c:axId val="745233928"/>
        <c:axId val="745234320"/>
      </c:barChart>
      <c:catAx>
        <c:axId val="74523392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5234320"/>
        <c:crosses val="autoZero"/>
        <c:auto val="1"/>
        <c:lblAlgn val="ctr"/>
        <c:lblOffset val="100"/>
        <c:noMultiLvlLbl val="0"/>
      </c:catAx>
      <c:valAx>
        <c:axId val="745234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5233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a:t>Population selon le profil linguistique au 31 mars 2020</a:t>
            </a:r>
          </a:p>
          <a:p>
            <a:pPr>
              <a:defRPr sz="1200"/>
            </a:pPr>
            <a:r>
              <a:rPr lang="en-US" sz="1200"/>
              <a:t> (N=5 470)</a:t>
            </a:r>
            <a:endParaRPr lang="en-CA" sz="1200"/>
          </a:p>
        </c:rich>
      </c:tx>
      <c:layout>
        <c:manualLayout>
          <c:xMode val="edge"/>
          <c:yMode val="edge"/>
          <c:x val="0.16501867106753754"/>
          <c:y val="3.352746587149979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018187460756223"/>
          <c:y val="0.40503528557489388"/>
          <c:w val="0.82467432175927602"/>
          <c:h val="0.51857042365381556"/>
        </c:manualLayout>
      </c:layout>
      <c:pieChart>
        <c:varyColors val="1"/>
        <c:ser>
          <c:idx val="0"/>
          <c:order val="0"/>
          <c:tx>
            <c:strRef>
              <c:f>Sheet1!$B$1</c:f>
              <c:strCache>
                <c:ptCount val="1"/>
                <c:pt idx="0">
                  <c:v>Population selon le profil linguistique au 31 mars 2018</c:v>
                </c:pt>
              </c:strCache>
            </c:strRef>
          </c:tx>
          <c:spPr>
            <a:ln w="0">
              <a:noFill/>
            </a:ln>
            <a:effectLst/>
          </c:spPr>
          <c:dPt>
            <c:idx val="0"/>
            <c:bubble3D val="0"/>
            <c:spPr>
              <a:solidFill>
                <a:schemeClr val="accent2"/>
              </a:solidFill>
              <a:ln w="0">
                <a:noFill/>
              </a:ln>
              <a:effectLst/>
            </c:spPr>
            <c:extLst>
              <c:ext xmlns:c16="http://schemas.microsoft.com/office/drawing/2014/chart" uri="{C3380CC4-5D6E-409C-BE32-E72D297353CC}">
                <c16:uniqueId val="{00000001-2FA1-4A4C-AFAE-08458E8F1B8A}"/>
              </c:ext>
            </c:extLst>
          </c:dPt>
          <c:dPt>
            <c:idx val="1"/>
            <c:bubble3D val="0"/>
            <c:spPr>
              <a:solidFill>
                <a:schemeClr val="accent1"/>
              </a:solidFill>
              <a:ln w="0">
                <a:noFill/>
              </a:ln>
              <a:effectLst/>
            </c:spPr>
            <c:extLst>
              <c:ext xmlns:c16="http://schemas.microsoft.com/office/drawing/2014/chart" uri="{C3380CC4-5D6E-409C-BE32-E72D297353CC}">
                <c16:uniqueId val="{00000003-2FA1-4A4C-AFAE-08458E8F1B8A}"/>
              </c:ext>
            </c:extLst>
          </c:dPt>
          <c:dLbls>
            <c:dLbl>
              <c:idx val="0"/>
              <c:layout>
                <c:manualLayout>
                  <c:x val="-0.15887253589773387"/>
                  <c:y val="-0.15431878836844309"/>
                </c:manualLayout>
              </c:layout>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3813263525305409"/>
                      <c:h val="0.24974120082815734"/>
                    </c:manualLayout>
                  </c15:layout>
                </c:ext>
                <c:ext xmlns:c16="http://schemas.microsoft.com/office/drawing/2014/chart" uri="{C3380CC4-5D6E-409C-BE32-E72D297353CC}">
                  <c16:uniqueId val="{00000001-2FA1-4A4C-AFAE-08458E8F1B8A}"/>
                </c:ext>
              </c:extLst>
            </c:dLbl>
            <c:dLbl>
              <c:idx val="1"/>
              <c:layout>
                <c:manualLayout>
                  <c:x val="0.19538223241632985"/>
                  <c:y val="0.17955936457724445"/>
                </c:manualLayout>
              </c:layout>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9048865619546247"/>
                      <c:h val="0.18633540372670807"/>
                    </c:manualLayout>
                  </c15:layout>
                </c:ext>
                <c:ext xmlns:c16="http://schemas.microsoft.com/office/drawing/2014/chart" uri="{C3380CC4-5D6E-409C-BE32-E72D297353CC}">
                  <c16:uniqueId val="{00000003-2FA1-4A4C-AFAE-08458E8F1B8A}"/>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2"/>
                <c:pt idx="0">
                  <c:v>Bilingue</c:v>
                </c:pt>
                <c:pt idx="1">
                  <c:v>Unilingue</c:v>
                </c:pt>
              </c:strCache>
            </c:strRef>
          </c:cat>
          <c:val>
            <c:numRef>
              <c:f>Sheet1!$B$2:$B$3</c:f>
              <c:numCache>
                <c:formatCode>0</c:formatCode>
                <c:ptCount val="2"/>
                <c:pt idx="0">
                  <c:v>1708</c:v>
                </c:pt>
                <c:pt idx="1">
                  <c:v>2835</c:v>
                </c:pt>
              </c:numCache>
            </c:numRef>
          </c:val>
          <c:extLst>
            <c:ext xmlns:c16="http://schemas.microsoft.com/office/drawing/2014/chart" uri="{C3380CC4-5D6E-409C-BE32-E72D297353CC}">
              <c16:uniqueId val="{00000004-2FA1-4A4C-AFAE-08458E8F1B8A}"/>
            </c:ext>
          </c:extLst>
        </c:ser>
        <c:dLbls>
          <c:showLegendKey val="0"/>
          <c:showVal val="0"/>
          <c:showCatName val="0"/>
          <c:showSerName val="0"/>
          <c:showPercent val="0"/>
          <c:showBubbleSize val="0"/>
          <c:showLeaderLines val="1"/>
        </c:dLbls>
        <c:firstSliceAng val="63"/>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a:solidFill>
                  <a:sysClr val="windowText" lastClr="000000"/>
                </a:solidFill>
              </a:rPr>
              <a:t>Population selon le groupe professionnel au 31 mars 2020</a:t>
            </a:r>
          </a:p>
          <a:p>
            <a:pPr>
              <a:defRPr sz="1100" b="1">
                <a:solidFill>
                  <a:sysClr val="windowText" lastClr="000000"/>
                </a:solidFill>
              </a:defRPr>
            </a:pPr>
            <a:r>
              <a:rPr lang="en-US" sz="1100">
                <a:solidFill>
                  <a:sysClr val="windowText" lastClr="000000"/>
                </a:solidFill>
              </a:rPr>
              <a:t>(N=5 470)</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724878663910028"/>
          <c:y val="0.3373023342496389"/>
          <c:w val="0.93955862026122472"/>
          <c:h val="0.62025549540682412"/>
        </c:manualLayout>
      </c:layout>
      <c:pieChart>
        <c:varyColors val="1"/>
        <c:ser>
          <c:idx val="0"/>
          <c:order val="0"/>
          <c:tx>
            <c:strRef>
              <c:f>Sheet1!$B$1</c:f>
              <c:strCache>
                <c:ptCount val="1"/>
                <c:pt idx="0">
                  <c:v>Population selon le groupe professionnel au 31 mars 2018</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C76D-4600-A00B-303C17AABB4C}"/>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C76D-4600-A00B-303C17AABB4C}"/>
              </c:ext>
            </c:extLst>
          </c:dPt>
          <c:dPt>
            <c:idx val="2"/>
            <c:bubble3D val="0"/>
            <c:spPr>
              <a:solidFill>
                <a:schemeClr val="accent6">
                  <a:lumMod val="40000"/>
                  <a:lumOff val="60000"/>
                </a:schemeClr>
              </a:solidFill>
              <a:ln w="3175">
                <a:solidFill>
                  <a:schemeClr val="lt1"/>
                </a:solidFill>
              </a:ln>
              <a:effectLst/>
            </c:spPr>
            <c:extLst>
              <c:ext xmlns:c16="http://schemas.microsoft.com/office/drawing/2014/chart" uri="{C3380CC4-5D6E-409C-BE32-E72D297353CC}">
                <c16:uniqueId val="{00000005-C76D-4600-A00B-303C17AABB4C}"/>
              </c:ext>
            </c:extLst>
          </c:dPt>
          <c:dPt>
            <c:idx val="3"/>
            <c:bubble3D val="0"/>
            <c:spPr>
              <a:solidFill>
                <a:schemeClr val="accent4"/>
              </a:solidFill>
              <a:ln w="3175">
                <a:solidFill>
                  <a:schemeClr val="lt1"/>
                </a:solidFill>
              </a:ln>
              <a:effectLst/>
            </c:spPr>
            <c:extLst>
              <c:ext xmlns:c16="http://schemas.microsoft.com/office/drawing/2014/chart" uri="{C3380CC4-5D6E-409C-BE32-E72D297353CC}">
                <c16:uniqueId val="{00000007-C76D-4600-A00B-303C17AABB4C}"/>
              </c:ext>
            </c:extLst>
          </c:dPt>
          <c:dPt>
            <c:idx val="4"/>
            <c:bubble3D val="0"/>
            <c:spPr>
              <a:solidFill>
                <a:schemeClr val="accent6"/>
              </a:solidFill>
              <a:ln w="3175">
                <a:solidFill>
                  <a:schemeClr val="lt1"/>
                </a:solidFill>
              </a:ln>
              <a:effectLst/>
            </c:spPr>
            <c:extLst>
              <c:ext xmlns:c16="http://schemas.microsoft.com/office/drawing/2014/chart" uri="{C3380CC4-5D6E-409C-BE32-E72D297353CC}">
                <c16:uniqueId val="{00000009-C76D-4600-A00B-303C17AABB4C}"/>
              </c:ext>
            </c:extLst>
          </c:dPt>
          <c:dLbls>
            <c:dLbl>
              <c:idx val="0"/>
              <c:layout>
                <c:manualLayout>
                  <c:x val="2.2026715934251234E-2"/>
                  <c:y val="-0.1311543450064851"/>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C76D-4600-A00B-303C17AABB4C}"/>
                </c:ext>
              </c:extLst>
            </c:dLbl>
            <c:dLbl>
              <c:idx val="1"/>
              <c:layout>
                <c:manualLayout>
                  <c:x val="0.11398172993738911"/>
                  <c:y val="-2.025633955288662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C76D-4600-A00B-303C17AABB4C}"/>
                </c:ext>
              </c:extLst>
            </c:dLbl>
            <c:dLbl>
              <c:idx val="2"/>
              <c:layout>
                <c:manualLayout>
                  <c:x val="0.19606856405519138"/>
                  <c:y val="0.1645050399828425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C76D-4600-A00B-303C17AABB4C}"/>
                </c:ext>
              </c:extLst>
            </c:dLbl>
            <c:dLbl>
              <c:idx val="3"/>
              <c:layout>
                <c:manualLayout>
                  <c:x val="-0.18018563322042846"/>
                  <c:y val="0.1687650398009414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439830496048327"/>
                      <c:h val="0.18831241854002176"/>
                    </c:manualLayout>
                  </c15:layout>
                </c:ext>
                <c:ext xmlns:c16="http://schemas.microsoft.com/office/drawing/2014/chart" uri="{C3380CC4-5D6E-409C-BE32-E72D297353CC}">
                  <c16:uniqueId val="{00000007-C76D-4600-A00B-303C17AABB4C}"/>
                </c:ext>
              </c:extLst>
            </c:dLbl>
            <c:dLbl>
              <c:idx val="4"/>
              <c:layout>
                <c:manualLayout>
                  <c:x val="-8.9385474860335198E-2"/>
                  <c:y val="-2.8489434929583218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256983240223464"/>
                      <c:h val="0.14267185473411154"/>
                    </c:manualLayout>
                  </c15:layout>
                </c:ext>
                <c:ext xmlns:c16="http://schemas.microsoft.com/office/drawing/2014/chart" uri="{C3380CC4-5D6E-409C-BE32-E72D297353CC}">
                  <c16:uniqueId val="{00000009-C76D-4600-A00B-303C17AABB4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PM</c:v>
                </c:pt>
                <c:pt idx="1">
                  <c:v>AS</c:v>
                </c:pt>
                <c:pt idx="2">
                  <c:v>EC</c:v>
                </c:pt>
                <c:pt idx="3">
                  <c:v>CR</c:v>
                </c:pt>
                <c:pt idx="4">
                  <c:v>Autre</c:v>
                </c:pt>
              </c:strCache>
            </c:strRef>
          </c:cat>
          <c:val>
            <c:numRef>
              <c:f>Sheet1!$B$2:$B$6</c:f>
              <c:numCache>
                <c:formatCode>General</c:formatCode>
                <c:ptCount val="5"/>
                <c:pt idx="0">
                  <c:v>1357</c:v>
                </c:pt>
                <c:pt idx="1">
                  <c:v>934</c:v>
                </c:pt>
                <c:pt idx="2">
                  <c:v>903</c:v>
                </c:pt>
                <c:pt idx="3">
                  <c:v>432</c:v>
                </c:pt>
                <c:pt idx="4">
                  <c:v>1568</c:v>
                </c:pt>
              </c:numCache>
            </c:numRef>
          </c:val>
          <c:extLst>
            <c:ext xmlns:c16="http://schemas.microsoft.com/office/drawing/2014/chart" uri="{C3380CC4-5D6E-409C-BE32-E72D297353CC}">
              <c16:uniqueId val="{0000000A-C76D-4600-A00B-303C17AABB4C}"/>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i="0" baseline="0">
                <a:solidFill>
                  <a:sysClr val="windowText" lastClr="000000"/>
                </a:solidFill>
                <a:effectLst/>
              </a:rPr>
              <a:t>Population selon la région au 31 mars 2020 (N=5 470)</a:t>
            </a:r>
            <a:endParaRPr lang="en-CA" sz="1200">
              <a:solidFill>
                <a:sysClr val="windowText" lastClr="000000"/>
              </a:solidFill>
              <a:effectLst/>
            </a:endParaRPr>
          </a:p>
        </c:rich>
      </c:tx>
      <c:layout>
        <c:manualLayout>
          <c:xMode val="edge"/>
          <c:yMode val="edge"/>
          <c:x val="0.13508932351198036"/>
          <c:y val="3.7124238780497275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7977027065165243E-2"/>
          <c:y val="0.26756513002640248"/>
          <c:w val="0.84333349635643373"/>
          <c:h val="0.70579860488143109"/>
        </c:manualLayout>
      </c:layout>
      <c:pieChart>
        <c:varyColors val="1"/>
        <c:ser>
          <c:idx val="0"/>
          <c:order val="0"/>
          <c:tx>
            <c:strRef>
              <c:f>Sheet1!$B$1</c:f>
              <c:strCache>
                <c:ptCount val="1"/>
                <c:pt idx="0">
                  <c:v>Population selon la région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solidFill>
                  <a:schemeClr val="lt1"/>
                </a:solidFill>
              </a:ln>
              <a:effectLst/>
            </c:spPr>
            <c:extLst>
              <c:ext xmlns:c16="http://schemas.microsoft.com/office/drawing/2014/chart" uri="{C3380CC4-5D6E-409C-BE32-E72D297353CC}">
                <c16:uniqueId val="{00000001-794E-4689-9360-7757EC7E946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794E-4689-9360-7757EC7E9466}"/>
              </c:ext>
            </c:extLst>
          </c:dPt>
          <c:dLbls>
            <c:dLbl>
              <c:idx val="0"/>
              <c:layout>
                <c:manualLayout>
                  <c:x val="-0.11469534050179211"/>
                  <c:y val="-4.378762999452654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7992831541218636"/>
                      <c:h val="0.24456521739130435"/>
                    </c:manualLayout>
                  </c15:layout>
                </c:ext>
                <c:ext xmlns:c16="http://schemas.microsoft.com/office/drawing/2014/chart" uri="{C3380CC4-5D6E-409C-BE32-E72D297353CC}">
                  <c16:uniqueId val="{00000001-794E-4689-9360-7757EC7E9466}"/>
                </c:ext>
              </c:extLst>
            </c:dLbl>
            <c:dLbl>
              <c:idx val="1"/>
              <c:layout>
                <c:manualLayout>
                  <c:x val="0.26523297491039421"/>
                  <c:y val="4.797633054488873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94E-4689-9360-7757EC7E94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Extérieur de la RCN</c:v>
                </c:pt>
                <c:pt idx="1">
                  <c:v>RCN</c:v>
                </c:pt>
              </c:strCache>
            </c:strRef>
          </c:cat>
          <c:val>
            <c:numRef>
              <c:f>Sheet1!$B$2:$B$3</c:f>
              <c:numCache>
                <c:formatCode>0</c:formatCode>
                <c:ptCount val="2"/>
                <c:pt idx="0">
                  <c:v>2387</c:v>
                </c:pt>
                <c:pt idx="1">
                  <c:v>2882</c:v>
                </c:pt>
              </c:numCache>
            </c:numRef>
          </c:val>
          <c:extLst>
            <c:ext xmlns:c16="http://schemas.microsoft.com/office/drawing/2014/chart" uri="{C3380CC4-5D6E-409C-BE32-E72D297353CC}">
              <c16:uniqueId val="{00000004-794E-4689-9360-7757EC7E9466}"/>
            </c:ext>
          </c:extLst>
        </c:ser>
        <c:dLbls>
          <c:showLegendKey val="0"/>
          <c:showVal val="0"/>
          <c:showCatName val="0"/>
          <c:showSerName val="0"/>
          <c:showPercent val="0"/>
          <c:showBubbleSize val="0"/>
          <c:showLeaderLines val="1"/>
        </c:dLbls>
        <c:firstSliceAng val="24"/>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Embauche externe pour une période</a:t>
            </a:r>
            <a:r>
              <a:rPr lang="en-US" sz="1200" baseline="0">
                <a:solidFill>
                  <a:sysClr val="windowText" lastClr="000000"/>
                </a:solidFill>
              </a:rPr>
              <a:t> indéterminée selon le groupe professionnel</a:t>
            </a:r>
            <a:r>
              <a:rPr lang="en-US" sz="1200">
                <a:solidFill>
                  <a:sysClr val="windowText" lastClr="000000"/>
                </a:solidFill>
              </a:rPr>
              <a:t>,</a:t>
            </a:r>
          </a:p>
          <a:p>
            <a:pPr>
              <a:defRPr sz="1200" b="1">
                <a:solidFill>
                  <a:sysClr val="windowText" lastClr="000000"/>
                </a:solidFill>
              </a:defRPr>
            </a:pPr>
            <a:r>
              <a:rPr lang="en-US" sz="1200">
                <a:solidFill>
                  <a:sysClr val="windowText" lastClr="000000"/>
                </a:solidFill>
              </a:rPr>
              <a:t> 2019-2020 (N=299)</a:t>
            </a:r>
          </a:p>
        </c:rich>
      </c:tx>
      <c:layout>
        <c:manualLayout>
          <c:xMode val="edge"/>
          <c:yMode val="edge"/>
          <c:x val="0.15610097326673167"/>
          <c:y val="2.1541293881578511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8811220598708"/>
          <c:y val="0.40946901717184425"/>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5732-4E60-91FE-4916C688F890}"/>
              </c:ext>
            </c:extLst>
          </c:dPt>
          <c:dPt>
            <c:idx val="1"/>
            <c:bubble3D val="0"/>
            <c:spPr>
              <a:solidFill>
                <a:schemeClr val="accent6">
                  <a:lumMod val="40000"/>
                  <a:lumOff val="60000"/>
                </a:schemeClr>
              </a:solidFill>
              <a:ln w="19050">
                <a:noFill/>
              </a:ln>
              <a:effectLst/>
            </c:spPr>
            <c:extLst>
              <c:ext xmlns:c16="http://schemas.microsoft.com/office/drawing/2014/chart" uri="{C3380CC4-5D6E-409C-BE32-E72D297353CC}">
                <c16:uniqueId val="{00000003-5732-4E60-91FE-4916C688F890}"/>
              </c:ext>
            </c:extLst>
          </c:dPt>
          <c:dPt>
            <c:idx val="2"/>
            <c:bubble3D val="0"/>
            <c:spPr>
              <a:solidFill>
                <a:schemeClr val="accent2"/>
              </a:solidFill>
              <a:ln w="19050">
                <a:noFill/>
              </a:ln>
              <a:effectLst/>
            </c:spPr>
            <c:extLst>
              <c:ext xmlns:c16="http://schemas.microsoft.com/office/drawing/2014/chart" uri="{C3380CC4-5D6E-409C-BE32-E72D297353CC}">
                <c16:uniqueId val="{00000005-5732-4E60-91FE-4916C688F890}"/>
              </c:ext>
            </c:extLst>
          </c:dPt>
          <c:dPt>
            <c:idx val="3"/>
            <c:bubble3D val="0"/>
            <c:spPr>
              <a:solidFill>
                <a:schemeClr val="accent4"/>
              </a:solidFill>
              <a:ln w="19050">
                <a:noFill/>
              </a:ln>
              <a:effectLst/>
            </c:spPr>
            <c:extLst>
              <c:ext xmlns:c16="http://schemas.microsoft.com/office/drawing/2014/chart" uri="{C3380CC4-5D6E-409C-BE32-E72D297353CC}">
                <c16:uniqueId val="{00000007-5732-4E60-91FE-4916C688F890}"/>
              </c:ext>
            </c:extLst>
          </c:dPt>
          <c:dPt>
            <c:idx val="4"/>
            <c:bubble3D val="0"/>
            <c:spPr>
              <a:solidFill>
                <a:schemeClr val="accent3"/>
              </a:solidFill>
              <a:ln w="19050">
                <a:noFill/>
              </a:ln>
              <a:effectLst/>
            </c:spPr>
            <c:extLst>
              <c:ext xmlns:c16="http://schemas.microsoft.com/office/drawing/2014/chart" uri="{C3380CC4-5D6E-409C-BE32-E72D297353CC}">
                <c16:uniqueId val="{00000009-5732-4E60-91FE-4916C688F890}"/>
              </c:ext>
            </c:extLst>
          </c:dPt>
          <c:dPt>
            <c:idx val="5"/>
            <c:bubble3D val="0"/>
            <c:spPr>
              <a:solidFill>
                <a:schemeClr val="accent6"/>
              </a:solidFill>
              <a:ln w="19050">
                <a:noFill/>
              </a:ln>
              <a:effectLst/>
            </c:spPr>
            <c:extLst>
              <c:ext xmlns:c16="http://schemas.microsoft.com/office/drawing/2014/chart" uri="{C3380CC4-5D6E-409C-BE32-E72D297353CC}">
                <c16:uniqueId val="{0000000B-5732-4E60-91FE-4916C688F890}"/>
              </c:ext>
            </c:extLst>
          </c:dPt>
          <c:dLbls>
            <c:dLbl>
              <c:idx val="0"/>
              <c:layout>
                <c:manualLayout>
                  <c:x val="-9.5008409388211285E-3"/>
                  <c:y val="1.4370575419031409E-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085815360036511"/>
                      <c:h val="0.13880863317282188"/>
                    </c:manualLayout>
                  </c15:layout>
                </c:ext>
                <c:ext xmlns:c16="http://schemas.microsoft.com/office/drawing/2014/chart" uri="{C3380CC4-5D6E-409C-BE32-E72D297353CC}">
                  <c16:uniqueId val="{00000001-5732-4E60-91FE-4916C688F890}"/>
                </c:ext>
              </c:extLst>
            </c:dLbl>
            <c:dLbl>
              <c:idx val="1"/>
              <c:layout>
                <c:manualLayout>
                  <c:x val="-8.4932861653162928E-3"/>
                  <c:y val="3.5162507000249649E-3"/>
                </c:manualLayout>
              </c:layout>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123446393897562"/>
                      <c:h val="0.16763557277114552"/>
                    </c:manualLayout>
                  </c15:layout>
                </c:ext>
                <c:ext xmlns:c16="http://schemas.microsoft.com/office/drawing/2014/chart" uri="{C3380CC4-5D6E-409C-BE32-E72D297353CC}">
                  <c16:uniqueId val="{00000003-5732-4E60-91FE-4916C688F890}"/>
                </c:ext>
              </c:extLst>
            </c:dLbl>
            <c:dLbl>
              <c:idx val="2"/>
              <c:layout>
                <c:manualLayout>
                  <c:x val="-5.4542457555124598E-3"/>
                  <c:y val="-3.937696764282482E-3"/>
                </c:manualLayout>
              </c:layout>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5732-4E60-91FE-4916C688F890}"/>
                </c:ext>
              </c:extLst>
            </c:dLbl>
            <c:dLbl>
              <c:idx val="3"/>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5732-4E60-91FE-4916C688F890}"/>
                </c:ext>
              </c:extLst>
            </c:dLbl>
            <c:dLbl>
              <c:idx val="4"/>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5732-4E60-91FE-4916C688F890}"/>
                </c:ext>
              </c:extLst>
            </c:dLbl>
            <c:dLbl>
              <c:idx val="5"/>
              <c:layout>
                <c:manualLayout>
                  <c:x val="-1.1759539158145472E-16"/>
                  <c:y val="-8.4104289318755257E-3"/>
                </c:manualLayout>
              </c:layout>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5732-4E60-91FE-4916C688F890}"/>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AS</c:v>
                </c:pt>
                <c:pt idx="1">
                  <c:v>EC</c:v>
                </c:pt>
                <c:pt idx="2">
                  <c:v>PM</c:v>
                </c:pt>
                <c:pt idx="3">
                  <c:v>CR</c:v>
                </c:pt>
                <c:pt idx="4">
                  <c:v>CS</c:v>
                </c:pt>
                <c:pt idx="5">
                  <c:v>Autre</c:v>
                </c:pt>
              </c:strCache>
            </c:strRef>
          </c:cat>
          <c:val>
            <c:numRef>
              <c:f>Sheet1!$B$2:$B$7</c:f>
              <c:numCache>
                <c:formatCode>General</c:formatCode>
                <c:ptCount val="6"/>
                <c:pt idx="0">
                  <c:v>68</c:v>
                </c:pt>
                <c:pt idx="1">
                  <c:v>67</c:v>
                </c:pt>
                <c:pt idx="2">
                  <c:v>36</c:v>
                </c:pt>
                <c:pt idx="3">
                  <c:v>34</c:v>
                </c:pt>
                <c:pt idx="4">
                  <c:v>30</c:v>
                </c:pt>
                <c:pt idx="5">
                  <c:v>64</c:v>
                </c:pt>
              </c:numCache>
            </c:numRef>
          </c:val>
          <c:extLst>
            <c:ext xmlns:c16="http://schemas.microsoft.com/office/drawing/2014/chart" uri="{C3380CC4-5D6E-409C-BE32-E72D297353CC}">
              <c16:uniqueId val="{0000000C-5732-4E60-91FE-4916C688F890}"/>
            </c:ext>
          </c:extLst>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la région</a:t>
            </a:r>
          </a:p>
        </c:rich>
      </c:tx>
      <c:layout>
        <c:manualLayout>
          <c:xMode val="edge"/>
          <c:yMode val="edge"/>
          <c:x val="0.32654123124997231"/>
          <c:y val="2.822279479176746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951817700419027"/>
          <c:y val="0.12158656628431981"/>
          <c:w val="0.84333349635643373"/>
          <c:h val="0.61671174519323513"/>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2.1872265966754156E-4"/>
                  <c:y val="1.3705670721260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50-4B3E-9DF6-C26C268CBD25}"/>
                </c:ext>
              </c:extLst>
            </c:dLbl>
            <c:dLbl>
              <c:idx val="1"/>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50-4B3E-9DF6-C26C268CBD25}"/>
                </c:ext>
              </c:extLst>
            </c:dLbl>
            <c:dLbl>
              <c:idx val="2"/>
              <c:layout>
                <c:manualLayout>
                  <c:x val="5.5739743058433487E-3"/>
                  <c:y val="1.0495090375138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50-4B3E-9DF6-C26C268CBD25}"/>
                </c:ext>
              </c:extLst>
            </c:dLbl>
            <c:dLbl>
              <c:idx val="3"/>
              <c:layout>
                <c:manualLayout>
                  <c:x val="6.7804024496937879E-3"/>
                  <c:y val="1.7913419551355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50-4B3E-9DF6-C26C268CBD25}"/>
                </c:ext>
              </c:extLst>
            </c:dLbl>
            <c:dLbl>
              <c:idx val="4"/>
              <c:layout>
                <c:manualLayout>
                  <c:x val="-3.6549707602339179E-3"/>
                  <c:y val="1.3705670721260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50-4B3E-9DF6-C26C268CBD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c:v>
                </c:pt>
                <c:pt idx="1">
                  <c:v>2016-2017</c:v>
                </c:pt>
                <c:pt idx="2">
                  <c:v>2017-2018</c:v>
                </c:pt>
                <c:pt idx="3">
                  <c:v>2018-2019</c:v>
                </c:pt>
                <c:pt idx="4">
                  <c:v>2019-2020</c:v>
                </c:pt>
              </c:strCache>
            </c:strRef>
          </c:cat>
          <c:val>
            <c:numRef>
              <c:f>Sheet1!$B$2:$B$6</c:f>
              <c:numCache>
                <c:formatCode>0%</c:formatCode>
                <c:ptCount val="5"/>
                <c:pt idx="0">
                  <c:v>0.55000000000000004</c:v>
                </c:pt>
                <c:pt idx="1">
                  <c:v>0.56000000000000005</c:v>
                </c:pt>
                <c:pt idx="2">
                  <c:v>0.55000000000000004</c:v>
                </c:pt>
                <c:pt idx="3">
                  <c:v>0.62</c:v>
                </c:pt>
                <c:pt idx="4">
                  <c:v>0.62</c:v>
                </c:pt>
              </c:numCache>
            </c:numRef>
          </c:val>
          <c:extLst>
            <c:ext xmlns:c16="http://schemas.microsoft.com/office/drawing/2014/chart" uri="{C3380CC4-5D6E-409C-BE32-E72D297353CC}">
              <c16:uniqueId val="{00000005-D850-4B3E-9DF6-C26C268CBD25}"/>
            </c:ext>
          </c:extLst>
        </c:ser>
        <c:ser>
          <c:idx val="1"/>
          <c:order val="1"/>
          <c:tx>
            <c:strRef>
              <c:f>Sheet1!$C$1</c:f>
              <c:strCache>
                <c:ptCount val="1"/>
                <c:pt idx="0">
                  <c:v>Extérieur de la Région de la capitale nationale (RCN)</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0800294700004537E-2"/>
                  <c:y val="7.8400213678960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50-4B3E-9DF6-C26C268CBD25}"/>
                </c:ext>
              </c:extLst>
            </c:dLbl>
            <c:dLbl>
              <c:idx val="1"/>
              <c:layout>
                <c:manualLayout>
                  <c:x val="1.9152046783625733E-2"/>
                  <c:y val="1.5258620340780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50-4B3E-9DF6-C26C268CBD25}"/>
                </c:ext>
              </c:extLst>
            </c:dLbl>
            <c:dLbl>
              <c:idx val="2"/>
              <c:layout>
                <c:manualLayout>
                  <c:x val="1.0964912280701754E-2"/>
                  <c:y val="1.5258620340780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850-4B3E-9DF6-C26C268CBD25}"/>
                </c:ext>
              </c:extLst>
            </c:dLbl>
            <c:dLbl>
              <c:idx val="3"/>
              <c:layout>
                <c:manualLayout>
                  <c:x val="1.4784500621632822E-2"/>
                  <c:y val="7.14043860844274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850-4B3E-9DF6-C26C268CBD25}"/>
                </c:ext>
              </c:extLst>
            </c:dLbl>
            <c:dLbl>
              <c:idx val="4"/>
              <c:layout>
                <c:manualLayout>
                  <c:x val="1.096491228070162E-2"/>
                  <c:y val="1.027925304094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850-4B3E-9DF6-C26C268CBD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c:v>
                </c:pt>
                <c:pt idx="1">
                  <c:v>2016-2017</c:v>
                </c:pt>
                <c:pt idx="2">
                  <c:v>2017-2018</c:v>
                </c:pt>
                <c:pt idx="3">
                  <c:v>2018-2019</c:v>
                </c:pt>
                <c:pt idx="4">
                  <c:v>2019-2020</c:v>
                </c:pt>
              </c:strCache>
            </c:strRef>
          </c:cat>
          <c:val>
            <c:numRef>
              <c:f>Sheet1!$C$2:$C$6</c:f>
              <c:numCache>
                <c:formatCode>0%</c:formatCode>
                <c:ptCount val="5"/>
                <c:pt idx="0">
                  <c:v>0.45</c:v>
                </c:pt>
                <c:pt idx="1">
                  <c:v>0.44</c:v>
                </c:pt>
                <c:pt idx="2">
                  <c:v>0.45</c:v>
                </c:pt>
                <c:pt idx="3">
                  <c:v>0.38</c:v>
                </c:pt>
                <c:pt idx="4">
                  <c:v>0.38</c:v>
                </c:pt>
              </c:numCache>
            </c:numRef>
          </c:val>
          <c:extLst>
            <c:ext xmlns:c16="http://schemas.microsoft.com/office/drawing/2014/chart" uri="{C3380CC4-5D6E-409C-BE32-E72D297353CC}">
              <c16:uniqueId val="{0000000B-D850-4B3E-9DF6-C26C268CBD25}"/>
            </c:ext>
          </c:extLst>
        </c:ser>
        <c:dLbls>
          <c:showLegendKey val="0"/>
          <c:showVal val="0"/>
          <c:showCatName val="0"/>
          <c:showSerName val="0"/>
          <c:showPercent val="0"/>
          <c:showBubbleSize val="0"/>
        </c:dLbls>
        <c:gapWidth val="150"/>
        <c:axId val="735076328"/>
        <c:axId val="735076720"/>
      </c:barChart>
      <c:catAx>
        <c:axId val="7350763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5076720"/>
        <c:crosses val="autoZero"/>
        <c:auto val="1"/>
        <c:lblAlgn val="ctr"/>
        <c:lblOffset val="100"/>
        <c:noMultiLvlLbl val="0"/>
      </c:catAx>
      <c:valAx>
        <c:axId val="735076720"/>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5076328"/>
        <c:crosses val="autoZero"/>
        <c:crossBetween val="between"/>
      </c:valAx>
      <c:spPr>
        <a:noFill/>
        <a:ln>
          <a:noFill/>
        </a:ln>
        <a:effectLst/>
      </c:spPr>
    </c:plotArea>
    <c:legend>
      <c:legendPos val="b"/>
      <c:layout>
        <c:manualLayout>
          <c:xMode val="edge"/>
          <c:yMode val="edge"/>
          <c:x val="8.3406144955564754E-2"/>
          <c:y val="0.83428252297655869"/>
          <c:w val="0.8251991527374869"/>
          <c:h val="0.109078792767830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le type de processus</a:t>
            </a:r>
          </a:p>
        </c:rich>
      </c:tx>
      <c:layout>
        <c:manualLayout>
          <c:xMode val="edge"/>
          <c:yMode val="edge"/>
          <c:x val="0.25603006200953382"/>
          <c:y val="2.653909044539605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9229225927910855E-2"/>
          <c:y val="7.0190301079591358E-2"/>
          <c:w val="0.84333349635643373"/>
          <c:h val="0.55160980926724579"/>
        </c:manualLayout>
      </c:layout>
      <c:barChart>
        <c:barDir val="col"/>
        <c:grouping val="clustered"/>
        <c:varyColors val="0"/>
        <c:ser>
          <c:idx val="0"/>
          <c:order val="0"/>
          <c:tx>
            <c:strRef>
              <c:f>Sheet1!$B$1</c:f>
              <c:strCache>
                <c:ptCount val="1"/>
                <c:pt idx="0">
                  <c:v>Non annoncé (ne tient pas compte des types de processus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7.0912863640736649E-3"/>
                  <c:y val="1.027925304094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D9-4B80-BED3-6DBCC7870F57}"/>
                </c:ext>
              </c:extLst>
            </c:dLbl>
            <c:dLbl>
              <c:idx val="1"/>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D9-4B80-BED3-6DBCC7870F57}"/>
                </c:ext>
              </c:extLst>
            </c:dLbl>
            <c:dLbl>
              <c:idx val="2"/>
              <c:layout>
                <c:manualLayout>
                  <c:x val="-5.555509749762955E-3"/>
                  <c:y val="1.73479257357692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D9-4B80-BED3-6DBCC7870F57}"/>
                </c:ext>
              </c:extLst>
            </c:dLbl>
            <c:dLbl>
              <c:idx val="3"/>
              <c:layout>
                <c:manualLayout>
                  <c:x val="-8.3332646246444333E-3"/>
                  <c:y val="1.7913419551355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D9-4B80-BED3-6DBCC7870F57}"/>
                </c:ext>
              </c:extLst>
            </c:dLbl>
            <c:dLbl>
              <c:idx val="4"/>
              <c:layout>
                <c:manualLayout>
                  <c:x val="-1.0471204188481676E-2"/>
                  <c:y val="1.3705670721260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D9-4B80-BED3-6DBCC7870F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c:v>
                </c:pt>
                <c:pt idx="1">
                  <c:v>2016-2017</c:v>
                </c:pt>
                <c:pt idx="2">
                  <c:v>2017-2018</c:v>
                </c:pt>
                <c:pt idx="3">
                  <c:v>2018-2019</c:v>
                </c:pt>
                <c:pt idx="4">
                  <c:v>2019-2020</c:v>
                </c:pt>
              </c:strCache>
            </c:strRef>
          </c:cat>
          <c:val>
            <c:numRef>
              <c:f>Sheet1!$B$2:$B$6</c:f>
              <c:numCache>
                <c:formatCode>#\ ###</c:formatCode>
                <c:ptCount val="5"/>
                <c:pt idx="0">
                  <c:v>152</c:v>
                </c:pt>
                <c:pt idx="1">
                  <c:v>247</c:v>
                </c:pt>
                <c:pt idx="2">
                  <c:v>532</c:v>
                </c:pt>
                <c:pt idx="3">
                  <c:v>728</c:v>
                </c:pt>
                <c:pt idx="4">
                  <c:v>831</c:v>
                </c:pt>
              </c:numCache>
            </c:numRef>
          </c:val>
          <c:extLst>
            <c:ext xmlns:c16="http://schemas.microsoft.com/office/drawing/2014/chart" uri="{C3380CC4-5D6E-409C-BE32-E72D297353CC}">
              <c16:uniqueId val="{00000005-59D9-4B80-BED3-6DBCC7870F57}"/>
            </c:ext>
          </c:extLst>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4904013961605585E-3"/>
                  <c:y val="1.8119274408841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9D9-4B80-BED3-6DBCC7870F57}"/>
                </c:ext>
              </c:extLst>
            </c:dLbl>
            <c:dLbl>
              <c:idx val="1"/>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9D9-4B80-BED3-6DBCC7870F57}"/>
                </c:ext>
              </c:extLst>
            </c:dLbl>
            <c:dLbl>
              <c:idx val="2"/>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9D9-4B80-BED3-6DBCC7870F57}"/>
                </c:ext>
              </c:extLst>
            </c:dLbl>
            <c:dLbl>
              <c:idx val="3"/>
              <c:layout>
                <c:manualLayout>
                  <c:x val="6.9808027923209887E-3"/>
                  <c:y val="1.3993273969073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9D9-4B80-BED3-6DBCC7870F57}"/>
                </c:ext>
              </c:extLst>
            </c:dLbl>
            <c:dLbl>
              <c:idx val="4"/>
              <c:layout>
                <c:manualLayout>
                  <c:x val="3.4904013961605585E-3"/>
                  <c:y val="6.85283536063044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9D9-4B80-BED3-6DBCC7870F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c:v>
                </c:pt>
                <c:pt idx="1">
                  <c:v>2016-2017</c:v>
                </c:pt>
                <c:pt idx="2">
                  <c:v>2017-2018</c:v>
                </c:pt>
                <c:pt idx="3">
                  <c:v>2018-2019</c:v>
                </c:pt>
                <c:pt idx="4">
                  <c:v>2019-2020</c:v>
                </c:pt>
              </c:strCache>
            </c:strRef>
          </c:cat>
          <c:val>
            <c:numRef>
              <c:f>Sheet1!$C$2:$C$6</c:f>
              <c:numCache>
                <c:formatCode>#\ ###</c:formatCode>
                <c:ptCount val="5"/>
                <c:pt idx="0">
                  <c:v>374</c:v>
                </c:pt>
                <c:pt idx="1">
                  <c:v>564</c:v>
                </c:pt>
                <c:pt idx="2">
                  <c:v>577</c:v>
                </c:pt>
                <c:pt idx="3">
                  <c:v>642</c:v>
                </c:pt>
                <c:pt idx="4">
                  <c:v>718</c:v>
                </c:pt>
              </c:numCache>
            </c:numRef>
          </c:val>
          <c:extLst>
            <c:ext xmlns:c16="http://schemas.microsoft.com/office/drawing/2014/chart" uri="{C3380CC4-5D6E-409C-BE32-E72D297353CC}">
              <c16:uniqueId val="{0000000B-59D9-4B80-BED3-6DBCC7870F57}"/>
            </c:ext>
          </c:extLst>
        </c:ser>
        <c:dLbls>
          <c:showLegendKey val="0"/>
          <c:showVal val="0"/>
          <c:showCatName val="0"/>
          <c:showSerName val="0"/>
          <c:showPercent val="0"/>
          <c:showBubbleSize val="0"/>
        </c:dLbls>
        <c:gapWidth val="150"/>
        <c:axId val="735077112"/>
        <c:axId val="735075152"/>
      </c:barChart>
      <c:lineChart>
        <c:grouping val="standard"/>
        <c:varyColors val="0"/>
        <c:ser>
          <c:idx val="2"/>
          <c:order val="2"/>
          <c:tx>
            <c:strRef>
              <c:f>Sheet1!$D$1</c:f>
              <c:strCache>
                <c:ptCount val="1"/>
                <c:pt idx="0">
                  <c:v>% de processus non annoncés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5.9593419288019013E-2"/>
                  <c:y val="2.4028130622393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9D9-4B80-BED3-6DBCC7870F57}"/>
                </c:ext>
              </c:extLst>
            </c:dLbl>
            <c:dLbl>
              <c:idx val="1"/>
              <c:layout>
                <c:manualLayout>
                  <c:x val="-5.7834313712472322E-2"/>
                  <c:y val="-2.869087312846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9D9-4B80-BED3-6DBCC7870F57}"/>
                </c:ext>
              </c:extLst>
            </c:dLbl>
            <c:dLbl>
              <c:idx val="2"/>
              <c:layout>
                <c:manualLayout>
                  <c:x val="-6.8012729437488109E-2"/>
                  <c:y val="-5.12885274885321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9D9-4B80-BED3-6DBCC7870F57}"/>
                </c:ext>
              </c:extLst>
            </c:dLbl>
            <c:dLbl>
              <c:idx val="3"/>
              <c:layout>
                <c:manualLayout>
                  <c:x val="-6.1903307617745082E-2"/>
                  <c:y val="-3.063764602846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9D9-4B80-BED3-6DBCC7870F57}"/>
                </c:ext>
              </c:extLst>
            </c:dLbl>
            <c:dLbl>
              <c:idx val="4"/>
              <c:layout>
                <c:manualLayout>
                  <c:x val="-2.4432809773123908E-2"/>
                  <c:y val="-2.0558506081891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9D9-4B80-BED3-6DBCC7870F57}"/>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c:v>
                </c:pt>
                <c:pt idx="1">
                  <c:v>2016-2017</c:v>
                </c:pt>
                <c:pt idx="2">
                  <c:v>2017-2018</c:v>
                </c:pt>
                <c:pt idx="3">
                  <c:v>2018-2019</c:v>
                </c:pt>
                <c:pt idx="4">
                  <c:v>2019-2020</c:v>
                </c:pt>
              </c:strCache>
            </c:strRef>
          </c:cat>
          <c:val>
            <c:numRef>
              <c:f>Sheet1!$D$2:$D$6</c:f>
              <c:numCache>
                <c:formatCode>0%</c:formatCode>
                <c:ptCount val="5"/>
                <c:pt idx="0">
                  <c:v>0.28999999999999998</c:v>
                </c:pt>
                <c:pt idx="1">
                  <c:v>0.3</c:v>
                </c:pt>
                <c:pt idx="2">
                  <c:v>0.48</c:v>
                </c:pt>
                <c:pt idx="3">
                  <c:v>0.53</c:v>
                </c:pt>
                <c:pt idx="4">
                  <c:v>0.54</c:v>
                </c:pt>
              </c:numCache>
            </c:numRef>
          </c:val>
          <c:smooth val="0"/>
          <c:extLst>
            <c:ext xmlns:c16="http://schemas.microsoft.com/office/drawing/2014/chart" uri="{C3380CC4-5D6E-409C-BE32-E72D297353CC}">
              <c16:uniqueId val="{00000011-59D9-4B80-BED3-6DBCC7870F57}"/>
            </c:ext>
          </c:extLst>
        </c:ser>
        <c:dLbls>
          <c:showLegendKey val="0"/>
          <c:showVal val="0"/>
          <c:showCatName val="0"/>
          <c:showSerName val="0"/>
          <c:showPercent val="0"/>
          <c:showBubbleSize val="0"/>
        </c:dLbls>
        <c:marker val="1"/>
        <c:smooth val="0"/>
        <c:axId val="735075936"/>
        <c:axId val="735077896"/>
      </c:lineChart>
      <c:catAx>
        <c:axId val="7350771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5075152"/>
        <c:crosses val="autoZero"/>
        <c:auto val="1"/>
        <c:lblAlgn val="ctr"/>
        <c:lblOffset val="100"/>
        <c:noMultiLvlLbl val="0"/>
      </c:catAx>
      <c:valAx>
        <c:axId val="73507515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5077112"/>
        <c:crosses val="autoZero"/>
        <c:crossBetween val="between"/>
      </c:valAx>
      <c:valAx>
        <c:axId val="735077896"/>
        <c:scaling>
          <c:orientation val="minMax"/>
          <c:max val="0.8"/>
          <c:min val="0.2"/>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5075936"/>
        <c:crosses val="max"/>
        <c:crossBetween val="between"/>
        <c:majorUnit val="0.1"/>
      </c:valAx>
      <c:catAx>
        <c:axId val="735075936"/>
        <c:scaling>
          <c:orientation val="minMax"/>
        </c:scaling>
        <c:delete val="1"/>
        <c:axPos val="b"/>
        <c:numFmt formatCode="General" sourceLinked="1"/>
        <c:majorTickMark val="out"/>
        <c:minorTickMark val="none"/>
        <c:tickLblPos val="nextTo"/>
        <c:crossAx val="735077896"/>
        <c:crosses val="autoZero"/>
        <c:auto val="1"/>
        <c:lblAlgn val="ctr"/>
        <c:lblOffset val="100"/>
        <c:noMultiLvlLbl val="0"/>
      </c:catAx>
      <c:spPr>
        <a:noFill/>
        <a:ln>
          <a:noFill/>
        </a:ln>
        <a:effectLst/>
      </c:spPr>
    </c:plotArea>
    <c:legend>
      <c:legendPos val="b"/>
      <c:layout>
        <c:manualLayout>
          <c:xMode val="edge"/>
          <c:yMode val="edge"/>
          <c:x val="1.3961605584642234E-2"/>
          <c:y val="0.67666732317897038"/>
          <c:w val="0.98603839441535779"/>
          <c:h val="0.1151278339639065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le type de nomination</a:t>
            </a:r>
          </a:p>
        </c:rich>
      </c:tx>
      <c:layout>
        <c:manualLayout>
          <c:xMode val="edge"/>
          <c:yMode val="edge"/>
          <c:x val="0.26583332226810602"/>
          <c:y val="4.5444272600688507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96391076115485"/>
          <c:y val="7.1917388608046889E-2"/>
          <c:w val="0.84333349635643373"/>
          <c:h val="0.55364490207954775"/>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592E-3"/>
                  <c:y val="1.9600242277407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F9-41C9-ACF8-A3CF34C39782}"/>
                </c:ext>
              </c:extLst>
            </c:dLbl>
            <c:dLbl>
              <c:idx val="1"/>
              <c:layout>
                <c:manualLayout>
                  <c:x val="-8.3333333333333332E-3"/>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F9-41C9-ACF8-A3CF34C39782}"/>
                </c:ext>
              </c:extLst>
            </c:dLbl>
            <c:dLbl>
              <c:idx val="2"/>
              <c:layout>
                <c:manualLayout>
                  <c:x val="-8.3333333333333332E-3"/>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F9-41C9-ACF8-A3CF34C39782}"/>
                </c:ext>
              </c:extLst>
            </c:dLbl>
            <c:dLbl>
              <c:idx val="3"/>
              <c:layout>
                <c:manualLayout>
                  <c:x val="-1.9444444444444545E-2"/>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F9-41C9-ACF8-A3CF34C39782}"/>
                </c:ext>
              </c:extLst>
            </c:dLbl>
            <c:dLbl>
              <c:idx val="4"/>
              <c:layout>
                <c:manualLayout>
                  <c:x val="-8.333333333333435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F9-41C9-ACF8-A3CF34C397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(N=2 568)</c:v>
                </c:pt>
                <c:pt idx="1">
                  <c:v>2016-2017 
(N=3 063)</c:v>
                </c:pt>
                <c:pt idx="2">
                  <c:v>2017-2018
(N=3 108)</c:v>
                </c:pt>
                <c:pt idx="3">
                  <c:v>2018-2019
(N=3 444)</c:v>
                </c:pt>
                <c:pt idx="4">
                  <c:v>2019-2020
(N=3 968)</c:v>
                </c:pt>
              </c:strCache>
            </c:strRef>
          </c:cat>
          <c:val>
            <c:numRef>
              <c:f>Sheet1!$B$3:$B$7</c:f>
              <c:numCache>
                <c:formatCode>#\ ###</c:formatCode>
                <c:ptCount val="5"/>
                <c:pt idx="0">
                  <c:v>248</c:v>
                </c:pt>
                <c:pt idx="1">
                  <c:v>480</c:v>
                </c:pt>
                <c:pt idx="2">
                  <c:v>544</c:v>
                </c:pt>
                <c:pt idx="3" formatCode="General">
                  <c:v>675</c:v>
                </c:pt>
                <c:pt idx="4" formatCode="General">
                  <c:v>858</c:v>
                </c:pt>
              </c:numCache>
            </c:numRef>
          </c:val>
          <c:extLst>
            <c:ext xmlns:c16="http://schemas.microsoft.com/office/drawing/2014/chart" uri="{C3380CC4-5D6E-409C-BE32-E72D297353CC}">
              <c16:uniqueId val="{00000005-E1F9-41C9-ACF8-A3CF34C39782}"/>
            </c:ext>
          </c:extLst>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11111111111112E-2"/>
                  <c:y val="1.9417726630325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1F9-41C9-ACF8-A3CF34C39782}"/>
                </c:ext>
              </c:extLst>
            </c:dLbl>
            <c:dLbl>
              <c:idx val="1"/>
              <c:layout>
                <c:manualLayout>
                  <c:x val="-8.3333333333334356E-3"/>
                  <c:y val="1.9965273571572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1F9-41C9-ACF8-A3CF34C39782}"/>
                </c:ext>
              </c:extLst>
            </c:dLbl>
            <c:dLbl>
              <c:idx val="2"/>
              <c:layout>
                <c:manualLayout>
                  <c:x val="-1.1111111111111112E-2"/>
                  <c:y val="1.586270946900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1F9-41C9-ACF8-A3CF34C39782}"/>
                </c:ext>
              </c:extLst>
            </c:dLbl>
            <c:dLbl>
              <c:idx val="3"/>
              <c:layout>
                <c:manualLayout>
                  <c:x val="-5.5555555555555558E-3"/>
                  <c:y val="1.54976781748435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1F9-41C9-ACF8-A3CF34C39782}"/>
                </c:ext>
              </c:extLst>
            </c:dLbl>
            <c:dLbl>
              <c:idx val="4"/>
              <c:layout>
                <c:manualLayout>
                  <c:x val="1.0185067526415994E-16"/>
                  <c:y val="1.2307692307692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1F9-41C9-ACF8-A3CF34C397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(N=2 568)</c:v>
                </c:pt>
                <c:pt idx="1">
                  <c:v>2016-2017 
(N=3 063)</c:v>
                </c:pt>
                <c:pt idx="2">
                  <c:v>2017-2018
(N=3 108)</c:v>
                </c:pt>
                <c:pt idx="3">
                  <c:v>2018-2019
(N=3 444)</c:v>
                </c:pt>
                <c:pt idx="4">
                  <c:v>2019-2020
(N=3 968)</c:v>
                </c:pt>
              </c:strCache>
            </c:strRef>
          </c:cat>
          <c:val>
            <c:numRef>
              <c:f>Sheet1!$C$3:$C$7</c:f>
              <c:numCache>
                <c:formatCode>#\ ###</c:formatCode>
                <c:ptCount val="5"/>
                <c:pt idx="0">
                  <c:v>446</c:v>
                </c:pt>
                <c:pt idx="1">
                  <c:v>769</c:v>
                </c:pt>
                <c:pt idx="2">
                  <c:v>671</c:v>
                </c:pt>
                <c:pt idx="3" formatCode="General">
                  <c:v>677</c:v>
                </c:pt>
                <c:pt idx="4" formatCode="General">
                  <c:v>820</c:v>
                </c:pt>
              </c:numCache>
            </c:numRef>
          </c:val>
          <c:extLst>
            <c:ext xmlns:c16="http://schemas.microsoft.com/office/drawing/2014/chart" uri="{C3380CC4-5D6E-409C-BE32-E72D297353CC}">
              <c16:uniqueId val="{0000000B-E1F9-41C9-ACF8-A3CF34C39782}"/>
            </c:ext>
          </c:extLst>
        </c:ser>
        <c:ser>
          <c:idx val="2"/>
          <c:order val="2"/>
          <c:tx>
            <c:strRef>
              <c:f>Sheet1!$D$1</c:f>
              <c:strCache>
                <c:ptCount val="1"/>
                <c:pt idx="0">
                  <c:v>Nominations à la fonction publique (y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1F9-41C9-ACF8-A3CF34C39782}"/>
                </c:ext>
              </c:extLst>
            </c:dLbl>
            <c:dLbl>
              <c:idx val="1"/>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1F9-41C9-ACF8-A3CF34C39782}"/>
                </c:ext>
              </c:extLst>
            </c:dLbl>
            <c:dLbl>
              <c:idx val="2"/>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1F9-41C9-ACF8-A3CF34C39782}"/>
                </c:ext>
              </c:extLst>
            </c:dLbl>
            <c:dLbl>
              <c:idx val="3"/>
              <c:layout>
                <c:manualLayout>
                  <c:x val="8.285214348205456E-4"/>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1F9-41C9-ACF8-A3CF34C39782}"/>
                </c:ext>
              </c:extLst>
            </c:dLbl>
            <c:dLbl>
              <c:idx val="4"/>
              <c:layout>
                <c:manualLayout>
                  <c:x val="0"/>
                  <c:y val="8.2051282051281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1F9-41C9-ACF8-A3CF34C397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(N=2 568)</c:v>
                </c:pt>
                <c:pt idx="1">
                  <c:v>2016-2017 
(N=3 063)</c:v>
                </c:pt>
                <c:pt idx="2">
                  <c:v>2017-2018
(N=3 108)</c:v>
                </c:pt>
                <c:pt idx="3">
                  <c:v>2018-2019
(N=3 444)</c:v>
                </c:pt>
                <c:pt idx="4">
                  <c:v>2019-2020
(N=3 968)</c:v>
                </c:pt>
              </c:strCache>
            </c:strRef>
          </c:cat>
          <c:val>
            <c:numRef>
              <c:f>Sheet1!$D$3:$D$7</c:f>
              <c:numCache>
                <c:formatCode>#\ ###</c:formatCode>
                <c:ptCount val="5"/>
                <c:pt idx="0">
                  <c:v>1443</c:v>
                </c:pt>
                <c:pt idx="1">
                  <c:v>1505</c:v>
                </c:pt>
                <c:pt idx="2">
                  <c:v>1579</c:v>
                </c:pt>
                <c:pt idx="3" formatCode="General">
                  <c:v>1623</c:v>
                </c:pt>
                <c:pt idx="4" formatCode="General">
                  <c:v>1722</c:v>
                </c:pt>
              </c:numCache>
            </c:numRef>
          </c:val>
          <c:extLst>
            <c:ext xmlns:c16="http://schemas.microsoft.com/office/drawing/2014/chart" uri="{C3380CC4-5D6E-409C-BE32-E72D297353CC}">
              <c16:uniqueId val="{00000011-E1F9-41C9-ACF8-A3CF34C39782}"/>
            </c:ext>
          </c:extLst>
        </c:ser>
        <c:ser>
          <c:idx val="3"/>
          <c:order val="3"/>
          <c:tx>
            <c:strRef>
              <c:f>Sheet1!$E$1</c:f>
              <c:strCache>
                <c:ptCount val="1"/>
                <c:pt idx="0">
                  <c:v>Nominations intérimaires (Excluant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1F9-41C9-ACF8-A3CF34C39782}"/>
                </c:ext>
              </c:extLst>
            </c:dLbl>
            <c:dLbl>
              <c:idx val="1"/>
              <c:layout>
                <c:manualLayout>
                  <c:x val="2.777777777777676E-3"/>
                  <c:y val="2.069533615990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1F9-41C9-ACF8-A3CF34C39782}"/>
                </c:ext>
              </c:extLst>
            </c:dLbl>
            <c:dLbl>
              <c:idx val="2"/>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1F9-41C9-ACF8-A3CF34C39782}"/>
                </c:ext>
              </c:extLst>
            </c:dLbl>
            <c:dLbl>
              <c:idx val="3"/>
              <c:layout>
                <c:manualLayout>
                  <c:x val="3.6062992125984253E-3"/>
                  <c:y val="1.9782757924490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1F9-41C9-ACF8-A3CF34C39782}"/>
                </c:ext>
              </c:extLst>
            </c:dLbl>
            <c:dLbl>
              <c:idx val="4"/>
              <c:layout>
                <c:manualLayout>
                  <c:x val="0"/>
                  <c:y val="8.20512820512813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1F9-41C9-ACF8-A3CF34C397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(N=2 568)</c:v>
                </c:pt>
                <c:pt idx="1">
                  <c:v>2016-2017 
(N=3 063)</c:v>
                </c:pt>
                <c:pt idx="2">
                  <c:v>2017-2018
(N=3 108)</c:v>
                </c:pt>
                <c:pt idx="3">
                  <c:v>2018-2019
(N=3 444)</c:v>
                </c:pt>
                <c:pt idx="4">
                  <c:v>2019-2020
(N=3 968)</c:v>
                </c:pt>
              </c:strCache>
            </c:strRef>
          </c:cat>
          <c:val>
            <c:numRef>
              <c:f>Sheet1!$E$3:$E$7</c:f>
              <c:numCache>
                <c:formatCode>#\ ###</c:formatCode>
                <c:ptCount val="5"/>
                <c:pt idx="0">
                  <c:v>431</c:v>
                </c:pt>
                <c:pt idx="1">
                  <c:v>309</c:v>
                </c:pt>
                <c:pt idx="2">
                  <c:v>314</c:v>
                </c:pt>
                <c:pt idx="3" formatCode="General">
                  <c:v>469</c:v>
                </c:pt>
                <c:pt idx="4" formatCode="General">
                  <c:v>568</c:v>
                </c:pt>
              </c:numCache>
            </c:numRef>
          </c:val>
          <c:extLst>
            <c:ext xmlns:c16="http://schemas.microsoft.com/office/drawing/2014/chart" uri="{C3380CC4-5D6E-409C-BE32-E72D297353CC}">
              <c16:uniqueId val="{00000017-E1F9-41C9-ACF8-A3CF34C39782}"/>
            </c:ext>
          </c:extLst>
        </c:ser>
        <c:dLbls>
          <c:showLegendKey val="0"/>
          <c:showVal val="0"/>
          <c:showCatName val="0"/>
          <c:showSerName val="0"/>
          <c:showPercent val="0"/>
          <c:showBubbleSize val="0"/>
        </c:dLbls>
        <c:gapWidth val="150"/>
        <c:shape val="box"/>
        <c:axId val="735078680"/>
        <c:axId val="732831416"/>
        <c:axId val="0"/>
      </c:bar3DChart>
      <c:catAx>
        <c:axId val="7350786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2831416"/>
        <c:crosses val="autoZero"/>
        <c:auto val="0"/>
        <c:lblAlgn val="ctr"/>
        <c:lblOffset val="100"/>
        <c:noMultiLvlLbl val="0"/>
      </c:catAx>
      <c:valAx>
        <c:axId val="73283141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5078680"/>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la durée d'emploi</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0260975316148986"/>
          <c:w val="0.86277799650043729"/>
          <c:h val="0.60816022612558041"/>
        </c:manualLayout>
      </c:layout>
      <c:bar3DChart>
        <c:barDir val="col"/>
        <c:grouping val="clustered"/>
        <c:varyColors val="0"/>
        <c:ser>
          <c:idx val="0"/>
          <c:order val="0"/>
          <c:tx>
            <c:strRef>
              <c:f>Sheet1!$B$1</c:f>
              <c:strCache>
                <c:ptCount val="1"/>
                <c:pt idx="0">
                  <c:v>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05-4BBC-A66A-C49FE18CCE41}"/>
                </c:ext>
              </c:extLst>
            </c:dLbl>
            <c:dLbl>
              <c:idx val="1"/>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05-4BBC-A66A-C49FE18CCE41}"/>
                </c:ext>
              </c:extLst>
            </c:dLbl>
            <c:dLbl>
              <c:idx val="2"/>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05-4BBC-A66A-C49FE18CCE41}"/>
                </c:ext>
              </c:extLst>
            </c:dLbl>
            <c:dLbl>
              <c:idx val="3"/>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05-4BBC-A66A-C49FE18CCE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(N=2 568)</c:v>
                </c:pt>
                <c:pt idx="1">
                  <c:v>2016-2017
 (N=3 063)</c:v>
                </c:pt>
                <c:pt idx="2">
                  <c:v>2017-2018
 (N=3 108)</c:v>
                </c:pt>
                <c:pt idx="3">
                  <c:v>2018-2019
(N=3 444)</c:v>
                </c:pt>
                <c:pt idx="4">
                  <c:v>2019-2020
(N=3 968)</c:v>
                </c:pt>
              </c:strCache>
            </c:strRef>
          </c:cat>
          <c:val>
            <c:numRef>
              <c:f>Sheet1!$B$2:$B$6</c:f>
              <c:numCache>
                <c:formatCode>#\ ###</c:formatCode>
                <c:ptCount val="5"/>
                <c:pt idx="0">
                  <c:v>1131</c:v>
                </c:pt>
                <c:pt idx="1">
                  <c:v>1682</c:v>
                </c:pt>
                <c:pt idx="2">
                  <c:v>1696</c:v>
                </c:pt>
                <c:pt idx="3">
                  <c:v>1993</c:v>
                </c:pt>
                <c:pt idx="4">
                  <c:v>2470</c:v>
                </c:pt>
              </c:numCache>
            </c:numRef>
          </c:val>
          <c:extLst>
            <c:ext xmlns:c16="http://schemas.microsoft.com/office/drawing/2014/chart" uri="{C3380CC4-5D6E-409C-BE32-E72D297353CC}">
              <c16:uniqueId val="{00000004-D405-4BBC-A66A-C49FE18CCE41}"/>
            </c:ext>
          </c:extLst>
        </c:ser>
        <c:ser>
          <c:idx val="1"/>
          <c:order val="1"/>
          <c:tx>
            <c:strRef>
              <c:f>Sheet1!$C$1</c:f>
              <c:strCache>
                <c:ptCount val="1"/>
                <c:pt idx="0">
                  <c:v>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8286E-3"/>
                  <c:y val="2.4250353321219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05-4BBC-A66A-C49FE18CCE41}"/>
                </c:ext>
              </c:extLst>
            </c:dLbl>
            <c:dLbl>
              <c:idx val="1"/>
              <c:layout>
                <c:manualLayout>
                  <c:x val="-2.7777777777777779E-3"/>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05-4BBC-A66A-C49FE18CCE41}"/>
                </c:ext>
              </c:extLst>
            </c:dLbl>
            <c:dLbl>
              <c:idx val="2"/>
              <c:layout>
                <c:manualLayout>
                  <c:x val="0"/>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405-4BBC-A66A-C49FE18CCE41}"/>
                </c:ext>
              </c:extLst>
            </c:dLbl>
            <c:dLbl>
              <c:idx val="3"/>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405-4BBC-A66A-C49FE18CCE41}"/>
                </c:ext>
              </c:extLst>
            </c:dLbl>
            <c:dLbl>
              <c:idx val="4"/>
              <c:layout>
                <c:manualLayout>
                  <c:x val="0"/>
                  <c:y val="1.6410256410256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405-4BBC-A66A-C49FE18CCE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(N=2 568)</c:v>
                </c:pt>
                <c:pt idx="1">
                  <c:v>2016-2017
 (N=3 063)</c:v>
                </c:pt>
                <c:pt idx="2">
                  <c:v>2017-2018
 (N=3 108)</c:v>
                </c:pt>
                <c:pt idx="3">
                  <c:v>2018-2019
(N=3 444)</c:v>
                </c:pt>
                <c:pt idx="4">
                  <c:v>2019-2020
(N=3 968)</c:v>
                </c:pt>
              </c:strCache>
            </c:strRef>
          </c:cat>
          <c:val>
            <c:numRef>
              <c:f>Sheet1!$C$2:$C$6</c:f>
              <c:numCache>
                <c:formatCode>#\ ###</c:formatCode>
                <c:ptCount val="5"/>
                <c:pt idx="0">
                  <c:v>206</c:v>
                </c:pt>
                <c:pt idx="1">
                  <c:v>267</c:v>
                </c:pt>
                <c:pt idx="2">
                  <c:v>314</c:v>
                </c:pt>
                <c:pt idx="3">
                  <c:v>328</c:v>
                </c:pt>
                <c:pt idx="4">
                  <c:v>372</c:v>
                </c:pt>
              </c:numCache>
            </c:numRef>
          </c:val>
          <c:extLst>
            <c:ext xmlns:c16="http://schemas.microsoft.com/office/drawing/2014/chart" uri="{C3380CC4-5D6E-409C-BE32-E72D297353CC}">
              <c16:uniqueId val="{0000000A-D405-4BBC-A66A-C49FE18CCE41}"/>
            </c:ext>
          </c:extLst>
        </c:ser>
        <c:ser>
          <c:idx val="2"/>
          <c:order val="2"/>
          <c:tx>
            <c:strRef>
              <c:f>Sheet1!$D$1</c:f>
              <c:strCache>
                <c:ptCount val="1"/>
                <c:pt idx="0">
                  <c:v>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405-4BBC-A66A-C49FE18CCE41}"/>
                </c:ext>
              </c:extLst>
            </c:dLbl>
            <c:dLbl>
              <c:idx val="1"/>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405-4BBC-A66A-C49FE18CCE41}"/>
                </c:ext>
              </c:extLst>
            </c:dLbl>
            <c:dLbl>
              <c:idx val="2"/>
              <c:layout>
                <c:manualLayout>
                  <c:x val="-5.5555555555556572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405-4BBC-A66A-C49FE18CCE41}"/>
                </c:ext>
              </c:extLst>
            </c:dLbl>
            <c:dLbl>
              <c:idx val="3"/>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405-4BBC-A66A-C49FE18CCE41}"/>
                </c:ext>
              </c:extLst>
            </c:dLbl>
            <c:dLbl>
              <c:idx val="4"/>
              <c:layout>
                <c:manualLayout>
                  <c:x val="1.0185067526415994E-16"/>
                  <c:y val="1.6410256410256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405-4BBC-A66A-C49FE18CCE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(N=2 568)</c:v>
                </c:pt>
                <c:pt idx="1">
                  <c:v>2016-2017
 (N=3 063)</c:v>
                </c:pt>
                <c:pt idx="2">
                  <c:v>2017-2018
 (N=3 108)</c:v>
                </c:pt>
                <c:pt idx="3">
                  <c:v>2018-2019
(N=3 444)</c:v>
                </c:pt>
                <c:pt idx="4">
                  <c:v>2019-2020
(N=3 968)</c:v>
                </c:pt>
              </c:strCache>
            </c:strRef>
          </c:cat>
          <c:val>
            <c:numRef>
              <c:f>Sheet1!$D$2:$D$6</c:f>
              <c:numCache>
                <c:formatCode>#\ ###</c:formatCode>
                <c:ptCount val="5"/>
                <c:pt idx="0">
                  <c:v>597</c:v>
                </c:pt>
                <c:pt idx="1">
                  <c:v>547</c:v>
                </c:pt>
                <c:pt idx="2">
                  <c:v>557</c:v>
                </c:pt>
                <c:pt idx="3">
                  <c:v>599</c:v>
                </c:pt>
                <c:pt idx="4">
                  <c:v>609</c:v>
                </c:pt>
              </c:numCache>
            </c:numRef>
          </c:val>
          <c:extLst>
            <c:ext xmlns:c16="http://schemas.microsoft.com/office/drawing/2014/chart" uri="{C3380CC4-5D6E-409C-BE32-E72D297353CC}">
              <c16:uniqueId val="{00000010-D405-4BBC-A66A-C49FE18CCE41}"/>
            </c:ext>
          </c:extLst>
        </c:ser>
        <c:ser>
          <c:idx val="3"/>
          <c:order val="3"/>
          <c:tx>
            <c:strRef>
              <c:f>Sheet1!$E$1</c:f>
              <c:strCache>
                <c:ptCount val="1"/>
                <c:pt idx="0">
                  <c:v>Étudiant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405-4BBC-A66A-C49FE18CCE41}"/>
                </c:ext>
              </c:extLst>
            </c:dLbl>
            <c:dLbl>
              <c:idx val="1"/>
              <c:layout>
                <c:manualLayout>
                  <c:x val="-1.0185067526415994E-16"/>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405-4BBC-A66A-C49FE18CCE41}"/>
                </c:ext>
              </c:extLst>
            </c:dLbl>
            <c:dLbl>
              <c:idx val="2"/>
              <c:layout>
                <c:manualLayout>
                  <c:x val="5.5555555555556572E-3"/>
                  <c:y val="2.4067837674136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405-4BBC-A66A-C49FE18CCE41}"/>
                </c:ext>
              </c:extLst>
            </c:dLbl>
            <c:dLbl>
              <c:idx val="3"/>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405-4BBC-A66A-C49FE18CCE41}"/>
                </c:ext>
              </c:extLst>
            </c:dLbl>
            <c:dLbl>
              <c:idx val="4"/>
              <c:layout>
                <c:manualLayout>
                  <c:x val="2.7777777777777779E-3"/>
                  <c:y val="2.0512820512820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405-4BBC-A66A-C49FE18CCE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(N=2 568)</c:v>
                </c:pt>
                <c:pt idx="1">
                  <c:v>2016-2017
 (N=3 063)</c:v>
                </c:pt>
                <c:pt idx="2">
                  <c:v>2017-2018
 (N=3 108)</c:v>
                </c:pt>
                <c:pt idx="3">
                  <c:v>2018-2019
(N=3 444)</c:v>
                </c:pt>
                <c:pt idx="4">
                  <c:v>2019-2020
(N=3 968)</c:v>
                </c:pt>
              </c:strCache>
            </c:strRef>
          </c:cat>
          <c:val>
            <c:numRef>
              <c:f>Sheet1!$E$2:$E$6</c:f>
              <c:numCache>
                <c:formatCode>#\ ###</c:formatCode>
                <c:ptCount val="5"/>
                <c:pt idx="0">
                  <c:v>634</c:v>
                </c:pt>
                <c:pt idx="1">
                  <c:v>567</c:v>
                </c:pt>
                <c:pt idx="2">
                  <c:v>541</c:v>
                </c:pt>
                <c:pt idx="3">
                  <c:v>524</c:v>
                </c:pt>
                <c:pt idx="4">
                  <c:v>517</c:v>
                </c:pt>
              </c:numCache>
            </c:numRef>
          </c:val>
          <c:extLst>
            <c:ext xmlns:c16="http://schemas.microsoft.com/office/drawing/2014/chart" uri="{C3380CC4-5D6E-409C-BE32-E72D297353CC}">
              <c16:uniqueId val="{00000016-D405-4BBC-A66A-C49FE18CCE41}"/>
            </c:ext>
          </c:extLst>
        </c:ser>
        <c:dLbls>
          <c:showLegendKey val="0"/>
          <c:showVal val="1"/>
          <c:showCatName val="0"/>
          <c:showSerName val="0"/>
          <c:showPercent val="0"/>
          <c:showBubbleSize val="0"/>
        </c:dLbls>
        <c:gapWidth val="150"/>
        <c:shape val="box"/>
        <c:axId val="732832984"/>
        <c:axId val="732831808"/>
        <c:axId val="0"/>
      </c:bar3DChart>
      <c:catAx>
        <c:axId val="7328329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2831808"/>
        <c:crosses val="autoZero"/>
        <c:auto val="1"/>
        <c:lblAlgn val="ctr"/>
        <c:lblOffset val="100"/>
        <c:noMultiLvlLbl val="0"/>
      </c:catAx>
      <c:valAx>
        <c:axId val="73283180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2832984"/>
        <c:crosses val="autoZero"/>
        <c:crossBetween val="between"/>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927</a:t>
          </a:r>
          <a:endParaRPr lang="en-CA" sz="850"/>
        </a:p>
      </cdr:txBody>
    </cdr:sp>
  </cdr:relSizeAnchor>
</c:userShapes>
</file>

<file path=word/drawings/drawing10.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0.33486</cdr:x>
      <cdr:y>0.19197</cdr:y>
    </cdr:from>
    <cdr:to>
      <cdr:x>0.33625</cdr:x>
      <cdr:y>0.74199</cdr:y>
    </cdr:to>
    <cdr:cxnSp macro="">
      <cdr:nvCxnSpPr>
        <cdr:cNvPr id="5" name="Straight Connector 4" descr="Median line fof the specified organization's internal time to staff graphic"/>
        <cdr:cNvCxnSpPr/>
      </cdr:nvCxnSpPr>
      <cdr:spPr>
        <a:xfrm xmlns:a="http://schemas.openxmlformats.org/drawingml/2006/main" flipV="1">
          <a:off x="1473569" y="524784"/>
          <a:ext cx="6116" cy="1503576"/>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0.03598</cdr:x>
      <cdr:y>0.92943</cdr:y>
    </cdr:from>
    <cdr:to>
      <cdr:x>0.85938</cdr:x>
      <cdr:y>1</cdr:y>
    </cdr:to>
    <cdr:sp macro="" textlink="">
      <cdr:nvSpPr>
        <cdr:cNvPr id="2" name="Text Box 1"/>
        <cdr:cNvSpPr txBox="1"/>
      </cdr:nvSpPr>
      <cdr:spPr>
        <a:xfrm xmlns:a="http://schemas.openxmlformats.org/drawingml/2006/main">
          <a:off x="61352" y="2330820"/>
          <a:ext cx="1403869" cy="17276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CA" sz="850"/>
            <a:t>inconnus=</a:t>
          </a:r>
          <a:r>
            <a:rPr lang="en-CA" sz="850" baseline="0"/>
            <a:t> 276</a:t>
          </a:r>
          <a:endParaRPr lang="en-CA" sz="850"/>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201</a:t>
          </a:r>
          <a:endParaRPr lang="en-CA" sz="850"/>
        </a:p>
      </cdr:txBody>
    </cdr:sp>
  </cdr:relSizeAnchor>
</c:userShapes>
</file>

<file path=word/drawings/drawing4.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Distribution régionale exclus les inconnus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0.00725</cdr:x>
      <cdr:y>0.77925</cdr:y>
    </cdr:from>
    <cdr:to>
      <cdr:x>0.97183</cdr:x>
      <cdr:y>0.99965</cdr:y>
    </cdr:to>
    <cdr:sp macro="" textlink="">
      <cdr:nvSpPr>
        <cdr:cNvPr id="2" name="Text Box 1"/>
        <cdr:cNvSpPr txBox="1"/>
      </cdr:nvSpPr>
      <cdr:spPr>
        <a:xfrm xmlns:a="http://schemas.openxmlformats.org/drawingml/2006/main">
          <a:off x="26375" y="2828925"/>
          <a:ext cx="3509673" cy="8000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comprend les nominations pour une période indéterminée et pour une période déterminée</a:t>
          </a:r>
        </a:p>
        <a:p xmlns:a="http://schemas.openxmlformats.org/drawingml/2006/main">
          <a:pPr>
            <a:lnSpc>
              <a:spcPts val="900"/>
            </a:lnSpc>
          </a:pPr>
          <a:r>
            <a:rPr lang="en-CA" sz="850" baseline="0"/>
            <a:t>-Exclut les déplacements latéraux et régressifs, les mutations et les nominations intérimaires de moins de quatre mois</a:t>
          </a:r>
        </a:p>
        <a:p xmlns:a="http://schemas.openxmlformats.org/drawingml/2006/main">
          <a:pPr>
            <a:lnSpc>
              <a:spcPts val="900"/>
            </a:lnSpc>
          </a:pPr>
          <a:r>
            <a:rPr lang="en-CA" sz="850" baseline="0">
              <a:solidFill>
                <a:sysClr val="windowText" lastClr="000000"/>
              </a:solidFill>
            </a:rPr>
            <a:t>-Inclut seulement les nominations où le type de processus est connu (59% à 83% des nominations)</a:t>
          </a:r>
          <a:endParaRPr lang="en-CA" sz="850">
            <a:solidFill>
              <a:sysClr val="windowText" lastClr="000000"/>
            </a:solidFill>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0.012</cdr:x>
      <cdr:y>0.87778</cdr:y>
    </cdr:from>
    <cdr:to>
      <cdr:x>0.99721</cdr:x>
      <cdr:y>1</cdr:y>
    </cdr:to>
    <cdr:sp macro="" textlink="">
      <cdr:nvSpPr>
        <cdr:cNvPr id="2" name="Text Box 1" descr="*Aux fins du rapport, les anciens étudiants incluent les participants au programme (COOP et PFETE) nommés dans le cadre d'un processus non annoncé.&#10;&#10;"/>
        <cdr:cNvSpPr txBox="1"/>
      </cdr:nvSpPr>
      <cdr:spPr>
        <a:xfrm xmlns:a="http://schemas.openxmlformats.org/drawingml/2006/main">
          <a:off x="41041" y="2905125"/>
          <a:ext cx="3368909" cy="40449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 Embauche avec expérience acquise dans les programmes fédéraux de recrutement étudiant dans les 10 dernières années.</a:t>
          </a:r>
        </a:p>
      </cdr:txBody>
    </cdr: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0.26529</cdr:x>
      <cdr:y>0.19986</cdr:y>
    </cdr:from>
    <cdr:to>
      <cdr:x>0.26668</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7400" y="536834"/>
          <a:ext cx="6117" cy="147738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0.28868</cdr:x>
      <cdr:y>0.20126</cdr:y>
    </cdr:from>
    <cdr:to>
      <cdr:x>0.29007</cdr:x>
      <cdr:y>0.75128</cdr:y>
    </cdr:to>
    <cdr:cxnSp macro="">
      <cdr:nvCxnSpPr>
        <cdr:cNvPr id="5" name="Straight Connector 4" descr="Median line fof the specified organization's internal time to staff graphic"/>
        <cdr:cNvCxnSpPr/>
      </cdr:nvCxnSpPr>
      <cdr:spPr>
        <a:xfrm xmlns:a="http://schemas.openxmlformats.org/drawingml/2006/main" flipV="1">
          <a:off x="1270369" y="550184"/>
          <a:ext cx="6116" cy="1503576"/>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E8059-2CC4-438F-A62E-B2013829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1</TotalTime>
  <Pages>33</Pages>
  <Words>6959</Words>
  <Characters>39669</Characters>
  <Application>Microsoft Office Word</Application>
  <DocSecurity>0</DocSecurity>
  <Lines>330</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46535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Ferreira</dc:creator>
  <cp:keywords/>
  <dc:description/>
  <cp:lastModifiedBy>Snjezana Kulic</cp:lastModifiedBy>
  <cp:revision>2</cp:revision>
  <dcterms:created xsi:type="dcterms:W3CDTF">2022-03-04T22:15:00Z</dcterms:created>
  <dcterms:modified xsi:type="dcterms:W3CDTF">2022-03-04T22:15:00Z</dcterms:modified>
</cp:coreProperties>
</file>