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9.xml" ContentType="application/vnd.openxmlformats-officedocument.drawingml.chartshapes+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BF" w:rsidRPr="00374A6E" w:rsidRDefault="00D735BF" w:rsidP="00450BF8">
      <w:pPr>
        <w:pStyle w:val="Title"/>
        <w:rPr>
          <w:lang w:val="en-CA"/>
        </w:rPr>
      </w:pPr>
      <w:r w:rsidRPr="00374A6E">
        <w:rPr>
          <w:lang w:val="en-CA"/>
        </w:rPr>
        <w:t xml:space="preserve">President meeting with </w:t>
      </w:r>
      <w:r w:rsidRPr="00374A6E">
        <w:rPr>
          <w:lang w:val="en-CA"/>
        </w:rPr>
        <w:br/>
        <w:t xml:space="preserve">Christine Hogan, Deputy Minister of Environment and Climate Change Canada </w:t>
      </w:r>
      <w:r w:rsidRPr="00374A6E">
        <w:rPr>
          <w:lang w:val="en-CA"/>
        </w:rPr>
        <w:br/>
        <w:t>December 16, 2019</w:t>
      </w:r>
    </w:p>
    <w:p w:rsidR="00D735BF" w:rsidRPr="00374A6E" w:rsidRDefault="00D735BF" w:rsidP="00450BF8">
      <w:pPr>
        <w:pStyle w:val="Heading1"/>
        <w:spacing w:after="120"/>
        <w:rPr>
          <w:lang w:val="en-CA"/>
        </w:rPr>
      </w:pPr>
      <w:r w:rsidRPr="00374A6E">
        <w:rPr>
          <w:lang w:val="en-CA"/>
        </w:rPr>
        <w:t>Introduction</w:t>
      </w:r>
    </w:p>
    <w:p w:rsidR="00D735BF" w:rsidRPr="00374A6E" w:rsidRDefault="00D735BF" w:rsidP="00E444AD">
      <w:pPr>
        <w:pStyle w:val="Heading2"/>
        <w:spacing w:after="120"/>
        <w:rPr>
          <w:lang w:val="en-CA"/>
        </w:rPr>
      </w:pPr>
      <w:r w:rsidRPr="00374A6E">
        <w:rPr>
          <w:lang w:val="en-CA"/>
        </w:rPr>
        <w:t>Deputy Head</w:t>
      </w:r>
    </w:p>
    <w:p w:rsidR="00D735BF" w:rsidRPr="00374A6E" w:rsidRDefault="00D735BF" w:rsidP="00450BF8">
      <w:pPr>
        <w:pStyle w:val="NoSpacing"/>
        <w:spacing w:after="120"/>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Ms. Christine Hogan was appointed as the Deputy Minister, Environment and Climate Change Canad</w:t>
      </w:r>
      <w:r w:rsidR="00450BF8" w:rsidRPr="00374A6E">
        <w:rPr>
          <w:rFonts w:asciiTheme="minorHAnsi" w:hAnsiTheme="minorHAnsi" w:cstheme="minorHAnsi"/>
          <w:sz w:val="22"/>
          <w:szCs w:val="22"/>
          <w:lang w:val="en-CA" w:eastAsia="en-CA"/>
        </w:rPr>
        <w:t>a (ECCC) on September 30, 2019.</w:t>
      </w:r>
    </w:p>
    <w:p w:rsidR="007D1113" w:rsidRPr="007D1113" w:rsidRDefault="00D735BF" w:rsidP="007D1113">
      <w:pPr>
        <w:pStyle w:val="NoSpacing"/>
        <w:spacing w:after="120"/>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 xml:space="preserve">Ms. Hogan </w:t>
      </w:r>
      <w:r w:rsidR="007D1113" w:rsidRPr="007D1113">
        <w:rPr>
          <w:rFonts w:asciiTheme="minorHAnsi" w:hAnsiTheme="minorHAnsi" w:cstheme="minorHAnsi"/>
          <w:sz w:val="22"/>
          <w:szCs w:val="22"/>
          <w:lang w:val="en-CA" w:eastAsia="en-CA"/>
        </w:rPr>
        <w:t>is exercising the Public Service Commission’s (PSC) authority for the first time as D</w:t>
      </w:r>
      <w:r w:rsidR="007D1113">
        <w:rPr>
          <w:rFonts w:asciiTheme="minorHAnsi" w:hAnsiTheme="minorHAnsi" w:cstheme="minorHAnsi"/>
          <w:sz w:val="22"/>
          <w:szCs w:val="22"/>
          <w:lang w:val="en-CA" w:eastAsia="en-CA"/>
        </w:rPr>
        <w:t>eputy Head (D</w:t>
      </w:r>
      <w:r w:rsidR="007D1113" w:rsidRPr="007D1113">
        <w:rPr>
          <w:rFonts w:asciiTheme="minorHAnsi" w:hAnsiTheme="minorHAnsi" w:cstheme="minorHAnsi"/>
          <w:sz w:val="22"/>
          <w:szCs w:val="22"/>
          <w:lang w:val="en-CA" w:eastAsia="en-CA"/>
        </w:rPr>
        <w:t>H</w:t>
      </w:r>
      <w:r w:rsidR="007D1113">
        <w:rPr>
          <w:rFonts w:asciiTheme="minorHAnsi" w:hAnsiTheme="minorHAnsi" w:cstheme="minorHAnsi"/>
          <w:sz w:val="22"/>
          <w:szCs w:val="22"/>
          <w:lang w:val="en-CA" w:eastAsia="en-CA"/>
        </w:rPr>
        <w:t>)</w:t>
      </w:r>
      <w:r w:rsidR="007D1113" w:rsidRPr="007D1113">
        <w:rPr>
          <w:rFonts w:asciiTheme="minorHAnsi" w:hAnsiTheme="minorHAnsi" w:cstheme="minorHAnsi"/>
          <w:sz w:val="22"/>
          <w:szCs w:val="22"/>
          <w:lang w:val="en-CA" w:eastAsia="en-CA"/>
        </w:rPr>
        <w:t xml:space="preserve">. A copy of the New Direction in Staffing (NDS) highlights for DHs is attached as </w:t>
      </w:r>
      <w:hyperlink w:anchor="AnnexA" w:history="1">
        <w:r w:rsidR="007D1113" w:rsidRPr="007D1113">
          <w:rPr>
            <w:rStyle w:val="Hyperlink"/>
            <w:rFonts w:asciiTheme="minorHAnsi" w:hAnsiTheme="minorHAnsi" w:cstheme="minorHAnsi"/>
            <w:sz w:val="22"/>
            <w:szCs w:val="22"/>
            <w:lang w:val="en-CA" w:eastAsia="en-CA"/>
          </w:rPr>
          <w:t>Annex A</w:t>
        </w:r>
      </w:hyperlink>
      <w:r w:rsidR="007D1113" w:rsidRPr="007D1113">
        <w:rPr>
          <w:rFonts w:asciiTheme="minorHAnsi" w:hAnsiTheme="minorHAnsi" w:cstheme="minorHAnsi"/>
          <w:sz w:val="22"/>
          <w:szCs w:val="22"/>
          <w:lang w:val="en-CA" w:eastAsia="en-CA"/>
        </w:rPr>
        <w:t>.</w:t>
      </w:r>
    </w:p>
    <w:p w:rsidR="00D735BF" w:rsidRPr="00374A6E" w:rsidRDefault="00D735BF" w:rsidP="00450BF8">
      <w:pPr>
        <w:pStyle w:val="NoSpacing"/>
        <w:spacing w:after="120"/>
        <w:rPr>
          <w:rFonts w:asciiTheme="minorHAnsi" w:hAnsiTheme="minorHAnsi" w:cstheme="minorHAnsi"/>
          <w:sz w:val="22"/>
          <w:szCs w:val="22"/>
          <w:lang w:val="en-CA" w:eastAsia="en-CA"/>
        </w:rPr>
      </w:pPr>
    </w:p>
    <w:p w:rsidR="00D735BF" w:rsidRPr="00374A6E" w:rsidRDefault="00D735BF" w:rsidP="00450BF8">
      <w:pPr>
        <w:pStyle w:val="Heading3"/>
        <w:spacing w:after="120"/>
        <w:rPr>
          <w:u w:val="single"/>
          <w:lang w:val="en-CA"/>
        </w:rPr>
      </w:pPr>
      <w:r w:rsidRPr="00374A6E">
        <w:rPr>
          <w:lang w:val="en-CA"/>
        </w:rPr>
        <w:t>Depu</w:t>
      </w:r>
      <w:r w:rsidR="00450BF8" w:rsidRPr="00374A6E">
        <w:rPr>
          <w:lang w:val="en-CA"/>
        </w:rPr>
        <w:t>ty Minister University Champion</w:t>
      </w:r>
    </w:p>
    <w:p w:rsidR="00D735BF" w:rsidRPr="00374A6E" w:rsidRDefault="00D735BF" w:rsidP="00600640">
      <w:pPr>
        <w:pStyle w:val="NoSpacing"/>
        <w:spacing w:after="120"/>
        <w:rPr>
          <w:rFonts w:asciiTheme="minorHAnsi" w:hAnsiTheme="minorHAnsi" w:cstheme="minorHAnsi"/>
          <w:sz w:val="22"/>
          <w:szCs w:val="22"/>
          <w:lang w:val="en-CA"/>
        </w:rPr>
      </w:pPr>
      <w:r w:rsidRPr="00374A6E">
        <w:rPr>
          <w:rFonts w:asciiTheme="minorHAnsi" w:hAnsiTheme="minorHAnsi" w:cstheme="minorHAnsi"/>
          <w:sz w:val="22"/>
          <w:szCs w:val="22"/>
          <w:lang w:val="en-CA" w:eastAsia="en-CA"/>
        </w:rPr>
        <w:t>Ms. Hogan</w:t>
      </w:r>
      <w:r w:rsidRPr="00374A6E">
        <w:rPr>
          <w:rFonts w:asciiTheme="minorHAnsi" w:hAnsiTheme="minorHAnsi" w:cstheme="minorHAnsi"/>
          <w:sz w:val="22"/>
          <w:szCs w:val="22"/>
          <w:lang w:val="en-CA"/>
        </w:rPr>
        <w:t xml:space="preserve"> has not been identified as a </w:t>
      </w:r>
      <w:r w:rsidRPr="00374A6E">
        <w:rPr>
          <w:rFonts w:asciiTheme="minorHAnsi" w:hAnsiTheme="minorHAnsi" w:cstheme="minorHAnsi"/>
          <w:sz w:val="22"/>
          <w:szCs w:val="22"/>
          <w:lang w:val="en-CA" w:eastAsia="en-CA"/>
        </w:rPr>
        <w:t xml:space="preserve">Deputy Minister </w:t>
      </w:r>
      <w:r w:rsidRPr="00374A6E">
        <w:rPr>
          <w:rFonts w:asciiTheme="minorHAnsi" w:hAnsiTheme="minorHAnsi" w:cstheme="minorHAnsi"/>
          <w:sz w:val="22"/>
          <w:szCs w:val="22"/>
          <w:lang w:val="en-CA"/>
        </w:rPr>
        <w:t xml:space="preserve">University Champion. However, please note that Martine </w:t>
      </w:r>
      <w:proofErr w:type="spellStart"/>
      <w:r w:rsidRPr="00374A6E">
        <w:rPr>
          <w:rFonts w:asciiTheme="minorHAnsi" w:hAnsiTheme="minorHAnsi" w:cstheme="minorHAnsi"/>
          <w:sz w:val="22"/>
          <w:szCs w:val="22"/>
          <w:lang w:val="en-CA"/>
        </w:rPr>
        <w:t>Dubuc</w:t>
      </w:r>
      <w:proofErr w:type="spellEnd"/>
      <w:r w:rsidRPr="00374A6E">
        <w:rPr>
          <w:rFonts w:asciiTheme="minorHAnsi" w:hAnsiTheme="minorHAnsi" w:cstheme="minorHAnsi"/>
          <w:sz w:val="22"/>
          <w:szCs w:val="22"/>
          <w:lang w:val="en-CA"/>
        </w:rPr>
        <w:t>, Associate Deputy Minister</w:t>
      </w:r>
      <w:r w:rsidRPr="00374A6E">
        <w:rPr>
          <w:rFonts w:asciiTheme="minorHAnsi" w:hAnsiTheme="minorHAnsi" w:cstheme="minorHAnsi"/>
          <w:color w:val="222222"/>
          <w:sz w:val="22"/>
          <w:szCs w:val="22"/>
          <w:lang w:val="en-CA"/>
        </w:rPr>
        <w:t xml:space="preserve"> </w:t>
      </w:r>
      <w:r w:rsidRPr="00374A6E">
        <w:rPr>
          <w:rStyle w:val="e24kjd"/>
          <w:rFonts w:asciiTheme="minorHAnsi" w:hAnsiTheme="minorHAnsi" w:cstheme="minorHAnsi"/>
          <w:color w:val="222222"/>
          <w:sz w:val="22"/>
          <w:szCs w:val="22"/>
          <w:lang w:val="en-CA"/>
        </w:rPr>
        <w:t>of Environment and Climate Change</w:t>
      </w:r>
      <w:r w:rsidRPr="00374A6E">
        <w:rPr>
          <w:rFonts w:asciiTheme="minorHAnsi" w:hAnsiTheme="minorHAnsi" w:cstheme="minorHAnsi"/>
          <w:sz w:val="22"/>
          <w:szCs w:val="22"/>
          <w:lang w:val="en-CA"/>
        </w:rPr>
        <w:t xml:space="preserve">, is the champion of </w:t>
      </w:r>
      <w:proofErr w:type="spellStart"/>
      <w:r w:rsidRPr="00374A6E">
        <w:rPr>
          <w:rFonts w:asciiTheme="minorHAnsi" w:hAnsiTheme="minorHAnsi" w:cstheme="minorHAnsi"/>
          <w:sz w:val="22"/>
          <w:szCs w:val="22"/>
          <w:lang w:val="en-CA"/>
        </w:rPr>
        <w:t>L’École</w:t>
      </w:r>
      <w:proofErr w:type="spellEnd"/>
      <w:r w:rsidRPr="00374A6E">
        <w:rPr>
          <w:rFonts w:asciiTheme="minorHAnsi" w:hAnsiTheme="minorHAnsi" w:cstheme="minorHAnsi"/>
          <w:sz w:val="22"/>
          <w:szCs w:val="22"/>
          <w:lang w:val="en-CA"/>
        </w:rPr>
        <w:t xml:space="preserve"> </w:t>
      </w:r>
      <w:proofErr w:type="spellStart"/>
      <w:r w:rsidRPr="00374A6E">
        <w:rPr>
          <w:rFonts w:asciiTheme="minorHAnsi" w:hAnsiTheme="minorHAnsi" w:cstheme="minorHAnsi"/>
          <w:sz w:val="22"/>
          <w:szCs w:val="22"/>
          <w:lang w:val="en-CA"/>
        </w:rPr>
        <w:t>Polytechnique</w:t>
      </w:r>
      <w:proofErr w:type="spellEnd"/>
      <w:r w:rsidRPr="00374A6E">
        <w:rPr>
          <w:rFonts w:asciiTheme="minorHAnsi" w:hAnsiTheme="minorHAnsi" w:cstheme="minorHAnsi"/>
          <w:sz w:val="22"/>
          <w:szCs w:val="22"/>
          <w:lang w:val="en-CA"/>
        </w:rPr>
        <w:t xml:space="preserve"> de Montréal.</w:t>
      </w:r>
    </w:p>
    <w:p w:rsidR="00D735BF" w:rsidRPr="00374A6E" w:rsidRDefault="00D735BF" w:rsidP="00600640">
      <w:pPr>
        <w:pStyle w:val="NoSpacing"/>
        <w:spacing w:after="120"/>
        <w:rPr>
          <w:rFonts w:asciiTheme="minorHAnsi" w:hAnsiTheme="minorHAnsi" w:cstheme="minorHAnsi"/>
          <w:sz w:val="22"/>
          <w:szCs w:val="22"/>
          <w:lang w:val="en-CA"/>
        </w:rPr>
      </w:pPr>
      <w:r w:rsidRPr="00374A6E">
        <w:rPr>
          <w:rFonts w:asciiTheme="minorHAnsi" w:hAnsiTheme="minorHAnsi" w:cstheme="minorHAnsi"/>
          <w:sz w:val="22"/>
          <w:szCs w:val="22"/>
          <w:lang w:val="en-CA"/>
        </w:rPr>
        <w:t>ECCC is very active in job fairs, promoting jobs within their or</w:t>
      </w:r>
      <w:r w:rsidR="008F44B9" w:rsidRPr="00374A6E">
        <w:rPr>
          <w:rFonts w:asciiTheme="minorHAnsi" w:hAnsiTheme="minorHAnsi" w:cstheme="minorHAnsi"/>
          <w:sz w:val="22"/>
          <w:szCs w:val="22"/>
          <w:lang w:val="en-CA"/>
        </w:rPr>
        <w:t>ganization and hiring students.</w:t>
      </w:r>
      <w:r w:rsidRPr="00374A6E">
        <w:rPr>
          <w:rFonts w:asciiTheme="minorHAnsi" w:hAnsiTheme="minorHAnsi" w:cstheme="minorHAnsi"/>
          <w:sz w:val="22"/>
          <w:szCs w:val="22"/>
          <w:lang w:val="en-CA"/>
        </w:rPr>
        <w:t xml:space="preserve"> More specifically, the PSC is currently working with ECCC to organize a career fair with multiple departments and universities. This event is to be hosted in the Montreal area. The objective of the fair is to quickly identify resources to staff positions in the science and technology field while encouraging labor market representativeness within participating departments. ECCC will host an interdepartmental speed staffing event that engages multiple universities in the Quebec region. Communications associated with this event will promote and encourage persons with disabilities, visible minorities, women and aboriginal peoples to participate and apply. The fair is planned for February 2020.</w:t>
      </w:r>
    </w:p>
    <w:p w:rsidR="00D735BF" w:rsidRPr="00374A6E" w:rsidRDefault="00C56310" w:rsidP="00600640">
      <w:pPr>
        <w:pStyle w:val="Heading1"/>
        <w:spacing w:after="120"/>
        <w:rPr>
          <w:lang w:val="en-CA"/>
        </w:rPr>
      </w:pPr>
      <w:r w:rsidRPr="00374A6E">
        <w:rPr>
          <w:lang w:val="en-CA"/>
        </w:rPr>
        <w:t>Organizational C</w:t>
      </w:r>
      <w:r w:rsidR="00D735BF" w:rsidRPr="00374A6E">
        <w:rPr>
          <w:lang w:val="en-CA"/>
        </w:rPr>
        <w:t>ontext</w:t>
      </w:r>
    </w:p>
    <w:p w:rsidR="00D735BF" w:rsidRPr="00374A6E" w:rsidRDefault="00D735BF" w:rsidP="00E444AD">
      <w:pPr>
        <w:pStyle w:val="Heading2"/>
        <w:spacing w:after="120"/>
        <w:rPr>
          <w:u w:val="single"/>
          <w:lang w:val="en-CA"/>
        </w:rPr>
      </w:pPr>
      <w:r w:rsidRPr="00374A6E">
        <w:rPr>
          <w:lang w:val="en-CA"/>
        </w:rPr>
        <w:t>Mandate</w:t>
      </w:r>
    </w:p>
    <w:p w:rsidR="00D735BF" w:rsidRPr="00374A6E" w:rsidRDefault="00D735BF" w:rsidP="002823E4">
      <w:pPr>
        <w:pStyle w:val="NoSpacing"/>
        <w:spacing w:after="240"/>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 xml:space="preserve">ECCC is the lead federal department for a wide range of environmental issues. The department addresses these issues through various actions including the implementation of the Pan-Canadian Framework on Clean Growth and Climate Change; engaging with strategic partners including provinces, territories and Indigenous peoples; monitoring science-based research; policy and regulatory development; and, through the enforcement of environmental laws. The department's programs focus on minimizing threats to Canadians and their environment from pollution; equipping </w:t>
      </w:r>
      <w:r w:rsidRPr="00374A6E">
        <w:rPr>
          <w:rFonts w:asciiTheme="minorHAnsi" w:hAnsiTheme="minorHAnsi" w:cstheme="minorHAnsi"/>
          <w:color w:val="000000"/>
          <w:sz w:val="22"/>
          <w:szCs w:val="22"/>
          <w:lang w:val="en-CA"/>
        </w:rPr>
        <w:lastRenderedPageBreak/>
        <w:t>Canadians to make informed decisions on weather, water and climate conditions; and conserving and restoring Canada's natural environment.</w:t>
      </w:r>
    </w:p>
    <w:p w:rsidR="00D735BF" w:rsidRPr="00374A6E" w:rsidRDefault="00D735BF" w:rsidP="00E444AD">
      <w:pPr>
        <w:pStyle w:val="Heading2"/>
        <w:spacing w:after="120"/>
        <w:rPr>
          <w:u w:val="single"/>
          <w:lang w:val="en-CA"/>
        </w:rPr>
      </w:pPr>
      <w:r w:rsidRPr="00374A6E">
        <w:rPr>
          <w:lang w:val="en-CA"/>
        </w:rPr>
        <w:t xml:space="preserve">Priorities </w:t>
      </w:r>
    </w:p>
    <w:p w:rsidR="00D735BF" w:rsidRPr="00374A6E" w:rsidRDefault="00D735BF" w:rsidP="00D735BF">
      <w:pPr>
        <w:pStyle w:val="NoSpacing"/>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 xml:space="preserve">In 2019-2020, ECCC will continue to implement its action plan to promote equity, diversity and inclusion work towards addressing areas of under-representation in its workforce. </w:t>
      </w:r>
    </w:p>
    <w:p w:rsidR="00D735BF" w:rsidRPr="00374A6E" w:rsidRDefault="00D735BF" w:rsidP="002823E4">
      <w:pPr>
        <w:pStyle w:val="NoSpacing"/>
        <w:spacing w:before="240" w:after="240"/>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To respond quickly to new priorities and expectations, ECCC will continue to recruit and develop a skilled workforce, particularly in the area of highly specialized personnel and focus on retention.</w:t>
      </w:r>
    </w:p>
    <w:p w:rsidR="00D735BF" w:rsidRPr="00374A6E" w:rsidRDefault="00D735BF" w:rsidP="00E444AD">
      <w:pPr>
        <w:pStyle w:val="Heading2"/>
        <w:spacing w:after="120"/>
        <w:rPr>
          <w:u w:val="single"/>
          <w:lang w:val="en-CA"/>
        </w:rPr>
      </w:pPr>
      <w:r w:rsidRPr="00374A6E">
        <w:rPr>
          <w:lang w:val="en-CA"/>
        </w:rPr>
        <w:t>Experimentation</w:t>
      </w:r>
    </w:p>
    <w:p w:rsidR="00D735BF" w:rsidRPr="00374A6E" w:rsidRDefault="00D735BF" w:rsidP="00D735BF">
      <w:pPr>
        <w:rPr>
          <w:rFonts w:asciiTheme="minorHAnsi" w:hAnsiTheme="minorHAnsi" w:cstheme="minorHAnsi"/>
          <w:sz w:val="22"/>
          <w:szCs w:val="22"/>
          <w:lang w:val="en-CA"/>
        </w:rPr>
      </w:pPr>
      <w:r w:rsidRPr="00374A6E">
        <w:rPr>
          <w:rFonts w:asciiTheme="minorHAnsi" w:hAnsiTheme="minorHAnsi" w:cstheme="minorHAnsi"/>
          <w:sz w:val="22"/>
          <w:szCs w:val="22"/>
          <w:lang w:val="en-CA"/>
        </w:rPr>
        <w:t>ECCC is continuously looking for innovative approaches in staffing. For example, along with eight other federal scientific departments and agencies, ECCC advertised a process on jobs.gc.ca and twitter (#</w:t>
      </w:r>
      <w:proofErr w:type="spellStart"/>
      <w:r w:rsidRPr="00374A6E">
        <w:rPr>
          <w:rFonts w:asciiTheme="minorHAnsi" w:hAnsiTheme="minorHAnsi" w:cstheme="minorHAnsi"/>
          <w:sz w:val="22"/>
          <w:szCs w:val="22"/>
          <w:lang w:val="en-CA"/>
        </w:rPr>
        <w:t>iwantasciencejob</w:t>
      </w:r>
      <w:proofErr w:type="spellEnd"/>
      <w:r w:rsidRPr="00374A6E">
        <w:rPr>
          <w:rFonts w:asciiTheme="minorHAnsi" w:hAnsiTheme="minorHAnsi" w:cstheme="minorHAnsi"/>
          <w:sz w:val="22"/>
          <w:szCs w:val="22"/>
          <w:lang w:val="en-CA"/>
        </w:rPr>
        <w:t xml:space="preserve">) to staff positions for various entry level scientific positions across Canada. ECCC received over 3,700 applicants for this process and are currently at the assessment stage. </w:t>
      </w:r>
    </w:p>
    <w:p w:rsidR="00D735BF" w:rsidRPr="00374A6E" w:rsidRDefault="00D735BF" w:rsidP="002823E4">
      <w:pPr>
        <w:spacing w:before="240" w:after="240"/>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Following this initiative and in order to recognize their innovation and their efforts in relation to this project, the ECCC human resources (HR) team received the Michelle C. </w:t>
      </w:r>
      <w:proofErr w:type="spellStart"/>
      <w:r w:rsidRPr="00374A6E">
        <w:rPr>
          <w:rFonts w:asciiTheme="minorHAnsi" w:hAnsiTheme="minorHAnsi" w:cstheme="minorHAnsi"/>
          <w:sz w:val="22"/>
          <w:szCs w:val="22"/>
          <w:lang w:val="en-CA"/>
        </w:rPr>
        <w:t>Comeau</w:t>
      </w:r>
      <w:proofErr w:type="spellEnd"/>
      <w:r w:rsidRPr="00374A6E">
        <w:rPr>
          <w:rFonts w:asciiTheme="minorHAnsi" w:hAnsiTheme="minorHAnsi" w:cstheme="minorHAnsi"/>
          <w:sz w:val="22"/>
          <w:szCs w:val="22"/>
          <w:lang w:val="en-CA"/>
        </w:rPr>
        <w:t xml:space="preserve"> Award in 2019.</w:t>
      </w:r>
    </w:p>
    <w:p w:rsidR="00D735BF" w:rsidRPr="00374A6E" w:rsidRDefault="00C56310" w:rsidP="00600640">
      <w:pPr>
        <w:pStyle w:val="Heading1"/>
        <w:spacing w:after="120"/>
        <w:rPr>
          <w:lang w:val="en-CA"/>
        </w:rPr>
      </w:pPr>
      <w:r w:rsidRPr="00374A6E">
        <w:rPr>
          <w:lang w:val="en-CA"/>
        </w:rPr>
        <w:t>Population and Staffing A</w:t>
      </w:r>
      <w:r w:rsidR="00D735BF" w:rsidRPr="00374A6E">
        <w:rPr>
          <w:lang w:val="en-CA"/>
        </w:rPr>
        <w:t>ctivities</w:t>
      </w:r>
    </w:p>
    <w:p w:rsidR="00D735BF" w:rsidRPr="00374A6E" w:rsidRDefault="00D735BF" w:rsidP="00E444AD">
      <w:pPr>
        <w:pStyle w:val="Heading2"/>
        <w:spacing w:after="120"/>
        <w:rPr>
          <w:u w:val="single"/>
          <w:lang w:val="en-CA"/>
        </w:rPr>
      </w:pPr>
      <w:r w:rsidRPr="00374A6E">
        <w:rPr>
          <w:lang w:val="en-CA"/>
        </w:rPr>
        <w:t>Population</w:t>
      </w:r>
    </w:p>
    <w:p w:rsidR="00D735BF" w:rsidRPr="00374A6E" w:rsidRDefault="00D735BF" w:rsidP="002823E4">
      <w:pPr>
        <w:pStyle w:val="NoSpacing"/>
        <w:spacing w:after="240"/>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ECCC is a large organization that has a population of 7,291 em</w:t>
      </w:r>
      <w:r w:rsidR="00E444AD" w:rsidRPr="00374A6E">
        <w:rPr>
          <w:rFonts w:asciiTheme="minorHAnsi" w:hAnsiTheme="minorHAnsi" w:cstheme="minorHAnsi"/>
          <w:color w:val="000000"/>
          <w:sz w:val="22"/>
          <w:szCs w:val="22"/>
          <w:lang w:val="en-CA"/>
        </w:rPr>
        <w:t>ployees (as of March 31, 2019).</w:t>
      </w:r>
    </w:p>
    <w:p w:rsidR="00D735BF" w:rsidRPr="00374A6E" w:rsidRDefault="00D735BF" w:rsidP="00E444AD">
      <w:pPr>
        <w:pStyle w:val="Heading2"/>
        <w:spacing w:after="120"/>
        <w:rPr>
          <w:u w:val="single"/>
          <w:lang w:val="en-CA"/>
        </w:rPr>
      </w:pPr>
      <w:r w:rsidRPr="00374A6E">
        <w:rPr>
          <w:lang w:val="en-CA"/>
        </w:rPr>
        <w:t>Staffing Activities</w:t>
      </w:r>
    </w:p>
    <w:p w:rsidR="00D735BF" w:rsidRPr="00374A6E" w:rsidRDefault="00D735BF" w:rsidP="00D735BF">
      <w:p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In 2019-2020, ECCC proceeded with a tot</w:t>
      </w:r>
      <w:r w:rsidR="00E444AD" w:rsidRPr="00374A6E">
        <w:rPr>
          <w:rFonts w:asciiTheme="minorHAnsi" w:hAnsiTheme="minorHAnsi" w:cstheme="minorHAnsi"/>
          <w:color w:val="000000"/>
          <w:sz w:val="22"/>
          <w:szCs w:val="22"/>
          <w:lang w:val="en-CA"/>
        </w:rPr>
        <w:t>al of 4494 staffing activities:</w:t>
      </w:r>
    </w:p>
    <w:p w:rsidR="00D735BF" w:rsidRPr="00374A6E" w:rsidRDefault="00D735BF" w:rsidP="00DF3F59">
      <w:pPr>
        <w:numPr>
          <w:ilvl w:val="0"/>
          <w:numId w:val="3"/>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2484</w:t>
      </w:r>
      <w:r w:rsidRPr="00374A6E">
        <w:rPr>
          <w:rFonts w:asciiTheme="minorHAnsi" w:hAnsiTheme="minorHAnsi" w:cstheme="minorHAnsi"/>
          <w:b/>
          <w:color w:val="000000"/>
          <w:sz w:val="22"/>
          <w:szCs w:val="22"/>
          <w:lang w:val="en-CA"/>
        </w:rPr>
        <w:t xml:space="preserve"> </w:t>
      </w:r>
      <w:r w:rsidRPr="00374A6E">
        <w:rPr>
          <w:rFonts w:asciiTheme="minorHAnsi" w:hAnsiTheme="minorHAnsi" w:cstheme="minorHAnsi"/>
          <w:color w:val="000000"/>
          <w:sz w:val="22"/>
          <w:szCs w:val="22"/>
          <w:lang w:val="en-CA"/>
        </w:rPr>
        <w:t>appointments to the public service (includes</w:t>
      </w:r>
      <w:r w:rsidR="00E444AD" w:rsidRPr="00374A6E">
        <w:rPr>
          <w:rFonts w:asciiTheme="minorHAnsi" w:hAnsiTheme="minorHAnsi" w:cstheme="minorHAnsi"/>
          <w:color w:val="000000"/>
          <w:sz w:val="22"/>
          <w:szCs w:val="22"/>
          <w:lang w:val="en-CA"/>
        </w:rPr>
        <w:t xml:space="preserve"> 885 casuals and 898 students);</w:t>
      </w:r>
    </w:p>
    <w:p w:rsidR="00D735BF" w:rsidRPr="00374A6E" w:rsidRDefault="00D735BF" w:rsidP="00DF3F59">
      <w:pPr>
        <w:numPr>
          <w:ilvl w:val="0"/>
          <w:numId w:val="3"/>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951</w:t>
      </w:r>
      <w:r w:rsidRPr="00374A6E">
        <w:rPr>
          <w:rFonts w:asciiTheme="minorHAnsi" w:hAnsiTheme="minorHAnsi" w:cstheme="minorHAnsi"/>
          <w:b/>
          <w:color w:val="000000"/>
          <w:sz w:val="22"/>
          <w:szCs w:val="22"/>
          <w:lang w:val="en-CA"/>
        </w:rPr>
        <w:t xml:space="preserve"> </w:t>
      </w:r>
      <w:r w:rsidRPr="00374A6E">
        <w:rPr>
          <w:rFonts w:asciiTheme="minorHAnsi" w:hAnsiTheme="minorHAnsi" w:cstheme="minorHAnsi"/>
          <w:color w:val="000000"/>
          <w:sz w:val="22"/>
          <w:szCs w:val="22"/>
          <w:lang w:val="en-CA"/>
        </w:rPr>
        <w:t>promotions;</w:t>
      </w:r>
    </w:p>
    <w:p w:rsidR="00D735BF" w:rsidRPr="00374A6E" w:rsidRDefault="00D735BF" w:rsidP="00DF3F59">
      <w:pPr>
        <w:numPr>
          <w:ilvl w:val="0"/>
          <w:numId w:val="3"/>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318 acting appointments (excluding appoin</w:t>
      </w:r>
      <w:r w:rsidR="00E444AD" w:rsidRPr="00374A6E">
        <w:rPr>
          <w:rFonts w:asciiTheme="minorHAnsi" w:hAnsiTheme="minorHAnsi" w:cstheme="minorHAnsi"/>
          <w:color w:val="000000"/>
          <w:sz w:val="22"/>
          <w:szCs w:val="22"/>
          <w:lang w:val="en-CA"/>
        </w:rPr>
        <w:t>tments less than 4 months); and</w:t>
      </w:r>
    </w:p>
    <w:p w:rsidR="00D735BF" w:rsidRPr="00374A6E" w:rsidRDefault="00D735BF" w:rsidP="002823E4">
      <w:pPr>
        <w:numPr>
          <w:ilvl w:val="0"/>
          <w:numId w:val="3"/>
        </w:numPr>
        <w:spacing w:after="240"/>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741</w:t>
      </w:r>
      <w:r w:rsidRPr="00374A6E">
        <w:rPr>
          <w:rFonts w:asciiTheme="minorHAnsi" w:hAnsiTheme="minorHAnsi" w:cstheme="minorHAnsi"/>
          <w:b/>
          <w:color w:val="000000"/>
          <w:sz w:val="22"/>
          <w:szCs w:val="22"/>
          <w:lang w:val="en-CA"/>
        </w:rPr>
        <w:t xml:space="preserve"> </w:t>
      </w:r>
      <w:r w:rsidRPr="00374A6E">
        <w:rPr>
          <w:rFonts w:asciiTheme="minorHAnsi" w:hAnsiTheme="minorHAnsi" w:cstheme="minorHAnsi"/>
          <w:color w:val="000000"/>
          <w:sz w:val="22"/>
          <w:szCs w:val="22"/>
          <w:lang w:val="en-CA"/>
        </w:rPr>
        <w:t>lateral and downward movements.</w:t>
      </w:r>
    </w:p>
    <w:p w:rsidR="00D735BF" w:rsidRPr="00374A6E" w:rsidRDefault="00D735BF" w:rsidP="00D735BF">
      <w:pPr>
        <w:pStyle w:val="NoSpacing"/>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 xml:space="preserve">Please refer to </w:t>
      </w:r>
      <w:hyperlink w:anchor="AnnexB" w:history="1">
        <w:r w:rsidR="007B5B5F" w:rsidRPr="007B5B5F">
          <w:rPr>
            <w:rStyle w:val="Hyperlink"/>
            <w:rFonts w:asciiTheme="minorHAnsi" w:hAnsiTheme="minorHAnsi" w:cstheme="minorHAnsi"/>
            <w:sz w:val="22"/>
            <w:szCs w:val="22"/>
            <w:lang w:val="en-CA" w:eastAsia="en-CA"/>
          </w:rPr>
          <w:t>Annex B</w:t>
        </w:r>
      </w:hyperlink>
      <w:r w:rsidRPr="00374A6E">
        <w:rPr>
          <w:rFonts w:asciiTheme="minorHAnsi" w:hAnsiTheme="minorHAnsi" w:cstheme="minorHAnsi"/>
          <w:sz w:val="22"/>
          <w:szCs w:val="22"/>
          <w:lang w:val="en-CA" w:eastAsia="en-CA"/>
        </w:rPr>
        <w:t xml:space="preserve"> for additional details</w:t>
      </w:r>
      <w:r w:rsidR="007362BF">
        <w:rPr>
          <w:rFonts w:asciiTheme="minorHAnsi" w:hAnsiTheme="minorHAnsi" w:cstheme="minorHAnsi"/>
          <w:sz w:val="22"/>
          <w:szCs w:val="22"/>
          <w:lang w:val="en-CA" w:eastAsia="en-CA"/>
        </w:rPr>
        <w:t xml:space="preserve"> on staffing activities.</w:t>
      </w:r>
    </w:p>
    <w:p w:rsidR="00D735BF" w:rsidRPr="00374A6E" w:rsidRDefault="00C56310" w:rsidP="00600640">
      <w:pPr>
        <w:pStyle w:val="Heading1"/>
        <w:spacing w:after="120"/>
        <w:rPr>
          <w:lang w:val="en-CA"/>
        </w:rPr>
      </w:pPr>
      <w:r w:rsidRPr="00374A6E">
        <w:rPr>
          <w:lang w:val="en-CA"/>
        </w:rPr>
        <w:t>T</w:t>
      </w:r>
      <w:r w:rsidR="00D735BF" w:rsidRPr="00374A6E">
        <w:rPr>
          <w:lang w:val="en-CA"/>
        </w:rPr>
        <w:t xml:space="preserve">ime to </w:t>
      </w:r>
      <w:r w:rsidRPr="00374A6E">
        <w:rPr>
          <w:lang w:val="en-CA"/>
        </w:rPr>
        <w:t>S</w:t>
      </w:r>
      <w:r w:rsidR="00D735BF" w:rsidRPr="00374A6E">
        <w:rPr>
          <w:lang w:val="en-CA"/>
        </w:rPr>
        <w:t>taff</w:t>
      </w:r>
    </w:p>
    <w:p w:rsidR="00D735BF" w:rsidRPr="00374A6E" w:rsidRDefault="00D735BF" w:rsidP="00600640">
      <w:pPr>
        <w:pStyle w:val="NoSpacing"/>
        <w:spacing w:after="120"/>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ECCC has a median time to staff of 202 days for internal appointment processes. This is higher than the median time to staff for the public service standing at 176 days. </w:t>
      </w:r>
    </w:p>
    <w:p w:rsidR="00D735BF" w:rsidRPr="00374A6E" w:rsidRDefault="00D735BF" w:rsidP="00600640">
      <w:pPr>
        <w:pStyle w:val="NoSpacing"/>
        <w:spacing w:after="120"/>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ECCC has a median time of 195 days for external appointment processes. This is also higher than the median for the public service standing at 186 days. </w:t>
      </w:r>
    </w:p>
    <w:p w:rsidR="00D735BF" w:rsidRPr="00374A6E" w:rsidRDefault="00EB1E4E" w:rsidP="00600640">
      <w:pPr>
        <w:pStyle w:val="Heading1"/>
        <w:spacing w:after="120"/>
        <w:rPr>
          <w:lang w:val="en-CA"/>
        </w:rPr>
      </w:pPr>
      <w:r w:rsidRPr="00374A6E">
        <w:rPr>
          <w:lang w:val="en-CA"/>
        </w:rPr>
        <w:lastRenderedPageBreak/>
        <w:t>S</w:t>
      </w:r>
      <w:r w:rsidR="00D735BF" w:rsidRPr="00374A6E">
        <w:rPr>
          <w:lang w:val="en-CA"/>
        </w:rPr>
        <w:t xml:space="preserve">taffing </w:t>
      </w:r>
      <w:r w:rsidRPr="00374A6E">
        <w:rPr>
          <w:lang w:val="en-CA"/>
        </w:rPr>
        <w:t>F</w:t>
      </w:r>
      <w:r w:rsidR="00D735BF" w:rsidRPr="00374A6E">
        <w:rPr>
          <w:lang w:val="en-CA"/>
        </w:rPr>
        <w:t>ramework</w:t>
      </w:r>
    </w:p>
    <w:p w:rsidR="00D735BF" w:rsidRPr="00374A6E" w:rsidRDefault="00D735BF" w:rsidP="00E444AD">
      <w:pPr>
        <w:pStyle w:val="Heading2"/>
        <w:spacing w:after="120"/>
        <w:rPr>
          <w:lang w:val="en-CA"/>
        </w:rPr>
      </w:pPr>
      <w:r w:rsidRPr="00374A6E">
        <w:rPr>
          <w:lang w:val="en-CA"/>
        </w:rPr>
        <w:t>New Direction in Staffing Implementation</w:t>
      </w:r>
    </w:p>
    <w:p w:rsidR="00D735BF" w:rsidRPr="00374A6E" w:rsidRDefault="00D735BF" w:rsidP="00D735BF">
      <w:pPr>
        <w:rPr>
          <w:rFonts w:asciiTheme="minorHAnsi" w:hAnsiTheme="minorHAnsi" w:cstheme="minorHAnsi"/>
          <w:sz w:val="22"/>
          <w:szCs w:val="22"/>
          <w:lang w:val="en-CA"/>
        </w:rPr>
      </w:pPr>
      <w:r w:rsidRPr="00374A6E">
        <w:rPr>
          <w:rFonts w:asciiTheme="minorHAnsi" w:hAnsiTheme="minorHAnsi" w:cstheme="minorHAnsi"/>
          <w:sz w:val="22"/>
          <w:szCs w:val="22"/>
          <w:lang w:val="en-CA"/>
        </w:rPr>
        <w:t>ECCC has put in place the requirements related to the NDS for April 1, 2016.</w:t>
      </w:r>
      <w:r w:rsidR="00C24302" w:rsidRPr="00374A6E">
        <w:rPr>
          <w:rFonts w:asciiTheme="minorHAnsi" w:hAnsiTheme="minorHAnsi" w:cstheme="minorHAnsi"/>
          <w:sz w:val="22"/>
          <w:szCs w:val="22"/>
          <w:lang w:val="en-CA"/>
        </w:rPr>
        <w:t> </w:t>
      </w:r>
    </w:p>
    <w:p w:rsidR="00D735BF" w:rsidRPr="00374A6E" w:rsidRDefault="00D735BF" w:rsidP="002823E4">
      <w:pPr>
        <w:spacing w:before="240"/>
        <w:rPr>
          <w:rFonts w:asciiTheme="minorHAnsi" w:hAnsiTheme="minorHAnsi" w:cstheme="minorHAnsi"/>
          <w:sz w:val="22"/>
          <w:szCs w:val="22"/>
          <w:lang w:val="en-CA"/>
        </w:rPr>
      </w:pPr>
      <w:r w:rsidRPr="00374A6E">
        <w:rPr>
          <w:rFonts w:asciiTheme="minorHAnsi" w:hAnsiTheme="minorHAnsi" w:cstheme="minorHAnsi"/>
          <w:sz w:val="22"/>
          <w:szCs w:val="22"/>
          <w:lang w:val="en-CA"/>
        </w:rPr>
        <w:t>ECCC’s staffing policy includes all of the PSC’s Appointment Delegation and Accountability Instrument (ADAI) requirements including:</w:t>
      </w:r>
    </w:p>
    <w:p w:rsidR="00D735BF" w:rsidRPr="00374A6E" w:rsidRDefault="00D735BF" w:rsidP="00DF3F59">
      <w:pPr>
        <w:pStyle w:val="ListParagraph"/>
        <w:numPr>
          <w:ilvl w:val="0"/>
          <w:numId w:val="11"/>
        </w:numPr>
        <w:spacing w:after="16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direction for the determination of the area of selection; </w:t>
      </w:r>
    </w:p>
    <w:p w:rsidR="00D735BF" w:rsidRPr="00374A6E" w:rsidRDefault="00D735BF" w:rsidP="00DF3F59">
      <w:pPr>
        <w:pStyle w:val="ListParagraph"/>
        <w:numPr>
          <w:ilvl w:val="0"/>
          <w:numId w:val="11"/>
        </w:numPr>
        <w:spacing w:after="16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the use of advertised and non-advertised appointment processes; and </w:t>
      </w:r>
    </w:p>
    <w:p w:rsidR="00D735BF" w:rsidRPr="00374A6E" w:rsidRDefault="00D735BF" w:rsidP="002823E4">
      <w:pPr>
        <w:pStyle w:val="ListParagraph"/>
        <w:numPr>
          <w:ilvl w:val="0"/>
          <w:numId w:val="11"/>
        </w:numPr>
        <w:spacing w:after="240" w:line="259" w:lineRule="auto"/>
        <w:rPr>
          <w:rFonts w:asciiTheme="minorHAnsi" w:hAnsiTheme="minorHAnsi" w:cstheme="minorHAnsi"/>
          <w:sz w:val="22"/>
          <w:szCs w:val="22"/>
          <w:lang w:val="en-CA"/>
        </w:rPr>
      </w:pPr>
      <w:proofErr w:type="gramStart"/>
      <w:r w:rsidRPr="00374A6E">
        <w:rPr>
          <w:rFonts w:asciiTheme="minorHAnsi" w:hAnsiTheme="minorHAnsi" w:cstheme="minorHAnsi"/>
          <w:sz w:val="22"/>
          <w:szCs w:val="22"/>
          <w:lang w:val="en-CA"/>
        </w:rPr>
        <w:t>the</w:t>
      </w:r>
      <w:proofErr w:type="gramEnd"/>
      <w:r w:rsidRPr="00374A6E">
        <w:rPr>
          <w:rFonts w:asciiTheme="minorHAnsi" w:hAnsiTheme="minorHAnsi" w:cstheme="minorHAnsi"/>
          <w:sz w:val="22"/>
          <w:szCs w:val="22"/>
          <w:lang w:val="en-CA"/>
        </w:rPr>
        <w:t xml:space="preserve"> articula</w:t>
      </w:r>
      <w:r w:rsidR="002823E4" w:rsidRPr="00374A6E">
        <w:rPr>
          <w:rFonts w:asciiTheme="minorHAnsi" w:hAnsiTheme="minorHAnsi" w:cstheme="minorHAnsi"/>
          <w:sz w:val="22"/>
          <w:szCs w:val="22"/>
          <w:lang w:val="en-CA"/>
        </w:rPr>
        <w:t>tion of the selection decision.</w:t>
      </w:r>
    </w:p>
    <w:p w:rsidR="00D735BF" w:rsidRPr="00374A6E" w:rsidRDefault="00D735BF" w:rsidP="00D735BF">
      <w:pPr>
        <w:rPr>
          <w:rFonts w:asciiTheme="minorHAnsi" w:hAnsiTheme="minorHAnsi" w:cstheme="minorHAnsi"/>
          <w:sz w:val="22"/>
          <w:szCs w:val="22"/>
          <w:lang w:val="en-CA"/>
        </w:rPr>
      </w:pPr>
      <w:r w:rsidRPr="00374A6E">
        <w:rPr>
          <w:rFonts w:asciiTheme="minorHAnsi" w:hAnsiTheme="minorHAnsi" w:cstheme="minorHAnsi"/>
          <w:sz w:val="22"/>
          <w:szCs w:val="22"/>
          <w:lang w:val="en-CA"/>
        </w:rPr>
        <w:t>All sub-delegated managers have received training on NDS and have signed the required attestation form. ECCC has also shared their appointment framework with the PSC. It should be noted that ECCC’s Appointment Staffing Policy encourages sub-delegated managers to engage their HR Advisor in strategic discussions concerning their staffing needs, discuss key points of considerations and obtain expert advice in articulating the decisi</w:t>
      </w:r>
      <w:r w:rsidR="00E444AD" w:rsidRPr="00374A6E">
        <w:rPr>
          <w:rFonts w:asciiTheme="minorHAnsi" w:hAnsiTheme="minorHAnsi" w:cstheme="minorHAnsi"/>
          <w:sz w:val="22"/>
          <w:szCs w:val="22"/>
          <w:lang w:val="en-CA"/>
        </w:rPr>
        <w:t>on for selection of candidates.</w:t>
      </w:r>
    </w:p>
    <w:p w:rsidR="00D735BF" w:rsidRPr="00374A6E" w:rsidRDefault="00D735BF" w:rsidP="002823E4">
      <w:pPr>
        <w:spacing w:before="240"/>
        <w:rPr>
          <w:rFonts w:asciiTheme="minorHAnsi" w:hAnsiTheme="minorHAnsi" w:cstheme="minorHAnsi"/>
          <w:sz w:val="22"/>
          <w:szCs w:val="22"/>
          <w:lang w:val="en-CA"/>
        </w:rPr>
      </w:pPr>
      <w:r w:rsidRPr="00374A6E">
        <w:rPr>
          <w:rFonts w:asciiTheme="minorHAnsi" w:hAnsiTheme="minorHAnsi" w:cstheme="minorHAnsi"/>
          <w:sz w:val="22"/>
          <w:szCs w:val="22"/>
          <w:lang w:val="en-CA"/>
        </w:rPr>
        <w:t>With the coming into force of the NDS, ECCC has revised its staffing sub-delegation instrument.  However, with the arrival of a new Deputy Minister, the revision of the instrument may be required.  The question is currently being analyzed with corporate staffing.</w:t>
      </w:r>
    </w:p>
    <w:p w:rsidR="00D735BF" w:rsidRPr="00374A6E" w:rsidRDefault="00D735BF" w:rsidP="002823E4">
      <w:pPr>
        <w:spacing w:before="240"/>
        <w:rPr>
          <w:rFonts w:asciiTheme="minorHAnsi" w:hAnsiTheme="minorHAnsi" w:cstheme="minorHAnsi"/>
          <w:sz w:val="22"/>
          <w:szCs w:val="22"/>
          <w:lang w:val="en-CA"/>
        </w:rPr>
      </w:pPr>
      <w:r w:rsidRPr="00374A6E">
        <w:rPr>
          <w:rFonts w:asciiTheme="minorHAnsi" w:hAnsiTheme="minorHAnsi" w:cstheme="minorHAnsi"/>
          <w:sz w:val="22"/>
          <w:szCs w:val="22"/>
          <w:lang w:val="en-CA"/>
        </w:rPr>
        <w:t>Another ongoing improvement is to promote the use of the staffing manual which was recently developed to help support managers with the development of merit criteria; rating guides and identifying values-based considerations for various staffing</w:t>
      </w:r>
      <w:r w:rsidR="00E444AD" w:rsidRPr="00374A6E">
        <w:rPr>
          <w:rFonts w:asciiTheme="minorHAnsi" w:hAnsiTheme="minorHAnsi" w:cstheme="minorHAnsi"/>
          <w:sz w:val="22"/>
          <w:szCs w:val="22"/>
          <w:lang w:val="en-CA"/>
        </w:rPr>
        <w:t xml:space="preserve"> options, amongst other things.</w:t>
      </w:r>
    </w:p>
    <w:p w:rsidR="00D735BF" w:rsidRPr="00374A6E" w:rsidRDefault="00D735BF" w:rsidP="00600640">
      <w:pPr>
        <w:pStyle w:val="Heading1"/>
        <w:spacing w:after="120"/>
        <w:rPr>
          <w:lang w:val="en-CA"/>
        </w:rPr>
      </w:pPr>
      <w:r w:rsidRPr="00374A6E">
        <w:rPr>
          <w:lang w:val="en-CA"/>
        </w:rPr>
        <w:t xml:space="preserve">Appointment Delegation and Accountability Instrument </w:t>
      </w:r>
      <w:r w:rsidR="00EB1E4E" w:rsidRPr="00374A6E">
        <w:rPr>
          <w:lang w:val="en-CA"/>
        </w:rPr>
        <w:t>Annex D</w:t>
      </w:r>
      <w:r w:rsidRPr="00374A6E">
        <w:rPr>
          <w:lang w:val="en-CA"/>
        </w:rPr>
        <w:t xml:space="preserve"> </w:t>
      </w:r>
      <w:r w:rsidR="00EB1E4E" w:rsidRPr="00374A6E">
        <w:rPr>
          <w:lang w:val="en-CA"/>
        </w:rPr>
        <w:t>R</w:t>
      </w:r>
      <w:r w:rsidRPr="00374A6E">
        <w:rPr>
          <w:lang w:val="en-CA"/>
        </w:rPr>
        <w:t>eporting</w:t>
      </w:r>
    </w:p>
    <w:p w:rsidR="00D735BF" w:rsidRPr="00374A6E" w:rsidRDefault="00D735BF" w:rsidP="00E444AD">
      <w:pPr>
        <w:pStyle w:val="Heading2"/>
        <w:spacing w:after="120"/>
        <w:rPr>
          <w:lang w:val="en-CA"/>
        </w:rPr>
      </w:pPr>
      <w:r w:rsidRPr="00374A6E">
        <w:rPr>
          <w:lang w:val="en-CA"/>
        </w:rPr>
        <w:t>Use of the Public Service Official Languages Exclusion Approval Order and the Public Service Official Languages Appointment Regulations</w:t>
      </w:r>
    </w:p>
    <w:p w:rsidR="00D735BF" w:rsidRPr="00374A6E" w:rsidRDefault="00D735BF" w:rsidP="00D735BF">
      <w:pPr>
        <w:pStyle w:val="NormalWeb"/>
        <w:spacing w:before="0" w:beforeAutospacing="0" w:after="0" w:afterAutospacing="0"/>
        <w:rPr>
          <w:rFonts w:asciiTheme="minorHAnsi" w:hAnsiTheme="minorHAnsi" w:cstheme="minorHAnsi"/>
          <w:color w:val="222222"/>
          <w:sz w:val="22"/>
          <w:szCs w:val="22"/>
          <w:lang w:val="en-CA"/>
        </w:rPr>
      </w:pPr>
      <w:r w:rsidRPr="00374A6E">
        <w:rPr>
          <w:rFonts w:asciiTheme="minorHAnsi" w:hAnsiTheme="minorHAnsi" w:cstheme="minorHAnsi"/>
          <w:color w:val="000000"/>
          <w:sz w:val="22"/>
          <w:szCs w:val="22"/>
          <w:lang w:val="en-CA"/>
        </w:rPr>
        <w:t>ECCC</w:t>
      </w:r>
      <w:r w:rsidRPr="00374A6E">
        <w:rPr>
          <w:rFonts w:asciiTheme="minorHAnsi" w:hAnsiTheme="minorHAnsi" w:cstheme="minorHAnsi"/>
          <w:color w:val="222222"/>
          <w:sz w:val="22"/>
          <w:szCs w:val="22"/>
          <w:lang w:val="en-CA"/>
        </w:rPr>
        <w:t xml:space="preserve"> reported that the organization made no use of </w:t>
      </w:r>
      <w:r w:rsidRPr="003A7CF3">
        <w:rPr>
          <w:rFonts w:asciiTheme="minorHAnsi" w:hAnsiTheme="minorHAnsi" w:cstheme="minorHAnsi"/>
          <w:color w:val="222222"/>
          <w:sz w:val="22"/>
          <w:szCs w:val="22"/>
          <w:lang w:val="en-CA"/>
        </w:rPr>
        <w:t xml:space="preserve">the </w:t>
      </w:r>
      <w:r w:rsidRPr="003A7CF3">
        <w:rPr>
          <w:rStyle w:val="Emphasis"/>
          <w:rFonts w:cstheme="minorHAnsi"/>
        </w:rPr>
        <w:t>Public Service Official Languages Exclusion Approval Order</w:t>
      </w:r>
      <w:r w:rsidRPr="00374A6E">
        <w:rPr>
          <w:rFonts w:asciiTheme="minorHAnsi" w:hAnsiTheme="minorHAnsi" w:cstheme="minorHAnsi"/>
          <w:color w:val="222222"/>
          <w:sz w:val="22"/>
          <w:szCs w:val="22"/>
          <w:lang w:val="en-CA"/>
        </w:rPr>
        <w:t xml:space="preserve">. However, 6 cases were reported on the use of the </w:t>
      </w:r>
      <w:r w:rsidRPr="003A7CF3">
        <w:rPr>
          <w:rStyle w:val="Emphasis"/>
          <w:rFonts w:cstheme="minorHAnsi"/>
        </w:rPr>
        <w:t>Public Service Official Languages Appointment Regulations</w:t>
      </w:r>
      <w:r w:rsidRPr="00374A6E">
        <w:rPr>
          <w:rFonts w:asciiTheme="minorHAnsi" w:hAnsiTheme="minorHAnsi" w:cstheme="minorHAnsi"/>
          <w:color w:val="222222"/>
          <w:sz w:val="22"/>
          <w:szCs w:val="22"/>
          <w:lang w:val="en-CA"/>
        </w:rPr>
        <w:t xml:space="preserve"> for the periods of April 1, 2018</w:t>
      </w:r>
      <w:r w:rsidRPr="00374A6E">
        <w:rPr>
          <w:rFonts w:asciiTheme="minorHAnsi" w:hAnsiTheme="minorHAnsi" w:cstheme="minorHAnsi"/>
          <w:b/>
          <w:color w:val="222222"/>
          <w:sz w:val="22"/>
          <w:szCs w:val="22"/>
          <w:lang w:val="en-CA"/>
        </w:rPr>
        <w:t xml:space="preserve"> </w:t>
      </w:r>
      <w:r w:rsidRPr="00374A6E">
        <w:rPr>
          <w:rFonts w:asciiTheme="minorHAnsi" w:hAnsiTheme="minorHAnsi" w:cstheme="minorHAnsi"/>
          <w:color w:val="222222"/>
          <w:sz w:val="22"/>
          <w:szCs w:val="22"/>
          <w:lang w:val="en-CA"/>
        </w:rPr>
        <w:t>and March 31, 2019.  ECCC HR Services is monitoring these cases while following-up with managers and employees on a case-by-case basis.  For the moment, no action is required by the PSC.</w:t>
      </w:r>
    </w:p>
    <w:p w:rsidR="00D735BF" w:rsidRPr="00374A6E" w:rsidRDefault="00D735BF" w:rsidP="00E444AD">
      <w:pPr>
        <w:pStyle w:val="Heading2"/>
        <w:spacing w:after="120"/>
        <w:rPr>
          <w:lang w:val="en-CA"/>
        </w:rPr>
      </w:pPr>
      <w:r w:rsidRPr="00374A6E">
        <w:rPr>
          <w:lang w:val="en-CA"/>
        </w:rPr>
        <w:lastRenderedPageBreak/>
        <w:t>Approved Deputy Head Exceptions to the National Area of Selection Requirements for External Advertised Appointment Process</w:t>
      </w:r>
    </w:p>
    <w:p w:rsidR="00D735BF" w:rsidRPr="00374A6E" w:rsidRDefault="00D735BF" w:rsidP="00D735BF">
      <w:pPr>
        <w:pStyle w:val="NoSpacing"/>
        <w:rPr>
          <w:rFonts w:asciiTheme="minorHAnsi" w:hAnsiTheme="minorHAnsi" w:cstheme="minorHAnsi"/>
          <w:sz w:val="22"/>
          <w:szCs w:val="22"/>
          <w:lang w:val="en-CA"/>
        </w:rPr>
      </w:pPr>
      <w:r w:rsidRPr="00374A6E">
        <w:rPr>
          <w:rFonts w:asciiTheme="minorHAnsi" w:hAnsiTheme="minorHAnsi" w:cstheme="minorHAnsi"/>
          <w:color w:val="000000"/>
          <w:sz w:val="22"/>
          <w:szCs w:val="22"/>
          <w:lang w:val="en-CA"/>
        </w:rPr>
        <w:t>ECCC</w:t>
      </w:r>
      <w:r w:rsidRPr="00374A6E">
        <w:rPr>
          <w:rFonts w:asciiTheme="minorHAnsi" w:hAnsiTheme="minorHAnsi" w:cstheme="minorHAnsi"/>
          <w:color w:val="222222"/>
          <w:sz w:val="22"/>
          <w:szCs w:val="22"/>
          <w:lang w:val="en-CA"/>
        </w:rPr>
        <w:t xml:space="preserve"> reported that the DH approved 1 </w:t>
      </w:r>
      <w:r w:rsidRPr="00374A6E">
        <w:rPr>
          <w:rFonts w:asciiTheme="minorHAnsi" w:hAnsiTheme="minorHAnsi" w:cstheme="minorHAnsi"/>
          <w:color w:val="000000"/>
          <w:sz w:val="22"/>
          <w:szCs w:val="22"/>
          <w:lang w:val="en-CA"/>
        </w:rPr>
        <w:t xml:space="preserve">exception to the National Area of Selection. The positions to staff are EG-03 </w:t>
      </w:r>
      <w:r w:rsidRPr="00374A6E">
        <w:rPr>
          <w:rFonts w:asciiTheme="minorHAnsi" w:hAnsiTheme="minorHAnsi" w:cstheme="minorHAnsi"/>
          <w:sz w:val="22"/>
          <w:szCs w:val="22"/>
          <w:lang w:val="en-CA"/>
        </w:rPr>
        <w:t xml:space="preserve">Junior Technologist, Monitoring/Data Services. The advertisement is published for continuous intake until September 24, 2020 with the following area of selection: AREA 1: "Persons residing or employed in Stony Plain (AB) and within an 80 kilometer radius of Stony Plain (AB), extending to, amongst others, </w:t>
      </w:r>
      <w:proofErr w:type="spellStart"/>
      <w:r w:rsidRPr="00374A6E">
        <w:rPr>
          <w:rFonts w:asciiTheme="minorHAnsi" w:hAnsiTheme="minorHAnsi" w:cstheme="minorHAnsi"/>
          <w:sz w:val="22"/>
          <w:szCs w:val="22"/>
          <w:lang w:val="en-CA"/>
        </w:rPr>
        <w:t>Westlock</w:t>
      </w:r>
      <w:proofErr w:type="spellEnd"/>
      <w:r w:rsidRPr="00374A6E">
        <w:rPr>
          <w:rFonts w:asciiTheme="minorHAnsi" w:hAnsiTheme="minorHAnsi" w:cstheme="minorHAnsi"/>
          <w:sz w:val="22"/>
          <w:szCs w:val="22"/>
          <w:lang w:val="en-CA"/>
        </w:rPr>
        <w:t xml:space="preserve"> (AB), </w:t>
      </w:r>
      <w:proofErr w:type="spellStart"/>
      <w:r w:rsidRPr="00374A6E">
        <w:rPr>
          <w:rFonts w:asciiTheme="minorHAnsi" w:hAnsiTheme="minorHAnsi" w:cstheme="minorHAnsi"/>
          <w:sz w:val="22"/>
          <w:szCs w:val="22"/>
          <w:lang w:val="en-CA"/>
        </w:rPr>
        <w:t>Bruderheim</w:t>
      </w:r>
      <w:proofErr w:type="spellEnd"/>
      <w:r w:rsidRPr="00374A6E">
        <w:rPr>
          <w:rFonts w:asciiTheme="minorHAnsi" w:hAnsiTheme="minorHAnsi" w:cstheme="minorHAnsi"/>
          <w:sz w:val="22"/>
          <w:szCs w:val="22"/>
          <w:lang w:val="en-CA"/>
        </w:rPr>
        <w:t xml:space="preserve"> (AB), Wetaskiwin (AB), </w:t>
      </w:r>
      <w:proofErr w:type="spellStart"/>
      <w:r w:rsidRPr="00374A6E">
        <w:rPr>
          <w:rFonts w:asciiTheme="minorHAnsi" w:hAnsiTheme="minorHAnsi" w:cstheme="minorHAnsi"/>
          <w:sz w:val="22"/>
          <w:szCs w:val="22"/>
          <w:lang w:val="en-CA"/>
        </w:rPr>
        <w:t>Entwistle</w:t>
      </w:r>
      <w:proofErr w:type="spellEnd"/>
      <w:r w:rsidRPr="00374A6E">
        <w:rPr>
          <w:rFonts w:asciiTheme="minorHAnsi" w:hAnsiTheme="minorHAnsi" w:cstheme="minorHAnsi"/>
          <w:sz w:val="22"/>
          <w:szCs w:val="22"/>
          <w:lang w:val="en-CA"/>
        </w:rPr>
        <w:t xml:space="preserve"> (AB)." AREA 2: Should an insufficient number of applications be retained from Area 1, applications received from "persons residing in Canada and Canadian citizens residing abroad" (Area 2) will be considered.</w:t>
      </w:r>
    </w:p>
    <w:p w:rsidR="00D735BF" w:rsidRPr="00374A6E" w:rsidRDefault="00D735BF" w:rsidP="002823E4">
      <w:pPr>
        <w:pStyle w:val="NoSpacing"/>
        <w:spacing w:before="240" w:after="240"/>
        <w:rPr>
          <w:rFonts w:asciiTheme="minorHAnsi" w:hAnsiTheme="minorHAnsi" w:cstheme="minorHAnsi"/>
          <w:b/>
          <w:color w:val="222222"/>
          <w:sz w:val="22"/>
          <w:szCs w:val="22"/>
          <w:lang w:val="en-CA"/>
        </w:rPr>
      </w:pPr>
      <w:r w:rsidRPr="00374A6E">
        <w:rPr>
          <w:rFonts w:asciiTheme="minorHAnsi" w:hAnsiTheme="minorHAnsi" w:cstheme="minorHAnsi"/>
          <w:color w:val="000000"/>
          <w:sz w:val="22"/>
          <w:szCs w:val="22"/>
          <w:lang w:val="en-CA"/>
        </w:rPr>
        <w:t>No appointment has yet been made from this ongoing advertised process.</w:t>
      </w:r>
    </w:p>
    <w:p w:rsidR="00D735BF" w:rsidRPr="00374A6E" w:rsidRDefault="00D735BF" w:rsidP="00E444AD">
      <w:pPr>
        <w:pStyle w:val="Heading2"/>
        <w:spacing w:after="120"/>
        <w:rPr>
          <w:lang w:val="en-CA"/>
        </w:rPr>
      </w:pPr>
      <w:r w:rsidRPr="00374A6E">
        <w:rPr>
          <w:lang w:val="en-CA"/>
        </w:rPr>
        <w:t>Results of Organizational Cyclical Assessment</w:t>
      </w:r>
    </w:p>
    <w:p w:rsidR="00D735BF" w:rsidRPr="00374A6E" w:rsidRDefault="00D735BF" w:rsidP="002823E4">
      <w:pPr>
        <w:pStyle w:val="NoSpacing"/>
        <w:spacing w:after="240"/>
        <w:rPr>
          <w:rFonts w:asciiTheme="minorHAnsi" w:hAnsiTheme="minorHAnsi" w:cstheme="minorHAnsi"/>
          <w:color w:val="222222"/>
          <w:sz w:val="22"/>
          <w:szCs w:val="22"/>
          <w:lang w:val="en-CA"/>
        </w:rPr>
      </w:pPr>
      <w:r w:rsidRPr="00374A6E">
        <w:rPr>
          <w:rFonts w:asciiTheme="minorHAnsi" w:hAnsiTheme="minorHAnsi" w:cstheme="minorHAnsi"/>
          <w:color w:val="000000"/>
          <w:sz w:val="22"/>
          <w:szCs w:val="22"/>
          <w:lang w:val="en-CA"/>
        </w:rPr>
        <w:t>As per the ADAI requirement to submit a cyclical assessment report every five years at a minimum (first cohort due by May 1, 2021), ECCC is presently drafting their organizational cyclical assessment report to be submitted to the PSC in May 2020.</w:t>
      </w:r>
    </w:p>
    <w:p w:rsidR="00D735BF" w:rsidRPr="00374A6E" w:rsidRDefault="00D735BF" w:rsidP="00E444AD">
      <w:pPr>
        <w:pStyle w:val="Heading2"/>
        <w:spacing w:after="120"/>
        <w:rPr>
          <w:lang w:val="en-CA"/>
        </w:rPr>
      </w:pPr>
      <w:r w:rsidRPr="00374A6E">
        <w:rPr>
          <w:lang w:val="en-CA"/>
        </w:rPr>
        <w:t>Inquiries and Trends</w:t>
      </w:r>
    </w:p>
    <w:p w:rsidR="00D735BF" w:rsidRPr="00374A6E" w:rsidRDefault="00D735BF" w:rsidP="002823E4">
      <w:pPr>
        <w:spacing w:after="240"/>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 xml:space="preserve">Since the implementation of the NDS, ECCC has consulted the PSC on a variety of topics, mostly regarding assessment, legislation interpretations (Public Service Employment Act (PSEA)), monitoring and reporting- more specifically with regards to </w:t>
      </w:r>
      <w:r w:rsidR="00E444AD" w:rsidRPr="00374A6E">
        <w:rPr>
          <w:rFonts w:asciiTheme="minorHAnsi" w:eastAsiaTheme="minorHAnsi" w:hAnsiTheme="minorHAnsi" w:cstheme="minorHAnsi"/>
          <w:sz w:val="22"/>
          <w:szCs w:val="22"/>
          <w:lang w:val="en-CA"/>
        </w:rPr>
        <w:t>cyclical assessment reporting.</w:t>
      </w:r>
    </w:p>
    <w:p w:rsidR="00D735BF" w:rsidRPr="00374A6E" w:rsidRDefault="00D735BF" w:rsidP="002823E4">
      <w:pPr>
        <w:spacing w:after="240"/>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ECCC has demonstrated openness and willingness to share their staffing tools with the PSC and other requesting organizations. The Staffing Support Advisor (SSA) is often invited to participate in meetings with human resources advisors to answer staffing questions and to provide updates on PSC projects and initiatives.</w:t>
      </w:r>
    </w:p>
    <w:p w:rsidR="00D735BF" w:rsidRPr="00374A6E" w:rsidRDefault="00EB1E4E" w:rsidP="00DC3467">
      <w:pPr>
        <w:pStyle w:val="Heading1"/>
        <w:spacing w:after="120"/>
        <w:rPr>
          <w:lang w:val="en-CA"/>
        </w:rPr>
      </w:pPr>
      <w:r w:rsidRPr="00374A6E">
        <w:rPr>
          <w:lang w:val="en-CA"/>
        </w:rPr>
        <w:t>O</w:t>
      </w:r>
      <w:r w:rsidR="00614734" w:rsidRPr="00374A6E">
        <w:rPr>
          <w:lang w:val="en-CA"/>
        </w:rPr>
        <w:t>versight</w:t>
      </w:r>
    </w:p>
    <w:p w:rsidR="00D735BF" w:rsidRPr="00374A6E" w:rsidRDefault="002823E4" w:rsidP="00614734">
      <w:pPr>
        <w:pStyle w:val="Heading2"/>
        <w:spacing w:after="120"/>
        <w:rPr>
          <w:u w:val="single"/>
          <w:lang w:val="en-CA"/>
        </w:rPr>
      </w:pPr>
      <w:r w:rsidRPr="00374A6E">
        <w:rPr>
          <w:lang w:val="en-CA"/>
        </w:rPr>
        <w:t>Audits</w:t>
      </w:r>
    </w:p>
    <w:p w:rsidR="00D735BF" w:rsidRPr="00374A6E" w:rsidRDefault="00D735BF" w:rsidP="00D735BF">
      <w:pPr>
        <w:pStyle w:val="NoSpacing"/>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In 2017, ECCC conducted a collaborative audit with the PSC on staffing. The resulting conclusions or observations were that most key elements for the organizational staffing framework were in place and the sampled appointments under review were generally in compliance with the PSEA and other statutory and regulatory instruments.</w:t>
      </w:r>
    </w:p>
    <w:p w:rsidR="00D735BF" w:rsidRPr="00374A6E" w:rsidRDefault="00D735BF" w:rsidP="002823E4">
      <w:pPr>
        <w:pStyle w:val="NoSpacing"/>
        <w:spacing w:before="240"/>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Recommendations were made in the following areas:</w:t>
      </w:r>
    </w:p>
    <w:p w:rsidR="00D735BF" w:rsidRPr="00374A6E" w:rsidRDefault="00D735BF" w:rsidP="00DF3F59">
      <w:pPr>
        <w:pStyle w:val="NoSpacing"/>
        <w:numPr>
          <w:ilvl w:val="0"/>
          <w:numId w:val="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encourage the reinforcement of compliance for the application of the sub-delegation staffing instrument with the authorities outlined in Annex A of the ADAI;</w:t>
      </w:r>
    </w:p>
    <w:p w:rsidR="00D735BF" w:rsidRPr="00374A6E" w:rsidRDefault="00D735BF" w:rsidP="00DF3F59">
      <w:pPr>
        <w:pStyle w:val="NoSpacing"/>
        <w:numPr>
          <w:ilvl w:val="0"/>
          <w:numId w:val="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improve compli</w:t>
      </w:r>
      <w:r w:rsidR="00820D43" w:rsidRPr="00374A6E">
        <w:rPr>
          <w:rFonts w:asciiTheme="minorHAnsi" w:hAnsiTheme="minorHAnsi" w:cstheme="minorHAnsi"/>
          <w:color w:val="000000"/>
          <w:sz w:val="22"/>
          <w:szCs w:val="22"/>
          <w:lang w:val="en-CA"/>
        </w:rPr>
        <w:t>ance of appointments regarding:</w:t>
      </w:r>
    </w:p>
    <w:p w:rsidR="00800540" w:rsidRPr="00374A6E" w:rsidRDefault="00800540" w:rsidP="00800540">
      <w:pPr>
        <w:pStyle w:val="NoSpacing"/>
        <w:numPr>
          <w:ilvl w:val="1"/>
          <w:numId w:val="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the documentation and demonstration of merit;</w:t>
      </w:r>
    </w:p>
    <w:p w:rsidR="00800540" w:rsidRPr="00374A6E" w:rsidRDefault="00800540" w:rsidP="00800540">
      <w:pPr>
        <w:pStyle w:val="NoSpacing"/>
        <w:numPr>
          <w:ilvl w:val="1"/>
          <w:numId w:val="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 xml:space="preserve">respecting priority entitlements; </w:t>
      </w:r>
    </w:p>
    <w:p w:rsidR="00800540" w:rsidRPr="00374A6E" w:rsidRDefault="00800540" w:rsidP="00800540">
      <w:pPr>
        <w:pStyle w:val="NoSpacing"/>
        <w:numPr>
          <w:ilvl w:val="1"/>
          <w:numId w:val="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lastRenderedPageBreak/>
        <w:t xml:space="preserve">ensuring translation equivalence between the French and English versions of Statements of Merit Criteria; and </w:t>
      </w:r>
    </w:p>
    <w:p w:rsidR="00800540" w:rsidRPr="00374A6E" w:rsidRDefault="00800540" w:rsidP="00800540">
      <w:pPr>
        <w:pStyle w:val="NoSpacing"/>
        <w:numPr>
          <w:ilvl w:val="1"/>
          <w:numId w:val="7"/>
        </w:numPr>
        <w:rPr>
          <w:rFonts w:asciiTheme="minorHAnsi" w:hAnsiTheme="minorHAnsi" w:cstheme="minorHAnsi"/>
          <w:color w:val="000000"/>
          <w:sz w:val="22"/>
          <w:szCs w:val="22"/>
          <w:lang w:val="en-CA"/>
        </w:rPr>
      </w:pPr>
      <w:proofErr w:type="gramStart"/>
      <w:r w:rsidRPr="00374A6E">
        <w:rPr>
          <w:rFonts w:asciiTheme="minorHAnsi" w:hAnsiTheme="minorHAnsi" w:cstheme="minorHAnsi"/>
          <w:color w:val="000000"/>
          <w:sz w:val="22"/>
          <w:szCs w:val="22"/>
          <w:lang w:val="en-CA"/>
        </w:rPr>
        <w:t>ensuring</w:t>
      </w:r>
      <w:proofErr w:type="gramEnd"/>
      <w:r w:rsidRPr="00374A6E">
        <w:rPr>
          <w:rFonts w:asciiTheme="minorHAnsi" w:hAnsiTheme="minorHAnsi" w:cstheme="minorHAnsi"/>
          <w:color w:val="000000"/>
          <w:sz w:val="22"/>
          <w:szCs w:val="22"/>
          <w:lang w:val="en-CA"/>
        </w:rPr>
        <w:t xml:space="preserve"> that the administration of the oath or solemn affirmation is performed on or before the date of appointment.</w:t>
      </w:r>
    </w:p>
    <w:p w:rsidR="00800540" w:rsidRPr="00374A6E" w:rsidRDefault="00800540" w:rsidP="00800540">
      <w:pPr>
        <w:pStyle w:val="NoSpacing"/>
        <w:numPr>
          <w:ilvl w:val="0"/>
          <w:numId w:val="7"/>
        </w:numPr>
        <w:rPr>
          <w:rFonts w:asciiTheme="minorHAnsi" w:hAnsiTheme="minorHAnsi" w:cstheme="minorHAnsi"/>
          <w:color w:val="000000"/>
          <w:sz w:val="22"/>
          <w:szCs w:val="22"/>
          <w:lang w:val="en-CA"/>
        </w:rPr>
      </w:pPr>
      <w:proofErr w:type="gramStart"/>
      <w:r w:rsidRPr="00374A6E">
        <w:rPr>
          <w:rFonts w:asciiTheme="minorHAnsi" w:hAnsiTheme="minorHAnsi" w:cstheme="minorHAnsi"/>
          <w:color w:val="000000"/>
          <w:sz w:val="22"/>
          <w:szCs w:val="22"/>
          <w:lang w:val="en-CA"/>
        </w:rPr>
        <w:t>enhance</w:t>
      </w:r>
      <w:proofErr w:type="gramEnd"/>
      <w:r w:rsidRPr="00374A6E">
        <w:rPr>
          <w:rFonts w:asciiTheme="minorHAnsi" w:hAnsiTheme="minorHAnsi" w:cstheme="minorHAnsi"/>
          <w:color w:val="000000"/>
          <w:sz w:val="22"/>
          <w:szCs w:val="22"/>
          <w:lang w:val="en-CA"/>
        </w:rPr>
        <w:t xml:space="preserve"> the monitoring of staffing activities by targeting items that would allow the DH to be informed of the overall state of ECCC’s staffing framework and activities.</w:t>
      </w:r>
    </w:p>
    <w:p w:rsidR="00800540" w:rsidRPr="00374A6E" w:rsidRDefault="00800540" w:rsidP="00800540">
      <w:pPr>
        <w:pStyle w:val="NoSpacing"/>
        <w:spacing w:before="240" w:after="240"/>
        <w:rPr>
          <w:rFonts w:ascii="Arial" w:hAnsi="Arial" w:cs="Arial"/>
          <w:color w:val="000000"/>
          <w:sz w:val="22"/>
          <w:szCs w:val="22"/>
          <w:lang w:val="en-CA"/>
        </w:rPr>
      </w:pPr>
      <w:r w:rsidRPr="00374A6E">
        <w:rPr>
          <w:rFonts w:asciiTheme="minorHAnsi" w:hAnsiTheme="minorHAnsi" w:cstheme="minorHAnsi"/>
          <w:color w:val="000000"/>
          <w:sz w:val="22"/>
          <w:szCs w:val="22"/>
          <w:lang w:val="en-CA"/>
        </w:rPr>
        <w:t>The organization was one of the 15 organizations covered by the Horizontal Audit on Credential Validation. The final report for this audit was published in May 29, 2019. ECCC is also among the 30 organizations selected for the Audit of Employment Equity Representation in Recruitment that is currently underway.</w:t>
      </w:r>
    </w:p>
    <w:p w:rsidR="00770318" w:rsidRPr="00374A6E" w:rsidRDefault="00770318" w:rsidP="00DF3F59">
      <w:pPr>
        <w:pStyle w:val="NoSpacing"/>
        <w:numPr>
          <w:ilvl w:val="1"/>
          <w:numId w:val="7"/>
        </w:numPr>
        <w:rPr>
          <w:rFonts w:asciiTheme="minorHAnsi" w:hAnsiTheme="minorHAnsi" w:cstheme="minorHAnsi"/>
          <w:color w:val="000000"/>
          <w:sz w:val="22"/>
          <w:szCs w:val="22"/>
          <w:lang w:val="en-CA"/>
        </w:rPr>
        <w:sectPr w:rsidR="00770318" w:rsidRPr="00374A6E" w:rsidSect="00C56310">
          <w:footerReference w:type="default" r:id="rId8"/>
          <w:footnotePr>
            <w:numFmt w:val="lowerLetter"/>
          </w:footnotePr>
          <w:endnotePr>
            <w:numFmt w:val="lowerLetter"/>
          </w:endnotePr>
          <w:pgSz w:w="12240" w:h="15840" w:code="1"/>
          <w:pgMar w:top="709" w:right="1304" w:bottom="1361" w:left="1304" w:header="284" w:footer="284" w:gutter="0"/>
          <w:pgNumType w:start="1"/>
          <w:cols w:space="720"/>
          <w:docGrid w:linePitch="326"/>
        </w:sectPr>
      </w:pPr>
    </w:p>
    <w:p w:rsidR="00D735BF" w:rsidRPr="00374A6E" w:rsidRDefault="00D735BF" w:rsidP="00614734">
      <w:pPr>
        <w:pStyle w:val="Heading2"/>
        <w:spacing w:after="120"/>
        <w:rPr>
          <w:u w:val="single"/>
          <w:lang w:val="en-CA"/>
        </w:rPr>
      </w:pPr>
      <w:r w:rsidRPr="00374A6E">
        <w:rPr>
          <w:lang w:val="en-CA"/>
        </w:rPr>
        <w:lastRenderedPageBreak/>
        <w:t>Investigations</w:t>
      </w:r>
    </w:p>
    <w:p w:rsidR="00D735BF" w:rsidRPr="00086DF2" w:rsidRDefault="00D735BF" w:rsidP="00D735BF">
      <w:pPr>
        <w:pStyle w:val="NoSpacing"/>
        <w:rPr>
          <w:rFonts w:asciiTheme="minorHAnsi" w:hAnsiTheme="minorHAnsi" w:cstheme="minorHAnsi"/>
          <w:color w:val="000000"/>
          <w:sz w:val="22"/>
          <w:szCs w:val="22"/>
          <w:lang w:val="en-CA"/>
        </w:rPr>
      </w:pPr>
      <w:r w:rsidRPr="00086DF2">
        <w:rPr>
          <w:rFonts w:asciiTheme="minorHAnsi" w:hAnsiTheme="minorHAnsi" w:cstheme="minorHAnsi"/>
          <w:color w:val="000000"/>
          <w:sz w:val="22"/>
          <w:szCs w:val="22"/>
          <w:lang w:val="en-CA"/>
        </w:rPr>
        <w:t xml:space="preserve">Over the last three years (from September 23, 2016 to September 23, 2019) the PSC received 13 cases requesting an investigation for ECCC, one of them being referred to the PSC by the organization. </w:t>
      </w:r>
    </w:p>
    <w:p w:rsidR="00D735BF" w:rsidRPr="00086DF2" w:rsidRDefault="00D735BF" w:rsidP="002823E4">
      <w:pPr>
        <w:pStyle w:val="NoSpacing"/>
        <w:spacing w:before="240"/>
        <w:rPr>
          <w:rFonts w:asciiTheme="minorHAnsi" w:hAnsiTheme="minorHAnsi" w:cstheme="minorHAnsi"/>
          <w:color w:val="000000"/>
          <w:sz w:val="22"/>
          <w:szCs w:val="22"/>
          <w:lang w:val="en-CA"/>
        </w:rPr>
      </w:pPr>
      <w:r w:rsidRPr="00086DF2">
        <w:rPr>
          <w:rFonts w:asciiTheme="minorHAnsi" w:hAnsiTheme="minorHAnsi" w:cstheme="minorHAnsi"/>
          <w:color w:val="000000"/>
          <w:sz w:val="22"/>
          <w:szCs w:val="22"/>
          <w:lang w:val="en-CA"/>
        </w:rPr>
        <w:t>During the same period in question:</w:t>
      </w:r>
    </w:p>
    <w:p w:rsidR="00D735BF" w:rsidRPr="00086DF2" w:rsidRDefault="00D735BF" w:rsidP="00DF3F59">
      <w:pPr>
        <w:pStyle w:val="NoSpacing"/>
        <w:numPr>
          <w:ilvl w:val="0"/>
          <w:numId w:val="12"/>
        </w:numPr>
        <w:rPr>
          <w:rFonts w:asciiTheme="minorHAnsi" w:hAnsiTheme="minorHAnsi" w:cstheme="minorHAnsi"/>
          <w:color w:val="000000"/>
          <w:sz w:val="22"/>
          <w:szCs w:val="22"/>
          <w:lang w:val="en-CA"/>
        </w:rPr>
      </w:pPr>
      <w:r w:rsidRPr="00086DF2">
        <w:rPr>
          <w:rFonts w:asciiTheme="minorHAnsi" w:hAnsiTheme="minorHAnsi" w:cstheme="minorHAnsi"/>
          <w:color w:val="000000"/>
          <w:sz w:val="22"/>
          <w:szCs w:val="22"/>
          <w:lang w:val="en-CA"/>
        </w:rPr>
        <w:t>10 cases have been closed (not accepted);</w:t>
      </w:r>
    </w:p>
    <w:p w:rsidR="00D735BF" w:rsidRPr="00086DF2" w:rsidRDefault="00D735BF" w:rsidP="00DF3F59">
      <w:pPr>
        <w:pStyle w:val="NoSpacing"/>
        <w:numPr>
          <w:ilvl w:val="0"/>
          <w:numId w:val="12"/>
        </w:numPr>
        <w:rPr>
          <w:rFonts w:asciiTheme="minorHAnsi" w:hAnsiTheme="minorHAnsi" w:cstheme="minorHAnsi"/>
          <w:color w:val="000000"/>
          <w:sz w:val="22"/>
          <w:szCs w:val="22"/>
          <w:lang w:val="en-CA"/>
        </w:rPr>
      </w:pPr>
      <w:r w:rsidRPr="00086DF2">
        <w:rPr>
          <w:rFonts w:asciiTheme="minorHAnsi" w:hAnsiTheme="minorHAnsi" w:cstheme="minorHAnsi"/>
          <w:color w:val="000000"/>
          <w:sz w:val="22"/>
          <w:szCs w:val="22"/>
          <w:lang w:val="en-CA"/>
        </w:rPr>
        <w:t>27 cases were completed (20 were deemed founded and 7 unfounded); and</w:t>
      </w:r>
    </w:p>
    <w:p w:rsidR="00D735BF" w:rsidRPr="00086DF2" w:rsidRDefault="00D735BF" w:rsidP="00C057AC">
      <w:pPr>
        <w:pStyle w:val="NoSpacing"/>
        <w:numPr>
          <w:ilvl w:val="0"/>
          <w:numId w:val="12"/>
        </w:numPr>
        <w:spacing w:after="120"/>
        <w:rPr>
          <w:rFonts w:asciiTheme="minorHAnsi" w:hAnsiTheme="minorHAnsi" w:cstheme="minorHAnsi"/>
          <w:color w:val="000000"/>
          <w:sz w:val="22"/>
          <w:szCs w:val="22"/>
          <w:lang w:val="en-CA"/>
        </w:rPr>
      </w:pPr>
      <w:r w:rsidRPr="00086DF2">
        <w:rPr>
          <w:rFonts w:asciiTheme="minorHAnsi" w:hAnsiTheme="minorHAnsi" w:cstheme="minorHAnsi"/>
          <w:color w:val="000000"/>
          <w:sz w:val="22"/>
          <w:szCs w:val="22"/>
          <w:lang w:val="en-CA"/>
        </w:rPr>
        <w:t>1 case remains ongoing.</w:t>
      </w:r>
    </w:p>
    <w:p w:rsidR="002B1C99" w:rsidRPr="00374A6E" w:rsidRDefault="002B1C99" w:rsidP="002B1C99">
      <w:pPr>
        <w:pStyle w:val="Caption"/>
        <w:keepNext/>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w:t>
      </w:r>
      <w:r w:rsidR="009501EE">
        <w:rPr>
          <w:noProof/>
        </w:rPr>
        <w:fldChar w:fldCharType="end"/>
      </w:r>
      <w:r w:rsidRPr="00374A6E">
        <w:t xml:space="preserve"> - Investigations</w:t>
      </w:r>
    </w:p>
    <w:tbl>
      <w:tblPr>
        <w:tblStyle w:val="Grilledutableau1"/>
        <w:tblW w:w="5000" w:type="pct"/>
        <w:jc w:val="center"/>
        <w:tblLook w:val="04A0" w:firstRow="1" w:lastRow="0" w:firstColumn="1" w:lastColumn="0" w:noHBand="0" w:noVBand="1"/>
        <w:tblDescription w:val="Table 1 - Investigations"/>
      </w:tblPr>
      <w:tblGrid>
        <w:gridCol w:w="2532"/>
        <w:gridCol w:w="1171"/>
        <w:gridCol w:w="1770"/>
        <w:gridCol w:w="1344"/>
        <w:gridCol w:w="1489"/>
        <w:gridCol w:w="1431"/>
        <w:gridCol w:w="1053"/>
      </w:tblGrid>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Nature of Issue</w:t>
            </w:r>
          </w:p>
        </w:tc>
        <w:tc>
          <w:tcPr>
            <w:tcW w:w="543"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Cases Received</w:t>
            </w:r>
          </w:p>
        </w:tc>
        <w:tc>
          <w:tcPr>
            <w:tcW w:w="820"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Cases Referred by Organization</w:t>
            </w:r>
          </w:p>
        </w:tc>
        <w:tc>
          <w:tcPr>
            <w:tcW w:w="623"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Closed – Not Accepted</w:t>
            </w:r>
          </w:p>
        </w:tc>
        <w:tc>
          <w:tcPr>
            <w:tcW w:w="690"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Completed Unfounded</w:t>
            </w:r>
          </w:p>
        </w:tc>
        <w:tc>
          <w:tcPr>
            <w:tcW w:w="663"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Completed Founded</w:t>
            </w:r>
          </w:p>
        </w:tc>
        <w:tc>
          <w:tcPr>
            <w:tcW w:w="488" w:type="pct"/>
            <w:shd w:val="clear" w:color="auto" w:fill="797979" w:themeFill="background2" w:themeFillShade="80"/>
          </w:tcPr>
          <w:p w:rsidR="008438D9" w:rsidRPr="00096BD2" w:rsidRDefault="008438D9" w:rsidP="00073345">
            <w:pPr>
              <w:pStyle w:val="TableTitle"/>
              <w:jc w:val="center"/>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Ongoing</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s.66 External Appointments (Merit, Error, Omission, Improper Conduct</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9</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9</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s.67.2 Internal Appointment – Deputy Head Request</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s.68 Political Influence</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s.69 Fraud</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7</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19</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s.118 Improper Political Activities – Employees</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2</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0</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r>
      <w:tr w:rsidR="008438D9" w:rsidRPr="00096BD2" w:rsidTr="00D41A10">
        <w:trPr>
          <w:cantSplit/>
          <w:tblHeader/>
          <w:jc w:val="center"/>
        </w:trPr>
        <w:tc>
          <w:tcPr>
            <w:tcW w:w="1174" w:type="pct"/>
            <w:shd w:val="clear" w:color="auto" w:fill="797979" w:themeFill="background2" w:themeFillShade="80"/>
          </w:tcPr>
          <w:p w:rsidR="008438D9" w:rsidRPr="00096BD2" w:rsidRDefault="008438D9" w:rsidP="00073345">
            <w:pPr>
              <w:pStyle w:val="TableTitle"/>
              <w:rPr>
                <w:rFonts w:asciiTheme="minorHAnsi" w:hAnsiTheme="minorHAnsi" w:cstheme="minorHAnsi"/>
                <w:color w:val="FFFFFF" w:themeColor="background1"/>
                <w:sz w:val="22"/>
                <w:szCs w:val="22"/>
                <w:lang w:val="en-CA" w:eastAsia="en-CA"/>
              </w:rPr>
            </w:pPr>
            <w:r w:rsidRPr="00096BD2">
              <w:rPr>
                <w:rFonts w:asciiTheme="minorHAnsi" w:hAnsiTheme="minorHAnsi" w:cstheme="minorHAnsi"/>
                <w:color w:val="FFFFFF" w:themeColor="background1"/>
                <w:sz w:val="22"/>
                <w:szCs w:val="22"/>
                <w:lang w:val="en-CA" w:eastAsia="en-CA"/>
              </w:rPr>
              <w:t>Total</w:t>
            </w:r>
          </w:p>
        </w:tc>
        <w:tc>
          <w:tcPr>
            <w:tcW w:w="54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12</w:t>
            </w:r>
          </w:p>
        </w:tc>
        <w:tc>
          <w:tcPr>
            <w:tcW w:w="82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c>
          <w:tcPr>
            <w:tcW w:w="62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10</w:t>
            </w:r>
          </w:p>
        </w:tc>
        <w:tc>
          <w:tcPr>
            <w:tcW w:w="690"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7</w:t>
            </w:r>
          </w:p>
        </w:tc>
        <w:tc>
          <w:tcPr>
            <w:tcW w:w="663"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20</w:t>
            </w:r>
          </w:p>
        </w:tc>
        <w:tc>
          <w:tcPr>
            <w:tcW w:w="488" w:type="pct"/>
          </w:tcPr>
          <w:p w:rsidR="008438D9" w:rsidRPr="00096BD2" w:rsidRDefault="008438D9" w:rsidP="00073345">
            <w:pPr>
              <w:pStyle w:val="TableTitle"/>
              <w:jc w:val="center"/>
              <w:rPr>
                <w:rFonts w:asciiTheme="minorHAnsi" w:hAnsiTheme="minorHAnsi" w:cstheme="minorHAnsi"/>
                <w:color w:val="auto"/>
                <w:sz w:val="22"/>
                <w:szCs w:val="22"/>
                <w:lang w:val="en-CA" w:eastAsia="en-CA"/>
              </w:rPr>
            </w:pPr>
            <w:r w:rsidRPr="00096BD2">
              <w:rPr>
                <w:rFonts w:asciiTheme="minorHAnsi" w:hAnsiTheme="minorHAnsi" w:cstheme="minorHAnsi"/>
                <w:color w:val="auto"/>
                <w:sz w:val="22"/>
                <w:szCs w:val="22"/>
                <w:lang w:val="en-CA" w:eastAsia="en-CA"/>
              </w:rPr>
              <w:t>1</w:t>
            </w:r>
          </w:p>
        </w:tc>
      </w:tr>
    </w:tbl>
    <w:p w:rsidR="00770318" w:rsidRPr="00657286" w:rsidRDefault="008438D9" w:rsidP="00657286">
      <w:pPr>
        <w:rPr>
          <w:rFonts w:asciiTheme="minorHAnsi" w:hAnsiTheme="minorHAnsi" w:cstheme="minorHAnsi"/>
          <w:sz w:val="22"/>
        </w:rPr>
      </w:pPr>
      <w:r w:rsidRPr="00657286">
        <w:rPr>
          <w:rFonts w:asciiTheme="minorHAnsi" w:hAnsiTheme="minorHAnsi" w:cstheme="minorHAnsi"/>
          <w:sz w:val="22"/>
        </w:rPr>
        <w:t>Note: The numbers may not add up as discontinued cases, cases resolved via early intervention and rare cases (s.119, s.67.1) are not included in this table.</w:t>
      </w:r>
    </w:p>
    <w:p w:rsidR="00507EA5" w:rsidRPr="00657286" w:rsidRDefault="00770318" w:rsidP="00657286">
      <w:pPr>
        <w:rPr>
          <w:rFonts w:asciiTheme="minorHAnsi" w:hAnsiTheme="minorHAnsi" w:cstheme="minorHAnsi"/>
          <w:sz w:val="22"/>
        </w:rPr>
      </w:pPr>
      <w:r w:rsidRPr="00657286">
        <w:rPr>
          <w:rFonts w:asciiTheme="minorHAnsi" w:hAnsiTheme="minorHAnsi" w:cstheme="minorHAnsi"/>
          <w:sz w:val="22"/>
        </w:rPr>
        <w:t xml:space="preserve">Note: Each column is an independent calculation of the others. Cases received are cases received in the time period, cases completed are those completed in the period, not necessarily cases </w:t>
      </w:r>
      <w:r w:rsidR="00657286" w:rsidRPr="00657286">
        <w:rPr>
          <w:rFonts w:asciiTheme="minorHAnsi" w:hAnsiTheme="minorHAnsi" w:cstheme="minorHAnsi"/>
          <w:sz w:val="22"/>
        </w:rPr>
        <w:t>completed out of those received.</w:t>
      </w:r>
    </w:p>
    <w:p w:rsidR="00507EA5" w:rsidRDefault="00507EA5" w:rsidP="00507EA5">
      <w:pPr>
        <w:spacing w:before="240" w:after="240"/>
        <w:rPr>
          <w:rStyle w:val="Emphasis"/>
          <w:rFonts w:cstheme="minorHAnsi"/>
          <w:lang w:val="en-CA"/>
        </w:rPr>
      </w:pPr>
      <w:r w:rsidRPr="00374A6E">
        <w:rPr>
          <w:rFonts w:asciiTheme="minorHAnsi" w:eastAsiaTheme="minorHAnsi" w:hAnsiTheme="minorHAnsi" w:cstheme="minorHAnsi"/>
          <w:sz w:val="22"/>
          <w:szCs w:val="22"/>
          <w:lang w:val="en-CA"/>
        </w:rPr>
        <w:t>Although the number of founded cases appears to be high, there is no issue or problem to report.  All situations were addressed by corrective measures, including training, recommendations regarding the assessment and the appointment process and, in cases of fraud, revocation. Please note that the 13 cases received do not add up to the numbers of closed and completed cases since these closed and completed cases were not necessarily received in the same period.</w:t>
      </w:r>
    </w:p>
    <w:p w:rsidR="00507EA5" w:rsidRPr="00374A6E" w:rsidRDefault="00507EA5" w:rsidP="00770318">
      <w:pPr>
        <w:pStyle w:val="Level1"/>
        <w:tabs>
          <w:tab w:val="left" w:pos="-1440"/>
        </w:tabs>
        <w:autoSpaceDE w:val="0"/>
        <w:autoSpaceDN w:val="0"/>
        <w:adjustRightInd w:val="0"/>
        <w:spacing w:line="20" w:lineRule="atLeast"/>
        <w:rPr>
          <w:rStyle w:val="Emphasis"/>
          <w:rFonts w:cstheme="minorHAnsi"/>
          <w:lang w:val="en-CA"/>
        </w:rPr>
        <w:sectPr w:rsidR="00507EA5" w:rsidRPr="00374A6E" w:rsidSect="00086DF2">
          <w:footnotePr>
            <w:numFmt w:val="lowerLetter"/>
          </w:footnotePr>
          <w:endnotePr>
            <w:numFmt w:val="lowerLetter"/>
          </w:endnotePr>
          <w:pgSz w:w="12240" w:h="20160" w:code="5"/>
          <w:pgMar w:top="720" w:right="720" w:bottom="720" w:left="720" w:header="284" w:footer="284" w:gutter="0"/>
          <w:pgNumType w:start="5"/>
          <w:cols w:space="720"/>
          <w:docGrid w:linePitch="326"/>
        </w:sectPr>
      </w:pPr>
    </w:p>
    <w:p w:rsidR="00D735BF" w:rsidRPr="00374A6E" w:rsidRDefault="00D735BF" w:rsidP="00E10DF7">
      <w:pPr>
        <w:pStyle w:val="Heading2"/>
        <w:spacing w:after="120"/>
        <w:rPr>
          <w:u w:val="single"/>
          <w:lang w:val="en-CA"/>
        </w:rPr>
      </w:pPr>
      <w:r w:rsidRPr="00374A6E">
        <w:rPr>
          <w:lang w:val="en-CA"/>
        </w:rPr>
        <w:lastRenderedPageBreak/>
        <w:t>Staffing and Non-Partisanship Survey Results</w:t>
      </w:r>
    </w:p>
    <w:p w:rsidR="00D735BF" w:rsidRPr="00374A6E" w:rsidRDefault="00D735BF" w:rsidP="00257FB9">
      <w:pPr>
        <w:pStyle w:val="ListParagraph"/>
        <w:spacing w:after="120"/>
        <w:contextualSpacing w:val="0"/>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 xml:space="preserve">Overall, ECCC’s Staffing and Non-Partisanship Survey (SNPS) results are similar in comparison to other large organizations </w:t>
      </w:r>
      <w:r w:rsidR="002823E4" w:rsidRPr="00374A6E">
        <w:rPr>
          <w:rFonts w:asciiTheme="minorHAnsi" w:hAnsiTheme="minorHAnsi" w:cstheme="minorHAnsi"/>
          <w:sz w:val="22"/>
          <w:szCs w:val="22"/>
          <w:lang w:val="en-CA" w:eastAsia="en-CA"/>
        </w:rPr>
        <w:t>and the overall public service.</w:t>
      </w:r>
    </w:p>
    <w:p w:rsidR="00D735BF" w:rsidRPr="00374A6E" w:rsidRDefault="00D735BF" w:rsidP="00257FB9">
      <w:pPr>
        <w:pStyle w:val="ListParagraph"/>
        <w:spacing w:after="120"/>
        <w:contextualSpacing w:val="0"/>
        <w:rPr>
          <w:rFonts w:asciiTheme="minorHAnsi" w:hAnsiTheme="minorHAnsi" w:cstheme="minorHAnsi"/>
          <w:sz w:val="22"/>
          <w:szCs w:val="22"/>
          <w:lang w:val="en-CA"/>
        </w:rPr>
      </w:pPr>
      <w:r w:rsidRPr="00374A6E">
        <w:rPr>
          <w:rFonts w:asciiTheme="minorHAnsi" w:hAnsiTheme="minorHAnsi" w:cstheme="minorHAnsi"/>
          <w:sz w:val="22"/>
          <w:szCs w:val="22"/>
          <w:lang w:val="en-CA"/>
        </w:rPr>
        <w:t>Below are key findings from ECCC’s 2018 SNPS results:</w:t>
      </w:r>
    </w:p>
    <w:p w:rsidR="00D735BF" w:rsidRPr="00374A6E" w:rsidRDefault="00D735BF" w:rsidP="00257FB9">
      <w:pPr>
        <w:pStyle w:val="ListParagraph"/>
        <w:numPr>
          <w:ilvl w:val="0"/>
          <w:numId w:val="4"/>
        </w:numPr>
        <w:spacing w:after="24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66.7% of </w:t>
      </w:r>
      <w:r w:rsidRPr="00257FB9">
        <w:rPr>
          <w:rStyle w:val="Strong"/>
        </w:rPr>
        <w:t>employees</w:t>
      </w:r>
      <w:r w:rsidRPr="00374A6E">
        <w:rPr>
          <w:rFonts w:asciiTheme="minorHAnsi" w:hAnsiTheme="minorHAnsi" w:cstheme="minorHAnsi"/>
          <w:sz w:val="22"/>
          <w:szCs w:val="22"/>
          <w:lang w:val="en-CA"/>
        </w:rPr>
        <w:t xml:space="preserve"> agreed that people hired can do the job, compared to 52.3% in organizations of similar size, and 53.8% in the federal public service;</w:t>
      </w:r>
    </w:p>
    <w:p w:rsidR="00D735BF" w:rsidRPr="00374A6E" w:rsidRDefault="00D735BF" w:rsidP="00257FB9">
      <w:pPr>
        <w:pStyle w:val="ListParagraph"/>
        <w:numPr>
          <w:ilvl w:val="0"/>
          <w:numId w:val="4"/>
        </w:numPr>
        <w:spacing w:after="24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53.4% of </w:t>
      </w:r>
      <w:r w:rsidRPr="00257FB9">
        <w:rPr>
          <w:rStyle w:val="Strong"/>
        </w:rPr>
        <w:t>managers</w:t>
      </w:r>
      <w:r w:rsidRPr="00374A6E">
        <w:rPr>
          <w:rFonts w:asciiTheme="minorHAnsi" w:hAnsiTheme="minorHAnsi" w:cstheme="minorHAnsi"/>
          <w:sz w:val="22"/>
          <w:szCs w:val="22"/>
          <w:lang w:val="en-CA"/>
        </w:rPr>
        <w:t xml:space="preserve"> agreed that the NDS has improved the way they hire and appoint persons to and within their organization, compared to 54.4% in organizations of similar size, and 56.1% in the federal public service;</w:t>
      </w:r>
    </w:p>
    <w:p w:rsidR="00D735BF" w:rsidRPr="00374A6E" w:rsidRDefault="00D735BF" w:rsidP="00257FB9">
      <w:pPr>
        <w:pStyle w:val="ListParagraph"/>
        <w:numPr>
          <w:ilvl w:val="0"/>
          <w:numId w:val="4"/>
        </w:numPr>
        <w:spacing w:after="24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89.6% of </w:t>
      </w:r>
      <w:r w:rsidRPr="00257FB9">
        <w:rPr>
          <w:rStyle w:val="Strong"/>
        </w:rPr>
        <w:t>managers</w:t>
      </w:r>
      <w:r w:rsidRPr="00374A6E">
        <w:rPr>
          <w:rFonts w:asciiTheme="minorHAnsi" w:hAnsiTheme="minorHAnsi" w:cstheme="minorHAnsi"/>
          <w:sz w:val="22"/>
          <w:szCs w:val="22"/>
          <w:lang w:val="en-CA"/>
        </w:rPr>
        <w:t xml:space="preserve"> agreed that within their organization, the administrative process to staff a position is burdensome, compared to 88.6% in organizations of similar size, and 87.9% in the federal public service;</w:t>
      </w:r>
    </w:p>
    <w:p w:rsidR="00D735BF" w:rsidRPr="00374A6E" w:rsidRDefault="00D735BF" w:rsidP="00257FB9">
      <w:pPr>
        <w:pStyle w:val="ListParagraph"/>
        <w:numPr>
          <w:ilvl w:val="0"/>
          <w:numId w:val="4"/>
        </w:numPr>
        <w:spacing w:after="24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58.1% of </w:t>
      </w:r>
      <w:r w:rsidRPr="00257FB9">
        <w:rPr>
          <w:rStyle w:val="Strong"/>
        </w:rPr>
        <w:t>employees</w:t>
      </w:r>
      <w:r w:rsidRPr="00374A6E">
        <w:rPr>
          <w:rFonts w:asciiTheme="minorHAnsi" w:hAnsiTheme="minorHAnsi" w:cstheme="minorHAnsi"/>
          <w:sz w:val="22"/>
          <w:szCs w:val="22"/>
          <w:lang w:val="en-CA"/>
        </w:rPr>
        <w:t xml:space="preserve"> agreed that the process used for selecting persons for positions in their work units is done fairly, compared to 45% in organizations of similar size, and 46.4% in the federal public service; and</w:t>
      </w:r>
    </w:p>
    <w:p w:rsidR="00D735BF" w:rsidRPr="00374A6E" w:rsidRDefault="00D735BF" w:rsidP="00257FB9">
      <w:pPr>
        <w:pStyle w:val="ListParagraph"/>
        <w:numPr>
          <w:ilvl w:val="0"/>
          <w:numId w:val="4"/>
        </w:numPr>
        <w:spacing w:after="240" w:line="259" w:lineRule="auto"/>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64.5% of </w:t>
      </w:r>
      <w:r w:rsidRPr="00257FB9">
        <w:rPr>
          <w:rStyle w:val="Strong"/>
        </w:rPr>
        <w:t>managers</w:t>
      </w:r>
      <w:r w:rsidRPr="00374A6E">
        <w:rPr>
          <w:rFonts w:asciiTheme="minorHAnsi" w:hAnsiTheme="minorHAnsi" w:cstheme="minorHAnsi"/>
          <w:sz w:val="22"/>
          <w:szCs w:val="22"/>
          <w:lang w:val="en-CA"/>
        </w:rPr>
        <w:t xml:space="preserve"> indicated that staffing options available to them within their organizations provide them with the flexibility to appoint persons who are a good fit within their work units, compared to 58.2% in organizations of similar size, and 60% in the deferral public service.</w:t>
      </w:r>
    </w:p>
    <w:p w:rsidR="00FB10DC" w:rsidRPr="00374A6E" w:rsidRDefault="00FB10DC" w:rsidP="00DC3467">
      <w:pPr>
        <w:pStyle w:val="Heading1"/>
        <w:spacing w:after="120"/>
        <w:rPr>
          <w:lang w:val="en-CA"/>
        </w:rPr>
        <w:sectPr w:rsidR="00FB10DC" w:rsidRPr="00374A6E" w:rsidSect="004C2D23">
          <w:footnotePr>
            <w:numFmt w:val="lowerLetter"/>
          </w:footnotePr>
          <w:endnotePr>
            <w:numFmt w:val="lowerLetter"/>
          </w:endnotePr>
          <w:pgSz w:w="12240" w:h="15840" w:code="1"/>
          <w:pgMar w:top="709" w:right="1304" w:bottom="1361" w:left="1304" w:header="284" w:footer="284" w:gutter="0"/>
          <w:pgNumType w:start="6"/>
          <w:cols w:space="720"/>
          <w:docGrid w:linePitch="326"/>
        </w:sectPr>
      </w:pPr>
    </w:p>
    <w:p w:rsidR="00D735BF" w:rsidRPr="00374A6E" w:rsidRDefault="002823E4" w:rsidP="00DC3467">
      <w:pPr>
        <w:pStyle w:val="Heading1"/>
        <w:spacing w:after="120"/>
        <w:rPr>
          <w:lang w:val="en-CA"/>
        </w:rPr>
      </w:pPr>
      <w:r w:rsidRPr="00374A6E">
        <w:rPr>
          <w:lang w:val="en-CA"/>
        </w:rPr>
        <w:lastRenderedPageBreak/>
        <w:t>Diversity Profile</w:t>
      </w:r>
    </w:p>
    <w:p w:rsidR="00D735BF" w:rsidRPr="00374A6E" w:rsidRDefault="00D735BF" w:rsidP="00E10DF7">
      <w:pPr>
        <w:pStyle w:val="Heading2"/>
        <w:spacing w:after="120"/>
        <w:rPr>
          <w:lang w:val="en-CA"/>
        </w:rPr>
      </w:pPr>
      <w:r w:rsidRPr="00374A6E">
        <w:rPr>
          <w:lang w:val="en-CA"/>
        </w:rPr>
        <w:t>Employment Equity (EE)</w:t>
      </w:r>
    </w:p>
    <w:p w:rsidR="00D735BF" w:rsidRPr="00374A6E" w:rsidRDefault="00D735BF" w:rsidP="00D735BF">
      <w:pPr>
        <w:pStyle w:val="NoSpacing"/>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The statistics from 2017-2018 reveal that ECCC was above public service workforce availability for persons with disabilities and visible minorities. However, gaps were identified for women and aboriginal peoples. More specifically:</w:t>
      </w:r>
    </w:p>
    <w:p w:rsidR="00D735BF" w:rsidRPr="00374A6E" w:rsidRDefault="00D735BF" w:rsidP="00D5667B">
      <w:pPr>
        <w:pStyle w:val="NoSpacing"/>
        <w:numPr>
          <w:ilvl w:val="0"/>
          <w:numId w:val="2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women are under-represented at 48.9% of the workforce, while the Public Service workforce availability is at 52.5%;</w:t>
      </w:r>
    </w:p>
    <w:p w:rsidR="00D735BF" w:rsidRPr="00374A6E" w:rsidRDefault="00D735BF" w:rsidP="00D5667B">
      <w:pPr>
        <w:pStyle w:val="NoSpacing"/>
        <w:numPr>
          <w:ilvl w:val="0"/>
          <w:numId w:val="2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Aboriginal peoples are also under-represented at 3.0% of the workforce, while the public service workforce availability is at 3.4%;</w:t>
      </w:r>
    </w:p>
    <w:p w:rsidR="00D735BF" w:rsidRPr="00374A6E" w:rsidRDefault="00D735BF" w:rsidP="00D5667B">
      <w:pPr>
        <w:pStyle w:val="NoSpacing"/>
        <w:numPr>
          <w:ilvl w:val="0"/>
          <w:numId w:val="2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 xml:space="preserve">ECCC is above workforce availability for persons with disabilities at 4.6%; and </w:t>
      </w:r>
    </w:p>
    <w:p w:rsidR="00D735BF" w:rsidRPr="00374A6E" w:rsidRDefault="00D735BF" w:rsidP="00D5667B">
      <w:pPr>
        <w:pStyle w:val="NoSpacing"/>
        <w:numPr>
          <w:ilvl w:val="0"/>
          <w:numId w:val="27"/>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ECCC is above workforce availability for members of visible minorities at 18%.</w:t>
      </w:r>
    </w:p>
    <w:p w:rsidR="00D735BF" w:rsidRPr="00374A6E" w:rsidRDefault="00D735BF" w:rsidP="002823E4">
      <w:pPr>
        <w:pStyle w:val="NoSpacing"/>
        <w:spacing w:before="240"/>
        <w:rPr>
          <w:rFonts w:asciiTheme="minorHAnsi" w:hAnsiTheme="minorHAnsi" w:cstheme="minorHAnsi"/>
          <w:sz w:val="22"/>
          <w:szCs w:val="22"/>
          <w:lang w:val="en-CA"/>
        </w:rPr>
      </w:pPr>
      <w:r w:rsidRPr="00374A6E">
        <w:rPr>
          <w:rFonts w:asciiTheme="minorHAnsi" w:hAnsiTheme="minorHAnsi" w:cstheme="minorHAnsi"/>
          <w:sz w:val="22"/>
          <w:szCs w:val="22"/>
          <w:lang w:val="en-CA"/>
        </w:rPr>
        <w:t>The representativeness of the four designated groups will have to be reviewed once the new data on the Public Service Work Force Availability are released in 2019.</w:t>
      </w:r>
    </w:p>
    <w:p w:rsidR="002B1C99" w:rsidRPr="00374A6E" w:rsidRDefault="002B1C99" w:rsidP="00C057AC">
      <w:pPr>
        <w:pStyle w:val="Caption"/>
        <w:keepNext/>
        <w:spacing w:before="120"/>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2</w:t>
      </w:r>
      <w:r w:rsidR="009501EE">
        <w:rPr>
          <w:noProof/>
        </w:rPr>
        <w:fldChar w:fldCharType="end"/>
      </w:r>
      <w:r w:rsidRPr="00374A6E">
        <w:t xml:space="preserve"> - Employment Equity</w:t>
      </w:r>
    </w:p>
    <w:tbl>
      <w:tblPr>
        <w:tblStyle w:val="Grilledutableau1"/>
        <w:tblW w:w="5000" w:type="pct"/>
        <w:jc w:val="center"/>
        <w:tblLook w:val="04A0" w:firstRow="1" w:lastRow="0" w:firstColumn="1" w:lastColumn="0" w:noHBand="0" w:noVBand="1"/>
        <w:tblDescription w:val="Table 2 - Employment Equity"/>
      </w:tblPr>
      <w:tblGrid>
        <w:gridCol w:w="2171"/>
        <w:gridCol w:w="2363"/>
        <w:gridCol w:w="2477"/>
        <w:gridCol w:w="2611"/>
      </w:tblGrid>
      <w:tr w:rsidR="00050054" w:rsidRPr="00086DF2" w:rsidTr="00E65078">
        <w:trPr>
          <w:cantSplit/>
          <w:trHeight w:val="759"/>
          <w:tblHeader/>
          <w:jc w:val="center"/>
        </w:trPr>
        <w:tc>
          <w:tcPr>
            <w:tcW w:w="1128"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rsidR="00050054" w:rsidRPr="00086DF2" w:rsidRDefault="00050054" w:rsidP="00073345">
            <w:pPr>
              <w:pStyle w:val="TableTitle"/>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Designated Group</w:t>
            </w:r>
          </w:p>
        </w:tc>
        <w:tc>
          <w:tcPr>
            <w:tcW w:w="1228"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rsidR="00050054" w:rsidRPr="00086DF2" w:rsidRDefault="00050054" w:rsidP="00073345">
            <w:pPr>
              <w:pStyle w:val="TableTitle"/>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Public Service</w:t>
            </w:r>
          </w:p>
          <w:p w:rsidR="00050054" w:rsidRPr="00086DF2" w:rsidRDefault="00050054" w:rsidP="00073345">
            <w:pPr>
              <w:pStyle w:val="TableTitle"/>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Work Force Availability (WFA)</w:t>
            </w:r>
          </w:p>
        </w:tc>
        <w:tc>
          <w:tcPr>
            <w:tcW w:w="1287" w:type="pct"/>
            <w:tcBorders>
              <w:top w:val="single" w:sz="4" w:space="0" w:color="auto"/>
              <w:left w:val="single" w:sz="4" w:space="0" w:color="auto"/>
              <w:right w:val="single" w:sz="4" w:space="0" w:color="auto"/>
            </w:tcBorders>
            <w:shd w:val="clear" w:color="auto" w:fill="BF3C00" w:themeFill="accent4" w:themeFillShade="BF"/>
            <w:vAlign w:val="center"/>
            <w:hideMark/>
          </w:tcPr>
          <w:p w:rsidR="00050054" w:rsidRPr="00086DF2" w:rsidRDefault="00050054" w:rsidP="00073345">
            <w:pPr>
              <w:pStyle w:val="TableTitle"/>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Environment and Climate Change Canada</w:t>
            </w:r>
          </w:p>
        </w:tc>
        <w:tc>
          <w:tcPr>
            <w:tcW w:w="1357" w:type="pct"/>
            <w:tcBorders>
              <w:top w:val="single" w:sz="4" w:space="0" w:color="auto"/>
              <w:left w:val="single" w:sz="4" w:space="0" w:color="auto"/>
              <w:bottom w:val="single" w:sz="4" w:space="0" w:color="auto"/>
              <w:right w:val="single" w:sz="4" w:space="0" w:color="auto"/>
            </w:tcBorders>
            <w:shd w:val="clear" w:color="auto" w:fill="54575A" w:themeFill="text1"/>
            <w:hideMark/>
          </w:tcPr>
          <w:p w:rsidR="00050054" w:rsidRPr="00086DF2" w:rsidRDefault="00050054" w:rsidP="00073345">
            <w:pPr>
              <w:pStyle w:val="TableTitle"/>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Representation across the  Public Service of Canada</w:t>
            </w:r>
          </w:p>
        </w:tc>
      </w:tr>
      <w:tr w:rsidR="00050054" w:rsidRPr="00086DF2" w:rsidTr="00E65078">
        <w:trPr>
          <w:cantSplit/>
          <w:jc w:val="center"/>
        </w:trPr>
        <w:tc>
          <w:tcPr>
            <w:tcW w:w="1128" w:type="pct"/>
            <w:tcBorders>
              <w:top w:val="single" w:sz="4" w:space="0" w:color="auto"/>
              <w:left w:val="single" w:sz="4" w:space="0" w:color="auto"/>
              <w:bottom w:val="single" w:sz="4" w:space="0" w:color="auto"/>
              <w:right w:val="single" w:sz="4" w:space="0" w:color="auto"/>
            </w:tcBorders>
            <w:shd w:val="clear" w:color="auto" w:fill="54575A" w:themeFill="text1"/>
            <w:hideMark/>
          </w:tcPr>
          <w:p w:rsidR="00050054" w:rsidRPr="00086DF2" w:rsidRDefault="00050054" w:rsidP="00073345">
            <w:pPr>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Women</w:t>
            </w:r>
          </w:p>
        </w:tc>
        <w:tc>
          <w:tcPr>
            <w:tcW w:w="1228"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52.5%</w:t>
            </w:r>
          </w:p>
        </w:tc>
        <w:tc>
          <w:tcPr>
            <w:tcW w:w="1287"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48.9%</w:t>
            </w:r>
          </w:p>
        </w:tc>
        <w:tc>
          <w:tcPr>
            <w:tcW w:w="1357" w:type="pct"/>
            <w:tcBorders>
              <w:top w:val="single" w:sz="4" w:space="0" w:color="auto"/>
              <w:left w:val="single" w:sz="4" w:space="0" w:color="auto"/>
              <w:bottom w:val="single" w:sz="4" w:space="0" w:color="auto"/>
              <w:right w:val="single" w:sz="4" w:space="0" w:color="auto"/>
            </w:tcBorders>
            <w:hideMark/>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54.8%</w:t>
            </w:r>
          </w:p>
        </w:tc>
      </w:tr>
      <w:tr w:rsidR="00050054" w:rsidRPr="00086DF2" w:rsidTr="00E65078">
        <w:trPr>
          <w:cantSplit/>
          <w:jc w:val="center"/>
        </w:trPr>
        <w:tc>
          <w:tcPr>
            <w:tcW w:w="1128" w:type="pct"/>
            <w:tcBorders>
              <w:top w:val="single" w:sz="4" w:space="0" w:color="auto"/>
              <w:left w:val="single" w:sz="4" w:space="0" w:color="auto"/>
              <w:bottom w:val="single" w:sz="4" w:space="0" w:color="auto"/>
              <w:right w:val="single" w:sz="4" w:space="0" w:color="auto"/>
            </w:tcBorders>
            <w:shd w:val="clear" w:color="auto" w:fill="54575A" w:themeFill="text1"/>
            <w:hideMark/>
          </w:tcPr>
          <w:p w:rsidR="00050054" w:rsidRPr="00086DF2" w:rsidRDefault="00050054" w:rsidP="00073345">
            <w:pPr>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Aboriginal Peoples</w:t>
            </w:r>
          </w:p>
        </w:tc>
        <w:tc>
          <w:tcPr>
            <w:tcW w:w="1228"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3.4%</w:t>
            </w:r>
          </w:p>
        </w:tc>
        <w:tc>
          <w:tcPr>
            <w:tcW w:w="1287" w:type="pct"/>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3.0%</w:t>
            </w:r>
          </w:p>
        </w:tc>
        <w:tc>
          <w:tcPr>
            <w:tcW w:w="1357" w:type="pct"/>
            <w:tcBorders>
              <w:top w:val="single" w:sz="4" w:space="0" w:color="auto"/>
              <w:left w:val="single" w:sz="4" w:space="0" w:color="auto"/>
              <w:bottom w:val="single" w:sz="4" w:space="0" w:color="auto"/>
              <w:right w:val="single" w:sz="4" w:space="0" w:color="auto"/>
            </w:tcBorders>
            <w:hideMark/>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5.1%</w:t>
            </w:r>
          </w:p>
        </w:tc>
      </w:tr>
      <w:tr w:rsidR="00050054" w:rsidRPr="00086DF2" w:rsidTr="00E65078">
        <w:trPr>
          <w:cantSplit/>
          <w:trHeight w:val="598"/>
          <w:jc w:val="center"/>
        </w:trPr>
        <w:tc>
          <w:tcPr>
            <w:tcW w:w="1128" w:type="pct"/>
            <w:tcBorders>
              <w:top w:val="single" w:sz="4" w:space="0" w:color="auto"/>
              <w:left w:val="single" w:sz="4" w:space="0" w:color="auto"/>
              <w:bottom w:val="single" w:sz="4" w:space="0" w:color="auto"/>
              <w:right w:val="single" w:sz="4" w:space="0" w:color="auto"/>
            </w:tcBorders>
            <w:shd w:val="clear" w:color="auto" w:fill="54575A" w:themeFill="text1"/>
            <w:hideMark/>
          </w:tcPr>
          <w:p w:rsidR="00050054" w:rsidRPr="00086DF2" w:rsidRDefault="00050054" w:rsidP="00073345">
            <w:pPr>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Persons with Disabilities</w:t>
            </w:r>
          </w:p>
        </w:tc>
        <w:tc>
          <w:tcPr>
            <w:tcW w:w="1228"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4.4%</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4.6%</w:t>
            </w:r>
          </w:p>
        </w:tc>
        <w:tc>
          <w:tcPr>
            <w:tcW w:w="1357"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5.3%</w:t>
            </w:r>
          </w:p>
        </w:tc>
      </w:tr>
      <w:tr w:rsidR="00050054" w:rsidRPr="00086DF2" w:rsidTr="00E65078">
        <w:trPr>
          <w:cantSplit/>
          <w:jc w:val="center"/>
        </w:trPr>
        <w:tc>
          <w:tcPr>
            <w:tcW w:w="1128" w:type="pct"/>
            <w:tcBorders>
              <w:top w:val="single" w:sz="4" w:space="0" w:color="auto"/>
              <w:left w:val="single" w:sz="4" w:space="0" w:color="auto"/>
              <w:bottom w:val="single" w:sz="4" w:space="0" w:color="auto"/>
              <w:right w:val="single" w:sz="4" w:space="0" w:color="auto"/>
            </w:tcBorders>
            <w:shd w:val="clear" w:color="auto" w:fill="54575A" w:themeFill="text1"/>
            <w:hideMark/>
          </w:tcPr>
          <w:p w:rsidR="00050054" w:rsidRPr="00086DF2" w:rsidRDefault="00050054" w:rsidP="00073345">
            <w:pPr>
              <w:rPr>
                <w:rFonts w:asciiTheme="minorHAnsi" w:eastAsiaTheme="minorHAnsi" w:hAnsiTheme="minorHAnsi" w:cstheme="minorHAnsi"/>
                <w:color w:val="FFFFFF" w:themeColor="background1"/>
                <w:sz w:val="22"/>
                <w:lang w:val="en-CA"/>
              </w:rPr>
            </w:pPr>
            <w:r w:rsidRPr="00086DF2">
              <w:rPr>
                <w:rFonts w:asciiTheme="minorHAnsi" w:eastAsiaTheme="minorHAnsi" w:hAnsiTheme="minorHAnsi" w:cstheme="minorHAnsi"/>
                <w:color w:val="FFFFFF" w:themeColor="background1"/>
                <w:sz w:val="22"/>
                <w:lang w:val="en-CA"/>
              </w:rPr>
              <w:t>Members of Visible Minorities</w:t>
            </w:r>
          </w:p>
        </w:tc>
        <w:tc>
          <w:tcPr>
            <w:tcW w:w="1228"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13.0%</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16.7%</w:t>
            </w:r>
          </w:p>
        </w:tc>
        <w:tc>
          <w:tcPr>
            <w:tcW w:w="1357" w:type="pct"/>
            <w:tcBorders>
              <w:top w:val="single" w:sz="4" w:space="0" w:color="auto"/>
              <w:left w:val="single" w:sz="4" w:space="0" w:color="auto"/>
              <w:bottom w:val="single" w:sz="4" w:space="0" w:color="auto"/>
              <w:right w:val="single" w:sz="4" w:space="0" w:color="auto"/>
            </w:tcBorders>
            <w:vAlign w:val="center"/>
            <w:hideMark/>
          </w:tcPr>
          <w:p w:rsidR="00050054" w:rsidRPr="00086DF2" w:rsidRDefault="00050054" w:rsidP="00073345">
            <w:pPr>
              <w:autoSpaceDE w:val="0"/>
              <w:autoSpaceDN w:val="0"/>
              <w:adjustRightInd w:val="0"/>
              <w:jc w:val="center"/>
              <w:rPr>
                <w:rFonts w:asciiTheme="minorHAnsi" w:eastAsiaTheme="minorHAnsi" w:hAnsiTheme="minorHAnsi" w:cstheme="minorHAnsi"/>
                <w:sz w:val="22"/>
                <w:lang w:val="en-CA"/>
              </w:rPr>
            </w:pPr>
            <w:r w:rsidRPr="00086DF2">
              <w:rPr>
                <w:rFonts w:asciiTheme="minorHAnsi" w:eastAsiaTheme="minorHAnsi" w:hAnsiTheme="minorHAnsi" w:cstheme="minorHAnsi"/>
                <w:sz w:val="22"/>
                <w:lang w:val="en-CA"/>
              </w:rPr>
              <w:t>15.7%</w:t>
            </w:r>
          </w:p>
        </w:tc>
      </w:tr>
    </w:tbl>
    <w:p w:rsidR="00050054" w:rsidRPr="00374A6E" w:rsidRDefault="00050054" w:rsidP="00D5667B">
      <w:pPr>
        <w:spacing w:before="120"/>
        <w:rPr>
          <w:rFonts w:asciiTheme="minorHAnsi" w:hAnsiTheme="minorHAnsi" w:cstheme="minorHAnsi"/>
          <w:noProof/>
          <w:lang w:val="en-CA" w:eastAsia="en-CA"/>
        </w:rPr>
      </w:pPr>
      <w:r w:rsidRPr="00374A6E">
        <w:rPr>
          <w:rFonts w:asciiTheme="minorHAnsi" w:eastAsiaTheme="minorHAnsi" w:hAnsiTheme="minorHAnsi" w:cstheme="minorHAnsi"/>
          <w:sz w:val="22"/>
          <w:lang w:val="en-CA"/>
        </w:rPr>
        <w:t>Source</w:t>
      </w:r>
      <w:r w:rsidRPr="00374A6E">
        <w:rPr>
          <w:rFonts w:asciiTheme="minorHAnsi" w:eastAsiaTheme="minorHAnsi" w:hAnsiTheme="minorHAnsi" w:cstheme="minorHAnsi"/>
          <w:color w:val="0070C0"/>
          <w:sz w:val="22"/>
          <w:lang w:val="en-CA"/>
        </w:rPr>
        <w:t>:</w:t>
      </w:r>
      <w:r w:rsidRPr="00374A6E">
        <w:rPr>
          <w:rFonts w:asciiTheme="minorHAnsi" w:eastAsiaTheme="minorHAnsi" w:hAnsiTheme="minorHAnsi" w:cstheme="minorHAnsi"/>
          <w:color w:val="0070C0"/>
          <w:sz w:val="22"/>
          <w:u w:val="single"/>
          <w:lang w:val="en-CA"/>
        </w:rPr>
        <w:t xml:space="preserve"> </w:t>
      </w:r>
      <w:hyperlink r:id="rId9" w:history="1">
        <w:r w:rsidRPr="00374A6E">
          <w:rPr>
            <w:rFonts w:asciiTheme="minorHAnsi" w:eastAsiaTheme="minorHAnsi" w:hAnsiTheme="minorHAnsi" w:cstheme="minorHAnsi"/>
            <w:color w:val="0070C0"/>
            <w:sz w:val="22"/>
            <w:u w:val="single"/>
            <w:lang w:val="en-CA"/>
          </w:rPr>
          <w:t>Employment Equity in the Public Service of Canada 2017- 2018</w:t>
        </w:r>
      </w:hyperlink>
      <w:r w:rsidR="00D5667B">
        <w:rPr>
          <w:rFonts w:asciiTheme="minorHAnsi" w:eastAsiaTheme="minorHAnsi" w:hAnsiTheme="minorHAnsi" w:cstheme="minorHAnsi"/>
          <w:color w:val="0070C0"/>
          <w:sz w:val="22"/>
          <w:u w:val="single"/>
          <w:lang w:val="en-CA"/>
        </w:rPr>
        <w:t xml:space="preserve"> </w:t>
      </w:r>
      <w:r w:rsidRPr="00374A6E">
        <w:rPr>
          <w:rFonts w:asciiTheme="minorHAnsi" w:eastAsiaTheme="minorHAnsi" w:hAnsiTheme="minorHAnsi" w:cstheme="minorHAnsi"/>
          <w:sz w:val="22"/>
          <w:lang w:val="en-CA"/>
        </w:rPr>
        <w:t>Treasury Board of Canada Secretariat</w:t>
      </w:r>
    </w:p>
    <w:p w:rsidR="00D735BF" w:rsidRPr="00374A6E" w:rsidRDefault="00D735BF" w:rsidP="002823E4">
      <w:pPr>
        <w:pStyle w:val="Heading2"/>
        <w:spacing w:after="120"/>
        <w:rPr>
          <w:lang w:val="en-CA"/>
        </w:rPr>
      </w:pPr>
      <w:r w:rsidRPr="00374A6E">
        <w:rPr>
          <w:lang w:val="en-CA"/>
        </w:rPr>
        <w:t>Strategies</w:t>
      </w:r>
    </w:p>
    <w:p w:rsidR="00D735BF" w:rsidRPr="00374A6E" w:rsidRDefault="00D735BF" w:rsidP="00D735BF">
      <w:pPr>
        <w:pStyle w:val="NoSpacing"/>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 xml:space="preserve">The following array of solutions may be useful as ECCC continues to build a representative and diverse organization: </w:t>
      </w:r>
    </w:p>
    <w:p w:rsidR="00D735BF" w:rsidRPr="00374A6E" w:rsidRDefault="00D735BF" w:rsidP="00D5667B">
      <w:pPr>
        <w:pStyle w:val="NoSpacing"/>
        <w:numPr>
          <w:ilvl w:val="0"/>
          <w:numId w:val="28"/>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The PSEA includes provisions that enable managers to:</w:t>
      </w:r>
    </w:p>
    <w:p w:rsidR="00D735BF" w:rsidRPr="00374A6E" w:rsidRDefault="00D735BF" w:rsidP="00D5667B">
      <w:pPr>
        <w:pStyle w:val="NoSpacing"/>
        <w:numPr>
          <w:ilvl w:val="1"/>
          <w:numId w:val="28"/>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target designated group members through the area of selection for advertised appointment processes;</w:t>
      </w:r>
    </w:p>
    <w:p w:rsidR="00D735BF" w:rsidRPr="00374A6E" w:rsidRDefault="00D735BF" w:rsidP="00D5667B">
      <w:pPr>
        <w:pStyle w:val="NoSpacing"/>
        <w:numPr>
          <w:ilvl w:val="1"/>
          <w:numId w:val="28"/>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establish and apply an organizational need to appoint designated group members; and</w:t>
      </w:r>
    </w:p>
    <w:p w:rsidR="00D735BF" w:rsidRPr="00374A6E" w:rsidRDefault="00D735BF" w:rsidP="00D5667B">
      <w:pPr>
        <w:pStyle w:val="NoSpacing"/>
        <w:numPr>
          <w:ilvl w:val="1"/>
          <w:numId w:val="28"/>
        </w:numPr>
        <w:rPr>
          <w:rFonts w:asciiTheme="minorHAnsi" w:hAnsiTheme="minorHAnsi" w:cstheme="minorHAnsi"/>
          <w:color w:val="000000"/>
          <w:sz w:val="22"/>
          <w:szCs w:val="22"/>
          <w:lang w:val="en-CA"/>
        </w:rPr>
      </w:pPr>
      <w:proofErr w:type="gramStart"/>
      <w:r w:rsidRPr="00374A6E">
        <w:rPr>
          <w:rFonts w:asciiTheme="minorHAnsi" w:hAnsiTheme="minorHAnsi" w:cstheme="minorHAnsi"/>
          <w:color w:val="000000"/>
          <w:sz w:val="22"/>
          <w:szCs w:val="22"/>
          <w:lang w:val="en-CA"/>
        </w:rPr>
        <w:t>use</w:t>
      </w:r>
      <w:proofErr w:type="gramEnd"/>
      <w:r w:rsidRPr="00374A6E">
        <w:rPr>
          <w:rFonts w:asciiTheme="minorHAnsi" w:hAnsiTheme="minorHAnsi" w:cstheme="minorHAnsi"/>
          <w:color w:val="000000"/>
          <w:sz w:val="22"/>
          <w:szCs w:val="22"/>
          <w:lang w:val="en-CA"/>
        </w:rPr>
        <w:t xml:space="preserve"> external and internal non-advertised appointment to appoint designated group members.</w:t>
      </w:r>
    </w:p>
    <w:p w:rsidR="00D735BF" w:rsidRPr="00374A6E" w:rsidRDefault="00D735BF" w:rsidP="00D5667B">
      <w:pPr>
        <w:pStyle w:val="NoSpacing"/>
        <w:numPr>
          <w:ilvl w:val="0"/>
          <w:numId w:val="28"/>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The PSC offers recruitment solutions that target designated group members:</w:t>
      </w:r>
    </w:p>
    <w:p w:rsidR="00D735BF" w:rsidRPr="00374A6E" w:rsidRDefault="00D735BF" w:rsidP="00D5667B">
      <w:pPr>
        <w:pStyle w:val="NoSpacing"/>
        <w:numPr>
          <w:ilvl w:val="1"/>
          <w:numId w:val="28"/>
        </w:numPr>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request referrals of designated group members when using student programs such as the Federal Student Work Experience Program and  Post-Secondary Co-op and Internship Program, with a plan that could include eventually recruiting students into the public service;</w:t>
      </w:r>
    </w:p>
    <w:p w:rsidR="00D735BF" w:rsidRPr="00374A6E" w:rsidRDefault="00D735BF" w:rsidP="00D5667B">
      <w:pPr>
        <w:pStyle w:val="NoSpacing"/>
        <w:numPr>
          <w:ilvl w:val="1"/>
          <w:numId w:val="28"/>
        </w:numPr>
        <w:rPr>
          <w:rFonts w:asciiTheme="minorHAnsi" w:hAnsiTheme="minorHAnsi" w:cstheme="minorHAnsi"/>
          <w:color w:val="000000"/>
          <w:sz w:val="22"/>
          <w:szCs w:val="22"/>
          <w:u w:val="single"/>
          <w:lang w:val="en-CA"/>
        </w:rPr>
      </w:pPr>
      <w:r w:rsidRPr="00374A6E">
        <w:rPr>
          <w:rFonts w:asciiTheme="minorHAnsi" w:hAnsiTheme="minorHAnsi" w:cstheme="minorHAnsi"/>
          <w:color w:val="000000"/>
          <w:sz w:val="22"/>
          <w:szCs w:val="22"/>
          <w:lang w:val="en-CA"/>
        </w:rPr>
        <w:lastRenderedPageBreak/>
        <w:t xml:space="preserve">advertising through the student program Research Affiliate Program to recruit students of designated group members; and </w:t>
      </w:r>
    </w:p>
    <w:p w:rsidR="002823E4" w:rsidRPr="00374A6E" w:rsidRDefault="00D735BF" w:rsidP="00D5667B">
      <w:pPr>
        <w:pStyle w:val="NoSpacing"/>
        <w:numPr>
          <w:ilvl w:val="1"/>
          <w:numId w:val="28"/>
        </w:numPr>
        <w:spacing w:after="240"/>
        <w:rPr>
          <w:lang w:val="en-CA"/>
        </w:rPr>
      </w:pPr>
      <w:proofErr w:type="gramStart"/>
      <w:r w:rsidRPr="00374A6E">
        <w:rPr>
          <w:rFonts w:asciiTheme="minorHAnsi" w:hAnsiTheme="minorHAnsi" w:cstheme="minorHAnsi"/>
          <w:color w:val="000000"/>
          <w:sz w:val="22"/>
          <w:szCs w:val="22"/>
          <w:lang w:val="en-CA"/>
        </w:rPr>
        <w:t>request</w:t>
      </w:r>
      <w:proofErr w:type="gramEnd"/>
      <w:r w:rsidRPr="00374A6E">
        <w:rPr>
          <w:rFonts w:asciiTheme="minorHAnsi" w:hAnsiTheme="minorHAnsi" w:cstheme="minorHAnsi"/>
          <w:color w:val="000000"/>
          <w:sz w:val="22"/>
          <w:szCs w:val="22"/>
          <w:lang w:val="en-CA"/>
        </w:rPr>
        <w:t xml:space="preserve"> referrals of designated group members when using certain inventories, such as Post-Secondary Recruitment (PSR).</w:t>
      </w:r>
    </w:p>
    <w:p w:rsidR="00D735BF" w:rsidRPr="00374A6E" w:rsidRDefault="00EB1E4E" w:rsidP="00DC3467">
      <w:pPr>
        <w:pStyle w:val="Heading1"/>
        <w:spacing w:after="120"/>
        <w:rPr>
          <w:lang w:val="en-CA"/>
        </w:rPr>
      </w:pPr>
      <w:r w:rsidRPr="00374A6E">
        <w:rPr>
          <w:lang w:val="en-CA"/>
        </w:rPr>
        <w:t>P</w:t>
      </w:r>
      <w:r w:rsidR="00D735BF" w:rsidRPr="00374A6E">
        <w:rPr>
          <w:lang w:val="en-CA"/>
        </w:rPr>
        <w:t xml:space="preserve">riority </w:t>
      </w:r>
      <w:r w:rsidRPr="00374A6E">
        <w:rPr>
          <w:lang w:val="en-CA"/>
        </w:rPr>
        <w:t>E</w:t>
      </w:r>
      <w:r w:rsidR="00D735BF" w:rsidRPr="00374A6E">
        <w:rPr>
          <w:lang w:val="en-CA"/>
        </w:rPr>
        <w:t xml:space="preserve">ntitlements and </w:t>
      </w:r>
      <w:r w:rsidRPr="00374A6E">
        <w:rPr>
          <w:lang w:val="en-CA"/>
        </w:rPr>
        <w:t>V</w:t>
      </w:r>
      <w:r w:rsidR="00D735BF" w:rsidRPr="00374A6E">
        <w:rPr>
          <w:lang w:val="en-CA"/>
        </w:rPr>
        <w:t>eterans</w:t>
      </w:r>
    </w:p>
    <w:p w:rsidR="00D735BF" w:rsidRPr="00374A6E" w:rsidRDefault="00D735BF" w:rsidP="00050054">
      <w:pPr>
        <w:spacing w:after="120"/>
        <w:contextualSpacing/>
        <w:rPr>
          <w:rFonts w:asciiTheme="minorHAnsi" w:hAnsiTheme="minorHAnsi" w:cstheme="minorHAnsi"/>
          <w:sz w:val="22"/>
          <w:szCs w:val="22"/>
          <w:lang w:val="en-CA"/>
        </w:rPr>
      </w:pPr>
      <w:r w:rsidRPr="00374A6E">
        <w:rPr>
          <w:rFonts w:asciiTheme="minorHAnsi" w:eastAsiaTheme="minorHAnsi" w:hAnsiTheme="minorHAnsi" w:cstheme="minorHAnsi"/>
          <w:iCs/>
          <w:sz w:val="22"/>
          <w:szCs w:val="22"/>
          <w:lang w:val="en-CA"/>
        </w:rPr>
        <w:t xml:space="preserve">Since the coming into force of the Veterans Hiring Act, the Priority Information Management System data indicates that </w:t>
      </w:r>
      <w:sdt>
        <w:sdtPr>
          <w:rPr>
            <w:rFonts w:asciiTheme="minorHAnsi" w:hAnsiTheme="minorHAnsi" w:cstheme="minorHAnsi"/>
            <w:kern w:val="2"/>
            <w:sz w:val="22"/>
            <w:szCs w:val="22"/>
            <w:lang w:val="en-CA" w:eastAsia="ja-JP"/>
            <w14:ligatures w14:val="standard"/>
          </w:rPr>
          <w:id w:val="810595905"/>
          <w:placeholder>
            <w:docPart w:val="1FAB9B4EB7F947EBA425EC36B981C23E"/>
          </w:placeholder>
          <w15:appearance w15:val="hidden"/>
          <w:text w:multiLine="1"/>
        </w:sdtPr>
        <w:sdtEndPr>
          <w:rPr>
            <w:rFonts w:eastAsia="Arial"/>
          </w:rPr>
        </w:sdtEndPr>
        <w:sdtContent>
          <w:r w:rsidRPr="00374A6E">
            <w:rPr>
              <w:rFonts w:asciiTheme="minorHAnsi" w:hAnsiTheme="minorHAnsi" w:cstheme="minorHAnsi"/>
              <w:kern w:val="2"/>
              <w:sz w:val="22"/>
              <w:szCs w:val="22"/>
              <w:lang w:val="en-CA" w:eastAsia="ja-JP"/>
              <w14:ligatures w14:val="standard"/>
            </w:rPr>
            <w:t>ECCC</w:t>
          </w:r>
        </w:sdtContent>
      </w:sdt>
      <w:r w:rsidRPr="00374A6E">
        <w:rPr>
          <w:rFonts w:asciiTheme="minorHAnsi" w:eastAsiaTheme="minorHAnsi" w:hAnsiTheme="minorHAnsi" w:cstheme="minorHAnsi"/>
          <w:iCs/>
          <w:sz w:val="22"/>
          <w:szCs w:val="22"/>
          <w:lang w:val="en-CA"/>
        </w:rPr>
        <w:t xml:space="preserve"> has appointed </w:t>
      </w:r>
      <w:sdt>
        <w:sdtPr>
          <w:rPr>
            <w:rFonts w:asciiTheme="minorHAnsi" w:hAnsiTheme="minorHAnsi" w:cstheme="minorHAnsi"/>
            <w:kern w:val="2"/>
            <w:sz w:val="22"/>
            <w:szCs w:val="22"/>
            <w:lang w:val="en-CA" w:eastAsia="ja-JP"/>
            <w14:ligatures w14:val="standard"/>
          </w:rPr>
          <w:id w:val="-891114415"/>
          <w:placeholder>
            <w:docPart w:val="6E26D78F8A2049A98E3180C8D650A410"/>
          </w:placeholder>
          <w15:appearance w15:val="hidden"/>
          <w:text w:multiLine="1"/>
        </w:sdtPr>
        <w:sdtEndPr>
          <w:rPr>
            <w:rFonts w:eastAsia="Arial"/>
          </w:rPr>
        </w:sdtEndPr>
        <w:sdtContent>
          <w:r w:rsidRPr="00374A6E">
            <w:rPr>
              <w:rFonts w:asciiTheme="minorHAnsi" w:hAnsiTheme="minorHAnsi" w:cstheme="minorHAnsi"/>
              <w:kern w:val="2"/>
              <w:sz w:val="22"/>
              <w:szCs w:val="22"/>
              <w:lang w:val="en-CA" w:eastAsia="ja-JP"/>
              <w14:ligatures w14:val="standard"/>
            </w:rPr>
            <w:t>6</w:t>
          </w:r>
        </w:sdtContent>
      </w:sdt>
      <w:r w:rsidRPr="00374A6E">
        <w:rPr>
          <w:rFonts w:asciiTheme="minorHAnsi" w:eastAsiaTheme="minorHAnsi" w:hAnsiTheme="minorHAnsi" w:cstheme="minorHAnsi"/>
          <w:iCs/>
          <w:sz w:val="22"/>
          <w:szCs w:val="22"/>
          <w:lang w:val="en-CA"/>
        </w:rPr>
        <w:t xml:space="preserve"> members of the Canadian Armed Forces released for medical reasons, of which </w:t>
      </w:r>
      <w:sdt>
        <w:sdtPr>
          <w:rPr>
            <w:rFonts w:asciiTheme="minorHAnsi" w:hAnsiTheme="minorHAnsi" w:cstheme="minorHAnsi"/>
            <w:kern w:val="2"/>
            <w:sz w:val="22"/>
            <w:szCs w:val="22"/>
            <w:lang w:val="en-CA" w:eastAsia="ja-JP"/>
            <w14:ligatures w14:val="standard"/>
          </w:rPr>
          <w:id w:val="1335108328"/>
          <w:placeholder>
            <w:docPart w:val="4AEB44333D4D41ECAC1F8385C932992C"/>
          </w:placeholder>
          <w15:appearance w15:val="hidden"/>
          <w:text w:multiLine="1"/>
        </w:sdtPr>
        <w:sdtEndPr>
          <w:rPr>
            <w:rFonts w:eastAsia="Arial"/>
          </w:rPr>
        </w:sdtEndPr>
        <w:sdtContent>
          <w:r w:rsidRPr="00374A6E">
            <w:rPr>
              <w:rFonts w:asciiTheme="minorHAnsi" w:hAnsiTheme="minorHAnsi" w:cstheme="minorHAnsi"/>
              <w:kern w:val="2"/>
              <w:sz w:val="22"/>
              <w:szCs w:val="22"/>
              <w:lang w:val="en-CA" w:eastAsia="ja-JP"/>
              <w14:ligatures w14:val="standard"/>
            </w:rPr>
            <w:t>3</w:t>
          </w:r>
        </w:sdtContent>
      </w:sdt>
      <w:r w:rsidRPr="00374A6E">
        <w:rPr>
          <w:rFonts w:asciiTheme="minorHAnsi" w:eastAsiaTheme="minorHAnsi" w:hAnsiTheme="minorHAnsi" w:cstheme="minorHAnsi"/>
          <w:iCs/>
          <w:sz w:val="22"/>
          <w:szCs w:val="22"/>
          <w:lang w:val="en-CA"/>
        </w:rPr>
        <w:t xml:space="preserve"> were released for reasons attributable to service and </w:t>
      </w:r>
      <w:sdt>
        <w:sdtPr>
          <w:rPr>
            <w:rFonts w:asciiTheme="minorHAnsi" w:hAnsiTheme="minorHAnsi" w:cstheme="minorHAnsi"/>
            <w:kern w:val="2"/>
            <w:sz w:val="22"/>
            <w:szCs w:val="22"/>
            <w:lang w:val="en-CA" w:eastAsia="ja-JP"/>
            <w14:ligatures w14:val="standard"/>
          </w:rPr>
          <w:id w:val="435109922"/>
          <w:placeholder>
            <w:docPart w:val="D9D02113BEFC465DA1397D8AE059B940"/>
          </w:placeholder>
          <w15:appearance w15:val="hidden"/>
          <w:text w:multiLine="1"/>
        </w:sdtPr>
        <w:sdtEndPr>
          <w:rPr>
            <w:rFonts w:eastAsia="Arial"/>
          </w:rPr>
        </w:sdtEndPr>
        <w:sdtContent>
          <w:r w:rsidRPr="00374A6E">
            <w:rPr>
              <w:rFonts w:asciiTheme="minorHAnsi" w:hAnsiTheme="minorHAnsi" w:cstheme="minorHAnsi"/>
              <w:kern w:val="2"/>
              <w:sz w:val="22"/>
              <w:szCs w:val="22"/>
              <w:lang w:val="en-CA" w:eastAsia="ja-JP"/>
              <w14:ligatures w14:val="standard"/>
            </w:rPr>
            <w:t>3</w:t>
          </w:r>
        </w:sdtContent>
      </w:sdt>
      <w:r w:rsidRPr="00374A6E">
        <w:rPr>
          <w:rFonts w:asciiTheme="minorHAnsi" w:eastAsiaTheme="minorHAnsi" w:hAnsiTheme="minorHAnsi" w:cstheme="minorHAnsi"/>
          <w:iCs/>
          <w:sz w:val="22"/>
          <w:szCs w:val="22"/>
          <w:lang w:val="en-CA"/>
        </w:rPr>
        <w:t xml:space="preserve"> released for reasons not attributable to service.</w:t>
      </w:r>
    </w:p>
    <w:p w:rsidR="002B1C99" w:rsidRPr="00374A6E" w:rsidRDefault="002B1C99" w:rsidP="002B1C99">
      <w:pPr>
        <w:pStyle w:val="Caption"/>
        <w:keepNext/>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3</w:t>
      </w:r>
      <w:r w:rsidR="009501EE">
        <w:rPr>
          <w:noProof/>
        </w:rPr>
        <w:fldChar w:fldCharType="end"/>
      </w:r>
      <w:r w:rsidRPr="00374A6E">
        <w:t xml:space="preserve"> - Priority Entitlements and Veterans</w:t>
      </w:r>
    </w:p>
    <w:tbl>
      <w:tblPr>
        <w:tblStyle w:val="TableGrid"/>
        <w:tblW w:w="5000" w:type="pct"/>
        <w:jc w:val="center"/>
        <w:tblLook w:val="04A0" w:firstRow="1" w:lastRow="0" w:firstColumn="1" w:lastColumn="0" w:noHBand="0" w:noVBand="1"/>
        <w:tblDescription w:val="Table 3 - Priority Entitlements and Veterans"/>
      </w:tblPr>
      <w:tblGrid>
        <w:gridCol w:w="2405"/>
        <w:gridCol w:w="2405"/>
        <w:gridCol w:w="2406"/>
        <w:gridCol w:w="2406"/>
      </w:tblGrid>
      <w:tr w:rsidR="00050054" w:rsidRPr="00086DF2" w:rsidTr="008C1770">
        <w:trPr>
          <w:cantSplit/>
          <w:tblHeader/>
          <w:jc w:val="center"/>
        </w:trPr>
        <w:tc>
          <w:tcPr>
            <w:tcW w:w="1250" w:type="pct"/>
            <w:shd w:val="clear" w:color="auto" w:fill="0070C0"/>
            <w:vAlign w:val="center"/>
          </w:tcPr>
          <w:p w:rsidR="00050054" w:rsidRPr="00086DF2" w:rsidRDefault="00941356" w:rsidP="00073345">
            <w:pPr>
              <w:pStyle w:val="TableTitle"/>
              <w:jc w:val="center"/>
              <w:rPr>
                <w:rFonts w:asciiTheme="minorHAnsi" w:hAnsiTheme="minorHAnsi" w:cstheme="minorHAnsi"/>
                <w:color w:val="FFFFFF" w:themeColor="background1"/>
                <w:sz w:val="22"/>
                <w:lang w:val="en-CA"/>
              </w:rPr>
            </w:pPr>
            <w:r w:rsidRPr="00086DF2">
              <w:rPr>
                <w:rFonts w:asciiTheme="minorHAnsi" w:hAnsiTheme="minorHAnsi" w:cstheme="minorHAnsi"/>
                <w:smallCaps/>
                <w:color w:val="FFFFFF" w:themeColor="background1"/>
                <w:sz w:val="22"/>
                <w:lang w:val="en-CA"/>
              </w:rPr>
              <w:t>period</w:t>
            </w:r>
          </w:p>
        </w:tc>
        <w:tc>
          <w:tcPr>
            <w:tcW w:w="1250" w:type="pct"/>
            <w:shd w:val="clear" w:color="auto" w:fill="0070C0"/>
            <w:vAlign w:val="center"/>
          </w:tcPr>
          <w:p w:rsidR="00050054" w:rsidRPr="00086DF2" w:rsidRDefault="00941356" w:rsidP="00073345">
            <w:pPr>
              <w:pStyle w:val="TableTitle"/>
              <w:jc w:val="center"/>
              <w:rPr>
                <w:rFonts w:asciiTheme="minorHAnsi" w:hAnsiTheme="minorHAnsi" w:cstheme="minorHAnsi"/>
                <w:smallCaps/>
                <w:color w:val="FFFFFF" w:themeColor="background1"/>
                <w:sz w:val="22"/>
                <w:lang w:val="en-CA"/>
              </w:rPr>
            </w:pPr>
            <w:r w:rsidRPr="00086DF2">
              <w:rPr>
                <w:rFonts w:asciiTheme="minorHAnsi" w:hAnsiTheme="minorHAnsi" w:cstheme="minorHAnsi"/>
                <w:smallCaps/>
                <w:color w:val="FFFFFF" w:themeColor="background1"/>
                <w:sz w:val="22"/>
                <w:lang w:val="en-CA"/>
              </w:rPr>
              <w:t>attributable to service (statutory)</w:t>
            </w:r>
          </w:p>
        </w:tc>
        <w:tc>
          <w:tcPr>
            <w:tcW w:w="1250" w:type="pct"/>
            <w:shd w:val="clear" w:color="auto" w:fill="0070C0"/>
            <w:vAlign w:val="center"/>
          </w:tcPr>
          <w:p w:rsidR="00050054" w:rsidRPr="00086DF2" w:rsidRDefault="00941356" w:rsidP="00073345">
            <w:pPr>
              <w:pStyle w:val="TableTitle"/>
              <w:jc w:val="center"/>
              <w:rPr>
                <w:rFonts w:asciiTheme="minorHAnsi" w:hAnsiTheme="minorHAnsi" w:cstheme="minorHAnsi"/>
                <w:smallCaps/>
                <w:color w:val="FFFFFF" w:themeColor="background1"/>
                <w:sz w:val="22"/>
                <w:lang w:val="en-CA"/>
              </w:rPr>
            </w:pPr>
            <w:r w:rsidRPr="00086DF2">
              <w:rPr>
                <w:rFonts w:asciiTheme="minorHAnsi" w:hAnsiTheme="minorHAnsi" w:cstheme="minorHAnsi"/>
                <w:smallCaps/>
                <w:color w:val="FFFFFF" w:themeColor="background1"/>
                <w:sz w:val="22"/>
                <w:lang w:val="en-CA"/>
              </w:rPr>
              <w:t>not attributable to service (regulatory)</w:t>
            </w:r>
          </w:p>
        </w:tc>
        <w:tc>
          <w:tcPr>
            <w:tcW w:w="1250" w:type="pct"/>
            <w:shd w:val="clear" w:color="auto" w:fill="0070C0"/>
            <w:vAlign w:val="center"/>
          </w:tcPr>
          <w:p w:rsidR="00050054" w:rsidRPr="00086DF2" w:rsidRDefault="00941356" w:rsidP="00073345">
            <w:pPr>
              <w:pStyle w:val="TableTitle"/>
              <w:jc w:val="center"/>
              <w:rPr>
                <w:rFonts w:asciiTheme="minorHAnsi" w:hAnsiTheme="minorHAnsi" w:cstheme="minorHAnsi"/>
                <w:smallCaps/>
                <w:color w:val="FFFFFF" w:themeColor="background1"/>
                <w:sz w:val="22"/>
                <w:lang w:val="en-CA"/>
              </w:rPr>
            </w:pPr>
            <w:r w:rsidRPr="00086DF2">
              <w:rPr>
                <w:rFonts w:asciiTheme="minorHAnsi" w:hAnsiTheme="minorHAnsi" w:cstheme="minorHAnsi"/>
                <w:smallCaps/>
                <w:color w:val="FFFFFF" w:themeColor="background1"/>
                <w:sz w:val="22"/>
                <w:lang w:val="en-CA"/>
              </w:rPr>
              <w:t>total</w:t>
            </w:r>
          </w:p>
        </w:tc>
      </w:tr>
      <w:tr w:rsidR="00050054" w:rsidRPr="00086DF2" w:rsidTr="008C1770">
        <w:trPr>
          <w:cantSplit/>
          <w:jc w:val="center"/>
        </w:trPr>
        <w:tc>
          <w:tcPr>
            <w:tcW w:w="1250" w:type="pct"/>
            <w:shd w:val="clear" w:color="auto" w:fill="0070C0"/>
            <w:vAlign w:val="center"/>
          </w:tcPr>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2015 (July 1) - 2016</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1</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1</w:t>
            </w:r>
          </w:p>
        </w:tc>
      </w:tr>
      <w:tr w:rsidR="00050054" w:rsidRPr="00086DF2" w:rsidTr="008C1770">
        <w:trPr>
          <w:cantSplit/>
          <w:jc w:val="center"/>
        </w:trPr>
        <w:tc>
          <w:tcPr>
            <w:tcW w:w="1250" w:type="pct"/>
            <w:shd w:val="clear" w:color="auto" w:fill="0070C0"/>
            <w:vAlign w:val="center"/>
          </w:tcPr>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2016 - 2017</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1</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1</w:t>
            </w:r>
          </w:p>
        </w:tc>
      </w:tr>
      <w:tr w:rsidR="00050054" w:rsidRPr="00086DF2" w:rsidTr="008C1770">
        <w:trPr>
          <w:cantSplit/>
          <w:jc w:val="center"/>
        </w:trPr>
        <w:tc>
          <w:tcPr>
            <w:tcW w:w="1250" w:type="pct"/>
            <w:shd w:val="clear" w:color="auto" w:fill="0070C0"/>
            <w:vAlign w:val="center"/>
          </w:tcPr>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2017 - 2018</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2</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2</w:t>
            </w:r>
          </w:p>
        </w:tc>
      </w:tr>
      <w:tr w:rsidR="00050054" w:rsidRPr="00086DF2" w:rsidTr="008C1770">
        <w:trPr>
          <w:cantSplit/>
          <w:jc w:val="center"/>
        </w:trPr>
        <w:tc>
          <w:tcPr>
            <w:tcW w:w="1250" w:type="pct"/>
            <w:shd w:val="clear" w:color="auto" w:fill="0070C0"/>
            <w:vAlign w:val="center"/>
          </w:tcPr>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2018-2019</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2</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2</w:t>
            </w:r>
          </w:p>
        </w:tc>
      </w:tr>
      <w:tr w:rsidR="00050054" w:rsidRPr="00086DF2" w:rsidTr="008C1770">
        <w:trPr>
          <w:cantSplit/>
          <w:jc w:val="center"/>
        </w:trPr>
        <w:tc>
          <w:tcPr>
            <w:tcW w:w="1250" w:type="pct"/>
            <w:shd w:val="clear" w:color="auto" w:fill="0070C0"/>
            <w:vAlign w:val="center"/>
          </w:tcPr>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2019-2020</w:t>
            </w:r>
          </w:p>
          <w:p w:rsidR="00050054" w:rsidRPr="00086DF2" w:rsidRDefault="00050054" w:rsidP="00D41A10">
            <w:pPr>
              <w:pStyle w:val="Level1"/>
              <w:tabs>
                <w:tab w:val="left" w:pos="-1440"/>
              </w:tabs>
              <w:autoSpaceDE w:val="0"/>
              <w:autoSpaceDN w:val="0"/>
              <w:adjustRightInd w:val="0"/>
              <w:spacing w:after="120" w:line="20" w:lineRule="atLeast"/>
              <w:rPr>
                <w:rFonts w:asciiTheme="minorHAnsi" w:hAnsiTheme="minorHAnsi" w:cstheme="minorHAnsi"/>
                <w:b/>
                <w:color w:val="FFFFFF" w:themeColor="background1"/>
                <w:sz w:val="22"/>
                <w:lang w:val="en-CA"/>
              </w:rPr>
            </w:pPr>
            <w:r w:rsidRPr="00086DF2">
              <w:rPr>
                <w:rFonts w:asciiTheme="minorHAnsi" w:hAnsiTheme="minorHAnsi" w:cstheme="minorHAnsi"/>
                <w:b/>
                <w:color w:val="FFFFFF" w:themeColor="background1"/>
                <w:sz w:val="22"/>
                <w:lang w:val="en-CA"/>
              </w:rPr>
              <w:t>(September 30)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c>
          <w:tcPr>
            <w:tcW w:w="1250" w:type="pct"/>
            <w:vAlign w:val="center"/>
          </w:tcPr>
          <w:p w:rsidR="00050054" w:rsidRPr="00086DF2"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086DF2">
              <w:rPr>
                <w:rFonts w:asciiTheme="minorHAnsi" w:hAnsiTheme="minorHAnsi" w:cstheme="minorHAnsi"/>
                <w:sz w:val="22"/>
                <w:lang w:val="en-CA"/>
              </w:rPr>
              <w:t>0</w:t>
            </w:r>
          </w:p>
        </w:tc>
      </w:tr>
      <w:tr w:rsidR="00050054" w:rsidRPr="00D41A10" w:rsidTr="008C1770">
        <w:trPr>
          <w:cantSplit/>
          <w:jc w:val="center"/>
        </w:trPr>
        <w:tc>
          <w:tcPr>
            <w:tcW w:w="1250" w:type="pct"/>
            <w:shd w:val="clear" w:color="auto" w:fill="BAF8FF" w:themeFill="accent3" w:themeFillTint="33"/>
            <w:vAlign w:val="center"/>
          </w:tcPr>
          <w:p w:rsidR="00050054" w:rsidRPr="00D41A10"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D41A10">
              <w:rPr>
                <w:rFonts w:asciiTheme="minorHAnsi" w:hAnsiTheme="minorHAnsi" w:cstheme="minorHAnsi"/>
                <w:sz w:val="22"/>
                <w:lang w:val="en-CA"/>
              </w:rPr>
              <w:t>Total</w:t>
            </w:r>
          </w:p>
        </w:tc>
        <w:tc>
          <w:tcPr>
            <w:tcW w:w="1250" w:type="pct"/>
            <w:shd w:val="clear" w:color="auto" w:fill="BAF8FF" w:themeFill="accent3" w:themeFillTint="33"/>
            <w:vAlign w:val="center"/>
          </w:tcPr>
          <w:p w:rsidR="00050054" w:rsidRPr="00D41A10"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D41A10">
              <w:rPr>
                <w:rFonts w:asciiTheme="minorHAnsi" w:hAnsiTheme="minorHAnsi" w:cstheme="minorHAnsi"/>
                <w:sz w:val="22"/>
                <w:lang w:val="en-CA"/>
              </w:rPr>
              <w:t>3</w:t>
            </w:r>
          </w:p>
        </w:tc>
        <w:tc>
          <w:tcPr>
            <w:tcW w:w="1250" w:type="pct"/>
            <w:shd w:val="clear" w:color="auto" w:fill="BAF8FF" w:themeFill="accent3" w:themeFillTint="33"/>
            <w:vAlign w:val="center"/>
          </w:tcPr>
          <w:p w:rsidR="00050054" w:rsidRPr="00D41A10"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D41A10">
              <w:rPr>
                <w:rFonts w:asciiTheme="minorHAnsi" w:hAnsiTheme="minorHAnsi" w:cstheme="minorHAnsi"/>
                <w:sz w:val="22"/>
                <w:lang w:val="en-CA"/>
              </w:rPr>
              <w:t>3</w:t>
            </w:r>
          </w:p>
        </w:tc>
        <w:tc>
          <w:tcPr>
            <w:tcW w:w="1250" w:type="pct"/>
            <w:shd w:val="clear" w:color="auto" w:fill="BAF8FF" w:themeFill="accent3" w:themeFillTint="33"/>
            <w:vAlign w:val="center"/>
          </w:tcPr>
          <w:p w:rsidR="00050054" w:rsidRPr="00D41A10" w:rsidRDefault="00050054" w:rsidP="00073345">
            <w:pPr>
              <w:pStyle w:val="Level1"/>
              <w:tabs>
                <w:tab w:val="left" w:pos="-1440"/>
              </w:tabs>
              <w:autoSpaceDE w:val="0"/>
              <w:autoSpaceDN w:val="0"/>
              <w:adjustRightInd w:val="0"/>
              <w:spacing w:after="120" w:line="20" w:lineRule="atLeast"/>
              <w:jc w:val="center"/>
              <w:rPr>
                <w:rFonts w:asciiTheme="minorHAnsi" w:hAnsiTheme="minorHAnsi" w:cstheme="minorHAnsi"/>
                <w:sz w:val="22"/>
                <w:lang w:val="en-CA"/>
              </w:rPr>
            </w:pPr>
            <w:r w:rsidRPr="00D41A10">
              <w:rPr>
                <w:rFonts w:asciiTheme="minorHAnsi" w:hAnsiTheme="minorHAnsi" w:cstheme="minorHAnsi"/>
                <w:sz w:val="22"/>
                <w:lang w:val="en-CA"/>
              </w:rPr>
              <w:t>6</w:t>
            </w:r>
          </w:p>
        </w:tc>
      </w:tr>
    </w:tbl>
    <w:p w:rsidR="00050054" w:rsidRPr="00D5667B" w:rsidRDefault="00050054" w:rsidP="00050054">
      <w:pPr>
        <w:spacing w:before="120"/>
        <w:rPr>
          <w:rFonts w:asciiTheme="minorHAnsi" w:hAnsiTheme="minorHAnsi" w:cstheme="minorHAnsi"/>
          <w:sz w:val="22"/>
          <w:lang w:val="en-CA"/>
        </w:rPr>
      </w:pPr>
      <w:r w:rsidRPr="00D5667B">
        <w:rPr>
          <w:rFonts w:asciiTheme="minorHAnsi" w:hAnsiTheme="minorHAnsi" w:cstheme="minorHAnsi"/>
          <w:sz w:val="22"/>
          <w:szCs w:val="18"/>
          <w:lang w:val="en-CA"/>
        </w:rPr>
        <w:t>Source: PSC Priority Information Management System</w:t>
      </w:r>
    </w:p>
    <w:p w:rsidR="00D735BF" w:rsidRPr="00374A6E" w:rsidRDefault="00EB1E4E" w:rsidP="00DC3467">
      <w:pPr>
        <w:pStyle w:val="Heading1"/>
        <w:spacing w:after="120"/>
        <w:rPr>
          <w:lang w:val="en-CA"/>
        </w:rPr>
      </w:pPr>
      <w:r w:rsidRPr="00374A6E">
        <w:rPr>
          <w:lang w:val="en-CA"/>
        </w:rPr>
        <w:t>N</w:t>
      </w:r>
      <w:r w:rsidR="00D735BF" w:rsidRPr="00374A6E">
        <w:rPr>
          <w:lang w:val="en-CA"/>
        </w:rPr>
        <w:t>on-</w:t>
      </w:r>
      <w:r w:rsidRPr="00374A6E">
        <w:rPr>
          <w:lang w:val="en-CA"/>
        </w:rPr>
        <w:t>P</w:t>
      </w:r>
      <w:r w:rsidR="00D735BF" w:rsidRPr="00374A6E">
        <w:rPr>
          <w:lang w:val="en-CA"/>
        </w:rPr>
        <w:t xml:space="preserve">artisanship in </w:t>
      </w:r>
      <w:r w:rsidRPr="00374A6E">
        <w:rPr>
          <w:lang w:val="en-CA"/>
        </w:rPr>
        <w:t>the Public S</w:t>
      </w:r>
      <w:r w:rsidR="006768D7" w:rsidRPr="00374A6E">
        <w:rPr>
          <w:lang w:val="en-CA"/>
        </w:rPr>
        <w:t>ervice</w:t>
      </w:r>
    </w:p>
    <w:p w:rsidR="00D735BF" w:rsidRPr="00374A6E" w:rsidRDefault="00D735BF" w:rsidP="00D735BF">
      <w:pPr>
        <w:spacing w:after="120"/>
        <w:contextualSpacing/>
        <w:rPr>
          <w:rFonts w:asciiTheme="minorHAnsi" w:eastAsia="Calibri" w:hAnsiTheme="minorHAnsi" w:cstheme="minorHAnsi"/>
          <w:sz w:val="22"/>
          <w:szCs w:val="22"/>
          <w:lang w:val="en-CA" w:eastAsia="en-CA"/>
        </w:rPr>
      </w:pPr>
      <w:r w:rsidRPr="00374A6E">
        <w:rPr>
          <w:rFonts w:asciiTheme="minorHAnsi" w:eastAsia="Calibri" w:hAnsiTheme="minorHAnsi" w:cstheme="minorHAnsi"/>
          <w:sz w:val="22"/>
          <w:szCs w:val="22"/>
          <w:lang w:val="en-CA" w:eastAsia="en-CA"/>
        </w:rPr>
        <w:t>Since April 1, 2015, the PSC has received 14 candidacy requests from employees:</w:t>
      </w:r>
    </w:p>
    <w:p w:rsidR="00D735BF" w:rsidRPr="00374A6E" w:rsidRDefault="00D735BF" w:rsidP="00DF3F59">
      <w:pPr>
        <w:pStyle w:val="ListParagraph"/>
        <w:numPr>
          <w:ilvl w:val="0"/>
          <w:numId w:val="10"/>
        </w:numPr>
        <w:spacing w:after="160" w:line="259" w:lineRule="auto"/>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7 requests for permission for federal elections (3 for the 2015 election and 4 for the 2019 election);</w:t>
      </w:r>
    </w:p>
    <w:p w:rsidR="00D735BF" w:rsidRPr="00374A6E" w:rsidRDefault="00D735BF" w:rsidP="00DF3F59">
      <w:pPr>
        <w:pStyle w:val="ListParagraph"/>
        <w:numPr>
          <w:ilvl w:val="0"/>
          <w:numId w:val="10"/>
        </w:numPr>
        <w:spacing w:after="160" w:line="259" w:lineRule="auto"/>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7 requests for permission for municipal elections. 3 employees were elected (1 in 2016; 2 in 2017); and</w:t>
      </w:r>
    </w:p>
    <w:p w:rsidR="00D735BF" w:rsidRPr="00374A6E" w:rsidRDefault="00D735BF" w:rsidP="00DF3F59">
      <w:pPr>
        <w:pStyle w:val="ListParagraph"/>
        <w:numPr>
          <w:ilvl w:val="0"/>
          <w:numId w:val="10"/>
        </w:numPr>
        <w:spacing w:after="0" w:line="259" w:lineRule="auto"/>
        <w:rPr>
          <w:rFonts w:asciiTheme="minorHAnsi" w:hAnsiTheme="minorHAnsi" w:cstheme="minorHAnsi"/>
          <w:sz w:val="22"/>
          <w:szCs w:val="22"/>
          <w:lang w:val="en-CA" w:eastAsia="en-CA"/>
        </w:rPr>
      </w:pPr>
      <w:proofErr w:type="gramStart"/>
      <w:r w:rsidRPr="00374A6E">
        <w:rPr>
          <w:rFonts w:asciiTheme="minorHAnsi" w:hAnsiTheme="minorHAnsi" w:cstheme="minorHAnsi"/>
          <w:sz w:val="22"/>
          <w:szCs w:val="22"/>
          <w:lang w:val="en-CA" w:eastAsia="en-CA"/>
        </w:rPr>
        <w:t>to</w:t>
      </w:r>
      <w:proofErr w:type="gramEnd"/>
      <w:r w:rsidRPr="00374A6E">
        <w:rPr>
          <w:rFonts w:asciiTheme="minorHAnsi" w:hAnsiTheme="minorHAnsi" w:cstheme="minorHAnsi"/>
          <w:sz w:val="22"/>
          <w:szCs w:val="22"/>
          <w:lang w:val="en-CA" w:eastAsia="en-CA"/>
        </w:rPr>
        <w:t xml:space="preserve"> be noted that no candidacy requests were received for provincial/territorial elections.</w:t>
      </w:r>
    </w:p>
    <w:p w:rsidR="00D735BF" w:rsidRPr="00374A6E" w:rsidRDefault="00D735BF" w:rsidP="001B496F">
      <w:pPr>
        <w:spacing w:before="240"/>
        <w:rPr>
          <w:rFonts w:asciiTheme="minorHAnsi" w:hAnsiTheme="minorHAnsi" w:cstheme="minorHAnsi"/>
          <w:sz w:val="22"/>
          <w:szCs w:val="22"/>
          <w:lang w:val="en-CA" w:eastAsia="en-CA"/>
        </w:rPr>
      </w:pPr>
      <w:r w:rsidRPr="00374A6E">
        <w:rPr>
          <w:rFonts w:asciiTheme="minorHAnsi" w:eastAsia="Calibri" w:hAnsiTheme="minorHAnsi" w:cstheme="minorHAnsi"/>
          <w:sz w:val="22"/>
          <w:szCs w:val="22"/>
          <w:lang w:val="en-CA" w:eastAsia="en-CA"/>
        </w:rPr>
        <w:t>The PSC's 2018 SNPS results indicate that most ECCC employees (80.3%) understand their rights and obligations for engaging in political activities, as compared to 79.4% in similar size organizations and 80.1% across all organizations in the federal public service.</w:t>
      </w:r>
    </w:p>
    <w:p w:rsidR="00D735BF" w:rsidRPr="00374A6E" w:rsidRDefault="00EB1E4E" w:rsidP="00DC3467">
      <w:pPr>
        <w:pStyle w:val="Heading1"/>
        <w:spacing w:after="120"/>
        <w:rPr>
          <w:lang w:val="en-CA"/>
        </w:rPr>
      </w:pPr>
      <w:r w:rsidRPr="00374A6E">
        <w:rPr>
          <w:lang w:val="en-CA"/>
        </w:rPr>
        <w:t>P</w:t>
      </w:r>
      <w:r w:rsidR="00D735BF" w:rsidRPr="00374A6E">
        <w:rPr>
          <w:lang w:val="en-CA"/>
        </w:rPr>
        <w:t xml:space="preserve">ublic </w:t>
      </w:r>
      <w:r w:rsidRPr="00374A6E">
        <w:rPr>
          <w:lang w:val="en-CA"/>
        </w:rPr>
        <w:t>S</w:t>
      </w:r>
      <w:r w:rsidR="00D735BF" w:rsidRPr="00374A6E">
        <w:rPr>
          <w:lang w:val="en-CA"/>
        </w:rPr>
        <w:t xml:space="preserve">ervice </w:t>
      </w:r>
      <w:r w:rsidRPr="00374A6E">
        <w:rPr>
          <w:lang w:val="en-CA"/>
        </w:rPr>
        <w:t>C</w:t>
      </w:r>
      <w:r w:rsidR="00D735BF" w:rsidRPr="00374A6E">
        <w:rPr>
          <w:lang w:val="en-CA"/>
        </w:rPr>
        <w:t>ommission</w:t>
      </w:r>
      <w:r w:rsidRPr="00374A6E">
        <w:rPr>
          <w:lang w:val="en-CA"/>
        </w:rPr>
        <w:t xml:space="preserve"> I</w:t>
      </w:r>
      <w:r w:rsidR="00D735BF" w:rsidRPr="00374A6E">
        <w:rPr>
          <w:lang w:val="en-CA"/>
        </w:rPr>
        <w:t>nitiatives</w:t>
      </w:r>
    </w:p>
    <w:p w:rsidR="00D735BF" w:rsidRPr="00374A6E" w:rsidRDefault="00D735BF" w:rsidP="00D735BF">
      <w:pPr>
        <w:rPr>
          <w:rFonts w:asciiTheme="minorHAnsi" w:hAnsiTheme="minorHAnsi" w:cstheme="minorHAnsi"/>
          <w:sz w:val="22"/>
          <w:szCs w:val="22"/>
          <w:lang w:val="en-CA"/>
        </w:rPr>
      </w:pPr>
      <w:r w:rsidRPr="00374A6E">
        <w:rPr>
          <w:rFonts w:asciiTheme="minorHAnsi" w:hAnsiTheme="minorHAnsi" w:cstheme="minorHAnsi"/>
          <w:sz w:val="22"/>
          <w:szCs w:val="22"/>
          <w:lang w:val="en-CA"/>
        </w:rPr>
        <w:t xml:space="preserve">ECCC participated in the PSC Anonymized Recruitment initiative.  The PSC is in the midst of reviewing the Public Service Employment Regulations.  ECCC is a key stakeholder as they are one of the </w:t>
      </w:r>
      <w:r w:rsidRPr="00374A6E">
        <w:rPr>
          <w:rFonts w:asciiTheme="minorHAnsi" w:hAnsiTheme="minorHAnsi" w:cstheme="minorHAnsi"/>
          <w:sz w:val="22"/>
          <w:szCs w:val="22"/>
          <w:lang w:val="en-CA"/>
        </w:rPr>
        <w:lastRenderedPageBreak/>
        <w:t>departments that staff positions using Incumbent-Based processes. Consultations with organizations on these proposed changes will be conducted in January 2020.</w:t>
      </w:r>
    </w:p>
    <w:p w:rsidR="00D735BF" w:rsidRPr="00374A6E" w:rsidRDefault="00EB1E4E" w:rsidP="00DC3467">
      <w:pPr>
        <w:pStyle w:val="Heading1"/>
        <w:spacing w:after="120"/>
        <w:rPr>
          <w:lang w:val="en-CA"/>
        </w:rPr>
      </w:pPr>
      <w:r w:rsidRPr="00374A6E">
        <w:rPr>
          <w:lang w:val="en-CA"/>
        </w:rPr>
        <w:t>Recruitment P</w:t>
      </w:r>
      <w:r w:rsidR="00D735BF" w:rsidRPr="00374A6E">
        <w:rPr>
          <w:lang w:val="en-CA"/>
        </w:rPr>
        <w:t>rograms</w:t>
      </w:r>
    </w:p>
    <w:p w:rsidR="00D735BF" w:rsidRPr="00374A6E" w:rsidRDefault="00D735BF" w:rsidP="00D735BF">
      <w:pPr>
        <w:pStyle w:val="NoSpacing"/>
        <w:rPr>
          <w:rFonts w:asciiTheme="minorHAnsi" w:hAnsiTheme="minorHAnsi" w:cstheme="minorHAnsi"/>
          <w:color w:val="000000"/>
          <w:sz w:val="22"/>
          <w:szCs w:val="22"/>
          <w:lang w:val="en-CA"/>
        </w:rPr>
      </w:pPr>
      <w:r w:rsidRPr="00374A6E">
        <w:rPr>
          <w:rFonts w:asciiTheme="minorHAnsi" w:hAnsiTheme="minorHAnsi" w:cstheme="minorHAnsi"/>
          <w:color w:val="000000"/>
          <w:sz w:val="22"/>
          <w:szCs w:val="22"/>
          <w:lang w:val="en-CA"/>
        </w:rPr>
        <w:t>ECCC participated in different employment opportunities for students:</w:t>
      </w:r>
    </w:p>
    <w:p w:rsidR="00D735BF" w:rsidRPr="00D5667B" w:rsidRDefault="00D735BF" w:rsidP="00D5667B">
      <w:pPr>
        <w:pStyle w:val="ListParagraph"/>
        <w:widowControl w:val="0"/>
        <w:numPr>
          <w:ilvl w:val="0"/>
          <w:numId w:val="29"/>
        </w:numPr>
        <w:tabs>
          <w:tab w:val="left" w:pos="-1099"/>
          <w:tab w:val="left" w:pos="-720"/>
          <w:tab w:val="left" w:pos="0"/>
          <w:tab w:val="left" w:pos="14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60" w:line="259" w:lineRule="auto"/>
        <w:rPr>
          <w:rFonts w:asciiTheme="minorHAnsi" w:hAnsiTheme="minorHAnsi" w:cstheme="minorHAnsi"/>
          <w:sz w:val="22"/>
          <w:szCs w:val="22"/>
          <w:lang w:val="en-CA"/>
        </w:rPr>
      </w:pPr>
      <w:r w:rsidRPr="00D5667B">
        <w:rPr>
          <w:rFonts w:asciiTheme="minorHAnsi" w:hAnsiTheme="minorHAnsi" w:cstheme="minorHAnsi"/>
          <w:sz w:val="22"/>
          <w:szCs w:val="22"/>
          <w:lang w:val="en-CA"/>
        </w:rPr>
        <w:t>in 2019, ECCC hired 2 students of the employment opportunity for students with disabilities and 3 students of the Indigenous student employment opportunity;</w:t>
      </w:r>
    </w:p>
    <w:p w:rsidR="00D735BF" w:rsidRPr="00D5667B" w:rsidRDefault="00D735BF" w:rsidP="00D5667B">
      <w:pPr>
        <w:pStyle w:val="ListParagraph"/>
        <w:widowControl w:val="0"/>
        <w:numPr>
          <w:ilvl w:val="0"/>
          <w:numId w:val="29"/>
        </w:numPr>
        <w:tabs>
          <w:tab w:val="left" w:pos="-1099"/>
          <w:tab w:val="left" w:pos="-720"/>
          <w:tab w:val="left" w:pos="0"/>
          <w:tab w:val="left" w:pos="14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inorHAnsi" w:hAnsiTheme="minorHAnsi" w:cstheme="minorHAnsi"/>
          <w:sz w:val="22"/>
          <w:szCs w:val="22"/>
          <w:lang w:val="en-CA"/>
        </w:rPr>
      </w:pPr>
      <w:r w:rsidRPr="00D5667B">
        <w:rPr>
          <w:rFonts w:asciiTheme="minorHAnsi" w:hAnsiTheme="minorHAnsi" w:cstheme="minorHAnsi"/>
          <w:sz w:val="22"/>
          <w:szCs w:val="22"/>
          <w:lang w:val="en-CA"/>
        </w:rPr>
        <w:t>ECCC is one of our top five users of the inventories that were created from the PSR 2018-2019. Most of their requests (a total of 46) are from the sciences, nursing and engineering inventories and the administrative services inventory; and</w:t>
      </w:r>
    </w:p>
    <w:p w:rsidR="00D735BF" w:rsidRPr="00D5667B" w:rsidRDefault="00D735BF" w:rsidP="00D5667B">
      <w:pPr>
        <w:pStyle w:val="ListParagraph"/>
        <w:widowControl w:val="0"/>
        <w:numPr>
          <w:ilvl w:val="0"/>
          <w:numId w:val="29"/>
        </w:numPr>
        <w:tabs>
          <w:tab w:val="left" w:pos="-1099"/>
          <w:tab w:val="left" w:pos="-720"/>
          <w:tab w:val="left" w:pos="0"/>
          <w:tab w:val="left" w:pos="14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inorHAnsi" w:hAnsiTheme="minorHAnsi" w:cstheme="minorHAnsi"/>
          <w:sz w:val="22"/>
          <w:szCs w:val="22"/>
          <w:lang w:val="en-CA"/>
        </w:rPr>
      </w:pPr>
      <w:proofErr w:type="gramStart"/>
      <w:r w:rsidRPr="00D5667B">
        <w:rPr>
          <w:rFonts w:asciiTheme="minorHAnsi" w:hAnsiTheme="minorHAnsi" w:cstheme="minorHAnsi"/>
          <w:sz w:val="22"/>
          <w:szCs w:val="22"/>
          <w:lang w:val="en-CA"/>
        </w:rPr>
        <w:t>since</w:t>
      </w:r>
      <w:proofErr w:type="gramEnd"/>
      <w:r w:rsidRPr="00D5667B">
        <w:rPr>
          <w:rFonts w:asciiTheme="minorHAnsi" w:hAnsiTheme="minorHAnsi" w:cstheme="minorHAnsi"/>
          <w:sz w:val="22"/>
          <w:szCs w:val="22"/>
          <w:lang w:val="en-CA"/>
        </w:rPr>
        <w:t xml:space="preserve"> 2017, ECCC hired 2 candidates from the Recruitment Policy Leader.</w:t>
      </w:r>
    </w:p>
    <w:p w:rsidR="00D735BF" w:rsidRPr="00374A6E" w:rsidRDefault="00EB1E4E" w:rsidP="00DC3467">
      <w:pPr>
        <w:pStyle w:val="Heading1"/>
        <w:spacing w:after="120"/>
        <w:rPr>
          <w:lang w:val="en-CA"/>
        </w:rPr>
      </w:pPr>
      <w:r w:rsidRPr="00374A6E">
        <w:rPr>
          <w:lang w:val="en-CA"/>
        </w:rPr>
        <w:t>Staffing S</w:t>
      </w:r>
      <w:r w:rsidR="00D735BF" w:rsidRPr="00374A6E">
        <w:rPr>
          <w:lang w:val="en-CA"/>
        </w:rPr>
        <w:t>upport</w:t>
      </w:r>
    </w:p>
    <w:p w:rsidR="00D735BF" w:rsidRPr="00374A6E" w:rsidRDefault="004E6324" w:rsidP="00E10DF7">
      <w:pPr>
        <w:pStyle w:val="Heading2"/>
        <w:spacing w:after="120"/>
        <w:rPr>
          <w:u w:val="single"/>
          <w:lang w:val="en-CA"/>
        </w:rPr>
      </w:pPr>
      <w:r>
        <w:rPr>
          <w:lang w:val="en-CA"/>
        </w:rPr>
        <w:t xml:space="preserve">Public Service </w:t>
      </w:r>
      <w:r w:rsidR="00D735BF" w:rsidRPr="00374A6E">
        <w:rPr>
          <w:lang w:val="en-CA"/>
        </w:rPr>
        <w:t xml:space="preserve">Commission Representatives and Organizational Contacts </w:t>
      </w:r>
    </w:p>
    <w:p w:rsidR="00D735BF" w:rsidRPr="00374A6E" w:rsidRDefault="00D735BF" w:rsidP="001B496F">
      <w:pPr>
        <w:spacing w:after="240"/>
        <w:rPr>
          <w:rFonts w:asciiTheme="minorHAnsi" w:hAnsiTheme="minorHAnsi" w:cstheme="minorHAnsi"/>
          <w:sz w:val="22"/>
          <w:szCs w:val="22"/>
          <w:lang w:val="en-CA" w:eastAsia="en-CA"/>
        </w:rPr>
      </w:pPr>
      <w:r w:rsidRPr="00374A6E">
        <w:rPr>
          <w:rFonts w:asciiTheme="minorHAnsi" w:hAnsiTheme="minorHAnsi" w:cstheme="minorHAnsi"/>
          <w:sz w:val="22"/>
          <w:szCs w:val="22"/>
          <w:lang w:val="en-CA" w:eastAsia="en-CA"/>
        </w:rPr>
        <w:t>The SSA assigned to this organizat</w:t>
      </w:r>
      <w:r w:rsidR="001B496F" w:rsidRPr="00374A6E">
        <w:rPr>
          <w:rFonts w:asciiTheme="minorHAnsi" w:hAnsiTheme="minorHAnsi" w:cstheme="minorHAnsi"/>
          <w:sz w:val="22"/>
          <w:szCs w:val="22"/>
          <w:lang w:val="en-CA" w:eastAsia="en-CA"/>
        </w:rPr>
        <w:t>ion is Caroline Fortin-Beaudry.</w:t>
      </w:r>
    </w:p>
    <w:p w:rsidR="00D735BF" w:rsidRPr="00374A6E" w:rsidRDefault="00D735BF" w:rsidP="001B496F">
      <w:pPr>
        <w:spacing w:after="240"/>
        <w:rPr>
          <w:rFonts w:asciiTheme="minorHAnsi" w:eastAsiaTheme="minorHAnsi" w:hAnsiTheme="minorHAnsi" w:cstheme="minorHAnsi"/>
          <w:sz w:val="22"/>
          <w:szCs w:val="22"/>
          <w:lang w:val="en-CA"/>
        </w:rPr>
      </w:pPr>
      <w:r w:rsidRPr="00374A6E">
        <w:rPr>
          <w:rFonts w:asciiTheme="minorHAnsi" w:hAnsiTheme="minorHAnsi" w:cstheme="minorHAnsi"/>
          <w:sz w:val="22"/>
          <w:szCs w:val="22"/>
          <w:lang w:val="en-CA" w:eastAsia="en-CA"/>
        </w:rPr>
        <w:t xml:space="preserve">The primary organizational contact is Annie </w:t>
      </w:r>
      <w:proofErr w:type="spellStart"/>
      <w:r w:rsidRPr="00374A6E">
        <w:rPr>
          <w:rFonts w:asciiTheme="minorHAnsi" w:hAnsiTheme="minorHAnsi" w:cstheme="minorHAnsi"/>
          <w:sz w:val="22"/>
          <w:szCs w:val="22"/>
          <w:lang w:val="en-CA" w:eastAsia="en-CA"/>
        </w:rPr>
        <w:t>Létourneau</w:t>
      </w:r>
      <w:proofErr w:type="spellEnd"/>
      <w:r w:rsidRPr="00374A6E">
        <w:rPr>
          <w:rFonts w:asciiTheme="minorHAnsi" w:hAnsiTheme="minorHAnsi" w:cstheme="minorHAnsi"/>
          <w:sz w:val="22"/>
          <w:szCs w:val="22"/>
          <w:lang w:val="en-CA" w:eastAsia="en-CA"/>
        </w:rPr>
        <w:t xml:space="preserve">, Manager, Corporate Staffing and Official Languages Solutions. Annie is also </w:t>
      </w:r>
      <w:r w:rsidRPr="00374A6E">
        <w:rPr>
          <w:rFonts w:asciiTheme="minorHAnsi" w:eastAsiaTheme="minorHAnsi" w:hAnsiTheme="minorHAnsi" w:cstheme="minorHAnsi"/>
          <w:sz w:val="22"/>
          <w:szCs w:val="22"/>
          <w:lang w:val="en-CA"/>
        </w:rPr>
        <w:t>the co-chair for</w:t>
      </w:r>
      <w:r w:rsidR="001B496F" w:rsidRPr="00374A6E">
        <w:rPr>
          <w:rFonts w:asciiTheme="minorHAnsi" w:eastAsiaTheme="minorHAnsi" w:hAnsiTheme="minorHAnsi" w:cstheme="minorHAnsi"/>
          <w:sz w:val="22"/>
          <w:szCs w:val="22"/>
          <w:lang w:val="en-CA"/>
        </w:rPr>
        <w:t xml:space="preserve"> the National Staffing Council.</w:t>
      </w:r>
    </w:p>
    <w:p w:rsidR="00375E0C" w:rsidRPr="00D5667B" w:rsidRDefault="00D735BF" w:rsidP="00D5667B">
      <w:pPr>
        <w:spacing w:after="160"/>
        <w:rPr>
          <w:rStyle w:val="Strong"/>
          <w:rFonts w:eastAsiaTheme="minorHAnsi"/>
        </w:rPr>
      </w:pPr>
      <w:r w:rsidRPr="00374A6E">
        <w:rPr>
          <w:rFonts w:asciiTheme="minorHAnsi" w:eastAsiaTheme="minorHAnsi" w:hAnsiTheme="minorHAnsi" w:cstheme="minorHAnsi"/>
          <w:sz w:val="22"/>
          <w:szCs w:val="22"/>
          <w:lang w:val="en-CA"/>
        </w:rPr>
        <w:t>T</w:t>
      </w:r>
      <w:r w:rsidRPr="00374A6E">
        <w:rPr>
          <w:rFonts w:asciiTheme="minorHAnsi" w:hAnsiTheme="minorHAnsi" w:cstheme="minorHAnsi"/>
          <w:sz w:val="22"/>
          <w:szCs w:val="22"/>
          <w:lang w:val="en-CA"/>
        </w:rPr>
        <w:t xml:space="preserve">he Head of HR for this organization is Sylvain Paradis, Chief Human Resources Management Officer. Mr. Paradis was a Michelle C. </w:t>
      </w:r>
      <w:proofErr w:type="spellStart"/>
      <w:r w:rsidRPr="00374A6E">
        <w:rPr>
          <w:rFonts w:asciiTheme="minorHAnsi" w:hAnsiTheme="minorHAnsi" w:cstheme="minorHAnsi"/>
          <w:sz w:val="22"/>
          <w:szCs w:val="22"/>
          <w:lang w:val="en-CA"/>
        </w:rPr>
        <w:t>Comeau</w:t>
      </w:r>
      <w:proofErr w:type="spellEnd"/>
      <w:r w:rsidRPr="00374A6E">
        <w:rPr>
          <w:rFonts w:asciiTheme="minorHAnsi" w:hAnsiTheme="minorHAnsi" w:cstheme="minorHAnsi"/>
          <w:sz w:val="22"/>
          <w:szCs w:val="22"/>
          <w:lang w:val="en-CA"/>
        </w:rPr>
        <w:t xml:space="preserve"> Award nominee last year.</w:t>
      </w:r>
      <w:r w:rsidR="00EB1E4E" w:rsidRPr="00374A6E">
        <w:rPr>
          <w:rFonts w:ascii="Arial" w:hAnsi="Arial" w:cs="Arial"/>
          <w:sz w:val="22"/>
          <w:szCs w:val="22"/>
          <w:lang w:val="en-CA"/>
        </w:rPr>
        <w:br w:type="page"/>
      </w:r>
      <w:r w:rsidR="00375E0C" w:rsidRPr="0098592F">
        <w:rPr>
          <w:rStyle w:val="Strong"/>
          <w:rFonts w:eastAsiaTheme="minorHAnsi" w:cstheme="minorHAnsi"/>
        </w:rPr>
        <w:lastRenderedPageBreak/>
        <w:t>PREPARED BY:</w:t>
      </w:r>
    </w:p>
    <w:p w:rsidR="00375E0C" w:rsidRPr="00374A6E" w:rsidRDefault="00375E0C" w:rsidP="00375E0C">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 xml:space="preserve">Caroline Fortin-Beaudry, </w:t>
      </w:r>
    </w:p>
    <w:p w:rsidR="00375E0C" w:rsidRPr="00374A6E" w:rsidRDefault="00375E0C" w:rsidP="00F05B74">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0" w:line="259" w:lineRule="auto"/>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Staffing Support Advisor</w:t>
      </w:r>
    </w:p>
    <w:p w:rsidR="00D735BF" w:rsidRPr="00374A6E" w:rsidRDefault="00D735BF" w:rsidP="00F05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heme="minorHAnsi" w:hAnsiTheme="minorHAnsi" w:cstheme="minorHAnsi"/>
          <w:sz w:val="22"/>
          <w:szCs w:val="22"/>
          <w:lang w:val="en-CA"/>
        </w:rPr>
      </w:pPr>
      <w:r w:rsidRPr="00374A6E">
        <w:rPr>
          <w:rFonts w:asciiTheme="minorHAnsi" w:hAnsiTheme="minorHAnsi" w:cstheme="minorHAnsi"/>
          <w:sz w:val="22"/>
          <w:szCs w:val="22"/>
          <w:lang w:val="en-CA"/>
        </w:rPr>
        <w:t>Annexes:</w:t>
      </w:r>
    </w:p>
    <w:p w:rsidR="00D735BF" w:rsidRPr="00374A6E" w:rsidRDefault="00DB6231" w:rsidP="00534EF7">
      <w:pPr>
        <w:numPr>
          <w:ilvl w:val="0"/>
          <w:numId w:val="1"/>
        </w:numPr>
        <w:ind w:left="723"/>
        <w:rPr>
          <w:rFonts w:asciiTheme="minorHAnsi" w:hAnsiTheme="minorHAnsi" w:cstheme="minorHAnsi"/>
          <w:bCs/>
          <w:sz w:val="22"/>
          <w:szCs w:val="22"/>
          <w:lang w:val="en-CA"/>
        </w:rPr>
      </w:pPr>
      <w:hyperlink w:anchor="AnnexC" w:history="1">
        <w:r w:rsidR="0082019E">
          <w:rPr>
            <w:rStyle w:val="Hyperlink"/>
            <w:rFonts w:asciiTheme="minorHAnsi" w:hAnsiTheme="minorHAnsi" w:cstheme="minorHAnsi"/>
            <w:sz w:val="22"/>
            <w:szCs w:val="22"/>
            <w:lang w:val="en-CA"/>
          </w:rPr>
          <w:t>Annex A</w:t>
        </w:r>
        <w:r w:rsidR="0065108E">
          <w:rPr>
            <w:rStyle w:val="Hyperlink"/>
            <w:rFonts w:asciiTheme="minorHAnsi" w:hAnsiTheme="minorHAnsi" w:cstheme="minorHAnsi"/>
            <w:sz w:val="22"/>
            <w:szCs w:val="22"/>
            <w:lang w:val="en-CA"/>
          </w:rPr>
          <w:t xml:space="preserve"> – A New Direction in Staffing (NDS)</w:t>
        </w:r>
        <w:r w:rsidR="00D735BF" w:rsidRPr="00374A6E">
          <w:rPr>
            <w:rStyle w:val="Hyperlink"/>
            <w:rFonts w:asciiTheme="minorHAnsi" w:hAnsiTheme="minorHAnsi" w:cstheme="minorHAnsi"/>
            <w:sz w:val="22"/>
            <w:szCs w:val="22"/>
            <w:lang w:val="en-CA"/>
          </w:rPr>
          <w:t xml:space="preserve"> highlights for </w:t>
        </w:r>
        <w:r w:rsidR="0065108E">
          <w:rPr>
            <w:rStyle w:val="Hyperlink"/>
            <w:rFonts w:asciiTheme="minorHAnsi" w:hAnsiTheme="minorHAnsi" w:cstheme="minorHAnsi"/>
            <w:sz w:val="22"/>
            <w:szCs w:val="22"/>
            <w:lang w:val="en-CA"/>
          </w:rPr>
          <w:t>DHs</w:t>
        </w:r>
      </w:hyperlink>
    </w:p>
    <w:p w:rsidR="00D735BF" w:rsidRPr="00374A6E" w:rsidRDefault="00DB6231" w:rsidP="00534EF7">
      <w:pPr>
        <w:numPr>
          <w:ilvl w:val="0"/>
          <w:numId w:val="1"/>
        </w:numPr>
        <w:ind w:left="723"/>
        <w:rPr>
          <w:rFonts w:asciiTheme="minorHAnsi" w:hAnsiTheme="minorHAnsi" w:cstheme="minorHAnsi"/>
          <w:bCs/>
          <w:strike/>
          <w:sz w:val="22"/>
          <w:szCs w:val="22"/>
          <w:lang w:val="en-CA"/>
        </w:rPr>
      </w:pPr>
      <w:hyperlink w:anchor="AnnexD" w:history="1">
        <w:r w:rsidR="0082019E">
          <w:rPr>
            <w:rStyle w:val="Hyperlink"/>
            <w:rFonts w:asciiTheme="minorHAnsi" w:hAnsiTheme="minorHAnsi" w:cstheme="minorHAnsi"/>
            <w:sz w:val="22"/>
            <w:szCs w:val="22"/>
            <w:lang w:val="en-CA"/>
          </w:rPr>
          <w:t>Annex B</w:t>
        </w:r>
        <w:r w:rsidR="00D735BF" w:rsidRPr="00374A6E">
          <w:rPr>
            <w:rStyle w:val="Hyperlink"/>
            <w:rFonts w:asciiTheme="minorHAnsi" w:hAnsiTheme="minorHAnsi" w:cstheme="minorHAnsi"/>
            <w:sz w:val="22"/>
            <w:szCs w:val="22"/>
            <w:lang w:val="en-CA"/>
          </w:rPr>
          <w:t xml:space="preserve"> - Data on Population and Staffing Activities</w:t>
        </w:r>
      </w:hyperlink>
    </w:p>
    <w:p w:rsidR="00D735BF" w:rsidRPr="007B5B5F" w:rsidRDefault="00D735BF" w:rsidP="007B5B5F">
      <w:pPr>
        <w:pStyle w:val="Heading3"/>
        <w:rPr>
          <w:rFonts w:asciiTheme="minorHAnsi" w:hAnsiTheme="minorHAnsi" w:cstheme="minorHAnsi"/>
          <w:sz w:val="22"/>
          <w:szCs w:val="22"/>
          <w:lang w:val="en-CA"/>
        </w:rPr>
      </w:pPr>
      <w:bookmarkStart w:id="0" w:name="_Annex_A"/>
      <w:bookmarkEnd w:id="0"/>
      <w:r w:rsidRPr="00374A6E">
        <w:rPr>
          <w:lang w:val="en-CA"/>
        </w:rPr>
        <w:br w:type="page"/>
      </w:r>
    </w:p>
    <w:p w:rsidR="00D735BF" w:rsidRPr="00374A6E" w:rsidRDefault="00D735BF" w:rsidP="00195EC2">
      <w:pPr>
        <w:pStyle w:val="Heading3"/>
        <w:jc w:val="right"/>
        <w:rPr>
          <w:lang w:val="en-CA"/>
        </w:rPr>
      </w:pPr>
      <w:bookmarkStart w:id="1" w:name="AnnexA"/>
      <w:r w:rsidRPr="00374A6E">
        <w:rPr>
          <w:lang w:val="en-CA"/>
        </w:rPr>
        <w:lastRenderedPageBreak/>
        <w:t xml:space="preserve">Annex </w:t>
      </w:r>
      <w:r w:rsidR="007B5B5F">
        <w:rPr>
          <w:lang w:val="en-CA"/>
        </w:rPr>
        <w:t>A</w:t>
      </w:r>
    </w:p>
    <w:bookmarkEnd w:id="1"/>
    <w:p w:rsidR="00DF3F59" w:rsidRPr="00374A6E" w:rsidRDefault="00DF3F59" w:rsidP="00E349CC">
      <w:pPr>
        <w:keepNext/>
        <w:keepLines/>
        <w:spacing w:before="40" w:after="120" w:line="259" w:lineRule="auto"/>
        <w:jc w:val="center"/>
        <w:outlineLvl w:val="1"/>
        <w:rPr>
          <w:rFonts w:ascii="Segoe UI" w:eastAsiaTheme="majorEastAsia" w:hAnsi="Segoe UI" w:cs="Segoe UI"/>
          <w:b/>
          <w:color w:val="5B315E" w:themeColor="accent2"/>
          <w:sz w:val="32"/>
          <w:szCs w:val="32"/>
          <w:lang w:val="en-CA"/>
        </w:rPr>
      </w:pPr>
      <w:r w:rsidRPr="00374A6E">
        <w:rPr>
          <w:rFonts w:ascii="Segoe UI" w:eastAsiaTheme="majorEastAsia" w:hAnsi="Segoe UI" w:cs="Segoe UI"/>
          <w:b/>
          <w:color w:val="5B315E" w:themeColor="accent2"/>
          <w:sz w:val="32"/>
          <w:szCs w:val="32"/>
          <w:lang w:val="en-CA"/>
        </w:rPr>
        <w:t>A New direction in Staffing – A merit-based system that is effective, efficient and fair</w:t>
      </w:r>
    </w:p>
    <w:p w:rsidR="00DF3F59" w:rsidRPr="00374A6E" w:rsidRDefault="00DF3F59" w:rsidP="00C5686E">
      <w:pPr>
        <w:pStyle w:val="Heading3"/>
        <w:spacing w:after="120"/>
        <w:rPr>
          <w:lang w:val="en-CA"/>
        </w:rPr>
      </w:pPr>
      <w:r w:rsidRPr="00374A6E">
        <w:rPr>
          <w:lang w:val="en-CA"/>
        </w:rPr>
        <w:t>Appointment Policy</w:t>
      </w:r>
    </w:p>
    <w:p w:rsidR="00DF3F59" w:rsidRPr="00374A6E" w:rsidRDefault="00DF3F59" w:rsidP="00DF3F59">
      <w:pPr>
        <w:keepLines/>
        <w:tabs>
          <w:tab w:val="center" w:pos="4680"/>
          <w:tab w:val="right" w:pos="9360"/>
        </w:tabs>
        <w:rPr>
          <w:rFonts w:asciiTheme="minorHAnsi" w:eastAsiaTheme="minorHAnsi" w:hAnsiTheme="minorHAnsi" w:cstheme="minorHAnsi"/>
          <w:noProof/>
          <w:sz w:val="22"/>
          <w:szCs w:val="22"/>
          <w:lang w:val="en-CA" w:eastAsia="en-CA"/>
        </w:rPr>
      </w:pPr>
      <w:r w:rsidRPr="00374A6E">
        <w:rPr>
          <w:rStyle w:val="Strong"/>
          <w:rFonts w:eastAsiaTheme="minorHAnsi" w:cstheme="minorHAnsi"/>
          <w:szCs w:val="22"/>
          <w:lang w:val="en-CA"/>
        </w:rPr>
        <w:t>New focus on core requirements</w:t>
      </w:r>
      <w:r w:rsidRPr="00374A6E">
        <w:rPr>
          <w:rFonts w:asciiTheme="minorHAnsi" w:eastAsiaTheme="minorHAnsi" w:hAnsiTheme="minorHAnsi" w:cstheme="minorHAnsi"/>
          <w:noProof/>
          <w:sz w:val="22"/>
          <w:szCs w:val="22"/>
          <w:lang w:val="en-CA" w:eastAsia="en-CA"/>
        </w:rPr>
        <w:t xml:space="preserve"> to provide sub-delegated persons greater discretion in making an appointment</w:t>
      </w:r>
    </w:p>
    <w:p w:rsidR="00DF3F59" w:rsidRPr="00374A6E" w:rsidRDefault="00DF3F59" w:rsidP="00163B8C">
      <w:pPr>
        <w:keepLines/>
        <w:numPr>
          <w:ilvl w:val="0"/>
          <w:numId w:val="17"/>
        </w:numPr>
        <w:tabs>
          <w:tab w:val="center" w:pos="4680"/>
          <w:tab w:val="right" w:pos="9360"/>
        </w:tabs>
        <w:rPr>
          <w:rFonts w:asciiTheme="minorHAnsi" w:eastAsiaTheme="minorHAnsi" w:hAnsiTheme="minorHAnsi" w:cstheme="minorHAnsi"/>
          <w:sz w:val="22"/>
          <w:szCs w:val="22"/>
          <w:lang w:val="en-CA"/>
        </w:rPr>
      </w:pPr>
      <w:r w:rsidRPr="00374A6E">
        <w:rPr>
          <w:rStyle w:val="Strong"/>
          <w:rFonts w:eastAsiaTheme="minorHAnsi" w:cstheme="minorHAnsi"/>
          <w:szCs w:val="22"/>
          <w:lang w:val="en-CA"/>
        </w:rPr>
        <w:t>One Appointment Policy</w:t>
      </w:r>
      <w:r w:rsidRPr="00374A6E">
        <w:rPr>
          <w:rFonts w:asciiTheme="minorHAnsi" w:eastAsiaTheme="minorHAnsi" w:hAnsiTheme="minorHAnsi" w:cstheme="minorHAnsi"/>
          <w:sz w:val="22"/>
          <w:szCs w:val="22"/>
          <w:lang w:val="en-CA"/>
        </w:rPr>
        <w:t>, no duplication with legal requirements</w:t>
      </w:r>
    </w:p>
    <w:p w:rsidR="00DF3F59" w:rsidRPr="00374A6E" w:rsidRDefault="00DF3F59" w:rsidP="00163B8C">
      <w:pPr>
        <w:keepLines/>
        <w:numPr>
          <w:ilvl w:val="0"/>
          <w:numId w:val="17"/>
        </w:numPr>
        <w:tabs>
          <w:tab w:val="center" w:pos="4680"/>
          <w:tab w:val="right" w:pos="9360"/>
        </w:tabs>
        <w:rPr>
          <w:rFonts w:asciiTheme="minorHAnsi" w:eastAsiaTheme="minorHAnsi" w:hAnsiTheme="minorHAnsi" w:cstheme="minorHAnsi"/>
          <w:sz w:val="22"/>
          <w:szCs w:val="22"/>
          <w:lang w:val="en-CA"/>
        </w:rPr>
      </w:pPr>
      <w:r w:rsidRPr="00374A6E">
        <w:rPr>
          <w:rStyle w:val="Strong"/>
          <w:rFonts w:eastAsiaTheme="minorHAnsi" w:cstheme="minorHAnsi"/>
          <w:szCs w:val="22"/>
          <w:lang w:val="en-CA"/>
        </w:rPr>
        <w:t>Broader focus on values-based system</w:t>
      </w:r>
      <w:r w:rsidRPr="00374A6E">
        <w:rPr>
          <w:rFonts w:asciiTheme="minorHAnsi" w:eastAsiaTheme="minorHAnsi" w:hAnsiTheme="minorHAnsi" w:cstheme="minorBidi"/>
          <w:bCs/>
          <w:sz w:val="22"/>
          <w:szCs w:val="22"/>
          <w:lang w:val="en-CA"/>
        </w:rPr>
        <w:t>,</w:t>
      </w:r>
      <w:r w:rsidRPr="00374A6E">
        <w:rPr>
          <w:rFonts w:asciiTheme="minorHAnsi" w:eastAsiaTheme="minorHAnsi" w:hAnsiTheme="minorHAnsi" w:cstheme="minorHAnsi"/>
          <w:sz w:val="22"/>
          <w:szCs w:val="22"/>
          <w:lang w:val="en-CA"/>
        </w:rPr>
        <w:t xml:space="preserve"> away from rules-based system</w:t>
      </w:r>
    </w:p>
    <w:p w:rsidR="00DF3F59" w:rsidRPr="00374A6E" w:rsidRDefault="00DF3F59" w:rsidP="00163B8C">
      <w:pPr>
        <w:keepLines/>
        <w:numPr>
          <w:ilvl w:val="0"/>
          <w:numId w:val="17"/>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 xml:space="preserve">Appointments Policy supported by </w:t>
      </w:r>
      <w:r w:rsidRPr="00374A6E">
        <w:rPr>
          <w:rStyle w:val="Strong"/>
          <w:rFonts w:eastAsiaTheme="minorHAnsi" w:cstheme="minorHAnsi"/>
          <w:szCs w:val="22"/>
          <w:lang w:val="en-CA"/>
        </w:rPr>
        <w:t>streamlined guidance:</w:t>
      </w:r>
    </w:p>
    <w:p w:rsidR="00DF3F59" w:rsidRPr="00374A6E" w:rsidRDefault="00DF3F59" w:rsidP="00163B8C">
      <w:pPr>
        <w:keepLines/>
        <w:numPr>
          <w:ilvl w:val="1"/>
          <w:numId w:val="25"/>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A roadmap to the requirements in legislation, regulations and policy</w:t>
      </w:r>
    </w:p>
    <w:p w:rsidR="00DF3F59" w:rsidRPr="00374A6E" w:rsidRDefault="00DF3F59" w:rsidP="00163B8C">
      <w:pPr>
        <w:keepLines/>
        <w:numPr>
          <w:ilvl w:val="1"/>
          <w:numId w:val="25"/>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Options and considerations for decision-making where there is discretion</w:t>
      </w:r>
    </w:p>
    <w:p w:rsidR="00DF3F59" w:rsidRPr="00374A6E" w:rsidRDefault="00DF3F59" w:rsidP="00163B8C">
      <w:pPr>
        <w:keepLines/>
        <w:numPr>
          <w:ilvl w:val="0"/>
          <w:numId w:val="18"/>
        </w:numPr>
        <w:tabs>
          <w:tab w:val="center" w:pos="4680"/>
          <w:tab w:val="right" w:pos="9360"/>
        </w:tabs>
        <w:rPr>
          <w:rFonts w:asciiTheme="minorHAnsi" w:eastAsiaTheme="minorHAnsi" w:hAnsiTheme="minorHAnsi" w:cstheme="minorHAnsi"/>
          <w:sz w:val="22"/>
          <w:szCs w:val="22"/>
          <w:lang w:val="en-CA"/>
        </w:rPr>
      </w:pPr>
      <w:r w:rsidRPr="00374A6E">
        <w:rPr>
          <w:rStyle w:val="Strong"/>
          <w:rFonts w:eastAsiaTheme="minorHAnsi" w:cstheme="minorHAnsi"/>
          <w:szCs w:val="22"/>
          <w:lang w:val="en-CA"/>
        </w:rPr>
        <w:t>Clear expectations</w:t>
      </w:r>
      <w:r w:rsidRPr="00374A6E">
        <w:rPr>
          <w:rFonts w:asciiTheme="minorHAnsi" w:eastAsiaTheme="minorHAnsi" w:hAnsiTheme="minorHAnsi" w:cstheme="minorHAnsi"/>
          <w:sz w:val="22"/>
          <w:szCs w:val="22"/>
          <w:lang w:val="en-CA"/>
        </w:rPr>
        <w:t xml:space="preserve"> for priority entitlements</w:t>
      </w:r>
    </w:p>
    <w:p w:rsidR="00DF3F59" w:rsidRPr="00374A6E" w:rsidRDefault="00DF3F59" w:rsidP="00163B8C">
      <w:pPr>
        <w:keepLines/>
        <w:numPr>
          <w:ilvl w:val="0"/>
          <w:numId w:val="18"/>
        </w:numPr>
        <w:tabs>
          <w:tab w:val="center" w:pos="4680"/>
          <w:tab w:val="right" w:pos="9360"/>
        </w:tabs>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No restrictions to assessment methods for EX appointments</w:t>
      </w:r>
    </w:p>
    <w:p w:rsidR="00DF3F59" w:rsidRPr="00374A6E" w:rsidRDefault="00DF3F59" w:rsidP="00163B8C">
      <w:pPr>
        <w:keepLines/>
        <w:numPr>
          <w:ilvl w:val="0"/>
          <w:numId w:val="18"/>
        </w:numPr>
        <w:tabs>
          <w:tab w:val="center" w:pos="4680"/>
          <w:tab w:val="right" w:pos="9360"/>
        </w:tabs>
        <w:spacing w:after="240"/>
        <w:ind w:left="714" w:hanging="357"/>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Exceptions to National Area of Selection approved by deputy head</w:t>
      </w:r>
    </w:p>
    <w:p w:rsidR="00DF3F59" w:rsidRPr="00374A6E" w:rsidRDefault="00DF3F59" w:rsidP="00C5686E">
      <w:pPr>
        <w:pStyle w:val="Heading3"/>
        <w:spacing w:after="120"/>
        <w:rPr>
          <w:lang w:val="en-CA"/>
        </w:rPr>
      </w:pPr>
      <w:r w:rsidRPr="00374A6E">
        <w:rPr>
          <w:lang w:val="en-CA"/>
        </w:rPr>
        <w:t>Delegation</w:t>
      </w:r>
    </w:p>
    <w:p w:rsidR="00DF3F59" w:rsidRPr="00374A6E" w:rsidRDefault="00DF3F59" w:rsidP="00DF3F59">
      <w:pPr>
        <w:keepLines/>
        <w:numPr>
          <w:ilvl w:val="0"/>
          <w:numId w:val="20"/>
        </w:numPr>
        <w:spacing w:after="320" w:line="259" w:lineRule="auto"/>
        <w:contextualSpacing/>
        <w:rPr>
          <w:rFonts w:asciiTheme="minorHAnsi" w:eastAsiaTheme="minorHAnsi" w:hAnsiTheme="minorHAnsi" w:cstheme="minorBidi"/>
          <w:sz w:val="22"/>
          <w:szCs w:val="22"/>
          <w:lang w:val="en-CA"/>
        </w:rPr>
      </w:pPr>
      <w:r w:rsidRPr="00374A6E">
        <w:rPr>
          <w:rStyle w:val="Strong"/>
          <w:rFonts w:eastAsiaTheme="minorHAnsi" w:cstheme="minorHAnsi"/>
          <w:lang w:val="en-CA"/>
        </w:rPr>
        <w:t>New ability to customize organizational staffing system</w:t>
      </w:r>
      <w:r w:rsidRPr="00374A6E">
        <w:rPr>
          <w:rFonts w:asciiTheme="minorHAnsi" w:eastAsiaTheme="minorHAnsi" w:hAnsiTheme="minorHAnsi" w:cstheme="minorBidi"/>
          <w:sz w:val="22"/>
          <w:szCs w:val="22"/>
          <w:lang w:val="en-CA"/>
        </w:rPr>
        <w:t xml:space="preserve"> based on unique context and evolving business needs</w:t>
      </w:r>
    </w:p>
    <w:p w:rsidR="00DF3F59" w:rsidRPr="00374A6E" w:rsidRDefault="00DF3F59" w:rsidP="00DF3F59">
      <w:pPr>
        <w:keepLines/>
        <w:numPr>
          <w:ilvl w:val="0"/>
          <w:numId w:val="19"/>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establish a direction on the </w:t>
      </w:r>
      <w:r w:rsidRPr="00374A6E">
        <w:rPr>
          <w:rStyle w:val="Strong"/>
          <w:rFonts w:eastAsiaTheme="minorHAnsi" w:cstheme="minorHAnsi"/>
          <w:lang w:val="en-CA"/>
        </w:rPr>
        <w:t>use of advertised and non-advertised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appointment processes</w:t>
      </w:r>
    </w:p>
    <w:p w:rsidR="00DF3F59" w:rsidRPr="00374A6E" w:rsidRDefault="00DF3F59" w:rsidP="00DF3F59">
      <w:pPr>
        <w:keepLines/>
        <w:numPr>
          <w:ilvl w:val="0"/>
          <w:numId w:val="19"/>
        </w:numPr>
        <w:spacing w:after="320" w:line="259" w:lineRule="auto"/>
        <w:contextualSpacing/>
        <w:rPr>
          <w:rStyle w:val="Strong"/>
          <w:rFonts w:eastAsiaTheme="minorHAnsi" w:cstheme="minorHAnsi"/>
          <w:lang w:val="en-CA"/>
        </w:rPr>
      </w:pPr>
      <w:r w:rsidRPr="00374A6E">
        <w:rPr>
          <w:rFonts w:asciiTheme="minorHAnsi" w:eastAsiaTheme="minorHAnsi" w:hAnsiTheme="minorHAnsi" w:cstheme="minorBidi"/>
          <w:sz w:val="22"/>
          <w:szCs w:val="22"/>
          <w:lang w:val="en-CA"/>
        </w:rPr>
        <w:t xml:space="preserve">Deputy heads to establish requirement(s) for sub-delegated persons to </w:t>
      </w:r>
      <w:r w:rsidRPr="00374A6E">
        <w:rPr>
          <w:rStyle w:val="Strong"/>
          <w:rFonts w:eastAsiaTheme="minorHAnsi" w:cstheme="minorHAnsi"/>
          <w:lang w:val="en-CA"/>
        </w:rPr>
        <w:t>articulate, in writing, their selection decision</w:t>
      </w:r>
    </w:p>
    <w:p w:rsidR="00DF3F59" w:rsidRPr="00374A6E" w:rsidRDefault="00DF3F59" w:rsidP="00DF3F59">
      <w:pPr>
        <w:keepLines/>
        <w:numPr>
          <w:ilvl w:val="0"/>
          <w:numId w:val="19"/>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Clarity on requirements related to investigations</w:t>
      </w:r>
    </w:p>
    <w:p w:rsidR="00DF3F59" w:rsidRPr="00374A6E" w:rsidRDefault="00DF3F59" w:rsidP="00DF3F59">
      <w:pPr>
        <w:keepLines/>
        <w:numPr>
          <w:ilvl w:val="0"/>
          <w:numId w:val="19"/>
        </w:numPr>
        <w:spacing w:after="320" w:line="259" w:lineRule="auto"/>
        <w:contextualSpacing/>
        <w:rPr>
          <w:rFonts w:asciiTheme="minorHAnsi" w:eastAsiaTheme="minorHAnsi" w:hAnsiTheme="minorHAnsi" w:cstheme="minorBidi"/>
          <w:sz w:val="22"/>
          <w:szCs w:val="22"/>
          <w:lang w:val="en-CA"/>
        </w:rPr>
      </w:pPr>
      <w:r w:rsidRPr="00374A6E">
        <w:rPr>
          <w:rStyle w:val="Strong"/>
          <w:rFonts w:eastAsiaTheme="minorHAnsi" w:cstheme="minorHAnsi"/>
          <w:lang w:val="en-CA"/>
        </w:rPr>
        <w:t>Attestation form</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reinforce the accountabilities of sub-delegated persons</w:t>
      </w:r>
    </w:p>
    <w:p w:rsidR="00DF3F59" w:rsidRPr="00374A6E" w:rsidRDefault="00DF3F59" w:rsidP="00DF3F59">
      <w:pPr>
        <w:keepLines/>
        <w:spacing w:after="36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All PSC monitoring and reporting requirements now found in the Appointment Delegation and Accountability Instrument</w:t>
      </w:r>
    </w:p>
    <w:p w:rsidR="00DF3F59" w:rsidRPr="00374A6E" w:rsidRDefault="00DF3F59" w:rsidP="00C5686E">
      <w:pPr>
        <w:pStyle w:val="Heading3"/>
        <w:spacing w:after="120"/>
        <w:rPr>
          <w:lang w:val="en-CA"/>
        </w:rPr>
      </w:pPr>
      <w:r w:rsidRPr="00374A6E">
        <w:rPr>
          <w:lang w:val="en-CA"/>
        </w:rPr>
        <w:t>Monitoring and Reporting</w:t>
      </w:r>
    </w:p>
    <w:p w:rsidR="00DF3F59" w:rsidRPr="00374A6E" w:rsidRDefault="00DF3F59" w:rsidP="00DC273D">
      <w:pPr>
        <w:keepLines/>
        <w:spacing w:after="120" w:line="259" w:lineRule="auto"/>
        <w:rPr>
          <w:rFonts w:asciiTheme="minorHAnsi" w:eastAsiaTheme="minorHAnsi" w:hAnsiTheme="minorHAnsi" w:cstheme="minorBidi"/>
          <w:sz w:val="22"/>
          <w:szCs w:val="22"/>
          <w:lang w:val="en-CA"/>
        </w:rPr>
      </w:pPr>
      <w:r w:rsidRPr="00374A6E">
        <w:rPr>
          <w:rStyle w:val="Strong"/>
          <w:rFonts w:eastAsiaTheme="minorHAnsi" w:cstheme="minorHAnsi"/>
          <w:szCs w:val="22"/>
          <w:lang w:val="en-CA"/>
        </w:rPr>
        <w:t>Monitoring built by organizations</w:t>
      </w:r>
      <w:r w:rsidRPr="00374A6E">
        <w:rPr>
          <w:rFonts w:asciiTheme="minorHAnsi" w:eastAsiaTheme="minorHAnsi" w:hAnsiTheme="minorHAnsi" w:cstheme="minorBidi"/>
          <w:sz w:val="22"/>
          <w:szCs w:val="22"/>
          <w:lang w:val="en-CA"/>
        </w:rPr>
        <w:t>, targeted to their needs</w:t>
      </w:r>
    </w:p>
    <w:p w:rsidR="00DF3F59" w:rsidRPr="00374A6E" w:rsidRDefault="00DF3F59" w:rsidP="00DF3F59">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Annual Departmental Staffing Accountability Report no longer required</w:t>
      </w:r>
    </w:p>
    <w:p w:rsidR="00DF3F59" w:rsidRPr="00374A6E" w:rsidRDefault="00DF3F59" w:rsidP="00DF3F59">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374A6E">
        <w:rPr>
          <w:rStyle w:val="Strong"/>
          <w:rFonts w:eastAsiaTheme="minorHAnsi" w:cstheme="minorHAnsi"/>
          <w:szCs w:val="22"/>
          <w:lang w:val="en-CA"/>
        </w:rPr>
        <w:t>Annual reporting to the PSC limited</w:t>
      </w:r>
      <w:r w:rsidRPr="00374A6E">
        <w:rPr>
          <w:rFonts w:asciiTheme="minorHAnsi" w:eastAsiaTheme="minorHAnsi" w:hAnsiTheme="minorHAnsi" w:cstheme="minorBidi"/>
          <w:sz w:val="22"/>
          <w:szCs w:val="22"/>
          <w:lang w:val="en-CA"/>
        </w:rPr>
        <w:t xml:space="preserve"> to:</w:t>
      </w:r>
    </w:p>
    <w:p w:rsidR="00DF3F59" w:rsidRPr="00374A6E" w:rsidRDefault="00DF3F59" w:rsidP="00DF3F59">
      <w:pPr>
        <w:keepLines/>
        <w:numPr>
          <w:ilvl w:val="1"/>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Use of Public Service Official Language Exclusion Approval Order</w:t>
      </w:r>
    </w:p>
    <w:p w:rsidR="00DF3F59" w:rsidRPr="00374A6E" w:rsidRDefault="00DF3F59" w:rsidP="00DF3F59">
      <w:pPr>
        <w:keepLines/>
        <w:numPr>
          <w:ilvl w:val="1"/>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Exceptions to the National Area of Selection approved by the deputy head</w:t>
      </w:r>
    </w:p>
    <w:p w:rsidR="00DF3F59" w:rsidRPr="00374A6E" w:rsidRDefault="00DF3F59" w:rsidP="00DF3F59">
      <w:pPr>
        <w:keepLines/>
        <w:numPr>
          <w:ilvl w:val="1"/>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Results of any internal investigations</w:t>
      </w:r>
    </w:p>
    <w:p w:rsidR="00DF3F59" w:rsidRPr="00374A6E" w:rsidRDefault="00DF3F59" w:rsidP="00DF3F59">
      <w:pPr>
        <w:keepLines/>
        <w:numPr>
          <w:ilvl w:val="1"/>
          <w:numId w:val="21"/>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Actions taken following any PSC investigations or audits.</w:t>
      </w:r>
    </w:p>
    <w:p w:rsidR="00DF3F59" w:rsidRPr="00374A6E" w:rsidRDefault="00DF3F59" w:rsidP="00DF3F59">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 xml:space="preserve">Deputy head responsible for </w:t>
      </w:r>
      <w:r w:rsidRPr="00374A6E">
        <w:rPr>
          <w:rStyle w:val="Strong"/>
          <w:rFonts w:eastAsiaTheme="minorHAnsi" w:cstheme="minorHAnsi"/>
          <w:szCs w:val="22"/>
          <w:lang w:val="en-CA"/>
        </w:rPr>
        <w:t>ongoing monitoring of organizational staffing system</w:t>
      </w:r>
      <w:r w:rsidRPr="00374A6E">
        <w:rPr>
          <w:rFonts w:asciiTheme="minorHAnsi" w:eastAsiaTheme="minorHAnsi" w:hAnsiTheme="minorHAnsi" w:cstheme="minorBidi"/>
          <w:sz w:val="22"/>
          <w:szCs w:val="22"/>
          <w:lang w:val="en-CA"/>
        </w:rPr>
        <w:t xml:space="preserve"> based on the organization’s unique context</w:t>
      </w:r>
    </w:p>
    <w:p w:rsidR="00DF3F59" w:rsidRPr="00374A6E" w:rsidRDefault="00DF3F59" w:rsidP="00DF3F59">
      <w:pPr>
        <w:keepLines/>
        <w:numPr>
          <w:ilvl w:val="1"/>
          <w:numId w:val="22"/>
        </w:numPr>
        <w:spacing w:after="320" w:line="259" w:lineRule="auto"/>
        <w:contextualSpacing/>
        <w:rPr>
          <w:rFonts w:asciiTheme="minorHAnsi" w:eastAsiaTheme="minorHAnsi" w:hAnsiTheme="minorHAnsi" w:cstheme="minorBidi"/>
          <w:sz w:val="22"/>
          <w:szCs w:val="22"/>
          <w:lang w:val="en-CA"/>
        </w:rPr>
      </w:pPr>
      <w:r w:rsidRPr="00374A6E">
        <w:rPr>
          <w:rStyle w:val="Strong"/>
          <w:rFonts w:eastAsiaTheme="minorHAnsi" w:cstheme="minorHAnsi"/>
          <w:szCs w:val="22"/>
          <w:lang w:val="en-CA"/>
        </w:rPr>
        <w:t>Assessment of adherence to requirements</w:t>
      </w:r>
      <w:r w:rsidRPr="00374A6E">
        <w:rPr>
          <w:rFonts w:asciiTheme="minorHAnsi" w:eastAsiaTheme="minorHAnsi" w:hAnsiTheme="minorHAnsi" w:cstheme="minorBidi"/>
          <w:sz w:val="22"/>
          <w:szCs w:val="22"/>
          <w:lang w:val="en-CA"/>
        </w:rPr>
        <w:t>, based on organization’s own risks, at the minimum every five years</w:t>
      </w:r>
    </w:p>
    <w:p w:rsidR="00DF3F59" w:rsidRPr="00374A6E" w:rsidRDefault="00DF3F59" w:rsidP="0022134B">
      <w:pPr>
        <w:pStyle w:val="Heading3"/>
        <w:spacing w:after="120"/>
        <w:rPr>
          <w:lang w:val="en-CA"/>
        </w:rPr>
      </w:pPr>
      <w:r w:rsidRPr="00374A6E">
        <w:rPr>
          <w:lang w:val="en-CA"/>
        </w:rPr>
        <w:lastRenderedPageBreak/>
        <w:t>PSC Oversight</w:t>
      </w:r>
    </w:p>
    <w:p w:rsidR="00DF3F59" w:rsidRPr="00374A6E" w:rsidRDefault="00DF3F59" w:rsidP="00DC273D">
      <w:pPr>
        <w:keepLines/>
        <w:spacing w:after="120" w:line="259" w:lineRule="auto"/>
        <w:rPr>
          <w:rFonts w:asciiTheme="minorHAnsi" w:eastAsiaTheme="minorHAnsi" w:hAnsiTheme="minorHAnsi" w:cstheme="minorBidi"/>
          <w:sz w:val="22"/>
          <w:szCs w:val="22"/>
          <w:lang w:val="en-CA"/>
        </w:rPr>
      </w:pPr>
      <w:r w:rsidRPr="00374A6E">
        <w:rPr>
          <w:rFonts w:asciiTheme="minorHAnsi" w:eastAsiaTheme="minorHAnsi" w:hAnsiTheme="minorHAnsi" w:cstheme="minorBidi"/>
          <w:sz w:val="22"/>
          <w:szCs w:val="22"/>
          <w:lang w:val="en-CA"/>
        </w:rPr>
        <w:t>System wide-focus</w:t>
      </w:r>
    </w:p>
    <w:p w:rsidR="00DF3F59" w:rsidRPr="00374A6E" w:rsidRDefault="00DF3F59" w:rsidP="00163B8C">
      <w:pPr>
        <w:keepLines/>
        <w:numPr>
          <w:ilvl w:val="0"/>
          <w:numId w:val="23"/>
        </w:numPr>
        <w:spacing w:line="259" w:lineRule="auto"/>
        <w:rPr>
          <w:rStyle w:val="Strong"/>
          <w:rFonts w:eastAsiaTheme="minorHAnsi" w:cstheme="minorHAnsi"/>
          <w:lang w:val="en-CA"/>
        </w:rPr>
      </w:pPr>
      <w:r w:rsidRPr="00374A6E">
        <w:rPr>
          <w:rStyle w:val="Strong"/>
          <w:rFonts w:eastAsiaTheme="minorHAnsi" w:cstheme="minorHAnsi"/>
          <w:lang w:val="en-CA"/>
        </w:rPr>
        <w:t>Government-wide compliance audit every two years</w:t>
      </w:r>
    </w:p>
    <w:p w:rsidR="00DF3F59" w:rsidRPr="00374A6E" w:rsidRDefault="00DF3F59" w:rsidP="00163B8C">
      <w:pPr>
        <w:keepLines/>
        <w:numPr>
          <w:ilvl w:val="0"/>
          <w:numId w:val="23"/>
        </w:numPr>
        <w:spacing w:line="259" w:lineRule="auto"/>
        <w:rPr>
          <w:rFonts w:asciiTheme="minorHAnsi" w:eastAsiaTheme="minorHAnsi" w:hAnsiTheme="minorHAnsi" w:cstheme="minorBidi"/>
          <w:sz w:val="22"/>
          <w:szCs w:val="22"/>
          <w:lang w:val="en-CA"/>
        </w:rPr>
      </w:pPr>
      <w:r w:rsidRPr="00374A6E">
        <w:rPr>
          <w:rStyle w:val="Strong"/>
          <w:rFonts w:eastAsiaTheme="minorHAnsi" w:cstheme="minorHAnsi"/>
          <w:lang w:val="en-CA"/>
        </w:rPr>
        <w:t>Renewed Survey of Staffing</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administered in alternating years with government-wide audit</w:t>
      </w:r>
    </w:p>
    <w:p w:rsidR="00DF3F59" w:rsidRPr="00374A6E" w:rsidRDefault="00DF3F59" w:rsidP="00163B8C">
      <w:pPr>
        <w:keepLines/>
        <w:numPr>
          <w:ilvl w:val="0"/>
          <w:numId w:val="23"/>
        </w:numPr>
        <w:spacing w:line="259" w:lineRule="auto"/>
        <w:rPr>
          <w:rFonts w:asciiTheme="minorHAnsi" w:eastAsiaTheme="minorHAnsi" w:hAnsiTheme="minorHAnsi" w:cstheme="minorBidi"/>
          <w:sz w:val="22"/>
          <w:szCs w:val="22"/>
          <w:lang w:val="en-CA"/>
        </w:rPr>
      </w:pPr>
      <w:r w:rsidRPr="00374A6E">
        <w:rPr>
          <w:rStyle w:val="Strong"/>
          <w:rFonts w:eastAsiaTheme="minorHAnsi" w:cstheme="minorHAnsi"/>
          <w:lang w:val="en-CA"/>
        </w:rPr>
        <w:t>System-wide effectiveness and efficiency reviews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to support continuous improvement</w:t>
      </w:r>
    </w:p>
    <w:p w:rsidR="00DF3F59" w:rsidRPr="00374A6E" w:rsidRDefault="00DF3F59" w:rsidP="00163B8C">
      <w:pPr>
        <w:keepLines/>
        <w:numPr>
          <w:ilvl w:val="0"/>
          <w:numId w:val="23"/>
        </w:numPr>
        <w:spacing w:line="259" w:lineRule="auto"/>
        <w:rPr>
          <w:rFonts w:asciiTheme="minorHAnsi" w:eastAsiaTheme="minorHAnsi" w:hAnsiTheme="minorHAnsi" w:cstheme="minorBidi"/>
          <w:sz w:val="22"/>
          <w:szCs w:val="22"/>
          <w:lang w:val="en-CA"/>
        </w:rPr>
      </w:pPr>
      <w:r w:rsidRPr="00374A6E">
        <w:rPr>
          <w:rStyle w:val="Strong"/>
          <w:rFonts w:eastAsiaTheme="minorHAnsi" w:cstheme="minorHAnsi"/>
          <w:lang w:val="en-CA"/>
        </w:rPr>
        <w:t>Targeted PSC audits</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as a result of identified system-wide or organizational risks or at the deputy head request</w:t>
      </w:r>
    </w:p>
    <w:p w:rsidR="00DF3F59" w:rsidRPr="00374A6E" w:rsidRDefault="00DF3F59" w:rsidP="00163B8C">
      <w:pPr>
        <w:keepLines/>
        <w:numPr>
          <w:ilvl w:val="0"/>
          <w:numId w:val="23"/>
        </w:numPr>
        <w:spacing w:after="320" w:line="259" w:lineRule="auto"/>
        <w:rPr>
          <w:rFonts w:asciiTheme="minorHAnsi" w:eastAsiaTheme="minorHAnsi" w:hAnsiTheme="minorHAnsi" w:cstheme="minorBidi"/>
          <w:sz w:val="22"/>
          <w:szCs w:val="22"/>
          <w:lang w:val="en-CA"/>
        </w:rPr>
      </w:pPr>
      <w:r w:rsidRPr="00374A6E">
        <w:rPr>
          <w:rStyle w:val="Strong"/>
          <w:rFonts w:eastAsiaTheme="minorHAnsi" w:cstheme="minorHAnsi"/>
          <w:lang w:val="en-CA"/>
        </w:rPr>
        <w:t>Investigations conducted</w:t>
      </w:r>
      <w:r w:rsidRPr="00374A6E">
        <w:rPr>
          <w:rFonts w:asciiTheme="minorHAnsi" w:eastAsiaTheme="minorHAnsi" w:hAnsiTheme="minorHAnsi" w:cstheme="minorBidi"/>
          <w:sz w:val="20"/>
          <w:szCs w:val="22"/>
          <w:lang w:val="en-CA"/>
        </w:rPr>
        <w:t xml:space="preserve"> </w:t>
      </w:r>
      <w:r w:rsidRPr="00374A6E">
        <w:rPr>
          <w:rFonts w:asciiTheme="minorHAnsi" w:eastAsiaTheme="minorHAnsi" w:hAnsiTheme="minorHAnsi" w:cstheme="minorBidi"/>
          <w:sz w:val="22"/>
          <w:szCs w:val="22"/>
          <w:lang w:val="en-CA"/>
        </w:rPr>
        <w:t>when there is a reason to believe there was political influence, fraud or improper conduct in an appointment process</w:t>
      </w:r>
    </w:p>
    <w:p w:rsidR="00DF3F59" w:rsidRPr="006129C1" w:rsidRDefault="00DF3F59" w:rsidP="005360E9">
      <w:pPr>
        <w:keepLines/>
        <w:tabs>
          <w:tab w:val="center" w:pos="4680"/>
          <w:tab w:val="right" w:pos="9360"/>
        </w:tabs>
        <w:ind w:left="360"/>
        <w:rPr>
          <w:rStyle w:val="Strong"/>
          <w:rFonts w:eastAsiaTheme="minorHAnsi" w:cstheme="minorHAnsi"/>
          <w:b w:val="0"/>
          <w:lang w:val="en-CA"/>
        </w:rPr>
      </w:pPr>
      <w:r w:rsidRPr="006129C1">
        <w:rPr>
          <w:rStyle w:val="Strong"/>
          <w:rFonts w:eastAsiaTheme="minorHAnsi" w:cstheme="minorHAnsi"/>
          <w:b w:val="0"/>
          <w:lang w:val="en-CA"/>
        </w:rPr>
        <w:t>This document should be read in conjunction with the Public Service Employment Act, the Public Service Employment Regulations, the PSC Appointment Policy and the PSC Appointment Delegation and Accountability Instrument.</w:t>
      </w:r>
    </w:p>
    <w:p w:rsidR="00D735BF" w:rsidRPr="00374A6E" w:rsidRDefault="00D735BF" w:rsidP="00D735BF">
      <w:pPr>
        <w:pStyle w:val="ListParagraph"/>
        <w:rPr>
          <w:color w:val="54575A" w:themeColor="text1"/>
          <w:sz w:val="12"/>
          <w:szCs w:val="12"/>
          <w:lang w:val="en-CA"/>
        </w:rPr>
        <w:sectPr w:rsidR="00D735BF" w:rsidRPr="00374A6E" w:rsidSect="00630482">
          <w:pgSz w:w="12240" w:h="15840"/>
          <w:pgMar w:top="709" w:right="1304" w:bottom="1361" w:left="1304" w:header="709" w:footer="709" w:gutter="0"/>
          <w:cols w:space="708"/>
          <w:docGrid w:linePitch="360"/>
        </w:sectPr>
      </w:pPr>
    </w:p>
    <w:p w:rsidR="00D735BF" w:rsidRDefault="00D735BF" w:rsidP="00195EC2">
      <w:pPr>
        <w:pStyle w:val="Heading3"/>
        <w:jc w:val="right"/>
        <w:rPr>
          <w:lang w:val="en-CA"/>
        </w:rPr>
      </w:pPr>
      <w:bookmarkStart w:id="2" w:name="AnnexB"/>
      <w:r w:rsidRPr="00374A6E">
        <w:rPr>
          <w:lang w:val="en-CA"/>
        </w:rPr>
        <w:lastRenderedPageBreak/>
        <w:t xml:space="preserve">Annex </w:t>
      </w:r>
      <w:r w:rsidR="007B5B5F">
        <w:rPr>
          <w:lang w:val="en-CA"/>
        </w:rPr>
        <w:t>B</w:t>
      </w:r>
    </w:p>
    <w:p w:rsidR="007A4A31" w:rsidRPr="007A4A31" w:rsidRDefault="007A4A31" w:rsidP="007A4A31">
      <w:pPr>
        <w:pStyle w:val="Heading1"/>
        <w:spacing w:before="120" w:after="120"/>
        <w:rPr>
          <w:sz w:val="40"/>
          <w:szCs w:val="40"/>
          <w:lang w:val="en-CA" w:eastAsia="en-CA"/>
        </w:rPr>
      </w:pPr>
      <w:r w:rsidRPr="007A4A31">
        <w:rPr>
          <w:sz w:val="40"/>
          <w:szCs w:val="40"/>
          <w:lang w:val="en-CA" w:eastAsia="en-CA"/>
        </w:rPr>
        <w:t>Population by tenure as of March 31</w:t>
      </w:r>
    </w:p>
    <w:bookmarkEnd w:id="2"/>
    <w:p w:rsidR="00E16E9C" w:rsidRPr="00374A6E" w:rsidRDefault="00D735BF" w:rsidP="00E16E9C">
      <w:pPr>
        <w:pStyle w:val="Caption"/>
        <w:keepNext/>
        <w:jc w:val="center"/>
      </w:pPr>
      <w:r w:rsidRPr="00374A6E">
        <w:rPr>
          <w:rStyle w:val="Strong"/>
          <w:rFonts w:eastAsiaTheme="minorEastAsia"/>
          <w:noProof/>
          <w:lang w:eastAsia="en-CA"/>
        </w:rPr>
        <w:drawing>
          <wp:inline distT="0" distB="0" distL="0" distR="0" wp14:anchorId="19988D01" wp14:editId="0C662427">
            <wp:extent cx="5648325" cy="3048000"/>
            <wp:effectExtent l="0" t="0" r="9525" b="0"/>
            <wp:docPr id="13" name="Chart 13" descr="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1E4E" w:rsidRPr="00374A6E" w:rsidRDefault="00E16E9C" w:rsidP="00E16E9C">
      <w:pPr>
        <w:pStyle w:val="Caption"/>
        <w:jc w:val="center"/>
      </w:pPr>
      <w:r w:rsidRPr="00374A6E">
        <w:t xml:space="preserve">Figure </w:t>
      </w:r>
      <w:r w:rsidR="006C0564">
        <w:rPr>
          <w:noProof/>
        </w:rPr>
        <w:t>1</w:t>
      </w:r>
      <w:r w:rsidRPr="00374A6E">
        <w:t xml:space="preserve"> - Population by tenure as of March 31</w:t>
      </w:r>
    </w:p>
    <w:p w:rsidR="0010688F" w:rsidRPr="00374A6E" w:rsidRDefault="0010688F" w:rsidP="009D4686">
      <w:pPr>
        <w:pStyle w:val="Caption"/>
        <w:keepNext/>
        <w:tabs>
          <w:tab w:val="left" w:pos="993"/>
        </w:tabs>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4</w:t>
      </w:r>
      <w:r w:rsidR="009501EE">
        <w:rPr>
          <w:noProof/>
        </w:rPr>
        <w:fldChar w:fldCharType="end"/>
      </w:r>
      <w:r w:rsidRPr="00374A6E">
        <w:t xml:space="preserve"> - Public Service Employment Act population by tenure as of March 31</w:t>
      </w:r>
    </w:p>
    <w:tbl>
      <w:tblPr>
        <w:tblStyle w:val="Grilledutableau1"/>
        <w:tblW w:w="5000" w:type="pct"/>
        <w:jc w:val="center"/>
        <w:tblLook w:val="04A0" w:firstRow="1" w:lastRow="0" w:firstColumn="1" w:lastColumn="0" w:noHBand="0" w:noVBand="1"/>
        <w:tblDescription w:val="Population by tenure as of March 31 from 2014 to 2019."/>
      </w:tblPr>
      <w:tblGrid>
        <w:gridCol w:w="2409"/>
        <w:gridCol w:w="3111"/>
        <w:gridCol w:w="2107"/>
        <w:gridCol w:w="2256"/>
        <w:gridCol w:w="2412"/>
        <w:gridCol w:w="2095"/>
      </w:tblGrid>
      <w:tr w:rsidR="0066207E" w:rsidRPr="00374A6E" w:rsidTr="005129DE">
        <w:trPr>
          <w:cantSplit/>
          <w:tblHeader/>
          <w:jc w:val="center"/>
        </w:trPr>
        <w:tc>
          <w:tcPr>
            <w:tcW w:w="837" w:type="pct"/>
          </w:tcPr>
          <w:p w:rsidR="007D7878" w:rsidRPr="00374A6E" w:rsidRDefault="007D7878" w:rsidP="0066207E">
            <w:pPr>
              <w:pStyle w:val="TableTitle"/>
              <w:rPr>
                <w:color w:val="auto"/>
                <w:sz w:val="22"/>
                <w:lang w:val="en-CA"/>
              </w:rPr>
            </w:pPr>
            <w:r w:rsidRPr="00374A6E">
              <w:rPr>
                <w:color w:val="auto"/>
                <w:sz w:val="22"/>
                <w:lang w:val="en-CA"/>
              </w:rPr>
              <w:t>Year</w:t>
            </w:r>
          </w:p>
        </w:tc>
        <w:tc>
          <w:tcPr>
            <w:tcW w:w="1081" w:type="pct"/>
          </w:tcPr>
          <w:p w:rsidR="007D7878" w:rsidRPr="00374A6E" w:rsidRDefault="007D7878" w:rsidP="0066207E">
            <w:pPr>
              <w:pStyle w:val="TableTitle"/>
              <w:rPr>
                <w:color w:val="auto"/>
                <w:sz w:val="22"/>
                <w:lang w:val="en-CA"/>
              </w:rPr>
            </w:pPr>
            <w:r w:rsidRPr="00374A6E">
              <w:rPr>
                <w:color w:val="auto"/>
                <w:sz w:val="22"/>
                <w:lang w:val="en-CA"/>
              </w:rPr>
              <w:t>Indeterminate population</w:t>
            </w:r>
          </w:p>
        </w:tc>
        <w:tc>
          <w:tcPr>
            <w:tcW w:w="732" w:type="pct"/>
          </w:tcPr>
          <w:p w:rsidR="007D7878" w:rsidRPr="00374A6E" w:rsidRDefault="007D7878" w:rsidP="0066207E">
            <w:pPr>
              <w:pStyle w:val="TableTitle"/>
              <w:rPr>
                <w:color w:val="auto"/>
                <w:sz w:val="22"/>
                <w:lang w:val="en-CA"/>
              </w:rPr>
            </w:pPr>
            <w:r w:rsidRPr="00374A6E">
              <w:rPr>
                <w:color w:val="auto"/>
                <w:sz w:val="22"/>
                <w:lang w:val="en-CA"/>
              </w:rPr>
              <w:t>Term population</w:t>
            </w:r>
          </w:p>
        </w:tc>
        <w:tc>
          <w:tcPr>
            <w:tcW w:w="784" w:type="pct"/>
          </w:tcPr>
          <w:p w:rsidR="007D7878" w:rsidRPr="00374A6E" w:rsidRDefault="007D7878" w:rsidP="0066207E">
            <w:pPr>
              <w:pStyle w:val="TableTitle"/>
              <w:rPr>
                <w:color w:val="auto"/>
                <w:sz w:val="22"/>
                <w:lang w:val="en-CA"/>
              </w:rPr>
            </w:pPr>
            <w:r w:rsidRPr="00374A6E">
              <w:rPr>
                <w:color w:val="auto"/>
                <w:sz w:val="22"/>
                <w:lang w:val="en-CA"/>
              </w:rPr>
              <w:t>Casual population</w:t>
            </w:r>
          </w:p>
        </w:tc>
        <w:tc>
          <w:tcPr>
            <w:tcW w:w="838" w:type="pct"/>
          </w:tcPr>
          <w:p w:rsidR="007D7878" w:rsidRPr="00374A6E" w:rsidRDefault="007D7878" w:rsidP="0066207E">
            <w:pPr>
              <w:pStyle w:val="TableTitle"/>
              <w:rPr>
                <w:color w:val="auto"/>
                <w:sz w:val="22"/>
                <w:lang w:val="en-CA"/>
              </w:rPr>
            </w:pPr>
            <w:r w:rsidRPr="00374A6E">
              <w:rPr>
                <w:color w:val="auto"/>
                <w:sz w:val="22"/>
                <w:lang w:val="en-CA"/>
              </w:rPr>
              <w:t>Student population</w:t>
            </w:r>
          </w:p>
        </w:tc>
        <w:tc>
          <w:tcPr>
            <w:tcW w:w="728" w:type="pct"/>
          </w:tcPr>
          <w:p w:rsidR="007D7878" w:rsidRPr="00374A6E" w:rsidRDefault="007D7878" w:rsidP="0066207E">
            <w:pPr>
              <w:pStyle w:val="TableTitle"/>
              <w:rPr>
                <w:color w:val="auto"/>
                <w:sz w:val="22"/>
                <w:lang w:val="en-CA"/>
              </w:rPr>
            </w:pPr>
            <w:r w:rsidRPr="00374A6E">
              <w:rPr>
                <w:color w:val="auto"/>
                <w:sz w:val="22"/>
                <w:lang w:val="en-CA"/>
              </w:rPr>
              <w:t>Total population</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2014</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5 673</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183</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313</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372</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6 541</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2015</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5 711</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265</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292</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324</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6 592</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2016</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5 514</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338</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271</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343</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6 466</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2017</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5 659</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383</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332</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366</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6 740</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2018</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5 816</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341</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399</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396</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6 952</w:t>
            </w:r>
          </w:p>
        </w:tc>
      </w:tr>
      <w:tr w:rsidR="007D7878" w:rsidRPr="00374A6E" w:rsidTr="005129DE">
        <w:trPr>
          <w:cantSplit/>
          <w:tblHeader/>
          <w:jc w:val="center"/>
        </w:trPr>
        <w:tc>
          <w:tcPr>
            <w:tcW w:w="837" w:type="pct"/>
          </w:tcPr>
          <w:p w:rsidR="007D7878" w:rsidRPr="00374A6E" w:rsidRDefault="007D7878" w:rsidP="007D7878">
            <w:pPr>
              <w:autoSpaceDE w:val="0"/>
              <w:autoSpaceDN w:val="0"/>
              <w:adjustRightInd w:val="0"/>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As of March 31, 2019</w:t>
            </w:r>
          </w:p>
        </w:tc>
        <w:tc>
          <w:tcPr>
            <w:tcW w:w="1081"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6 106</w:t>
            </w:r>
          </w:p>
        </w:tc>
        <w:tc>
          <w:tcPr>
            <w:tcW w:w="732"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343</w:t>
            </w:r>
          </w:p>
        </w:tc>
        <w:tc>
          <w:tcPr>
            <w:tcW w:w="784"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430</w:t>
            </w:r>
          </w:p>
        </w:tc>
        <w:tc>
          <w:tcPr>
            <w:tcW w:w="83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412</w:t>
            </w:r>
          </w:p>
        </w:tc>
        <w:tc>
          <w:tcPr>
            <w:tcW w:w="728" w:type="pct"/>
          </w:tcPr>
          <w:p w:rsidR="007D7878" w:rsidRPr="00374A6E" w:rsidRDefault="007D7878" w:rsidP="005129DE">
            <w:pPr>
              <w:autoSpaceDE w:val="0"/>
              <w:autoSpaceDN w:val="0"/>
              <w:adjustRightInd w:val="0"/>
              <w:jc w:val="center"/>
              <w:rPr>
                <w:rFonts w:asciiTheme="minorHAnsi" w:hAnsiTheme="minorHAnsi" w:cstheme="minorHAnsi"/>
                <w:color w:val="000000"/>
                <w:sz w:val="22"/>
                <w:szCs w:val="24"/>
                <w:lang w:val="en-CA"/>
              </w:rPr>
            </w:pPr>
            <w:r w:rsidRPr="00374A6E">
              <w:rPr>
                <w:rFonts w:asciiTheme="minorHAnsi" w:hAnsiTheme="minorHAnsi" w:cstheme="minorHAnsi"/>
                <w:color w:val="000000"/>
                <w:sz w:val="22"/>
                <w:szCs w:val="24"/>
                <w:lang w:val="en-CA"/>
              </w:rPr>
              <w:t>7 291</w:t>
            </w:r>
          </w:p>
        </w:tc>
      </w:tr>
    </w:tbl>
    <w:p w:rsidR="00CD41C1" w:rsidRPr="00374A6E" w:rsidRDefault="00CD41C1" w:rsidP="0082279C">
      <w:pPr>
        <w:spacing w:before="240"/>
        <w:rPr>
          <w:rStyle w:val="Strong"/>
          <w:rFonts w:eastAsiaTheme="minorHAnsi" w:cstheme="minorHAnsi"/>
          <w:lang w:val="en-CA"/>
        </w:rPr>
        <w:sectPr w:rsidR="00CD41C1" w:rsidRPr="00374A6E" w:rsidSect="007D7878">
          <w:headerReference w:type="default" r:id="rId11"/>
          <w:footerReference w:type="even" r:id="rId12"/>
          <w:headerReference w:type="first" r:id="rId13"/>
          <w:footerReference w:type="first" r:id="rId14"/>
          <w:type w:val="continuous"/>
          <w:pgSz w:w="15840" w:h="12240" w:orient="landscape"/>
          <w:pgMar w:top="1025" w:right="720" w:bottom="720" w:left="720" w:header="708" w:footer="708" w:gutter="0"/>
          <w:cols w:space="397"/>
          <w:titlePg/>
          <w:docGrid w:linePitch="360"/>
        </w:sectPr>
      </w:pPr>
    </w:p>
    <w:p w:rsidR="007A4A31" w:rsidRPr="007A4A31" w:rsidRDefault="007A4A31" w:rsidP="007A4A31">
      <w:pPr>
        <w:pStyle w:val="Heading1"/>
        <w:rPr>
          <w:sz w:val="40"/>
          <w:szCs w:val="40"/>
          <w:lang w:val="en-CA"/>
        </w:rPr>
      </w:pPr>
      <w:r w:rsidRPr="007A4A31">
        <w:rPr>
          <w:sz w:val="40"/>
          <w:szCs w:val="40"/>
        </w:rPr>
        <w:lastRenderedPageBreak/>
        <w:t>Population by language requirements as of March 31, 2019</w:t>
      </w:r>
    </w:p>
    <w:p w:rsidR="005B375F" w:rsidRPr="00374A6E" w:rsidRDefault="00D735BF" w:rsidP="00B826A4">
      <w:pPr>
        <w:keepNext/>
        <w:spacing w:before="240"/>
        <w:jc w:val="center"/>
        <w:rPr>
          <w:lang w:val="en-CA"/>
        </w:rPr>
      </w:pPr>
      <w:r w:rsidRPr="00374A6E">
        <w:rPr>
          <w:rStyle w:val="Strong"/>
          <w:rFonts w:eastAsiaTheme="minorEastAsia"/>
          <w:noProof/>
          <w:lang w:val="en-CA" w:eastAsia="en-CA"/>
        </w:rPr>
        <w:drawing>
          <wp:inline distT="0" distB="0" distL="0" distR="0">
            <wp:extent cx="1981200" cy="3019425"/>
            <wp:effectExtent l="0" t="0" r="0" b="9525"/>
            <wp:docPr id="8" name="Chart 8" descr="Population by language requirements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051A1">
        <w:rPr>
          <w:lang w:val="en-CA"/>
        </w:rPr>
        <w:br w:type="textWrapping" w:clear="all"/>
      </w:r>
    </w:p>
    <w:p w:rsidR="000001A5" w:rsidRPr="00374A6E" w:rsidRDefault="005B375F" w:rsidP="005B375F">
      <w:pPr>
        <w:pStyle w:val="Caption"/>
        <w:jc w:val="center"/>
        <w:rPr>
          <w:rFonts w:asciiTheme="minorHAnsi" w:hAnsiTheme="minorHAnsi" w:cstheme="minorHAnsi"/>
          <w:i/>
        </w:rPr>
      </w:pPr>
      <w:r w:rsidRPr="00374A6E">
        <w:rPr>
          <w:rFonts w:asciiTheme="minorHAnsi" w:hAnsiTheme="minorHAnsi" w:cstheme="minorHAnsi"/>
        </w:rPr>
        <w:t>Figure</w:t>
      </w:r>
      <w:r w:rsidRPr="006C0564">
        <w:rPr>
          <w:rFonts w:asciiTheme="minorHAnsi" w:hAnsiTheme="minorHAnsi" w:cstheme="minorHAnsi"/>
        </w:rPr>
        <w:t xml:space="preserve"> </w:t>
      </w:r>
      <w:r w:rsidR="006C0564" w:rsidRPr="006C0564">
        <w:rPr>
          <w:rFonts w:asciiTheme="minorHAnsi" w:hAnsiTheme="minorHAnsi" w:cstheme="minorHAnsi"/>
        </w:rPr>
        <w:t>2</w:t>
      </w:r>
      <w:r w:rsidRPr="00374A6E">
        <w:rPr>
          <w:rFonts w:asciiTheme="minorHAnsi" w:hAnsiTheme="minorHAnsi" w:cstheme="minorHAnsi"/>
        </w:rPr>
        <w:t xml:space="preserve"> - Population by language requirements as of March 31, 2019</w:t>
      </w:r>
    </w:p>
    <w:p w:rsidR="0010688F" w:rsidRPr="00374A6E" w:rsidRDefault="0010688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5</w:t>
      </w:r>
      <w:r w:rsidR="009501EE">
        <w:rPr>
          <w:noProof/>
        </w:rPr>
        <w:fldChar w:fldCharType="end"/>
      </w:r>
      <w:r w:rsidRPr="00374A6E">
        <w:t xml:space="preserve"> - Public Service Employment Act population by language requirements of the position for fiscal year 2018 to 2019</w:t>
      </w:r>
    </w:p>
    <w:tbl>
      <w:tblPr>
        <w:tblStyle w:val="TableGrid"/>
        <w:tblW w:w="5000" w:type="pct"/>
        <w:jc w:val="center"/>
        <w:tblLook w:val="04A0" w:firstRow="1" w:lastRow="0" w:firstColumn="1" w:lastColumn="0" w:noHBand="0" w:noVBand="1"/>
        <w:tblDescription w:val="Population by language requirements as of March 31, 2019"/>
      </w:tblPr>
      <w:tblGrid>
        <w:gridCol w:w="4779"/>
        <w:gridCol w:w="3955"/>
        <w:gridCol w:w="5656"/>
      </w:tblGrid>
      <w:tr w:rsidR="0066207E" w:rsidRPr="00374A6E" w:rsidTr="00BB474A">
        <w:trPr>
          <w:cantSplit/>
          <w:tblHeader/>
          <w:jc w:val="center"/>
        </w:trPr>
        <w:tc>
          <w:tcPr>
            <w:tcW w:w="1660" w:type="pct"/>
          </w:tcPr>
          <w:p w:rsidR="006F0590" w:rsidRPr="00374A6E" w:rsidRDefault="006F0590" w:rsidP="0066207E">
            <w:pPr>
              <w:pStyle w:val="TableTitle"/>
              <w:rPr>
                <w:color w:val="auto"/>
                <w:sz w:val="22"/>
                <w:lang w:val="en-CA"/>
              </w:rPr>
            </w:pPr>
            <w:r w:rsidRPr="00374A6E">
              <w:rPr>
                <w:color w:val="auto"/>
                <w:sz w:val="22"/>
                <w:lang w:val="en-CA"/>
              </w:rPr>
              <w:t>Linguistic requirements of the position</w:t>
            </w:r>
          </w:p>
        </w:tc>
        <w:tc>
          <w:tcPr>
            <w:tcW w:w="1374" w:type="pct"/>
          </w:tcPr>
          <w:p w:rsidR="006F0590" w:rsidRPr="00374A6E" w:rsidRDefault="006F0590" w:rsidP="0066207E">
            <w:pPr>
              <w:pStyle w:val="TableTitle"/>
              <w:rPr>
                <w:color w:val="auto"/>
                <w:sz w:val="22"/>
                <w:lang w:val="en-CA"/>
              </w:rPr>
            </w:pPr>
            <w:r w:rsidRPr="00374A6E">
              <w:rPr>
                <w:color w:val="auto"/>
                <w:sz w:val="22"/>
                <w:lang w:val="en-CA"/>
              </w:rPr>
              <w:t>Population as of March 31, 2019</w:t>
            </w:r>
          </w:p>
        </w:tc>
        <w:tc>
          <w:tcPr>
            <w:tcW w:w="1965" w:type="pct"/>
          </w:tcPr>
          <w:p w:rsidR="006F0590" w:rsidRPr="00374A6E" w:rsidRDefault="006F0590" w:rsidP="0066207E">
            <w:pPr>
              <w:pStyle w:val="TableTitle"/>
              <w:rPr>
                <w:color w:val="auto"/>
                <w:sz w:val="22"/>
                <w:lang w:val="en-CA"/>
              </w:rPr>
            </w:pPr>
            <w:r w:rsidRPr="00374A6E">
              <w:rPr>
                <w:color w:val="auto"/>
                <w:sz w:val="22"/>
                <w:lang w:val="en-CA"/>
              </w:rPr>
              <w:t>Percentage of population as of March 31, 2019</w:t>
            </w:r>
          </w:p>
        </w:tc>
      </w:tr>
      <w:tr w:rsidR="006F0590" w:rsidRPr="00374A6E" w:rsidTr="00BB474A">
        <w:trPr>
          <w:cantSplit/>
          <w:tblHeader/>
          <w:jc w:val="center"/>
        </w:trPr>
        <w:tc>
          <w:tcPr>
            <w:tcW w:w="1660"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Bilingual</w:t>
            </w:r>
          </w:p>
        </w:tc>
        <w:tc>
          <w:tcPr>
            <w:tcW w:w="1374" w:type="pct"/>
          </w:tcPr>
          <w:p w:rsidR="006F0590" w:rsidRPr="00374A6E" w:rsidRDefault="006F0590" w:rsidP="00391A19">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2 592</w:t>
            </w:r>
          </w:p>
        </w:tc>
        <w:tc>
          <w:tcPr>
            <w:tcW w:w="1965" w:type="pct"/>
          </w:tcPr>
          <w:p w:rsidR="006F0590" w:rsidRPr="00374A6E" w:rsidRDefault="006F0590" w:rsidP="00391A19">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44%</w:t>
            </w:r>
          </w:p>
        </w:tc>
      </w:tr>
      <w:tr w:rsidR="006F0590" w:rsidRPr="00374A6E" w:rsidTr="00BB474A">
        <w:trPr>
          <w:cantSplit/>
          <w:tblHeader/>
          <w:jc w:val="center"/>
        </w:trPr>
        <w:tc>
          <w:tcPr>
            <w:tcW w:w="1660"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Unilingual</w:t>
            </w:r>
          </w:p>
        </w:tc>
        <w:tc>
          <w:tcPr>
            <w:tcW w:w="1374" w:type="pct"/>
          </w:tcPr>
          <w:p w:rsidR="006F0590" w:rsidRPr="00374A6E" w:rsidRDefault="006F0590" w:rsidP="00391A19">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3 294</w:t>
            </w:r>
          </w:p>
        </w:tc>
        <w:tc>
          <w:tcPr>
            <w:tcW w:w="1965" w:type="pct"/>
          </w:tcPr>
          <w:p w:rsidR="006F0590" w:rsidRPr="00374A6E" w:rsidRDefault="006F0590" w:rsidP="00391A19">
            <w:pPr>
              <w:jc w:val="center"/>
              <w:rPr>
                <w:rFonts w:asciiTheme="minorHAnsi" w:eastAsiaTheme="minorEastAsia" w:hAnsiTheme="minorHAnsi" w:cstheme="minorHAnsi"/>
                <w:sz w:val="22"/>
                <w:lang w:val="en-CA"/>
              </w:rPr>
            </w:pPr>
            <w:r w:rsidRPr="00374A6E">
              <w:rPr>
                <w:rFonts w:asciiTheme="minorHAnsi" w:eastAsiaTheme="minorHAnsi" w:hAnsiTheme="minorHAnsi" w:cstheme="minorHAnsi"/>
                <w:sz w:val="22"/>
                <w:lang w:val="en-CA"/>
              </w:rPr>
              <w:t>56%</w:t>
            </w:r>
          </w:p>
        </w:tc>
      </w:tr>
      <w:tr w:rsidR="006F0590" w:rsidRPr="00374A6E" w:rsidTr="00BB474A">
        <w:trPr>
          <w:cantSplit/>
          <w:tblHeader/>
          <w:jc w:val="center"/>
        </w:trPr>
        <w:tc>
          <w:tcPr>
            <w:tcW w:w="1660" w:type="pct"/>
          </w:tcPr>
          <w:p w:rsidR="006F0590" w:rsidRPr="00374A6E" w:rsidRDefault="006F0590" w:rsidP="0066207E">
            <w:pP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Unknown</w:t>
            </w:r>
          </w:p>
        </w:tc>
        <w:tc>
          <w:tcPr>
            <w:tcW w:w="1374" w:type="pct"/>
          </w:tcPr>
          <w:p w:rsidR="006F0590" w:rsidRPr="00374A6E" w:rsidRDefault="006F0590" w:rsidP="00391A19">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1 405</w:t>
            </w:r>
          </w:p>
        </w:tc>
        <w:tc>
          <w:tcPr>
            <w:tcW w:w="1965" w:type="pct"/>
          </w:tcPr>
          <w:p w:rsidR="006F0590" w:rsidRPr="00374A6E" w:rsidRDefault="001045EC" w:rsidP="00391A19">
            <w:pPr>
              <w:jc w:val="center"/>
              <w:rPr>
                <w:rFonts w:asciiTheme="minorHAnsi" w:hAnsiTheme="minorHAnsi" w:cstheme="minorHAnsi"/>
                <w:sz w:val="22"/>
                <w:lang w:val="en-CA"/>
              </w:rPr>
            </w:pPr>
            <w:r>
              <w:rPr>
                <w:rFonts w:asciiTheme="minorHAnsi" w:hAnsiTheme="minorHAnsi" w:cstheme="minorHAnsi"/>
                <w:sz w:val="22"/>
                <w:lang w:val="en-CA"/>
              </w:rPr>
              <w:t>0%</w:t>
            </w:r>
          </w:p>
        </w:tc>
      </w:tr>
    </w:tbl>
    <w:p w:rsidR="008A041F" w:rsidRPr="00374A6E" w:rsidRDefault="008A041F" w:rsidP="006F0590">
      <w:pPr>
        <w:tabs>
          <w:tab w:val="left" w:pos="4544"/>
          <w:tab w:val="left" w:pos="8207"/>
        </w:tabs>
        <w:autoSpaceDE w:val="0"/>
        <w:autoSpaceDN w:val="0"/>
        <w:adjustRightInd w:val="0"/>
        <w:rPr>
          <w:rFonts w:asciiTheme="minorHAnsi" w:eastAsiaTheme="minorEastAsia" w:hAnsiTheme="minorHAnsi" w:cstheme="minorBidi"/>
          <w:spacing w:val="15"/>
          <w:sz w:val="22"/>
          <w:szCs w:val="22"/>
          <w:lang w:val="en-CA"/>
        </w:rPr>
        <w:sectPr w:rsidR="008A041F" w:rsidRPr="00374A6E" w:rsidSect="00CD41C1">
          <w:type w:val="continuous"/>
          <w:pgSz w:w="15840" w:h="12240" w:orient="landscape"/>
          <w:pgMar w:top="1025" w:right="720" w:bottom="720" w:left="720" w:header="708" w:footer="708" w:gutter="0"/>
          <w:cols w:space="708"/>
          <w:titlePg/>
          <w:docGrid w:linePitch="360"/>
        </w:sectPr>
      </w:pPr>
    </w:p>
    <w:p w:rsidR="00824BC8" w:rsidRPr="00824BC8" w:rsidRDefault="00824BC8" w:rsidP="00824BC8">
      <w:pPr>
        <w:pStyle w:val="Heading1"/>
        <w:spacing w:before="120" w:after="120"/>
        <w:rPr>
          <w:sz w:val="40"/>
          <w:szCs w:val="40"/>
          <w:lang w:val="en-CA" w:eastAsia="en-CA"/>
        </w:rPr>
      </w:pPr>
      <w:r w:rsidRPr="00824BC8">
        <w:rPr>
          <w:sz w:val="40"/>
          <w:szCs w:val="40"/>
          <w:lang w:eastAsia="en-CA"/>
        </w:rPr>
        <w:lastRenderedPageBreak/>
        <w:t>Population by occupational group as of March 31, 2019</w:t>
      </w:r>
    </w:p>
    <w:p w:rsidR="005B375F" w:rsidRPr="00374A6E" w:rsidRDefault="00D735BF"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1980000" cy="3020400"/>
            <wp:effectExtent l="0" t="0" r="1270" b="8890"/>
            <wp:docPr id="5" name="Chart 5" descr="Population by occupational group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24BC8">
        <w:rPr>
          <w:lang w:val="en-CA"/>
        </w:rPr>
        <w:br w:type="textWrapping" w:clear="all"/>
      </w:r>
    </w:p>
    <w:p w:rsidR="007415BD" w:rsidRPr="00374A6E" w:rsidRDefault="005B375F" w:rsidP="005B375F">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3</w:t>
      </w:r>
      <w:r w:rsidRPr="00374A6E">
        <w:rPr>
          <w:rFonts w:asciiTheme="minorHAnsi" w:hAnsiTheme="minorHAnsi" w:cstheme="minorHAnsi"/>
        </w:rPr>
        <w:t xml:space="preserve"> - Population by occupational group as of March 31, 2019</w:t>
      </w:r>
    </w:p>
    <w:p w:rsidR="0010688F" w:rsidRPr="00374A6E" w:rsidRDefault="0010688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6</w:t>
      </w:r>
      <w:r w:rsidR="009501EE">
        <w:rPr>
          <w:noProof/>
        </w:rPr>
        <w:fldChar w:fldCharType="end"/>
      </w:r>
      <w:r w:rsidRPr="00374A6E">
        <w:t xml:space="preserve"> - Top occupational groups, as a percentage of the Public Service Employment Act population for fiscal year 2018 to 2019</w:t>
      </w:r>
    </w:p>
    <w:tbl>
      <w:tblPr>
        <w:tblStyle w:val="TableGrid"/>
        <w:tblW w:w="5000" w:type="pct"/>
        <w:jc w:val="center"/>
        <w:tblLook w:val="04A0" w:firstRow="1" w:lastRow="0" w:firstColumn="1" w:lastColumn="0" w:noHBand="0" w:noVBand="1"/>
        <w:tblDescription w:val="Population by occupational group as of March 31, 2019"/>
      </w:tblPr>
      <w:tblGrid>
        <w:gridCol w:w="4956"/>
        <w:gridCol w:w="3882"/>
        <w:gridCol w:w="5552"/>
      </w:tblGrid>
      <w:tr w:rsidR="0066207E" w:rsidRPr="00374A6E" w:rsidTr="00C53FE3">
        <w:trPr>
          <w:cantSplit/>
          <w:tblHeader/>
          <w:jc w:val="center"/>
        </w:trPr>
        <w:tc>
          <w:tcPr>
            <w:tcW w:w="1722" w:type="pct"/>
          </w:tcPr>
          <w:p w:rsidR="006F0590" w:rsidRPr="00374A6E" w:rsidRDefault="006F0590" w:rsidP="0066207E">
            <w:pPr>
              <w:pStyle w:val="TableTitle"/>
              <w:rPr>
                <w:color w:val="auto"/>
                <w:sz w:val="22"/>
                <w:lang w:val="en-CA"/>
              </w:rPr>
            </w:pPr>
            <w:r w:rsidRPr="00374A6E">
              <w:rPr>
                <w:color w:val="auto"/>
                <w:sz w:val="22"/>
                <w:lang w:val="en-CA"/>
              </w:rPr>
              <w:t>Occupational group</w:t>
            </w:r>
          </w:p>
        </w:tc>
        <w:tc>
          <w:tcPr>
            <w:tcW w:w="1349" w:type="pct"/>
          </w:tcPr>
          <w:p w:rsidR="006F0590" w:rsidRPr="00374A6E" w:rsidRDefault="006F0590" w:rsidP="0066207E">
            <w:pPr>
              <w:pStyle w:val="TableTitle"/>
              <w:rPr>
                <w:color w:val="auto"/>
                <w:sz w:val="22"/>
                <w:lang w:val="en-CA"/>
              </w:rPr>
            </w:pPr>
            <w:r w:rsidRPr="00374A6E">
              <w:rPr>
                <w:color w:val="auto"/>
                <w:sz w:val="22"/>
                <w:lang w:val="en-CA"/>
              </w:rPr>
              <w:t>Population as of March 31, 2019</w:t>
            </w:r>
          </w:p>
        </w:tc>
        <w:tc>
          <w:tcPr>
            <w:tcW w:w="1929" w:type="pct"/>
          </w:tcPr>
          <w:p w:rsidR="006F0590" w:rsidRPr="00374A6E" w:rsidRDefault="006F0590" w:rsidP="0066207E">
            <w:pPr>
              <w:pStyle w:val="TableTitle"/>
              <w:rPr>
                <w:color w:val="auto"/>
                <w:sz w:val="22"/>
                <w:lang w:val="en-CA"/>
              </w:rPr>
            </w:pPr>
            <w:r w:rsidRPr="00374A6E">
              <w:rPr>
                <w:color w:val="auto"/>
                <w:sz w:val="22"/>
                <w:lang w:val="en-CA"/>
              </w:rPr>
              <w:t>Percentage of population as of March 31, 2019</w:t>
            </w:r>
          </w:p>
        </w:tc>
      </w:tr>
      <w:tr w:rsidR="006F0590" w:rsidRPr="00374A6E" w:rsidTr="00C53FE3">
        <w:trPr>
          <w:cantSplit/>
          <w:tblHeader/>
          <w:jc w:val="center"/>
        </w:trPr>
        <w:tc>
          <w:tcPr>
            <w:tcW w:w="1722"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PC – Physical Sciences</w:t>
            </w:r>
          </w:p>
        </w:tc>
        <w:tc>
          <w:tcPr>
            <w:tcW w:w="1349" w:type="pct"/>
          </w:tcPr>
          <w:p w:rsidR="006F0590" w:rsidRPr="00374A6E" w:rsidRDefault="006F0590" w:rsidP="00192FA3">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1 299</w:t>
            </w:r>
          </w:p>
        </w:tc>
        <w:tc>
          <w:tcPr>
            <w:tcW w:w="192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19%</w:t>
            </w:r>
          </w:p>
        </w:tc>
      </w:tr>
      <w:tr w:rsidR="006F0590" w:rsidRPr="00374A6E" w:rsidTr="00C53FE3">
        <w:trPr>
          <w:cantSplit/>
          <w:tblHeader/>
          <w:jc w:val="center"/>
        </w:trPr>
        <w:tc>
          <w:tcPr>
            <w:tcW w:w="1722"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AS – Administrative Services</w:t>
            </w:r>
          </w:p>
        </w:tc>
        <w:tc>
          <w:tcPr>
            <w:tcW w:w="1349" w:type="pct"/>
          </w:tcPr>
          <w:p w:rsidR="006F0590" w:rsidRPr="00374A6E" w:rsidRDefault="006F0590" w:rsidP="00192FA3">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898</w:t>
            </w:r>
          </w:p>
        </w:tc>
        <w:tc>
          <w:tcPr>
            <w:tcW w:w="192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13%</w:t>
            </w:r>
          </w:p>
        </w:tc>
      </w:tr>
      <w:tr w:rsidR="006F0590" w:rsidRPr="00374A6E" w:rsidTr="00C53FE3">
        <w:trPr>
          <w:cantSplit/>
          <w:tblHeader/>
          <w:jc w:val="center"/>
        </w:trPr>
        <w:tc>
          <w:tcPr>
            <w:tcW w:w="1722"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EG – Engineering and Scientific Support</w:t>
            </w:r>
          </w:p>
        </w:tc>
        <w:tc>
          <w:tcPr>
            <w:tcW w:w="1349" w:type="pct"/>
          </w:tcPr>
          <w:p w:rsidR="006F0590" w:rsidRPr="00374A6E" w:rsidRDefault="006F0590" w:rsidP="00192FA3">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831</w:t>
            </w:r>
          </w:p>
        </w:tc>
        <w:tc>
          <w:tcPr>
            <w:tcW w:w="192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12%</w:t>
            </w:r>
          </w:p>
        </w:tc>
      </w:tr>
      <w:tr w:rsidR="006F0590" w:rsidRPr="00374A6E" w:rsidTr="00C53FE3">
        <w:trPr>
          <w:cantSplit/>
          <w:tblHeader/>
          <w:jc w:val="center"/>
        </w:trPr>
        <w:tc>
          <w:tcPr>
            <w:tcW w:w="1722" w:type="pct"/>
          </w:tcPr>
          <w:p w:rsidR="006F0590" w:rsidRPr="00374A6E" w:rsidRDefault="006F0590" w:rsidP="0066207E">
            <w:pPr>
              <w:rPr>
                <w:rFonts w:asciiTheme="minorHAnsi" w:hAnsiTheme="minorHAnsi" w:cstheme="minorHAnsi"/>
                <w:sz w:val="22"/>
                <w:lang w:val="en-CA"/>
              </w:rPr>
            </w:pPr>
            <w:r w:rsidRPr="00374A6E">
              <w:rPr>
                <w:rFonts w:asciiTheme="minorHAnsi" w:eastAsiaTheme="minorHAnsi" w:hAnsiTheme="minorHAnsi" w:cstheme="minorHAnsi"/>
                <w:sz w:val="22"/>
                <w:lang w:val="en-CA"/>
              </w:rPr>
              <w:t>EC – Economics and Social Science Services</w:t>
            </w:r>
          </w:p>
        </w:tc>
        <w:tc>
          <w:tcPr>
            <w:tcW w:w="1349" w:type="pct"/>
          </w:tcPr>
          <w:p w:rsidR="006F0590" w:rsidRPr="00374A6E" w:rsidRDefault="006F0590" w:rsidP="00192FA3">
            <w:pPr>
              <w:jc w:val="center"/>
              <w:rPr>
                <w:rFonts w:asciiTheme="minorHAnsi" w:hAnsiTheme="minorHAnsi" w:cstheme="minorHAnsi"/>
                <w:sz w:val="22"/>
                <w:lang w:val="en-CA"/>
              </w:rPr>
            </w:pPr>
            <w:r w:rsidRPr="00374A6E">
              <w:rPr>
                <w:rFonts w:asciiTheme="minorHAnsi" w:eastAsiaTheme="minorHAnsi" w:hAnsiTheme="minorHAnsi" w:cstheme="minorHAnsi"/>
                <w:sz w:val="22"/>
                <w:lang w:val="en-CA"/>
              </w:rPr>
              <w:t>630</w:t>
            </w:r>
          </w:p>
        </w:tc>
        <w:tc>
          <w:tcPr>
            <w:tcW w:w="192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9%</w:t>
            </w:r>
          </w:p>
        </w:tc>
      </w:tr>
      <w:tr w:rsidR="006F0590" w:rsidRPr="00374A6E" w:rsidTr="00C53FE3">
        <w:trPr>
          <w:cantSplit/>
          <w:tblHeader/>
          <w:jc w:val="center"/>
        </w:trPr>
        <w:tc>
          <w:tcPr>
            <w:tcW w:w="1722" w:type="pct"/>
          </w:tcPr>
          <w:p w:rsidR="006F0590" w:rsidRPr="00374A6E" w:rsidRDefault="006F0590" w:rsidP="0066207E">
            <w:pP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Other</w:t>
            </w:r>
          </w:p>
        </w:tc>
        <w:tc>
          <w:tcPr>
            <w:tcW w:w="134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3 221</w:t>
            </w:r>
          </w:p>
        </w:tc>
        <w:tc>
          <w:tcPr>
            <w:tcW w:w="1929" w:type="pct"/>
          </w:tcPr>
          <w:p w:rsidR="006F0590" w:rsidRPr="00374A6E" w:rsidRDefault="006F0590" w:rsidP="00192FA3">
            <w:pPr>
              <w:jc w:val="center"/>
              <w:rPr>
                <w:rFonts w:asciiTheme="minorHAnsi" w:eastAsiaTheme="minorHAnsi" w:hAnsiTheme="minorHAnsi" w:cstheme="minorHAnsi"/>
                <w:sz w:val="22"/>
                <w:lang w:val="en-CA"/>
              </w:rPr>
            </w:pPr>
            <w:r w:rsidRPr="00374A6E">
              <w:rPr>
                <w:rFonts w:asciiTheme="minorHAnsi" w:eastAsiaTheme="minorHAnsi" w:hAnsiTheme="minorHAnsi" w:cstheme="minorHAnsi"/>
                <w:sz w:val="22"/>
                <w:lang w:val="en-CA"/>
              </w:rPr>
              <w:t>47%</w:t>
            </w:r>
          </w:p>
        </w:tc>
      </w:tr>
    </w:tbl>
    <w:p w:rsidR="008A041F" w:rsidRPr="00374A6E" w:rsidRDefault="008A041F" w:rsidP="008A041F">
      <w:pPr>
        <w:numPr>
          <w:ilvl w:val="1"/>
          <w:numId w:val="0"/>
        </w:numPr>
        <w:spacing w:after="160"/>
        <w:rPr>
          <w:rFonts w:asciiTheme="minorHAnsi" w:eastAsiaTheme="minorEastAsia" w:hAnsiTheme="minorHAnsi" w:cstheme="minorBidi"/>
          <w:color w:val="8E9296" w:themeColor="text1" w:themeTint="A5"/>
          <w:spacing w:val="15"/>
          <w:sz w:val="22"/>
          <w:szCs w:val="22"/>
          <w:lang w:val="en-CA"/>
        </w:rPr>
        <w:sectPr w:rsidR="008A041F" w:rsidRPr="00374A6E" w:rsidSect="006F0590">
          <w:type w:val="continuous"/>
          <w:pgSz w:w="15840" w:h="12240" w:orient="landscape"/>
          <w:pgMar w:top="1025" w:right="720" w:bottom="720" w:left="720" w:header="708" w:footer="708" w:gutter="0"/>
          <w:cols w:space="709"/>
          <w:titlePg/>
          <w:docGrid w:linePitch="360"/>
        </w:sectPr>
      </w:pPr>
    </w:p>
    <w:p w:rsidR="00824BC8" w:rsidRPr="00824BC8" w:rsidRDefault="00824BC8" w:rsidP="00824BC8">
      <w:pPr>
        <w:pStyle w:val="Heading1"/>
        <w:spacing w:before="120" w:after="100" w:afterAutospacing="1"/>
        <w:rPr>
          <w:sz w:val="40"/>
          <w:szCs w:val="40"/>
          <w:lang w:val="en-CA"/>
        </w:rPr>
      </w:pPr>
      <w:r w:rsidRPr="00824BC8">
        <w:rPr>
          <w:sz w:val="40"/>
          <w:szCs w:val="40"/>
        </w:rPr>
        <w:lastRenderedPageBreak/>
        <w:t>Population by region as of March 31, 2019</w:t>
      </w:r>
    </w:p>
    <w:p w:rsidR="005B375F" w:rsidRPr="00374A6E" w:rsidRDefault="008A041F"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1980000" cy="3020400"/>
            <wp:effectExtent l="0" t="0" r="1270" b="8890"/>
            <wp:docPr id="12" name="Chart 12" descr="Population by region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24BC8">
        <w:rPr>
          <w:lang w:val="en-CA"/>
        </w:rPr>
        <w:br w:type="textWrapping" w:clear="all"/>
      </w:r>
    </w:p>
    <w:p w:rsidR="000D76EB" w:rsidRPr="00374A6E" w:rsidRDefault="005B375F" w:rsidP="005B375F">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4</w:t>
      </w:r>
      <w:r w:rsidRPr="00374A6E">
        <w:rPr>
          <w:rFonts w:asciiTheme="minorHAnsi" w:hAnsiTheme="minorHAnsi" w:cstheme="minorHAnsi"/>
        </w:rPr>
        <w:t xml:space="preserve"> - Population by region as of March 31, 2019</w:t>
      </w:r>
    </w:p>
    <w:p w:rsidR="002C4DFF" w:rsidRPr="00374A6E" w:rsidRDefault="002C4DF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7</w:t>
      </w:r>
      <w:r w:rsidR="009501EE">
        <w:rPr>
          <w:noProof/>
        </w:rPr>
        <w:fldChar w:fldCharType="end"/>
      </w:r>
      <w:r w:rsidRPr="00374A6E">
        <w:t xml:space="preserve"> - Distribution by region, as a percentage of the Public Service Employment Act population for fiscal year 2018 to 2019</w:t>
      </w:r>
    </w:p>
    <w:tbl>
      <w:tblPr>
        <w:tblStyle w:val="TableGrid"/>
        <w:tblW w:w="5000" w:type="pct"/>
        <w:jc w:val="center"/>
        <w:tblLook w:val="04A0" w:firstRow="1" w:lastRow="0" w:firstColumn="1" w:lastColumn="0" w:noHBand="0" w:noVBand="1"/>
        <w:tblDescription w:val="Population by region as of March 31, 2019"/>
      </w:tblPr>
      <w:tblGrid>
        <w:gridCol w:w="3908"/>
        <w:gridCol w:w="4314"/>
        <w:gridCol w:w="6168"/>
      </w:tblGrid>
      <w:tr w:rsidR="0066207E" w:rsidRPr="00374A6E" w:rsidTr="00C53FE3">
        <w:trPr>
          <w:cantSplit/>
          <w:tblHeader/>
          <w:jc w:val="center"/>
        </w:trPr>
        <w:tc>
          <w:tcPr>
            <w:tcW w:w="1358" w:type="pct"/>
          </w:tcPr>
          <w:p w:rsidR="002320EC" w:rsidRPr="00374A6E" w:rsidRDefault="002320EC" w:rsidP="0066207E">
            <w:pPr>
              <w:pStyle w:val="TableTitle"/>
              <w:rPr>
                <w:color w:val="auto"/>
                <w:sz w:val="22"/>
                <w:lang w:val="en-CA"/>
              </w:rPr>
            </w:pPr>
            <w:r w:rsidRPr="00374A6E">
              <w:rPr>
                <w:color w:val="auto"/>
                <w:sz w:val="22"/>
                <w:lang w:val="en-CA"/>
              </w:rPr>
              <w:t>Region</w:t>
            </w:r>
          </w:p>
        </w:tc>
        <w:tc>
          <w:tcPr>
            <w:tcW w:w="1499" w:type="pct"/>
          </w:tcPr>
          <w:p w:rsidR="002320EC" w:rsidRPr="00374A6E" w:rsidRDefault="002320EC" w:rsidP="0066207E">
            <w:pPr>
              <w:pStyle w:val="TableTitle"/>
              <w:rPr>
                <w:color w:val="auto"/>
                <w:sz w:val="22"/>
                <w:lang w:val="en-CA"/>
              </w:rPr>
            </w:pPr>
            <w:r w:rsidRPr="00374A6E">
              <w:rPr>
                <w:color w:val="auto"/>
                <w:sz w:val="22"/>
                <w:lang w:val="en-CA"/>
              </w:rPr>
              <w:t>Population as of March 31, 2019</w:t>
            </w:r>
          </w:p>
        </w:tc>
        <w:tc>
          <w:tcPr>
            <w:tcW w:w="2143" w:type="pct"/>
          </w:tcPr>
          <w:p w:rsidR="002320EC" w:rsidRPr="00374A6E" w:rsidRDefault="002320EC" w:rsidP="0066207E">
            <w:pPr>
              <w:pStyle w:val="TableTitle"/>
              <w:rPr>
                <w:color w:val="auto"/>
                <w:sz w:val="22"/>
                <w:lang w:val="en-CA"/>
              </w:rPr>
            </w:pPr>
            <w:r w:rsidRPr="00374A6E">
              <w:rPr>
                <w:color w:val="auto"/>
                <w:sz w:val="22"/>
                <w:lang w:val="en-CA"/>
              </w:rPr>
              <w:t>Percentage of population as of March 31, 2019</w:t>
            </w:r>
          </w:p>
        </w:tc>
      </w:tr>
      <w:tr w:rsidR="002320EC" w:rsidRPr="00374A6E" w:rsidTr="00C53FE3">
        <w:trPr>
          <w:cantSplit/>
          <w:tblHeader/>
          <w:jc w:val="center"/>
        </w:trPr>
        <w:tc>
          <w:tcPr>
            <w:tcW w:w="1358" w:type="pct"/>
          </w:tcPr>
          <w:p w:rsidR="002320EC" w:rsidRPr="00374A6E" w:rsidRDefault="002320EC" w:rsidP="002320EC">
            <w:pPr>
              <w:rPr>
                <w:rFonts w:asciiTheme="minorHAnsi" w:hAnsiTheme="minorHAnsi" w:cstheme="minorHAnsi"/>
                <w:sz w:val="22"/>
                <w:szCs w:val="22"/>
                <w:lang w:val="en-CA"/>
              </w:rPr>
            </w:pPr>
            <w:r w:rsidRPr="00374A6E">
              <w:rPr>
                <w:rFonts w:asciiTheme="minorHAnsi" w:eastAsiaTheme="minorHAnsi" w:hAnsiTheme="minorHAnsi" w:cstheme="minorHAnsi"/>
                <w:sz w:val="22"/>
                <w:szCs w:val="22"/>
                <w:lang w:val="en-CA"/>
              </w:rPr>
              <w:t>National Capital Region (NCR)</w:t>
            </w:r>
          </w:p>
        </w:tc>
        <w:tc>
          <w:tcPr>
            <w:tcW w:w="1499" w:type="pct"/>
          </w:tcPr>
          <w:p w:rsidR="002320EC" w:rsidRPr="00374A6E" w:rsidRDefault="002320EC"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sz w:val="22"/>
                <w:szCs w:val="22"/>
                <w:lang w:val="en-CA"/>
              </w:rPr>
              <w:t>3 186</w:t>
            </w:r>
          </w:p>
        </w:tc>
        <w:tc>
          <w:tcPr>
            <w:tcW w:w="2143" w:type="pct"/>
          </w:tcPr>
          <w:p w:rsidR="002320EC" w:rsidRPr="00374A6E" w:rsidRDefault="002320EC" w:rsidP="00CF2950">
            <w:pPr>
              <w:autoSpaceDE w:val="0"/>
              <w:autoSpaceDN w:val="0"/>
              <w:adjustRightInd w:val="0"/>
              <w:jc w:val="center"/>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44%</w:t>
            </w:r>
          </w:p>
        </w:tc>
      </w:tr>
      <w:tr w:rsidR="002320EC" w:rsidRPr="00374A6E" w:rsidTr="00C53FE3">
        <w:trPr>
          <w:cantSplit/>
          <w:tblHeader/>
          <w:jc w:val="center"/>
        </w:trPr>
        <w:tc>
          <w:tcPr>
            <w:tcW w:w="1358" w:type="pct"/>
          </w:tcPr>
          <w:p w:rsidR="002320EC" w:rsidRPr="00374A6E" w:rsidRDefault="002320EC" w:rsidP="002320EC">
            <w:pPr>
              <w:rPr>
                <w:rFonts w:asciiTheme="minorHAnsi" w:hAnsiTheme="minorHAnsi" w:cstheme="minorHAnsi"/>
                <w:sz w:val="22"/>
                <w:szCs w:val="22"/>
                <w:lang w:val="en-CA"/>
              </w:rPr>
            </w:pPr>
            <w:r w:rsidRPr="00374A6E">
              <w:rPr>
                <w:rFonts w:asciiTheme="minorHAnsi" w:eastAsiaTheme="minorHAnsi" w:hAnsiTheme="minorHAnsi" w:cstheme="minorHAnsi"/>
                <w:sz w:val="22"/>
                <w:szCs w:val="22"/>
                <w:lang w:val="en-CA"/>
              </w:rPr>
              <w:t>Non-NCR</w:t>
            </w:r>
          </w:p>
        </w:tc>
        <w:tc>
          <w:tcPr>
            <w:tcW w:w="1499" w:type="pct"/>
          </w:tcPr>
          <w:p w:rsidR="002320EC" w:rsidRPr="00374A6E" w:rsidRDefault="002320EC"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sz w:val="22"/>
                <w:szCs w:val="22"/>
                <w:lang w:val="en-CA"/>
              </w:rPr>
              <w:t>4 103</w:t>
            </w:r>
          </w:p>
        </w:tc>
        <w:tc>
          <w:tcPr>
            <w:tcW w:w="2143" w:type="pct"/>
          </w:tcPr>
          <w:p w:rsidR="002320EC" w:rsidRPr="00374A6E" w:rsidRDefault="002320EC" w:rsidP="00CF2950">
            <w:pPr>
              <w:autoSpaceDE w:val="0"/>
              <w:autoSpaceDN w:val="0"/>
              <w:adjustRightInd w:val="0"/>
              <w:jc w:val="center"/>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56%</w:t>
            </w:r>
          </w:p>
        </w:tc>
      </w:tr>
      <w:tr w:rsidR="002320EC" w:rsidRPr="00374A6E" w:rsidTr="00C53FE3">
        <w:trPr>
          <w:cantSplit/>
          <w:tblHeader/>
          <w:jc w:val="center"/>
        </w:trPr>
        <w:tc>
          <w:tcPr>
            <w:tcW w:w="1358" w:type="pct"/>
          </w:tcPr>
          <w:p w:rsidR="002320EC" w:rsidRPr="00374A6E" w:rsidRDefault="002320EC" w:rsidP="002320EC">
            <w:pPr>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Unknown</w:t>
            </w:r>
          </w:p>
        </w:tc>
        <w:tc>
          <w:tcPr>
            <w:tcW w:w="1499" w:type="pct"/>
          </w:tcPr>
          <w:p w:rsidR="002320EC" w:rsidRPr="00374A6E" w:rsidRDefault="002320EC" w:rsidP="00CF2950">
            <w:pPr>
              <w:jc w:val="center"/>
              <w:rPr>
                <w:rFonts w:asciiTheme="minorHAnsi" w:eastAsiaTheme="minorHAnsi" w:hAnsiTheme="minorHAnsi" w:cstheme="minorHAnsi"/>
                <w:sz w:val="22"/>
                <w:szCs w:val="22"/>
                <w:lang w:val="en-CA"/>
              </w:rPr>
            </w:pPr>
            <w:r w:rsidRPr="00374A6E">
              <w:rPr>
                <w:rFonts w:asciiTheme="minorHAnsi" w:eastAsiaTheme="minorHAnsi" w:hAnsiTheme="minorHAnsi" w:cstheme="minorHAnsi"/>
                <w:sz w:val="22"/>
                <w:szCs w:val="22"/>
                <w:lang w:val="en-CA"/>
              </w:rPr>
              <w:t>2</w:t>
            </w:r>
          </w:p>
        </w:tc>
        <w:tc>
          <w:tcPr>
            <w:tcW w:w="2143" w:type="pct"/>
          </w:tcPr>
          <w:p w:rsidR="002320EC" w:rsidRPr="00374A6E" w:rsidRDefault="001045EC" w:rsidP="00CF2950">
            <w:pPr>
              <w:jc w:val="center"/>
              <w:rPr>
                <w:rFonts w:asciiTheme="minorHAnsi" w:hAnsiTheme="minorHAnsi" w:cstheme="minorHAnsi"/>
                <w:sz w:val="22"/>
                <w:szCs w:val="22"/>
                <w:lang w:val="en-CA"/>
              </w:rPr>
            </w:pPr>
            <w:r>
              <w:rPr>
                <w:rFonts w:asciiTheme="minorHAnsi" w:hAnsiTheme="minorHAnsi" w:cstheme="minorHAnsi"/>
                <w:sz w:val="22"/>
                <w:szCs w:val="22"/>
                <w:lang w:val="en-CA"/>
              </w:rPr>
              <w:t>0%</w:t>
            </w:r>
          </w:p>
        </w:tc>
      </w:tr>
    </w:tbl>
    <w:p w:rsidR="00D11DA6" w:rsidRPr="00374A6E" w:rsidRDefault="00D11DA6" w:rsidP="00D11DA6">
      <w:pPr>
        <w:tabs>
          <w:tab w:val="left" w:pos="3686"/>
          <w:tab w:val="left" w:pos="7797"/>
        </w:tabs>
        <w:autoSpaceDE w:val="0"/>
        <w:autoSpaceDN w:val="0"/>
        <w:adjustRightInd w:val="0"/>
        <w:rPr>
          <w:rFonts w:asciiTheme="minorHAnsi" w:eastAsiaTheme="minorHAnsi" w:hAnsiTheme="minorHAnsi" w:cstheme="minorHAnsi"/>
          <w:sz w:val="22"/>
          <w:szCs w:val="22"/>
          <w:lang w:val="en-CA"/>
        </w:rPr>
      </w:pPr>
    </w:p>
    <w:p w:rsidR="00D11DA6" w:rsidRPr="00374A6E" w:rsidRDefault="00D11DA6" w:rsidP="00D11DA6">
      <w:pPr>
        <w:tabs>
          <w:tab w:val="left" w:pos="3686"/>
          <w:tab w:val="left" w:pos="7797"/>
        </w:tabs>
        <w:autoSpaceDE w:val="0"/>
        <w:autoSpaceDN w:val="0"/>
        <w:adjustRightInd w:val="0"/>
        <w:ind w:left="170"/>
        <w:rPr>
          <w:rFonts w:asciiTheme="minorHAnsi" w:eastAsiaTheme="minorHAnsi" w:hAnsiTheme="minorHAnsi" w:cstheme="minorHAnsi"/>
          <w:color w:val="000000"/>
          <w:sz w:val="22"/>
          <w:szCs w:val="22"/>
          <w:lang w:val="en-CA"/>
        </w:rPr>
        <w:sectPr w:rsidR="00D11DA6" w:rsidRPr="00374A6E" w:rsidSect="002320EC">
          <w:type w:val="continuous"/>
          <w:pgSz w:w="15840" w:h="12240" w:orient="landscape"/>
          <w:pgMar w:top="1025" w:right="720" w:bottom="720" w:left="720" w:header="708" w:footer="708" w:gutter="0"/>
          <w:cols w:space="624"/>
          <w:titlePg/>
          <w:docGrid w:linePitch="360"/>
        </w:sectPr>
      </w:pPr>
    </w:p>
    <w:p w:rsidR="00574AAE" w:rsidRPr="00574AAE" w:rsidRDefault="00574AAE" w:rsidP="00574AAE">
      <w:pPr>
        <w:pStyle w:val="Heading1"/>
        <w:spacing w:before="120" w:after="120"/>
        <w:rPr>
          <w:sz w:val="40"/>
          <w:szCs w:val="40"/>
          <w:lang w:val="en-CA"/>
        </w:rPr>
      </w:pPr>
      <w:r w:rsidRPr="00574AAE">
        <w:rPr>
          <w:sz w:val="40"/>
          <w:szCs w:val="40"/>
          <w:lang w:eastAsia="en-CA"/>
        </w:rPr>
        <w:lastRenderedPageBreak/>
        <w:t>External indeterminate hires by occupational group</w:t>
      </w:r>
    </w:p>
    <w:p w:rsidR="00356AB8" w:rsidRPr="00374A6E" w:rsidRDefault="008A041F"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1980000" cy="3020400"/>
            <wp:effectExtent l="0" t="0" r="1270" b="8890"/>
            <wp:docPr id="7" name="Chart 7" descr="External indeterminate hires by occupational group,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74AAE">
        <w:rPr>
          <w:lang w:val="en-CA"/>
        </w:rPr>
        <w:br w:type="textWrapping" w:clear="all"/>
      </w:r>
    </w:p>
    <w:p w:rsidR="00B803BD" w:rsidRPr="00374A6E" w:rsidRDefault="00356AB8" w:rsidP="00356AB8">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5</w:t>
      </w:r>
      <w:r w:rsidRPr="00374A6E">
        <w:rPr>
          <w:rFonts w:asciiTheme="minorHAnsi" w:hAnsiTheme="minorHAnsi" w:cstheme="minorHAnsi"/>
        </w:rPr>
        <w:t xml:space="preserve"> - External indeterminate hires by occupational group, 2018-19</w:t>
      </w:r>
    </w:p>
    <w:p w:rsidR="002C4DFF" w:rsidRPr="00374A6E" w:rsidRDefault="002C4DF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8</w:t>
      </w:r>
      <w:r w:rsidR="009501EE">
        <w:rPr>
          <w:noProof/>
        </w:rPr>
        <w:fldChar w:fldCharType="end"/>
      </w:r>
      <w:r w:rsidRPr="00374A6E">
        <w:t xml:space="preserve"> - External indeterminate hires by top occupational groups, for fiscal year 2018 to 2019</w:t>
      </w:r>
    </w:p>
    <w:tbl>
      <w:tblPr>
        <w:tblStyle w:val="TableGrid"/>
        <w:tblW w:w="5000" w:type="pct"/>
        <w:jc w:val="center"/>
        <w:tblLook w:val="04A0" w:firstRow="1" w:lastRow="0" w:firstColumn="1" w:lastColumn="0" w:noHBand="0" w:noVBand="1"/>
        <w:tblDescription w:val="External indeterminate hires by occupational group, 2018-19&#10;"/>
      </w:tblPr>
      <w:tblGrid>
        <w:gridCol w:w="4559"/>
        <w:gridCol w:w="4605"/>
        <w:gridCol w:w="5226"/>
      </w:tblGrid>
      <w:tr w:rsidR="0066207E" w:rsidRPr="00374A6E" w:rsidTr="00626DA2">
        <w:trPr>
          <w:cantSplit/>
          <w:tblHeader/>
          <w:jc w:val="center"/>
        </w:trPr>
        <w:tc>
          <w:tcPr>
            <w:tcW w:w="1584" w:type="pct"/>
          </w:tcPr>
          <w:p w:rsidR="009B0E85" w:rsidRPr="00374A6E" w:rsidRDefault="009B0E85" w:rsidP="0066207E">
            <w:pPr>
              <w:pStyle w:val="TableTitle"/>
              <w:rPr>
                <w:color w:val="auto"/>
                <w:sz w:val="22"/>
                <w:lang w:val="en-CA"/>
              </w:rPr>
            </w:pPr>
            <w:r w:rsidRPr="00374A6E">
              <w:rPr>
                <w:color w:val="auto"/>
                <w:sz w:val="22"/>
                <w:lang w:val="en-CA"/>
              </w:rPr>
              <w:t>Occupational group</w:t>
            </w:r>
          </w:p>
        </w:tc>
        <w:tc>
          <w:tcPr>
            <w:tcW w:w="1600" w:type="pct"/>
          </w:tcPr>
          <w:p w:rsidR="009B0E85" w:rsidRPr="00374A6E" w:rsidRDefault="009B0E85" w:rsidP="0066207E">
            <w:pPr>
              <w:pStyle w:val="TableTitle"/>
              <w:rPr>
                <w:color w:val="auto"/>
                <w:sz w:val="22"/>
                <w:lang w:val="en-CA"/>
              </w:rPr>
            </w:pPr>
            <w:r w:rsidRPr="00374A6E">
              <w:rPr>
                <w:color w:val="auto"/>
                <w:sz w:val="22"/>
                <w:lang w:val="en-CA"/>
              </w:rPr>
              <w:t>Number of indeterminate hiring activities</w:t>
            </w:r>
          </w:p>
        </w:tc>
        <w:tc>
          <w:tcPr>
            <w:tcW w:w="1816" w:type="pct"/>
          </w:tcPr>
          <w:p w:rsidR="009B0E85" w:rsidRPr="00374A6E" w:rsidRDefault="009B0E85" w:rsidP="0066207E">
            <w:pPr>
              <w:pStyle w:val="TableTitle"/>
              <w:rPr>
                <w:color w:val="auto"/>
                <w:sz w:val="22"/>
                <w:lang w:val="en-CA"/>
              </w:rPr>
            </w:pPr>
            <w:r w:rsidRPr="00374A6E">
              <w:rPr>
                <w:color w:val="auto"/>
                <w:sz w:val="22"/>
                <w:lang w:val="en-CA"/>
              </w:rPr>
              <w:t>Percentage of all indeterminate hiring activities</w:t>
            </w:r>
          </w:p>
        </w:tc>
      </w:tr>
      <w:tr w:rsidR="009B0E85" w:rsidRPr="00374A6E" w:rsidTr="00626DA2">
        <w:trPr>
          <w:cantSplit/>
          <w:tblHeader/>
          <w:jc w:val="center"/>
        </w:trPr>
        <w:tc>
          <w:tcPr>
            <w:tcW w:w="1584" w:type="pct"/>
          </w:tcPr>
          <w:p w:rsidR="009B0E85" w:rsidRPr="00374A6E" w:rsidRDefault="009B0E85" w:rsidP="009B0E85">
            <w:pP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PC – Physical Sciences</w:t>
            </w:r>
          </w:p>
        </w:tc>
        <w:tc>
          <w:tcPr>
            <w:tcW w:w="1600" w:type="pct"/>
          </w:tcPr>
          <w:p w:rsidR="009B0E85" w:rsidRPr="00374A6E" w:rsidRDefault="009B0E85"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71</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18%</w:t>
            </w:r>
          </w:p>
        </w:tc>
      </w:tr>
      <w:tr w:rsidR="009B0E85" w:rsidRPr="00374A6E" w:rsidTr="00626DA2">
        <w:trPr>
          <w:cantSplit/>
          <w:tblHeader/>
          <w:jc w:val="center"/>
        </w:trPr>
        <w:tc>
          <w:tcPr>
            <w:tcW w:w="1584" w:type="pct"/>
          </w:tcPr>
          <w:p w:rsidR="009B0E85" w:rsidRPr="00374A6E" w:rsidRDefault="009B0E85" w:rsidP="009B0E85">
            <w:pP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EC – Economics and Social Science Services</w:t>
            </w:r>
          </w:p>
        </w:tc>
        <w:tc>
          <w:tcPr>
            <w:tcW w:w="1600" w:type="pct"/>
          </w:tcPr>
          <w:p w:rsidR="009B0E85" w:rsidRPr="00374A6E" w:rsidRDefault="009B0E85"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55</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14%</w:t>
            </w:r>
          </w:p>
        </w:tc>
      </w:tr>
      <w:tr w:rsidR="009B0E85" w:rsidRPr="00374A6E" w:rsidTr="00626DA2">
        <w:trPr>
          <w:cantSplit/>
          <w:tblHeader/>
          <w:jc w:val="center"/>
        </w:trPr>
        <w:tc>
          <w:tcPr>
            <w:tcW w:w="1584" w:type="pct"/>
          </w:tcPr>
          <w:p w:rsidR="009B0E85" w:rsidRPr="00374A6E" w:rsidRDefault="009B0E85" w:rsidP="009B0E85">
            <w:pP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AS – Administrative Services</w:t>
            </w:r>
          </w:p>
        </w:tc>
        <w:tc>
          <w:tcPr>
            <w:tcW w:w="1600" w:type="pct"/>
          </w:tcPr>
          <w:p w:rsidR="009B0E85" w:rsidRPr="00374A6E" w:rsidRDefault="009B0E85"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54</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14%</w:t>
            </w:r>
          </w:p>
        </w:tc>
      </w:tr>
      <w:tr w:rsidR="009B0E85" w:rsidRPr="00374A6E" w:rsidTr="00626DA2">
        <w:trPr>
          <w:cantSplit/>
          <w:tblHeader/>
          <w:jc w:val="center"/>
        </w:trPr>
        <w:tc>
          <w:tcPr>
            <w:tcW w:w="1584" w:type="pct"/>
          </w:tcPr>
          <w:p w:rsidR="009B0E85" w:rsidRPr="00374A6E" w:rsidRDefault="009B0E85" w:rsidP="009B0E85">
            <w:pP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EG – Engineering and Scientific Support</w:t>
            </w:r>
          </w:p>
        </w:tc>
        <w:tc>
          <w:tcPr>
            <w:tcW w:w="1600" w:type="pct"/>
          </w:tcPr>
          <w:p w:rsidR="009B0E85" w:rsidRPr="00374A6E" w:rsidRDefault="009B0E85" w:rsidP="00CF2950">
            <w:pPr>
              <w:jc w:val="cente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41</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10%</w:t>
            </w:r>
          </w:p>
        </w:tc>
      </w:tr>
      <w:tr w:rsidR="009B0E85" w:rsidRPr="00374A6E" w:rsidTr="00626DA2">
        <w:trPr>
          <w:cantSplit/>
          <w:tblHeader/>
          <w:jc w:val="center"/>
        </w:trPr>
        <w:tc>
          <w:tcPr>
            <w:tcW w:w="1584" w:type="pct"/>
          </w:tcPr>
          <w:p w:rsidR="009B0E85" w:rsidRPr="00374A6E" w:rsidRDefault="009B0E85" w:rsidP="009B0E85">
            <w:pPr>
              <w:rPr>
                <w:rFonts w:asciiTheme="minorHAnsi" w:hAnsiTheme="minorHAnsi" w:cstheme="minorHAnsi"/>
                <w:sz w:val="22"/>
                <w:szCs w:val="22"/>
                <w:lang w:val="en-CA"/>
              </w:rPr>
            </w:pPr>
            <w:r w:rsidRPr="00374A6E">
              <w:rPr>
                <w:rFonts w:asciiTheme="minorHAnsi" w:eastAsiaTheme="minorHAnsi" w:hAnsiTheme="minorHAnsi" w:cstheme="minorHAnsi"/>
                <w:color w:val="000000"/>
                <w:sz w:val="22"/>
                <w:szCs w:val="22"/>
                <w:lang w:val="en-CA"/>
              </w:rPr>
              <w:t>Other</w:t>
            </w:r>
          </w:p>
        </w:tc>
        <w:tc>
          <w:tcPr>
            <w:tcW w:w="1600" w:type="pct"/>
          </w:tcPr>
          <w:p w:rsidR="009B0E85" w:rsidRPr="00374A6E" w:rsidRDefault="009B0E85"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179</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45%</w:t>
            </w:r>
          </w:p>
        </w:tc>
      </w:tr>
      <w:tr w:rsidR="009B0E85" w:rsidRPr="00374A6E" w:rsidTr="00626DA2">
        <w:trPr>
          <w:cantSplit/>
          <w:tblHeader/>
          <w:jc w:val="center"/>
        </w:trPr>
        <w:tc>
          <w:tcPr>
            <w:tcW w:w="1584" w:type="pct"/>
          </w:tcPr>
          <w:p w:rsidR="009B0E85" w:rsidRPr="00374A6E" w:rsidRDefault="009B0E85" w:rsidP="009B0E85">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Total</w:t>
            </w:r>
          </w:p>
        </w:tc>
        <w:tc>
          <w:tcPr>
            <w:tcW w:w="1600" w:type="pct"/>
          </w:tcPr>
          <w:p w:rsidR="009B0E85" w:rsidRPr="00374A6E" w:rsidRDefault="009B0E85"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400</w:t>
            </w:r>
          </w:p>
        </w:tc>
        <w:tc>
          <w:tcPr>
            <w:tcW w:w="1816" w:type="pct"/>
          </w:tcPr>
          <w:p w:rsidR="009B0E85" w:rsidRPr="00374A6E" w:rsidRDefault="009B0E85"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100%</w:t>
            </w:r>
          </w:p>
        </w:tc>
      </w:tr>
    </w:tbl>
    <w:p w:rsidR="00FE0D9D" w:rsidRPr="00374A6E" w:rsidRDefault="00FE0D9D" w:rsidP="008A041F">
      <w:pPr>
        <w:numPr>
          <w:ilvl w:val="1"/>
          <w:numId w:val="0"/>
        </w:numPr>
        <w:spacing w:after="160"/>
        <w:ind w:left="1440"/>
        <w:rPr>
          <w:rFonts w:asciiTheme="minorHAnsi" w:eastAsiaTheme="minorEastAsia" w:hAnsiTheme="minorHAnsi" w:cstheme="minorBidi"/>
          <w:color w:val="8E9296" w:themeColor="text1" w:themeTint="A5"/>
          <w:spacing w:val="15"/>
          <w:sz w:val="22"/>
          <w:szCs w:val="22"/>
          <w:lang w:val="en-CA"/>
        </w:rPr>
        <w:sectPr w:rsidR="00FE0D9D" w:rsidRPr="00374A6E" w:rsidSect="009B0E85">
          <w:type w:val="continuous"/>
          <w:pgSz w:w="15840" w:h="12240" w:orient="landscape"/>
          <w:pgMar w:top="1025" w:right="720" w:bottom="720" w:left="720" w:header="708" w:footer="708" w:gutter="0"/>
          <w:cols w:space="284"/>
          <w:titlePg/>
          <w:docGrid w:linePitch="360"/>
        </w:sectPr>
      </w:pPr>
    </w:p>
    <w:p w:rsidR="008C0422" w:rsidRPr="008C0422" w:rsidRDefault="008C0422" w:rsidP="008C0422">
      <w:pPr>
        <w:pStyle w:val="Heading1"/>
        <w:spacing w:before="120" w:after="120"/>
        <w:rPr>
          <w:sz w:val="40"/>
          <w:szCs w:val="40"/>
          <w:lang w:val="en-CA" w:eastAsia="en-CA"/>
        </w:rPr>
      </w:pPr>
      <w:r w:rsidRPr="008C0422">
        <w:rPr>
          <w:sz w:val="40"/>
          <w:szCs w:val="40"/>
          <w:lang w:val="en-CA" w:eastAsia="en-CA"/>
        </w:rPr>
        <w:lastRenderedPageBreak/>
        <w:t>Staffing by region</w:t>
      </w:r>
    </w:p>
    <w:p w:rsidR="008C0422" w:rsidRDefault="008C0422" w:rsidP="00356AB8">
      <w:pPr>
        <w:keepNext/>
        <w:numPr>
          <w:ilvl w:val="1"/>
          <w:numId w:val="0"/>
        </w:numPr>
        <w:jc w:val="center"/>
        <w:rPr>
          <w:lang w:val="en-CA"/>
        </w:rPr>
      </w:pPr>
    </w:p>
    <w:p w:rsidR="00356AB8" w:rsidRPr="00374A6E" w:rsidRDefault="00D735BF" w:rsidP="00356AB8">
      <w:pPr>
        <w:keepNext/>
        <w:numPr>
          <w:ilvl w:val="1"/>
          <w:numId w:val="0"/>
        </w:numPr>
        <w:jc w:val="center"/>
        <w:rPr>
          <w:lang w:val="en-CA"/>
        </w:rPr>
      </w:pPr>
      <w:r w:rsidRPr="00374A6E">
        <w:rPr>
          <w:rStyle w:val="Strong"/>
          <w:rFonts w:eastAsiaTheme="minorEastAsia"/>
          <w:noProof/>
          <w:lang w:val="en-CA" w:eastAsia="en-CA"/>
        </w:rPr>
        <w:drawing>
          <wp:inline distT="0" distB="0" distL="0" distR="0" wp14:anchorId="01FA916D" wp14:editId="04A9B447">
            <wp:extent cx="5648400" cy="3049200"/>
            <wp:effectExtent l="0" t="0" r="9525" b="18415"/>
            <wp:docPr id="6" name="Chart 6" descr="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3267" w:rsidRPr="00374A6E" w:rsidRDefault="00356AB8" w:rsidP="00356AB8">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6</w:t>
      </w:r>
      <w:r w:rsidRPr="00374A6E">
        <w:rPr>
          <w:rFonts w:asciiTheme="minorHAnsi" w:hAnsiTheme="minorHAnsi" w:cstheme="minorHAnsi"/>
        </w:rPr>
        <w:t xml:space="preserve"> - Staffing by region</w:t>
      </w:r>
    </w:p>
    <w:p w:rsidR="002C4DFF" w:rsidRPr="00374A6E" w:rsidRDefault="002C4DF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9</w:t>
      </w:r>
      <w:r w:rsidR="009501EE">
        <w:rPr>
          <w:noProof/>
        </w:rPr>
        <w:fldChar w:fldCharType="end"/>
      </w:r>
      <w:r w:rsidRPr="00374A6E">
        <w:t xml:space="preserve"> - Percentage of staffing activities in the National Capital Region compared with all other regions by fiscal year</w:t>
      </w:r>
    </w:p>
    <w:tbl>
      <w:tblPr>
        <w:tblStyle w:val="TableGrid"/>
        <w:tblW w:w="5000" w:type="pct"/>
        <w:jc w:val="center"/>
        <w:tblLook w:val="04A0" w:firstRow="1" w:lastRow="0" w:firstColumn="1" w:lastColumn="0" w:noHBand="0" w:noVBand="1"/>
        <w:tblDescription w:val="Staffing by region from 2014 to 2019&#10;"/>
      </w:tblPr>
      <w:tblGrid>
        <w:gridCol w:w="1540"/>
        <w:gridCol w:w="6760"/>
        <w:gridCol w:w="6090"/>
      </w:tblGrid>
      <w:tr w:rsidR="00551D58" w:rsidRPr="00374A6E" w:rsidTr="00626DA2">
        <w:trPr>
          <w:cantSplit/>
          <w:tblHeader/>
          <w:jc w:val="center"/>
        </w:trPr>
        <w:tc>
          <w:tcPr>
            <w:tcW w:w="535" w:type="pct"/>
          </w:tcPr>
          <w:p w:rsidR="005E31BD" w:rsidRPr="00374A6E" w:rsidRDefault="005E31BD" w:rsidP="00551D58">
            <w:pPr>
              <w:pStyle w:val="TableTitle"/>
              <w:rPr>
                <w:color w:val="auto"/>
                <w:sz w:val="22"/>
                <w:lang w:val="en-CA"/>
              </w:rPr>
            </w:pPr>
            <w:r w:rsidRPr="00374A6E">
              <w:rPr>
                <w:color w:val="auto"/>
                <w:sz w:val="22"/>
                <w:lang w:val="en-CA"/>
              </w:rPr>
              <w:t>Fiscal year</w:t>
            </w:r>
          </w:p>
        </w:tc>
        <w:tc>
          <w:tcPr>
            <w:tcW w:w="2349" w:type="pct"/>
          </w:tcPr>
          <w:p w:rsidR="005E31BD" w:rsidRPr="00374A6E" w:rsidRDefault="005E31BD" w:rsidP="00551D58">
            <w:pPr>
              <w:pStyle w:val="TableTitle"/>
              <w:rPr>
                <w:color w:val="auto"/>
                <w:sz w:val="22"/>
                <w:lang w:val="en-CA"/>
              </w:rPr>
            </w:pPr>
            <w:r w:rsidRPr="00374A6E">
              <w:rPr>
                <w:color w:val="auto"/>
                <w:sz w:val="22"/>
                <w:lang w:val="en-CA"/>
              </w:rPr>
              <w:t>% of staffing activities in the National Capital Region (NCR)</w:t>
            </w:r>
          </w:p>
        </w:tc>
        <w:tc>
          <w:tcPr>
            <w:tcW w:w="2116" w:type="pct"/>
          </w:tcPr>
          <w:p w:rsidR="005E31BD" w:rsidRPr="00374A6E" w:rsidRDefault="005E31BD" w:rsidP="00551D58">
            <w:pPr>
              <w:pStyle w:val="TableTitle"/>
              <w:rPr>
                <w:color w:val="auto"/>
                <w:sz w:val="22"/>
                <w:lang w:val="en-CA"/>
              </w:rPr>
            </w:pPr>
            <w:r w:rsidRPr="00374A6E">
              <w:rPr>
                <w:color w:val="auto"/>
                <w:sz w:val="22"/>
                <w:lang w:val="en-CA"/>
              </w:rPr>
              <w:t>% of staffing activities in all other regions (Non-NCR)</w:t>
            </w:r>
          </w:p>
        </w:tc>
      </w:tr>
      <w:tr w:rsidR="005E31BD" w:rsidRPr="00374A6E" w:rsidTr="00626DA2">
        <w:trPr>
          <w:cantSplit/>
          <w:tblHeader/>
          <w:jc w:val="center"/>
        </w:trPr>
        <w:tc>
          <w:tcPr>
            <w:tcW w:w="535"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2014 to 2015</w:t>
            </w:r>
          </w:p>
        </w:tc>
        <w:tc>
          <w:tcPr>
            <w:tcW w:w="2349"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43%</w:t>
            </w:r>
          </w:p>
        </w:tc>
        <w:tc>
          <w:tcPr>
            <w:tcW w:w="2116"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57%</w:t>
            </w:r>
          </w:p>
        </w:tc>
      </w:tr>
      <w:tr w:rsidR="005E31BD" w:rsidRPr="00374A6E" w:rsidTr="00626DA2">
        <w:trPr>
          <w:cantSplit/>
          <w:tblHeader/>
          <w:jc w:val="center"/>
        </w:trPr>
        <w:tc>
          <w:tcPr>
            <w:tcW w:w="535"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2015 to 2016</w:t>
            </w:r>
          </w:p>
        </w:tc>
        <w:tc>
          <w:tcPr>
            <w:tcW w:w="2349"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43%</w:t>
            </w:r>
          </w:p>
        </w:tc>
        <w:tc>
          <w:tcPr>
            <w:tcW w:w="2116"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57%</w:t>
            </w:r>
          </w:p>
        </w:tc>
      </w:tr>
      <w:tr w:rsidR="005E31BD" w:rsidRPr="00374A6E" w:rsidTr="00626DA2">
        <w:trPr>
          <w:cantSplit/>
          <w:tblHeader/>
          <w:jc w:val="center"/>
        </w:trPr>
        <w:tc>
          <w:tcPr>
            <w:tcW w:w="535"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2016 to 2017</w:t>
            </w:r>
          </w:p>
        </w:tc>
        <w:tc>
          <w:tcPr>
            <w:tcW w:w="2349"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53%</w:t>
            </w:r>
          </w:p>
        </w:tc>
        <w:tc>
          <w:tcPr>
            <w:tcW w:w="2116"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47%</w:t>
            </w:r>
          </w:p>
        </w:tc>
      </w:tr>
      <w:tr w:rsidR="005E31BD" w:rsidRPr="00374A6E" w:rsidTr="00626DA2">
        <w:trPr>
          <w:cantSplit/>
          <w:tblHeader/>
          <w:jc w:val="center"/>
        </w:trPr>
        <w:tc>
          <w:tcPr>
            <w:tcW w:w="535"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2017 to 2018</w:t>
            </w:r>
          </w:p>
        </w:tc>
        <w:tc>
          <w:tcPr>
            <w:tcW w:w="2349"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53%</w:t>
            </w:r>
          </w:p>
        </w:tc>
        <w:tc>
          <w:tcPr>
            <w:tcW w:w="2116"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47%</w:t>
            </w:r>
          </w:p>
        </w:tc>
      </w:tr>
      <w:tr w:rsidR="005E31BD" w:rsidRPr="00374A6E" w:rsidTr="00626DA2">
        <w:trPr>
          <w:cantSplit/>
          <w:tblHeader/>
          <w:jc w:val="center"/>
        </w:trPr>
        <w:tc>
          <w:tcPr>
            <w:tcW w:w="535" w:type="pct"/>
          </w:tcPr>
          <w:p w:rsidR="005E31BD" w:rsidRPr="00374A6E" w:rsidRDefault="005E31BD" w:rsidP="005E31BD">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2018 to 2019</w:t>
            </w:r>
          </w:p>
        </w:tc>
        <w:tc>
          <w:tcPr>
            <w:tcW w:w="2349" w:type="pct"/>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54%</w:t>
            </w:r>
          </w:p>
        </w:tc>
        <w:tc>
          <w:tcPr>
            <w:tcW w:w="2116"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46%</w:t>
            </w:r>
          </w:p>
        </w:tc>
      </w:tr>
    </w:tbl>
    <w:p w:rsidR="00D434A4" w:rsidRPr="00374A6E" w:rsidRDefault="00D434A4" w:rsidP="00D434A4">
      <w:pPr>
        <w:tabs>
          <w:tab w:val="left" w:pos="1985"/>
          <w:tab w:val="left" w:pos="8789"/>
        </w:tabs>
        <w:autoSpaceDE w:val="0"/>
        <w:autoSpaceDN w:val="0"/>
        <w:adjustRightInd w:val="0"/>
        <w:rPr>
          <w:rFonts w:asciiTheme="minorHAnsi" w:eastAsiaTheme="minorHAnsi" w:hAnsiTheme="minorHAnsi" w:cstheme="minorHAnsi"/>
          <w:color w:val="000000"/>
          <w:sz w:val="22"/>
          <w:szCs w:val="22"/>
          <w:lang w:val="en-CA"/>
        </w:rPr>
      </w:pPr>
    </w:p>
    <w:p w:rsidR="00D434A4" w:rsidRPr="00374A6E" w:rsidRDefault="00D434A4" w:rsidP="00D434A4">
      <w:pPr>
        <w:numPr>
          <w:ilvl w:val="1"/>
          <w:numId w:val="0"/>
        </w:numPr>
        <w:spacing w:after="160"/>
        <w:ind w:left="1440"/>
        <w:rPr>
          <w:rFonts w:asciiTheme="minorHAnsi" w:hAnsiTheme="minorHAnsi" w:cstheme="minorHAnsi"/>
          <w:szCs w:val="24"/>
          <w:lang w:val="en-CA" w:eastAsia="en-CA"/>
        </w:rPr>
        <w:sectPr w:rsidR="00D434A4" w:rsidRPr="00374A6E" w:rsidSect="005E31BD">
          <w:type w:val="continuous"/>
          <w:pgSz w:w="15840" w:h="12240" w:orient="landscape"/>
          <w:pgMar w:top="1025" w:right="720" w:bottom="720" w:left="720" w:header="708" w:footer="708" w:gutter="0"/>
          <w:cols w:space="510"/>
          <w:titlePg/>
          <w:docGrid w:linePitch="360"/>
        </w:sectPr>
      </w:pPr>
    </w:p>
    <w:p w:rsidR="00524420" w:rsidRPr="00524420" w:rsidRDefault="00524420" w:rsidP="00524420">
      <w:pPr>
        <w:pStyle w:val="Heading1"/>
        <w:spacing w:before="120" w:after="120"/>
        <w:rPr>
          <w:sz w:val="40"/>
          <w:szCs w:val="40"/>
          <w:lang w:val="en-CA" w:eastAsia="en-CA"/>
        </w:rPr>
      </w:pPr>
      <w:r w:rsidRPr="00524420">
        <w:rPr>
          <w:sz w:val="40"/>
          <w:szCs w:val="40"/>
          <w:lang w:val="en-CA" w:eastAsia="en-CA"/>
        </w:rPr>
        <w:lastRenderedPageBreak/>
        <w:t>Staffing by process type</w:t>
      </w:r>
    </w:p>
    <w:p w:rsidR="00010B96" w:rsidRPr="00374A6E" w:rsidRDefault="00D434A4" w:rsidP="00010B96">
      <w:pPr>
        <w:keepNext/>
        <w:numPr>
          <w:ilvl w:val="1"/>
          <w:numId w:val="0"/>
        </w:numPr>
        <w:jc w:val="center"/>
        <w:rPr>
          <w:lang w:val="en-CA"/>
        </w:rPr>
      </w:pPr>
      <w:r w:rsidRPr="00374A6E">
        <w:rPr>
          <w:rStyle w:val="Strong"/>
          <w:rFonts w:eastAsiaTheme="minorEastAsia"/>
          <w:noProof/>
          <w:lang w:val="en-CA" w:eastAsia="en-CA"/>
        </w:rPr>
        <w:drawing>
          <wp:inline distT="0" distB="0" distL="0" distR="0" wp14:anchorId="16AEEA88" wp14:editId="4F680FD7">
            <wp:extent cx="5648400" cy="3049200"/>
            <wp:effectExtent l="0" t="0" r="9525" b="18415"/>
            <wp:docPr id="4" name="Chart 4" descr="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E67BB" w:rsidRPr="00374A6E" w:rsidRDefault="00010B96" w:rsidP="00010B96">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7</w:t>
      </w:r>
      <w:r w:rsidRPr="00374A6E">
        <w:rPr>
          <w:rFonts w:asciiTheme="minorHAnsi" w:hAnsiTheme="minorHAnsi" w:cstheme="minorHAnsi"/>
        </w:rPr>
        <w:t xml:space="preserve"> - Staffing by process type</w:t>
      </w:r>
    </w:p>
    <w:p w:rsidR="002C4DFF" w:rsidRPr="00374A6E" w:rsidRDefault="002C4DF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10</w:t>
      </w:r>
      <w:r w:rsidR="009501EE">
        <w:rPr>
          <w:noProof/>
        </w:rPr>
        <w:fldChar w:fldCharType="end"/>
      </w:r>
      <w:r w:rsidRPr="00374A6E">
        <w:t xml:space="preserve"> - Number and percentage of staffing activities by type of process and fiscal year</w:t>
      </w:r>
    </w:p>
    <w:tbl>
      <w:tblPr>
        <w:tblStyle w:val="TableGrid"/>
        <w:tblW w:w="5000" w:type="pct"/>
        <w:jc w:val="center"/>
        <w:tblLook w:val="04A0" w:firstRow="1" w:lastRow="0" w:firstColumn="1" w:lastColumn="0" w:noHBand="0" w:noVBand="1"/>
        <w:tblDescription w:val="Staffing by process type from 2014 to 2019&#10;"/>
      </w:tblPr>
      <w:tblGrid>
        <w:gridCol w:w="1672"/>
        <w:gridCol w:w="5917"/>
        <w:gridCol w:w="2769"/>
        <w:gridCol w:w="4032"/>
      </w:tblGrid>
      <w:tr w:rsidR="005E31BD" w:rsidRPr="00374A6E" w:rsidTr="00626DA2">
        <w:trPr>
          <w:cantSplit/>
          <w:tblHeader/>
          <w:jc w:val="center"/>
        </w:trPr>
        <w:tc>
          <w:tcPr>
            <w:tcW w:w="581" w:type="pct"/>
          </w:tcPr>
          <w:p w:rsidR="005E31BD" w:rsidRPr="00374A6E" w:rsidRDefault="005E31BD" w:rsidP="005E31BD">
            <w:pPr>
              <w:pStyle w:val="TableTitle"/>
              <w:spacing w:before="0"/>
              <w:rPr>
                <w:rFonts w:eastAsiaTheme="minorHAnsi"/>
                <w:color w:val="auto"/>
                <w:sz w:val="22"/>
                <w:szCs w:val="22"/>
                <w:lang w:val="en-CA"/>
              </w:rPr>
            </w:pPr>
            <w:r w:rsidRPr="00374A6E">
              <w:rPr>
                <w:rFonts w:eastAsiaTheme="minorHAnsi"/>
                <w:color w:val="auto"/>
                <w:sz w:val="22"/>
                <w:szCs w:val="22"/>
                <w:lang w:val="en-CA"/>
              </w:rPr>
              <w:t>Fiscal year</w:t>
            </w:r>
          </w:p>
        </w:tc>
        <w:tc>
          <w:tcPr>
            <w:tcW w:w="2056" w:type="pct"/>
          </w:tcPr>
          <w:p w:rsidR="005E31BD" w:rsidRPr="00374A6E" w:rsidRDefault="005E31BD" w:rsidP="005E31BD">
            <w:pPr>
              <w:pStyle w:val="TableTitle"/>
              <w:spacing w:before="0"/>
              <w:rPr>
                <w:rFonts w:eastAsiaTheme="minorHAnsi"/>
                <w:color w:val="auto"/>
                <w:sz w:val="22"/>
                <w:szCs w:val="22"/>
                <w:lang w:val="en-CA"/>
              </w:rPr>
            </w:pPr>
            <w:r w:rsidRPr="00374A6E">
              <w:rPr>
                <w:rFonts w:eastAsiaTheme="minorHAnsi"/>
                <w:color w:val="auto"/>
                <w:sz w:val="22"/>
                <w:szCs w:val="22"/>
                <w:lang w:val="en-CA"/>
              </w:rPr>
              <w:t>Non-advertised processes (excludes unknowns)</w:t>
            </w:r>
          </w:p>
        </w:tc>
        <w:tc>
          <w:tcPr>
            <w:tcW w:w="962" w:type="pct"/>
          </w:tcPr>
          <w:p w:rsidR="005E31BD" w:rsidRPr="00374A6E" w:rsidRDefault="005E31BD" w:rsidP="005E31BD">
            <w:pPr>
              <w:pStyle w:val="TableTitle"/>
              <w:spacing w:before="0"/>
              <w:rPr>
                <w:rFonts w:eastAsiaTheme="minorHAnsi"/>
                <w:color w:val="auto"/>
                <w:sz w:val="22"/>
                <w:szCs w:val="22"/>
                <w:lang w:val="en-CA"/>
              </w:rPr>
            </w:pPr>
            <w:r w:rsidRPr="00374A6E">
              <w:rPr>
                <w:rFonts w:eastAsiaTheme="minorHAnsi"/>
                <w:color w:val="auto"/>
                <w:sz w:val="22"/>
                <w:szCs w:val="22"/>
                <w:lang w:val="en-CA"/>
              </w:rPr>
              <w:t>Advertised processes</w:t>
            </w:r>
          </w:p>
        </w:tc>
        <w:tc>
          <w:tcPr>
            <w:tcW w:w="1401" w:type="pct"/>
          </w:tcPr>
          <w:p w:rsidR="005E31BD" w:rsidRPr="00374A6E" w:rsidRDefault="005E31BD" w:rsidP="005E31BD">
            <w:pPr>
              <w:pStyle w:val="TableTitle"/>
              <w:spacing w:before="0"/>
              <w:rPr>
                <w:rFonts w:eastAsiaTheme="minorHAnsi"/>
                <w:color w:val="auto"/>
                <w:sz w:val="22"/>
                <w:szCs w:val="22"/>
                <w:lang w:val="en-CA"/>
              </w:rPr>
            </w:pPr>
            <w:r w:rsidRPr="00374A6E">
              <w:rPr>
                <w:rFonts w:eastAsiaTheme="minorHAnsi"/>
                <w:color w:val="auto"/>
                <w:sz w:val="22"/>
                <w:szCs w:val="22"/>
                <w:lang w:val="en-CA"/>
              </w:rPr>
              <w:t>% of Non- advertised processes</w:t>
            </w:r>
          </w:p>
        </w:tc>
      </w:tr>
      <w:tr w:rsidR="005E31BD" w:rsidRPr="00374A6E" w:rsidTr="00626DA2">
        <w:trPr>
          <w:cantSplit/>
          <w:tblHeader/>
          <w:jc w:val="center"/>
        </w:trPr>
        <w:tc>
          <w:tcPr>
            <w:tcW w:w="581"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 xml:space="preserve">2014 to 2015 </w:t>
            </w:r>
          </w:p>
        </w:tc>
        <w:tc>
          <w:tcPr>
            <w:tcW w:w="2056"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324</w:t>
            </w:r>
          </w:p>
        </w:tc>
        <w:tc>
          <w:tcPr>
            <w:tcW w:w="962"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614</w:t>
            </w:r>
          </w:p>
        </w:tc>
        <w:tc>
          <w:tcPr>
            <w:tcW w:w="1401"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35%</w:t>
            </w:r>
          </w:p>
        </w:tc>
      </w:tr>
      <w:tr w:rsidR="005E31BD" w:rsidRPr="00374A6E" w:rsidTr="00626DA2">
        <w:trPr>
          <w:cantSplit/>
          <w:tblHeader/>
          <w:jc w:val="center"/>
        </w:trPr>
        <w:tc>
          <w:tcPr>
            <w:tcW w:w="581"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 xml:space="preserve">2015 to 2016 </w:t>
            </w:r>
          </w:p>
        </w:tc>
        <w:tc>
          <w:tcPr>
            <w:tcW w:w="2056"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293</w:t>
            </w:r>
          </w:p>
        </w:tc>
        <w:tc>
          <w:tcPr>
            <w:tcW w:w="962"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441</w:t>
            </w:r>
          </w:p>
        </w:tc>
        <w:tc>
          <w:tcPr>
            <w:tcW w:w="1401"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40%</w:t>
            </w:r>
          </w:p>
        </w:tc>
      </w:tr>
      <w:tr w:rsidR="005E31BD" w:rsidRPr="00374A6E" w:rsidTr="00626DA2">
        <w:trPr>
          <w:cantSplit/>
          <w:tblHeader/>
          <w:jc w:val="center"/>
        </w:trPr>
        <w:tc>
          <w:tcPr>
            <w:tcW w:w="581"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2016 to 2017</w:t>
            </w:r>
          </w:p>
        </w:tc>
        <w:tc>
          <w:tcPr>
            <w:tcW w:w="2056"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318</w:t>
            </w:r>
          </w:p>
        </w:tc>
        <w:tc>
          <w:tcPr>
            <w:tcW w:w="962"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554</w:t>
            </w:r>
          </w:p>
        </w:tc>
        <w:tc>
          <w:tcPr>
            <w:tcW w:w="1401"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36%</w:t>
            </w:r>
          </w:p>
        </w:tc>
      </w:tr>
      <w:tr w:rsidR="005E31BD" w:rsidRPr="00374A6E" w:rsidTr="00626DA2">
        <w:trPr>
          <w:cantSplit/>
          <w:tblHeader/>
          <w:jc w:val="center"/>
        </w:trPr>
        <w:tc>
          <w:tcPr>
            <w:tcW w:w="581" w:type="pct"/>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2017 to 2018</w:t>
            </w:r>
          </w:p>
        </w:tc>
        <w:tc>
          <w:tcPr>
            <w:tcW w:w="2056"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543</w:t>
            </w:r>
          </w:p>
        </w:tc>
        <w:tc>
          <w:tcPr>
            <w:tcW w:w="962" w:type="pct"/>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789</w:t>
            </w:r>
          </w:p>
        </w:tc>
        <w:tc>
          <w:tcPr>
            <w:tcW w:w="1401"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41%</w:t>
            </w:r>
          </w:p>
        </w:tc>
      </w:tr>
      <w:tr w:rsidR="005E31BD" w:rsidRPr="00374A6E" w:rsidTr="00626DA2">
        <w:trPr>
          <w:cantSplit/>
          <w:tblHeader/>
          <w:jc w:val="center"/>
        </w:trPr>
        <w:tc>
          <w:tcPr>
            <w:tcW w:w="581" w:type="pct"/>
          </w:tcPr>
          <w:p w:rsidR="005E31BD" w:rsidRPr="00374A6E" w:rsidRDefault="005E31BD" w:rsidP="005E31BD">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2018 to 2019</w:t>
            </w:r>
          </w:p>
        </w:tc>
        <w:tc>
          <w:tcPr>
            <w:tcW w:w="2056" w:type="pct"/>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739</w:t>
            </w:r>
          </w:p>
        </w:tc>
        <w:tc>
          <w:tcPr>
            <w:tcW w:w="962" w:type="pct"/>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975</w:t>
            </w:r>
          </w:p>
        </w:tc>
        <w:tc>
          <w:tcPr>
            <w:tcW w:w="1401" w:type="pct"/>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43%</w:t>
            </w:r>
          </w:p>
        </w:tc>
      </w:tr>
    </w:tbl>
    <w:p w:rsidR="003173A1" w:rsidRPr="00374A6E" w:rsidRDefault="003173A1" w:rsidP="003173A1">
      <w:pPr>
        <w:tabs>
          <w:tab w:val="left" w:pos="2127"/>
          <w:tab w:val="left" w:pos="7655"/>
          <w:tab w:val="left" w:pos="10490"/>
        </w:tabs>
        <w:autoSpaceDE w:val="0"/>
        <w:autoSpaceDN w:val="0"/>
        <w:adjustRightInd w:val="0"/>
        <w:rPr>
          <w:rFonts w:asciiTheme="minorHAnsi" w:eastAsiaTheme="minorHAnsi" w:hAnsiTheme="minorHAnsi" w:cstheme="minorHAnsi"/>
          <w:color w:val="000000"/>
          <w:sz w:val="22"/>
          <w:szCs w:val="22"/>
          <w:lang w:val="en-CA"/>
        </w:rPr>
      </w:pPr>
    </w:p>
    <w:p w:rsidR="003173A1" w:rsidRPr="00374A6E" w:rsidRDefault="003173A1" w:rsidP="003173A1">
      <w:pPr>
        <w:numPr>
          <w:ilvl w:val="0"/>
          <w:numId w:val="13"/>
        </w:numPr>
        <w:spacing w:before="120"/>
        <w:rPr>
          <w:rFonts w:asciiTheme="minorHAnsi" w:hAnsiTheme="minorHAnsi" w:cstheme="minorHAnsi"/>
          <w:szCs w:val="24"/>
          <w:lang w:val="en-CA" w:eastAsia="en-CA"/>
        </w:rPr>
        <w:sectPr w:rsidR="003173A1" w:rsidRPr="00374A6E" w:rsidSect="005E31BD">
          <w:type w:val="continuous"/>
          <w:pgSz w:w="15840" w:h="12240" w:orient="landscape"/>
          <w:pgMar w:top="1025" w:right="720" w:bottom="720" w:left="720" w:header="708" w:footer="708" w:gutter="0"/>
          <w:cols w:space="397"/>
          <w:titlePg/>
          <w:docGrid w:linePitch="360"/>
        </w:sectPr>
      </w:pPr>
    </w:p>
    <w:p w:rsidR="003173A1" w:rsidRPr="00374A6E" w:rsidRDefault="003173A1" w:rsidP="002C4DFF">
      <w:pPr>
        <w:numPr>
          <w:ilvl w:val="0"/>
          <w:numId w:val="13"/>
        </w:numPr>
        <w:spacing w:before="120"/>
        <w:rPr>
          <w:rFonts w:asciiTheme="minorHAnsi" w:hAnsiTheme="minorHAnsi" w:cstheme="minorHAnsi"/>
          <w:sz w:val="22"/>
          <w:szCs w:val="24"/>
          <w:lang w:val="en-CA" w:eastAsia="en-CA"/>
        </w:rPr>
      </w:pPr>
      <w:r w:rsidRPr="00374A6E">
        <w:rPr>
          <w:rFonts w:asciiTheme="minorHAnsi" w:hAnsiTheme="minorHAnsi" w:cstheme="minorHAnsi"/>
          <w:sz w:val="22"/>
          <w:szCs w:val="24"/>
          <w:lang w:val="en-CA" w:eastAsia="en-CA"/>
        </w:rPr>
        <w:t>Includes indeterminate and specified term appointments</w:t>
      </w:r>
    </w:p>
    <w:p w:rsidR="003173A1" w:rsidRPr="00374A6E" w:rsidRDefault="003173A1" w:rsidP="003173A1">
      <w:pPr>
        <w:numPr>
          <w:ilvl w:val="0"/>
          <w:numId w:val="13"/>
        </w:numPr>
        <w:spacing w:before="100" w:beforeAutospacing="1" w:after="100" w:afterAutospacing="1"/>
        <w:rPr>
          <w:rFonts w:asciiTheme="minorHAnsi" w:hAnsiTheme="minorHAnsi" w:cstheme="minorHAnsi"/>
          <w:sz w:val="22"/>
          <w:szCs w:val="24"/>
          <w:lang w:val="en-CA" w:eastAsia="en-CA"/>
        </w:rPr>
      </w:pPr>
      <w:r w:rsidRPr="00374A6E">
        <w:rPr>
          <w:rFonts w:asciiTheme="minorHAnsi" w:hAnsiTheme="minorHAnsi" w:cstheme="minorHAnsi"/>
          <w:sz w:val="22"/>
          <w:szCs w:val="24"/>
          <w:lang w:val="en-CA" w:eastAsia="en-CA"/>
        </w:rPr>
        <w:t>Excludes lateral and downward movements, deployments and acting appointments of less than 4 months</w:t>
      </w:r>
    </w:p>
    <w:p w:rsidR="004C6BE9" w:rsidRPr="00374A6E" w:rsidRDefault="003173A1" w:rsidP="003173A1">
      <w:pPr>
        <w:numPr>
          <w:ilvl w:val="0"/>
          <w:numId w:val="13"/>
        </w:numPr>
        <w:rPr>
          <w:rFonts w:asciiTheme="minorHAnsi" w:hAnsiTheme="minorHAnsi" w:cstheme="minorHAnsi"/>
          <w:szCs w:val="24"/>
          <w:lang w:val="en-CA" w:eastAsia="en-CA"/>
        </w:rPr>
        <w:sectPr w:rsidR="004C6BE9" w:rsidRPr="00374A6E" w:rsidSect="008A041F">
          <w:type w:val="continuous"/>
          <w:pgSz w:w="15840" w:h="12240" w:orient="landscape"/>
          <w:pgMar w:top="1025" w:right="720" w:bottom="720" w:left="720" w:header="708" w:footer="708" w:gutter="0"/>
          <w:cols w:space="708"/>
          <w:titlePg/>
          <w:docGrid w:linePitch="360"/>
        </w:sectPr>
      </w:pPr>
      <w:r w:rsidRPr="00374A6E">
        <w:rPr>
          <w:rFonts w:asciiTheme="minorHAnsi" w:hAnsiTheme="minorHAnsi" w:cstheme="minorHAnsi"/>
          <w:sz w:val="22"/>
          <w:szCs w:val="24"/>
          <w:lang w:val="en-CA" w:eastAsia="en-CA"/>
        </w:rPr>
        <w:t>Includes only appointments where the staffing process type is known (69% to 87% of appointments)</w:t>
      </w:r>
    </w:p>
    <w:p w:rsidR="00987AE3" w:rsidRPr="00987AE3" w:rsidRDefault="00987AE3" w:rsidP="00987AE3">
      <w:pPr>
        <w:pStyle w:val="Heading1"/>
        <w:spacing w:before="120" w:after="120"/>
        <w:rPr>
          <w:sz w:val="40"/>
          <w:szCs w:val="40"/>
          <w:lang w:val="en-CA"/>
        </w:rPr>
      </w:pPr>
      <w:r w:rsidRPr="00987AE3">
        <w:rPr>
          <w:rFonts w:eastAsia="Times New Roman"/>
          <w:sz w:val="40"/>
          <w:szCs w:val="40"/>
          <w:lang w:val="en-CA"/>
        </w:rPr>
        <w:lastRenderedPageBreak/>
        <w:t>Staffing by appointment type</w:t>
      </w:r>
    </w:p>
    <w:p w:rsidR="00010B96" w:rsidRPr="00374A6E" w:rsidRDefault="00D735BF"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5648400" cy="3049200"/>
            <wp:effectExtent l="0" t="0" r="9525" b="18415"/>
            <wp:docPr id="9" name="Chart 9" descr="Staffing by appointment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87AE3">
        <w:rPr>
          <w:lang w:val="en-CA"/>
        </w:rPr>
        <w:br w:type="textWrapping" w:clear="all"/>
      </w:r>
    </w:p>
    <w:p w:rsidR="00EE3915" w:rsidRPr="00374A6E" w:rsidRDefault="00010B96" w:rsidP="00010B96">
      <w:pPr>
        <w:pStyle w:val="Caption"/>
        <w:jc w:val="center"/>
        <w:rPr>
          <w:rFonts w:asciiTheme="minorHAnsi" w:hAnsiTheme="minorHAnsi" w:cstheme="minorHAnsi"/>
          <w:i/>
        </w:rPr>
      </w:pPr>
      <w:r w:rsidRPr="00374A6E">
        <w:rPr>
          <w:rFonts w:asciiTheme="minorHAnsi" w:hAnsiTheme="minorHAnsi" w:cstheme="minorHAnsi"/>
        </w:rPr>
        <w:t xml:space="preserve">Figure </w:t>
      </w:r>
      <w:r w:rsidR="006C0564">
        <w:rPr>
          <w:rFonts w:asciiTheme="minorHAnsi" w:hAnsiTheme="minorHAnsi" w:cstheme="minorHAnsi"/>
        </w:rPr>
        <w:t>8</w:t>
      </w:r>
      <w:r w:rsidRPr="00374A6E">
        <w:rPr>
          <w:rFonts w:asciiTheme="minorHAnsi" w:hAnsiTheme="minorHAnsi" w:cstheme="minorHAnsi"/>
        </w:rPr>
        <w:t xml:space="preserve"> - Staffing by appointment type</w:t>
      </w:r>
    </w:p>
    <w:p w:rsidR="002C4DFF" w:rsidRPr="00374A6E" w:rsidRDefault="002C4DFF" w:rsidP="009D4686">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11</w:t>
      </w:r>
      <w:r w:rsidR="009501EE">
        <w:rPr>
          <w:noProof/>
        </w:rPr>
        <w:fldChar w:fldCharType="end"/>
      </w:r>
      <w:r w:rsidRPr="00374A6E">
        <w:t xml:space="preserve"> - Staffing activities by appointment type and fiscal year</w:t>
      </w:r>
    </w:p>
    <w:tbl>
      <w:tblPr>
        <w:tblStyle w:val="TableGrid"/>
        <w:tblW w:w="0" w:type="auto"/>
        <w:jc w:val="center"/>
        <w:tblLayout w:type="fixed"/>
        <w:tblLook w:val="04A0" w:firstRow="1" w:lastRow="0" w:firstColumn="1" w:lastColumn="0" w:noHBand="0" w:noVBand="1"/>
        <w:tblDescription w:val="Staffing by appointment type from 2014 to 2019&#10;"/>
      </w:tblPr>
      <w:tblGrid>
        <w:gridCol w:w="1413"/>
        <w:gridCol w:w="1417"/>
        <w:gridCol w:w="1701"/>
        <w:gridCol w:w="4756"/>
        <w:gridCol w:w="4175"/>
        <w:gridCol w:w="928"/>
      </w:tblGrid>
      <w:tr w:rsidR="00A335BF" w:rsidRPr="00374A6E" w:rsidTr="00626DA2">
        <w:trPr>
          <w:cantSplit/>
          <w:tblHeader/>
          <w:jc w:val="center"/>
        </w:trPr>
        <w:tc>
          <w:tcPr>
            <w:tcW w:w="1413" w:type="dxa"/>
          </w:tcPr>
          <w:p w:rsidR="005E31BD" w:rsidRPr="00A335BF" w:rsidRDefault="005E31BD" w:rsidP="00A335BF">
            <w:pPr>
              <w:pStyle w:val="TableTitle"/>
              <w:rPr>
                <w:sz w:val="22"/>
                <w:szCs w:val="22"/>
              </w:rPr>
            </w:pPr>
            <w:r w:rsidRPr="00A335BF">
              <w:rPr>
                <w:sz w:val="22"/>
                <w:szCs w:val="22"/>
              </w:rPr>
              <w:t>Fiscal year</w:t>
            </w:r>
          </w:p>
        </w:tc>
        <w:tc>
          <w:tcPr>
            <w:tcW w:w="1417" w:type="dxa"/>
          </w:tcPr>
          <w:p w:rsidR="005E31BD" w:rsidRPr="00A335BF" w:rsidRDefault="005E31BD" w:rsidP="00A335BF">
            <w:pPr>
              <w:pStyle w:val="TableTitle"/>
              <w:rPr>
                <w:sz w:val="22"/>
                <w:szCs w:val="22"/>
              </w:rPr>
            </w:pPr>
            <w:r w:rsidRPr="00A335BF">
              <w:rPr>
                <w:sz w:val="22"/>
                <w:szCs w:val="22"/>
              </w:rPr>
              <w:t>Promotions</w:t>
            </w:r>
          </w:p>
        </w:tc>
        <w:tc>
          <w:tcPr>
            <w:tcW w:w="1701" w:type="dxa"/>
          </w:tcPr>
          <w:p w:rsidR="005E31BD" w:rsidRPr="00A335BF" w:rsidRDefault="005E31BD" w:rsidP="00A335BF">
            <w:pPr>
              <w:pStyle w:val="TableTitle"/>
              <w:rPr>
                <w:sz w:val="22"/>
                <w:szCs w:val="22"/>
              </w:rPr>
            </w:pPr>
            <w:r w:rsidRPr="00A335BF">
              <w:rPr>
                <w:sz w:val="22"/>
                <w:szCs w:val="22"/>
              </w:rPr>
              <w:t>Lateral and downward movements</w:t>
            </w:r>
          </w:p>
        </w:tc>
        <w:tc>
          <w:tcPr>
            <w:tcW w:w="4756" w:type="dxa"/>
          </w:tcPr>
          <w:p w:rsidR="005E31BD" w:rsidRPr="00A335BF" w:rsidRDefault="005E31BD" w:rsidP="00A335BF">
            <w:pPr>
              <w:pStyle w:val="TableTitle"/>
              <w:rPr>
                <w:sz w:val="22"/>
                <w:szCs w:val="22"/>
              </w:rPr>
            </w:pPr>
            <w:r w:rsidRPr="00A335BF">
              <w:rPr>
                <w:sz w:val="22"/>
                <w:szCs w:val="22"/>
              </w:rPr>
              <w:t>App</w:t>
            </w:r>
            <w:r w:rsidR="007B3EA7" w:rsidRPr="00A335BF">
              <w:rPr>
                <w:sz w:val="22"/>
                <w:szCs w:val="22"/>
              </w:rPr>
              <w:t xml:space="preserve">ointments to the public service </w:t>
            </w:r>
            <w:r w:rsidR="00864D9E">
              <w:rPr>
                <w:sz w:val="22"/>
                <w:szCs w:val="22"/>
              </w:rPr>
              <w:t>(includes casuals and students)</w:t>
            </w:r>
          </w:p>
        </w:tc>
        <w:tc>
          <w:tcPr>
            <w:tcW w:w="4175" w:type="dxa"/>
          </w:tcPr>
          <w:p w:rsidR="005E31BD" w:rsidRPr="00A335BF" w:rsidRDefault="007B3EA7" w:rsidP="00A335BF">
            <w:pPr>
              <w:pStyle w:val="TableTitle"/>
              <w:rPr>
                <w:sz w:val="22"/>
                <w:szCs w:val="22"/>
              </w:rPr>
            </w:pPr>
            <w:r w:rsidRPr="00A335BF">
              <w:rPr>
                <w:sz w:val="22"/>
                <w:szCs w:val="22"/>
              </w:rPr>
              <w:t>Acting appointments (excludes appointments of less than 4 months)</w:t>
            </w:r>
          </w:p>
        </w:tc>
        <w:tc>
          <w:tcPr>
            <w:tcW w:w="928" w:type="dxa"/>
          </w:tcPr>
          <w:p w:rsidR="005E31BD" w:rsidRPr="00A335BF" w:rsidRDefault="005E31BD" w:rsidP="00A335BF">
            <w:pPr>
              <w:pStyle w:val="TableTitle"/>
              <w:rPr>
                <w:sz w:val="22"/>
                <w:szCs w:val="22"/>
              </w:rPr>
            </w:pPr>
            <w:r w:rsidRPr="00A335BF">
              <w:rPr>
                <w:sz w:val="22"/>
                <w:szCs w:val="22"/>
              </w:rPr>
              <w:t>Total</w:t>
            </w:r>
          </w:p>
        </w:tc>
      </w:tr>
      <w:tr w:rsidR="00A335BF" w:rsidRPr="00374A6E" w:rsidTr="00626DA2">
        <w:trPr>
          <w:cantSplit/>
          <w:tblHeader/>
          <w:jc w:val="center"/>
        </w:trPr>
        <w:tc>
          <w:tcPr>
            <w:tcW w:w="1413" w:type="dxa"/>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2014 to 2015</w:t>
            </w:r>
          </w:p>
        </w:tc>
        <w:tc>
          <w:tcPr>
            <w:tcW w:w="1417"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463</w:t>
            </w:r>
          </w:p>
        </w:tc>
        <w:tc>
          <w:tcPr>
            <w:tcW w:w="1701"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464</w:t>
            </w:r>
          </w:p>
        </w:tc>
        <w:tc>
          <w:tcPr>
            <w:tcW w:w="4756"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1 848</w:t>
            </w:r>
            <w:r w:rsidR="007B3EA7">
              <w:rPr>
                <w:rFonts w:asciiTheme="minorHAnsi" w:eastAsiaTheme="minorHAnsi" w:hAnsiTheme="minorHAnsi" w:cstheme="minorHAnsi"/>
                <w:color w:val="000000"/>
                <w:sz w:val="22"/>
                <w:szCs w:val="22"/>
                <w:lang w:val="en-CA"/>
              </w:rPr>
              <w:t xml:space="preserve"> </w:t>
            </w:r>
          </w:p>
        </w:tc>
        <w:tc>
          <w:tcPr>
            <w:tcW w:w="4175"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428</w:t>
            </w:r>
          </w:p>
        </w:tc>
        <w:tc>
          <w:tcPr>
            <w:tcW w:w="928" w:type="dxa"/>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3 203</w:t>
            </w:r>
          </w:p>
        </w:tc>
      </w:tr>
      <w:tr w:rsidR="00A335BF" w:rsidRPr="00374A6E" w:rsidTr="00626DA2">
        <w:trPr>
          <w:cantSplit/>
          <w:tblHeader/>
          <w:jc w:val="center"/>
        </w:trPr>
        <w:tc>
          <w:tcPr>
            <w:tcW w:w="1413" w:type="dxa"/>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2015 to 2016</w:t>
            </w:r>
          </w:p>
        </w:tc>
        <w:tc>
          <w:tcPr>
            <w:tcW w:w="1417"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471</w:t>
            </w:r>
          </w:p>
        </w:tc>
        <w:tc>
          <w:tcPr>
            <w:tcW w:w="1701"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408</w:t>
            </w:r>
          </w:p>
        </w:tc>
        <w:tc>
          <w:tcPr>
            <w:tcW w:w="4756"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1 534</w:t>
            </w:r>
          </w:p>
        </w:tc>
        <w:tc>
          <w:tcPr>
            <w:tcW w:w="4175"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321</w:t>
            </w:r>
          </w:p>
        </w:tc>
        <w:tc>
          <w:tcPr>
            <w:tcW w:w="928" w:type="dxa"/>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2 734</w:t>
            </w:r>
          </w:p>
        </w:tc>
      </w:tr>
      <w:tr w:rsidR="00A335BF" w:rsidRPr="00374A6E" w:rsidTr="00626DA2">
        <w:trPr>
          <w:cantSplit/>
          <w:tblHeader/>
          <w:jc w:val="center"/>
        </w:trPr>
        <w:tc>
          <w:tcPr>
            <w:tcW w:w="1413" w:type="dxa"/>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2016 to 2017</w:t>
            </w:r>
          </w:p>
        </w:tc>
        <w:tc>
          <w:tcPr>
            <w:tcW w:w="1417"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603</w:t>
            </w:r>
          </w:p>
        </w:tc>
        <w:tc>
          <w:tcPr>
            <w:tcW w:w="1701"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576</w:t>
            </w:r>
          </w:p>
        </w:tc>
        <w:tc>
          <w:tcPr>
            <w:tcW w:w="4756"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1 850</w:t>
            </w:r>
          </w:p>
        </w:tc>
        <w:tc>
          <w:tcPr>
            <w:tcW w:w="4175"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167</w:t>
            </w:r>
          </w:p>
        </w:tc>
        <w:tc>
          <w:tcPr>
            <w:tcW w:w="928" w:type="dxa"/>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3 196</w:t>
            </w:r>
          </w:p>
        </w:tc>
      </w:tr>
      <w:tr w:rsidR="00A335BF" w:rsidRPr="00374A6E" w:rsidTr="00626DA2">
        <w:trPr>
          <w:cantSplit/>
          <w:tblHeader/>
          <w:jc w:val="center"/>
        </w:trPr>
        <w:tc>
          <w:tcPr>
            <w:tcW w:w="1413" w:type="dxa"/>
          </w:tcPr>
          <w:p w:rsidR="005E31BD" w:rsidRPr="00374A6E" w:rsidRDefault="005E31BD" w:rsidP="005E31BD">
            <w:pPr>
              <w:rPr>
                <w:sz w:val="22"/>
                <w:szCs w:val="22"/>
                <w:lang w:val="en-CA"/>
              </w:rPr>
            </w:pPr>
            <w:r w:rsidRPr="00374A6E">
              <w:rPr>
                <w:rFonts w:asciiTheme="minorHAnsi" w:eastAsiaTheme="minorHAnsi" w:hAnsiTheme="minorHAnsi" w:cstheme="minorHAnsi"/>
                <w:color w:val="000000"/>
                <w:sz w:val="22"/>
                <w:szCs w:val="22"/>
                <w:lang w:val="en-CA"/>
              </w:rPr>
              <w:t>2017 to 2018</w:t>
            </w:r>
          </w:p>
        </w:tc>
        <w:tc>
          <w:tcPr>
            <w:tcW w:w="1417"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786</w:t>
            </w:r>
          </w:p>
        </w:tc>
        <w:tc>
          <w:tcPr>
            <w:tcW w:w="1701"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662</w:t>
            </w:r>
          </w:p>
        </w:tc>
        <w:tc>
          <w:tcPr>
            <w:tcW w:w="4756"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2 021</w:t>
            </w:r>
          </w:p>
        </w:tc>
        <w:tc>
          <w:tcPr>
            <w:tcW w:w="4175" w:type="dxa"/>
          </w:tcPr>
          <w:p w:rsidR="005E31BD" w:rsidRPr="00374A6E" w:rsidRDefault="005E31BD" w:rsidP="00CF2950">
            <w:pPr>
              <w:jc w:val="center"/>
              <w:rPr>
                <w:sz w:val="22"/>
                <w:szCs w:val="22"/>
                <w:lang w:val="en-CA"/>
              </w:rPr>
            </w:pPr>
            <w:r w:rsidRPr="00374A6E">
              <w:rPr>
                <w:rFonts w:asciiTheme="minorHAnsi" w:eastAsiaTheme="minorHAnsi" w:hAnsiTheme="minorHAnsi" w:cstheme="minorHAnsi"/>
                <w:color w:val="000000"/>
                <w:sz w:val="22"/>
                <w:szCs w:val="22"/>
                <w:lang w:val="en-CA"/>
              </w:rPr>
              <w:t>286</w:t>
            </w:r>
          </w:p>
        </w:tc>
        <w:tc>
          <w:tcPr>
            <w:tcW w:w="928" w:type="dxa"/>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3 755</w:t>
            </w:r>
          </w:p>
        </w:tc>
      </w:tr>
      <w:tr w:rsidR="00A335BF" w:rsidRPr="00374A6E" w:rsidTr="00626DA2">
        <w:trPr>
          <w:cantSplit/>
          <w:tblHeader/>
          <w:jc w:val="center"/>
        </w:trPr>
        <w:tc>
          <w:tcPr>
            <w:tcW w:w="1413" w:type="dxa"/>
          </w:tcPr>
          <w:p w:rsidR="005E31BD" w:rsidRPr="00374A6E" w:rsidRDefault="005E31BD" w:rsidP="005E31BD">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2018 to 2019</w:t>
            </w:r>
          </w:p>
        </w:tc>
        <w:tc>
          <w:tcPr>
            <w:tcW w:w="1417" w:type="dxa"/>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951</w:t>
            </w:r>
          </w:p>
        </w:tc>
        <w:tc>
          <w:tcPr>
            <w:tcW w:w="1701" w:type="dxa"/>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741</w:t>
            </w:r>
          </w:p>
        </w:tc>
        <w:tc>
          <w:tcPr>
            <w:tcW w:w="4756" w:type="dxa"/>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2 484</w:t>
            </w:r>
          </w:p>
        </w:tc>
        <w:tc>
          <w:tcPr>
            <w:tcW w:w="4175" w:type="dxa"/>
          </w:tcPr>
          <w:p w:rsidR="005E31BD" w:rsidRPr="00374A6E" w:rsidRDefault="005E31B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318</w:t>
            </w:r>
          </w:p>
        </w:tc>
        <w:tc>
          <w:tcPr>
            <w:tcW w:w="928" w:type="dxa"/>
          </w:tcPr>
          <w:p w:rsidR="005E31BD" w:rsidRPr="00374A6E" w:rsidRDefault="005E31B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4 494</w:t>
            </w:r>
          </w:p>
        </w:tc>
      </w:tr>
    </w:tbl>
    <w:p w:rsidR="005E31BD" w:rsidRPr="00374A6E" w:rsidRDefault="005E31BD" w:rsidP="004C6BE9">
      <w:pPr>
        <w:tabs>
          <w:tab w:val="left" w:pos="1800"/>
          <w:tab w:val="left" w:pos="3281"/>
          <w:tab w:val="left" w:pos="7230"/>
          <w:tab w:val="left" w:pos="14601"/>
          <w:tab w:val="left" w:pos="22255"/>
        </w:tabs>
        <w:autoSpaceDE w:val="0"/>
        <w:autoSpaceDN w:val="0"/>
        <w:adjustRightInd w:val="0"/>
        <w:rPr>
          <w:rFonts w:asciiTheme="minorHAnsi" w:eastAsiaTheme="minorHAnsi" w:hAnsiTheme="minorHAnsi" w:cstheme="minorHAnsi"/>
          <w:color w:val="000000"/>
          <w:sz w:val="22"/>
          <w:szCs w:val="22"/>
          <w:lang w:val="en-CA"/>
        </w:rPr>
        <w:sectPr w:rsidR="005E31BD" w:rsidRPr="00374A6E" w:rsidSect="009D4686">
          <w:type w:val="continuous"/>
          <w:pgSz w:w="15840" w:h="12240" w:orient="landscape" w:code="1"/>
          <w:pgMar w:top="1025" w:right="720" w:bottom="720" w:left="720" w:header="708" w:footer="708" w:gutter="0"/>
          <w:cols w:space="284"/>
          <w:titlePg/>
          <w:docGrid w:linePitch="360"/>
        </w:sectPr>
      </w:pPr>
    </w:p>
    <w:p w:rsidR="009629F4" w:rsidRPr="009629F4" w:rsidRDefault="009629F4" w:rsidP="009629F4">
      <w:pPr>
        <w:pStyle w:val="Heading1"/>
        <w:spacing w:before="120" w:after="120"/>
        <w:rPr>
          <w:sz w:val="40"/>
          <w:szCs w:val="40"/>
          <w:lang w:val="en-CA" w:eastAsia="en-CA"/>
        </w:rPr>
      </w:pPr>
      <w:r w:rsidRPr="009629F4">
        <w:rPr>
          <w:sz w:val="40"/>
          <w:szCs w:val="40"/>
          <w:lang w:val="en-CA" w:eastAsia="en-CA"/>
        </w:rPr>
        <w:lastRenderedPageBreak/>
        <w:t>Staffing by tenure</w:t>
      </w:r>
    </w:p>
    <w:p w:rsidR="00010B96" w:rsidRPr="00374A6E" w:rsidRDefault="00F81554"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5648325" cy="3049200"/>
            <wp:effectExtent l="0" t="0" r="9525" b="18415"/>
            <wp:docPr id="10" name="Chart 10" descr="Staffing by ten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577C47">
        <w:rPr>
          <w:lang w:val="en-CA"/>
        </w:rPr>
        <w:br w:type="textWrapping" w:clear="all"/>
      </w:r>
    </w:p>
    <w:p w:rsidR="0010128D" w:rsidRPr="00374A6E" w:rsidRDefault="00010B96" w:rsidP="0010128D">
      <w:pPr>
        <w:pStyle w:val="Caption"/>
        <w:jc w:val="center"/>
        <w:rPr>
          <w:rFonts w:asciiTheme="minorHAnsi" w:hAnsiTheme="minorHAnsi" w:cstheme="minorHAnsi"/>
        </w:rPr>
      </w:pPr>
      <w:r w:rsidRPr="00374A6E">
        <w:rPr>
          <w:rFonts w:asciiTheme="minorHAnsi" w:hAnsiTheme="minorHAnsi" w:cstheme="minorHAnsi"/>
        </w:rPr>
        <w:t xml:space="preserve">Figure </w:t>
      </w:r>
      <w:r w:rsidR="006C0564">
        <w:rPr>
          <w:rFonts w:asciiTheme="minorHAnsi" w:hAnsiTheme="minorHAnsi" w:cstheme="minorHAnsi"/>
        </w:rPr>
        <w:t>9</w:t>
      </w:r>
      <w:r w:rsidRPr="00374A6E">
        <w:rPr>
          <w:rFonts w:asciiTheme="minorHAnsi" w:hAnsiTheme="minorHAnsi" w:cstheme="minorHAnsi"/>
        </w:rPr>
        <w:t xml:space="preserve"> - Staffing by tenure</w:t>
      </w:r>
    </w:p>
    <w:p w:rsidR="00B36867" w:rsidRPr="00374A6E" w:rsidRDefault="00B36867" w:rsidP="0010128D">
      <w:pPr>
        <w:pStyle w:val="Caption"/>
        <w:spacing w:before="12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12</w:t>
      </w:r>
      <w:r w:rsidR="009501EE">
        <w:rPr>
          <w:noProof/>
        </w:rPr>
        <w:fldChar w:fldCharType="end"/>
      </w:r>
      <w:r w:rsidRPr="00374A6E">
        <w:t xml:space="preserve"> - Staffing activities by tenure and fiscal year</w:t>
      </w:r>
    </w:p>
    <w:tbl>
      <w:tblPr>
        <w:tblStyle w:val="TableGrid"/>
        <w:tblW w:w="0" w:type="auto"/>
        <w:jc w:val="center"/>
        <w:tblLayout w:type="fixed"/>
        <w:tblLook w:val="04A0" w:firstRow="1" w:lastRow="0" w:firstColumn="1" w:lastColumn="0" w:noHBand="0" w:noVBand="1"/>
        <w:tblDescription w:val="Staffing by tenure from 2014 to 2019"/>
      </w:tblPr>
      <w:tblGrid>
        <w:gridCol w:w="2398"/>
        <w:gridCol w:w="2398"/>
        <w:gridCol w:w="2399"/>
        <w:gridCol w:w="2398"/>
        <w:gridCol w:w="2398"/>
        <w:gridCol w:w="2399"/>
      </w:tblGrid>
      <w:tr w:rsidR="00E27B0D" w:rsidRPr="00374A6E" w:rsidTr="008E1FFE">
        <w:trPr>
          <w:cantSplit/>
          <w:tblHeader/>
          <w:jc w:val="center"/>
        </w:trPr>
        <w:tc>
          <w:tcPr>
            <w:tcW w:w="2398"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Fiscal year</w:t>
            </w:r>
          </w:p>
        </w:tc>
        <w:tc>
          <w:tcPr>
            <w:tcW w:w="2398"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Indeterminate staffing activities</w:t>
            </w:r>
          </w:p>
        </w:tc>
        <w:tc>
          <w:tcPr>
            <w:tcW w:w="2399"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Term staffing activities</w:t>
            </w:r>
          </w:p>
        </w:tc>
        <w:tc>
          <w:tcPr>
            <w:tcW w:w="2398"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Casual staffing activities</w:t>
            </w:r>
          </w:p>
        </w:tc>
        <w:tc>
          <w:tcPr>
            <w:tcW w:w="2398"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Student staffing activities</w:t>
            </w:r>
          </w:p>
        </w:tc>
        <w:tc>
          <w:tcPr>
            <w:tcW w:w="2399" w:type="dxa"/>
          </w:tcPr>
          <w:p w:rsidR="00E27B0D" w:rsidRPr="00374A6E" w:rsidRDefault="00E27B0D" w:rsidP="00E27B0D">
            <w:pPr>
              <w:pStyle w:val="TableTitle"/>
              <w:spacing w:before="0"/>
              <w:rPr>
                <w:rFonts w:eastAsiaTheme="minorHAnsi"/>
                <w:color w:val="auto"/>
                <w:sz w:val="22"/>
                <w:szCs w:val="22"/>
                <w:lang w:val="en-CA"/>
              </w:rPr>
            </w:pPr>
            <w:r w:rsidRPr="00374A6E">
              <w:rPr>
                <w:rFonts w:eastAsiaTheme="minorHAnsi"/>
                <w:color w:val="auto"/>
                <w:sz w:val="22"/>
                <w:szCs w:val="22"/>
                <w:lang w:val="en-CA"/>
              </w:rPr>
              <w:t>Total staffing activities</w:t>
            </w:r>
          </w:p>
        </w:tc>
      </w:tr>
      <w:tr w:rsidR="00E27B0D" w:rsidRPr="00374A6E" w:rsidTr="008E1FFE">
        <w:trPr>
          <w:cantSplit/>
          <w:tblHeader/>
          <w:jc w:val="center"/>
        </w:trPr>
        <w:tc>
          <w:tcPr>
            <w:tcW w:w="2398" w:type="dxa"/>
          </w:tcPr>
          <w:p w:rsidR="00E27B0D" w:rsidRPr="00374A6E" w:rsidRDefault="00E27B0D" w:rsidP="00E27B0D">
            <w:pPr>
              <w:rPr>
                <w:sz w:val="22"/>
                <w:szCs w:val="22"/>
                <w:lang w:val="en-CA"/>
              </w:rPr>
            </w:pPr>
            <w:r w:rsidRPr="00374A6E">
              <w:rPr>
                <w:rFonts w:asciiTheme="minorHAnsi" w:eastAsiaTheme="minorHAnsi" w:hAnsiTheme="minorHAnsi" w:cstheme="minorHAnsi"/>
                <w:color w:val="000000"/>
                <w:sz w:val="22"/>
                <w:szCs w:val="22"/>
                <w:lang w:val="en-CA"/>
              </w:rPr>
              <w:t>2014 to 2015</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1 465</w:t>
            </w:r>
          </w:p>
        </w:tc>
        <w:tc>
          <w:tcPr>
            <w:tcW w:w="2399"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224</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538</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976</w:t>
            </w:r>
          </w:p>
        </w:tc>
        <w:tc>
          <w:tcPr>
            <w:tcW w:w="2399" w:type="dxa"/>
          </w:tcPr>
          <w:p w:rsidR="00E27B0D" w:rsidRPr="00374A6E" w:rsidRDefault="00E27B0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3 203</w:t>
            </w:r>
          </w:p>
        </w:tc>
      </w:tr>
      <w:tr w:rsidR="00E27B0D" w:rsidRPr="00374A6E" w:rsidTr="008E1FFE">
        <w:trPr>
          <w:cantSplit/>
          <w:tblHeader/>
          <w:jc w:val="center"/>
        </w:trPr>
        <w:tc>
          <w:tcPr>
            <w:tcW w:w="2398" w:type="dxa"/>
          </w:tcPr>
          <w:p w:rsidR="00E27B0D" w:rsidRPr="00374A6E" w:rsidRDefault="00E27B0D" w:rsidP="00E27B0D">
            <w:pPr>
              <w:rPr>
                <w:sz w:val="22"/>
                <w:szCs w:val="22"/>
                <w:lang w:val="en-CA"/>
              </w:rPr>
            </w:pPr>
            <w:r w:rsidRPr="00374A6E">
              <w:rPr>
                <w:rFonts w:asciiTheme="minorHAnsi" w:eastAsiaTheme="minorHAnsi" w:hAnsiTheme="minorHAnsi" w:cstheme="minorHAnsi"/>
                <w:color w:val="000000"/>
                <w:sz w:val="22"/>
                <w:szCs w:val="22"/>
                <w:lang w:val="en-CA"/>
              </w:rPr>
              <w:t>2015 to 2016</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1 245</w:t>
            </w:r>
          </w:p>
        </w:tc>
        <w:tc>
          <w:tcPr>
            <w:tcW w:w="2399"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226</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490</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773</w:t>
            </w:r>
          </w:p>
        </w:tc>
        <w:tc>
          <w:tcPr>
            <w:tcW w:w="2399" w:type="dxa"/>
          </w:tcPr>
          <w:p w:rsidR="00E27B0D" w:rsidRPr="00374A6E" w:rsidRDefault="00E27B0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2 734</w:t>
            </w:r>
          </w:p>
        </w:tc>
      </w:tr>
      <w:tr w:rsidR="00E27B0D" w:rsidRPr="00374A6E" w:rsidTr="008E1FFE">
        <w:trPr>
          <w:cantSplit/>
          <w:tblHeader/>
          <w:jc w:val="center"/>
        </w:trPr>
        <w:tc>
          <w:tcPr>
            <w:tcW w:w="2398" w:type="dxa"/>
          </w:tcPr>
          <w:p w:rsidR="00E27B0D" w:rsidRPr="00374A6E" w:rsidRDefault="00E27B0D" w:rsidP="00E27B0D">
            <w:pPr>
              <w:rPr>
                <w:sz w:val="22"/>
                <w:szCs w:val="22"/>
                <w:lang w:val="en-CA"/>
              </w:rPr>
            </w:pPr>
            <w:r w:rsidRPr="00374A6E">
              <w:rPr>
                <w:rFonts w:asciiTheme="minorHAnsi" w:eastAsiaTheme="minorHAnsi" w:hAnsiTheme="minorHAnsi" w:cstheme="minorHAnsi"/>
                <w:color w:val="000000"/>
                <w:sz w:val="22"/>
                <w:szCs w:val="22"/>
                <w:lang w:val="en-CA"/>
              </w:rPr>
              <w:t>2016 to 2017</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1 456</w:t>
            </w:r>
          </w:p>
        </w:tc>
        <w:tc>
          <w:tcPr>
            <w:tcW w:w="2399"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270</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574</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896</w:t>
            </w:r>
          </w:p>
        </w:tc>
        <w:tc>
          <w:tcPr>
            <w:tcW w:w="2399" w:type="dxa"/>
          </w:tcPr>
          <w:p w:rsidR="00E27B0D" w:rsidRPr="00374A6E" w:rsidRDefault="00E27B0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3 196</w:t>
            </w:r>
          </w:p>
        </w:tc>
      </w:tr>
      <w:tr w:rsidR="00E27B0D" w:rsidRPr="00374A6E" w:rsidTr="008E1FFE">
        <w:trPr>
          <w:cantSplit/>
          <w:tblHeader/>
          <w:jc w:val="center"/>
        </w:trPr>
        <w:tc>
          <w:tcPr>
            <w:tcW w:w="2398" w:type="dxa"/>
          </w:tcPr>
          <w:p w:rsidR="00E27B0D" w:rsidRPr="00374A6E" w:rsidRDefault="00E27B0D" w:rsidP="00E27B0D">
            <w:pPr>
              <w:rPr>
                <w:sz w:val="22"/>
                <w:szCs w:val="22"/>
                <w:lang w:val="en-CA"/>
              </w:rPr>
            </w:pPr>
            <w:r w:rsidRPr="00374A6E">
              <w:rPr>
                <w:rFonts w:asciiTheme="minorHAnsi" w:eastAsiaTheme="minorHAnsi" w:hAnsiTheme="minorHAnsi" w:cstheme="minorHAnsi"/>
                <w:color w:val="000000"/>
                <w:sz w:val="22"/>
                <w:szCs w:val="22"/>
                <w:lang w:val="en-CA"/>
              </w:rPr>
              <w:t>2017 to 2018</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1 923</w:t>
            </w:r>
          </w:p>
        </w:tc>
        <w:tc>
          <w:tcPr>
            <w:tcW w:w="2399"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290</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734</w:t>
            </w:r>
          </w:p>
        </w:tc>
        <w:tc>
          <w:tcPr>
            <w:tcW w:w="2398" w:type="dxa"/>
          </w:tcPr>
          <w:p w:rsidR="00E27B0D" w:rsidRPr="00374A6E" w:rsidRDefault="00E27B0D" w:rsidP="00CF2950">
            <w:pPr>
              <w:jc w:val="center"/>
              <w:rPr>
                <w:sz w:val="22"/>
                <w:szCs w:val="22"/>
                <w:lang w:val="en-CA"/>
              </w:rPr>
            </w:pPr>
            <w:r w:rsidRPr="00374A6E">
              <w:rPr>
                <w:rFonts w:asciiTheme="minorHAnsi" w:eastAsiaTheme="minorHAnsi" w:hAnsiTheme="minorHAnsi" w:cstheme="minorHAnsi"/>
                <w:color w:val="000000"/>
                <w:sz w:val="22"/>
                <w:szCs w:val="22"/>
                <w:lang w:val="en-CA"/>
              </w:rPr>
              <w:t>808</w:t>
            </w:r>
          </w:p>
        </w:tc>
        <w:tc>
          <w:tcPr>
            <w:tcW w:w="2399" w:type="dxa"/>
          </w:tcPr>
          <w:p w:rsidR="00E27B0D" w:rsidRPr="00374A6E" w:rsidRDefault="00E27B0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3 755</w:t>
            </w:r>
          </w:p>
        </w:tc>
      </w:tr>
      <w:tr w:rsidR="00E27B0D" w:rsidRPr="00374A6E" w:rsidTr="008E1FFE">
        <w:trPr>
          <w:cantSplit/>
          <w:tblHeader/>
          <w:jc w:val="center"/>
        </w:trPr>
        <w:tc>
          <w:tcPr>
            <w:tcW w:w="2398" w:type="dxa"/>
          </w:tcPr>
          <w:p w:rsidR="00E27B0D" w:rsidRPr="00374A6E" w:rsidRDefault="00E27B0D" w:rsidP="00E27B0D">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2018 to 2019</w:t>
            </w:r>
          </w:p>
        </w:tc>
        <w:tc>
          <w:tcPr>
            <w:tcW w:w="2398" w:type="dxa"/>
          </w:tcPr>
          <w:p w:rsidR="00E27B0D" w:rsidRPr="00374A6E" w:rsidRDefault="00E27B0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2 359</w:t>
            </w:r>
          </w:p>
        </w:tc>
        <w:tc>
          <w:tcPr>
            <w:tcW w:w="2399" w:type="dxa"/>
          </w:tcPr>
          <w:p w:rsidR="00E27B0D" w:rsidRPr="00374A6E" w:rsidRDefault="00E27B0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352</w:t>
            </w:r>
          </w:p>
        </w:tc>
        <w:tc>
          <w:tcPr>
            <w:tcW w:w="2398" w:type="dxa"/>
          </w:tcPr>
          <w:p w:rsidR="00E27B0D" w:rsidRPr="00374A6E" w:rsidRDefault="00E27B0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885</w:t>
            </w:r>
          </w:p>
        </w:tc>
        <w:tc>
          <w:tcPr>
            <w:tcW w:w="2398" w:type="dxa"/>
          </w:tcPr>
          <w:p w:rsidR="00E27B0D" w:rsidRPr="00374A6E" w:rsidRDefault="00E27B0D" w:rsidP="00CF2950">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898</w:t>
            </w:r>
          </w:p>
        </w:tc>
        <w:tc>
          <w:tcPr>
            <w:tcW w:w="2399" w:type="dxa"/>
          </w:tcPr>
          <w:p w:rsidR="00E27B0D" w:rsidRPr="00374A6E" w:rsidRDefault="00E27B0D" w:rsidP="00CF2950">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4 494</w:t>
            </w:r>
          </w:p>
        </w:tc>
      </w:tr>
    </w:tbl>
    <w:p w:rsidR="0012529B" w:rsidRPr="00577C47" w:rsidRDefault="0012529B" w:rsidP="00577C47">
      <w:pPr>
        <w:spacing w:before="120"/>
        <w:jc w:val="both"/>
        <w:rPr>
          <w:rStyle w:val="Strong"/>
          <w:rFonts w:eastAsiaTheme="minorHAnsi" w:cstheme="minorHAnsi"/>
          <w:lang w:val="en-CA"/>
        </w:rPr>
      </w:pPr>
      <w:r w:rsidRPr="00577C47">
        <w:rPr>
          <w:rStyle w:val="Strong"/>
          <w:rFonts w:eastAsiaTheme="minorHAnsi" w:cstheme="minorHAnsi"/>
          <w:lang w:val="en-CA"/>
        </w:rPr>
        <w:t>Key findings - Staffing and non-partisanship survey (2018)</w:t>
      </w:r>
    </w:p>
    <w:p w:rsidR="0012529B" w:rsidRPr="00577C47" w:rsidRDefault="0012529B" w:rsidP="00577C47">
      <w:pPr>
        <w:numPr>
          <w:ilvl w:val="0"/>
          <w:numId w:val="14"/>
        </w:numPr>
        <w:spacing w:after="100" w:afterAutospacing="1"/>
        <w:jc w:val="both"/>
        <w:rPr>
          <w:rFonts w:asciiTheme="minorHAnsi" w:hAnsiTheme="minorHAnsi" w:cstheme="minorHAnsi"/>
          <w:sz w:val="22"/>
          <w:szCs w:val="24"/>
          <w:lang w:val="en-CA" w:eastAsia="en-CA"/>
        </w:rPr>
      </w:pPr>
      <w:r w:rsidRPr="00577C47">
        <w:rPr>
          <w:rFonts w:asciiTheme="minorHAnsi" w:hAnsiTheme="minorHAnsi" w:cstheme="minorHAnsi"/>
          <w:sz w:val="22"/>
          <w:szCs w:val="24"/>
          <w:lang w:val="en-CA" w:eastAsia="en-CA"/>
        </w:rPr>
        <w:t xml:space="preserve">66.7% of </w:t>
      </w:r>
      <w:r w:rsidRPr="00577C47">
        <w:rPr>
          <w:rStyle w:val="Strong"/>
          <w:rFonts w:cstheme="minorHAnsi"/>
          <w:lang w:val="en-CA"/>
        </w:rPr>
        <w:t>employees</w:t>
      </w:r>
      <w:r w:rsidRPr="00577C47">
        <w:rPr>
          <w:rFonts w:asciiTheme="minorHAnsi" w:hAnsiTheme="minorHAnsi" w:cstheme="minorHAnsi"/>
          <w:sz w:val="22"/>
          <w:szCs w:val="24"/>
          <w:lang w:val="en-CA" w:eastAsia="en-CA"/>
        </w:rPr>
        <w:t xml:space="preserve"> agreed that people hired can do the job, compared to 52.3% in organizations of similar size, and 53.8% in the federal public service</w:t>
      </w:r>
    </w:p>
    <w:p w:rsidR="0012529B" w:rsidRPr="00577C47" w:rsidRDefault="0012529B" w:rsidP="00577C47">
      <w:pPr>
        <w:numPr>
          <w:ilvl w:val="0"/>
          <w:numId w:val="14"/>
        </w:numPr>
        <w:spacing w:after="100" w:afterAutospacing="1"/>
        <w:jc w:val="both"/>
        <w:rPr>
          <w:rFonts w:asciiTheme="minorHAnsi" w:hAnsiTheme="minorHAnsi" w:cstheme="minorHAnsi"/>
          <w:sz w:val="22"/>
          <w:szCs w:val="24"/>
          <w:lang w:val="en-CA" w:eastAsia="en-CA"/>
        </w:rPr>
      </w:pPr>
      <w:r w:rsidRPr="00577C47">
        <w:rPr>
          <w:rFonts w:asciiTheme="minorHAnsi" w:hAnsiTheme="minorHAnsi" w:cstheme="minorHAnsi"/>
          <w:sz w:val="22"/>
          <w:szCs w:val="24"/>
          <w:lang w:val="en-CA" w:eastAsia="en-CA"/>
        </w:rPr>
        <w:t xml:space="preserve">53.4% of </w:t>
      </w:r>
      <w:r w:rsidRPr="00577C47">
        <w:rPr>
          <w:rStyle w:val="Strong"/>
          <w:rFonts w:cstheme="minorHAnsi"/>
          <w:lang w:val="en-CA"/>
        </w:rPr>
        <w:t>managers</w:t>
      </w:r>
      <w:r w:rsidRPr="00577C47">
        <w:rPr>
          <w:rFonts w:asciiTheme="minorHAnsi" w:hAnsiTheme="minorHAnsi" w:cstheme="minorHAnsi"/>
          <w:sz w:val="22"/>
          <w:szCs w:val="24"/>
          <w:lang w:val="en-CA" w:eastAsia="en-CA"/>
        </w:rPr>
        <w:t xml:space="preserve"> agreed that the New Direction in Staffing has improved the way they hire and appoint persons to and within their organization, compared to 54.4% in organizations of similar size, and 56.1% in the federal public service</w:t>
      </w:r>
    </w:p>
    <w:p w:rsidR="0059441E" w:rsidRPr="00577C47" w:rsidRDefault="0012529B" w:rsidP="00577C47">
      <w:pPr>
        <w:numPr>
          <w:ilvl w:val="0"/>
          <w:numId w:val="14"/>
        </w:numPr>
        <w:spacing w:after="100" w:afterAutospacing="1"/>
        <w:jc w:val="both"/>
        <w:rPr>
          <w:rFonts w:asciiTheme="minorHAnsi" w:hAnsiTheme="minorHAnsi" w:cstheme="minorHAnsi"/>
          <w:szCs w:val="24"/>
          <w:lang w:val="en-CA" w:eastAsia="en-CA"/>
        </w:rPr>
        <w:sectPr w:rsidR="0059441E" w:rsidRPr="00577C47" w:rsidSect="00577C47">
          <w:type w:val="continuous"/>
          <w:pgSz w:w="15840" w:h="12240" w:orient="landscape" w:code="1"/>
          <w:pgMar w:top="1026" w:right="720" w:bottom="720" w:left="720" w:header="709" w:footer="709" w:gutter="0"/>
          <w:cols w:space="708"/>
          <w:titlePg/>
          <w:docGrid w:linePitch="360"/>
        </w:sectPr>
      </w:pPr>
      <w:r w:rsidRPr="00577C47">
        <w:rPr>
          <w:rFonts w:asciiTheme="minorHAnsi" w:hAnsiTheme="minorHAnsi" w:cstheme="minorHAnsi"/>
          <w:sz w:val="22"/>
          <w:szCs w:val="24"/>
          <w:lang w:val="en-CA" w:eastAsia="en-CA"/>
        </w:rPr>
        <w:lastRenderedPageBreak/>
        <w:t xml:space="preserve">89.6% of </w:t>
      </w:r>
      <w:r w:rsidRPr="00577C47">
        <w:rPr>
          <w:rStyle w:val="Strong"/>
          <w:rFonts w:cstheme="minorHAnsi"/>
          <w:lang w:val="en-CA"/>
        </w:rPr>
        <w:t>managers</w:t>
      </w:r>
      <w:r w:rsidRPr="00577C47">
        <w:rPr>
          <w:rFonts w:asciiTheme="minorHAnsi" w:hAnsiTheme="minorHAnsi" w:cstheme="minorHAnsi"/>
          <w:sz w:val="22"/>
          <w:szCs w:val="24"/>
          <w:lang w:val="en-CA" w:eastAsia="en-CA"/>
        </w:rPr>
        <w:t xml:space="preserve"> agreed that within their organization, the administrative to staff a position is </w:t>
      </w:r>
      <w:r w:rsidRPr="00577C47">
        <w:rPr>
          <w:rStyle w:val="Strong"/>
          <w:rFonts w:cstheme="minorHAnsi"/>
          <w:lang w:val="en-CA"/>
        </w:rPr>
        <w:t>burdensome</w:t>
      </w:r>
      <w:r w:rsidRPr="00577C47">
        <w:rPr>
          <w:rFonts w:asciiTheme="minorHAnsi" w:hAnsiTheme="minorHAnsi" w:cstheme="minorHAnsi"/>
          <w:sz w:val="22"/>
          <w:szCs w:val="24"/>
          <w:lang w:val="en-CA" w:eastAsia="en-CA"/>
        </w:rPr>
        <w:t>, compared to 88.6% in organizations of similar size, and 87.9% in the federal public service</w:t>
      </w:r>
      <w:r w:rsidR="00551D58" w:rsidRPr="00577C47">
        <w:rPr>
          <w:rFonts w:asciiTheme="minorHAnsi" w:hAnsiTheme="minorHAnsi" w:cstheme="minorHAnsi"/>
          <w:sz w:val="22"/>
          <w:szCs w:val="24"/>
          <w:lang w:val="en-CA" w:eastAsia="en-CA"/>
        </w:rPr>
        <w:t>.</w:t>
      </w:r>
    </w:p>
    <w:p w:rsidR="009F5656" w:rsidRPr="009F5656" w:rsidRDefault="009F5656" w:rsidP="009F5656">
      <w:pPr>
        <w:pStyle w:val="Heading1"/>
        <w:spacing w:before="120" w:after="120"/>
        <w:rPr>
          <w:sz w:val="40"/>
          <w:szCs w:val="40"/>
          <w:lang w:val="en-CA"/>
        </w:rPr>
      </w:pPr>
      <w:r w:rsidRPr="009F5656">
        <w:rPr>
          <w:rFonts w:eastAsia="Times New Roman"/>
          <w:sz w:val="40"/>
          <w:szCs w:val="40"/>
          <w:lang w:val="en-CA"/>
        </w:rPr>
        <w:lastRenderedPageBreak/>
        <w:t>Student program hires</w:t>
      </w:r>
    </w:p>
    <w:p w:rsidR="00010B96" w:rsidRPr="00374A6E" w:rsidRDefault="00D735BF" w:rsidP="001A4D53">
      <w:pPr>
        <w:pStyle w:val="Heading1"/>
        <w:jc w:val="center"/>
        <w:rPr>
          <w:lang w:val="en-CA"/>
        </w:rPr>
      </w:pPr>
      <w:r w:rsidRPr="00374A6E">
        <w:rPr>
          <w:rStyle w:val="Strong"/>
          <w:rFonts w:eastAsiaTheme="minorEastAsia"/>
          <w:noProof/>
          <w:lang w:val="en-CA" w:eastAsia="en-CA"/>
        </w:rPr>
        <w:drawing>
          <wp:inline distT="0" distB="0" distL="0" distR="0">
            <wp:extent cx="5648400" cy="3049200"/>
            <wp:effectExtent l="0" t="0" r="9525" b="18415"/>
            <wp:docPr id="17" name="Chart 17" descr="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F5656">
        <w:rPr>
          <w:lang w:val="en-CA"/>
        </w:rPr>
        <w:br w:type="textWrapping" w:clear="all"/>
      </w:r>
    </w:p>
    <w:p w:rsidR="004E2E6C" w:rsidRPr="00374A6E" w:rsidRDefault="00010B96" w:rsidP="00010B96">
      <w:pPr>
        <w:pStyle w:val="Caption"/>
        <w:jc w:val="center"/>
        <w:rPr>
          <w:rFonts w:asciiTheme="minorHAnsi" w:hAnsiTheme="minorHAnsi" w:cstheme="minorHAnsi"/>
          <w:i/>
        </w:rPr>
      </w:pPr>
      <w:r w:rsidRPr="00374A6E">
        <w:rPr>
          <w:rFonts w:asciiTheme="minorHAnsi" w:hAnsiTheme="minorHAnsi" w:cstheme="minorHAnsi"/>
        </w:rPr>
        <w:t xml:space="preserve">Figure </w:t>
      </w:r>
      <w:r w:rsidRPr="00374A6E">
        <w:rPr>
          <w:rFonts w:asciiTheme="minorHAnsi" w:hAnsiTheme="minorHAnsi" w:cstheme="minorHAnsi"/>
          <w:i/>
        </w:rPr>
        <w:fldChar w:fldCharType="begin"/>
      </w:r>
      <w:r w:rsidRPr="00374A6E">
        <w:rPr>
          <w:rFonts w:asciiTheme="minorHAnsi" w:hAnsiTheme="minorHAnsi" w:cstheme="minorHAnsi"/>
        </w:rPr>
        <w:instrText xml:space="preserve"> SEQ Figure \* ARABIC </w:instrText>
      </w:r>
      <w:r w:rsidRPr="00374A6E">
        <w:rPr>
          <w:rFonts w:asciiTheme="minorHAnsi" w:hAnsiTheme="minorHAnsi" w:cstheme="minorHAnsi"/>
          <w:i/>
        </w:rPr>
        <w:fldChar w:fldCharType="separate"/>
      </w:r>
      <w:r w:rsidR="00E16E9C" w:rsidRPr="00374A6E">
        <w:rPr>
          <w:rFonts w:asciiTheme="minorHAnsi" w:hAnsiTheme="minorHAnsi" w:cstheme="minorHAnsi"/>
          <w:noProof/>
        </w:rPr>
        <w:t>1</w:t>
      </w:r>
      <w:r w:rsidR="006C0564">
        <w:rPr>
          <w:rFonts w:asciiTheme="minorHAnsi" w:hAnsiTheme="minorHAnsi" w:cstheme="minorHAnsi"/>
          <w:noProof/>
        </w:rPr>
        <w:t>0</w:t>
      </w:r>
      <w:r w:rsidRPr="00374A6E">
        <w:rPr>
          <w:rFonts w:asciiTheme="minorHAnsi" w:hAnsiTheme="minorHAnsi" w:cstheme="minorHAnsi"/>
          <w:i/>
        </w:rPr>
        <w:fldChar w:fldCharType="end"/>
      </w:r>
      <w:r w:rsidRPr="00374A6E">
        <w:rPr>
          <w:rFonts w:asciiTheme="minorHAnsi" w:hAnsiTheme="minorHAnsi" w:cstheme="minorHAnsi"/>
        </w:rPr>
        <w:t xml:space="preserve"> - Student program hires</w:t>
      </w:r>
    </w:p>
    <w:p w:rsidR="00B36867" w:rsidRPr="00374A6E" w:rsidRDefault="00B36867" w:rsidP="00251F81">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13</w:t>
      </w:r>
      <w:r w:rsidR="009501EE">
        <w:rPr>
          <w:noProof/>
        </w:rPr>
        <w:fldChar w:fldCharType="end"/>
      </w:r>
      <w:r w:rsidRPr="00374A6E">
        <w:t xml:space="preserve"> - Student staffing activities by recruitment program and fiscal year</w:t>
      </w:r>
    </w:p>
    <w:tbl>
      <w:tblPr>
        <w:tblStyle w:val="TableGrid"/>
        <w:tblW w:w="0" w:type="auto"/>
        <w:jc w:val="center"/>
        <w:tblLook w:val="04A0" w:firstRow="1" w:lastRow="0" w:firstColumn="1" w:lastColumn="0" w:noHBand="0" w:noVBand="1"/>
        <w:tblDescription w:val="Student program hires from 2014 to 2015"/>
      </w:tblPr>
      <w:tblGrid>
        <w:gridCol w:w="1398"/>
        <w:gridCol w:w="4458"/>
        <w:gridCol w:w="4489"/>
        <w:gridCol w:w="2879"/>
        <w:gridCol w:w="721"/>
      </w:tblGrid>
      <w:tr w:rsidR="0059441E" w:rsidRPr="00374A6E" w:rsidTr="00D3786A">
        <w:trPr>
          <w:tblHeader/>
          <w:jc w:val="center"/>
        </w:trPr>
        <w:tc>
          <w:tcPr>
            <w:tcW w:w="0" w:type="auto"/>
          </w:tcPr>
          <w:p w:rsidR="0059441E" w:rsidRPr="00374A6E" w:rsidRDefault="0059441E" w:rsidP="0059441E">
            <w:pPr>
              <w:pStyle w:val="TableTitle"/>
              <w:rPr>
                <w:rFonts w:eastAsiaTheme="minorHAnsi"/>
                <w:color w:val="auto"/>
                <w:sz w:val="22"/>
                <w:lang w:val="en-CA"/>
              </w:rPr>
            </w:pPr>
            <w:r w:rsidRPr="00374A6E">
              <w:rPr>
                <w:rFonts w:eastAsiaTheme="minorHAnsi"/>
                <w:color w:val="auto"/>
                <w:sz w:val="22"/>
                <w:lang w:val="en-CA"/>
              </w:rPr>
              <w:t>Fiscal year</w:t>
            </w:r>
          </w:p>
        </w:tc>
        <w:tc>
          <w:tcPr>
            <w:tcW w:w="0" w:type="auto"/>
          </w:tcPr>
          <w:p w:rsidR="0059441E" w:rsidRPr="00374A6E" w:rsidRDefault="0059441E" w:rsidP="0059441E">
            <w:pPr>
              <w:pStyle w:val="TableTitle"/>
              <w:rPr>
                <w:rFonts w:eastAsiaTheme="minorHAnsi"/>
                <w:color w:val="auto"/>
                <w:sz w:val="22"/>
                <w:lang w:val="en-CA"/>
              </w:rPr>
            </w:pPr>
            <w:r w:rsidRPr="00374A6E">
              <w:rPr>
                <w:rFonts w:eastAsiaTheme="minorHAnsi"/>
                <w:color w:val="auto"/>
                <w:sz w:val="22"/>
                <w:lang w:val="en-CA"/>
              </w:rPr>
              <w:t>Federal Student Work Experience Program</w:t>
            </w:r>
          </w:p>
        </w:tc>
        <w:tc>
          <w:tcPr>
            <w:tcW w:w="0" w:type="auto"/>
          </w:tcPr>
          <w:p w:rsidR="0059441E" w:rsidRPr="00374A6E" w:rsidRDefault="0059441E" w:rsidP="0059441E">
            <w:pPr>
              <w:pStyle w:val="TableTitle"/>
              <w:rPr>
                <w:rFonts w:eastAsiaTheme="minorHAnsi"/>
                <w:color w:val="auto"/>
                <w:sz w:val="22"/>
                <w:lang w:val="en-CA"/>
              </w:rPr>
            </w:pPr>
            <w:r w:rsidRPr="00374A6E">
              <w:rPr>
                <w:rFonts w:eastAsiaTheme="minorHAnsi"/>
                <w:color w:val="auto"/>
                <w:sz w:val="22"/>
                <w:lang w:val="en-CA"/>
              </w:rPr>
              <w:t>Post-Secondary Co-op/Internship Program</w:t>
            </w:r>
          </w:p>
        </w:tc>
        <w:tc>
          <w:tcPr>
            <w:tcW w:w="0" w:type="auto"/>
          </w:tcPr>
          <w:p w:rsidR="0059441E" w:rsidRPr="00374A6E" w:rsidRDefault="0059441E" w:rsidP="0059441E">
            <w:pPr>
              <w:pStyle w:val="TableTitle"/>
              <w:rPr>
                <w:rFonts w:eastAsiaTheme="minorHAnsi"/>
                <w:color w:val="auto"/>
                <w:sz w:val="22"/>
                <w:lang w:val="en-CA"/>
              </w:rPr>
            </w:pPr>
            <w:r w:rsidRPr="00374A6E">
              <w:rPr>
                <w:rFonts w:eastAsiaTheme="minorHAnsi"/>
                <w:color w:val="auto"/>
                <w:sz w:val="22"/>
                <w:lang w:val="en-CA"/>
              </w:rPr>
              <w:t>Research Affiliate Program</w:t>
            </w:r>
          </w:p>
        </w:tc>
        <w:tc>
          <w:tcPr>
            <w:tcW w:w="0" w:type="auto"/>
          </w:tcPr>
          <w:p w:rsidR="0059441E" w:rsidRPr="00374A6E" w:rsidRDefault="0059441E" w:rsidP="0059441E">
            <w:pPr>
              <w:pStyle w:val="TableTitle"/>
              <w:rPr>
                <w:rFonts w:eastAsiaTheme="minorHAnsi"/>
                <w:color w:val="auto"/>
                <w:sz w:val="22"/>
                <w:lang w:val="en-CA"/>
              </w:rPr>
            </w:pPr>
            <w:r w:rsidRPr="00374A6E">
              <w:rPr>
                <w:rFonts w:eastAsiaTheme="minorHAnsi"/>
                <w:color w:val="auto"/>
                <w:sz w:val="22"/>
                <w:lang w:val="en-CA"/>
              </w:rPr>
              <w:t>Total</w:t>
            </w:r>
          </w:p>
        </w:tc>
      </w:tr>
      <w:tr w:rsidR="0059441E" w:rsidRPr="00374A6E" w:rsidTr="001D75F8">
        <w:trPr>
          <w:jc w:val="center"/>
        </w:trPr>
        <w:tc>
          <w:tcPr>
            <w:tcW w:w="0" w:type="auto"/>
          </w:tcPr>
          <w:p w:rsidR="0059441E" w:rsidRPr="00374A6E" w:rsidRDefault="0059441E" w:rsidP="0059441E">
            <w:pPr>
              <w:rPr>
                <w:sz w:val="22"/>
                <w:lang w:val="en-CA"/>
              </w:rPr>
            </w:pPr>
            <w:r w:rsidRPr="00374A6E">
              <w:rPr>
                <w:rFonts w:asciiTheme="minorHAnsi" w:eastAsiaTheme="minorHAnsi" w:hAnsiTheme="minorHAnsi" w:cstheme="minorHAnsi"/>
                <w:color w:val="000000"/>
                <w:sz w:val="22"/>
                <w:szCs w:val="24"/>
                <w:lang w:val="en-CA"/>
              </w:rPr>
              <w:t>2014 to 2015</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206</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755</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15</w:t>
            </w:r>
          </w:p>
        </w:tc>
        <w:tc>
          <w:tcPr>
            <w:tcW w:w="0" w:type="auto"/>
          </w:tcPr>
          <w:p w:rsidR="0059441E" w:rsidRPr="00374A6E" w:rsidRDefault="0059441E" w:rsidP="00CF2950">
            <w:pPr>
              <w:autoSpaceDE w:val="0"/>
              <w:autoSpaceDN w:val="0"/>
              <w:adjustRightInd w:val="0"/>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976</w:t>
            </w:r>
          </w:p>
        </w:tc>
      </w:tr>
      <w:tr w:rsidR="0059441E" w:rsidRPr="00374A6E" w:rsidTr="001D75F8">
        <w:trPr>
          <w:jc w:val="center"/>
        </w:trPr>
        <w:tc>
          <w:tcPr>
            <w:tcW w:w="0" w:type="auto"/>
          </w:tcPr>
          <w:p w:rsidR="0059441E" w:rsidRPr="00374A6E" w:rsidRDefault="0059441E" w:rsidP="0059441E">
            <w:pPr>
              <w:rPr>
                <w:sz w:val="22"/>
                <w:lang w:val="en-CA"/>
              </w:rPr>
            </w:pPr>
            <w:r w:rsidRPr="00374A6E">
              <w:rPr>
                <w:rFonts w:asciiTheme="minorHAnsi" w:eastAsiaTheme="minorHAnsi" w:hAnsiTheme="minorHAnsi" w:cstheme="minorHAnsi"/>
                <w:color w:val="000000"/>
                <w:sz w:val="22"/>
                <w:szCs w:val="24"/>
                <w:lang w:val="en-CA"/>
              </w:rPr>
              <w:t>2015 to 2016</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200</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572</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1</w:t>
            </w:r>
          </w:p>
        </w:tc>
        <w:tc>
          <w:tcPr>
            <w:tcW w:w="0" w:type="auto"/>
          </w:tcPr>
          <w:p w:rsidR="0059441E" w:rsidRPr="00374A6E" w:rsidRDefault="0059441E" w:rsidP="00CF2950">
            <w:pPr>
              <w:autoSpaceDE w:val="0"/>
              <w:autoSpaceDN w:val="0"/>
              <w:adjustRightInd w:val="0"/>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773</w:t>
            </w:r>
          </w:p>
        </w:tc>
      </w:tr>
      <w:tr w:rsidR="0059441E" w:rsidRPr="00374A6E" w:rsidTr="001D75F8">
        <w:trPr>
          <w:jc w:val="center"/>
        </w:trPr>
        <w:tc>
          <w:tcPr>
            <w:tcW w:w="0" w:type="auto"/>
          </w:tcPr>
          <w:p w:rsidR="0059441E" w:rsidRPr="00374A6E" w:rsidRDefault="0059441E" w:rsidP="0059441E">
            <w:pPr>
              <w:rPr>
                <w:sz w:val="22"/>
                <w:lang w:val="en-CA"/>
              </w:rPr>
            </w:pPr>
            <w:r w:rsidRPr="00374A6E">
              <w:rPr>
                <w:rFonts w:asciiTheme="minorHAnsi" w:eastAsiaTheme="minorHAnsi" w:hAnsiTheme="minorHAnsi" w:cstheme="minorHAnsi"/>
                <w:color w:val="000000"/>
                <w:sz w:val="22"/>
                <w:szCs w:val="24"/>
                <w:lang w:val="en-CA"/>
              </w:rPr>
              <w:t>2016 to 2017</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238</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654</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4</w:t>
            </w:r>
          </w:p>
        </w:tc>
        <w:tc>
          <w:tcPr>
            <w:tcW w:w="0" w:type="auto"/>
          </w:tcPr>
          <w:p w:rsidR="0059441E" w:rsidRPr="00374A6E" w:rsidRDefault="0059441E" w:rsidP="00CF2950">
            <w:pPr>
              <w:autoSpaceDE w:val="0"/>
              <w:autoSpaceDN w:val="0"/>
              <w:adjustRightInd w:val="0"/>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896</w:t>
            </w:r>
          </w:p>
        </w:tc>
      </w:tr>
      <w:tr w:rsidR="0059441E" w:rsidRPr="00374A6E" w:rsidTr="001D75F8">
        <w:trPr>
          <w:jc w:val="center"/>
        </w:trPr>
        <w:tc>
          <w:tcPr>
            <w:tcW w:w="0" w:type="auto"/>
          </w:tcPr>
          <w:p w:rsidR="0059441E" w:rsidRPr="00374A6E" w:rsidRDefault="0059441E" w:rsidP="0059441E">
            <w:pPr>
              <w:rPr>
                <w:sz w:val="22"/>
                <w:lang w:val="en-CA"/>
              </w:rPr>
            </w:pPr>
            <w:r w:rsidRPr="00374A6E">
              <w:rPr>
                <w:rFonts w:asciiTheme="minorHAnsi" w:eastAsiaTheme="minorHAnsi" w:hAnsiTheme="minorHAnsi" w:cstheme="minorHAnsi"/>
                <w:color w:val="000000"/>
                <w:sz w:val="22"/>
                <w:szCs w:val="24"/>
                <w:lang w:val="en-CA"/>
              </w:rPr>
              <w:t>2017 to 2018</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197</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593</w:t>
            </w:r>
          </w:p>
        </w:tc>
        <w:tc>
          <w:tcPr>
            <w:tcW w:w="0" w:type="auto"/>
          </w:tcPr>
          <w:p w:rsidR="0059441E" w:rsidRPr="00374A6E" w:rsidRDefault="0059441E" w:rsidP="00CF2950">
            <w:pPr>
              <w:jc w:val="center"/>
              <w:rPr>
                <w:sz w:val="22"/>
                <w:lang w:val="en-CA"/>
              </w:rPr>
            </w:pPr>
            <w:r w:rsidRPr="00374A6E">
              <w:rPr>
                <w:rFonts w:asciiTheme="minorHAnsi" w:eastAsiaTheme="minorHAnsi" w:hAnsiTheme="minorHAnsi" w:cstheme="minorHAnsi"/>
                <w:color w:val="000000"/>
                <w:sz w:val="22"/>
                <w:szCs w:val="24"/>
                <w:lang w:val="en-CA"/>
              </w:rPr>
              <w:t>18</w:t>
            </w:r>
          </w:p>
        </w:tc>
        <w:tc>
          <w:tcPr>
            <w:tcW w:w="0" w:type="auto"/>
          </w:tcPr>
          <w:p w:rsidR="0059441E" w:rsidRPr="00374A6E" w:rsidRDefault="0059441E" w:rsidP="00CF2950">
            <w:pPr>
              <w:autoSpaceDE w:val="0"/>
              <w:autoSpaceDN w:val="0"/>
              <w:adjustRightInd w:val="0"/>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808</w:t>
            </w:r>
          </w:p>
        </w:tc>
      </w:tr>
      <w:tr w:rsidR="0059441E" w:rsidRPr="00374A6E" w:rsidTr="001D75F8">
        <w:trPr>
          <w:jc w:val="center"/>
        </w:trPr>
        <w:tc>
          <w:tcPr>
            <w:tcW w:w="0" w:type="auto"/>
          </w:tcPr>
          <w:p w:rsidR="0059441E" w:rsidRPr="00374A6E" w:rsidRDefault="0059441E" w:rsidP="0059441E">
            <w:pP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2018 to 2019</w:t>
            </w:r>
          </w:p>
        </w:tc>
        <w:tc>
          <w:tcPr>
            <w:tcW w:w="0" w:type="auto"/>
          </w:tcPr>
          <w:p w:rsidR="0059441E" w:rsidRPr="00374A6E" w:rsidRDefault="0059441E" w:rsidP="00CF2950">
            <w:pPr>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228</w:t>
            </w:r>
          </w:p>
        </w:tc>
        <w:tc>
          <w:tcPr>
            <w:tcW w:w="0" w:type="auto"/>
          </w:tcPr>
          <w:p w:rsidR="0059441E" w:rsidRPr="00374A6E" w:rsidRDefault="0059441E" w:rsidP="00CF2950">
            <w:pPr>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654</w:t>
            </w:r>
          </w:p>
        </w:tc>
        <w:tc>
          <w:tcPr>
            <w:tcW w:w="0" w:type="auto"/>
          </w:tcPr>
          <w:p w:rsidR="0059441E" w:rsidRPr="00374A6E" w:rsidRDefault="0059441E" w:rsidP="00CF2950">
            <w:pPr>
              <w:jc w:val="center"/>
              <w:rPr>
                <w:rFonts w:asciiTheme="minorHAnsi" w:eastAsiaTheme="minorHAnsi" w:hAnsiTheme="minorHAnsi" w:cstheme="minorHAnsi"/>
                <w:color w:val="000000"/>
                <w:sz w:val="22"/>
                <w:szCs w:val="24"/>
                <w:lang w:val="en-CA"/>
              </w:rPr>
            </w:pPr>
            <w:r w:rsidRPr="00374A6E">
              <w:rPr>
                <w:rFonts w:asciiTheme="minorHAnsi" w:eastAsiaTheme="minorHAnsi" w:hAnsiTheme="minorHAnsi" w:cstheme="minorHAnsi"/>
                <w:color w:val="000000"/>
                <w:sz w:val="22"/>
                <w:szCs w:val="24"/>
                <w:lang w:val="en-CA"/>
              </w:rPr>
              <w:t>16</w:t>
            </w:r>
          </w:p>
        </w:tc>
        <w:tc>
          <w:tcPr>
            <w:tcW w:w="0" w:type="auto"/>
          </w:tcPr>
          <w:p w:rsidR="0059441E" w:rsidRPr="00374A6E" w:rsidRDefault="0059441E" w:rsidP="00CF2950">
            <w:pPr>
              <w:numPr>
                <w:ilvl w:val="1"/>
                <w:numId w:val="0"/>
              </w:numPr>
              <w:jc w:val="center"/>
              <w:rPr>
                <w:rFonts w:asciiTheme="minorHAnsi" w:eastAsiaTheme="minorEastAsia" w:hAnsiTheme="minorHAnsi" w:cstheme="minorBidi"/>
                <w:color w:val="8E9296" w:themeColor="text1" w:themeTint="A5"/>
                <w:spacing w:val="15"/>
                <w:sz w:val="20"/>
                <w:szCs w:val="22"/>
                <w:lang w:val="en-CA"/>
              </w:rPr>
            </w:pPr>
            <w:r w:rsidRPr="00374A6E">
              <w:rPr>
                <w:rFonts w:asciiTheme="minorHAnsi" w:eastAsiaTheme="minorHAnsi" w:hAnsiTheme="minorHAnsi" w:cstheme="minorHAnsi"/>
                <w:color w:val="000000"/>
                <w:sz w:val="22"/>
                <w:szCs w:val="24"/>
                <w:lang w:val="en-CA"/>
              </w:rPr>
              <w:t>898</w:t>
            </w:r>
          </w:p>
        </w:tc>
      </w:tr>
    </w:tbl>
    <w:p w:rsidR="004E2E6C" w:rsidRPr="00374A6E" w:rsidRDefault="004E2E6C" w:rsidP="00D735BF">
      <w:pPr>
        <w:numPr>
          <w:ilvl w:val="1"/>
          <w:numId w:val="0"/>
        </w:numPr>
        <w:spacing w:after="160"/>
        <w:rPr>
          <w:rFonts w:asciiTheme="minorHAnsi" w:eastAsiaTheme="minorEastAsia" w:hAnsiTheme="minorHAnsi" w:cstheme="minorBidi"/>
          <w:color w:val="8E9296" w:themeColor="text1" w:themeTint="A5"/>
          <w:spacing w:val="15"/>
          <w:sz w:val="22"/>
          <w:szCs w:val="22"/>
          <w:lang w:val="en-CA"/>
        </w:rPr>
        <w:sectPr w:rsidR="004E2E6C" w:rsidRPr="00374A6E" w:rsidSect="00251F81">
          <w:pgSz w:w="15840" w:h="12240" w:orient="landscape" w:code="1"/>
          <w:pgMar w:top="1025" w:right="720" w:bottom="720" w:left="720" w:header="708" w:footer="708" w:gutter="0"/>
          <w:cols w:space="397"/>
          <w:titlePg/>
          <w:docGrid w:linePitch="360"/>
        </w:sectPr>
      </w:pPr>
    </w:p>
    <w:p w:rsidR="004F1716" w:rsidRPr="004F1716" w:rsidRDefault="004F1716" w:rsidP="004F1716">
      <w:pPr>
        <w:pStyle w:val="Heading1"/>
        <w:spacing w:before="120" w:after="120"/>
        <w:rPr>
          <w:sz w:val="40"/>
          <w:szCs w:val="40"/>
          <w:lang w:val="en-CA" w:eastAsia="en-CA"/>
        </w:rPr>
      </w:pPr>
      <w:r w:rsidRPr="004F1716">
        <w:rPr>
          <w:sz w:val="40"/>
          <w:szCs w:val="40"/>
          <w:lang w:val="en-CA" w:eastAsia="en-CA"/>
        </w:rPr>
        <w:lastRenderedPageBreak/>
        <w:t>External indeterminate and term hiring activities: Post-Secondary Recruitment Program and former student hires</w:t>
      </w:r>
    </w:p>
    <w:p w:rsidR="00010B96" w:rsidRPr="00374A6E" w:rsidRDefault="0012529B" w:rsidP="001A4D53">
      <w:pPr>
        <w:keepNext/>
        <w:numPr>
          <w:ilvl w:val="1"/>
          <w:numId w:val="0"/>
        </w:numPr>
        <w:jc w:val="center"/>
        <w:rPr>
          <w:lang w:val="en-CA"/>
        </w:rPr>
      </w:pPr>
      <w:r w:rsidRPr="00374A6E">
        <w:rPr>
          <w:rStyle w:val="Strong"/>
          <w:rFonts w:eastAsiaTheme="minorEastAsia"/>
          <w:noProof/>
          <w:lang w:val="en-CA" w:eastAsia="en-CA"/>
        </w:rPr>
        <w:drawing>
          <wp:inline distT="0" distB="0" distL="0" distR="0">
            <wp:extent cx="5648400" cy="3049200"/>
            <wp:effectExtent l="0" t="0" r="9525" b="18415"/>
            <wp:docPr id="2" name="Chart 2" descr="External indeterminate and term hiring activities: Post-Secondary Recruitment Program and former student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4F1716">
        <w:rPr>
          <w:lang w:val="en-CA"/>
        </w:rPr>
        <w:br w:type="textWrapping" w:clear="all"/>
      </w:r>
    </w:p>
    <w:p w:rsidR="00310BDA" w:rsidRPr="00374A6E" w:rsidRDefault="00010B96" w:rsidP="00010B96">
      <w:pPr>
        <w:pStyle w:val="Caption"/>
        <w:jc w:val="center"/>
        <w:rPr>
          <w:rFonts w:asciiTheme="minorHAnsi" w:hAnsiTheme="minorHAnsi" w:cstheme="minorHAnsi"/>
          <w:i/>
        </w:rPr>
      </w:pPr>
      <w:r w:rsidRPr="00374A6E">
        <w:rPr>
          <w:rFonts w:asciiTheme="minorHAnsi" w:hAnsiTheme="minorHAnsi" w:cstheme="minorHAnsi"/>
        </w:rPr>
        <w:t xml:space="preserve">Figure </w:t>
      </w:r>
      <w:r w:rsidRPr="00374A6E">
        <w:rPr>
          <w:rFonts w:asciiTheme="minorHAnsi" w:hAnsiTheme="minorHAnsi" w:cstheme="minorHAnsi"/>
          <w:i/>
        </w:rPr>
        <w:fldChar w:fldCharType="begin"/>
      </w:r>
      <w:r w:rsidRPr="00374A6E">
        <w:rPr>
          <w:rFonts w:asciiTheme="minorHAnsi" w:hAnsiTheme="minorHAnsi" w:cstheme="minorHAnsi"/>
        </w:rPr>
        <w:instrText xml:space="preserve"> SEQ Figure \* ARABIC </w:instrText>
      </w:r>
      <w:r w:rsidRPr="00374A6E">
        <w:rPr>
          <w:rFonts w:asciiTheme="minorHAnsi" w:hAnsiTheme="minorHAnsi" w:cstheme="minorHAnsi"/>
          <w:i/>
        </w:rPr>
        <w:fldChar w:fldCharType="separate"/>
      </w:r>
      <w:r w:rsidR="00E16E9C" w:rsidRPr="00374A6E">
        <w:rPr>
          <w:rFonts w:asciiTheme="minorHAnsi" w:hAnsiTheme="minorHAnsi" w:cstheme="minorHAnsi"/>
          <w:noProof/>
        </w:rPr>
        <w:t>1</w:t>
      </w:r>
      <w:r w:rsidR="006C0564">
        <w:rPr>
          <w:rFonts w:asciiTheme="minorHAnsi" w:hAnsiTheme="minorHAnsi" w:cstheme="minorHAnsi"/>
          <w:noProof/>
        </w:rPr>
        <w:t>1</w:t>
      </w:r>
      <w:r w:rsidRPr="00374A6E">
        <w:rPr>
          <w:rFonts w:asciiTheme="minorHAnsi" w:hAnsiTheme="minorHAnsi" w:cstheme="minorHAnsi"/>
          <w:i/>
        </w:rPr>
        <w:fldChar w:fldCharType="end"/>
      </w:r>
      <w:r w:rsidRPr="00374A6E">
        <w:rPr>
          <w:rFonts w:asciiTheme="minorHAnsi" w:hAnsiTheme="minorHAnsi" w:cstheme="minorHAnsi"/>
        </w:rPr>
        <w:t xml:space="preserve"> - External indeterminate and term hiring activities: Post-Secondary Recruitment Program and former student hires</w:t>
      </w:r>
    </w:p>
    <w:p w:rsidR="00B36867" w:rsidRPr="00374A6E" w:rsidRDefault="00B36867" w:rsidP="00C15620">
      <w:pPr>
        <w:pStyle w:val="Caption"/>
        <w:keepNext/>
        <w:spacing w:before="240"/>
        <w:jc w:val="center"/>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14</w:t>
      </w:r>
      <w:r w:rsidR="009501EE">
        <w:rPr>
          <w:noProof/>
        </w:rPr>
        <w:fldChar w:fldCharType="end"/>
      </w:r>
      <w:r w:rsidRPr="00374A6E">
        <w:t xml:space="preserve"> - External indeterminate and term hiring activities: Post-Secondary Recruitment Program and former student hires by fiscal year</w:t>
      </w:r>
    </w:p>
    <w:tbl>
      <w:tblPr>
        <w:tblStyle w:val="TableGrid"/>
        <w:tblW w:w="5000" w:type="pct"/>
        <w:jc w:val="center"/>
        <w:tblLook w:val="04A0" w:firstRow="1" w:lastRow="0" w:firstColumn="1" w:lastColumn="0" w:noHBand="0" w:noVBand="1"/>
        <w:tblDescription w:val="External indeterminate and term hiring activities"/>
      </w:tblPr>
      <w:tblGrid>
        <w:gridCol w:w="2317"/>
        <w:gridCol w:w="7500"/>
        <w:gridCol w:w="4573"/>
      </w:tblGrid>
      <w:tr w:rsidR="006154CB" w:rsidRPr="00374A6E" w:rsidTr="00D3786A">
        <w:trPr>
          <w:tblHeader/>
          <w:jc w:val="center"/>
        </w:trPr>
        <w:tc>
          <w:tcPr>
            <w:tcW w:w="805" w:type="pct"/>
          </w:tcPr>
          <w:p w:rsidR="006154CB" w:rsidRPr="00374A6E" w:rsidRDefault="006154CB" w:rsidP="006154CB">
            <w:pPr>
              <w:pStyle w:val="TableTitle"/>
              <w:spacing w:before="0"/>
              <w:rPr>
                <w:rFonts w:eastAsiaTheme="minorHAnsi"/>
                <w:color w:val="auto"/>
                <w:sz w:val="22"/>
                <w:szCs w:val="22"/>
                <w:lang w:val="en-CA"/>
              </w:rPr>
            </w:pPr>
            <w:r w:rsidRPr="00374A6E">
              <w:rPr>
                <w:rFonts w:eastAsiaTheme="minorHAnsi"/>
                <w:color w:val="auto"/>
                <w:sz w:val="22"/>
                <w:szCs w:val="22"/>
                <w:lang w:val="en-CA"/>
              </w:rPr>
              <w:t>Fiscal year</w:t>
            </w:r>
          </w:p>
        </w:tc>
        <w:tc>
          <w:tcPr>
            <w:tcW w:w="2606" w:type="pct"/>
          </w:tcPr>
          <w:p w:rsidR="006154CB" w:rsidRPr="00374A6E" w:rsidRDefault="006154CB" w:rsidP="006154CB">
            <w:pPr>
              <w:pStyle w:val="TableTitle"/>
              <w:spacing w:before="0"/>
              <w:rPr>
                <w:rFonts w:eastAsiaTheme="minorHAnsi"/>
                <w:color w:val="auto"/>
                <w:sz w:val="22"/>
                <w:szCs w:val="22"/>
                <w:lang w:val="en-CA"/>
              </w:rPr>
            </w:pPr>
            <w:r w:rsidRPr="00374A6E">
              <w:rPr>
                <w:rFonts w:eastAsiaTheme="minorHAnsi"/>
                <w:color w:val="auto"/>
                <w:sz w:val="22"/>
                <w:szCs w:val="22"/>
                <w:lang w:val="en-CA"/>
              </w:rPr>
              <w:t>Post-Secondary Recruitment Program hires</w:t>
            </w:r>
          </w:p>
        </w:tc>
        <w:tc>
          <w:tcPr>
            <w:tcW w:w="1589" w:type="pct"/>
          </w:tcPr>
          <w:p w:rsidR="006154CB" w:rsidRPr="00374A6E" w:rsidRDefault="006154CB" w:rsidP="006154CB">
            <w:pPr>
              <w:pStyle w:val="TableTitle"/>
              <w:spacing w:before="0"/>
              <w:rPr>
                <w:rFonts w:eastAsiaTheme="minorHAnsi"/>
                <w:color w:val="auto"/>
                <w:sz w:val="22"/>
                <w:szCs w:val="22"/>
                <w:lang w:val="en-CA"/>
              </w:rPr>
            </w:pPr>
            <w:r w:rsidRPr="00374A6E">
              <w:rPr>
                <w:rFonts w:eastAsiaTheme="minorHAnsi"/>
                <w:color w:val="auto"/>
                <w:sz w:val="22"/>
                <w:szCs w:val="22"/>
                <w:lang w:val="en-CA"/>
              </w:rPr>
              <w:t>Hiring of former students</w:t>
            </w:r>
          </w:p>
        </w:tc>
      </w:tr>
      <w:tr w:rsidR="006154CB" w:rsidRPr="00374A6E" w:rsidTr="00AF081F">
        <w:trPr>
          <w:jc w:val="center"/>
        </w:trPr>
        <w:tc>
          <w:tcPr>
            <w:tcW w:w="805" w:type="pct"/>
          </w:tcPr>
          <w:p w:rsidR="006154CB" w:rsidRPr="00374A6E" w:rsidRDefault="006154CB" w:rsidP="006154CB">
            <w:pPr>
              <w:rPr>
                <w:sz w:val="22"/>
                <w:szCs w:val="22"/>
                <w:lang w:val="en-CA"/>
              </w:rPr>
            </w:pPr>
            <w:r w:rsidRPr="00374A6E">
              <w:rPr>
                <w:rFonts w:asciiTheme="minorHAnsi" w:eastAsiaTheme="minorHAnsi" w:hAnsiTheme="minorHAnsi" w:cstheme="minorHAnsi"/>
                <w:color w:val="000000"/>
                <w:sz w:val="22"/>
                <w:szCs w:val="22"/>
                <w:lang w:val="en-CA"/>
              </w:rPr>
              <w:t>2014 to 2015</w:t>
            </w:r>
          </w:p>
        </w:tc>
        <w:tc>
          <w:tcPr>
            <w:tcW w:w="2606" w:type="pct"/>
          </w:tcPr>
          <w:p w:rsidR="006154CB" w:rsidRPr="00374A6E" w:rsidRDefault="006154CB" w:rsidP="001D75F8">
            <w:pPr>
              <w:jc w:val="center"/>
              <w:rPr>
                <w:sz w:val="22"/>
                <w:szCs w:val="22"/>
                <w:lang w:val="en-CA"/>
              </w:rPr>
            </w:pPr>
            <w:r w:rsidRPr="00374A6E">
              <w:rPr>
                <w:rFonts w:asciiTheme="minorHAnsi" w:eastAsiaTheme="minorHAnsi" w:hAnsiTheme="minorHAnsi" w:cstheme="minorHAnsi"/>
                <w:color w:val="000000"/>
                <w:sz w:val="22"/>
                <w:szCs w:val="22"/>
                <w:lang w:val="en-CA"/>
              </w:rPr>
              <w:t>11</w:t>
            </w:r>
          </w:p>
        </w:tc>
        <w:tc>
          <w:tcPr>
            <w:tcW w:w="1589" w:type="pct"/>
          </w:tcPr>
          <w:p w:rsidR="006154CB" w:rsidRPr="00374A6E" w:rsidRDefault="006154CB" w:rsidP="001D75F8">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132</w:t>
            </w:r>
          </w:p>
        </w:tc>
      </w:tr>
      <w:tr w:rsidR="006154CB" w:rsidRPr="00374A6E" w:rsidTr="00AF081F">
        <w:trPr>
          <w:jc w:val="center"/>
        </w:trPr>
        <w:tc>
          <w:tcPr>
            <w:tcW w:w="805" w:type="pct"/>
          </w:tcPr>
          <w:p w:rsidR="006154CB" w:rsidRPr="00374A6E" w:rsidRDefault="006154CB" w:rsidP="006154CB">
            <w:pPr>
              <w:rPr>
                <w:sz w:val="22"/>
                <w:szCs w:val="22"/>
                <w:lang w:val="en-CA"/>
              </w:rPr>
            </w:pPr>
            <w:r w:rsidRPr="00374A6E">
              <w:rPr>
                <w:rFonts w:asciiTheme="minorHAnsi" w:eastAsiaTheme="minorHAnsi" w:hAnsiTheme="minorHAnsi" w:cstheme="minorHAnsi"/>
                <w:color w:val="000000"/>
                <w:sz w:val="22"/>
                <w:szCs w:val="22"/>
                <w:lang w:val="en-CA"/>
              </w:rPr>
              <w:t>2015 to 2016</w:t>
            </w:r>
          </w:p>
        </w:tc>
        <w:tc>
          <w:tcPr>
            <w:tcW w:w="2606" w:type="pct"/>
          </w:tcPr>
          <w:p w:rsidR="006154CB" w:rsidRPr="00374A6E" w:rsidRDefault="006154CB" w:rsidP="001D75F8">
            <w:pPr>
              <w:jc w:val="center"/>
              <w:rPr>
                <w:sz w:val="22"/>
                <w:szCs w:val="22"/>
                <w:lang w:val="en-CA"/>
              </w:rPr>
            </w:pPr>
            <w:r w:rsidRPr="00374A6E">
              <w:rPr>
                <w:rFonts w:asciiTheme="minorHAnsi" w:eastAsiaTheme="minorHAnsi" w:hAnsiTheme="minorHAnsi" w:cstheme="minorHAnsi"/>
                <w:color w:val="000000"/>
                <w:sz w:val="22"/>
                <w:szCs w:val="22"/>
                <w:lang w:val="en-CA"/>
              </w:rPr>
              <w:t>1</w:t>
            </w:r>
          </w:p>
        </w:tc>
        <w:tc>
          <w:tcPr>
            <w:tcW w:w="1589" w:type="pct"/>
          </w:tcPr>
          <w:p w:rsidR="006154CB" w:rsidRPr="00374A6E" w:rsidRDefault="006154CB" w:rsidP="001D75F8">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95</w:t>
            </w:r>
          </w:p>
        </w:tc>
      </w:tr>
      <w:tr w:rsidR="006154CB" w:rsidRPr="00374A6E" w:rsidTr="00AF081F">
        <w:trPr>
          <w:jc w:val="center"/>
        </w:trPr>
        <w:tc>
          <w:tcPr>
            <w:tcW w:w="805" w:type="pct"/>
          </w:tcPr>
          <w:p w:rsidR="006154CB" w:rsidRPr="00374A6E" w:rsidRDefault="006154CB" w:rsidP="006154CB">
            <w:pPr>
              <w:rPr>
                <w:sz w:val="22"/>
                <w:szCs w:val="22"/>
                <w:lang w:val="en-CA"/>
              </w:rPr>
            </w:pPr>
            <w:r w:rsidRPr="00374A6E">
              <w:rPr>
                <w:rFonts w:asciiTheme="minorHAnsi" w:eastAsiaTheme="minorHAnsi" w:hAnsiTheme="minorHAnsi" w:cstheme="minorHAnsi"/>
                <w:color w:val="000000"/>
                <w:sz w:val="22"/>
                <w:szCs w:val="22"/>
                <w:lang w:val="en-CA"/>
              </w:rPr>
              <w:t>2016 to 2017</w:t>
            </w:r>
          </w:p>
        </w:tc>
        <w:tc>
          <w:tcPr>
            <w:tcW w:w="2606" w:type="pct"/>
          </w:tcPr>
          <w:p w:rsidR="006154CB" w:rsidRPr="00374A6E" w:rsidRDefault="006154CB" w:rsidP="001D75F8">
            <w:pPr>
              <w:jc w:val="center"/>
              <w:rPr>
                <w:sz w:val="22"/>
                <w:szCs w:val="22"/>
                <w:lang w:val="en-CA"/>
              </w:rPr>
            </w:pPr>
            <w:r w:rsidRPr="00374A6E">
              <w:rPr>
                <w:rFonts w:asciiTheme="minorHAnsi" w:eastAsiaTheme="minorHAnsi" w:hAnsiTheme="minorHAnsi" w:cstheme="minorHAnsi"/>
                <w:color w:val="000000"/>
                <w:sz w:val="22"/>
                <w:szCs w:val="22"/>
                <w:lang w:val="en-CA"/>
              </w:rPr>
              <w:t>22</w:t>
            </w:r>
          </w:p>
        </w:tc>
        <w:tc>
          <w:tcPr>
            <w:tcW w:w="1589" w:type="pct"/>
          </w:tcPr>
          <w:p w:rsidR="006154CB" w:rsidRPr="00374A6E" w:rsidRDefault="006154CB" w:rsidP="001D75F8">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175</w:t>
            </w:r>
          </w:p>
        </w:tc>
      </w:tr>
      <w:tr w:rsidR="006154CB" w:rsidRPr="00374A6E" w:rsidTr="00AF081F">
        <w:trPr>
          <w:jc w:val="center"/>
        </w:trPr>
        <w:tc>
          <w:tcPr>
            <w:tcW w:w="805" w:type="pct"/>
          </w:tcPr>
          <w:p w:rsidR="006154CB" w:rsidRPr="00374A6E" w:rsidRDefault="006154CB" w:rsidP="006154CB">
            <w:pPr>
              <w:rPr>
                <w:sz w:val="22"/>
                <w:szCs w:val="22"/>
                <w:lang w:val="en-CA"/>
              </w:rPr>
            </w:pPr>
            <w:r w:rsidRPr="00374A6E">
              <w:rPr>
                <w:rFonts w:asciiTheme="minorHAnsi" w:eastAsiaTheme="minorHAnsi" w:hAnsiTheme="minorHAnsi" w:cstheme="minorHAnsi"/>
                <w:color w:val="000000"/>
                <w:sz w:val="22"/>
                <w:szCs w:val="22"/>
                <w:lang w:val="en-CA"/>
              </w:rPr>
              <w:t>2017 to 2018</w:t>
            </w:r>
          </w:p>
        </w:tc>
        <w:tc>
          <w:tcPr>
            <w:tcW w:w="2606" w:type="pct"/>
          </w:tcPr>
          <w:p w:rsidR="006154CB" w:rsidRPr="00374A6E" w:rsidRDefault="006154CB" w:rsidP="001D75F8">
            <w:pPr>
              <w:jc w:val="center"/>
              <w:rPr>
                <w:sz w:val="22"/>
                <w:szCs w:val="22"/>
                <w:lang w:val="en-CA"/>
              </w:rPr>
            </w:pPr>
            <w:r w:rsidRPr="00374A6E">
              <w:rPr>
                <w:rFonts w:asciiTheme="minorHAnsi" w:eastAsiaTheme="minorHAnsi" w:hAnsiTheme="minorHAnsi" w:cstheme="minorHAnsi"/>
                <w:color w:val="000000"/>
                <w:sz w:val="22"/>
                <w:szCs w:val="22"/>
                <w:lang w:val="en-CA"/>
              </w:rPr>
              <w:t>30</w:t>
            </w:r>
          </w:p>
        </w:tc>
        <w:tc>
          <w:tcPr>
            <w:tcW w:w="1589" w:type="pct"/>
          </w:tcPr>
          <w:p w:rsidR="006154CB" w:rsidRPr="00374A6E" w:rsidRDefault="006154CB" w:rsidP="001D75F8">
            <w:pPr>
              <w:autoSpaceDE w:val="0"/>
              <w:autoSpaceDN w:val="0"/>
              <w:adjustRightInd w:val="0"/>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197</w:t>
            </w:r>
          </w:p>
        </w:tc>
      </w:tr>
      <w:tr w:rsidR="006154CB" w:rsidRPr="00374A6E" w:rsidTr="00AF081F">
        <w:trPr>
          <w:jc w:val="center"/>
        </w:trPr>
        <w:tc>
          <w:tcPr>
            <w:tcW w:w="805" w:type="pct"/>
          </w:tcPr>
          <w:p w:rsidR="006154CB" w:rsidRPr="00374A6E" w:rsidRDefault="006154CB" w:rsidP="006154CB">
            <w:pP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2018 to 2019</w:t>
            </w:r>
          </w:p>
        </w:tc>
        <w:tc>
          <w:tcPr>
            <w:tcW w:w="2606" w:type="pct"/>
          </w:tcPr>
          <w:p w:rsidR="006154CB" w:rsidRPr="00374A6E" w:rsidRDefault="006154CB" w:rsidP="001D75F8">
            <w:pPr>
              <w:jc w:val="center"/>
              <w:rPr>
                <w:rFonts w:asciiTheme="minorHAnsi" w:eastAsiaTheme="minorHAnsi" w:hAnsiTheme="minorHAnsi" w:cstheme="minorHAnsi"/>
                <w:color w:val="000000"/>
                <w:sz w:val="22"/>
                <w:szCs w:val="22"/>
                <w:lang w:val="en-CA"/>
              </w:rPr>
            </w:pPr>
            <w:r w:rsidRPr="00374A6E">
              <w:rPr>
                <w:rFonts w:asciiTheme="minorHAnsi" w:eastAsiaTheme="minorHAnsi" w:hAnsiTheme="minorHAnsi" w:cstheme="minorHAnsi"/>
                <w:color w:val="000000"/>
                <w:sz w:val="22"/>
                <w:szCs w:val="22"/>
                <w:lang w:val="en-CA"/>
              </w:rPr>
              <w:t>36</w:t>
            </w:r>
          </w:p>
        </w:tc>
        <w:tc>
          <w:tcPr>
            <w:tcW w:w="1589" w:type="pct"/>
          </w:tcPr>
          <w:p w:rsidR="006154CB" w:rsidRPr="00374A6E" w:rsidRDefault="006154CB" w:rsidP="001D75F8">
            <w:pPr>
              <w:autoSpaceDE w:val="0"/>
              <w:autoSpaceDN w:val="0"/>
              <w:adjustRightInd w:val="0"/>
              <w:jc w:val="center"/>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 w:val="22"/>
                <w:szCs w:val="22"/>
                <w:lang w:val="en-CA"/>
              </w:rPr>
              <w:t>239</w:t>
            </w:r>
          </w:p>
        </w:tc>
      </w:tr>
    </w:tbl>
    <w:p w:rsidR="00570946" w:rsidRPr="00374A6E" w:rsidRDefault="00B371B0" w:rsidP="00570946">
      <w:pPr>
        <w:numPr>
          <w:ilvl w:val="1"/>
          <w:numId w:val="0"/>
        </w:numPr>
        <w:spacing w:before="120" w:after="160"/>
        <w:rPr>
          <w:rFonts w:asciiTheme="minorHAnsi" w:eastAsiaTheme="minorHAnsi" w:hAnsiTheme="minorHAnsi" w:cstheme="minorHAnsi"/>
          <w:szCs w:val="24"/>
          <w:lang w:val="en-CA"/>
        </w:rPr>
        <w:sectPr w:rsidR="00570946" w:rsidRPr="00374A6E" w:rsidSect="00C15620">
          <w:type w:val="continuous"/>
          <w:pgSz w:w="15840" w:h="12240" w:orient="landscape" w:code="1"/>
          <w:pgMar w:top="1025" w:right="720" w:bottom="720" w:left="720" w:header="708" w:footer="708" w:gutter="0"/>
          <w:cols w:space="708"/>
          <w:titlePg/>
          <w:docGrid w:linePitch="360"/>
        </w:sectPr>
      </w:pPr>
      <w:r w:rsidRPr="00374A6E">
        <w:rPr>
          <w:rFonts w:asciiTheme="minorHAnsi" w:eastAsiaTheme="minorHAnsi" w:hAnsiTheme="minorHAnsi" w:cstheme="minorHAnsi"/>
          <w:szCs w:val="24"/>
          <w:lang w:val="en-CA"/>
        </w:rPr>
        <w:t>Hiring of former students includes indeterminate and term hires with experience in a federal student recruitment program within the last 10 years.</w:t>
      </w:r>
    </w:p>
    <w:p w:rsidR="00B01089" w:rsidRPr="00B01089" w:rsidRDefault="00B01089" w:rsidP="00B01089">
      <w:pPr>
        <w:pStyle w:val="Heading1"/>
        <w:spacing w:before="120" w:after="120"/>
        <w:rPr>
          <w:sz w:val="40"/>
          <w:szCs w:val="40"/>
          <w:lang w:val="en-CA" w:eastAsia="en-CA"/>
        </w:rPr>
      </w:pPr>
      <w:r w:rsidRPr="00B01089">
        <w:rPr>
          <w:sz w:val="40"/>
          <w:szCs w:val="40"/>
          <w:lang w:val="en-CA" w:eastAsia="en-CA"/>
        </w:rPr>
        <w:lastRenderedPageBreak/>
        <w:t>Internal time to staff</w:t>
      </w:r>
    </w:p>
    <w:p w:rsidR="008515D3" w:rsidRPr="00374A6E" w:rsidRDefault="00D735BF" w:rsidP="008515D3">
      <w:pPr>
        <w:keepNext/>
        <w:numPr>
          <w:ilvl w:val="1"/>
          <w:numId w:val="0"/>
        </w:numPr>
        <w:rPr>
          <w:lang w:val="en-CA"/>
        </w:rPr>
      </w:pPr>
      <w:r w:rsidRPr="00374A6E">
        <w:rPr>
          <w:rStyle w:val="Strong"/>
          <w:rFonts w:eastAsiaTheme="minorEastAsia"/>
          <w:noProof/>
          <w:lang w:val="en-CA" w:eastAsia="en-CA"/>
        </w:rPr>
        <w:drawing>
          <wp:inline distT="0" distB="0" distL="0" distR="0" wp14:anchorId="533356FA" wp14:editId="739C9AD4">
            <wp:extent cx="5648400" cy="3049200"/>
            <wp:effectExtent l="0" t="0" r="9525" b="18415"/>
            <wp:docPr id="22" name="Chart 22" descr="Internal time to staff - Public service median = 17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515D3" w:rsidRPr="00374A6E">
        <w:rPr>
          <w:rStyle w:val="Strong"/>
          <w:rFonts w:eastAsiaTheme="minorEastAsia"/>
          <w:noProof/>
          <w:lang w:val="en-CA" w:eastAsia="en-CA"/>
        </w:rPr>
        <w:drawing>
          <wp:inline distT="0" distB="0" distL="0" distR="0" wp14:anchorId="6601BD2D" wp14:editId="6BC360E1">
            <wp:extent cx="5648400" cy="3049200"/>
            <wp:effectExtent l="0" t="0" r="9525" b="18415"/>
            <wp:docPr id="23" name="Chart 23" descr="Internal time to staff - Environment and Climate Change Canada = 202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B4DBB" w:rsidRPr="00374A6E" w:rsidRDefault="008515D3" w:rsidP="008515D3">
      <w:pPr>
        <w:pStyle w:val="Caption"/>
        <w:tabs>
          <w:tab w:val="left" w:pos="8931"/>
        </w:tabs>
      </w:pPr>
      <w:r w:rsidRPr="00374A6E">
        <w:rPr>
          <w:rFonts w:asciiTheme="minorHAnsi" w:hAnsiTheme="minorHAnsi" w:cstheme="minorHAnsi"/>
        </w:rPr>
        <w:t>Figure</w:t>
      </w:r>
      <w:r w:rsidRPr="006C0564">
        <w:rPr>
          <w:rFonts w:asciiTheme="minorHAnsi" w:hAnsiTheme="minorHAnsi" w:cstheme="minorHAnsi"/>
        </w:rPr>
        <w:t xml:space="preserve"> </w:t>
      </w:r>
      <w:r w:rsidR="006C0564" w:rsidRPr="006C0564">
        <w:rPr>
          <w:rFonts w:asciiTheme="minorHAnsi" w:hAnsiTheme="minorHAnsi" w:cstheme="minorHAnsi"/>
        </w:rPr>
        <w:t>12</w:t>
      </w:r>
      <w:r w:rsidRPr="00374A6E">
        <w:rPr>
          <w:rFonts w:asciiTheme="minorHAnsi" w:hAnsiTheme="minorHAnsi" w:cstheme="minorHAnsi"/>
        </w:rPr>
        <w:t xml:space="preserve"> - Internal time to staff - Public service median = 176 days 2018-19</w:t>
      </w:r>
      <w:r w:rsidRPr="00374A6E">
        <w:rPr>
          <w:rFonts w:asciiTheme="minorHAnsi" w:hAnsiTheme="minorHAnsi" w:cstheme="minorHAnsi"/>
        </w:rPr>
        <w:tab/>
        <w:t xml:space="preserve">Figure </w:t>
      </w:r>
      <w:r w:rsidRPr="00374A6E">
        <w:rPr>
          <w:rFonts w:asciiTheme="minorHAnsi" w:hAnsiTheme="minorHAnsi" w:cstheme="minorHAnsi"/>
          <w:i/>
        </w:rPr>
        <w:fldChar w:fldCharType="begin"/>
      </w:r>
      <w:r w:rsidRPr="00374A6E">
        <w:rPr>
          <w:rFonts w:asciiTheme="minorHAnsi" w:hAnsiTheme="minorHAnsi" w:cstheme="minorHAnsi"/>
        </w:rPr>
        <w:instrText xml:space="preserve"> SEQ Figure \* ARABIC </w:instrText>
      </w:r>
      <w:r w:rsidRPr="00374A6E">
        <w:rPr>
          <w:rFonts w:asciiTheme="minorHAnsi" w:hAnsiTheme="minorHAnsi" w:cstheme="minorHAnsi"/>
          <w:i/>
        </w:rPr>
        <w:fldChar w:fldCharType="separate"/>
      </w:r>
      <w:r w:rsidR="00E16E9C" w:rsidRPr="00374A6E">
        <w:rPr>
          <w:rFonts w:asciiTheme="minorHAnsi" w:hAnsiTheme="minorHAnsi" w:cstheme="minorHAnsi"/>
          <w:noProof/>
        </w:rPr>
        <w:t>1</w:t>
      </w:r>
      <w:r w:rsidR="006C0564">
        <w:rPr>
          <w:rFonts w:asciiTheme="minorHAnsi" w:hAnsiTheme="minorHAnsi" w:cstheme="minorHAnsi"/>
          <w:noProof/>
        </w:rPr>
        <w:t>3</w:t>
      </w:r>
      <w:r w:rsidRPr="00374A6E">
        <w:rPr>
          <w:rFonts w:asciiTheme="minorHAnsi" w:hAnsiTheme="minorHAnsi" w:cstheme="minorHAnsi"/>
          <w:i/>
        </w:rPr>
        <w:fldChar w:fldCharType="end"/>
      </w:r>
      <w:r w:rsidRPr="00374A6E">
        <w:rPr>
          <w:rFonts w:asciiTheme="minorHAnsi" w:hAnsiTheme="minorHAnsi" w:cstheme="minorHAnsi"/>
        </w:rPr>
        <w:t xml:space="preserve"> - Internal time to staff - Environment and Climate Change Canada = 202 days 2018-19</w:t>
      </w:r>
    </w:p>
    <w:p w:rsidR="002E74E7" w:rsidRPr="00374A6E" w:rsidRDefault="002E74E7" w:rsidP="002E74E7">
      <w:pPr>
        <w:numPr>
          <w:ilvl w:val="1"/>
          <w:numId w:val="0"/>
        </w:numPr>
        <w:spacing w:before="480" w:after="480"/>
        <w:rPr>
          <w:rFonts w:asciiTheme="minorHAnsi" w:eastAsiaTheme="minorHAnsi" w:hAnsiTheme="minorHAnsi" w:cstheme="minorHAnsi"/>
          <w:szCs w:val="24"/>
          <w:lang w:val="en-CA"/>
        </w:rPr>
        <w:sectPr w:rsidR="002E74E7" w:rsidRPr="00374A6E" w:rsidSect="00570946">
          <w:pgSz w:w="20160" w:h="12240" w:orient="landscape" w:code="5"/>
          <w:pgMar w:top="1025" w:right="720" w:bottom="720" w:left="720" w:header="708" w:footer="708" w:gutter="0"/>
          <w:cols w:space="708"/>
          <w:titlePg/>
          <w:docGrid w:linePitch="360"/>
        </w:sectPr>
      </w:pPr>
    </w:p>
    <w:p w:rsidR="00703960" w:rsidRPr="00374A6E" w:rsidRDefault="00DB6231" w:rsidP="00432882">
      <w:pPr>
        <w:numPr>
          <w:ilvl w:val="1"/>
          <w:numId w:val="0"/>
        </w:numPr>
        <w:spacing w:before="960" w:after="120"/>
        <w:rPr>
          <w:rFonts w:asciiTheme="minorHAnsi" w:eastAsiaTheme="minorHAnsi" w:hAnsiTheme="minorHAnsi" w:cstheme="minorHAnsi"/>
          <w:szCs w:val="24"/>
          <w:lang w:val="en-CA"/>
        </w:rPr>
        <w:sectPr w:rsidR="00703960" w:rsidRPr="00374A6E" w:rsidSect="00703960">
          <w:type w:val="continuous"/>
          <w:pgSz w:w="20160" w:h="12240" w:orient="landscape" w:code="5"/>
          <w:pgMar w:top="1025" w:right="720" w:bottom="720" w:left="720" w:header="708" w:footer="708" w:gutter="0"/>
          <w:cols w:space="708"/>
          <w:titlePg/>
          <w:docGrid w:linePitch="360"/>
        </w:sectPr>
      </w:pPr>
      <w:hyperlink w:anchor="Internal_time_to_staff" w:history="1">
        <w:r w:rsidR="00432882" w:rsidRPr="00432882">
          <w:rPr>
            <w:rStyle w:val="Hyperlink"/>
            <w:rFonts w:asciiTheme="minorHAnsi" w:eastAsiaTheme="minorHAnsi" w:hAnsiTheme="minorHAnsi" w:cstheme="minorHAnsi"/>
            <w:szCs w:val="24"/>
            <w:lang w:val="en-CA"/>
          </w:rPr>
          <w:t>Internal time to staff data table available here</w:t>
        </w:r>
      </w:hyperlink>
    </w:p>
    <w:p w:rsidR="00703960" w:rsidRPr="00374A6E" w:rsidRDefault="007A2B08" w:rsidP="00703960">
      <w:pPr>
        <w:numPr>
          <w:ilvl w:val="1"/>
          <w:numId w:val="0"/>
        </w:numPr>
        <w:spacing w:before="360" w:after="120"/>
        <w:rPr>
          <w:rFonts w:asciiTheme="minorHAnsi" w:eastAsiaTheme="minorHAnsi" w:hAnsiTheme="minorHAnsi" w:cstheme="minorHAnsi"/>
          <w:szCs w:val="24"/>
          <w:lang w:val="en-CA"/>
        </w:rPr>
      </w:pPr>
      <w:r w:rsidRPr="00374A6E">
        <w:rPr>
          <w:rFonts w:asciiTheme="minorHAnsi" w:eastAsiaTheme="minorHAnsi" w:hAnsiTheme="minorHAnsi" w:cstheme="minorHAnsi"/>
          <w:szCs w:val="24"/>
          <w:lang w:val="en-CA"/>
        </w:rPr>
        <w:t>Internal time to staff is calculated as the number of calendar days between the opening date of the advertisement and the date of the first notification.</w:t>
      </w:r>
    </w:p>
    <w:p w:rsidR="007A2B08" w:rsidRPr="00374A6E" w:rsidRDefault="00703960" w:rsidP="00703960">
      <w:pPr>
        <w:numPr>
          <w:ilvl w:val="1"/>
          <w:numId w:val="0"/>
        </w:numPr>
        <w:spacing w:before="360"/>
        <w:rPr>
          <w:rStyle w:val="Strong"/>
          <w:rFonts w:eastAsiaTheme="minorHAnsi" w:cstheme="minorHAnsi"/>
          <w:lang w:val="en-CA"/>
        </w:rPr>
      </w:pPr>
      <w:r w:rsidRPr="00374A6E">
        <w:rPr>
          <w:rStyle w:val="Strong"/>
          <w:rFonts w:eastAsiaTheme="minorHAnsi" w:cstheme="minorHAnsi"/>
          <w:lang w:val="en-CA"/>
        </w:rPr>
        <w:br w:type="column"/>
      </w:r>
      <w:r w:rsidR="007A2B08" w:rsidRPr="00374A6E">
        <w:rPr>
          <w:rStyle w:val="Strong"/>
          <w:rFonts w:eastAsiaTheme="minorHAnsi" w:cstheme="minorHAnsi"/>
          <w:lang w:val="en-CA"/>
        </w:rPr>
        <w:t>Internal time to staff for fiscal year 2018 to 2019</w:t>
      </w:r>
    </w:p>
    <w:p w:rsidR="00703960" w:rsidRPr="00374A6E" w:rsidRDefault="007A2B08" w:rsidP="007A2B08">
      <w:pPr>
        <w:numPr>
          <w:ilvl w:val="1"/>
          <w:numId w:val="0"/>
        </w:numPr>
        <w:spacing w:after="160"/>
        <w:rPr>
          <w:rFonts w:asciiTheme="minorHAnsi" w:eastAsiaTheme="minorHAnsi" w:hAnsiTheme="minorHAnsi" w:cstheme="minorHAnsi"/>
          <w:szCs w:val="24"/>
          <w:lang w:val="en-CA"/>
        </w:rPr>
        <w:sectPr w:rsidR="00703960" w:rsidRPr="00374A6E" w:rsidSect="00703960">
          <w:type w:val="continuous"/>
          <w:pgSz w:w="20160" w:h="12240" w:orient="landscape" w:code="5"/>
          <w:pgMar w:top="1025" w:right="720" w:bottom="720" w:left="720" w:header="708" w:footer="708" w:gutter="0"/>
          <w:cols w:num="2" w:space="708"/>
          <w:titlePg/>
          <w:docGrid w:linePitch="360"/>
        </w:sectPr>
      </w:pPr>
      <w:r w:rsidRPr="00374A6E">
        <w:rPr>
          <w:rFonts w:asciiTheme="minorHAnsi" w:eastAsiaTheme="minorHAnsi" w:hAnsiTheme="minorHAnsi" w:cstheme="minorHAnsi"/>
          <w:szCs w:val="24"/>
          <w:lang w:val="en-CA"/>
        </w:rPr>
        <w:t>The median internal time to staff for the public service (organizations subject to the Public Service Employment Act) for fiscal year 2018 to 2019 is 176 days. Environment and Climate Change Canada’s median internal time to staff for fiscal year 2018 to 2019 is 202 days.</w:t>
      </w:r>
    </w:p>
    <w:p w:rsidR="007A2B08" w:rsidRPr="00374A6E" w:rsidRDefault="007A2B08" w:rsidP="007A2B08">
      <w:pPr>
        <w:numPr>
          <w:ilvl w:val="1"/>
          <w:numId w:val="0"/>
        </w:numPr>
        <w:spacing w:after="160"/>
        <w:rPr>
          <w:rFonts w:asciiTheme="minorHAnsi" w:eastAsiaTheme="minorEastAsia" w:hAnsiTheme="minorHAnsi" w:cstheme="minorBidi"/>
          <w:color w:val="8E9296" w:themeColor="text1" w:themeTint="A5"/>
          <w:spacing w:val="15"/>
          <w:sz w:val="22"/>
          <w:szCs w:val="22"/>
          <w:lang w:val="en-CA"/>
        </w:rPr>
      </w:pPr>
    </w:p>
    <w:p w:rsidR="00407292" w:rsidRPr="00374A6E" w:rsidRDefault="00407292" w:rsidP="003864FB">
      <w:pPr>
        <w:keepNext/>
        <w:numPr>
          <w:ilvl w:val="1"/>
          <w:numId w:val="0"/>
        </w:numPr>
        <w:rPr>
          <w:lang w:val="en-CA"/>
        </w:rPr>
        <w:sectPr w:rsidR="00407292" w:rsidRPr="00374A6E" w:rsidSect="002E74E7">
          <w:type w:val="continuous"/>
          <w:pgSz w:w="20160" w:h="12240" w:orient="landscape" w:code="5"/>
          <w:pgMar w:top="1025" w:right="720" w:bottom="720" w:left="720" w:header="708" w:footer="708" w:gutter="0"/>
          <w:cols w:num="2" w:space="708"/>
          <w:titlePg/>
          <w:docGrid w:linePitch="360"/>
        </w:sectPr>
      </w:pPr>
    </w:p>
    <w:p w:rsidR="00AE128B" w:rsidRPr="00AE128B" w:rsidRDefault="00AE128B" w:rsidP="00AE128B">
      <w:pPr>
        <w:pStyle w:val="Heading1"/>
        <w:spacing w:before="120" w:after="120"/>
        <w:rPr>
          <w:sz w:val="40"/>
          <w:szCs w:val="40"/>
        </w:rPr>
      </w:pPr>
      <w:r w:rsidRPr="00AE128B">
        <w:rPr>
          <w:sz w:val="40"/>
          <w:szCs w:val="40"/>
        </w:rPr>
        <w:lastRenderedPageBreak/>
        <w:t>Internal time to staff</w:t>
      </w:r>
    </w:p>
    <w:p w:rsidR="00B36867" w:rsidRPr="00374A6E" w:rsidRDefault="00B36867" w:rsidP="00B36867">
      <w:pPr>
        <w:pStyle w:val="Caption"/>
        <w:keepNext/>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15</w:t>
      </w:r>
      <w:r w:rsidR="009501EE">
        <w:rPr>
          <w:noProof/>
        </w:rPr>
        <w:fldChar w:fldCharType="end"/>
      </w:r>
      <w:r w:rsidRPr="00374A6E">
        <w:t xml:space="preserve"> - Internal time to staff</w:t>
      </w:r>
    </w:p>
    <w:tbl>
      <w:tblPr>
        <w:tblStyle w:val="TableGrid"/>
        <w:tblW w:w="5000" w:type="pct"/>
        <w:tblLook w:val="04A0" w:firstRow="1" w:lastRow="0" w:firstColumn="1" w:lastColumn="0" w:noHBand="0" w:noVBand="1"/>
        <w:tblDescription w:val="Internal time to staff"/>
      </w:tblPr>
      <w:tblGrid>
        <w:gridCol w:w="7678"/>
        <w:gridCol w:w="7678"/>
        <w:gridCol w:w="7674"/>
      </w:tblGrid>
      <w:tr w:rsidR="00407292" w:rsidRPr="00374A6E" w:rsidTr="00304F90">
        <w:trPr>
          <w:cantSplit/>
          <w:tblHeader/>
        </w:trPr>
        <w:tc>
          <w:tcPr>
            <w:tcW w:w="1667" w:type="pct"/>
          </w:tcPr>
          <w:p w:rsidR="00407292" w:rsidRPr="00374A6E" w:rsidRDefault="00407292" w:rsidP="00407292">
            <w:pPr>
              <w:pStyle w:val="TableTitle"/>
              <w:spacing w:before="0"/>
              <w:rPr>
                <w:rFonts w:eastAsiaTheme="minorHAnsi"/>
                <w:color w:val="auto"/>
                <w:sz w:val="24"/>
                <w:lang w:val="en-CA"/>
              </w:rPr>
            </w:pPr>
            <w:bookmarkStart w:id="3" w:name="Internal_time_to_staff"/>
            <w:r w:rsidRPr="00374A6E">
              <w:rPr>
                <w:rFonts w:eastAsiaTheme="minorHAnsi"/>
                <w:color w:val="auto"/>
                <w:sz w:val="24"/>
                <w:lang w:val="en-CA"/>
              </w:rPr>
              <w:t>Number of calendar days</w:t>
            </w:r>
            <w:bookmarkEnd w:id="3"/>
          </w:p>
        </w:tc>
        <w:tc>
          <w:tcPr>
            <w:tcW w:w="1667" w:type="pct"/>
          </w:tcPr>
          <w:p w:rsidR="00407292" w:rsidRPr="00374A6E" w:rsidRDefault="00407292" w:rsidP="00407292">
            <w:pPr>
              <w:pStyle w:val="TableTitle"/>
              <w:spacing w:before="0"/>
              <w:rPr>
                <w:rFonts w:eastAsiaTheme="minorHAnsi"/>
                <w:color w:val="auto"/>
                <w:sz w:val="24"/>
                <w:lang w:val="en-CA"/>
              </w:rPr>
            </w:pPr>
            <w:r w:rsidRPr="00374A6E">
              <w:rPr>
                <w:rFonts w:eastAsiaTheme="minorHAnsi"/>
                <w:color w:val="auto"/>
                <w:sz w:val="24"/>
                <w:lang w:val="en-CA"/>
              </w:rPr>
              <w:t>The number of internal appointments for which the TTS-IA was within the specified number of calendar days for organizations subject to the Public Service Employment Act</w:t>
            </w:r>
          </w:p>
        </w:tc>
        <w:tc>
          <w:tcPr>
            <w:tcW w:w="1666" w:type="pct"/>
          </w:tcPr>
          <w:p w:rsidR="00407292" w:rsidRPr="00374A6E" w:rsidRDefault="00407292" w:rsidP="00407292">
            <w:pPr>
              <w:pStyle w:val="TableTitle"/>
              <w:spacing w:before="0"/>
              <w:rPr>
                <w:rFonts w:eastAsiaTheme="minorHAnsi"/>
                <w:color w:val="auto"/>
                <w:sz w:val="24"/>
                <w:lang w:val="en-CA"/>
              </w:rPr>
            </w:pPr>
            <w:r w:rsidRPr="00374A6E">
              <w:rPr>
                <w:rFonts w:eastAsiaTheme="minorHAnsi"/>
                <w:color w:val="auto"/>
                <w:sz w:val="24"/>
                <w:lang w:val="en-CA"/>
              </w:rPr>
              <w:t>The number of internal appointments for which the TTS-IA was within the specified number of calendar days for the specified organization</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 to 29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15</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30 to 59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130</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60 to 89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277</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90 to 119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391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19</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120 to 149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367</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150 to 179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322</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180 to 209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278</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19</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210 to 239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241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240 to 269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165</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270 to 299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134</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300 to 329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107</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330 to 359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77</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360 to 389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390 to 419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53</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420 to 449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450 to 479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42</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480 to 509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40</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510 to 539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32</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540 to 569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24</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570 to 599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600 to 629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11</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630 to 659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19</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660 to 689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690 to 719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13</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720 to 749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6</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750 to 779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780 to 809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8</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810 to 839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840 to 869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10</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870 to 899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4</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900 to 929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930 to 959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5</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960 to 989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3</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0</w:t>
            </w:r>
          </w:p>
        </w:tc>
      </w:tr>
      <w:tr w:rsidR="00407292" w:rsidRPr="00374A6E" w:rsidTr="00304F90">
        <w:trPr>
          <w:cantSplit/>
        </w:trPr>
        <w:tc>
          <w:tcPr>
            <w:tcW w:w="1667" w:type="pct"/>
          </w:tcPr>
          <w:p w:rsidR="00407292" w:rsidRPr="00374A6E" w:rsidRDefault="00407292" w:rsidP="00407292">
            <w:pPr>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More than 990 calendar days</w:t>
            </w:r>
          </w:p>
        </w:tc>
        <w:tc>
          <w:tcPr>
            <w:tcW w:w="1667"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23</w:t>
            </w:r>
          </w:p>
        </w:tc>
        <w:tc>
          <w:tcPr>
            <w:tcW w:w="1666" w:type="pct"/>
          </w:tcPr>
          <w:p w:rsidR="00407292" w:rsidRPr="00374A6E" w:rsidRDefault="00407292" w:rsidP="00407292">
            <w:pPr>
              <w:rPr>
                <w:lang w:val="en-CA"/>
              </w:rPr>
            </w:pPr>
            <w:r w:rsidRPr="00374A6E">
              <w:rPr>
                <w:rFonts w:asciiTheme="minorHAnsi" w:eastAsiaTheme="minorHAnsi" w:hAnsiTheme="minorHAnsi" w:cstheme="minorHAnsi"/>
                <w:color w:val="000000"/>
                <w:szCs w:val="24"/>
                <w:lang w:val="en-CA"/>
              </w:rPr>
              <w:t>2</w:t>
            </w:r>
          </w:p>
        </w:tc>
      </w:tr>
    </w:tbl>
    <w:p w:rsidR="002E74E7" w:rsidRPr="00374A6E" w:rsidRDefault="002E74E7" w:rsidP="003864FB">
      <w:pPr>
        <w:keepNext/>
        <w:numPr>
          <w:ilvl w:val="1"/>
          <w:numId w:val="0"/>
        </w:numPr>
        <w:rPr>
          <w:lang w:val="en-CA"/>
        </w:rPr>
        <w:sectPr w:rsidR="002E74E7" w:rsidRPr="00374A6E" w:rsidSect="00407292">
          <w:pgSz w:w="24480" w:h="15840" w:orient="landscape" w:code="3"/>
          <w:pgMar w:top="1025" w:right="720" w:bottom="720" w:left="720" w:header="708" w:footer="708" w:gutter="0"/>
          <w:cols w:space="708"/>
          <w:titlePg/>
          <w:docGrid w:linePitch="360"/>
        </w:sectPr>
      </w:pPr>
    </w:p>
    <w:p w:rsidR="00B01089" w:rsidRPr="00B01089" w:rsidRDefault="00B01089" w:rsidP="00B01089">
      <w:pPr>
        <w:pStyle w:val="Heading1"/>
        <w:rPr>
          <w:sz w:val="40"/>
          <w:szCs w:val="40"/>
          <w:lang w:val="en-CA" w:eastAsia="en-CA"/>
        </w:rPr>
      </w:pPr>
      <w:r w:rsidRPr="00B01089">
        <w:rPr>
          <w:sz w:val="40"/>
          <w:szCs w:val="40"/>
          <w:lang w:val="en-CA" w:eastAsia="en-CA"/>
        </w:rPr>
        <w:lastRenderedPageBreak/>
        <w:t>External time to staff</w:t>
      </w:r>
    </w:p>
    <w:p w:rsidR="003864FB" w:rsidRPr="00374A6E" w:rsidRDefault="007A2B08" w:rsidP="003864FB">
      <w:pPr>
        <w:keepNext/>
        <w:numPr>
          <w:ilvl w:val="1"/>
          <w:numId w:val="0"/>
        </w:numPr>
        <w:rPr>
          <w:lang w:val="en-CA"/>
        </w:rPr>
      </w:pPr>
      <w:r w:rsidRPr="00374A6E">
        <w:rPr>
          <w:rStyle w:val="Strong"/>
          <w:rFonts w:eastAsiaTheme="minorEastAsia"/>
          <w:noProof/>
          <w:lang w:val="en-CA" w:eastAsia="en-CA"/>
        </w:rPr>
        <w:drawing>
          <wp:inline distT="0" distB="0" distL="0" distR="0" wp14:anchorId="336B0180" wp14:editId="2B25541B">
            <wp:extent cx="5648400" cy="3049200"/>
            <wp:effectExtent l="0" t="0" r="9525" b="18415"/>
            <wp:docPr id="21" name="Chart 21" descr="External time to staff - Public service median = 186 days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3864FB" w:rsidRPr="00374A6E">
        <w:rPr>
          <w:rStyle w:val="Strong"/>
          <w:rFonts w:eastAsiaTheme="minorEastAsia"/>
          <w:noProof/>
          <w:lang w:val="en-CA" w:eastAsia="en-CA"/>
        </w:rPr>
        <w:drawing>
          <wp:inline distT="0" distB="0" distL="0" distR="0" wp14:anchorId="2F0ADD99" wp14:editId="4EE3F1DA">
            <wp:extent cx="5648400" cy="3049200"/>
            <wp:effectExtent l="0" t="0" r="9525" b="18415"/>
            <wp:docPr id="11" name="Chart 11" descr="External time to staff - Environment and Climate change Canada = 195 days 2018-19&#1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F3356" w:rsidRPr="00374A6E" w:rsidRDefault="003864FB" w:rsidP="003864FB">
      <w:pPr>
        <w:pStyle w:val="Caption"/>
        <w:tabs>
          <w:tab w:val="left" w:pos="8931"/>
        </w:tabs>
        <w:rPr>
          <w:rFonts w:asciiTheme="minorHAnsi" w:hAnsiTheme="minorHAnsi" w:cstheme="minorHAnsi"/>
          <w:i/>
        </w:rPr>
      </w:pPr>
      <w:r w:rsidRPr="00374A6E">
        <w:rPr>
          <w:rFonts w:asciiTheme="minorHAnsi" w:hAnsiTheme="minorHAnsi" w:cstheme="minorHAnsi"/>
        </w:rPr>
        <w:t xml:space="preserve">Figure </w:t>
      </w:r>
      <w:r w:rsidRPr="00374A6E">
        <w:rPr>
          <w:rFonts w:asciiTheme="minorHAnsi" w:hAnsiTheme="minorHAnsi" w:cstheme="minorHAnsi"/>
          <w:i/>
        </w:rPr>
        <w:fldChar w:fldCharType="begin"/>
      </w:r>
      <w:r w:rsidRPr="00374A6E">
        <w:rPr>
          <w:rFonts w:asciiTheme="minorHAnsi" w:hAnsiTheme="minorHAnsi" w:cstheme="minorHAnsi"/>
        </w:rPr>
        <w:instrText xml:space="preserve"> SEQ Figure \* ARABIC </w:instrText>
      </w:r>
      <w:r w:rsidRPr="00374A6E">
        <w:rPr>
          <w:rFonts w:asciiTheme="minorHAnsi" w:hAnsiTheme="minorHAnsi" w:cstheme="minorHAnsi"/>
          <w:i/>
        </w:rPr>
        <w:fldChar w:fldCharType="separate"/>
      </w:r>
      <w:r w:rsidR="00E16E9C" w:rsidRPr="00374A6E">
        <w:rPr>
          <w:rFonts w:asciiTheme="minorHAnsi" w:hAnsiTheme="minorHAnsi" w:cstheme="minorHAnsi"/>
          <w:noProof/>
        </w:rPr>
        <w:t>1</w:t>
      </w:r>
      <w:r w:rsidR="006C0564">
        <w:rPr>
          <w:rFonts w:asciiTheme="minorHAnsi" w:hAnsiTheme="minorHAnsi" w:cstheme="minorHAnsi"/>
          <w:noProof/>
        </w:rPr>
        <w:t>4</w:t>
      </w:r>
      <w:r w:rsidRPr="00374A6E">
        <w:rPr>
          <w:rFonts w:asciiTheme="minorHAnsi" w:hAnsiTheme="minorHAnsi" w:cstheme="minorHAnsi"/>
          <w:i/>
        </w:rPr>
        <w:fldChar w:fldCharType="end"/>
      </w:r>
      <w:r w:rsidRPr="00374A6E">
        <w:rPr>
          <w:rFonts w:asciiTheme="minorHAnsi" w:hAnsiTheme="minorHAnsi" w:cstheme="minorHAnsi"/>
        </w:rPr>
        <w:t xml:space="preserve"> - External time to staff - Public service median = 186 days 2018-19</w:t>
      </w:r>
      <w:r w:rsidRPr="00374A6E">
        <w:rPr>
          <w:rFonts w:asciiTheme="minorHAnsi" w:hAnsiTheme="minorHAnsi" w:cstheme="minorHAnsi"/>
        </w:rPr>
        <w:tab/>
        <w:t xml:space="preserve">Figure </w:t>
      </w:r>
      <w:r w:rsidRPr="00374A6E">
        <w:rPr>
          <w:rFonts w:asciiTheme="minorHAnsi" w:hAnsiTheme="minorHAnsi" w:cstheme="minorHAnsi"/>
          <w:i/>
        </w:rPr>
        <w:fldChar w:fldCharType="begin"/>
      </w:r>
      <w:r w:rsidRPr="00374A6E">
        <w:rPr>
          <w:rFonts w:asciiTheme="minorHAnsi" w:hAnsiTheme="minorHAnsi" w:cstheme="minorHAnsi"/>
        </w:rPr>
        <w:instrText xml:space="preserve"> SEQ Figure \* ARABIC </w:instrText>
      </w:r>
      <w:r w:rsidRPr="00374A6E">
        <w:rPr>
          <w:rFonts w:asciiTheme="minorHAnsi" w:hAnsiTheme="minorHAnsi" w:cstheme="minorHAnsi"/>
          <w:i/>
        </w:rPr>
        <w:fldChar w:fldCharType="separate"/>
      </w:r>
      <w:r w:rsidR="00E16E9C" w:rsidRPr="00374A6E">
        <w:rPr>
          <w:rFonts w:asciiTheme="minorHAnsi" w:hAnsiTheme="minorHAnsi" w:cstheme="minorHAnsi"/>
          <w:noProof/>
        </w:rPr>
        <w:t>1</w:t>
      </w:r>
      <w:r w:rsidR="006C0564">
        <w:rPr>
          <w:rFonts w:asciiTheme="minorHAnsi" w:hAnsiTheme="minorHAnsi" w:cstheme="minorHAnsi"/>
          <w:noProof/>
        </w:rPr>
        <w:t>5</w:t>
      </w:r>
      <w:r w:rsidRPr="00374A6E">
        <w:rPr>
          <w:rFonts w:asciiTheme="minorHAnsi" w:hAnsiTheme="minorHAnsi" w:cstheme="minorHAnsi"/>
          <w:i/>
        </w:rPr>
        <w:fldChar w:fldCharType="end"/>
      </w:r>
      <w:r w:rsidRPr="00374A6E">
        <w:rPr>
          <w:rFonts w:asciiTheme="minorHAnsi" w:hAnsiTheme="minorHAnsi" w:cstheme="minorHAnsi"/>
        </w:rPr>
        <w:t xml:space="preserve"> - External time to staff - Environment and Climate change Canada = 195 days 2018-19</w:t>
      </w:r>
    </w:p>
    <w:p w:rsidR="002E74E7" w:rsidRPr="00374A6E" w:rsidRDefault="002E74E7" w:rsidP="00CF3356">
      <w:pPr>
        <w:numPr>
          <w:ilvl w:val="1"/>
          <w:numId w:val="0"/>
        </w:numPr>
        <w:spacing w:before="480" w:after="160"/>
        <w:rPr>
          <w:rFonts w:asciiTheme="minorHAnsi" w:eastAsiaTheme="minorHAnsi" w:hAnsiTheme="minorHAnsi" w:cstheme="minorHAnsi"/>
          <w:szCs w:val="24"/>
          <w:lang w:val="en-CA"/>
        </w:rPr>
        <w:sectPr w:rsidR="002E74E7" w:rsidRPr="00374A6E" w:rsidSect="00407292">
          <w:pgSz w:w="20160" w:h="12240" w:orient="landscape" w:code="5"/>
          <w:pgMar w:top="1025" w:right="720" w:bottom="720" w:left="720" w:header="708" w:footer="708" w:gutter="0"/>
          <w:cols w:space="708"/>
          <w:titlePg/>
          <w:docGrid w:linePitch="360"/>
        </w:sectPr>
      </w:pPr>
    </w:p>
    <w:p w:rsidR="002E7F41" w:rsidRPr="00374A6E" w:rsidRDefault="00DB6231" w:rsidP="002E7F41">
      <w:pPr>
        <w:numPr>
          <w:ilvl w:val="1"/>
          <w:numId w:val="0"/>
        </w:numPr>
        <w:spacing w:before="600" w:after="120"/>
        <w:rPr>
          <w:rFonts w:asciiTheme="minorHAnsi" w:eastAsiaTheme="minorHAnsi" w:hAnsiTheme="minorHAnsi" w:cstheme="minorHAnsi"/>
          <w:szCs w:val="24"/>
          <w:lang w:val="en-CA"/>
        </w:rPr>
      </w:pPr>
      <w:hyperlink w:anchor="External_time_to_staff" w:history="1">
        <w:r w:rsidR="004428E4" w:rsidRPr="004428E4">
          <w:rPr>
            <w:rStyle w:val="Hyperlink"/>
            <w:rFonts w:asciiTheme="minorHAnsi" w:eastAsiaTheme="minorHAnsi" w:hAnsiTheme="minorHAnsi" w:cstheme="minorHAnsi"/>
            <w:szCs w:val="24"/>
            <w:lang w:val="en-CA"/>
          </w:rPr>
          <w:t>External time to staff data table available here</w:t>
        </w:r>
      </w:hyperlink>
      <w:r w:rsidR="002E7F41" w:rsidRPr="00374A6E">
        <w:rPr>
          <w:rFonts w:asciiTheme="minorHAnsi" w:eastAsiaTheme="minorHAnsi" w:hAnsiTheme="minorHAnsi" w:cstheme="minorHAnsi"/>
          <w:szCs w:val="24"/>
          <w:lang w:val="en-CA"/>
        </w:rPr>
        <w:t>.</w:t>
      </w:r>
    </w:p>
    <w:p w:rsidR="002E7F41" w:rsidRPr="00374A6E" w:rsidRDefault="002E7F41" w:rsidP="002E7F41">
      <w:pPr>
        <w:numPr>
          <w:ilvl w:val="1"/>
          <w:numId w:val="0"/>
        </w:numPr>
        <w:spacing w:before="360" w:after="120"/>
        <w:rPr>
          <w:rFonts w:asciiTheme="minorHAnsi" w:eastAsiaTheme="minorHAnsi" w:hAnsiTheme="minorHAnsi" w:cstheme="minorHAnsi"/>
          <w:szCs w:val="24"/>
          <w:lang w:val="en-CA"/>
        </w:rPr>
        <w:sectPr w:rsidR="002E7F41" w:rsidRPr="00374A6E" w:rsidSect="002E74E7">
          <w:type w:val="continuous"/>
          <w:pgSz w:w="20160" w:h="12240" w:orient="landscape" w:code="5"/>
          <w:pgMar w:top="1025" w:right="720" w:bottom="720" w:left="720" w:header="708" w:footer="708" w:gutter="0"/>
          <w:cols w:num="2" w:space="708"/>
          <w:titlePg/>
          <w:docGrid w:linePitch="360"/>
        </w:sectPr>
      </w:pPr>
    </w:p>
    <w:p w:rsidR="00DB066E" w:rsidRPr="00374A6E" w:rsidRDefault="00CD3E03" w:rsidP="002E7F41">
      <w:pPr>
        <w:numPr>
          <w:ilvl w:val="1"/>
          <w:numId w:val="0"/>
        </w:numPr>
        <w:spacing w:before="360" w:after="120"/>
        <w:rPr>
          <w:rFonts w:asciiTheme="minorHAnsi" w:eastAsiaTheme="minorHAnsi" w:hAnsiTheme="minorHAnsi" w:cstheme="minorHAnsi"/>
          <w:szCs w:val="24"/>
          <w:lang w:val="en-CA"/>
        </w:rPr>
      </w:pPr>
      <w:r w:rsidRPr="00374A6E">
        <w:rPr>
          <w:rFonts w:asciiTheme="minorHAnsi" w:eastAsiaTheme="minorHAnsi" w:hAnsiTheme="minorHAnsi" w:cstheme="minorHAnsi"/>
          <w:szCs w:val="24"/>
          <w:lang w:val="en-CA"/>
        </w:rPr>
        <w:t>External time to staff is calculated as the number of calendar days between the opening date of the advertisement and the date of the first estimated external hire.</w:t>
      </w:r>
    </w:p>
    <w:p w:rsidR="00CD3E03" w:rsidRPr="00374A6E" w:rsidRDefault="002E7F41" w:rsidP="002E7F41">
      <w:pPr>
        <w:tabs>
          <w:tab w:val="left" w:pos="4788"/>
        </w:tabs>
        <w:spacing w:before="360"/>
        <w:rPr>
          <w:rStyle w:val="Strong"/>
          <w:rFonts w:eastAsiaTheme="minorHAnsi" w:cstheme="minorHAnsi"/>
          <w:lang w:val="en-CA"/>
        </w:rPr>
      </w:pPr>
      <w:r w:rsidRPr="00374A6E">
        <w:rPr>
          <w:rStyle w:val="Strong"/>
          <w:rFonts w:eastAsiaTheme="minorHAnsi" w:cstheme="minorHAnsi"/>
          <w:lang w:val="en-CA"/>
        </w:rPr>
        <w:br w:type="column"/>
      </w:r>
      <w:r w:rsidR="00CD3E03" w:rsidRPr="00374A6E">
        <w:rPr>
          <w:rStyle w:val="Strong"/>
          <w:rFonts w:eastAsiaTheme="minorHAnsi" w:cstheme="minorHAnsi"/>
          <w:lang w:val="en-CA"/>
        </w:rPr>
        <w:t>External time to staff for fiscal year 2018 to 2019</w:t>
      </w:r>
    </w:p>
    <w:p w:rsidR="00CD3E03" w:rsidRPr="00374A6E" w:rsidRDefault="00CD3E03" w:rsidP="00CD3E03">
      <w:pPr>
        <w:numPr>
          <w:ilvl w:val="1"/>
          <w:numId w:val="0"/>
        </w:numPr>
        <w:spacing w:after="160"/>
        <w:rPr>
          <w:rFonts w:asciiTheme="minorHAnsi" w:eastAsiaTheme="minorEastAsia" w:hAnsiTheme="minorHAnsi" w:cstheme="minorBidi"/>
          <w:color w:val="8E9296" w:themeColor="text1" w:themeTint="A5"/>
          <w:spacing w:val="15"/>
          <w:sz w:val="22"/>
          <w:szCs w:val="22"/>
          <w:lang w:val="en-CA"/>
        </w:rPr>
      </w:pPr>
      <w:r w:rsidRPr="00374A6E">
        <w:rPr>
          <w:rFonts w:asciiTheme="minorHAnsi" w:eastAsiaTheme="minorHAnsi" w:hAnsiTheme="minorHAnsi" w:cstheme="minorHAnsi"/>
          <w:szCs w:val="24"/>
          <w:lang w:val="en-CA"/>
        </w:rPr>
        <w:t>The median external time to staff for the public service (organizations subject to the Public Service Employment Act) for fiscal year 2018 to 2019 is 186 days. Environment and Climate Change Canada’s median external time to staff for fiscal year 2018 to 2019 is 195 days.</w:t>
      </w:r>
    </w:p>
    <w:p w:rsidR="00680849" w:rsidRPr="00374A6E" w:rsidRDefault="00680849" w:rsidP="00D735BF">
      <w:pPr>
        <w:numPr>
          <w:ilvl w:val="1"/>
          <w:numId w:val="0"/>
        </w:numPr>
        <w:spacing w:after="160"/>
        <w:rPr>
          <w:rFonts w:asciiTheme="minorHAnsi" w:eastAsiaTheme="minorEastAsia" w:hAnsiTheme="minorHAnsi" w:cstheme="minorBidi"/>
          <w:color w:val="8E9296" w:themeColor="text1" w:themeTint="A5"/>
          <w:spacing w:val="15"/>
          <w:sz w:val="22"/>
          <w:szCs w:val="22"/>
          <w:lang w:val="en-CA"/>
        </w:rPr>
        <w:sectPr w:rsidR="00680849" w:rsidRPr="00374A6E" w:rsidSect="002E7F41">
          <w:type w:val="continuous"/>
          <w:pgSz w:w="20160" w:h="12240" w:orient="landscape" w:code="5"/>
          <w:pgMar w:top="1025" w:right="720" w:bottom="720" w:left="720" w:header="708" w:footer="708" w:gutter="0"/>
          <w:cols w:num="2" w:space="708"/>
          <w:titlePg/>
          <w:docGrid w:linePitch="360"/>
        </w:sectPr>
      </w:pPr>
    </w:p>
    <w:p w:rsidR="00641827" w:rsidRPr="00641827" w:rsidRDefault="00641827" w:rsidP="00641827">
      <w:pPr>
        <w:pStyle w:val="Heading1"/>
        <w:spacing w:before="120" w:after="120"/>
        <w:rPr>
          <w:sz w:val="40"/>
          <w:szCs w:val="40"/>
        </w:rPr>
      </w:pPr>
      <w:r w:rsidRPr="00641827">
        <w:rPr>
          <w:sz w:val="40"/>
          <w:szCs w:val="40"/>
        </w:rPr>
        <w:lastRenderedPageBreak/>
        <w:t>External time to staff</w:t>
      </w:r>
    </w:p>
    <w:p w:rsidR="00B36867" w:rsidRPr="00374A6E" w:rsidRDefault="00B36867" w:rsidP="00B36867">
      <w:pPr>
        <w:pStyle w:val="Caption"/>
        <w:keepNext/>
      </w:pPr>
      <w:r w:rsidRPr="00374A6E">
        <w:t xml:space="preserve">Table </w:t>
      </w:r>
      <w:r w:rsidR="009501EE">
        <w:rPr>
          <w:noProof/>
        </w:rPr>
        <w:fldChar w:fldCharType="begin"/>
      </w:r>
      <w:r w:rsidR="009501EE">
        <w:rPr>
          <w:noProof/>
        </w:rPr>
        <w:instrText xml:space="preserve"> SEQ Table \* ARABIC </w:instrText>
      </w:r>
      <w:r w:rsidR="009501EE">
        <w:rPr>
          <w:noProof/>
        </w:rPr>
        <w:fldChar w:fldCharType="separate"/>
      </w:r>
      <w:r w:rsidR="006C0564">
        <w:rPr>
          <w:noProof/>
        </w:rPr>
        <w:t>16</w:t>
      </w:r>
      <w:r w:rsidR="009501EE">
        <w:rPr>
          <w:noProof/>
        </w:rPr>
        <w:fldChar w:fldCharType="end"/>
      </w:r>
      <w:r w:rsidRPr="00374A6E">
        <w:t xml:space="preserve"> - External time to staff</w:t>
      </w:r>
    </w:p>
    <w:tbl>
      <w:tblPr>
        <w:tblStyle w:val="TableGrid"/>
        <w:tblW w:w="5000" w:type="pct"/>
        <w:tblLook w:val="04A0" w:firstRow="1" w:lastRow="0" w:firstColumn="1" w:lastColumn="0" w:noHBand="0" w:noVBand="1"/>
        <w:tblDescription w:val="External time to staff"/>
      </w:tblPr>
      <w:tblGrid>
        <w:gridCol w:w="7674"/>
        <w:gridCol w:w="7678"/>
        <w:gridCol w:w="7678"/>
      </w:tblGrid>
      <w:tr w:rsidR="00680849" w:rsidRPr="00374A6E" w:rsidTr="00304F90">
        <w:trPr>
          <w:cantSplit/>
          <w:tblHeader/>
        </w:trPr>
        <w:tc>
          <w:tcPr>
            <w:tcW w:w="1666" w:type="pct"/>
          </w:tcPr>
          <w:p w:rsidR="00680849" w:rsidRPr="00374A6E" w:rsidRDefault="00680849" w:rsidP="00680849">
            <w:pPr>
              <w:pStyle w:val="TableTitle"/>
              <w:spacing w:before="0"/>
              <w:rPr>
                <w:rFonts w:eastAsiaTheme="minorHAnsi"/>
                <w:color w:val="auto"/>
                <w:sz w:val="24"/>
                <w:lang w:val="en-CA"/>
              </w:rPr>
            </w:pPr>
            <w:bookmarkStart w:id="4" w:name="External_time_to_staff"/>
            <w:r w:rsidRPr="00374A6E">
              <w:rPr>
                <w:rFonts w:eastAsiaTheme="minorHAnsi"/>
                <w:color w:val="auto"/>
                <w:sz w:val="24"/>
                <w:lang w:val="en-CA"/>
              </w:rPr>
              <w:t>Number of calendar days</w:t>
            </w:r>
            <w:bookmarkEnd w:id="4"/>
          </w:p>
        </w:tc>
        <w:tc>
          <w:tcPr>
            <w:tcW w:w="1667" w:type="pct"/>
          </w:tcPr>
          <w:p w:rsidR="00680849" w:rsidRPr="00374A6E" w:rsidRDefault="00680849" w:rsidP="00680849">
            <w:pPr>
              <w:pStyle w:val="TableTitle"/>
              <w:spacing w:before="0"/>
              <w:rPr>
                <w:rFonts w:eastAsiaTheme="minorHAnsi"/>
                <w:color w:val="auto"/>
                <w:sz w:val="24"/>
                <w:lang w:val="en-CA"/>
              </w:rPr>
            </w:pPr>
            <w:r w:rsidRPr="00374A6E">
              <w:rPr>
                <w:rFonts w:eastAsiaTheme="minorHAnsi"/>
                <w:color w:val="auto"/>
                <w:sz w:val="24"/>
                <w:lang w:val="en-CA"/>
              </w:rPr>
              <w:t>The number of external appointment processes for which the TTS-EA was within the specified number of calendar days for organizations subject to the Public Service Employment Act</w:t>
            </w:r>
          </w:p>
        </w:tc>
        <w:tc>
          <w:tcPr>
            <w:tcW w:w="1667" w:type="pct"/>
          </w:tcPr>
          <w:p w:rsidR="00680849" w:rsidRPr="00374A6E" w:rsidRDefault="00680849" w:rsidP="00680849">
            <w:pPr>
              <w:pStyle w:val="TableTitle"/>
              <w:spacing w:before="0"/>
              <w:rPr>
                <w:rFonts w:eastAsiaTheme="minorHAnsi"/>
                <w:color w:val="auto"/>
                <w:sz w:val="24"/>
                <w:lang w:val="en-CA"/>
              </w:rPr>
            </w:pPr>
            <w:r w:rsidRPr="00374A6E">
              <w:rPr>
                <w:rFonts w:eastAsiaTheme="minorHAnsi"/>
                <w:color w:val="auto"/>
                <w:sz w:val="24"/>
                <w:lang w:val="en-CA"/>
              </w:rPr>
              <w:t>The number of external appointments for which the TTS-IA was within the specified number of calendar days for the specified organization</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0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0</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0 to 29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49</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30 to 59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82</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60 to 89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124</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4</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90 to 119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160</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3</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120 to 149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181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4</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150 to 179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179</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8</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180 to 209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160</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6</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210 to 239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139</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5</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240 to 269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84</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270 to 299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73</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300 to 329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330 to 359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360 to 389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43</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390 to 419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49</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420 to 449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35</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450 to 479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22</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2</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480 to 509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27</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510 to 539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540 to 569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570 to 599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15</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600 to 629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14</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630 to 659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12</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660 to 689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1</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690 to 719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5</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720 to 749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750 to 779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780 to 809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810 to 839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7</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840 to 869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870 to 899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2</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900 to 929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0</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930 to 959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3</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960 to 989 calendar days</w:t>
            </w:r>
          </w:p>
        </w:tc>
        <w:tc>
          <w:tcPr>
            <w:tcW w:w="1667" w:type="pct"/>
          </w:tcPr>
          <w:p w:rsidR="00680849" w:rsidRPr="00374A6E" w:rsidRDefault="00680849" w:rsidP="00680849">
            <w:pPr>
              <w:rPr>
                <w:lang w:val="en-CA"/>
              </w:rPr>
            </w:pPr>
            <w:r w:rsidRPr="00374A6E">
              <w:rPr>
                <w:rFonts w:asciiTheme="minorHAnsi" w:eastAsiaTheme="minorHAnsi" w:hAnsiTheme="minorHAnsi" w:cstheme="minorHAnsi"/>
                <w:color w:val="000000"/>
                <w:szCs w:val="24"/>
                <w:lang w:val="en-CA"/>
              </w:rPr>
              <w:t>1</w:t>
            </w:r>
          </w:p>
        </w:tc>
        <w:tc>
          <w:tcPr>
            <w:tcW w:w="1667" w:type="pct"/>
          </w:tcPr>
          <w:p w:rsidR="00680849" w:rsidRPr="00374A6E" w:rsidRDefault="00680849" w:rsidP="00680849">
            <w:pPr>
              <w:autoSpaceDE w:val="0"/>
              <w:autoSpaceDN w:val="0"/>
              <w:adjustRightInd w:val="0"/>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r>
      <w:tr w:rsidR="00680849" w:rsidRPr="00374A6E" w:rsidTr="00304F90">
        <w:trPr>
          <w:cantSplit/>
        </w:trPr>
        <w:tc>
          <w:tcPr>
            <w:tcW w:w="1666" w:type="pct"/>
          </w:tcPr>
          <w:p w:rsidR="00680849" w:rsidRPr="00374A6E" w:rsidRDefault="00680849" w:rsidP="00680849">
            <w:pPr>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More than 990 calendar days</w:t>
            </w:r>
          </w:p>
        </w:tc>
        <w:tc>
          <w:tcPr>
            <w:tcW w:w="1667" w:type="pct"/>
          </w:tcPr>
          <w:p w:rsidR="00680849" w:rsidRPr="00374A6E" w:rsidRDefault="00680849" w:rsidP="00680849">
            <w:pPr>
              <w:rPr>
                <w:rFonts w:asciiTheme="minorHAnsi" w:eastAsiaTheme="minorHAnsi" w:hAnsiTheme="minorHAnsi" w:cstheme="minorHAnsi"/>
                <w:color w:val="000000"/>
                <w:szCs w:val="24"/>
                <w:lang w:val="en-CA"/>
              </w:rPr>
            </w:pPr>
            <w:r w:rsidRPr="00374A6E">
              <w:rPr>
                <w:rFonts w:asciiTheme="minorHAnsi" w:eastAsiaTheme="minorHAnsi" w:hAnsiTheme="minorHAnsi" w:cstheme="minorHAnsi"/>
                <w:color w:val="000000"/>
                <w:szCs w:val="24"/>
                <w:lang w:val="en-CA"/>
              </w:rPr>
              <w:t>0</w:t>
            </w:r>
          </w:p>
        </w:tc>
        <w:tc>
          <w:tcPr>
            <w:tcW w:w="1667" w:type="pct"/>
          </w:tcPr>
          <w:p w:rsidR="00680849" w:rsidRPr="00374A6E" w:rsidRDefault="00680849" w:rsidP="00680849">
            <w:pPr>
              <w:autoSpaceDE w:val="0"/>
              <w:autoSpaceDN w:val="0"/>
              <w:adjustRightInd w:val="0"/>
              <w:rPr>
                <w:rFonts w:asciiTheme="minorHAnsi" w:hAnsiTheme="minorHAnsi" w:cstheme="minorHAnsi"/>
                <w:lang w:val="en-CA"/>
              </w:rPr>
            </w:pPr>
            <w:r w:rsidRPr="00374A6E">
              <w:rPr>
                <w:rFonts w:asciiTheme="minorHAnsi" w:eastAsiaTheme="minorHAnsi" w:hAnsiTheme="minorHAnsi" w:cstheme="minorHAnsi"/>
                <w:color w:val="000000"/>
                <w:szCs w:val="24"/>
                <w:lang w:val="en-CA"/>
              </w:rPr>
              <w:t>0</w:t>
            </w:r>
          </w:p>
        </w:tc>
      </w:tr>
    </w:tbl>
    <w:p w:rsidR="007A2B08" w:rsidRPr="00374A6E" w:rsidRDefault="007A2B08" w:rsidP="00D735BF">
      <w:pPr>
        <w:numPr>
          <w:ilvl w:val="1"/>
          <w:numId w:val="0"/>
        </w:numPr>
        <w:spacing w:after="160"/>
        <w:rPr>
          <w:rFonts w:asciiTheme="minorHAnsi" w:eastAsiaTheme="minorEastAsia" w:hAnsiTheme="minorHAnsi" w:cstheme="minorBidi"/>
          <w:color w:val="8E9296" w:themeColor="text1" w:themeTint="A5"/>
          <w:spacing w:val="15"/>
          <w:sz w:val="22"/>
          <w:szCs w:val="22"/>
          <w:lang w:val="en-CA"/>
        </w:rPr>
        <w:sectPr w:rsidR="007A2B08" w:rsidRPr="00374A6E" w:rsidSect="00680849">
          <w:pgSz w:w="24480" w:h="15840" w:orient="landscape" w:code="3"/>
          <w:pgMar w:top="1025" w:right="720" w:bottom="720" w:left="720" w:header="708" w:footer="708" w:gutter="0"/>
          <w:cols w:space="708"/>
          <w:titlePg/>
          <w:docGrid w:linePitch="360"/>
        </w:sectPr>
      </w:pPr>
    </w:p>
    <w:p w:rsidR="00C030F9" w:rsidRPr="00C030F9" w:rsidRDefault="00DE0C6B" w:rsidP="00DB6231">
      <w:pPr>
        <w:pStyle w:val="Heading1"/>
        <w:spacing w:after="120"/>
        <w:jc w:val="both"/>
        <w:rPr>
          <w:rFonts w:asciiTheme="minorHAnsi" w:hAnsiTheme="minorHAnsi" w:cstheme="minorHAnsi"/>
          <w:sz w:val="40"/>
          <w:szCs w:val="40"/>
          <w:lang w:val="en-CA" w:eastAsia="en-CA"/>
        </w:rPr>
      </w:pPr>
      <w:r>
        <w:rPr>
          <w:sz w:val="40"/>
          <w:szCs w:val="40"/>
        </w:rPr>
        <w:lastRenderedPageBreak/>
        <w:t>Technical Notes:</w:t>
      </w:r>
      <w:bookmarkStart w:id="5" w:name="_GoBack"/>
      <w:bookmarkEnd w:id="5"/>
    </w:p>
    <w:p w:rsidR="00D735BF" w:rsidRPr="00374A6E" w:rsidRDefault="00D735BF" w:rsidP="00953D77">
      <w:pPr>
        <w:numPr>
          <w:ilvl w:val="0"/>
          <w:numId w:val="30"/>
        </w:numPr>
        <w:spacing w:before="360"/>
        <w:rPr>
          <w:rFonts w:asciiTheme="minorHAnsi" w:hAnsiTheme="minorHAnsi" w:cstheme="minorHAnsi"/>
          <w:szCs w:val="24"/>
          <w:lang w:val="en-CA" w:eastAsia="en-CA"/>
        </w:rPr>
      </w:pPr>
      <w:r w:rsidRPr="00374A6E">
        <w:rPr>
          <w:rFonts w:asciiTheme="minorHAnsi" w:hAnsiTheme="minorHAnsi" w:cstheme="minorHAnsi"/>
          <w:szCs w:val="24"/>
          <w:lang w:val="en-CA" w:eastAsia="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rsidR="00D735BF" w:rsidRPr="00374A6E" w:rsidRDefault="00D735BF" w:rsidP="00953D77">
      <w:pPr>
        <w:numPr>
          <w:ilvl w:val="0"/>
          <w:numId w:val="30"/>
        </w:numPr>
        <w:rPr>
          <w:rFonts w:asciiTheme="minorHAnsi" w:hAnsiTheme="minorHAnsi" w:cstheme="minorHAnsi"/>
          <w:szCs w:val="24"/>
          <w:lang w:val="en-CA" w:eastAsia="en-CA"/>
        </w:rPr>
      </w:pPr>
      <w:r w:rsidRPr="00374A6E">
        <w:rPr>
          <w:rFonts w:asciiTheme="minorHAnsi" w:hAnsiTheme="minorHAnsi" w:cstheme="minorHAnsi"/>
          <w:szCs w:val="24"/>
          <w:lang w:val="en-CA" w:eastAsia="en-CA"/>
        </w:rPr>
        <w:t>Only estimated term and indeterminate appointments/notifications are included (deployments, casual and acting appointments are excluded)</w:t>
      </w:r>
    </w:p>
    <w:p w:rsidR="00D735BF" w:rsidRPr="00374A6E" w:rsidRDefault="00D735BF" w:rsidP="00953D77">
      <w:pPr>
        <w:numPr>
          <w:ilvl w:val="0"/>
          <w:numId w:val="30"/>
        </w:numPr>
        <w:rPr>
          <w:rFonts w:asciiTheme="minorHAnsi" w:hAnsiTheme="minorHAnsi" w:cstheme="minorHAnsi"/>
          <w:szCs w:val="24"/>
          <w:lang w:val="en-CA" w:eastAsia="en-CA"/>
        </w:rPr>
      </w:pPr>
      <w:r w:rsidRPr="00374A6E">
        <w:rPr>
          <w:rFonts w:asciiTheme="minorHAnsi" w:hAnsiTheme="minorHAnsi" w:cstheme="minorHAnsi"/>
          <w:szCs w:val="24"/>
          <w:lang w:val="en-CA" w:eastAsia="en-CA"/>
        </w:rPr>
        <w:t>The Time to Staff - External Appointments (TTS-EA) is the median number of calendar days between the opening date of an external advertisement and the date of the first estimated appointment of an individual from outside an organization subject to the Public Service Employment Act for term and indeterminate positions. Only estimated term and indeterminate appointments/notifications are included (deployments, casual and acting appointments are excluded)</w:t>
      </w:r>
    </w:p>
    <w:p w:rsidR="00D735BF" w:rsidRDefault="00D735BF" w:rsidP="00953D77">
      <w:pPr>
        <w:numPr>
          <w:ilvl w:val="0"/>
          <w:numId w:val="30"/>
        </w:numPr>
        <w:rPr>
          <w:rFonts w:asciiTheme="minorHAnsi" w:hAnsiTheme="minorHAnsi" w:cstheme="minorHAnsi"/>
          <w:szCs w:val="24"/>
          <w:lang w:val="en-CA" w:eastAsia="en-CA"/>
        </w:rPr>
      </w:pPr>
      <w:r w:rsidRPr="00374A6E">
        <w:rPr>
          <w:rFonts w:asciiTheme="minorHAnsi" w:hAnsiTheme="minorHAnsi" w:cstheme="minorHAnsi"/>
          <w:szCs w:val="24"/>
          <w:lang w:val="en-CA" w:eastAsia="en-CA"/>
        </w:rPr>
        <w:t>Because data between systems is linked using a probabilistic match, errors in data linkage are a potential source of measurement error</w:t>
      </w:r>
    </w:p>
    <w:p w:rsidR="00FE3518" w:rsidRPr="00FE3518" w:rsidRDefault="00FE3518" w:rsidP="00953D77">
      <w:pPr>
        <w:pStyle w:val="Heading1"/>
        <w:spacing w:before="120" w:after="120"/>
        <w:rPr>
          <w:sz w:val="40"/>
          <w:szCs w:val="40"/>
        </w:rPr>
      </w:pPr>
      <w:r w:rsidRPr="00FE3518">
        <w:rPr>
          <w:sz w:val="40"/>
          <w:szCs w:val="40"/>
        </w:rPr>
        <w:t>Sources:</w:t>
      </w:r>
    </w:p>
    <w:p w:rsidR="00D735BF" w:rsidRPr="00374A6E" w:rsidRDefault="00D735BF" w:rsidP="00953D77">
      <w:pPr>
        <w:numPr>
          <w:ilvl w:val="0"/>
          <w:numId w:val="30"/>
        </w:numPr>
        <w:contextualSpacing/>
        <w:rPr>
          <w:rFonts w:asciiTheme="minorHAnsi" w:hAnsiTheme="minorHAnsi" w:cstheme="minorHAnsi"/>
          <w:szCs w:val="24"/>
          <w:lang w:val="en-CA" w:eastAsia="en-CA"/>
        </w:rPr>
      </w:pPr>
      <w:r w:rsidRPr="00374A6E">
        <w:rPr>
          <w:rFonts w:asciiTheme="minorHAnsi" w:hAnsiTheme="minorHAnsi" w:cstheme="minorHAnsi"/>
          <w:szCs w:val="24"/>
          <w:lang w:val="en-CA" w:eastAsia="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w:t>
      </w:r>
      <w:r w:rsidR="001A1D9D">
        <w:rPr>
          <w:rFonts w:asciiTheme="minorHAnsi" w:hAnsiTheme="minorHAnsi" w:cstheme="minorHAnsi"/>
          <w:szCs w:val="24"/>
          <w:lang w:val="en-CA" w:eastAsia="en-CA"/>
        </w:rPr>
        <w:t>ies to and within organizations</w:t>
      </w:r>
    </w:p>
    <w:p w:rsidR="00792A49" w:rsidRPr="00374A6E" w:rsidRDefault="00D735BF" w:rsidP="00953D77">
      <w:pPr>
        <w:numPr>
          <w:ilvl w:val="0"/>
          <w:numId w:val="30"/>
        </w:numPr>
        <w:contextualSpacing/>
        <w:rPr>
          <w:rFonts w:asciiTheme="minorHAnsi" w:hAnsiTheme="minorHAnsi" w:cstheme="minorHAnsi"/>
          <w:szCs w:val="24"/>
          <w:lang w:val="en-CA" w:eastAsia="en-CA"/>
        </w:rPr>
      </w:pPr>
      <w:r w:rsidRPr="00374A6E">
        <w:rPr>
          <w:rFonts w:asciiTheme="minorHAnsi" w:hAnsiTheme="minorHAnsi" w:cstheme="minorHAnsi"/>
          <w:szCs w:val="24"/>
          <w:lang w:val="en-CA" w:eastAsia="en-CA"/>
        </w:rPr>
        <w:t>Information from the Priority Information Management System and the Public Services Resourcing System is also used to determine if staffing actions are advertised or non-advertised as well as for calculating time to</w:t>
      </w:r>
      <w:r w:rsidR="001A1D9D">
        <w:rPr>
          <w:rFonts w:asciiTheme="minorHAnsi" w:hAnsiTheme="minorHAnsi" w:cstheme="minorHAnsi"/>
          <w:szCs w:val="24"/>
          <w:lang w:val="en-CA" w:eastAsia="en-CA"/>
        </w:rPr>
        <w:t xml:space="preserve"> staff</w:t>
      </w:r>
    </w:p>
    <w:p w:rsidR="00A3677B" w:rsidRPr="00374A6E" w:rsidRDefault="00792A49" w:rsidP="00953D77">
      <w:pPr>
        <w:numPr>
          <w:ilvl w:val="0"/>
          <w:numId w:val="30"/>
        </w:numPr>
        <w:tabs>
          <w:tab w:val="left" w:pos="6190"/>
          <w:tab w:val="left" w:pos="10530"/>
          <w:tab w:val="left" w:pos="14870"/>
          <w:tab w:val="left" w:pos="19172"/>
        </w:tabs>
        <w:contextualSpacing/>
        <w:rPr>
          <w:rFonts w:asciiTheme="minorHAnsi" w:hAnsiTheme="minorHAnsi" w:cstheme="minorHAnsi"/>
          <w:lang w:val="en-CA"/>
        </w:rPr>
      </w:pPr>
      <w:r w:rsidRPr="00374A6E">
        <w:rPr>
          <w:rFonts w:asciiTheme="minorHAnsi" w:hAnsiTheme="minorHAnsi" w:cstheme="minorHAnsi"/>
          <w:szCs w:val="24"/>
          <w:lang w:val="en-CA" w:eastAsia="en-CA"/>
        </w:rPr>
        <w:t>The data are not expected to match an organization’s human resources data, due to met</w:t>
      </w:r>
      <w:r w:rsidR="00680849" w:rsidRPr="00374A6E">
        <w:rPr>
          <w:rFonts w:asciiTheme="minorHAnsi" w:hAnsiTheme="minorHAnsi" w:cstheme="minorHAnsi"/>
          <w:szCs w:val="24"/>
          <w:lang w:val="en-CA" w:eastAsia="en-CA"/>
        </w:rPr>
        <w:t>hodology and timing differences</w:t>
      </w:r>
    </w:p>
    <w:p w:rsidR="00953D77" w:rsidRPr="00374A6E" w:rsidRDefault="00953D77" w:rsidP="001A1D9D">
      <w:pPr>
        <w:tabs>
          <w:tab w:val="left" w:pos="6190"/>
          <w:tab w:val="left" w:pos="10530"/>
          <w:tab w:val="left" w:pos="14870"/>
          <w:tab w:val="left" w:pos="19172"/>
        </w:tabs>
        <w:ind w:left="360"/>
        <w:contextualSpacing/>
        <w:rPr>
          <w:rFonts w:asciiTheme="minorHAnsi" w:hAnsiTheme="minorHAnsi" w:cstheme="minorHAnsi"/>
          <w:lang w:val="en-CA"/>
        </w:rPr>
      </w:pPr>
    </w:p>
    <w:sectPr w:rsidR="00953D77" w:rsidRPr="00374A6E" w:rsidSect="00680849">
      <w:headerReference w:type="default" r:id="rId29"/>
      <w:footerReference w:type="default" r:id="rId30"/>
      <w:pgSz w:w="12240" w:h="15840" w:code="1"/>
      <w:pgMar w:top="720" w:right="720" w:bottom="720" w:left="720" w:header="708" w:footer="283"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B15" w:rsidRDefault="009E4B15" w:rsidP="0051557E">
      <w:r>
        <w:separator/>
      </w:r>
    </w:p>
  </w:endnote>
  <w:endnote w:type="continuationSeparator" w:id="0">
    <w:p w:rsidR="009E4B15" w:rsidRDefault="009E4B15"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634622"/>
      <w:docPartObj>
        <w:docPartGallery w:val="Page Numbers (Bottom of Page)"/>
        <w:docPartUnique/>
      </w:docPartObj>
    </w:sdtPr>
    <w:sdtEndPr>
      <w:rPr>
        <w:sz w:val="16"/>
        <w:szCs w:val="16"/>
      </w:rPr>
    </w:sdtEndPr>
    <w:sdtContent>
      <w:p w:rsidR="00020D43" w:rsidRPr="004C2D23" w:rsidRDefault="00020D43">
        <w:pPr>
          <w:pStyle w:val="Footer"/>
          <w:rPr>
            <w:sz w:val="16"/>
            <w:szCs w:val="16"/>
          </w:rPr>
        </w:pPr>
        <w:r w:rsidRPr="004C2D23">
          <w:rPr>
            <w:sz w:val="16"/>
            <w:szCs w:val="16"/>
          </w:rPr>
          <w:fldChar w:fldCharType="begin"/>
        </w:r>
        <w:r w:rsidRPr="004C2D23">
          <w:rPr>
            <w:sz w:val="16"/>
            <w:szCs w:val="16"/>
          </w:rPr>
          <w:instrText>PAGE   \* MERGEFORMAT</w:instrText>
        </w:r>
        <w:r w:rsidRPr="004C2D23">
          <w:rPr>
            <w:sz w:val="16"/>
            <w:szCs w:val="16"/>
          </w:rPr>
          <w:fldChar w:fldCharType="separate"/>
        </w:r>
        <w:r w:rsidR="00DB6231" w:rsidRPr="00DB6231">
          <w:rPr>
            <w:noProof/>
            <w:sz w:val="16"/>
            <w:szCs w:val="16"/>
            <w:lang w:val="fr-FR"/>
          </w:rPr>
          <w:t>1</w:t>
        </w:r>
        <w:r w:rsidRPr="004C2D23">
          <w:rPr>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Default="00020D43" w:rsidP="00C56310">
    <w:pPr>
      <w:pStyle w:val="Footer"/>
      <w:jc w:val="center"/>
    </w:pPr>
    <w:r>
      <w:t xml:space="preserve"> Produced by Data Services and Analysis Directorate (PSC) – Updated on July 15,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Pr="00072033" w:rsidRDefault="00020D43" w:rsidP="00F03B90">
    <w:pPr>
      <w:keepLines/>
      <w:tabs>
        <w:tab w:val="center" w:pos="4680"/>
        <w:tab w:val="right" w:pos="9360"/>
      </w:tabs>
      <w:rPr>
        <w:rFonts w:asciiTheme="minorHAnsi" w:eastAsiaTheme="minorHAnsi" w:hAnsiTheme="minorHAnsi" w:cstheme="minorBidi"/>
        <w:sz w:val="22"/>
        <w:szCs w:val="22"/>
      </w:rPr>
    </w:pPr>
    <w:r w:rsidRPr="00072033">
      <w:rPr>
        <w:rFonts w:ascii="Calibri" w:eastAsia="Calibri" w:hAnsi="Calibri" w:cs="Arial"/>
        <w:sz w:val="16"/>
        <w:szCs w:val="22"/>
      </w:rPr>
      <w:fldChar w:fldCharType="begin"/>
    </w:r>
    <w:r w:rsidRPr="00072033">
      <w:rPr>
        <w:rFonts w:ascii="Calibri" w:eastAsia="Calibri" w:hAnsi="Calibri" w:cs="Arial"/>
        <w:sz w:val="16"/>
        <w:szCs w:val="22"/>
        <w:lang w:val="en-CA"/>
      </w:rPr>
      <w:instrText xml:space="preserve"> PAGE   \* MERGEFORMAT </w:instrText>
    </w:r>
    <w:r w:rsidRPr="00072033">
      <w:rPr>
        <w:rFonts w:ascii="Calibri" w:eastAsia="Calibri" w:hAnsi="Calibri" w:cs="Arial"/>
        <w:sz w:val="16"/>
        <w:szCs w:val="22"/>
      </w:rPr>
      <w:fldChar w:fldCharType="separate"/>
    </w:r>
    <w:r w:rsidR="00DB6231" w:rsidRPr="00DB6231">
      <w:rPr>
        <w:rFonts w:ascii="Calibri" w:eastAsia="Calibri" w:hAnsi="Calibri" w:cs="Arial"/>
        <w:b/>
        <w:bCs/>
        <w:noProof/>
        <w:sz w:val="16"/>
        <w:szCs w:val="22"/>
        <w:lang w:val="en-CA"/>
      </w:rPr>
      <w:t>20</w:t>
    </w:r>
    <w:r w:rsidRPr="00072033">
      <w:rPr>
        <w:rFonts w:ascii="Calibri" w:eastAsia="Calibri" w:hAnsi="Calibri" w:cs="Arial"/>
        <w:b/>
        <w:bCs/>
        <w:noProof/>
        <w:sz w:val="16"/>
        <w:szCs w:val="22"/>
      </w:rPr>
      <w:fldChar w:fldCharType="end"/>
    </w:r>
    <w:r w:rsidRPr="00072033">
      <w:rPr>
        <w:rFonts w:ascii="Calibri" w:eastAsia="Calibri" w:hAnsi="Calibri" w:cs="Arial"/>
        <w:b/>
        <w:bCs/>
        <w:sz w:val="16"/>
        <w:szCs w:val="22"/>
        <w:lang w:val="en-CA"/>
      </w:rPr>
      <w:t>|</w:t>
    </w:r>
    <w:r w:rsidRPr="00072033">
      <w:rPr>
        <w:rFonts w:ascii="Calibri" w:eastAsia="Calibri" w:hAnsi="Calibri" w:cs="Arial"/>
        <w:sz w:val="16"/>
        <w:szCs w:val="22"/>
        <w:lang w:val="en-CA"/>
      </w:rPr>
      <w:t xml:space="preserve"> </w:t>
    </w:r>
    <w:r w:rsidRPr="00072033">
      <w:rPr>
        <w:rFonts w:ascii="Calibri" w:eastAsia="Calibri" w:hAnsi="Calibri" w:cs="Arial"/>
        <w:sz w:val="16"/>
        <w:szCs w:val="22"/>
        <w:lang w:val="en-CA"/>
      </w:rPr>
      <w:tab/>
    </w:r>
    <w:r w:rsidRPr="00072033">
      <w:rPr>
        <w:rFonts w:ascii="Calibri" w:eastAsia="Calibri" w:hAnsi="Calibri" w:cs="Arial"/>
        <w:sz w:val="16"/>
        <w:szCs w:val="22"/>
        <w:lang w:val="en-CA"/>
      </w:rPr>
      <w:tab/>
      <w:t xml:space="preserve">GCDOCS </w:t>
    </w:r>
    <w:r>
      <w:rPr>
        <w:rFonts w:ascii="Calibri" w:eastAsia="Calibri" w:hAnsi="Calibri" w:cs="Arial"/>
        <w:sz w:val="16"/>
        <w:szCs w:val="22"/>
        <w:lang w:val="en-CA"/>
      </w:rPr>
      <w:t>10160684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Default="00020D43">
    <w:pPr>
      <w:pStyle w:val="Footer"/>
      <w:jc w:val="right"/>
    </w:pPr>
  </w:p>
  <w:p w:rsidR="00020D43" w:rsidRPr="00072033" w:rsidRDefault="00020D43" w:rsidP="00F03B90">
    <w:pPr>
      <w:keepLines/>
      <w:tabs>
        <w:tab w:val="center" w:pos="4680"/>
        <w:tab w:val="right" w:pos="9360"/>
      </w:tabs>
      <w:rPr>
        <w:rFonts w:asciiTheme="minorHAnsi" w:eastAsiaTheme="minorHAnsi" w:hAnsiTheme="minorHAnsi" w:cstheme="minorBidi"/>
        <w:sz w:val="22"/>
        <w:szCs w:val="22"/>
      </w:rPr>
    </w:pPr>
    <w:r w:rsidRPr="00072033">
      <w:rPr>
        <w:rFonts w:ascii="Calibri" w:eastAsia="Calibri" w:hAnsi="Calibri" w:cs="Arial"/>
        <w:sz w:val="16"/>
        <w:szCs w:val="22"/>
      </w:rPr>
      <w:fldChar w:fldCharType="begin"/>
    </w:r>
    <w:r w:rsidRPr="00072033">
      <w:rPr>
        <w:rFonts w:ascii="Calibri" w:eastAsia="Calibri" w:hAnsi="Calibri" w:cs="Arial"/>
        <w:sz w:val="16"/>
        <w:szCs w:val="22"/>
        <w:lang w:val="en-CA"/>
      </w:rPr>
      <w:instrText xml:space="preserve"> PAGE   \* MERGEFORMAT </w:instrText>
    </w:r>
    <w:r w:rsidRPr="00072033">
      <w:rPr>
        <w:rFonts w:ascii="Calibri" w:eastAsia="Calibri" w:hAnsi="Calibri" w:cs="Arial"/>
        <w:sz w:val="16"/>
        <w:szCs w:val="22"/>
      </w:rPr>
      <w:fldChar w:fldCharType="separate"/>
    </w:r>
    <w:r w:rsidRPr="003348ED">
      <w:rPr>
        <w:rFonts w:ascii="Calibri" w:eastAsia="Calibri" w:hAnsi="Calibri" w:cs="Arial"/>
        <w:b/>
        <w:bCs/>
        <w:noProof/>
        <w:sz w:val="16"/>
        <w:szCs w:val="22"/>
        <w:lang w:val="en-CA"/>
      </w:rPr>
      <w:t>30</w:t>
    </w:r>
    <w:r w:rsidRPr="00072033">
      <w:rPr>
        <w:rFonts w:ascii="Calibri" w:eastAsia="Calibri" w:hAnsi="Calibri" w:cs="Arial"/>
        <w:b/>
        <w:bCs/>
        <w:noProof/>
        <w:sz w:val="16"/>
        <w:szCs w:val="22"/>
      </w:rPr>
      <w:fldChar w:fldCharType="end"/>
    </w:r>
    <w:r w:rsidRPr="00072033">
      <w:rPr>
        <w:rFonts w:ascii="Calibri" w:eastAsia="Calibri" w:hAnsi="Calibri" w:cs="Arial"/>
        <w:b/>
        <w:bCs/>
        <w:sz w:val="16"/>
        <w:szCs w:val="22"/>
        <w:lang w:val="en-CA"/>
      </w:rPr>
      <w:t>|</w:t>
    </w:r>
    <w:r w:rsidRPr="00072033">
      <w:rPr>
        <w:rFonts w:ascii="Calibri" w:eastAsia="Calibri" w:hAnsi="Calibri" w:cs="Arial"/>
        <w:sz w:val="16"/>
        <w:szCs w:val="22"/>
        <w:lang w:val="en-CA"/>
      </w:rPr>
      <w:t xml:space="preserve"> </w:t>
    </w:r>
    <w:r w:rsidRPr="00072033">
      <w:rPr>
        <w:rFonts w:ascii="Calibri" w:eastAsia="Calibri" w:hAnsi="Calibri" w:cs="Arial"/>
        <w:sz w:val="16"/>
        <w:szCs w:val="22"/>
        <w:lang w:val="en-CA"/>
      </w:rPr>
      <w:tab/>
    </w:r>
    <w:r w:rsidRPr="00072033">
      <w:rPr>
        <w:rFonts w:ascii="Calibri" w:eastAsia="Calibri" w:hAnsi="Calibri" w:cs="Arial"/>
        <w:sz w:val="16"/>
        <w:szCs w:val="22"/>
        <w:lang w:val="en-CA"/>
      </w:rPr>
      <w:tab/>
      <w:t xml:space="preserve">GCDOCS </w:t>
    </w:r>
    <w:r>
      <w:rPr>
        <w:rFonts w:ascii="Calibri" w:eastAsia="Calibri" w:hAnsi="Calibri" w:cs="Arial"/>
        <w:sz w:val="16"/>
        <w:szCs w:val="22"/>
        <w:lang w:val="en-CA"/>
      </w:rPr>
      <w:t>10160684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B15" w:rsidRDefault="009E4B15" w:rsidP="0051557E">
      <w:r>
        <w:separator/>
      </w:r>
    </w:p>
  </w:footnote>
  <w:footnote w:type="continuationSeparator" w:id="0">
    <w:p w:rsidR="009E4B15" w:rsidRDefault="009E4B15"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Pr="007C2C61" w:rsidRDefault="00020D43" w:rsidP="00C56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Pr="009F5656" w:rsidRDefault="00020D43" w:rsidP="009F5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43" w:rsidRDefault="00020D43" w:rsidP="0051557E">
    <w:pPr>
      <w:pStyle w:val="Header"/>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01564"/>
    <w:multiLevelType w:val="hybridMultilevel"/>
    <w:tmpl w:val="B854DE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BB64CBB"/>
    <w:multiLevelType w:val="hybridMultilevel"/>
    <w:tmpl w:val="F43C42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FEF461C"/>
    <w:multiLevelType w:val="hybridMultilevel"/>
    <w:tmpl w:val="EC148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B0B9B"/>
    <w:multiLevelType w:val="hybridMultilevel"/>
    <w:tmpl w:val="DEAE3DD8"/>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6E2C11"/>
    <w:multiLevelType w:val="hybridMultilevel"/>
    <w:tmpl w:val="6DEEA2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5B4CB3"/>
    <w:multiLevelType w:val="hybridMultilevel"/>
    <w:tmpl w:val="4B3837CA"/>
    <w:lvl w:ilvl="0" w:tplc="10090001">
      <w:start w:val="1"/>
      <w:numFmt w:val="bullet"/>
      <w:lvlText w:val=""/>
      <w:lvlJc w:val="left"/>
      <w:pPr>
        <w:ind w:left="1434" w:hanging="360"/>
      </w:pPr>
      <w:rPr>
        <w:rFonts w:ascii="Symbol" w:hAnsi="Symbol" w:hint="default"/>
      </w:rPr>
    </w:lvl>
    <w:lvl w:ilvl="1" w:tplc="10090003">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8"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5B2770"/>
    <w:multiLevelType w:val="hybridMultilevel"/>
    <w:tmpl w:val="3BCEAAAC"/>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11"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906C21"/>
    <w:multiLevelType w:val="hybridMultilevel"/>
    <w:tmpl w:val="0FA8F04C"/>
    <w:lvl w:ilvl="0" w:tplc="10090001">
      <w:start w:val="1"/>
      <w:numFmt w:val="bullet"/>
      <w:lvlText w:val=""/>
      <w:lvlJc w:val="left"/>
      <w:pPr>
        <w:ind w:left="500" w:hanging="360"/>
      </w:pPr>
      <w:rPr>
        <w:rFonts w:ascii="Symbol" w:hAnsi="Symbol" w:hint="default"/>
      </w:rPr>
    </w:lvl>
    <w:lvl w:ilvl="1" w:tplc="10090003" w:tentative="1">
      <w:start w:val="1"/>
      <w:numFmt w:val="bullet"/>
      <w:lvlText w:val="o"/>
      <w:lvlJc w:val="left"/>
      <w:pPr>
        <w:ind w:left="1220" w:hanging="360"/>
      </w:pPr>
      <w:rPr>
        <w:rFonts w:ascii="Courier New" w:hAnsi="Courier New" w:cs="Courier New" w:hint="default"/>
      </w:rPr>
    </w:lvl>
    <w:lvl w:ilvl="2" w:tplc="10090005" w:tentative="1">
      <w:start w:val="1"/>
      <w:numFmt w:val="bullet"/>
      <w:lvlText w:val=""/>
      <w:lvlJc w:val="left"/>
      <w:pPr>
        <w:ind w:left="1940" w:hanging="360"/>
      </w:pPr>
      <w:rPr>
        <w:rFonts w:ascii="Wingdings" w:hAnsi="Wingdings" w:hint="default"/>
      </w:rPr>
    </w:lvl>
    <w:lvl w:ilvl="3" w:tplc="10090001" w:tentative="1">
      <w:start w:val="1"/>
      <w:numFmt w:val="bullet"/>
      <w:lvlText w:val=""/>
      <w:lvlJc w:val="left"/>
      <w:pPr>
        <w:ind w:left="2660" w:hanging="360"/>
      </w:pPr>
      <w:rPr>
        <w:rFonts w:ascii="Symbol" w:hAnsi="Symbol" w:hint="default"/>
      </w:rPr>
    </w:lvl>
    <w:lvl w:ilvl="4" w:tplc="10090003" w:tentative="1">
      <w:start w:val="1"/>
      <w:numFmt w:val="bullet"/>
      <w:lvlText w:val="o"/>
      <w:lvlJc w:val="left"/>
      <w:pPr>
        <w:ind w:left="3380" w:hanging="360"/>
      </w:pPr>
      <w:rPr>
        <w:rFonts w:ascii="Courier New" w:hAnsi="Courier New" w:cs="Courier New" w:hint="default"/>
      </w:rPr>
    </w:lvl>
    <w:lvl w:ilvl="5" w:tplc="10090005" w:tentative="1">
      <w:start w:val="1"/>
      <w:numFmt w:val="bullet"/>
      <w:lvlText w:val=""/>
      <w:lvlJc w:val="left"/>
      <w:pPr>
        <w:ind w:left="4100" w:hanging="360"/>
      </w:pPr>
      <w:rPr>
        <w:rFonts w:ascii="Wingdings" w:hAnsi="Wingdings" w:hint="default"/>
      </w:rPr>
    </w:lvl>
    <w:lvl w:ilvl="6" w:tplc="10090001" w:tentative="1">
      <w:start w:val="1"/>
      <w:numFmt w:val="bullet"/>
      <w:lvlText w:val=""/>
      <w:lvlJc w:val="left"/>
      <w:pPr>
        <w:ind w:left="4820" w:hanging="360"/>
      </w:pPr>
      <w:rPr>
        <w:rFonts w:ascii="Symbol" w:hAnsi="Symbol" w:hint="default"/>
      </w:rPr>
    </w:lvl>
    <w:lvl w:ilvl="7" w:tplc="10090003" w:tentative="1">
      <w:start w:val="1"/>
      <w:numFmt w:val="bullet"/>
      <w:lvlText w:val="o"/>
      <w:lvlJc w:val="left"/>
      <w:pPr>
        <w:ind w:left="5540" w:hanging="360"/>
      </w:pPr>
      <w:rPr>
        <w:rFonts w:ascii="Courier New" w:hAnsi="Courier New" w:cs="Courier New" w:hint="default"/>
      </w:rPr>
    </w:lvl>
    <w:lvl w:ilvl="8" w:tplc="10090005" w:tentative="1">
      <w:start w:val="1"/>
      <w:numFmt w:val="bullet"/>
      <w:lvlText w:val=""/>
      <w:lvlJc w:val="left"/>
      <w:pPr>
        <w:ind w:left="6260" w:hanging="360"/>
      </w:pPr>
      <w:rPr>
        <w:rFonts w:ascii="Wingdings" w:hAnsi="Wingdings" w:hint="default"/>
      </w:rPr>
    </w:lvl>
  </w:abstractNum>
  <w:abstractNum w:abstractNumId="13"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CB314B"/>
    <w:multiLevelType w:val="hybridMultilevel"/>
    <w:tmpl w:val="B3960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7972B9"/>
    <w:multiLevelType w:val="hybridMultilevel"/>
    <w:tmpl w:val="D6D2B7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8D0713"/>
    <w:multiLevelType w:val="hybridMultilevel"/>
    <w:tmpl w:val="27F07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0F6CD2"/>
    <w:multiLevelType w:val="hybridMultilevel"/>
    <w:tmpl w:val="F3941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430095"/>
    <w:multiLevelType w:val="hybridMultilevel"/>
    <w:tmpl w:val="111EF4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2CE19D2"/>
    <w:multiLevelType w:val="hybridMultilevel"/>
    <w:tmpl w:val="85B01EF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23"/>
  </w:num>
  <w:num w:numId="6">
    <w:abstractNumId w:val="1"/>
  </w:num>
  <w:num w:numId="7">
    <w:abstractNumId w:val="27"/>
  </w:num>
  <w:num w:numId="8">
    <w:abstractNumId w:val="26"/>
  </w:num>
  <w:num w:numId="9">
    <w:abstractNumId w:val="12"/>
  </w:num>
  <w:num w:numId="10">
    <w:abstractNumId w:val="3"/>
  </w:num>
  <w:num w:numId="11">
    <w:abstractNumId w:val="22"/>
  </w:num>
  <w:num w:numId="12">
    <w:abstractNumId w:val="21"/>
  </w:num>
  <w:num w:numId="13">
    <w:abstractNumId w:val="8"/>
  </w:num>
  <w:num w:numId="14">
    <w:abstractNumId w:val="20"/>
  </w:num>
  <w:num w:numId="15">
    <w:abstractNumId w:val="11"/>
  </w:num>
  <w:num w:numId="16">
    <w:abstractNumId w:val="7"/>
  </w:num>
  <w:num w:numId="17">
    <w:abstractNumId w:val="0"/>
  </w:num>
  <w:num w:numId="18">
    <w:abstractNumId w:val="24"/>
  </w:num>
  <w:num w:numId="19">
    <w:abstractNumId w:val="19"/>
  </w:num>
  <w:num w:numId="20">
    <w:abstractNumId w:val="28"/>
  </w:num>
  <w:num w:numId="21">
    <w:abstractNumId w:val="17"/>
  </w:num>
  <w:num w:numId="22">
    <w:abstractNumId w:val="16"/>
  </w:num>
  <w:num w:numId="23">
    <w:abstractNumId w:val="9"/>
  </w:num>
  <w:num w:numId="24">
    <w:abstractNumId w:val="25"/>
  </w:num>
  <w:num w:numId="25">
    <w:abstractNumId w:val="6"/>
  </w:num>
  <w:num w:numId="26">
    <w:abstractNumId w:val="4"/>
  </w:num>
  <w:num w:numId="27">
    <w:abstractNumId w:val="15"/>
  </w:num>
  <w:num w:numId="28">
    <w:abstractNumId w:val="5"/>
  </w:num>
  <w:num w:numId="29">
    <w:abstractNumId w:val="10"/>
  </w:num>
  <w:num w:numId="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BF"/>
    <w:rsid w:val="000001A5"/>
    <w:rsid w:val="00010B96"/>
    <w:rsid w:val="0001187A"/>
    <w:rsid w:val="00020CB9"/>
    <w:rsid w:val="00020D43"/>
    <w:rsid w:val="00033924"/>
    <w:rsid w:val="00034F55"/>
    <w:rsid w:val="00042356"/>
    <w:rsid w:val="00050054"/>
    <w:rsid w:val="000711D7"/>
    <w:rsid w:val="00073345"/>
    <w:rsid w:val="00086DF2"/>
    <w:rsid w:val="00093FF3"/>
    <w:rsid w:val="00096BD2"/>
    <w:rsid w:val="000A3D7B"/>
    <w:rsid w:val="000C78CC"/>
    <w:rsid w:val="000D76EB"/>
    <w:rsid w:val="000F2E69"/>
    <w:rsid w:val="0010128D"/>
    <w:rsid w:val="001045EC"/>
    <w:rsid w:val="0010688F"/>
    <w:rsid w:val="0012529B"/>
    <w:rsid w:val="0013201A"/>
    <w:rsid w:val="00160130"/>
    <w:rsid w:val="00161E7B"/>
    <w:rsid w:val="00163B8C"/>
    <w:rsid w:val="00167C8A"/>
    <w:rsid w:val="00192FA3"/>
    <w:rsid w:val="00195EC2"/>
    <w:rsid w:val="001A1D9D"/>
    <w:rsid w:val="001A4D53"/>
    <w:rsid w:val="001B496F"/>
    <w:rsid w:val="001D75F8"/>
    <w:rsid w:val="001E67BB"/>
    <w:rsid w:val="00203879"/>
    <w:rsid w:val="002051A1"/>
    <w:rsid w:val="00210749"/>
    <w:rsid w:val="0022134B"/>
    <w:rsid w:val="00230151"/>
    <w:rsid w:val="002320EC"/>
    <w:rsid w:val="00244CD0"/>
    <w:rsid w:val="00251F81"/>
    <w:rsid w:val="002572DA"/>
    <w:rsid w:val="00257FB9"/>
    <w:rsid w:val="00262F1D"/>
    <w:rsid w:val="00281C6B"/>
    <w:rsid w:val="002823E4"/>
    <w:rsid w:val="002B1C99"/>
    <w:rsid w:val="002C4DFF"/>
    <w:rsid w:val="002E43CF"/>
    <w:rsid w:val="002E74E7"/>
    <w:rsid w:val="002E7F41"/>
    <w:rsid w:val="00304F90"/>
    <w:rsid w:val="00310BDA"/>
    <w:rsid w:val="003173A1"/>
    <w:rsid w:val="00317793"/>
    <w:rsid w:val="00323267"/>
    <w:rsid w:val="003348ED"/>
    <w:rsid w:val="00345178"/>
    <w:rsid w:val="00356AB8"/>
    <w:rsid w:val="00356F8A"/>
    <w:rsid w:val="00374A6E"/>
    <w:rsid w:val="00375E0C"/>
    <w:rsid w:val="00380891"/>
    <w:rsid w:val="003864FB"/>
    <w:rsid w:val="00391A19"/>
    <w:rsid w:val="003920EA"/>
    <w:rsid w:val="003A0478"/>
    <w:rsid w:val="003A7CF3"/>
    <w:rsid w:val="003C3105"/>
    <w:rsid w:val="003F29D6"/>
    <w:rsid w:val="00407292"/>
    <w:rsid w:val="00432882"/>
    <w:rsid w:val="004428E4"/>
    <w:rsid w:val="00442AD1"/>
    <w:rsid w:val="004476C8"/>
    <w:rsid w:val="00450BF8"/>
    <w:rsid w:val="00476EF8"/>
    <w:rsid w:val="004968D2"/>
    <w:rsid w:val="004A79DD"/>
    <w:rsid w:val="004B4D43"/>
    <w:rsid w:val="004C18B5"/>
    <w:rsid w:val="004C2D23"/>
    <w:rsid w:val="004C6BE9"/>
    <w:rsid w:val="004E2E6C"/>
    <w:rsid w:val="004E6324"/>
    <w:rsid w:val="004F1716"/>
    <w:rsid w:val="004F6B83"/>
    <w:rsid w:val="00507EA5"/>
    <w:rsid w:val="0051238C"/>
    <w:rsid w:val="005129DE"/>
    <w:rsid w:val="00512A94"/>
    <w:rsid w:val="0051557E"/>
    <w:rsid w:val="00523A2D"/>
    <w:rsid w:val="00524420"/>
    <w:rsid w:val="00534EF7"/>
    <w:rsid w:val="005360E9"/>
    <w:rsid w:val="005471E1"/>
    <w:rsid w:val="005514E0"/>
    <w:rsid w:val="00551D58"/>
    <w:rsid w:val="0056539A"/>
    <w:rsid w:val="00570946"/>
    <w:rsid w:val="00574670"/>
    <w:rsid w:val="00574AAE"/>
    <w:rsid w:val="00577C47"/>
    <w:rsid w:val="0058563E"/>
    <w:rsid w:val="005860D4"/>
    <w:rsid w:val="0059441E"/>
    <w:rsid w:val="005B375F"/>
    <w:rsid w:val="005E1C83"/>
    <w:rsid w:val="005E31BD"/>
    <w:rsid w:val="005E3332"/>
    <w:rsid w:val="005E59F4"/>
    <w:rsid w:val="005E6D46"/>
    <w:rsid w:val="00600640"/>
    <w:rsid w:val="006129C1"/>
    <w:rsid w:val="00614734"/>
    <w:rsid w:val="006154CB"/>
    <w:rsid w:val="00622C41"/>
    <w:rsid w:val="00626DA2"/>
    <w:rsid w:val="00630482"/>
    <w:rsid w:val="00635CFD"/>
    <w:rsid w:val="00641827"/>
    <w:rsid w:val="0065108E"/>
    <w:rsid w:val="00657286"/>
    <w:rsid w:val="0066207E"/>
    <w:rsid w:val="006768D7"/>
    <w:rsid w:val="00680849"/>
    <w:rsid w:val="006810AA"/>
    <w:rsid w:val="00681631"/>
    <w:rsid w:val="006B55AC"/>
    <w:rsid w:val="006C0564"/>
    <w:rsid w:val="006D0986"/>
    <w:rsid w:val="006E1E4E"/>
    <w:rsid w:val="006E2489"/>
    <w:rsid w:val="006E5EF9"/>
    <w:rsid w:val="006F0590"/>
    <w:rsid w:val="006F7440"/>
    <w:rsid w:val="00703960"/>
    <w:rsid w:val="00722E42"/>
    <w:rsid w:val="00735E5B"/>
    <w:rsid w:val="007362BF"/>
    <w:rsid w:val="00737A55"/>
    <w:rsid w:val="007415BD"/>
    <w:rsid w:val="00770318"/>
    <w:rsid w:val="007857CB"/>
    <w:rsid w:val="00792A49"/>
    <w:rsid w:val="007A2B08"/>
    <w:rsid w:val="007A4A31"/>
    <w:rsid w:val="007B3EA7"/>
    <w:rsid w:val="007B5B5F"/>
    <w:rsid w:val="007D1113"/>
    <w:rsid w:val="007D7878"/>
    <w:rsid w:val="007E17D1"/>
    <w:rsid w:val="00800540"/>
    <w:rsid w:val="0082019E"/>
    <w:rsid w:val="00820D43"/>
    <w:rsid w:val="0082279C"/>
    <w:rsid w:val="00824BC8"/>
    <w:rsid w:val="00825DFA"/>
    <w:rsid w:val="00827574"/>
    <w:rsid w:val="008438D9"/>
    <w:rsid w:val="008515D3"/>
    <w:rsid w:val="00856F69"/>
    <w:rsid w:val="00864D9E"/>
    <w:rsid w:val="008716AF"/>
    <w:rsid w:val="00880266"/>
    <w:rsid w:val="0089548C"/>
    <w:rsid w:val="008A041F"/>
    <w:rsid w:val="008A45ED"/>
    <w:rsid w:val="008C0422"/>
    <w:rsid w:val="008C1770"/>
    <w:rsid w:val="008D6291"/>
    <w:rsid w:val="008E1FFE"/>
    <w:rsid w:val="008E3923"/>
    <w:rsid w:val="008E731B"/>
    <w:rsid w:val="008F44B9"/>
    <w:rsid w:val="0090229C"/>
    <w:rsid w:val="00923D36"/>
    <w:rsid w:val="00930726"/>
    <w:rsid w:val="00933DCC"/>
    <w:rsid w:val="00941356"/>
    <w:rsid w:val="009501EE"/>
    <w:rsid w:val="00953D77"/>
    <w:rsid w:val="009629F4"/>
    <w:rsid w:val="009756CF"/>
    <w:rsid w:val="00976CCA"/>
    <w:rsid w:val="00977541"/>
    <w:rsid w:val="009820E4"/>
    <w:rsid w:val="00984BC4"/>
    <w:rsid w:val="0098592F"/>
    <w:rsid w:val="009870B4"/>
    <w:rsid w:val="00987AE3"/>
    <w:rsid w:val="00997D3F"/>
    <w:rsid w:val="009A7109"/>
    <w:rsid w:val="009B0E85"/>
    <w:rsid w:val="009B4DBB"/>
    <w:rsid w:val="009D0132"/>
    <w:rsid w:val="009D4686"/>
    <w:rsid w:val="009E0F71"/>
    <w:rsid w:val="009E4B15"/>
    <w:rsid w:val="009F5656"/>
    <w:rsid w:val="00A139CE"/>
    <w:rsid w:val="00A335BF"/>
    <w:rsid w:val="00A35AF5"/>
    <w:rsid w:val="00A3677B"/>
    <w:rsid w:val="00A528E7"/>
    <w:rsid w:val="00A60B47"/>
    <w:rsid w:val="00A77330"/>
    <w:rsid w:val="00A82E0F"/>
    <w:rsid w:val="00A876A0"/>
    <w:rsid w:val="00AE128B"/>
    <w:rsid w:val="00AF081F"/>
    <w:rsid w:val="00B01089"/>
    <w:rsid w:val="00B03C6C"/>
    <w:rsid w:val="00B17120"/>
    <w:rsid w:val="00B239F9"/>
    <w:rsid w:val="00B36680"/>
    <w:rsid w:val="00B36867"/>
    <w:rsid w:val="00B371B0"/>
    <w:rsid w:val="00B53BD1"/>
    <w:rsid w:val="00B576F2"/>
    <w:rsid w:val="00B61619"/>
    <w:rsid w:val="00B720D2"/>
    <w:rsid w:val="00B7427E"/>
    <w:rsid w:val="00B77A58"/>
    <w:rsid w:val="00B803BD"/>
    <w:rsid w:val="00B826A4"/>
    <w:rsid w:val="00B96CA4"/>
    <w:rsid w:val="00BA5C53"/>
    <w:rsid w:val="00BB3AD3"/>
    <w:rsid w:val="00BB474A"/>
    <w:rsid w:val="00BC12DB"/>
    <w:rsid w:val="00BC1DEA"/>
    <w:rsid w:val="00BC60DB"/>
    <w:rsid w:val="00BC7F02"/>
    <w:rsid w:val="00BD3224"/>
    <w:rsid w:val="00BE348E"/>
    <w:rsid w:val="00BE47E4"/>
    <w:rsid w:val="00BF2E7A"/>
    <w:rsid w:val="00C022AB"/>
    <w:rsid w:val="00C030F9"/>
    <w:rsid w:val="00C057AC"/>
    <w:rsid w:val="00C11E06"/>
    <w:rsid w:val="00C15620"/>
    <w:rsid w:val="00C24302"/>
    <w:rsid w:val="00C53FE3"/>
    <w:rsid w:val="00C562F1"/>
    <w:rsid w:val="00C56310"/>
    <w:rsid w:val="00C5686E"/>
    <w:rsid w:val="00CA247E"/>
    <w:rsid w:val="00CB445F"/>
    <w:rsid w:val="00CC51B6"/>
    <w:rsid w:val="00CD3E03"/>
    <w:rsid w:val="00CD41C1"/>
    <w:rsid w:val="00CD5E49"/>
    <w:rsid w:val="00CF2950"/>
    <w:rsid w:val="00CF3356"/>
    <w:rsid w:val="00CF7DEF"/>
    <w:rsid w:val="00D11DA6"/>
    <w:rsid w:val="00D17161"/>
    <w:rsid w:val="00D3786A"/>
    <w:rsid w:val="00D37904"/>
    <w:rsid w:val="00D41A10"/>
    <w:rsid w:val="00D434A4"/>
    <w:rsid w:val="00D4421D"/>
    <w:rsid w:val="00D5667B"/>
    <w:rsid w:val="00D73003"/>
    <w:rsid w:val="00D735BF"/>
    <w:rsid w:val="00D9045B"/>
    <w:rsid w:val="00DB066E"/>
    <w:rsid w:val="00DB2632"/>
    <w:rsid w:val="00DB6231"/>
    <w:rsid w:val="00DC273D"/>
    <w:rsid w:val="00DC3467"/>
    <w:rsid w:val="00DE0C6B"/>
    <w:rsid w:val="00DF3F59"/>
    <w:rsid w:val="00E10DF7"/>
    <w:rsid w:val="00E16E9C"/>
    <w:rsid w:val="00E27B0D"/>
    <w:rsid w:val="00E349CC"/>
    <w:rsid w:val="00E41ADD"/>
    <w:rsid w:val="00E444AD"/>
    <w:rsid w:val="00E463C3"/>
    <w:rsid w:val="00E65078"/>
    <w:rsid w:val="00E81817"/>
    <w:rsid w:val="00E91925"/>
    <w:rsid w:val="00E962A3"/>
    <w:rsid w:val="00EA5DFA"/>
    <w:rsid w:val="00EB1E4E"/>
    <w:rsid w:val="00ED7F0A"/>
    <w:rsid w:val="00EE3915"/>
    <w:rsid w:val="00EF5612"/>
    <w:rsid w:val="00F03B90"/>
    <w:rsid w:val="00F05B74"/>
    <w:rsid w:val="00F40989"/>
    <w:rsid w:val="00F50202"/>
    <w:rsid w:val="00F51578"/>
    <w:rsid w:val="00F61ECB"/>
    <w:rsid w:val="00F81554"/>
    <w:rsid w:val="00FB10DC"/>
    <w:rsid w:val="00FC6CDF"/>
    <w:rsid w:val="00FD555A"/>
    <w:rsid w:val="00FE0D9D"/>
    <w:rsid w:val="00FE3518"/>
    <w:rsid w:val="00FF10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F3741E0-E6DD-4C02-8ACC-27DAF768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BF"/>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450BF8"/>
    <w:pPr>
      <w:spacing w:after="240"/>
      <w:contextualSpacing/>
      <w:jc w:val="center"/>
    </w:pPr>
    <w:rPr>
      <w:rFonts w:ascii="Segoe UI Light" w:eastAsiaTheme="majorEastAsia" w:hAnsi="Segoe UI Light" w:cs="Segoe UI Light"/>
      <w:spacing w:val="-10"/>
      <w:kern w:val="28"/>
      <w:sz w:val="52"/>
      <w:szCs w:val="52"/>
    </w:rPr>
  </w:style>
  <w:style w:type="character" w:customStyle="1" w:styleId="TitleChar">
    <w:name w:val="Title Char"/>
    <w:basedOn w:val="DefaultParagraphFont"/>
    <w:link w:val="Title"/>
    <w:uiPriority w:val="10"/>
    <w:rsid w:val="00450BF8"/>
    <w:rPr>
      <w:rFonts w:ascii="Segoe UI Light" w:eastAsiaTheme="majorEastAsia" w:hAnsi="Segoe UI Light" w:cs="Segoe UI Light"/>
      <w:spacing w:val="-10"/>
      <w:kern w:val="28"/>
      <w:sz w:val="52"/>
      <w:szCs w:val="52"/>
      <w:lang w:val="en-US"/>
    </w:rPr>
  </w:style>
  <w:style w:type="paragraph" w:styleId="NormalWeb">
    <w:name w:val="Normal (Web)"/>
    <w:basedOn w:val="Normal"/>
    <w:uiPriority w:val="99"/>
    <w:unhideWhenUsed/>
    <w:rsid w:val="00D735BF"/>
    <w:pPr>
      <w:spacing w:before="100" w:beforeAutospacing="1" w:after="100" w:afterAutospacing="1"/>
    </w:pPr>
    <w:rPr>
      <w:rFonts w:ascii="Verdana" w:hAnsi="Verdana"/>
      <w:szCs w:val="24"/>
    </w:rPr>
  </w:style>
  <w:style w:type="paragraph" w:customStyle="1" w:styleId="Level1">
    <w:name w:val="Level 1"/>
    <w:basedOn w:val="Normal"/>
    <w:uiPriority w:val="99"/>
    <w:rsid w:val="00D735BF"/>
    <w:pPr>
      <w:widowControl w:val="0"/>
    </w:pPr>
  </w:style>
  <w:style w:type="character" w:styleId="Hyperlink">
    <w:name w:val="Hyperlink"/>
    <w:uiPriority w:val="99"/>
    <w:unhideWhenUsed/>
    <w:rsid w:val="00D735BF"/>
    <w:rPr>
      <w:color w:val="0563C1"/>
      <w:u w:val="single"/>
    </w:rPr>
  </w:style>
  <w:style w:type="character" w:styleId="CommentReference">
    <w:name w:val="annotation reference"/>
    <w:uiPriority w:val="99"/>
    <w:semiHidden/>
    <w:unhideWhenUsed/>
    <w:rsid w:val="00D735BF"/>
    <w:rPr>
      <w:sz w:val="16"/>
      <w:szCs w:val="16"/>
    </w:rPr>
  </w:style>
  <w:style w:type="paragraph" w:styleId="CommentText">
    <w:name w:val="annotation text"/>
    <w:basedOn w:val="Normal"/>
    <w:link w:val="CommentTextChar"/>
    <w:uiPriority w:val="99"/>
    <w:semiHidden/>
    <w:unhideWhenUsed/>
    <w:rsid w:val="00D735BF"/>
    <w:rPr>
      <w:sz w:val="20"/>
    </w:rPr>
  </w:style>
  <w:style w:type="character" w:customStyle="1" w:styleId="CommentTextChar">
    <w:name w:val="Comment Text Char"/>
    <w:basedOn w:val="DefaultParagraphFont"/>
    <w:link w:val="CommentText"/>
    <w:uiPriority w:val="99"/>
    <w:semiHidden/>
    <w:rsid w:val="00D735B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35BF"/>
    <w:rPr>
      <w:b/>
      <w:bCs/>
    </w:rPr>
  </w:style>
  <w:style w:type="character" w:customStyle="1" w:styleId="CommentSubjectChar">
    <w:name w:val="Comment Subject Char"/>
    <w:basedOn w:val="CommentTextChar"/>
    <w:link w:val="CommentSubject"/>
    <w:uiPriority w:val="99"/>
    <w:semiHidden/>
    <w:rsid w:val="00D735BF"/>
    <w:rPr>
      <w:rFonts w:ascii="Times New Roman" w:eastAsia="Times New Roman" w:hAnsi="Times New Roman" w:cs="Times New Roman"/>
      <w:b/>
      <w:bCs/>
      <w:sz w:val="20"/>
      <w:szCs w:val="20"/>
      <w:lang w:val="en-US"/>
    </w:rPr>
  </w:style>
  <w:style w:type="paragraph" w:styleId="NoSpacing">
    <w:name w:val="No Spacing"/>
    <w:uiPriority w:val="1"/>
    <w:qFormat/>
    <w:rsid w:val="00D735BF"/>
    <w:pPr>
      <w:spacing w:after="0" w:line="240" w:lineRule="auto"/>
    </w:pPr>
    <w:rPr>
      <w:rFonts w:ascii="Times New Roman" w:eastAsia="Times New Roman" w:hAnsi="Times New Roman" w:cs="Times New Roman"/>
      <w:sz w:val="24"/>
      <w:szCs w:val="20"/>
      <w:lang w:val="en-US"/>
    </w:rPr>
  </w:style>
  <w:style w:type="character" w:styleId="FollowedHyperlink">
    <w:name w:val="FollowedHyperlink"/>
    <w:uiPriority w:val="99"/>
    <w:semiHidden/>
    <w:unhideWhenUsed/>
    <w:rsid w:val="00D735BF"/>
    <w:rPr>
      <w:color w:val="954F72"/>
      <w:u w:val="single"/>
    </w:rPr>
  </w:style>
  <w:style w:type="paragraph" w:styleId="EndnoteText">
    <w:name w:val="endnote text"/>
    <w:basedOn w:val="Normal"/>
    <w:link w:val="EndnoteTextChar"/>
    <w:unhideWhenUsed/>
    <w:rsid w:val="00D735BF"/>
    <w:rPr>
      <w:rFonts w:ascii="Arial" w:hAnsi="Arial"/>
      <w:sz w:val="20"/>
      <w:lang w:val="en-CA" w:eastAsia="en-CA"/>
    </w:rPr>
  </w:style>
  <w:style w:type="character" w:customStyle="1" w:styleId="EndnoteTextChar">
    <w:name w:val="Endnote Text Char"/>
    <w:basedOn w:val="DefaultParagraphFont"/>
    <w:link w:val="EndnoteText"/>
    <w:rsid w:val="00D735BF"/>
    <w:rPr>
      <w:rFonts w:ascii="Arial" w:eastAsia="Times New Roman" w:hAnsi="Arial" w:cs="Times New Roman"/>
      <w:sz w:val="20"/>
      <w:szCs w:val="20"/>
      <w:lang w:eastAsia="en-CA"/>
    </w:rPr>
  </w:style>
  <w:style w:type="character" w:styleId="EndnoteReference">
    <w:name w:val="endnote reference"/>
    <w:uiPriority w:val="99"/>
    <w:semiHidden/>
    <w:unhideWhenUsed/>
    <w:rsid w:val="00D735BF"/>
    <w:rPr>
      <w:vertAlign w:val="superscript"/>
    </w:rPr>
  </w:style>
  <w:style w:type="paragraph" w:customStyle="1" w:styleId="Style1">
    <w:name w:val="Style1"/>
    <w:basedOn w:val="Normal"/>
    <w:link w:val="Style1Char"/>
    <w:qFormat/>
    <w:rsid w:val="00D735BF"/>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D735BF"/>
    <w:pPr>
      <w:shd w:val="clear" w:color="auto" w:fill="F2F2F2"/>
    </w:pPr>
    <w:rPr>
      <w:rFonts w:ascii="Arial" w:hAnsi="Arial" w:cs="Arial"/>
      <w:b/>
      <w:color w:val="009999"/>
      <w:spacing w:val="-10"/>
      <w:sz w:val="22"/>
      <w:szCs w:val="22"/>
      <w:lang w:val="en-CA"/>
    </w:rPr>
  </w:style>
  <w:style w:type="character" w:customStyle="1" w:styleId="Style1Char">
    <w:name w:val="Style1 Char"/>
    <w:basedOn w:val="DefaultParagraphFont"/>
    <w:link w:val="Style1"/>
    <w:rsid w:val="00D735BF"/>
    <w:rPr>
      <w:rFonts w:ascii="Arial" w:eastAsia="Times New Roman" w:hAnsi="Arial" w:cs="Arial"/>
      <w:b/>
      <w:caps/>
      <w:color w:val="92D050"/>
    </w:rPr>
  </w:style>
  <w:style w:type="character" w:customStyle="1" w:styleId="Style2Char">
    <w:name w:val="Style2 Char"/>
    <w:basedOn w:val="DefaultParagraphFont"/>
    <w:link w:val="Style2"/>
    <w:rsid w:val="00D735BF"/>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D735BF"/>
    <w:pPr>
      <w:jc w:val="center"/>
    </w:pPr>
    <w:rPr>
      <w:rFonts w:ascii="Arial" w:hAnsi="Arial" w:cs="Arial"/>
      <w:b/>
      <w:sz w:val="22"/>
      <w:szCs w:val="22"/>
      <w:u w:val="single"/>
    </w:rPr>
  </w:style>
  <w:style w:type="paragraph" w:customStyle="1" w:styleId="Style4">
    <w:name w:val="Style4"/>
    <w:basedOn w:val="Normal"/>
    <w:link w:val="Style4Char"/>
    <w:qFormat/>
    <w:rsid w:val="00D735BF"/>
    <w:rPr>
      <w:rFonts w:ascii="Arial" w:hAnsi="Arial" w:cs="Arial"/>
      <w:sz w:val="22"/>
      <w:szCs w:val="22"/>
      <w:u w:val="single"/>
      <w:lang w:val="en-CA" w:eastAsia="en-CA"/>
    </w:rPr>
  </w:style>
  <w:style w:type="character" w:customStyle="1" w:styleId="Style3Char">
    <w:name w:val="Style3 Char"/>
    <w:basedOn w:val="DefaultParagraphFont"/>
    <w:link w:val="Style3"/>
    <w:rsid w:val="00D735BF"/>
    <w:rPr>
      <w:rFonts w:ascii="Arial" w:eastAsia="Times New Roman" w:hAnsi="Arial" w:cs="Arial"/>
      <w:b/>
      <w:u w:val="single"/>
      <w:lang w:val="en-US"/>
    </w:rPr>
  </w:style>
  <w:style w:type="paragraph" w:customStyle="1" w:styleId="Style5">
    <w:name w:val="Style5"/>
    <w:basedOn w:val="Normal"/>
    <w:link w:val="Style5Char"/>
    <w:qFormat/>
    <w:rsid w:val="00D735BF"/>
    <w:pPr>
      <w:jc w:val="center"/>
    </w:pPr>
    <w:rPr>
      <w:rFonts w:ascii="Arial" w:hAnsi="Arial" w:cs="Arial"/>
      <w:b/>
      <w:bCs/>
      <w:sz w:val="22"/>
      <w:szCs w:val="22"/>
      <w:lang w:val="en"/>
    </w:rPr>
  </w:style>
  <w:style w:type="character" w:customStyle="1" w:styleId="Style4Char">
    <w:name w:val="Style4 Char"/>
    <w:basedOn w:val="DefaultParagraphFont"/>
    <w:link w:val="Style4"/>
    <w:rsid w:val="00D735BF"/>
    <w:rPr>
      <w:rFonts w:ascii="Arial" w:eastAsia="Times New Roman" w:hAnsi="Arial" w:cs="Arial"/>
      <w:u w:val="single"/>
      <w:lang w:eastAsia="en-CA"/>
    </w:rPr>
  </w:style>
  <w:style w:type="paragraph" w:customStyle="1" w:styleId="Style6">
    <w:name w:val="Style6"/>
    <w:basedOn w:val="Normal"/>
    <w:link w:val="Style6Char"/>
    <w:qFormat/>
    <w:rsid w:val="00D735BF"/>
    <w:pPr>
      <w:jc w:val="center"/>
    </w:pPr>
    <w:rPr>
      <w:rFonts w:ascii="Arial" w:hAnsi="Arial" w:cs="Arial"/>
      <w:b/>
      <w:color w:val="009999"/>
      <w:szCs w:val="24"/>
    </w:rPr>
  </w:style>
  <w:style w:type="character" w:customStyle="1" w:styleId="Style5Char">
    <w:name w:val="Style5 Char"/>
    <w:basedOn w:val="DefaultParagraphFont"/>
    <w:link w:val="Style5"/>
    <w:rsid w:val="00D735BF"/>
    <w:rPr>
      <w:rFonts w:ascii="Arial" w:eastAsia="Times New Roman" w:hAnsi="Arial" w:cs="Arial"/>
      <w:b/>
      <w:bCs/>
      <w:lang w:val="en"/>
    </w:rPr>
  </w:style>
  <w:style w:type="paragraph" w:customStyle="1" w:styleId="Style7">
    <w:name w:val="Style7"/>
    <w:basedOn w:val="Normal"/>
    <w:link w:val="Style7Char"/>
    <w:qFormat/>
    <w:rsid w:val="00D735BF"/>
    <w:pPr>
      <w:jc w:val="center"/>
    </w:pPr>
    <w:rPr>
      <w:rFonts w:ascii="Arial" w:hAnsi="Arial" w:cs="Arial"/>
      <w:color w:val="009999"/>
      <w:sz w:val="22"/>
      <w:szCs w:val="32"/>
    </w:rPr>
  </w:style>
  <w:style w:type="character" w:customStyle="1" w:styleId="Style6Char">
    <w:name w:val="Style6 Char"/>
    <w:basedOn w:val="DefaultParagraphFont"/>
    <w:link w:val="Style6"/>
    <w:rsid w:val="00D735BF"/>
    <w:rPr>
      <w:rFonts w:ascii="Arial" w:eastAsia="Times New Roman" w:hAnsi="Arial" w:cs="Arial"/>
      <w:b/>
      <w:color w:val="009999"/>
      <w:sz w:val="24"/>
      <w:szCs w:val="24"/>
      <w:lang w:val="en-US"/>
    </w:rPr>
  </w:style>
  <w:style w:type="paragraph" w:customStyle="1" w:styleId="Style8">
    <w:name w:val="Style8"/>
    <w:basedOn w:val="Normal"/>
    <w:link w:val="Style8Char"/>
    <w:qFormat/>
    <w:rsid w:val="00D735BF"/>
    <w:rPr>
      <w:rFonts w:ascii="Arial" w:hAnsi="Arial" w:cs="Arial"/>
      <w:color w:val="767171"/>
      <w:sz w:val="16"/>
      <w:szCs w:val="22"/>
      <w:lang w:val="en-CA"/>
    </w:rPr>
  </w:style>
  <w:style w:type="character" w:customStyle="1" w:styleId="Style7Char">
    <w:name w:val="Style7 Char"/>
    <w:basedOn w:val="DefaultParagraphFont"/>
    <w:link w:val="Style7"/>
    <w:rsid w:val="00D735BF"/>
    <w:rPr>
      <w:rFonts w:ascii="Arial" w:eastAsia="Times New Roman" w:hAnsi="Arial" w:cs="Arial"/>
      <w:color w:val="009999"/>
      <w:szCs w:val="32"/>
      <w:lang w:val="en-US"/>
    </w:rPr>
  </w:style>
  <w:style w:type="paragraph" w:customStyle="1" w:styleId="Style9">
    <w:name w:val="Style9"/>
    <w:basedOn w:val="Normal"/>
    <w:link w:val="Style9Char"/>
    <w:qFormat/>
    <w:rsid w:val="00D735BF"/>
    <w:rPr>
      <w:rFonts w:ascii="Arial" w:hAnsi="Arial" w:cs="Arial"/>
      <w:b/>
      <w:color w:val="009999"/>
      <w:spacing w:val="-10"/>
      <w:sz w:val="22"/>
      <w:szCs w:val="22"/>
      <w:lang w:val="en-CA"/>
    </w:rPr>
  </w:style>
  <w:style w:type="character" w:customStyle="1" w:styleId="Style8Char">
    <w:name w:val="Style8 Char"/>
    <w:basedOn w:val="DefaultParagraphFont"/>
    <w:link w:val="Style8"/>
    <w:rsid w:val="00D735BF"/>
    <w:rPr>
      <w:rFonts w:ascii="Arial" w:eastAsia="Times New Roman" w:hAnsi="Arial" w:cs="Arial"/>
      <w:color w:val="767171"/>
      <w:sz w:val="16"/>
    </w:rPr>
  </w:style>
  <w:style w:type="character" w:customStyle="1" w:styleId="Style9Char">
    <w:name w:val="Style9 Char"/>
    <w:basedOn w:val="DefaultParagraphFont"/>
    <w:link w:val="Style9"/>
    <w:rsid w:val="00D735BF"/>
    <w:rPr>
      <w:rFonts w:ascii="Arial" w:eastAsia="Times New Roman" w:hAnsi="Arial" w:cs="Arial"/>
      <w:b/>
      <w:color w:val="009999"/>
      <w:spacing w:val="-10"/>
    </w:rPr>
  </w:style>
  <w:style w:type="character" w:customStyle="1" w:styleId="tlid-translation">
    <w:name w:val="tlid-translation"/>
    <w:basedOn w:val="DefaultParagraphFont"/>
    <w:rsid w:val="00D735BF"/>
  </w:style>
  <w:style w:type="table" w:customStyle="1" w:styleId="Grilledutableau1">
    <w:name w:val="Grille du tableau1"/>
    <w:basedOn w:val="TableNormal"/>
    <w:next w:val="TableGrid"/>
    <w:uiPriority w:val="39"/>
    <w:rsid w:val="00D7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7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D735BF"/>
    <w:rPr>
      <w:color w:val="54575A" w:themeColor="text1"/>
      <w:lang w:val="fr-CA"/>
    </w:rPr>
  </w:style>
  <w:style w:type="character" w:customStyle="1" w:styleId="e24kjd">
    <w:name w:val="e24kjd"/>
    <w:basedOn w:val="DefaultParagraphFont"/>
    <w:rsid w:val="00D735BF"/>
  </w:style>
  <w:style w:type="paragraph" w:styleId="Revision">
    <w:name w:val="Revision"/>
    <w:hidden/>
    <w:uiPriority w:val="99"/>
    <w:semiHidden/>
    <w:rsid w:val="00D735BF"/>
    <w:pPr>
      <w:spacing w:after="0" w:line="240" w:lineRule="auto"/>
    </w:pPr>
    <w:rPr>
      <w:rFonts w:ascii="Times New Roman" w:eastAsia="Times New Roman" w:hAnsi="Times New Roman" w:cs="Times New Roman"/>
      <w:sz w:val="24"/>
      <w:szCs w:val="20"/>
      <w:lang w:val="en-US"/>
    </w:rPr>
  </w:style>
  <w:style w:type="numbering" w:customStyle="1" w:styleId="NoList1">
    <w:name w:val="No List1"/>
    <w:next w:val="NoList"/>
    <w:uiPriority w:val="99"/>
    <w:semiHidden/>
    <w:unhideWhenUsed/>
    <w:rsid w:val="00D735BF"/>
  </w:style>
  <w:style w:type="paragraph" w:styleId="Caption">
    <w:name w:val="caption"/>
    <w:basedOn w:val="Normal"/>
    <w:next w:val="Normal"/>
    <w:uiPriority w:val="35"/>
    <w:unhideWhenUsed/>
    <w:qFormat/>
    <w:rsid w:val="006E1E4E"/>
    <w:rPr>
      <w:rFonts w:ascii="Segoe UI Semilight" w:eastAsiaTheme="minorHAnsi" w:hAnsi="Segoe UI Semilight" w:cstheme="minorBidi"/>
      <w:iCs/>
      <w:sz w:val="18"/>
      <w:szCs w:val="18"/>
      <w:lang w:val="en-CA"/>
    </w:rPr>
  </w:style>
  <w:style w:type="table" w:styleId="PlainTable1">
    <w:name w:val="Plain Table 1"/>
    <w:basedOn w:val="TableNormal"/>
    <w:uiPriority w:val="41"/>
    <w:rsid w:val="00D735BF"/>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5B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735BF"/>
    <w:rPr>
      <w:i/>
      <w:iCs/>
      <w:color w:val="A8ABAE" w:themeColor="text1" w:themeTint="7F"/>
    </w:rPr>
  </w:style>
  <w:style w:type="character" w:styleId="Strong">
    <w:name w:val="Strong"/>
    <w:basedOn w:val="DefaultParagraphFont"/>
    <w:uiPriority w:val="22"/>
    <w:qFormat/>
    <w:rsid w:val="00257FB9"/>
    <w:rPr>
      <w:rFonts w:asciiTheme="minorHAnsi" w:hAnsiTheme="minorHAnsi"/>
      <w:b/>
      <w:bCs/>
      <w:sz w:val="22"/>
    </w:rPr>
  </w:style>
  <w:style w:type="table" w:styleId="GridTable5Dark">
    <w:name w:val="Grid Table 5 Dark"/>
    <w:basedOn w:val="TableNormal"/>
    <w:uiPriority w:val="50"/>
    <w:rsid w:val="003451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character" w:styleId="Emphasis">
    <w:name w:val="Emphasis"/>
    <w:basedOn w:val="DefaultParagraphFont"/>
    <w:uiPriority w:val="20"/>
    <w:qFormat/>
    <w:rsid w:val="003A7CF3"/>
    <w:rPr>
      <w:rFonts w:asciiTheme="minorHAnsi" w:hAnsiTheme="minorHAnsi"/>
      <w:i/>
      <w:iCs/>
      <w:color w:val="auto"/>
      <w:sz w:val="22"/>
    </w:rPr>
  </w:style>
  <w:style w:type="character" w:styleId="IntenseEmphasis">
    <w:name w:val="Intense Emphasis"/>
    <w:basedOn w:val="DefaultParagraphFont"/>
    <w:uiPriority w:val="21"/>
    <w:qFormat/>
    <w:rsid w:val="00D5667B"/>
    <w:rPr>
      <w:rFonts w:asciiTheme="minorHAnsi" w:hAnsiTheme="minorHAnsi"/>
      <w:b/>
      <w:i/>
      <w:iC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8440">
      <w:bodyDiv w:val="1"/>
      <w:marLeft w:val="0"/>
      <w:marRight w:val="0"/>
      <w:marTop w:val="0"/>
      <w:marBottom w:val="0"/>
      <w:divBdr>
        <w:top w:val="none" w:sz="0" w:space="0" w:color="auto"/>
        <w:left w:val="none" w:sz="0" w:space="0" w:color="auto"/>
        <w:bottom w:val="none" w:sz="0" w:space="0" w:color="auto"/>
        <w:right w:val="none" w:sz="0" w:space="0" w:color="auto"/>
      </w:divBdr>
    </w:div>
    <w:div w:id="136997863">
      <w:bodyDiv w:val="1"/>
      <w:marLeft w:val="0"/>
      <w:marRight w:val="0"/>
      <w:marTop w:val="0"/>
      <w:marBottom w:val="0"/>
      <w:divBdr>
        <w:top w:val="none" w:sz="0" w:space="0" w:color="auto"/>
        <w:left w:val="none" w:sz="0" w:space="0" w:color="auto"/>
        <w:bottom w:val="none" w:sz="0" w:space="0" w:color="auto"/>
        <w:right w:val="none" w:sz="0" w:space="0" w:color="auto"/>
      </w:divBdr>
    </w:div>
    <w:div w:id="412970195">
      <w:bodyDiv w:val="1"/>
      <w:marLeft w:val="0"/>
      <w:marRight w:val="0"/>
      <w:marTop w:val="0"/>
      <w:marBottom w:val="0"/>
      <w:divBdr>
        <w:top w:val="none" w:sz="0" w:space="0" w:color="auto"/>
        <w:left w:val="none" w:sz="0" w:space="0" w:color="auto"/>
        <w:bottom w:val="none" w:sz="0" w:space="0" w:color="auto"/>
        <w:right w:val="none" w:sz="0" w:space="0" w:color="auto"/>
      </w:divBdr>
      <w:divsChild>
        <w:div w:id="531039393">
          <w:marLeft w:val="0"/>
          <w:marRight w:val="0"/>
          <w:marTop w:val="0"/>
          <w:marBottom w:val="0"/>
          <w:divBdr>
            <w:top w:val="none" w:sz="0" w:space="0" w:color="auto"/>
            <w:left w:val="none" w:sz="0" w:space="0" w:color="auto"/>
            <w:bottom w:val="none" w:sz="0" w:space="0" w:color="auto"/>
            <w:right w:val="none" w:sz="0" w:space="0" w:color="auto"/>
          </w:divBdr>
        </w:div>
      </w:divsChild>
    </w:div>
    <w:div w:id="465128044">
      <w:bodyDiv w:val="1"/>
      <w:marLeft w:val="0"/>
      <w:marRight w:val="0"/>
      <w:marTop w:val="0"/>
      <w:marBottom w:val="0"/>
      <w:divBdr>
        <w:top w:val="none" w:sz="0" w:space="0" w:color="auto"/>
        <w:left w:val="none" w:sz="0" w:space="0" w:color="auto"/>
        <w:bottom w:val="none" w:sz="0" w:space="0" w:color="auto"/>
        <w:right w:val="none" w:sz="0" w:space="0" w:color="auto"/>
      </w:divBdr>
    </w:div>
    <w:div w:id="971327805">
      <w:bodyDiv w:val="1"/>
      <w:marLeft w:val="0"/>
      <w:marRight w:val="0"/>
      <w:marTop w:val="0"/>
      <w:marBottom w:val="0"/>
      <w:divBdr>
        <w:top w:val="none" w:sz="0" w:space="0" w:color="auto"/>
        <w:left w:val="none" w:sz="0" w:space="0" w:color="auto"/>
        <w:bottom w:val="none" w:sz="0" w:space="0" w:color="auto"/>
        <w:right w:val="none" w:sz="0" w:space="0" w:color="auto"/>
      </w:divBdr>
    </w:div>
    <w:div w:id="1085372465">
      <w:bodyDiv w:val="1"/>
      <w:marLeft w:val="0"/>
      <w:marRight w:val="0"/>
      <w:marTop w:val="0"/>
      <w:marBottom w:val="0"/>
      <w:divBdr>
        <w:top w:val="none" w:sz="0" w:space="0" w:color="auto"/>
        <w:left w:val="none" w:sz="0" w:space="0" w:color="auto"/>
        <w:bottom w:val="none" w:sz="0" w:space="0" w:color="auto"/>
        <w:right w:val="none" w:sz="0" w:space="0" w:color="auto"/>
      </w:divBdr>
    </w:div>
    <w:div w:id="1108936323">
      <w:bodyDiv w:val="1"/>
      <w:marLeft w:val="0"/>
      <w:marRight w:val="0"/>
      <w:marTop w:val="0"/>
      <w:marBottom w:val="0"/>
      <w:divBdr>
        <w:top w:val="none" w:sz="0" w:space="0" w:color="auto"/>
        <w:left w:val="none" w:sz="0" w:space="0" w:color="auto"/>
        <w:bottom w:val="none" w:sz="0" w:space="0" w:color="auto"/>
        <w:right w:val="none" w:sz="0" w:space="0" w:color="auto"/>
      </w:divBdr>
    </w:div>
    <w:div w:id="1440682284">
      <w:bodyDiv w:val="1"/>
      <w:marLeft w:val="0"/>
      <w:marRight w:val="0"/>
      <w:marTop w:val="0"/>
      <w:marBottom w:val="0"/>
      <w:divBdr>
        <w:top w:val="none" w:sz="0" w:space="0" w:color="auto"/>
        <w:left w:val="none" w:sz="0" w:space="0" w:color="auto"/>
        <w:bottom w:val="none" w:sz="0" w:space="0" w:color="auto"/>
        <w:right w:val="none" w:sz="0" w:space="0" w:color="auto"/>
      </w:divBdr>
    </w:div>
    <w:div w:id="1466502647">
      <w:bodyDiv w:val="1"/>
      <w:marLeft w:val="0"/>
      <w:marRight w:val="0"/>
      <w:marTop w:val="0"/>
      <w:marBottom w:val="0"/>
      <w:divBdr>
        <w:top w:val="none" w:sz="0" w:space="0" w:color="auto"/>
        <w:left w:val="none" w:sz="0" w:space="0" w:color="auto"/>
        <w:bottom w:val="none" w:sz="0" w:space="0" w:color="auto"/>
        <w:right w:val="none" w:sz="0" w:space="0" w:color="auto"/>
      </w:divBdr>
    </w:div>
    <w:div w:id="1518420554">
      <w:bodyDiv w:val="1"/>
      <w:marLeft w:val="0"/>
      <w:marRight w:val="0"/>
      <w:marTop w:val="0"/>
      <w:marBottom w:val="0"/>
      <w:divBdr>
        <w:top w:val="none" w:sz="0" w:space="0" w:color="auto"/>
        <w:left w:val="none" w:sz="0" w:space="0" w:color="auto"/>
        <w:bottom w:val="none" w:sz="0" w:space="0" w:color="auto"/>
        <w:right w:val="none" w:sz="0" w:space="0" w:color="auto"/>
      </w:divBdr>
    </w:div>
    <w:div w:id="1731272548">
      <w:bodyDiv w:val="1"/>
      <w:marLeft w:val="0"/>
      <w:marRight w:val="0"/>
      <w:marTop w:val="0"/>
      <w:marBottom w:val="0"/>
      <w:divBdr>
        <w:top w:val="none" w:sz="0" w:space="0" w:color="auto"/>
        <w:left w:val="none" w:sz="0" w:space="0" w:color="auto"/>
        <w:bottom w:val="none" w:sz="0" w:space="0" w:color="auto"/>
        <w:right w:val="none" w:sz="0" w:space="0" w:color="auto"/>
      </w:divBdr>
    </w:div>
    <w:div w:id="1766149002">
      <w:bodyDiv w:val="1"/>
      <w:marLeft w:val="0"/>
      <w:marRight w:val="0"/>
      <w:marTop w:val="0"/>
      <w:marBottom w:val="0"/>
      <w:divBdr>
        <w:top w:val="none" w:sz="0" w:space="0" w:color="auto"/>
        <w:left w:val="none" w:sz="0" w:space="0" w:color="auto"/>
        <w:bottom w:val="none" w:sz="0" w:space="0" w:color="auto"/>
        <w:right w:val="none" w:sz="0" w:space="0" w:color="auto"/>
      </w:divBdr>
    </w:div>
    <w:div w:id="1996180392">
      <w:bodyDiv w:val="1"/>
      <w:marLeft w:val="0"/>
      <w:marRight w:val="0"/>
      <w:marTop w:val="0"/>
      <w:marBottom w:val="0"/>
      <w:divBdr>
        <w:top w:val="none" w:sz="0" w:space="0" w:color="auto"/>
        <w:left w:val="none" w:sz="0" w:space="0" w:color="auto"/>
        <w:bottom w:val="none" w:sz="0" w:space="0" w:color="auto"/>
        <w:right w:val="none" w:sz="0" w:space="0" w:color="auto"/>
      </w:divBdr>
    </w:div>
    <w:div w:id="2022509858">
      <w:bodyDiv w:val="1"/>
      <w:marLeft w:val="0"/>
      <w:marRight w:val="0"/>
      <w:marTop w:val="0"/>
      <w:marBottom w:val="0"/>
      <w:divBdr>
        <w:top w:val="none" w:sz="0" w:space="0" w:color="auto"/>
        <w:left w:val="none" w:sz="0" w:space="0" w:color="auto"/>
        <w:bottom w:val="none" w:sz="0" w:space="0" w:color="auto"/>
        <w:right w:val="none" w:sz="0" w:space="0" w:color="auto"/>
      </w:divBdr>
    </w:div>
    <w:div w:id="21024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ada.ca/en/government/publicservice/wellness-inclusion-diversity-public-service/diversity-inclusion-public-service/employment-equity-annual-reports/employment-equity-public-service-canada-2017-2018.html" TargetMode="External"/><Relationship Id="rId14" Type="http://schemas.openxmlformats.org/officeDocument/2006/relationships/footer" Target="footer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by tenure as of March 31</a:t>
            </a:r>
          </a:p>
        </c:rich>
      </c:tx>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(N=6 541)</c:v>
                </c:pt>
                <c:pt idx="1">
                  <c:v> 2015 
(N=6 592) </c:v>
                </c:pt>
                <c:pt idx="2">
                  <c:v> 2016 
(N=6 466)</c:v>
                </c:pt>
                <c:pt idx="3">
                  <c:v> 2017 
(N=6 740) </c:v>
                </c:pt>
                <c:pt idx="4">
                  <c:v> 2018 
(N=6 952) </c:v>
                </c:pt>
                <c:pt idx="5">
                  <c:v> 2019
(N=7 291) </c:v>
                </c:pt>
              </c:strCache>
            </c:strRef>
          </c:cat>
          <c:val>
            <c:numRef>
              <c:f>Sheet1!$B$2:$B$7</c:f>
              <c:numCache>
                <c:formatCode>#\ ###</c:formatCode>
                <c:ptCount val="6"/>
                <c:pt idx="0">
                  <c:v>5673</c:v>
                </c:pt>
                <c:pt idx="1">
                  <c:v>5711</c:v>
                </c:pt>
                <c:pt idx="2">
                  <c:v>5514</c:v>
                </c:pt>
                <c:pt idx="3">
                  <c:v>5659</c:v>
                </c:pt>
                <c:pt idx="4">
                  <c:v>5816</c:v>
                </c:pt>
                <c:pt idx="5">
                  <c:v>6106</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2.8239558760857657E-17"/>
                  <c:y val="4.6753246753246706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(N=6 541)</c:v>
                </c:pt>
                <c:pt idx="1">
                  <c:v> 2015 
(N=6 592) </c:v>
                </c:pt>
                <c:pt idx="2">
                  <c:v> 2016 
(N=6 466)</c:v>
                </c:pt>
                <c:pt idx="3">
                  <c:v> 2017 
(N=6 740) </c:v>
                </c:pt>
                <c:pt idx="4">
                  <c:v> 2018 
(N=6 952) </c:v>
                </c:pt>
                <c:pt idx="5">
                  <c:v> 2019
(N=7 291) </c:v>
                </c:pt>
              </c:strCache>
            </c:strRef>
          </c:cat>
          <c:val>
            <c:numRef>
              <c:f>Sheet1!$C$2:$C$7</c:f>
              <c:numCache>
                <c:formatCode>#\ ###</c:formatCode>
                <c:ptCount val="6"/>
                <c:pt idx="0">
                  <c:v>183</c:v>
                </c:pt>
                <c:pt idx="1">
                  <c:v>265</c:v>
                </c:pt>
                <c:pt idx="2">
                  <c:v>338</c:v>
                </c:pt>
                <c:pt idx="3">
                  <c:v>383</c:v>
                </c:pt>
                <c:pt idx="4">
                  <c:v>341</c:v>
                </c:pt>
                <c:pt idx="5">
                  <c:v>343</c:v>
                </c:pt>
              </c:numCache>
            </c:numRef>
          </c:val>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(N=6 541)</c:v>
                </c:pt>
                <c:pt idx="1">
                  <c:v> 2015 
(N=6 592) </c:v>
                </c:pt>
                <c:pt idx="2">
                  <c:v> 2016 
(N=6 466)</c:v>
                </c:pt>
                <c:pt idx="3">
                  <c:v> 2017 
(N=6 740) </c:v>
                </c:pt>
                <c:pt idx="4">
                  <c:v> 2018 
(N=6 952) </c:v>
                </c:pt>
                <c:pt idx="5">
                  <c:v> 2019
(N=7 291) </c:v>
                </c:pt>
              </c:strCache>
            </c:strRef>
          </c:cat>
          <c:val>
            <c:numRef>
              <c:f>Sheet1!$D$2:$D$7</c:f>
              <c:numCache>
                <c:formatCode>#\ ###</c:formatCode>
                <c:ptCount val="6"/>
                <c:pt idx="0">
                  <c:v>313</c:v>
                </c:pt>
                <c:pt idx="1">
                  <c:v>292</c:v>
                </c:pt>
                <c:pt idx="2">
                  <c:v>271</c:v>
                </c:pt>
                <c:pt idx="3">
                  <c:v>332</c:v>
                </c:pt>
                <c:pt idx="4">
                  <c:v>399</c:v>
                </c:pt>
                <c:pt idx="5">
                  <c:v>430</c:v>
                </c:pt>
              </c:numCache>
            </c:numRef>
          </c:val>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(N=6 541)</c:v>
                </c:pt>
                <c:pt idx="1">
                  <c:v> 2015 
(N=6 592) </c:v>
                </c:pt>
                <c:pt idx="2">
                  <c:v> 2016 
(N=6 466)</c:v>
                </c:pt>
                <c:pt idx="3">
                  <c:v> 2017 
(N=6 740) </c:v>
                </c:pt>
                <c:pt idx="4">
                  <c:v> 2018 
(N=6 952) </c:v>
                </c:pt>
                <c:pt idx="5">
                  <c:v> 2019
(N=7 291) </c:v>
                </c:pt>
              </c:strCache>
            </c:strRef>
          </c:cat>
          <c:val>
            <c:numRef>
              <c:f>Sheet1!$E$2:$E$7</c:f>
              <c:numCache>
                <c:formatCode>#\ ###</c:formatCode>
                <c:ptCount val="6"/>
                <c:pt idx="0">
                  <c:v>372</c:v>
                </c:pt>
                <c:pt idx="1">
                  <c:v>324</c:v>
                </c:pt>
                <c:pt idx="2">
                  <c:v>343</c:v>
                </c:pt>
                <c:pt idx="3">
                  <c:v>366</c:v>
                </c:pt>
                <c:pt idx="4">
                  <c:v>396</c:v>
                </c:pt>
                <c:pt idx="5">
                  <c:v>412</c:v>
                </c:pt>
              </c:numCache>
            </c:numRef>
          </c:val>
        </c:ser>
        <c:dLbls>
          <c:dLblPos val="ctr"/>
          <c:showLegendKey val="0"/>
          <c:showVal val="1"/>
          <c:showCatName val="0"/>
          <c:showSerName val="0"/>
          <c:showPercent val="0"/>
          <c:showBubbleSize val="0"/>
        </c:dLbls>
        <c:gapWidth val="150"/>
        <c:overlap val="100"/>
        <c:axId val="515192712"/>
        <c:axId val="515193104"/>
      </c:barChart>
      <c:catAx>
        <c:axId val="515192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5193104"/>
        <c:crosses val="autoZero"/>
        <c:auto val="1"/>
        <c:lblAlgn val="ctr"/>
        <c:lblOffset val="100"/>
        <c:noMultiLvlLbl val="0"/>
      </c:catAx>
      <c:valAx>
        <c:axId val="5151931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5192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layout>
        <c:manualLayout>
          <c:xMode val="edge"/>
          <c:yMode val="edge"/>
          <c:x val="0.36958390319253936"/>
          <c:y val="5.832118308685690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(N=976)</c:v>
                </c:pt>
                <c:pt idx="1">
                  <c:v>2015-16
 (N=773)</c:v>
                </c:pt>
                <c:pt idx="2">
                  <c:v>2016-17
 (N=896)</c:v>
                </c:pt>
                <c:pt idx="3">
                  <c:v>2017-18
 (N=808)</c:v>
                </c:pt>
                <c:pt idx="4">
                  <c:v>2018-19
 (N=898)</c:v>
                </c:pt>
              </c:strCache>
            </c:strRef>
          </c:cat>
          <c:val>
            <c:numRef>
              <c:f>Sheet1!$B$2:$B$6</c:f>
              <c:numCache>
                <c:formatCode>General</c:formatCode>
                <c:ptCount val="5"/>
                <c:pt idx="0">
                  <c:v>206</c:v>
                </c:pt>
                <c:pt idx="1">
                  <c:v>200</c:v>
                </c:pt>
                <c:pt idx="2">
                  <c:v>238</c:v>
                </c:pt>
                <c:pt idx="3">
                  <c:v>197</c:v>
                </c:pt>
                <c:pt idx="4">
                  <c:v>228</c:v>
                </c:pt>
              </c:numCache>
            </c:numRef>
          </c:val>
        </c:ser>
        <c:ser>
          <c:idx val="1"/>
          <c:order val="1"/>
          <c:tx>
            <c:strRef>
              <c:f>Sheet1!$C$1</c:f>
              <c:strCache>
                <c:ptCount val="1"/>
                <c:pt idx="0">
                  <c:v>Post-Secondary CO-OP/Internship Program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(N=976)</c:v>
                </c:pt>
                <c:pt idx="1">
                  <c:v>2015-16
 (N=773)</c:v>
                </c:pt>
                <c:pt idx="2">
                  <c:v>2016-17
 (N=896)</c:v>
                </c:pt>
                <c:pt idx="3">
                  <c:v>2017-18
 (N=808)</c:v>
                </c:pt>
                <c:pt idx="4">
                  <c:v>2018-19
 (N=898)</c:v>
                </c:pt>
              </c:strCache>
            </c:strRef>
          </c:cat>
          <c:val>
            <c:numRef>
              <c:f>Sheet1!$C$2:$C$6</c:f>
              <c:numCache>
                <c:formatCode>General</c:formatCode>
                <c:ptCount val="5"/>
                <c:pt idx="0">
                  <c:v>755</c:v>
                </c:pt>
                <c:pt idx="1">
                  <c:v>572</c:v>
                </c:pt>
                <c:pt idx="2">
                  <c:v>654</c:v>
                </c:pt>
                <c:pt idx="3">
                  <c:v>593</c:v>
                </c:pt>
                <c:pt idx="4">
                  <c:v>654</c:v>
                </c:pt>
              </c:numCache>
            </c:numRef>
          </c:val>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layout>
                <c:manualLayout>
                  <c:x val="0"/>
                  <c:y val="-2.30237912509593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5290026889317413E-17"/>
                  <c:y val="-2.68610897927858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023791250959325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058005377863483E-16"/>
                  <c:y val="-3.0698388334612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067761806980012E-3"/>
                  <c:y val="-3.06983883346124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(N=976)</c:v>
                </c:pt>
                <c:pt idx="1">
                  <c:v>2015-16
 (N=773)</c:v>
                </c:pt>
                <c:pt idx="2">
                  <c:v>2016-17
 (N=896)</c:v>
                </c:pt>
                <c:pt idx="3">
                  <c:v>2017-18
 (N=808)</c:v>
                </c:pt>
                <c:pt idx="4">
                  <c:v>2018-19
 (N=898)</c:v>
                </c:pt>
              </c:strCache>
            </c:strRef>
          </c:cat>
          <c:val>
            <c:numRef>
              <c:f>Sheet1!$D$2:$D$6</c:f>
              <c:numCache>
                <c:formatCode>General</c:formatCode>
                <c:ptCount val="5"/>
                <c:pt idx="0">
                  <c:v>15</c:v>
                </c:pt>
                <c:pt idx="1">
                  <c:v>1</c:v>
                </c:pt>
                <c:pt idx="2">
                  <c:v>4</c:v>
                </c:pt>
                <c:pt idx="3">
                  <c:v>18</c:v>
                </c:pt>
                <c:pt idx="4">
                  <c:v>16</c:v>
                </c:pt>
              </c:numCache>
            </c:numRef>
          </c:val>
        </c:ser>
        <c:dLbls>
          <c:dLblPos val="ctr"/>
          <c:showLegendKey val="0"/>
          <c:showVal val="1"/>
          <c:showCatName val="0"/>
          <c:showSerName val="0"/>
          <c:showPercent val="0"/>
          <c:showBubbleSize val="0"/>
        </c:dLbls>
        <c:gapWidth val="150"/>
        <c:overlap val="100"/>
        <c:axId val="514351032"/>
        <c:axId val="514351424"/>
      </c:barChart>
      <c:catAx>
        <c:axId val="514351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1424"/>
        <c:crosses val="autoZero"/>
        <c:auto val="1"/>
        <c:lblAlgn val="ctr"/>
        <c:lblOffset val="100"/>
        <c:noMultiLvlLbl val="0"/>
      </c:catAx>
      <c:valAx>
        <c:axId val="514351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1032"/>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indeterminate and term hiring activities: Post-Secondary Recruitment Program and former student hires</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837298541826553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11</c:v>
                </c:pt>
                <c:pt idx="1">
                  <c:v>1</c:v>
                </c:pt>
                <c:pt idx="2">
                  <c:v>22</c:v>
                </c:pt>
                <c:pt idx="3">
                  <c:v>30</c:v>
                </c:pt>
                <c:pt idx="4">
                  <c:v>36</c:v>
                </c:pt>
              </c:numCache>
            </c:numRef>
          </c:val>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5118956254796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7.674597083653037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132</c:v>
                </c:pt>
                <c:pt idx="1">
                  <c:v>95</c:v>
                </c:pt>
                <c:pt idx="2">
                  <c:v>175</c:v>
                </c:pt>
                <c:pt idx="3">
                  <c:v>197</c:v>
                </c:pt>
                <c:pt idx="4">
                  <c:v>239</c:v>
                </c:pt>
              </c:numCache>
            </c:numRef>
          </c:val>
        </c:ser>
        <c:dLbls>
          <c:showLegendKey val="0"/>
          <c:showVal val="1"/>
          <c:showCatName val="0"/>
          <c:showSerName val="0"/>
          <c:showPercent val="0"/>
          <c:showBubbleSize val="0"/>
        </c:dLbls>
        <c:gapWidth val="150"/>
        <c:shape val="box"/>
        <c:axId val="514353384"/>
        <c:axId val="514353776"/>
        <c:axId val="0"/>
      </c:bar3DChart>
      <c:catAx>
        <c:axId val="514353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3776"/>
        <c:crosses val="autoZero"/>
        <c:auto val="1"/>
        <c:lblAlgn val="ctr"/>
        <c:lblOffset val="100"/>
        <c:noMultiLvlLbl val="0"/>
      </c:catAx>
      <c:valAx>
        <c:axId val="51435377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3384"/>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Internal time to staff</a:t>
            </a:r>
          </a:p>
          <a:p>
            <a:pPr>
              <a:defRPr sz="1200" b="1">
                <a:solidFill>
                  <a:sysClr val="windowText" lastClr="000000"/>
                </a:solidFill>
              </a:defRPr>
            </a:pPr>
            <a:r>
              <a:rPr lang="en-CA" sz="1200" b="1">
                <a:solidFill>
                  <a:sysClr val="windowText" lastClr="000000"/>
                </a:solidFill>
              </a:rPr>
              <a:t>Public service median = 176 days</a:t>
            </a:r>
          </a:p>
          <a:p>
            <a:pPr>
              <a:defRPr sz="1200" b="1">
                <a:solidFill>
                  <a:sysClr val="windowText" lastClr="000000"/>
                </a:solidFill>
              </a:defRPr>
            </a:pPr>
            <a:r>
              <a:rPr lang="en-CA" sz="1200" b="1">
                <a:solidFill>
                  <a:sysClr val="windowText" lastClr="000000"/>
                </a:solidFill>
              </a:rPr>
              <a:t> 2018-19</a:t>
            </a: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solidFill>
              <a:schemeClr val="accent1"/>
            </a:solidFill>
            <a:ln>
              <a:noFill/>
            </a:ln>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508756864"/>
        <c:axId val="508758824"/>
      </c:barChart>
      <c:catAx>
        <c:axId val="508756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8824"/>
        <c:crosses val="autoZero"/>
        <c:auto val="1"/>
        <c:lblAlgn val="ctr"/>
        <c:lblOffset val="100"/>
        <c:noMultiLvlLbl val="0"/>
      </c:catAx>
      <c:valAx>
        <c:axId val="508758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Internal time to staff</a:t>
            </a:r>
          </a:p>
          <a:p>
            <a:pPr>
              <a:defRPr sz="1200" b="1">
                <a:solidFill>
                  <a:sysClr val="windowText" lastClr="000000"/>
                </a:solidFill>
              </a:defRPr>
            </a:pPr>
            <a:r>
              <a:rPr lang="en-CA" sz="1200" b="1">
                <a:solidFill>
                  <a:sysClr val="windowText" lastClr="000000"/>
                </a:solidFill>
              </a:rPr>
              <a:t>Environment and Climate Change Canada = 202 days</a:t>
            </a:r>
          </a:p>
          <a:p>
            <a:pPr>
              <a:defRPr sz="1200" b="1">
                <a:solidFill>
                  <a:sysClr val="windowText" lastClr="000000"/>
                </a:solidFill>
              </a:defRPr>
            </a:pPr>
            <a:r>
              <a:rPr lang="en-CA" sz="1200" b="1">
                <a:solidFill>
                  <a:sysClr val="windowText" lastClr="000000"/>
                </a:solidFill>
              </a:rPr>
              <a:t> 2018-19</a:t>
            </a:r>
          </a:p>
        </c:rich>
      </c:tx>
      <c:layout>
        <c:manualLayout>
          <c:xMode val="edge"/>
          <c:yMode val="edge"/>
          <c:x val="0.19102453102453099"/>
          <c:y val="3.6182372364744731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solidFill>
              <a:schemeClr val="accent1"/>
            </a:solidFill>
            <a:ln>
              <a:noFill/>
            </a:ln>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3</c:v>
                </c:pt>
                <c:pt idx="3">
                  <c:v>12</c:v>
                </c:pt>
                <c:pt idx="4">
                  <c:v>19</c:v>
                </c:pt>
                <c:pt idx="5">
                  <c:v>20</c:v>
                </c:pt>
                <c:pt idx="6">
                  <c:v>10</c:v>
                </c:pt>
                <c:pt idx="7">
                  <c:v>19</c:v>
                </c:pt>
                <c:pt idx="8">
                  <c:v>22</c:v>
                </c:pt>
                <c:pt idx="9">
                  <c:v>10</c:v>
                </c:pt>
                <c:pt idx="10">
                  <c:v>6</c:v>
                </c:pt>
                <c:pt idx="11">
                  <c:v>4</c:v>
                </c:pt>
                <c:pt idx="12">
                  <c:v>4</c:v>
                </c:pt>
                <c:pt idx="13">
                  <c:v>2</c:v>
                </c:pt>
                <c:pt idx="14">
                  <c:v>5</c:v>
                </c:pt>
                <c:pt idx="15">
                  <c:v>2</c:v>
                </c:pt>
                <c:pt idx="16">
                  <c:v>2</c:v>
                </c:pt>
                <c:pt idx="17">
                  <c:v>2</c:v>
                </c:pt>
                <c:pt idx="18">
                  <c:v>4</c:v>
                </c:pt>
                <c:pt idx="19">
                  <c:v>2</c:v>
                </c:pt>
                <c:pt idx="20">
                  <c:v>2</c:v>
                </c:pt>
                <c:pt idx="21">
                  <c:v>0</c:v>
                </c:pt>
                <c:pt idx="22">
                  <c:v>2</c:v>
                </c:pt>
                <c:pt idx="23">
                  <c:v>0</c:v>
                </c:pt>
                <c:pt idx="24">
                  <c:v>1</c:v>
                </c:pt>
                <c:pt idx="25">
                  <c:v>2</c:v>
                </c:pt>
                <c:pt idx="26">
                  <c:v>0</c:v>
                </c:pt>
                <c:pt idx="27">
                  <c:v>0</c:v>
                </c:pt>
                <c:pt idx="28">
                  <c:v>0</c:v>
                </c:pt>
                <c:pt idx="29">
                  <c:v>0</c:v>
                </c:pt>
                <c:pt idx="34">
                  <c:v>2</c:v>
                </c:pt>
              </c:numCache>
            </c:numRef>
          </c:val>
        </c:ser>
        <c:dLbls>
          <c:showLegendKey val="0"/>
          <c:showVal val="0"/>
          <c:showCatName val="0"/>
          <c:showSerName val="0"/>
          <c:showPercent val="0"/>
          <c:showBubbleSize val="0"/>
        </c:dLbls>
        <c:gapWidth val="150"/>
        <c:overlap val="100"/>
        <c:axId val="508755296"/>
        <c:axId val="508757648"/>
      </c:barChart>
      <c:catAx>
        <c:axId val="5087552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7648"/>
        <c:crosses val="autoZero"/>
        <c:auto val="1"/>
        <c:lblAlgn val="ctr"/>
        <c:lblOffset val="100"/>
        <c:noMultiLvlLbl val="0"/>
      </c:catAx>
      <c:valAx>
        <c:axId val="508757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External time to staff</a:t>
            </a:r>
          </a:p>
          <a:p>
            <a:pPr>
              <a:defRPr sz="1200" b="1">
                <a:solidFill>
                  <a:sysClr val="windowText" lastClr="000000"/>
                </a:solidFill>
              </a:defRPr>
            </a:pPr>
            <a:r>
              <a:rPr lang="en-CA" sz="1200" b="1">
                <a:solidFill>
                  <a:sysClr val="windowText" lastClr="000000"/>
                </a:solidFill>
              </a:rPr>
              <a:t>Public service median = 186 days</a:t>
            </a:r>
          </a:p>
          <a:p>
            <a:pPr>
              <a:defRPr sz="1200" b="1">
                <a:solidFill>
                  <a:sysClr val="windowText" lastClr="000000"/>
                </a:solidFill>
              </a:defRPr>
            </a:pPr>
            <a:r>
              <a:rPr lang="en-CA" sz="1200" b="1">
                <a:solidFill>
                  <a:sysClr val="windowText" lastClr="000000"/>
                </a:solidFill>
              </a:rPr>
              <a:t> 2018-19</a:t>
            </a: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solidFill>
              <a:schemeClr val="accent1"/>
            </a:solidFill>
            <a:ln>
              <a:noFill/>
            </a:ln>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508756080"/>
        <c:axId val="508756472"/>
      </c:barChart>
      <c:catAx>
        <c:axId val="5087560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6472"/>
        <c:crosses val="autoZero"/>
        <c:auto val="1"/>
        <c:lblAlgn val="ctr"/>
        <c:lblOffset val="100"/>
        <c:noMultiLvlLbl val="0"/>
      </c:catAx>
      <c:valAx>
        <c:axId val="508756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0875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CA" sz="1100" b="1">
                <a:solidFill>
                  <a:sysClr val="windowText" lastClr="000000"/>
                </a:solidFill>
              </a:rPr>
              <a:t>External time to staff</a:t>
            </a:r>
          </a:p>
          <a:p>
            <a:pPr>
              <a:defRPr sz="1100" b="1">
                <a:solidFill>
                  <a:sysClr val="windowText" lastClr="000000"/>
                </a:solidFill>
              </a:defRPr>
            </a:pPr>
            <a:r>
              <a:rPr lang="en-CA" sz="1100" b="1">
                <a:solidFill>
                  <a:sysClr val="windowText" lastClr="000000"/>
                </a:solidFill>
              </a:rPr>
              <a:t>Environment and Climate Change Canada = 195 days</a:t>
            </a:r>
          </a:p>
          <a:p>
            <a:pPr>
              <a:defRPr sz="1100" b="1">
                <a:solidFill>
                  <a:sysClr val="windowText" lastClr="000000"/>
                </a:solidFill>
              </a:defRPr>
            </a:pPr>
            <a:r>
              <a:rPr lang="en-CA" sz="1100" b="1">
                <a:solidFill>
                  <a:sysClr val="windowText" lastClr="000000"/>
                </a:solidFill>
              </a:rPr>
              <a:t> 2018-19</a:t>
            </a:r>
          </a:p>
        </c:rich>
      </c:tx>
      <c:layout>
        <c:manualLayout>
          <c:xMode val="edge"/>
          <c:yMode val="edge"/>
          <c:x val="0.22152939145675932"/>
          <c:y val="1.736383660228265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0517141542874157"/>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solidFill>
              <a:schemeClr val="accent1"/>
            </a:solidFill>
            <a:ln>
              <a:noFill/>
            </a:ln>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c:v>
                </c:pt>
                <c:pt idx="2">
                  <c:v>0</c:v>
                </c:pt>
                <c:pt idx="3">
                  <c:v>4</c:v>
                </c:pt>
                <c:pt idx="4">
                  <c:v>3</c:v>
                </c:pt>
                <c:pt idx="5">
                  <c:v>4</c:v>
                </c:pt>
                <c:pt idx="6">
                  <c:v>8</c:v>
                </c:pt>
                <c:pt idx="7">
                  <c:v>6</c:v>
                </c:pt>
                <c:pt idx="8">
                  <c:v>5</c:v>
                </c:pt>
                <c:pt idx="9">
                  <c:v>2</c:v>
                </c:pt>
                <c:pt idx="10">
                  <c:v>2</c:v>
                </c:pt>
                <c:pt idx="11">
                  <c:v>2</c:v>
                </c:pt>
                <c:pt idx="12">
                  <c:v>1</c:v>
                </c:pt>
                <c:pt idx="13">
                  <c:v>2</c:v>
                </c:pt>
                <c:pt idx="14">
                  <c:v>1</c:v>
                </c:pt>
                <c:pt idx="15">
                  <c:v>2</c:v>
                </c:pt>
                <c:pt idx="16">
                  <c:v>2</c:v>
                </c:pt>
                <c:pt idx="17">
                  <c:v>1</c:v>
                </c:pt>
                <c:pt idx="18">
                  <c:v>0</c:v>
                </c:pt>
                <c:pt idx="19">
                  <c:v>0</c:v>
                </c:pt>
                <c:pt idx="20">
                  <c:v>0</c:v>
                </c:pt>
                <c:pt idx="21">
                  <c:v>1</c:v>
                </c:pt>
                <c:pt idx="22">
                  <c:v>0</c:v>
                </c:pt>
                <c:pt idx="23">
                  <c:v>1</c:v>
                </c:pt>
                <c:pt idx="24">
                  <c:v>0</c:v>
                </c:pt>
                <c:pt idx="25">
                  <c:v>0</c:v>
                </c:pt>
                <c:pt idx="26">
                  <c:v>0</c:v>
                </c:pt>
                <c:pt idx="27">
                  <c:v>0</c:v>
                </c:pt>
                <c:pt idx="28">
                  <c:v>0</c:v>
                </c:pt>
                <c:pt idx="29">
                  <c:v>0</c:v>
                </c:pt>
                <c:pt idx="30">
                  <c:v>0</c:v>
                </c:pt>
                <c:pt idx="31">
                  <c:v>0</c:v>
                </c:pt>
                <c:pt idx="32">
                  <c:v>0</c:v>
                </c:pt>
                <c:pt idx="33">
                  <c:v>0</c:v>
                </c:pt>
                <c:pt idx="34">
                  <c:v>0</c:v>
                </c:pt>
              </c:numCache>
            </c:numRef>
          </c:val>
        </c:ser>
        <c:dLbls>
          <c:showLegendKey val="0"/>
          <c:showVal val="0"/>
          <c:showCatName val="0"/>
          <c:showSerName val="0"/>
          <c:showPercent val="0"/>
          <c:showBubbleSize val="0"/>
        </c:dLbls>
        <c:gapWidth val="150"/>
        <c:overlap val="100"/>
        <c:axId val="548310584"/>
        <c:axId val="548309408"/>
      </c:barChart>
      <c:catAx>
        <c:axId val="5483105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9408"/>
        <c:crosses val="autoZero"/>
        <c:auto val="1"/>
        <c:lblAlgn val="ctr"/>
        <c:lblOffset val="100"/>
        <c:noMultiLvlLbl val="0"/>
      </c:catAx>
      <c:valAx>
        <c:axId val="54830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CA">
                    <a:solidFill>
                      <a:sysClr val="windowText" lastClr="000000"/>
                    </a:solidFill>
                  </a:rPr>
                  <a:t>Frequency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10584"/>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1"/>
              <a:t>Population by language requirements as of March 31, 2019</a:t>
            </a:r>
            <a:br>
              <a:rPr lang="en-CA" sz="1200" b="1"/>
            </a:br>
            <a:r>
              <a:rPr lang="en-CA" sz="1200" b="1"/>
              <a:t>(N=7 291)</a:t>
            </a: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33967160638495508"/>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19561815336463223"/>
                  <c:y val="-0.1913436863949175"/>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Lst>
            </c:dLbl>
            <c:dLbl>
              <c:idx val="1"/>
              <c:layout>
                <c:manualLayout>
                  <c:x val="-0.14084507042253522"/>
                  <c:y val="0.2540061122123799"/>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2592</c:v>
                </c:pt>
                <c:pt idx="1">
                  <c:v>3294</c:v>
                </c:pt>
              </c:numCache>
            </c:numRef>
          </c:val>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1">
                <a:solidFill>
                  <a:sysClr val="windowText" lastClr="000000"/>
                </a:solidFill>
              </a:rPr>
              <a:t>Population by occupational group as of March 31,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3.2986678551973458E-2"/>
                  <c:y val="-0.120778210116731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901339573119398"/>
                  <c:y val="-0.1147706731211127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7.8616971227653154E-2"/>
                  <c:y val="2.961528641604624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6509433962264147"/>
                  <c:y val="0.12612477914968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0220125786163523"/>
                  <c:y val="0.137818560617665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999244787797751"/>
                      <c:h val="0.20186770428015563"/>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PC</c:v>
                </c:pt>
                <c:pt idx="1">
                  <c:v>AS</c:v>
                </c:pt>
                <c:pt idx="2">
                  <c:v>EG</c:v>
                </c:pt>
                <c:pt idx="3">
                  <c:v>EC</c:v>
                </c:pt>
                <c:pt idx="4">
                  <c:v>Other</c:v>
                </c:pt>
              </c:strCache>
            </c:strRef>
          </c:cat>
          <c:val>
            <c:numRef>
              <c:f>Sheet1!$B$2:$B$6</c:f>
              <c:numCache>
                <c:formatCode>General</c:formatCode>
                <c:ptCount val="5"/>
                <c:pt idx="0">
                  <c:v>1299</c:v>
                </c:pt>
                <c:pt idx="1">
                  <c:v>898</c:v>
                </c:pt>
                <c:pt idx="2">
                  <c:v>831</c:v>
                </c:pt>
                <c:pt idx="3">
                  <c:v>630</c:v>
                </c:pt>
                <c:pt idx="4">
                  <c:v>3221</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CA" sz="1200">
                <a:solidFill>
                  <a:sysClr val="windowText" lastClr="000000"/>
                </a:solidFill>
              </a:rPr>
              <a:t>Population by region as of March 31, 2019 (N=7 291)</a:t>
            </a: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0.16491132250087237"/>
                  <c:y val="-0.22297122115633913"/>
                </c:manualLayout>
              </c:layou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1395515300471834"/>
                  <c:y val="0.27850497816629544"/>
                </c:manualLayout>
              </c:layout>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3186</c:v>
                </c:pt>
                <c:pt idx="1">
                  <c:v>4103</c:v>
                </c:pt>
              </c:numCache>
            </c:numRef>
          </c:val>
        </c:ser>
        <c:dLbls>
          <c:showLegendKey val="0"/>
          <c:showVal val="0"/>
          <c:showCatName val="0"/>
          <c:showSerName val="0"/>
          <c:showPercent val="0"/>
          <c:showBubbleSize val="0"/>
          <c:showLeaderLines val="1"/>
        </c:dLbls>
        <c:firstSliceAng val="12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lgn="ctr">
              <a:defRPr sz="1200" b="1">
                <a:solidFill>
                  <a:sysClr val="windowText" lastClr="000000"/>
                </a:solidFill>
              </a:defRPr>
            </a:pPr>
            <a:r>
              <a:rPr lang="en-US" sz="1200" baseline="0">
                <a:solidFill>
                  <a:sysClr val="windowText" lastClr="000000"/>
                </a:solidFill>
              </a:rPr>
              <a:t>occupational</a:t>
            </a:r>
            <a:r>
              <a:rPr lang="en-US" sz="1200">
                <a:solidFill>
                  <a:sysClr val="windowText" lastClr="000000"/>
                </a:solidFill>
              </a:rPr>
              <a:t> group,</a:t>
            </a:r>
          </a:p>
          <a:p>
            <a:pPr algn="ctr">
              <a:defRPr sz="1200" b="1">
                <a:solidFill>
                  <a:sysClr val="windowText" lastClr="000000"/>
                </a:solidFill>
              </a:defRPr>
            </a:pPr>
            <a:r>
              <a:rPr lang="en-US" sz="1200">
                <a:solidFill>
                  <a:sysClr val="windowText" lastClr="000000"/>
                </a:solidFill>
              </a:rPr>
              <a:t> 2018-19 (N=400)</a:t>
            </a:r>
          </a:p>
        </c:rich>
      </c:tx>
      <c:layout>
        <c:manualLayout>
          <c:xMode val="edge"/>
          <c:yMode val="edge"/>
          <c:x val="0.12367962503724879"/>
          <c:y val="4.3524300841705131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917613248953249E-2"/>
          <c:y val="0.35823824692224659"/>
          <c:w val="0.8966533531134695"/>
          <c:h val="0.48715812098290862"/>
        </c:manualLayout>
      </c:layout>
      <c:doughnutChart>
        <c:varyColors val="1"/>
        <c:ser>
          <c:idx val="0"/>
          <c:order val="0"/>
          <c:tx>
            <c:strRef>
              <c:f>Sheet1!$B$1</c:f>
              <c:strCache>
                <c:ptCount val="1"/>
                <c:pt idx="0">
                  <c:v>Population by Language Requirements as of March 31, 2016</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Sheet1!$A$2:$A$6</c:f>
              <c:strCache>
                <c:ptCount val="5"/>
                <c:pt idx="0">
                  <c:v>PC</c:v>
                </c:pt>
                <c:pt idx="1">
                  <c:v>EC</c:v>
                </c:pt>
                <c:pt idx="2">
                  <c:v>AS</c:v>
                </c:pt>
                <c:pt idx="3">
                  <c:v>EG</c:v>
                </c:pt>
                <c:pt idx="4">
                  <c:v>Other</c:v>
                </c:pt>
              </c:strCache>
            </c:strRef>
          </c:cat>
          <c:val>
            <c:numRef>
              <c:f>Sheet1!$B$2:$B$6</c:f>
              <c:numCache>
                <c:formatCode>General</c:formatCode>
                <c:ptCount val="5"/>
                <c:pt idx="0">
                  <c:v>71</c:v>
                </c:pt>
                <c:pt idx="1">
                  <c:v>55</c:v>
                </c:pt>
                <c:pt idx="2">
                  <c:v>54</c:v>
                </c:pt>
                <c:pt idx="3">
                  <c:v>41</c:v>
                </c:pt>
                <c:pt idx="4">
                  <c:v>179</c:v>
                </c:pt>
              </c:numCache>
            </c:numRef>
          </c:val>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40652352688628929"/>
          <c:y val="3.33263903353468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0.43</c:v>
                </c:pt>
                <c:pt idx="1">
                  <c:v>0.43</c:v>
                </c:pt>
                <c:pt idx="2">
                  <c:v>0.53</c:v>
                </c:pt>
                <c:pt idx="3">
                  <c:v>0.53</c:v>
                </c:pt>
                <c:pt idx="4">
                  <c:v>0.54</c:v>
                </c:pt>
              </c:numCache>
            </c:numRef>
          </c:val>
        </c:ser>
        <c:ser>
          <c:idx val="1"/>
          <c:order val="1"/>
          <c:tx>
            <c:strRef>
              <c:f>Sheet1!$C$1</c:f>
              <c:strCache>
                <c:ptCount val="1"/>
                <c:pt idx="0">
                  <c:v>Outside the National Capital Region (Non-NCR)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086474501108648E-2"/>
                  <c:y val="1.17602013059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0.56999999999999995</c:v>
                </c:pt>
                <c:pt idx="1">
                  <c:v>0.56999999999999995</c:v>
                </c:pt>
                <c:pt idx="2">
                  <c:v>0.47</c:v>
                </c:pt>
                <c:pt idx="3">
                  <c:v>0.47</c:v>
                </c:pt>
                <c:pt idx="4">
                  <c:v>0.46</c:v>
                </c:pt>
              </c:numCache>
            </c:numRef>
          </c:val>
        </c:ser>
        <c:dLbls>
          <c:showLegendKey val="0"/>
          <c:showVal val="0"/>
          <c:showCatName val="0"/>
          <c:showSerName val="0"/>
          <c:showPercent val="0"/>
          <c:showBubbleSize val="0"/>
        </c:dLbls>
        <c:gapWidth val="150"/>
        <c:axId val="548304520"/>
        <c:axId val="548305304"/>
      </c:barChart>
      <c:catAx>
        <c:axId val="548304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5304"/>
        <c:crosses val="autoZero"/>
        <c:auto val="1"/>
        <c:lblAlgn val="ctr"/>
        <c:lblOffset val="100"/>
        <c:noMultiLvlLbl val="0"/>
      </c:catAx>
      <c:valAx>
        <c:axId val="54830530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4520"/>
        <c:crosses val="autoZero"/>
        <c:crossBetween val="between"/>
      </c:valAx>
      <c:spPr>
        <a:noFill/>
        <a:ln>
          <a:noFill/>
        </a:ln>
        <a:effectLst/>
      </c:spPr>
    </c:plotArea>
    <c:legend>
      <c:legendPos val="b"/>
      <c:layout>
        <c:manualLayout>
          <c:xMode val="edge"/>
          <c:yMode val="edge"/>
          <c:x val="0.15808585179624168"/>
          <c:y val="0.7746207952797225"/>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6155444313137086"/>
          <c:y val="0"/>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8611111111110956E-3"/>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990266841644795E-2"/>
                  <c:y val="1.04950148679376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804407261592427E-2"/>
                  <c:y val="1.791342025923513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324</c:v>
                </c:pt>
                <c:pt idx="1">
                  <c:v>293</c:v>
                </c:pt>
                <c:pt idx="2">
                  <c:v>318</c:v>
                </c:pt>
                <c:pt idx="3">
                  <c:v>543</c:v>
                </c:pt>
                <c:pt idx="4">
                  <c:v>739</c:v>
                </c:pt>
              </c:numCache>
            </c:numRef>
          </c:val>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60613E-5"/>
                  <c:y val="1.34942201666806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541776027996502E-3"/>
                  <c:y val="2.099002973587544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614</c:v>
                </c:pt>
                <c:pt idx="1">
                  <c:v>441</c:v>
                </c:pt>
                <c:pt idx="2">
                  <c:v>554</c:v>
                </c:pt>
                <c:pt idx="3">
                  <c:v>789</c:v>
                </c:pt>
                <c:pt idx="4">
                  <c:v>975</c:v>
                </c:pt>
              </c:numCache>
            </c:numRef>
          </c:val>
        </c:ser>
        <c:dLbls>
          <c:showLegendKey val="0"/>
          <c:showVal val="0"/>
          <c:showCatName val="0"/>
          <c:showSerName val="0"/>
          <c:showPercent val="0"/>
          <c:showBubbleSize val="0"/>
        </c:dLbls>
        <c:gapWidth val="150"/>
        <c:axId val="548304912"/>
        <c:axId val="548306088"/>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3471128608926E-2"/>
                  <c:y val="1.23067133662691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946522309711285E-2"/>
                  <c:y val="-3.44368708328111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8052274715660605E-2"/>
                  <c:y val="-3.23331850441906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1231681977252848E-2"/>
                  <c:y val="-3.118809903878334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1078302712160974E-2"/>
                  <c:y val="-1.947527680257389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0.35</c:v>
                </c:pt>
                <c:pt idx="1">
                  <c:v>0.4</c:v>
                </c:pt>
                <c:pt idx="2">
                  <c:v>0.36</c:v>
                </c:pt>
                <c:pt idx="3">
                  <c:v>0.41</c:v>
                </c:pt>
                <c:pt idx="4">
                  <c:v>0.43</c:v>
                </c:pt>
              </c:numCache>
            </c:numRef>
          </c:val>
          <c:smooth val="0"/>
        </c:ser>
        <c:dLbls>
          <c:showLegendKey val="0"/>
          <c:showVal val="0"/>
          <c:showCatName val="0"/>
          <c:showSerName val="0"/>
          <c:showPercent val="0"/>
          <c:showBubbleSize val="0"/>
        </c:dLbls>
        <c:marker val="1"/>
        <c:smooth val="0"/>
        <c:axId val="548306480"/>
        <c:axId val="548303736"/>
      </c:lineChart>
      <c:catAx>
        <c:axId val="548304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6088"/>
        <c:crosses val="autoZero"/>
        <c:auto val="1"/>
        <c:lblAlgn val="ctr"/>
        <c:lblOffset val="100"/>
        <c:noMultiLvlLbl val="0"/>
      </c:catAx>
      <c:valAx>
        <c:axId val="54830608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4912"/>
        <c:crosses val="autoZero"/>
        <c:crossBetween val="between"/>
      </c:valAx>
      <c:valAx>
        <c:axId val="54830373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6480"/>
        <c:crosses val="max"/>
        <c:crossBetween val="between"/>
        <c:majorUnit val="0.1"/>
      </c:valAx>
      <c:catAx>
        <c:axId val="548306480"/>
        <c:scaling>
          <c:orientation val="minMax"/>
        </c:scaling>
        <c:delete val="1"/>
        <c:axPos val="b"/>
        <c:numFmt formatCode="General" sourceLinked="1"/>
        <c:majorTickMark val="out"/>
        <c:minorTickMark val="none"/>
        <c:tickLblPos val="nextTo"/>
        <c:crossAx val="548303736"/>
        <c:crosses val="autoZero"/>
        <c:auto val="1"/>
        <c:lblAlgn val="ctr"/>
        <c:lblOffset val="100"/>
        <c:noMultiLvlLbl val="0"/>
      </c:catAx>
      <c:spPr>
        <a:noFill/>
        <a:ln>
          <a:noFill/>
        </a:ln>
        <a:effectLst/>
      </c:spPr>
    </c:plotArea>
    <c:legend>
      <c:legendPos val="b"/>
      <c:layout>
        <c:manualLayout>
          <c:xMode val="edge"/>
          <c:yMode val="edge"/>
          <c:x val="1.3961589296718769E-2"/>
          <c:y val="0.7370887597333429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layout>
        <c:manualLayout>
          <c:xMode val="edge"/>
          <c:yMode val="edge"/>
          <c:x val="0.31752103499710094"/>
          <c:y val="2.499479275151010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405074365704287E-2"/>
                  <c:y val="1.35801332525741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4356E-3"/>
                  <c:y val="1.97827579244901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(N=3 203)</c:v>
                </c:pt>
                <c:pt idx="1">
                  <c:v>2015-16
(N=2 734)</c:v>
                </c:pt>
                <c:pt idx="2">
                  <c:v>2016-17 
(N=3 196)</c:v>
                </c:pt>
                <c:pt idx="3">
                  <c:v>2017-18
(N=3 755)</c:v>
                </c:pt>
                <c:pt idx="4">
                  <c:v>2018-19
(N=4 494)</c:v>
                </c:pt>
              </c:strCache>
            </c:strRef>
          </c:cat>
          <c:val>
            <c:numRef>
              <c:f>Sheet1!$B$3:$B$7</c:f>
              <c:numCache>
                <c:formatCode>#\ ###</c:formatCode>
                <c:ptCount val="5"/>
                <c:pt idx="0">
                  <c:v>463</c:v>
                </c:pt>
                <c:pt idx="1">
                  <c:v>471</c:v>
                </c:pt>
                <c:pt idx="2">
                  <c:v>603</c:v>
                </c:pt>
                <c:pt idx="3">
                  <c:v>786</c:v>
                </c:pt>
                <c:pt idx="4">
                  <c:v>951</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809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1.99652735715727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(N=3 203)</c:v>
                </c:pt>
                <c:pt idx="1">
                  <c:v>2015-16
(N=2 734)</c:v>
                </c:pt>
                <c:pt idx="2">
                  <c:v>2016-17 
(N=3 196)</c:v>
                </c:pt>
                <c:pt idx="3">
                  <c:v>2017-18
(N=3 755)</c:v>
                </c:pt>
                <c:pt idx="4">
                  <c:v>2018-19
(N=4 494)</c:v>
                </c:pt>
              </c:strCache>
            </c:strRef>
          </c:cat>
          <c:val>
            <c:numRef>
              <c:f>Sheet1!$C$3:$C$7</c:f>
              <c:numCache>
                <c:formatCode>#\ ###</c:formatCode>
                <c:ptCount val="5"/>
                <c:pt idx="0">
                  <c:v>464</c:v>
                </c:pt>
                <c:pt idx="1">
                  <c:v>408</c:v>
                </c:pt>
                <c:pt idx="2">
                  <c:v>576</c:v>
                </c:pt>
                <c:pt idx="3">
                  <c:v>662</c:v>
                </c:pt>
                <c:pt idx="4">
                  <c:v>741</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(N=3 203)</c:v>
                </c:pt>
                <c:pt idx="1">
                  <c:v>2015-16
(N=2 734)</c:v>
                </c:pt>
                <c:pt idx="2">
                  <c:v>2016-17 
(N=3 196)</c:v>
                </c:pt>
                <c:pt idx="3">
                  <c:v>2017-18
(N=3 755)</c:v>
                </c:pt>
                <c:pt idx="4">
                  <c:v>2018-19
(N=4 494)</c:v>
                </c:pt>
              </c:strCache>
            </c:strRef>
          </c:cat>
          <c:val>
            <c:numRef>
              <c:f>Sheet1!$D$3:$D$7</c:f>
              <c:numCache>
                <c:formatCode>#\ ###</c:formatCode>
                <c:ptCount val="5"/>
                <c:pt idx="0">
                  <c:v>1848</c:v>
                </c:pt>
                <c:pt idx="1">
                  <c:v>1534</c:v>
                </c:pt>
                <c:pt idx="2">
                  <c:v>1850</c:v>
                </c:pt>
                <c:pt idx="3">
                  <c:v>2021</c:v>
                </c:pt>
                <c:pt idx="4">
                  <c:v>2484</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54976781748435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44952150211992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161854768153879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(N=3 203)</c:v>
                </c:pt>
                <c:pt idx="1">
                  <c:v>2015-16
(N=2 734)</c:v>
                </c:pt>
                <c:pt idx="2">
                  <c:v>2016-17 
(N=3 196)</c:v>
                </c:pt>
                <c:pt idx="3">
                  <c:v>2017-18
(N=3 755)</c:v>
                </c:pt>
                <c:pt idx="4">
                  <c:v>2018-19
(N=4 494)</c:v>
                </c:pt>
              </c:strCache>
            </c:strRef>
          </c:cat>
          <c:val>
            <c:numRef>
              <c:f>Sheet1!$E$3:$E$7</c:f>
              <c:numCache>
                <c:formatCode>#\ ###</c:formatCode>
                <c:ptCount val="5"/>
                <c:pt idx="0">
                  <c:v>428</c:v>
                </c:pt>
                <c:pt idx="1">
                  <c:v>321</c:v>
                </c:pt>
                <c:pt idx="2">
                  <c:v>167</c:v>
                </c:pt>
                <c:pt idx="3">
                  <c:v>286</c:v>
                </c:pt>
                <c:pt idx="4">
                  <c:v>318</c:v>
                </c:pt>
              </c:numCache>
            </c:numRef>
          </c:val>
        </c:ser>
        <c:dLbls>
          <c:showLegendKey val="0"/>
          <c:showVal val="0"/>
          <c:showCatName val="0"/>
          <c:showSerName val="0"/>
          <c:showPercent val="0"/>
          <c:showBubbleSize val="0"/>
        </c:dLbls>
        <c:gapWidth val="150"/>
        <c:shape val="box"/>
        <c:axId val="548304128"/>
        <c:axId val="514354168"/>
        <c:axId val="0"/>
      </c:bar3DChart>
      <c:catAx>
        <c:axId val="548304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4168"/>
        <c:crosses val="autoZero"/>
        <c:auto val="0"/>
        <c:lblAlgn val="ctr"/>
        <c:lblOffset val="100"/>
        <c:noMultiLvlLbl val="0"/>
      </c:catAx>
      <c:valAx>
        <c:axId val="51435416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830412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(N=3 203)</c:v>
                </c:pt>
                <c:pt idx="1">
                  <c:v>2015-16
 (N=2 734)</c:v>
                </c:pt>
                <c:pt idx="2">
                  <c:v>2016-17
 (N=3 196)</c:v>
                </c:pt>
                <c:pt idx="3">
                  <c:v>2017-18
 (N=3 755)</c:v>
                </c:pt>
                <c:pt idx="4">
                  <c:v>2018-19
 (N=4 494)</c:v>
                </c:pt>
              </c:strCache>
            </c:strRef>
          </c:cat>
          <c:val>
            <c:numRef>
              <c:f>Sheet1!$B$2:$B$6</c:f>
              <c:numCache>
                <c:formatCode>#\ ###</c:formatCode>
                <c:ptCount val="5"/>
                <c:pt idx="0">
                  <c:v>1465</c:v>
                </c:pt>
                <c:pt idx="1">
                  <c:v>1245</c:v>
                </c:pt>
                <c:pt idx="2">
                  <c:v>1456</c:v>
                </c:pt>
                <c:pt idx="3">
                  <c:v>1923</c:v>
                </c:pt>
                <c:pt idx="4">
                  <c:v>2359</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(N=3 203)</c:v>
                </c:pt>
                <c:pt idx="1">
                  <c:v>2015-16
 (N=2 734)</c:v>
                </c:pt>
                <c:pt idx="2">
                  <c:v>2016-17
 (N=3 196)</c:v>
                </c:pt>
                <c:pt idx="3">
                  <c:v>2017-18
 (N=3 755)</c:v>
                </c:pt>
                <c:pt idx="4">
                  <c:v>2018-19
 (N=4 494)</c:v>
                </c:pt>
              </c:strCache>
            </c:strRef>
          </c:cat>
          <c:val>
            <c:numRef>
              <c:f>Sheet1!$C$2:$C$6</c:f>
              <c:numCache>
                <c:formatCode>#\ ###</c:formatCode>
                <c:ptCount val="5"/>
                <c:pt idx="0">
                  <c:v>224</c:v>
                </c:pt>
                <c:pt idx="1">
                  <c:v>226</c:v>
                </c:pt>
                <c:pt idx="2">
                  <c:v>270</c:v>
                </c:pt>
                <c:pt idx="3">
                  <c:v>290</c:v>
                </c:pt>
                <c:pt idx="4">
                  <c:v>352</c:v>
                </c:pt>
              </c:numCache>
            </c:numRef>
          </c:val>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282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2309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(N=3 203)</c:v>
                </c:pt>
                <c:pt idx="1">
                  <c:v>2015-16
 (N=2 734)</c:v>
                </c:pt>
                <c:pt idx="2">
                  <c:v>2016-17
 (N=3 196)</c:v>
                </c:pt>
                <c:pt idx="3">
                  <c:v>2017-18
 (N=3 755)</c:v>
                </c:pt>
                <c:pt idx="4">
                  <c:v>2018-19
 (N=4 494)</c:v>
                </c:pt>
              </c:strCache>
            </c:strRef>
          </c:cat>
          <c:val>
            <c:numRef>
              <c:f>Sheet1!$D$2:$D$6</c:f>
              <c:numCache>
                <c:formatCode>#\ ###</c:formatCode>
                <c:ptCount val="5"/>
                <c:pt idx="0">
                  <c:v>538</c:v>
                </c:pt>
                <c:pt idx="1">
                  <c:v>490</c:v>
                </c:pt>
                <c:pt idx="2">
                  <c:v>574</c:v>
                </c:pt>
                <c:pt idx="3">
                  <c:v>734</c:v>
                </c:pt>
                <c:pt idx="4">
                  <c:v>885</c:v>
                </c:pt>
              </c:numCache>
            </c:numRef>
          </c:val>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(N=3 203)</c:v>
                </c:pt>
                <c:pt idx="1">
                  <c:v>2015-16
 (N=2 734)</c:v>
                </c:pt>
                <c:pt idx="2">
                  <c:v>2016-17
 (N=3 196)</c:v>
                </c:pt>
                <c:pt idx="3">
                  <c:v>2017-18
 (N=3 755)</c:v>
                </c:pt>
                <c:pt idx="4">
                  <c:v>2018-19
 (N=4 494)</c:v>
                </c:pt>
              </c:strCache>
            </c:strRef>
          </c:cat>
          <c:val>
            <c:numRef>
              <c:f>Sheet1!$E$2:$E$6</c:f>
              <c:numCache>
                <c:formatCode>#\ ###</c:formatCode>
                <c:ptCount val="5"/>
                <c:pt idx="0">
                  <c:v>976</c:v>
                </c:pt>
                <c:pt idx="1">
                  <c:v>773</c:v>
                </c:pt>
                <c:pt idx="2">
                  <c:v>896</c:v>
                </c:pt>
                <c:pt idx="3">
                  <c:v>808</c:v>
                </c:pt>
                <c:pt idx="4">
                  <c:v>898</c:v>
                </c:pt>
              </c:numCache>
            </c:numRef>
          </c:val>
        </c:ser>
        <c:dLbls>
          <c:showLegendKey val="0"/>
          <c:showVal val="1"/>
          <c:showCatName val="0"/>
          <c:showSerName val="0"/>
          <c:showPercent val="0"/>
          <c:showBubbleSize val="0"/>
        </c:dLbls>
        <c:gapWidth val="150"/>
        <c:shape val="box"/>
        <c:axId val="514352208"/>
        <c:axId val="514354560"/>
        <c:axId val="0"/>
      </c:bar3DChart>
      <c:catAx>
        <c:axId val="514352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4560"/>
        <c:crosses val="autoZero"/>
        <c:auto val="1"/>
        <c:lblAlgn val="ctr"/>
        <c:lblOffset val="100"/>
        <c:noMultiLvlLbl val="0"/>
      </c:catAx>
      <c:valAx>
        <c:axId val="51435456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352208"/>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1 405</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2</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0.02811</cdr:x>
      <cdr:y>0.81861</cdr:y>
    </cdr:from>
    <cdr:to>
      <cdr:x>0.99477</cdr:x>
      <cdr:y>1</cdr:y>
    </cdr:to>
    <cdr:sp macro="" textlink="">
      <cdr:nvSpPr>
        <cdr:cNvPr id="2" name="Text Box 1"/>
        <cdr:cNvSpPr txBox="1"/>
      </cdr:nvSpPr>
      <cdr:spPr>
        <a:xfrm xmlns:a="http://schemas.openxmlformats.org/drawingml/2006/main">
          <a:off x="102407" y="2155683"/>
          <a:ext cx="3521538" cy="477662"/>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endParaRPr lang="en-CA" sz="600"/>
        </a:p>
        <a:p xmlns:a="http://schemas.openxmlformats.org/drawingml/2006/main">
          <a:pPr>
            <a:lnSpc>
              <a:spcPts val="900"/>
            </a:lnSpc>
          </a:pPr>
          <a:r>
            <a:rPr lang="en-CA" sz="700" baseline="0"/>
            <a:t>- Includes indeterminate and specified term appointments</a:t>
          </a:r>
        </a:p>
        <a:p xmlns:a="http://schemas.openxmlformats.org/drawingml/2006/main">
          <a:pPr>
            <a:lnSpc>
              <a:spcPts val="900"/>
            </a:lnSpc>
          </a:pPr>
          <a:r>
            <a:rPr lang="en-CA" sz="700" baseline="0"/>
            <a:t>-Excludes lateral and downward movements, deployments and acting appointments  of less than 4 months</a:t>
          </a:r>
        </a:p>
        <a:p xmlns:a="http://schemas.openxmlformats.org/drawingml/2006/main">
          <a:pPr>
            <a:lnSpc>
              <a:spcPts val="900"/>
            </a:lnSpc>
          </a:pPr>
          <a:r>
            <a:rPr lang="en-CA" sz="600" baseline="0"/>
            <a:t>- Includes only appointments where the staffing process type is known </a:t>
          </a:r>
          <a:r>
            <a:rPr lang="en-CA" sz="600" baseline="0">
              <a:solidFill>
                <a:sysClr val="windowText" lastClr="000000"/>
              </a:solidFill>
            </a:rPr>
            <a:t>(69% to 87</a:t>
          </a:r>
          <a:r>
            <a:rPr lang="en-CA" sz="600" baseline="0"/>
            <a:t>% of appointments)</a:t>
          </a:r>
        </a:p>
        <a:p xmlns:a="http://schemas.openxmlformats.org/drawingml/2006/main">
          <a:pPr>
            <a:lnSpc>
              <a:spcPts val="900"/>
            </a:lnSpc>
          </a:pPr>
          <a:endParaRPr lang="en-CA" sz="60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0.28791</cdr:x>
      <cdr:y>0.1927</cdr:y>
    </cdr:from>
    <cdr:to>
      <cdr:x>0.2893</cdr:x>
      <cdr:y>0.74272</cdr:y>
    </cdr:to>
    <cdr:cxnSp macro="">
      <cdr:nvCxnSpPr>
        <cdr:cNvPr id="5" name="Straight Connector 4" descr="Median line fof the specified organization's internal time to staff graphic"/>
        <cdr:cNvCxnSpPr/>
      </cdr:nvCxnSpPr>
      <cdr:spPr>
        <a:xfrm xmlns:a="http://schemas.openxmlformats.org/drawingml/2006/main" flipV="1">
          <a:off x="1266969" y="534113"/>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0.19711</cdr:y>
    </cdr:from>
    <cdr:to>
      <cdr:x>0.28832</cdr:x>
      <cdr:y>0.74713</cdr:y>
    </cdr:to>
    <cdr:cxnSp macro="">
      <cdr:nvCxnSpPr>
        <cdr:cNvPr id="5" name="Straight Connector 4" descr="Median line fof the specified organization's internal time to staff graphic"/>
        <cdr:cNvCxnSpPr/>
      </cdr:nvCxnSpPr>
      <cdr:spPr>
        <a:xfrm xmlns:a="http://schemas.openxmlformats.org/drawingml/2006/main" flipV="1">
          <a:off x="1262650" y="546352"/>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AB9B4EB7F947EBA425EC36B981C23E"/>
        <w:category>
          <w:name w:val="General"/>
          <w:gallery w:val="placeholder"/>
        </w:category>
        <w:types>
          <w:type w:val="bbPlcHdr"/>
        </w:types>
        <w:behaviors>
          <w:behavior w:val="content"/>
        </w:behaviors>
        <w:guid w:val="{E63D5FE3-8A09-439C-B1F8-4536C344582F}"/>
      </w:docPartPr>
      <w:docPartBody>
        <w:p w:rsidR="00E210DA" w:rsidRDefault="00E210DA" w:rsidP="00E210DA">
          <w:pPr>
            <w:pStyle w:val="1FAB9B4EB7F947EBA425EC36B981C23E"/>
          </w:pPr>
          <w:r w:rsidRPr="00F61880">
            <w:rPr>
              <w:rFonts w:ascii="Arial" w:eastAsia="Arial" w:hAnsi="Arial" w:cs="Arial"/>
              <w:color w:val="A6A6A6" w:themeColor="background1" w:themeShade="A6"/>
              <w:kern w:val="2"/>
              <w:lang w:val="en-US" w:eastAsia="ja-JP"/>
              <w14:ligatures w14:val="standard"/>
            </w:rPr>
            <w:t>[Organization]</w:t>
          </w:r>
        </w:p>
      </w:docPartBody>
    </w:docPart>
    <w:docPart>
      <w:docPartPr>
        <w:name w:val="6E26D78F8A2049A98E3180C8D650A410"/>
        <w:category>
          <w:name w:val="General"/>
          <w:gallery w:val="placeholder"/>
        </w:category>
        <w:types>
          <w:type w:val="bbPlcHdr"/>
        </w:types>
        <w:behaviors>
          <w:behavior w:val="content"/>
        </w:behaviors>
        <w:guid w:val="{9FA11B9B-E312-48E0-B4A7-83DBB317648C}"/>
      </w:docPartPr>
      <w:docPartBody>
        <w:p w:rsidR="00E210DA" w:rsidRDefault="00E210DA" w:rsidP="00E210DA">
          <w:pPr>
            <w:pStyle w:val="6E26D78F8A2049A98E3180C8D650A410"/>
          </w:pPr>
          <w:r w:rsidRPr="00F61880">
            <w:rPr>
              <w:rFonts w:ascii="Arial" w:eastAsia="Arial" w:hAnsi="Arial" w:cs="Arial"/>
              <w:color w:val="A6A6A6" w:themeColor="background1" w:themeShade="A6"/>
              <w:kern w:val="2"/>
              <w:lang w:val="en-US" w:eastAsia="ja-JP"/>
              <w14:ligatures w14:val="standard"/>
            </w:rPr>
            <w:t>[number]</w:t>
          </w:r>
        </w:p>
      </w:docPartBody>
    </w:docPart>
    <w:docPart>
      <w:docPartPr>
        <w:name w:val="4AEB44333D4D41ECAC1F8385C932992C"/>
        <w:category>
          <w:name w:val="General"/>
          <w:gallery w:val="placeholder"/>
        </w:category>
        <w:types>
          <w:type w:val="bbPlcHdr"/>
        </w:types>
        <w:behaviors>
          <w:behavior w:val="content"/>
        </w:behaviors>
        <w:guid w:val="{78A26662-E4D4-48AD-8226-5A0128428C69}"/>
      </w:docPartPr>
      <w:docPartBody>
        <w:p w:rsidR="00E210DA" w:rsidRDefault="00E210DA" w:rsidP="00E210DA">
          <w:pPr>
            <w:pStyle w:val="4AEB44333D4D41ECAC1F8385C932992C"/>
          </w:pPr>
          <w:r w:rsidRPr="00F61880">
            <w:rPr>
              <w:rFonts w:ascii="Arial" w:eastAsia="Arial" w:hAnsi="Arial" w:cs="Arial"/>
              <w:color w:val="A6A6A6" w:themeColor="background1" w:themeShade="A6"/>
              <w:kern w:val="2"/>
              <w:lang w:val="en-US" w:eastAsia="ja-JP"/>
              <w14:ligatures w14:val="standard"/>
            </w:rPr>
            <w:t>[number]</w:t>
          </w:r>
        </w:p>
      </w:docPartBody>
    </w:docPart>
    <w:docPart>
      <w:docPartPr>
        <w:name w:val="D9D02113BEFC465DA1397D8AE059B940"/>
        <w:category>
          <w:name w:val="General"/>
          <w:gallery w:val="placeholder"/>
        </w:category>
        <w:types>
          <w:type w:val="bbPlcHdr"/>
        </w:types>
        <w:behaviors>
          <w:behavior w:val="content"/>
        </w:behaviors>
        <w:guid w:val="{DB385A3D-9132-4FDB-89EF-39C393E9D9F1}"/>
      </w:docPartPr>
      <w:docPartBody>
        <w:p w:rsidR="00E210DA" w:rsidRDefault="00E210DA" w:rsidP="00E210DA">
          <w:pPr>
            <w:pStyle w:val="D9D02113BEFC465DA1397D8AE059B940"/>
          </w:pPr>
          <w:r w:rsidRPr="00F61880">
            <w:rPr>
              <w:rFonts w:ascii="Arial" w:eastAsia="Arial" w:hAnsi="Arial" w:cs="Arial"/>
              <w:color w:val="A6A6A6" w:themeColor="background1" w:themeShade="A6"/>
              <w:kern w:val="2"/>
              <w:lang w:val="en-US" w:eastAsia="ja-JP"/>
              <w14:ligatures w14:val="standard"/>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DA"/>
    <w:rsid w:val="00064E08"/>
    <w:rsid w:val="000C4242"/>
    <w:rsid w:val="00113C80"/>
    <w:rsid w:val="001C29E1"/>
    <w:rsid w:val="00226832"/>
    <w:rsid w:val="00412DAF"/>
    <w:rsid w:val="00581F08"/>
    <w:rsid w:val="005C4683"/>
    <w:rsid w:val="00706ECB"/>
    <w:rsid w:val="00751CFB"/>
    <w:rsid w:val="008B0357"/>
    <w:rsid w:val="009221F2"/>
    <w:rsid w:val="009F4B28"/>
    <w:rsid w:val="00BD7AA0"/>
    <w:rsid w:val="00C96C7E"/>
    <w:rsid w:val="00D82F85"/>
    <w:rsid w:val="00E2011A"/>
    <w:rsid w:val="00E210DA"/>
    <w:rsid w:val="00E439D3"/>
    <w:rsid w:val="00E43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AB9B4EB7F947EBA425EC36B981C23E">
    <w:name w:val="1FAB9B4EB7F947EBA425EC36B981C23E"/>
    <w:rsid w:val="00E210DA"/>
  </w:style>
  <w:style w:type="paragraph" w:customStyle="1" w:styleId="6E26D78F8A2049A98E3180C8D650A410">
    <w:name w:val="6E26D78F8A2049A98E3180C8D650A410"/>
    <w:rsid w:val="00E210DA"/>
  </w:style>
  <w:style w:type="paragraph" w:customStyle="1" w:styleId="4AEB44333D4D41ECAC1F8385C932992C">
    <w:name w:val="4AEB44333D4D41ECAC1F8385C932992C"/>
    <w:rsid w:val="00E210DA"/>
  </w:style>
  <w:style w:type="paragraph" w:customStyle="1" w:styleId="D9D02113BEFC465DA1397D8AE059B940">
    <w:name w:val="D9D02113BEFC465DA1397D8AE059B940"/>
    <w:rsid w:val="00E21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8B2E-188A-4AD5-8FAB-3BD4B4CF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1560</TotalTime>
  <Pages>30</Pages>
  <Words>5053</Words>
  <Characters>28803</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33789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Olga Paraskis</cp:lastModifiedBy>
  <cp:revision>251</cp:revision>
  <dcterms:created xsi:type="dcterms:W3CDTF">2020-02-11T18:18:00Z</dcterms:created>
  <dcterms:modified xsi:type="dcterms:W3CDTF">2021-01-28T15:49:00Z</dcterms:modified>
</cp:coreProperties>
</file>