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drawings/drawing5.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drawings/drawing6.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drawings/drawing7.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drawings/drawing8.xml" ContentType="application/vnd.openxmlformats-officedocument.drawingml.chartshapes+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5700" w14:textId="77777777" w:rsidR="002944FE" w:rsidRPr="000F056F" w:rsidRDefault="002944FE" w:rsidP="005E30C0">
      <w:pPr>
        <w:pStyle w:val="Title"/>
        <w:rPr>
          <w:rFonts w:ascii="Segoe UI Light" w:hAnsi="Segoe UI Light" w:cs="Segoe UI Light"/>
          <w:sz w:val="52"/>
          <w:szCs w:val="52"/>
        </w:rPr>
      </w:pPr>
      <w:r w:rsidRPr="000F056F">
        <w:rPr>
          <w:rFonts w:ascii="Segoe UI Light" w:hAnsi="Segoe UI Light" w:cs="Segoe UI Light"/>
          <w:sz w:val="52"/>
          <w:szCs w:val="52"/>
        </w:rPr>
        <w:t xml:space="preserve">Meeting between Patrick Borbey, PSC President, and Doug </w:t>
      </w:r>
      <w:proofErr w:type="spellStart"/>
      <w:r w:rsidRPr="000F056F">
        <w:rPr>
          <w:rFonts w:ascii="Segoe UI Light" w:hAnsi="Segoe UI Light" w:cs="Segoe UI Light"/>
          <w:sz w:val="52"/>
          <w:szCs w:val="52"/>
        </w:rPr>
        <w:t>Chorney</w:t>
      </w:r>
      <w:proofErr w:type="spellEnd"/>
      <w:r w:rsidRPr="000F056F">
        <w:rPr>
          <w:rFonts w:ascii="Segoe UI Light" w:hAnsi="Segoe UI Light" w:cs="Segoe UI Light"/>
          <w:sz w:val="52"/>
          <w:szCs w:val="52"/>
        </w:rPr>
        <w:t>, Chief Commissioner, Canadian Grain Commission</w:t>
      </w:r>
    </w:p>
    <w:p w14:paraId="62326866" w14:textId="77777777" w:rsidR="002944FE" w:rsidRPr="000F056F" w:rsidRDefault="002944FE" w:rsidP="00277A38">
      <w:pPr>
        <w:spacing w:after="240"/>
        <w:jc w:val="center"/>
        <w:rPr>
          <w:rFonts w:ascii="Segoe UI Light" w:hAnsi="Segoe UI Light" w:cs="Segoe UI Light"/>
          <w:sz w:val="52"/>
          <w:szCs w:val="52"/>
          <w:lang w:val="en-CA"/>
        </w:rPr>
      </w:pPr>
      <w:r w:rsidRPr="000F056F">
        <w:rPr>
          <w:rFonts w:ascii="Segoe UI Light" w:hAnsi="Segoe UI Light" w:cs="Segoe UI Light"/>
          <w:sz w:val="52"/>
          <w:szCs w:val="52"/>
          <w:lang w:val="en-CA"/>
        </w:rPr>
        <w:t>*Information valid as of February 2021</w:t>
      </w:r>
    </w:p>
    <w:p w14:paraId="0D755AD6" w14:textId="77777777" w:rsidR="002944FE" w:rsidRPr="000F056F" w:rsidRDefault="002944FE" w:rsidP="00277A38">
      <w:pPr>
        <w:pStyle w:val="Heading1"/>
        <w:spacing w:after="120"/>
        <w:rPr>
          <w:rFonts w:cstheme="majorHAnsi"/>
          <w:lang w:val="en-CA"/>
        </w:rPr>
      </w:pPr>
      <w:r w:rsidRPr="000F056F">
        <w:rPr>
          <w:rFonts w:cstheme="majorHAnsi"/>
          <w:lang w:val="en-CA"/>
        </w:rPr>
        <w:t>Introduction</w:t>
      </w:r>
    </w:p>
    <w:p w14:paraId="7A9C8BF8" w14:textId="77777777" w:rsidR="002944FE" w:rsidRPr="000F056F" w:rsidRDefault="002944FE" w:rsidP="00277A38">
      <w:pPr>
        <w:pStyle w:val="Heading2"/>
        <w:spacing w:after="120"/>
        <w:rPr>
          <w:lang w:val="en-CA"/>
        </w:rPr>
      </w:pPr>
      <w:r w:rsidRPr="000F056F">
        <w:rPr>
          <w:lang w:val="en-CA"/>
        </w:rPr>
        <w:t>Deputy Head</w:t>
      </w:r>
    </w:p>
    <w:p w14:paraId="79ED8799" w14:textId="77777777" w:rsidR="002944FE" w:rsidRPr="000F056F" w:rsidRDefault="002944FE" w:rsidP="00277A38">
      <w:pPr>
        <w:pStyle w:val="NoSpacing"/>
        <w:spacing w:after="120"/>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 xml:space="preserve">Initially appointed as the Interim Chief Commissioner in June 2020, Doug </w:t>
      </w:r>
      <w:proofErr w:type="spellStart"/>
      <w:r w:rsidRPr="000F056F">
        <w:rPr>
          <w:rFonts w:asciiTheme="minorHAnsi" w:hAnsiTheme="minorHAnsi" w:cstheme="minorHAnsi"/>
          <w:sz w:val="22"/>
          <w:szCs w:val="22"/>
          <w:lang w:val="en-CA" w:eastAsia="en-CA"/>
        </w:rPr>
        <w:t>Chorney</w:t>
      </w:r>
      <w:proofErr w:type="spellEnd"/>
      <w:r w:rsidRPr="000F056F">
        <w:rPr>
          <w:rFonts w:asciiTheme="minorHAnsi" w:hAnsiTheme="minorHAnsi" w:cstheme="minorHAnsi"/>
          <w:sz w:val="22"/>
          <w:szCs w:val="22"/>
          <w:lang w:val="en-CA" w:eastAsia="en-CA"/>
        </w:rPr>
        <w:t xml:space="preserve"> </w:t>
      </w:r>
      <w:r w:rsidRPr="000F056F">
        <w:rPr>
          <w:rFonts w:asciiTheme="minorHAnsi" w:hAnsiTheme="minorHAnsi" w:cstheme="minorHAnsi"/>
          <w:sz w:val="22"/>
          <w:szCs w:val="22"/>
          <w:lang w:val="en-CA"/>
        </w:rPr>
        <w:t>was appointed as the</w:t>
      </w:r>
      <w:r w:rsidRPr="000F056F">
        <w:rPr>
          <w:rFonts w:asciiTheme="minorHAnsi" w:hAnsiTheme="minorHAnsi" w:cstheme="minorHAnsi"/>
          <w:sz w:val="22"/>
          <w:szCs w:val="22"/>
          <w:lang w:val="en-CA" w:eastAsia="en-CA"/>
        </w:rPr>
        <w:t xml:space="preserve"> Chief Commissioner, Canadian Grain Commission (CGC) </w:t>
      </w:r>
      <w:r w:rsidRPr="000F056F">
        <w:rPr>
          <w:rFonts w:asciiTheme="minorHAnsi" w:hAnsiTheme="minorHAnsi" w:cstheme="minorHAnsi"/>
          <w:sz w:val="22"/>
          <w:szCs w:val="22"/>
          <w:lang w:val="en-CA"/>
        </w:rPr>
        <w:t>on</w:t>
      </w:r>
      <w:r w:rsidRPr="000F056F">
        <w:rPr>
          <w:rFonts w:asciiTheme="minorHAnsi" w:hAnsiTheme="minorHAnsi" w:cstheme="minorHAnsi"/>
          <w:sz w:val="22"/>
          <w:szCs w:val="22"/>
          <w:lang w:val="en-CA" w:eastAsia="en-CA"/>
        </w:rPr>
        <w:t xml:space="preserve"> December 21, 2020, to a term lasting three years.</w:t>
      </w:r>
    </w:p>
    <w:p w14:paraId="1DDDA55A" w14:textId="7A1896D4" w:rsidR="002944FE" w:rsidRPr="000F056F" w:rsidRDefault="002944FE" w:rsidP="00277A38">
      <w:pPr>
        <w:pStyle w:val="NoSpacing"/>
        <w:spacing w:after="120"/>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Doug </w:t>
      </w:r>
      <w:proofErr w:type="spellStart"/>
      <w:r w:rsidRPr="000F056F">
        <w:rPr>
          <w:rFonts w:asciiTheme="minorHAnsi" w:hAnsiTheme="minorHAnsi" w:cstheme="minorHAnsi"/>
          <w:sz w:val="22"/>
          <w:szCs w:val="22"/>
          <w:lang w:val="en-CA"/>
        </w:rPr>
        <w:t>Chorney</w:t>
      </w:r>
      <w:proofErr w:type="spellEnd"/>
      <w:r w:rsidRPr="000F056F">
        <w:rPr>
          <w:rFonts w:asciiTheme="minorHAnsi" w:hAnsiTheme="minorHAnsi" w:cstheme="minorHAnsi"/>
          <w:sz w:val="22"/>
          <w:szCs w:val="22"/>
          <w:lang w:val="en-CA"/>
        </w:rPr>
        <w:t xml:space="preserve"> is exercising the Public Service Commission’s (PSC) authority for the first time as Deputy Head (DH). A copy of the New Direction in Staffing (NDS) highlights for DHs is attached as </w:t>
      </w:r>
      <w:hyperlink w:anchor="AnnexA" w:history="1">
        <w:r w:rsidRPr="000F056F">
          <w:rPr>
            <w:rStyle w:val="Hyperlink"/>
            <w:rFonts w:asciiTheme="minorHAnsi" w:hAnsiTheme="minorHAnsi" w:cstheme="minorHAnsi"/>
            <w:sz w:val="22"/>
            <w:szCs w:val="22"/>
            <w:lang w:val="en-CA"/>
          </w:rPr>
          <w:t>Annex A.</w:t>
        </w:r>
      </w:hyperlink>
    </w:p>
    <w:p w14:paraId="0A2668C9" w14:textId="77777777" w:rsidR="002944FE" w:rsidRPr="000F056F" w:rsidRDefault="002944FE" w:rsidP="00277A38">
      <w:pPr>
        <w:pStyle w:val="Heading1"/>
        <w:spacing w:after="120"/>
        <w:rPr>
          <w:rFonts w:cstheme="majorHAnsi"/>
          <w:lang w:val="en-CA"/>
        </w:rPr>
      </w:pPr>
      <w:r w:rsidRPr="000F056F">
        <w:rPr>
          <w:rFonts w:cstheme="majorHAnsi"/>
          <w:lang w:val="en-CA"/>
        </w:rPr>
        <w:t>Organizational Context</w:t>
      </w:r>
    </w:p>
    <w:p w14:paraId="40C9A04D" w14:textId="77777777" w:rsidR="002944FE" w:rsidRPr="000F056F" w:rsidRDefault="002944FE" w:rsidP="00277A38">
      <w:pPr>
        <w:pStyle w:val="Heading2"/>
        <w:spacing w:after="120"/>
        <w:rPr>
          <w:u w:val="single"/>
          <w:lang w:val="en-CA"/>
        </w:rPr>
      </w:pPr>
      <w:r w:rsidRPr="000F056F">
        <w:rPr>
          <w:lang w:val="en-CA"/>
        </w:rPr>
        <w:t>Mandate</w:t>
      </w:r>
    </w:p>
    <w:p w14:paraId="27E13A00" w14:textId="77777777" w:rsidR="002944FE" w:rsidRPr="004439AF" w:rsidRDefault="002944FE" w:rsidP="004439AF">
      <w:pPr>
        <w:spacing w:after="120"/>
        <w:rPr>
          <w:rFonts w:asciiTheme="minorHAnsi" w:hAnsiTheme="minorHAnsi" w:cstheme="minorHAnsi"/>
          <w:sz w:val="22"/>
          <w:szCs w:val="18"/>
        </w:rPr>
      </w:pPr>
      <w:r w:rsidRPr="004439AF">
        <w:rPr>
          <w:rFonts w:asciiTheme="minorHAnsi" w:hAnsiTheme="minorHAnsi" w:cstheme="minorHAnsi"/>
          <w:sz w:val="22"/>
          <w:szCs w:val="18"/>
        </w:rPr>
        <w:t xml:space="preserve">The CGC regulates grain handling in Canada and establishes and maintains science-based standards of quality for Canadian grain. Its research, programs and services help support Canada’s reputation as a consistent and reliable source of high-quality grain. </w:t>
      </w:r>
    </w:p>
    <w:p w14:paraId="3101D375" w14:textId="77777777" w:rsidR="002944FE" w:rsidRPr="004439AF" w:rsidRDefault="002944FE" w:rsidP="004439AF">
      <w:pPr>
        <w:rPr>
          <w:rFonts w:asciiTheme="minorHAnsi" w:hAnsiTheme="minorHAnsi" w:cstheme="minorHAnsi"/>
          <w:sz w:val="22"/>
          <w:szCs w:val="18"/>
        </w:rPr>
      </w:pPr>
      <w:r w:rsidRPr="004439AF">
        <w:rPr>
          <w:rFonts w:asciiTheme="minorHAnsi" w:hAnsiTheme="minorHAnsi" w:cstheme="minorHAnsi"/>
          <w:sz w:val="22"/>
          <w:szCs w:val="18"/>
        </w:rPr>
        <w:t>The CGC works to:</w:t>
      </w:r>
    </w:p>
    <w:p w14:paraId="2E19F3C4" w14:textId="77777777" w:rsidR="002944FE" w:rsidRPr="004439AF" w:rsidRDefault="002944FE" w:rsidP="004439AF">
      <w:pPr>
        <w:pStyle w:val="ListParagraph"/>
        <w:numPr>
          <w:ilvl w:val="0"/>
          <w:numId w:val="45"/>
        </w:numPr>
        <w:rPr>
          <w:rFonts w:asciiTheme="minorHAnsi" w:hAnsiTheme="minorHAnsi" w:cstheme="minorHAnsi"/>
          <w:sz w:val="22"/>
          <w:szCs w:val="18"/>
        </w:rPr>
      </w:pPr>
      <w:r w:rsidRPr="004439AF">
        <w:rPr>
          <w:rFonts w:asciiTheme="minorHAnsi" w:hAnsiTheme="minorHAnsi" w:cstheme="minorHAnsi"/>
          <w:sz w:val="22"/>
          <w:szCs w:val="18"/>
        </w:rPr>
        <w:t xml:space="preserve">deliver grain quality and quantity assurance programs for exports of Canadian </w:t>
      </w:r>
      <w:proofErr w:type="gramStart"/>
      <w:r w:rsidRPr="004439AF">
        <w:rPr>
          <w:rFonts w:asciiTheme="minorHAnsi" w:hAnsiTheme="minorHAnsi" w:cstheme="minorHAnsi"/>
          <w:sz w:val="22"/>
          <w:szCs w:val="18"/>
        </w:rPr>
        <w:t>grain;</w:t>
      </w:r>
      <w:proofErr w:type="gramEnd"/>
    </w:p>
    <w:p w14:paraId="34A96BE3" w14:textId="77777777" w:rsidR="002944FE" w:rsidRPr="004439AF" w:rsidRDefault="002944FE" w:rsidP="004439AF">
      <w:pPr>
        <w:pStyle w:val="ListParagraph"/>
        <w:numPr>
          <w:ilvl w:val="0"/>
          <w:numId w:val="45"/>
        </w:numPr>
        <w:rPr>
          <w:rFonts w:asciiTheme="minorHAnsi" w:hAnsiTheme="minorHAnsi" w:cstheme="minorHAnsi"/>
          <w:sz w:val="22"/>
          <w:szCs w:val="18"/>
        </w:rPr>
      </w:pPr>
      <w:r w:rsidRPr="004439AF">
        <w:rPr>
          <w:rFonts w:asciiTheme="minorHAnsi" w:hAnsiTheme="minorHAnsi" w:cstheme="minorHAnsi"/>
          <w:sz w:val="22"/>
          <w:szCs w:val="18"/>
        </w:rPr>
        <w:t xml:space="preserve">carry out scientific research to understand all aspects of grain quality and grain </w:t>
      </w:r>
      <w:proofErr w:type="gramStart"/>
      <w:r w:rsidRPr="004439AF">
        <w:rPr>
          <w:rFonts w:asciiTheme="minorHAnsi" w:hAnsiTheme="minorHAnsi" w:cstheme="minorHAnsi"/>
          <w:sz w:val="22"/>
          <w:szCs w:val="18"/>
        </w:rPr>
        <w:t>safety;</w:t>
      </w:r>
      <w:proofErr w:type="gramEnd"/>
    </w:p>
    <w:p w14:paraId="629CBA74" w14:textId="77777777" w:rsidR="002944FE" w:rsidRPr="004439AF" w:rsidRDefault="002944FE" w:rsidP="004439AF">
      <w:pPr>
        <w:pStyle w:val="ListParagraph"/>
        <w:numPr>
          <w:ilvl w:val="0"/>
          <w:numId w:val="45"/>
        </w:numPr>
        <w:rPr>
          <w:rFonts w:asciiTheme="minorHAnsi" w:hAnsiTheme="minorHAnsi" w:cstheme="minorHAnsi"/>
          <w:sz w:val="22"/>
          <w:szCs w:val="18"/>
        </w:rPr>
      </w:pPr>
      <w:r w:rsidRPr="004439AF">
        <w:rPr>
          <w:rFonts w:asciiTheme="minorHAnsi" w:hAnsiTheme="minorHAnsi" w:cstheme="minorHAnsi"/>
          <w:sz w:val="22"/>
          <w:szCs w:val="18"/>
        </w:rPr>
        <w:t>establish and maintain Canada’s science-based grain grading system; and</w:t>
      </w:r>
    </w:p>
    <w:p w14:paraId="31A9EFEC" w14:textId="77777777" w:rsidR="002944FE" w:rsidRPr="004439AF" w:rsidRDefault="002944FE" w:rsidP="004439AF">
      <w:pPr>
        <w:pStyle w:val="ListParagraph"/>
        <w:numPr>
          <w:ilvl w:val="0"/>
          <w:numId w:val="45"/>
        </w:numPr>
        <w:spacing w:after="120"/>
        <w:rPr>
          <w:rFonts w:asciiTheme="minorHAnsi" w:hAnsiTheme="minorHAnsi" w:cstheme="minorHAnsi"/>
          <w:sz w:val="22"/>
          <w:szCs w:val="18"/>
        </w:rPr>
      </w:pPr>
      <w:r w:rsidRPr="004439AF">
        <w:rPr>
          <w:rFonts w:asciiTheme="minorHAnsi" w:hAnsiTheme="minorHAnsi" w:cstheme="minorHAnsi"/>
          <w:sz w:val="22"/>
          <w:szCs w:val="18"/>
        </w:rPr>
        <w:t>ensure farmers receive fair compensation for their grain.</w:t>
      </w:r>
    </w:p>
    <w:p w14:paraId="6917F66B" w14:textId="77777777" w:rsidR="002944FE" w:rsidRPr="000F056F" w:rsidRDefault="002944FE" w:rsidP="00277A38">
      <w:pPr>
        <w:pStyle w:val="Heading2"/>
        <w:spacing w:after="120"/>
        <w:rPr>
          <w:u w:val="single"/>
          <w:lang w:val="en-CA"/>
        </w:rPr>
      </w:pPr>
      <w:r w:rsidRPr="000F056F">
        <w:rPr>
          <w:lang w:val="en-CA"/>
        </w:rPr>
        <w:t>Challenges</w:t>
      </w:r>
    </w:p>
    <w:p w14:paraId="7D528FC4" w14:textId="77777777" w:rsidR="002944FE" w:rsidRPr="000F056F" w:rsidRDefault="002944FE" w:rsidP="00277A38">
      <w:pPr>
        <w:pStyle w:val="NoSpacing"/>
        <w:spacing w:after="12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To support the recruitment of employees in the Technical Services group, specifically the Primary Product Inspection (PI) occupational group, the CGC has implemented a four-year PI Professional Development and Apprenticeship Program (PDAP) for Grain Inspectors. However, once employees are hired into the program, retention issues have been observed due to the operational demands of this role that include the need to travel and the requirement to work on evenings and weekends.</w:t>
      </w:r>
    </w:p>
    <w:p w14:paraId="4FE31BCD" w14:textId="77777777" w:rsidR="002944FE" w:rsidRPr="000F056F" w:rsidRDefault="002944FE" w:rsidP="00277A38">
      <w:pPr>
        <w:pStyle w:val="NoSpacing"/>
        <w:spacing w:after="12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 xml:space="preserve">Another ongoing recruitment challenge for the CGC is hiring bilingual employees at its headquarters in Winnipeg. While this presents an issue for recruitment activities throughout the organization, it is most </w:t>
      </w:r>
      <w:r w:rsidRPr="000F056F">
        <w:rPr>
          <w:rFonts w:asciiTheme="minorHAnsi" w:hAnsiTheme="minorHAnsi" w:cstheme="minorHAnsi"/>
          <w:color w:val="000000"/>
          <w:sz w:val="22"/>
          <w:szCs w:val="22"/>
          <w:lang w:val="en-CA"/>
        </w:rPr>
        <w:lastRenderedPageBreak/>
        <w:t>acute for senior level positions, as well as communications and human resources staff. The competition between various federal public service employers located in the Winnipeg area for the recruitment of experienced human resources advisors, especially those who specialize in labour relations and classification is also a challenge. The CGC is also seeing a high turnover in its entry-level positions, specifically those in the program and administrative services group.</w:t>
      </w:r>
    </w:p>
    <w:p w14:paraId="7B8D2395" w14:textId="77777777" w:rsidR="002944FE" w:rsidRPr="000F056F" w:rsidRDefault="002944FE" w:rsidP="00277A38">
      <w:pPr>
        <w:pStyle w:val="Heading2"/>
        <w:spacing w:after="120"/>
        <w:rPr>
          <w:u w:val="single"/>
          <w:lang w:val="en-CA"/>
        </w:rPr>
      </w:pPr>
      <w:r w:rsidRPr="000F056F">
        <w:rPr>
          <w:lang w:val="en-CA"/>
        </w:rPr>
        <w:t>Experimentation</w:t>
      </w:r>
    </w:p>
    <w:p w14:paraId="08535EF1" w14:textId="77777777" w:rsidR="002944FE" w:rsidRPr="000F056F" w:rsidRDefault="002944FE" w:rsidP="00277A38">
      <w:pPr>
        <w:pStyle w:val="NoSpacing"/>
        <w:spacing w:after="120"/>
        <w:rPr>
          <w:rFonts w:asciiTheme="minorHAnsi" w:hAnsiTheme="minorHAnsi" w:cstheme="minorHAnsi"/>
          <w:sz w:val="22"/>
          <w:szCs w:val="22"/>
          <w:lang w:val="en-CA"/>
        </w:rPr>
      </w:pPr>
      <w:r w:rsidRPr="000F056F">
        <w:rPr>
          <w:rFonts w:asciiTheme="minorHAnsi" w:hAnsiTheme="minorHAnsi" w:cstheme="minorHAnsi"/>
          <w:sz w:val="22"/>
          <w:szCs w:val="22"/>
          <w:lang w:val="en-CA"/>
        </w:rPr>
        <w:t>The CGC is exploring the use of social media to extend the reach of its job advertisements by using Linked In, Facebook and Twitter. It is also considering the possibility of leveraging the PSC’s GC Jobs social media accounts to increase its social media presence.</w:t>
      </w:r>
    </w:p>
    <w:p w14:paraId="71D0230A" w14:textId="77777777" w:rsidR="002944FE" w:rsidRPr="000F056F" w:rsidRDefault="002944FE" w:rsidP="00277A38">
      <w:pPr>
        <w:pStyle w:val="NoSpacing"/>
        <w:spacing w:after="120"/>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Due to Covid-19, the CGC is using the MS Teams and </w:t>
      </w:r>
      <w:proofErr w:type="spellStart"/>
      <w:r w:rsidRPr="000F056F">
        <w:rPr>
          <w:rFonts w:asciiTheme="minorHAnsi" w:hAnsiTheme="minorHAnsi" w:cstheme="minorHAnsi"/>
          <w:sz w:val="22"/>
          <w:szCs w:val="22"/>
          <w:lang w:val="en-CA"/>
        </w:rPr>
        <w:t>Webex</w:t>
      </w:r>
      <w:proofErr w:type="spellEnd"/>
      <w:r w:rsidRPr="000F056F">
        <w:rPr>
          <w:rFonts w:asciiTheme="minorHAnsi" w:hAnsiTheme="minorHAnsi" w:cstheme="minorHAnsi"/>
          <w:sz w:val="22"/>
          <w:szCs w:val="22"/>
          <w:lang w:val="en-CA"/>
        </w:rPr>
        <w:t xml:space="preserve"> video platforms to conduct candidate assessments in appointment processes. In addition, it is using fillable PDF documents when it conducts unsupervised internet written testing.</w:t>
      </w:r>
    </w:p>
    <w:p w14:paraId="3A6DC2F1" w14:textId="77777777" w:rsidR="002944FE" w:rsidRPr="000F056F" w:rsidRDefault="002944FE" w:rsidP="00277A38">
      <w:pPr>
        <w:pStyle w:val="NoSpacing"/>
        <w:spacing w:after="120"/>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The CGC has collaborated with the Atlantic Canada Opportunities Agency to learn about the use of the </w:t>
      </w:r>
      <w:proofErr w:type="spellStart"/>
      <w:r w:rsidRPr="000F056F">
        <w:rPr>
          <w:rFonts w:asciiTheme="minorHAnsi" w:hAnsiTheme="minorHAnsi" w:cstheme="minorHAnsi"/>
          <w:sz w:val="22"/>
          <w:szCs w:val="22"/>
          <w:lang w:val="en-CA"/>
        </w:rPr>
        <w:t>VidCruiter</w:t>
      </w:r>
      <w:proofErr w:type="spellEnd"/>
      <w:r w:rsidRPr="000F056F">
        <w:rPr>
          <w:rFonts w:asciiTheme="minorHAnsi" w:hAnsiTheme="minorHAnsi" w:cstheme="minorHAnsi"/>
          <w:sz w:val="22"/>
          <w:szCs w:val="22"/>
          <w:lang w:val="en-CA"/>
        </w:rPr>
        <w:t xml:space="preserve"> suite of online assessment tools to manage interviews at a distance in appointment processes. The CGC expects to have its own </w:t>
      </w:r>
      <w:proofErr w:type="spellStart"/>
      <w:r w:rsidRPr="000F056F">
        <w:rPr>
          <w:rFonts w:asciiTheme="minorHAnsi" w:hAnsiTheme="minorHAnsi" w:cstheme="minorHAnsi"/>
          <w:sz w:val="22"/>
          <w:szCs w:val="22"/>
          <w:lang w:val="en-CA"/>
        </w:rPr>
        <w:t>VidCruiter</w:t>
      </w:r>
      <w:proofErr w:type="spellEnd"/>
      <w:r w:rsidRPr="000F056F">
        <w:rPr>
          <w:rFonts w:asciiTheme="minorHAnsi" w:hAnsiTheme="minorHAnsi" w:cstheme="minorHAnsi"/>
          <w:sz w:val="22"/>
          <w:szCs w:val="22"/>
          <w:lang w:val="en-CA"/>
        </w:rPr>
        <w:t xml:space="preserve"> access available shortly.</w:t>
      </w:r>
    </w:p>
    <w:p w14:paraId="659B0AA5" w14:textId="77777777" w:rsidR="002944FE" w:rsidRPr="000F056F" w:rsidRDefault="002944FE" w:rsidP="00277A38">
      <w:pPr>
        <w:pStyle w:val="NoSpacing"/>
        <w:spacing w:after="120"/>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The CGC is investigating the use of a recruitment video to provide </w:t>
      </w:r>
      <w:r w:rsidRPr="000F056F">
        <w:rPr>
          <w:rFonts w:asciiTheme="minorHAnsi" w:hAnsiTheme="minorHAnsi" w:cstheme="minorHAnsi"/>
          <w:color w:val="000000"/>
          <w:sz w:val="22"/>
          <w:szCs w:val="22"/>
          <w:lang w:val="en-CA"/>
        </w:rPr>
        <w:t>Grain Inspector</w:t>
      </w:r>
      <w:r w:rsidRPr="000F056F">
        <w:rPr>
          <w:rFonts w:asciiTheme="minorHAnsi" w:hAnsiTheme="minorHAnsi" w:cstheme="minorHAnsi"/>
          <w:sz w:val="22"/>
          <w:szCs w:val="22"/>
          <w:lang w:val="en-CA"/>
        </w:rPr>
        <w:t xml:space="preserve"> PDAP candidates with a realistic job preview. This video would provide candidates with a sense of the day to day job functions and work environment. One of the principal objectives would be to address issues related to retention, for example by giving candidates sufficient information about the operational demands of the position prior to applying. The CGC’s Staffing team plans to work in collaboration with its counterparts in Communications and Training on this initiative. They have also consulted the PSC's new toolkit on video interviews.</w:t>
      </w:r>
    </w:p>
    <w:p w14:paraId="446BAA05" w14:textId="77777777" w:rsidR="002944FE" w:rsidRPr="000F056F" w:rsidRDefault="002944FE" w:rsidP="00277A38">
      <w:pPr>
        <w:pStyle w:val="NoSpacing"/>
        <w:spacing w:after="120"/>
        <w:rPr>
          <w:rFonts w:asciiTheme="minorHAnsi" w:hAnsiTheme="minorHAnsi" w:cstheme="minorHAnsi"/>
          <w:sz w:val="22"/>
          <w:szCs w:val="22"/>
          <w:lang w:val="en-CA"/>
        </w:rPr>
      </w:pPr>
      <w:r w:rsidRPr="000F056F">
        <w:rPr>
          <w:rFonts w:asciiTheme="minorHAnsi" w:hAnsiTheme="minorHAnsi" w:cstheme="minorHAnsi"/>
          <w:sz w:val="22"/>
          <w:szCs w:val="22"/>
          <w:lang w:val="en-CA"/>
        </w:rPr>
        <w:t>Other initiatives at the CGC include having a continuous commitment to streamline its staffing documentation and processes and to keep an ongoing inventory of previous Federal Student Work Experience Program (FSWEP) participants to facilitate re-hiring through FSWEP or appointments to term or indeterminate positions after graduation. These strategies support the CGC’s goals of increasing staffing efficiency and reducing its time to staff.</w:t>
      </w:r>
    </w:p>
    <w:p w14:paraId="7D58BEE6" w14:textId="77777777" w:rsidR="002944FE" w:rsidRPr="000F056F" w:rsidRDefault="002944FE" w:rsidP="00277A38">
      <w:pPr>
        <w:pStyle w:val="Heading1"/>
        <w:spacing w:after="120"/>
        <w:rPr>
          <w:rFonts w:cstheme="majorHAnsi"/>
          <w:lang w:val="en-CA"/>
        </w:rPr>
      </w:pPr>
      <w:r w:rsidRPr="000F056F">
        <w:rPr>
          <w:rFonts w:cstheme="majorHAnsi"/>
          <w:lang w:val="en-CA"/>
        </w:rPr>
        <w:t>Population and Staffing Activities</w:t>
      </w:r>
    </w:p>
    <w:p w14:paraId="399D7ADC" w14:textId="77777777" w:rsidR="002944FE" w:rsidRPr="000F056F" w:rsidRDefault="002944FE" w:rsidP="00277A38">
      <w:pPr>
        <w:pStyle w:val="Heading2"/>
        <w:spacing w:after="120"/>
        <w:rPr>
          <w:u w:val="single"/>
          <w:lang w:val="en-CA"/>
        </w:rPr>
      </w:pPr>
      <w:r w:rsidRPr="000F056F">
        <w:rPr>
          <w:lang w:val="en-CA"/>
        </w:rPr>
        <w:t>Population</w:t>
      </w:r>
    </w:p>
    <w:p w14:paraId="4EE52CF7" w14:textId="6299ABDD" w:rsidR="00277A38" w:rsidRPr="000F056F" w:rsidRDefault="002944FE" w:rsidP="00277A38">
      <w:pPr>
        <w:pStyle w:val="NoSpacing"/>
        <w:spacing w:after="120"/>
        <w:rPr>
          <w:rFonts w:asciiTheme="minorHAnsi" w:hAnsiTheme="minorHAnsi" w:cstheme="minorHAnsi"/>
          <w:sz w:val="22"/>
          <w:szCs w:val="22"/>
          <w:lang w:val="en-CA" w:eastAsia="en-CA"/>
        </w:rPr>
        <w:sectPr w:rsidR="00277A38" w:rsidRPr="000F056F" w:rsidSect="005D4281">
          <w:headerReference w:type="default" r:id="rId8"/>
          <w:footerReference w:type="default" r:id="rId9"/>
          <w:footerReference w:type="first" r:id="rId10"/>
          <w:pgSz w:w="12240" w:h="15840"/>
          <w:pgMar w:top="1440" w:right="1080" w:bottom="1440" w:left="1080" w:header="709" w:footer="284" w:gutter="0"/>
          <w:cols w:space="708"/>
          <w:titlePg/>
          <w:docGrid w:linePitch="360"/>
        </w:sectPr>
      </w:pPr>
      <w:r w:rsidRPr="000F056F">
        <w:rPr>
          <w:rFonts w:asciiTheme="minorHAnsi" w:hAnsiTheme="minorHAnsi" w:cstheme="minorHAnsi"/>
          <w:sz w:val="22"/>
          <w:szCs w:val="22"/>
          <w:lang w:val="en-CA"/>
        </w:rPr>
        <w:t xml:space="preserve">The CGC is a small organization that has a population of 429 employees (as of March 31, 2020). The organization is headquartered in Winnipeg, Manitoba. It operates two regional offices in Montreal and Vancouver and has ten smaller service centres across Canada. </w:t>
      </w:r>
    </w:p>
    <w:p w14:paraId="4980CDB1" w14:textId="77777777" w:rsidR="002944FE" w:rsidRPr="000F056F" w:rsidRDefault="002944FE" w:rsidP="00277A38">
      <w:pPr>
        <w:pStyle w:val="Heading2"/>
        <w:spacing w:after="120"/>
        <w:rPr>
          <w:u w:val="single"/>
          <w:lang w:val="en-CA"/>
        </w:rPr>
      </w:pPr>
      <w:r w:rsidRPr="000F056F">
        <w:rPr>
          <w:lang w:val="en-CA"/>
        </w:rPr>
        <w:lastRenderedPageBreak/>
        <w:t>Staffing Activities</w:t>
      </w:r>
    </w:p>
    <w:p w14:paraId="0EB2E76E" w14:textId="77777777" w:rsidR="002944FE" w:rsidRPr="000F056F" w:rsidRDefault="002944FE" w:rsidP="002944FE">
      <w:pPr>
        <w:pStyle w:val="NoSpacing"/>
        <w:rPr>
          <w:rFonts w:asciiTheme="minorHAnsi" w:hAnsiTheme="minorHAnsi" w:cstheme="minorHAnsi"/>
          <w:sz w:val="22"/>
          <w:szCs w:val="22"/>
          <w:lang w:val="en-CA"/>
        </w:rPr>
      </w:pPr>
      <w:r w:rsidRPr="000F056F">
        <w:rPr>
          <w:rFonts w:asciiTheme="minorHAnsi" w:hAnsiTheme="minorHAnsi" w:cstheme="minorHAnsi"/>
          <w:sz w:val="22"/>
          <w:szCs w:val="22"/>
          <w:lang w:val="en-CA"/>
        </w:rPr>
        <w:t>In the 2019-2020 fiscal year, the CGC completed a total of 177 staffing activities:</w:t>
      </w:r>
    </w:p>
    <w:p w14:paraId="0065198B" w14:textId="77777777" w:rsidR="002944FE" w:rsidRPr="000F056F" w:rsidRDefault="002944FE" w:rsidP="002944FE">
      <w:pPr>
        <w:pStyle w:val="NoSpacing"/>
        <w:numPr>
          <w:ilvl w:val="0"/>
          <w:numId w:val="14"/>
        </w:numPr>
        <w:rPr>
          <w:rFonts w:asciiTheme="minorHAnsi" w:hAnsiTheme="minorHAnsi" w:cstheme="minorHAnsi"/>
          <w:sz w:val="22"/>
          <w:szCs w:val="22"/>
          <w:lang w:val="en-CA"/>
        </w:rPr>
      </w:pPr>
      <w:r w:rsidRPr="000F056F">
        <w:rPr>
          <w:rFonts w:asciiTheme="minorHAnsi" w:hAnsiTheme="minorHAnsi" w:cstheme="minorHAnsi"/>
          <w:sz w:val="22"/>
          <w:szCs w:val="22"/>
          <w:lang w:val="en-CA"/>
        </w:rPr>
        <w:t>85 appointments to the public service (including casual workers and students)</w:t>
      </w:r>
    </w:p>
    <w:p w14:paraId="41918DE9" w14:textId="77777777" w:rsidR="002944FE" w:rsidRPr="000F056F" w:rsidRDefault="002944FE" w:rsidP="002944FE">
      <w:pPr>
        <w:pStyle w:val="NoSpacing"/>
        <w:numPr>
          <w:ilvl w:val="1"/>
          <w:numId w:val="14"/>
        </w:numPr>
        <w:rPr>
          <w:rFonts w:asciiTheme="minorHAnsi" w:hAnsiTheme="minorHAnsi" w:cstheme="minorHAnsi"/>
          <w:sz w:val="22"/>
          <w:szCs w:val="22"/>
          <w:lang w:val="en-CA"/>
        </w:rPr>
      </w:pPr>
      <w:r w:rsidRPr="000F056F">
        <w:rPr>
          <w:rFonts w:asciiTheme="minorHAnsi" w:hAnsiTheme="minorHAnsi" w:cstheme="minorHAnsi"/>
          <w:sz w:val="22"/>
          <w:szCs w:val="22"/>
          <w:lang w:val="en-CA"/>
        </w:rPr>
        <w:t>6 casual workers</w:t>
      </w:r>
    </w:p>
    <w:p w14:paraId="07FE0821" w14:textId="77777777" w:rsidR="002944FE" w:rsidRPr="000F056F" w:rsidRDefault="002944FE" w:rsidP="002944FE">
      <w:pPr>
        <w:pStyle w:val="NoSpacing"/>
        <w:numPr>
          <w:ilvl w:val="1"/>
          <w:numId w:val="14"/>
        </w:numPr>
        <w:rPr>
          <w:rFonts w:asciiTheme="minorHAnsi" w:hAnsiTheme="minorHAnsi" w:cstheme="minorHAnsi"/>
          <w:sz w:val="22"/>
          <w:szCs w:val="22"/>
          <w:lang w:val="en-CA"/>
        </w:rPr>
      </w:pPr>
      <w:r w:rsidRPr="000F056F">
        <w:rPr>
          <w:rFonts w:asciiTheme="minorHAnsi" w:hAnsiTheme="minorHAnsi" w:cstheme="minorHAnsi"/>
          <w:sz w:val="22"/>
          <w:szCs w:val="22"/>
          <w:lang w:val="en-CA"/>
        </w:rPr>
        <w:t>20 students</w:t>
      </w:r>
    </w:p>
    <w:p w14:paraId="378A8BBE" w14:textId="77777777" w:rsidR="002944FE" w:rsidRPr="000F056F" w:rsidRDefault="002944FE" w:rsidP="002944FE">
      <w:pPr>
        <w:pStyle w:val="NoSpacing"/>
        <w:numPr>
          <w:ilvl w:val="0"/>
          <w:numId w:val="14"/>
        </w:numPr>
        <w:rPr>
          <w:rFonts w:asciiTheme="minorHAnsi" w:hAnsiTheme="minorHAnsi" w:cstheme="minorHAnsi"/>
          <w:sz w:val="22"/>
          <w:szCs w:val="22"/>
          <w:lang w:val="en-CA"/>
        </w:rPr>
      </w:pPr>
      <w:r w:rsidRPr="000F056F">
        <w:rPr>
          <w:rFonts w:asciiTheme="minorHAnsi" w:hAnsiTheme="minorHAnsi" w:cstheme="minorHAnsi"/>
          <w:sz w:val="22"/>
          <w:szCs w:val="22"/>
          <w:lang w:val="en-CA"/>
        </w:rPr>
        <w:t>44 promotions</w:t>
      </w:r>
    </w:p>
    <w:p w14:paraId="591FC2E0" w14:textId="77777777" w:rsidR="002944FE" w:rsidRPr="000F056F" w:rsidRDefault="002944FE" w:rsidP="002944FE">
      <w:pPr>
        <w:pStyle w:val="NoSpacing"/>
        <w:numPr>
          <w:ilvl w:val="0"/>
          <w:numId w:val="14"/>
        </w:numPr>
        <w:rPr>
          <w:rFonts w:asciiTheme="minorHAnsi" w:hAnsiTheme="minorHAnsi" w:cstheme="minorHAnsi"/>
          <w:sz w:val="22"/>
          <w:szCs w:val="22"/>
          <w:lang w:val="en-CA"/>
        </w:rPr>
      </w:pPr>
      <w:r w:rsidRPr="000F056F">
        <w:rPr>
          <w:rFonts w:asciiTheme="minorHAnsi" w:hAnsiTheme="minorHAnsi" w:cstheme="minorHAnsi"/>
          <w:sz w:val="22"/>
          <w:szCs w:val="22"/>
          <w:lang w:val="en-CA"/>
        </w:rPr>
        <w:t>17 acting appointments</w:t>
      </w:r>
    </w:p>
    <w:p w14:paraId="3283F6D3" w14:textId="77777777" w:rsidR="002944FE" w:rsidRPr="000F056F" w:rsidRDefault="002944FE" w:rsidP="00277A38">
      <w:pPr>
        <w:pStyle w:val="NoSpacing"/>
        <w:numPr>
          <w:ilvl w:val="0"/>
          <w:numId w:val="14"/>
        </w:numPr>
        <w:spacing w:after="120"/>
        <w:rPr>
          <w:rFonts w:asciiTheme="minorHAnsi" w:hAnsiTheme="minorHAnsi" w:cstheme="minorHAnsi"/>
          <w:sz w:val="22"/>
          <w:szCs w:val="22"/>
          <w:lang w:val="en-CA"/>
        </w:rPr>
      </w:pPr>
      <w:r w:rsidRPr="000F056F">
        <w:rPr>
          <w:rFonts w:asciiTheme="minorHAnsi" w:hAnsiTheme="minorHAnsi" w:cstheme="minorHAnsi"/>
          <w:sz w:val="22"/>
          <w:szCs w:val="22"/>
          <w:lang w:val="en-CA"/>
        </w:rPr>
        <w:t>31 lateral and downward movements</w:t>
      </w:r>
    </w:p>
    <w:p w14:paraId="3149545D" w14:textId="4EA5E5A8" w:rsidR="002944FE" w:rsidRPr="000F056F" w:rsidRDefault="002944FE" w:rsidP="00277A38">
      <w:pPr>
        <w:pStyle w:val="NoSpacing"/>
        <w:spacing w:after="120"/>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 xml:space="preserve">Please refer to </w:t>
      </w:r>
      <w:hyperlink w:anchor="AnnexB" w:history="1">
        <w:r w:rsidRPr="000F056F">
          <w:rPr>
            <w:rStyle w:val="Hyperlink"/>
            <w:rFonts w:asciiTheme="minorHAnsi" w:hAnsiTheme="minorHAnsi" w:cstheme="minorHAnsi"/>
            <w:sz w:val="22"/>
            <w:szCs w:val="22"/>
            <w:lang w:val="en-CA" w:eastAsia="en-CA"/>
          </w:rPr>
          <w:t>Annex B</w:t>
        </w:r>
      </w:hyperlink>
      <w:r w:rsidRPr="000F056F">
        <w:rPr>
          <w:rFonts w:asciiTheme="minorHAnsi" w:hAnsiTheme="minorHAnsi" w:cstheme="minorHAnsi"/>
          <w:color w:val="FF0000"/>
          <w:sz w:val="22"/>
          <w:szCs w:val="22"/>
          <w:lang w:val="en-CA" w:eastAsia="en-CA"/>
        </w:rPr>
        <w:t xml:space="preserve"> </w:t>
      </w:r>
      <w:r w:rsidRPr="000F056F">
        <w:rPr>
          <w:rFonts w:asciiTheme="minorHAnsi" w:hAnsiTheme="minorHAnsi" w:cstheme="minorHAnsi"/>
          <w:sz w:val="22"/>
          <w:szCs w:val="22"/>
          <w:lang w:val="en-CA" w:eastAsia="en-CA"/>
        </w:rPr>
        <w:t>for additional details</w:t>
      </w:r>
      <w:r w:rsidR="00277A38" w:rsidRPr="000F056F">
        <w:rPr>
          <w:rFonts w:asciiTheme="minorHAnsi" w:hAnsiTheme="minorHAnsi" w:cstheme="minorHAnsi"/>
          <w:sz w:val="22"/>
          <w:szCs w:val="22"/>
          <w:lang w:val="en-CA" w:eastAsia="en-CA"/>
        </w:rPr>
        <w:t xml:space="preserve"> on staffing activities</w:t>
      </w:r>
      <w:r w:rsidRPr="000F056F">
        <w:rPr>
          <w:rFonts w:asciiTheme="minorHAnsi" w:hAnsiTheme="minorHAnsi" w:cstheme="minorHAnsi"/>
          <w:sz w:val="22"/>
          <w:szCs w:val="22"/>
          <w:lang w:val="en-CA" w:eastAsia="en-CA"/>
        </w:rPr>
        <w:t>.</w:t>
      </w:r>
    </w:p>
    <w:p w14:paraId="6F414550" w14:textId="77777777" w:rsidR="002944FE" w:rsidRPr="000F056F" w:rsidRDefault="002944FE" w:rsidP="00277A38">
      <w:pPr>
        <w:pStyle w:val="Heading1"/>
        <w:spacing w:after="120"/>
        <w:rPr>
          <w:rFonts w:cstheme="majorHAnsi"/>
          <w:lang w:val="en-CA"/>
        </w:rPr>
      </w:pPr>
      <w:r w:rsidRPr="000F056F">
        <w:rPr>
          <w:rFonts w:cstheme="majorHAnsi"/>
          <w:lang w:val="en-CA"/>
        </w:rPr>
        <w:t>Time to Staff</w:t>
      </w:r>
    </w:p>
    <w:p w14:paraId="2A907EFE" w14:textId="77777777" w:rsidR="002944FE" w:rsidRPr="000F056F" w:rsidRDefault="002944FE" w:rsidP="00277A38">
      <w:pPr>
        <w:spacing w:after="120"/>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There is insufficient data to provide time to staff results for internal or external staffing processes at the CGC.</w:t>
      </w:r>
    </w:p>
    <w:p w14:paraId="2110B066" w14:textId="77777777" w:rsidR="002944FE" w:rsidRPr="000F056F" w:rsidRDefault="002944FE" w:rsidP="00277A38">
      <w:pPr>
        <w:pStyle w:val="Heading1"/>
        <w:spacing w:after="120"/>
        <w:rPr>
          <w:rFonts w:cstheme="majorHAnsi"/>
          <w:lang w:val="en-CA"/>
        </w:rPr>
      </w:pPr>
      <w:r w:rsidRPr="000F056F">
        <w:rPr>
          <w:rFonts w:cstheme="majorHAnsi"/>
          <w:lang w:val="en-CA"/>
        </w:rPr>
        <w:t>Staffing Framework</w:t>
      </w:r>
    </w:p>
    <w:p w14:paraId="33BB0F35" w14:textId="77777777" w:rsidR="002944FE" w:rsidRPr="000F056F" w:rsidRDefault="002944FE" w:rsidP="00277A38">
      <w:pPr>
        <w:pStyle w:val="Heading2"/>
        <w:spacing w:after="120"/>
        <w:rPr>
          <w:lang w:val="en-CA"/>
        </w:rPr>
      </w:pPr>
      <w:r w:rsidRPr="000F056F">
        <w:rPr>
          <w:lang w:val="en-CA"/>
        </w:rPr>
        <w:t>New Direction in Staffing Implementation</w:t>
      </w:r>
    </w:p>
    <w:p w14:paraId="713ECA0D" w14:textId="77777777" w:rsidR="002944FE" w:rsidRPr="000F056F" w:rsidRDefault="002944FE" w:rsidP="00277A38">
      <w:pPr>
        <w:pStyle w:val="NormalWeb"/>
        <w:spacing w:before="0" w:beforeAutospacing="0" w:after="120" w:afterAutospacing="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The CGC has shared its appointment framework and delegation instrument with the PSC.</w:t>
      </w:r>
    </w:p>
    <w:p w14:paraId="21638C28" w14:textId="77777777" w:rsidR="002944FE" w:rsidRPr="000F056F" w:rsidRDefault="002944FE" w:rsidP="00277A38">
      <w:pPr>
        <w:pStyle w:val="Heading3"/>
        <w:spacing w:after="120"/>
        <w:rPr>
          <w:rFonts w:ascii="Segoe UI" w:hAnsi="Segoe UI" w:cs="Segoe UI"/>
          <w:b/>
          <w:bCs/>
          <w:lang w:val="en-CA"/>
        </w:rPr>
      </w:pPr>
      <w:r w:rsidRPr="000F056F">
        <w:rPr>
          <w:rFonts w:ascii="Segoe UI" w:hAnsi="Segoe UI" w:cs="Segoe UI"/>
          <w:b/>
          <w:bCs/>
          <w:lang w:val="en-CA"/>
        </w:rPr>
        <w:t>Policy</w:t>
      </w:r>
    </w:p>
    <w:p w14:paraId="63A5B36B" w14:textId="77777777" w:rsidR="002944FE" w:rsidRPr="000F056F" w:rsidRDefault="002944FE" w:rsidP="00277A38">
      <w:pPr>
        <w:pStyle w:val="NormalWeb"/>
        <w:spacing w:before="0" w:beforeAutospacing="0" w:after="120" w:afterAutospacing="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The CGC updated its Appointment Policy in 2016 to align with NDS. It contains the policy on area of selection, direction on the use of advertised and non-advertised processes, and expectations for the articulation of selection decision.</w:t>
      </w:r>
    </w:p>
    <w:p w14:paraId="60DF8C59" w14:textId="77777777" w:rsidR="002944FE" w:rsidRPr="000F056F" w:rsidRDefault="002944FE" w:rsidP="00277A38">
      <w:pPr>
        <w:pStyle w:val="NormalWeb"/>
        <w:spacing w:before="0" w:beforeAutospacing="0" w:after="120" w:afterAutospacing="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Recently, the CGC completed a review of its Appointment Policy. The proposed updates are currently in the approvals process.</w:t>
      </w:r>
    </w:p>
    <w:p w14:paraId="6486866E" w14:textId="77777777" w:rsidR="002944FE" w:rsidRPr="000F056F" w:rsidRDefault="002944FE" w:rsidP="00277A38">
      <w:pPr>
        <w:pStyle w:val="Heading3"/>
        <w:spacing w:after="120"/>
        <w:rPr>
          <w:rFonts w:ascii="Segoe UI" w:hAnsi="Segoe UI" w:cs="Segoe UI"/>
          <w:b/>
          <w:bCs/>
          <w:lang w:val="en-CA"/>
        </w:rPr>
      </w:pPr>
      <w:r w:rsidRPr="000F056F">
        <w:rPr>
          <w:rFonts w:ascii="Segoe UI" w:hAnsi="Segoe UI" w:cs="Segoe UI"/>
          <w:b/>
          <w:bCs/>
          <w:lang w:val="en-CA"/>
        </w:rPr>
        <w:t>Delegation</w:t>
      </w:r>
    </w:p>
    <w:p w14:paraId="0BA1F73F" w14:textId="77777777" w:rsidR="002944FE" w:rsidRPr="000F056F" w:rsidRDefault="002944FE" w:rsidP="00277A38">
      <w:pPr>
        <w:pStyle w:val="NormalWeb"/>
        <w:spacing w:before="0" w:beforeAutospacing="0" w:after="120" w:afterAutospacing="0"/>
        <w:rPr>
          <w:rFonts w:asciiTheme="minorHAnsi" w:hAnsiTheme="minorHAnsi" w:cstheme="minorHAnsi"/>
          <w:sz w:val="22"/>
          <w:szCs w:val="22"/>
          <w:lang w:val="en-CA"/>
        </w:rPr>
      </w:pPr>
      <w:r w:rsidRPr="000F056F">
        <w:rPr>
          <w:rFonts w:asciiTheme="minorHAnsi" w:hAnsiTheme="minorHAnsi" w:cstheme="minorHAnsi"/>
          <w:sz w:val="22"/>
          <w:szCs w:val="22"/>
          <w:lang w:val="en-CA"/>
        </w:rPr>
        <w:t>As part of the transition to the NDS, the Human Resources Branch reviewed its organizational approval process for staffing. To correct delays, it has implemented a streamlined electronic approvals process with its hiring managers.</w:t>
      </w:r>
    </w:p>
    <w:p w14:paraId="3B11F84D" w14:textId="77777777" w:rsidR="002944FE" w:rsidRPr="000F056F" w:rsidRDefault="002944FE" w:rsidP="00277A38">
      <w:pPr>
        <w:pStyle w:val="NormalWeb"/>
        <w:spacing w:before="0" w:beforeAutospacing="0" w:after="120" w:afterAutospacing="0"/>
        <w:rPr>
          <w:rFonts w:asciiTheme="minorHAnsi" w:hAnsiTheme="minorHAnsi" w:cstheme="minorHAnsi"/>
          <w:sz w:val="22"/>
          <w:szCs w:val="22"/>
          <w:lang w:val="en-CA"/>
        </w:rPr>
      </w:pPr>
      <w:r w:rsidRPr="000F056F">
        <w:rPr>
          <w:rFonts w:asciiTheme="minorHAnsi" w:hAnsiTheme="minorHAnsi" w:cstheme="minorHAnsi"/>
          <w:sz w:val="22"/>
          <w:szCs w:val="22"/>
          <w:lang w:val="en-CA"/>
        </w:rPr>
        <w:t>The CGC is currently in the process of reviewing and updating its human resources sub-delegation instrument. Once this exercise has been completed, it will be sent to the DH through the approvals process.</w:t>
      </w:r>
    </w:p>
    <w:p w14:paraId="1F8E2950" w14:textId="77777777" w:rsidR="002944FE" w:rsidRPr="000F056F" w:rsidRDefault="002944FE" w:rsidP="00277A38">
      <w:pPr>
        <w:pStyle w:val="Heading3"/>
        <w:spacing w:after="120"/>
        <w:rPr>
          <w:rFonts w:ascii="Segoe UI" w:hAnsi="Segoe UI" w:cs="Segoe UI"/>
          <w:b/>
          <w:bCs/>
          <w:lang w:val="en-CA"/>
        </w:rPr>
      </w:pPr>
      <w:r w:rsidRPr="000F056F">
        <w:rPr>
          <w:rFonts w:ascii="Segoe UI" w:hAnsi="Segoe UI" w:cs="Segoe UI"/>
          <w:b/>
          <w:bCs/>
          <w:lang w:val="en-CA"/>
        </w:rPr>
        <w:t>Monitoring</w:t>
      </w:r>
    </w:p>
    <w:p w14:paraId="51E0C8A2" w14:textId="77777777" w:rsidR="00277A38" w:rsidRPr="000F056F" w:rsidRDefault="002944FE" w:rsidP="00277A38">
      <w:pPr>
        <w:pStyle w:val="NormalWeb"/>
        <w:spacing w:before="0" w:beforeAutospacing="0" w:after="120" w:afterAutospacing="0"/>
        <w:rPr>
          <w:rFonts w:asciiTheme="minorHAnsi" w:hAnsiTheme="minorHAnsi" w:cstheme="minorHAnsi"/>
          <w:color w:val="000000"/>
          <w:sz w:val="22"/>
          <w:szCs w:val="22"/>
          <w:lang w:val="en-CA"/>
        </w:rPr>
        <w:sectPr w:rsidR="00277A38" w:rsidRPr="000F056F" w:rsidSect="005D4281">
          <w:pgSz w:w="12240" w:h="15840"/>
          <w:pgMar w:top="1440" w:right="1080" w:bottom="1440" w:left="1080" w:header="709" w:footer="284" w:gutter="0"/>
          <w:cols w:space="708"/>
          <w:titlePg/>
          <w:docGrid w:linePitch="360"/>
        </w:sectPr>
      </w:pPr>
      <w:r w:rsidRPr="000F056F">
        <w:rPr>
          <w:rFonts w:asciiTheme="minorHAnsi" w:hAnsiTheme="minorHAnsi" w:cstheme="minorHAnsi"/>
          <w:color w:val="000000"/>
          <w:sz w:val="22"/>
          <w:szCs w:val="22"/>
          <w:lang w:val="en-CA"/>
        </w:rPr>
        <w:t>The CGC’s Appointment Policy includes staffing monitoring guidelines. The organization worked with its Staffing Support Advisor (SSA) in 2017 and 2019 to update its monitoring framework. This exercise was recently completed.</w:t>
      </w:r>
    </w:p>
    <w:p w14:paraId="34D5170F" w14:textId="77777777" w:rsidR="002944FE" w:rsidRPr="000F056F" w:rsidRDefault="002944FE" w:rsidP="008E37FE">
      <w:pPr>
        <w:pStyle w:val="Heading3"/>
        <w:spacing w:after="120"/>
        <w:rPr>
          <w:rFonts w:ascii="Segoe UI" w:hAnsi="Segoe UI" w:cs="Segoe UI"/>
          <w:b/>
          <w:bCs/>
          <w:lang w:val="en-CA"/>
        </w:rPr>
      </w:pPr>
      <w:r w:rsidRPr="000F056F">
        <w:rPr>
          <w:rFonts w:ascii="Segoe UI" w:hAnsi="Segoe UI" w:cs="Segoe UI"/>
          <w:b/>
          <w:bCs/>
          <w:lang w:val="en-CA"/>
        </w:rPr>
        <w:lastRenderedPageBreak/>
        <w:t>Organizational Engagement</w:t>
      </w:r>
    </w:p>
    <w:p w14:paraId="2329B158" w14:textId="77777777" w:rsidR="002944FE" w:rsidRPr="000F056F" w:rsidRDefault="002944FE" w:rsidP="00277A38">
      <w:pPr>
        <w:pStyle w:val="NormalWeb"/>
        <w:spacing w:before="0" w:beforeAutospacing="0" w:after="120" w:afterAutospacing="0"/>
        <w:rPr>
          <w:rFonts w:asciiTheme="minorHAnsi" w:hAnsiTheme="minorHAnsi" w:cstheme="minorHAnsi"/>
          <w:sz w:val="22"/>
          <w:szCs w:val="22"/>
          <w:lang w:val="en-CA"/>
        </w:rPr>
      </w:pPr>
      <w:r w:rsidRPr="000F056F">
        <w:rPr>
          <w:rFonts w:asciiTheme="minorHAnsi" w:hAnsiTheme="minorHAnsi" w:cstheme="minorHAnsi"/>
          <w:sz w:val="22"/>
          <w:szCs w:val="22"/>
          <w:lang w:val="en-CA"/>
        </w:rPr>
        <w:t>During the SSA’s visit to the CGC headquarters in Winnipeg in May 2019, sessions were delivered to the CGC’s human resources team on diverse topics. These included NDS staffing scenarios, effective merit criteria, leveraging staffing options related to employment equity (EE), staffing experimentation taking place in the public service, and PSC and NDS updates.</w:t>
      </w:r>
    </w:p>
    <w:p w14:paraId="3D6C996A" w14:textId="77777777" w:rsidR="002944FE" w:rsidRPr="000F056F" w:rsidRDefault="002944FE" w:rsidP="00277A38">
      <w:pPr>
        <w:pStyle w:val="NormalWeb"/>
        <w:spacing w:before="0" w:beforeAutospacing="0" w:after="120" w:afterAutospacing="0"/>
        <w:rPr>
          <w:rFonts w:asciiTheme="minorHAnsi" w:hAnsiTheme="minorHAnsi" w:cstheme="minorHAnsi"/>
          <w:sz w:val="22"/>
          <w:szCs w:val="22"/>
          <w:lang w:val="en-CA"/>
        </w:rPr>
      </w:pPr>
      <w:r w:rsidRPr="000F056F">
        <w:rPr>
          <w:rFonts w:asciiTheme="minorHAnsi" w:hAnsiTheme="minorHAnsi" w:cstheme="minorHAnsi"/>
          <w:sz w:val="22"/>
          <w:szCs w:val="22"/>
          <w:lang w:val="en-CA"/>
        </w:rPr>
        <w:t>In 2020, the SSA used virtual means to engage with the CGC. In June 2020, the SSA attended the CGC’s staffing team meeting to provide various PSC and NDS updates and answer questions. In November 2020, the SSA led an NDS scenario session for 75 managers during the CGC's Managers Forum.</w:t>
      </w:r>
    </w:p>
    <w:p w14:paraId="46389A2D" w14:textId="77777777" w:rsidR="002944FE" w:rsidRPr="000F056F" w:rsidRDefault="002944FE" w:rsidP="00277A38">
      <w:pPr>
        <w:pStyle w:val="NormalWeb"/>
        <w:spacing w:before="0" w:beforeAutospacing="0" w:after="120" w:afterAutospacing="0"/>
        <w:rPr>
          <w:rFonts w:asciiTheme="minorHAnsi" w:hAnsiTheme="minorHAnsi" w:cstheme="minorHAnsi"/>
          <w:sz w:val="22"/>
          <w:szCs w:val="22"/>
          <w:highlight w:val="yellow"/>
          <w:lang w:val="en-CA"/>
        </w:rPr>
      </w:pPr>
      <w:r w:rsidRPr="000F056F">
        <w:rPr>
          <w:rFonts w:asciiTheme="minorHAnsi" w:hAnsiTheme="minorHAnsi" w:cstheme="minorHAnsi"/>
          <w:sz w:val="22"/>
          <w:szCs w:val="22"/>
          <w:lang w:val="en-CA"/>
        </w:rPr>
        <w:t>The SSA is currently in discussions with the organization about possible topics of interest for future virtual sessions, such as additional NDS scenario sessions with managers, and ways to improve the establishment of merit criteria, candidate assessments and job posters. Recently, the SSA has started having monthly video meetings with the organizational contact and plans to hold a virtual organizational visit with the human resources team in 2021.</w:t>
      </w:r>
    </w:p>
    <w:p w14:paraId="047F9521" w14:textId="77777777" w:rsidR="002944FE" w:rsidRPr="000F056F" w:rsidRDefault="002944FE" w:rsidP="00277A38">
      <w:pPr>
        <w:pStyle w:val="Heading1"/>
        <w:spacing w:after="120"/>
        <w:rPr>
          <w:rFonts w:cstheme="majorHAnsi"/>
          <w:lang w:val="en-CA"/>
        </w:rPr>
      </w:pPr>
      <w:r w:rsidRPr="000F056F">
        <w:rPr>
          <w:rFonts w:cstheme="majorHAnsi"/>
          <w:lang w:val="en-CA"/>
        </w:rPr>
        <w:t>Appointment Delegation and Accountability Instrument Annex D Reporting</w:t>
      </w:r>
    </w:p>
    <w:p w14:paraId="74F5E098" w14:textId="77777777" w:rsidR="002944FE" w:rsidRPr="000F056F" w:rsidRDefault="002944FE" w:rsidP="000A26AC">
      <w:pPr>
        <w:pStyle w:val="Heading2"/>
        <w:spacing w:after="120"/>
        <w:rPr>
          <w:lang w:val="en-CA"/>
        </w:rPr>
      </w:pPr>
      <w:r w:rsidRPr="000F056F">
        <w:rPr>
          <w:lang w:val="en-CA"/>
        </w:rPr>
        <w:t xml:space="preserve">Use of the </w:t>
      </w:r>
      <w:r w:rsidRPr="000F056F">
        <w:rPr>
          <w:rStyle w:val="Emphasis"/>
          <w:rFonts w:ascii="Segoe UI" w:hAnsi="Segoe UI"/>
          <w:lang w:val="en-CA"/>
        </w:rPr>
        <w:t>Public Service Official Languages Exclusion Approval Order</w:t>
      </w:r>
      <w:r w:rsidRPr="000F056F">
        <w:rPr>
          <w:lang w:val="en-CA"/>
        </w:rPr>
        <w:t xml:space="preserve"> (PSOLEAO) and the </w:t>
      </w:r>
      <w:r w:rsidRPr="000F056F">
        <w:rPr>
          <w:rStyle w:val="Emphasis"/>
          <w:rFonts w:ascii="Segoe UI" w:hAnsi="Segoe UI"/>
          <w:lang w:val="en-CA"/>
        </w:rPr>
        <w:t>Public Service Official Languages Appointment Regulations</w:t>
      </w:r>
      <w:r w:rsidRPr="000F056F">
        <w:rPr>
          <w:lang w:val="en-CA"/>
        </w:rPr>
        <w:t xml:space="preserve"> (PSOLAR)</w:t>
      </w:r>
    </w:p>
    <w:p w14:paraId="42C843E9" w14:textId="77777777" w:rsidR="002944FE" w:rsidRPr="000F056F" w:rsidRDefault="002944FE" w:rsidP="000A26AC">
      <w:pPr>
        <w:pStyle w:val="NormalWeb"/>
        <w:spacing w:before="0" w:beforeAutospacing="0" w:after="120" w:afterAutospacing="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The CGC reported that the organization made no use of the PSOLEAO and the PSOLAR during the period of April 1, 2019 to March 31, 2020.</w:t>
      </w:r>
    </w:p>
    <w:p w14:paraId="55E0F144" w14:textId="77777777" w:rsidR="002944FE" w:rsidRPr="000F056F" w:rsidRDefault="002944FE" w:rsidP="000A26AC">
      <w:pPr>
        <w:pStyle w:val="Heading2"/>
        <w:spacing w:after="120"/>
        <w:rPr>
          <w:lang w:val="en-CA"/>
        </w:rPr>
      </w:pPr>
      <w:r w:rsidRPr="000F056F">
        <w:rPr>
          <w:lang w:val="en-CA"/>
        </w:rPr>
        <w:t>Approved Deputy Head Exceptions to the National Area of Selection (NAOS) Requirements for an External Advertised Appointment Process</w:t>
      </w:r>
    </w:p>
    <w:p w14:paraId="2BC5E9D6" w14:textId="77777777" w:rsidR="002944FE" w:rsidRPr="000F056F" w:rsidRDefault="002944FE" w:rsidP="000A26AC">
      <w:pPr>
        <w:pStyle w:val="NoSpacing"/>
        <w:spacing w:after="12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The CGC reported that the DH did not approve any exceptions to the NAOS during the period of April 1, 2019 to March 31, 2020.</w:t>
      </w:r>
    </w:p>
    <w:p w14:paraId="7310CBBA" w14:textId="77777777" w:rsidR="002944FE" w:rsidRPr="000F056F" w:rsidRDefault="002944FE" w:rsidP="000A26AC">
      <w:pPr>
        <w:pStyle w:val="Heading2"/>
        <w:spacing w:after="120"/>
        <w:rPr>
          <w:lang w:val="en-CA"/>
        </w:rPr>
      </w:pPr>
      <w:r w:rsidRPr="000F056F">
        <w:rPr>
          <w:lang w:val="en-CA"/>
        </w:rPr>
        <w:t>Results of Organizational Cyclical Assessment</w:t>
      </w:r>
    </w:p>
    <w:p w14:paraId="6BD1BA36" w14:textId="77777777" w:rsidR="000A26AC" w:rsidRPr="000F056F" w:rsidRDefault="002944FE" w:rsidP="000A26AC">
      <w:pPr>
        <w:spacing w:after="120"/>
        <w:rPr>
          <w:rFonts w:asciiTheme="minorHAnsi" w:hAnsiTheme="minorHAnsi" w:cstheme="minorHAnsi"/>
          <w:sz w:val="22"/>
          <w:szCs w:val="22"/>
          <w:lang w:val="en-CA"/>
        </w:rPr>
        <w:sectPr w:rsidR="000A26AC" w:rsidRPr="000F056F" w:rsidSect="005D4281">
          <w:pgSz w:w="12240" w:h="15840"/>
          <w:pgMar w:top="1440" w:right="1080" w:bottom="1440" w:left="1080" w:header="709" w:footer="284" w:gutter="0"/>
          <w:cols w:space="708"/>
          <w:titlePg/>
          <w:docGrid w:linePitch="360"/>
        </w:sectPr>
      </w:pPr>
      <w:r w:rsidRPr="000F056F">
        <w:rPr>
          <w:rFonts w:asciiTheme="minorHAnsi" w:hAnsiTheme="minorHAnsi" w:cstheme="minorHAnsi"/>
          <w:sz w:val="22"/>
          <w:szCs w:val="22"/>
          <w:lang w:val="en-CA"/>
        </w:rPr>
        <w:t>The CGC intends to complete its first cyclical assessment by the end of the 2020-2021 fiscal year. The Human Resources Branch is collaborating with the CGC’s internal audit team on aspects relating to compliance. The SSA also continues to provide support to the organization throughout this project.</w:t>
      </w:r>
    </w:p>
    <w:p w14:paraId="294A3EF6" w14:textId="77777777" w:rsidR="002944FE" w:rsidRPr="000F056F" w:rsidRDefault="002944FE" w:rsidP="000A26AC">
      <w:pPr>
        <w:pStyle w:val="Heading2"/>
        <w:spacing w:after="120"/>
        <w:rPr>
          <w:lang w:val="en-CA"/>
        </w:rPr>
      </w:pPr>
      <w:r w:rsidRPr="000F056F">
        <w:rPr>
          <w:lang w:val="en-CA"/>
        </w:rPr>
        <w:lastRenderedPageBreak/>
        <w:t>Inquiries and Trends</w:t>
      </w:r>
    </w:p>
    <w:p w14:paraId="595957B1" w14:textId="77777777" w:rsidR="002944FE" w:rsidRPr="000F056F" w:rsidRDefault="002944FE" w:rsidP="002944FE">
      <w:pPr>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The CGC is in regular contact with the SSA on a variety of topics with most questions related to assessments. Other inquiries included:</w:t>
      </w:r>
    </w:p>
    <w:p w14:paraId="53861870" w14:textId="77777777" w:rsidR="002944FE" w:rsidRPr="000F056F" w:rsidRDefault="002944FE" w:rsidP="000A26AC">
      <w:pPr>
        <w:pStyle w:val="ListParagraph"/>
        <w:numPr>
          <w:ilvl w:val="0"/>
          <w:numId w:val="17"/>
        </w:numPr>
        <w:spacing w:after="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 xml:space="preserve">student </w:t>
      </w:r>
      <w:proofErr w:type="gramStart"/>
      <w:r w:rsidRPr="000F056F">
        <w:rPr>
          <w:rFonts w:asciiTheme="minorHAnsi" w:hAnsiTheme="minorHAnsi" w:cstheme="minorHAnsi"/>
          <w:color w:val="000000"/>
          <w:sz w:val="22"/>
          <w:szCs w:val="22"/>
          <w:lang w:val="en-CA"/>
        </w:rPr>
        <w:t>hiring;</w:t>
      </w:r>
      <w:proofErr w:type="gramEnd"/>
      <w:r w:rsidRPr="000F056F">
        <w:rPr>
          <w:rFonts w:asciiTheme="minorHAnsi" w:hAnsiTheme="minorHAnsi" w:cstheme="minorHAnsi"/>
          <w:color w:val="000000"/>
          <w:sz w:val="22"/>
          <w:szCs w:val="22"/>
          <w:lang w:val="en-CA"/>
        </w:rPr>
        <w:t xml:space="preserve"> </w:t>
      </w:r>
    </w:p>
    <w:p w14:paraId="5A64532F" w14:textId="77777777" w:rsidR="002944FE" w:rsidRPr="000F056F" w:rsidRDefault="002944FE" w:rsidP="000A26AC">
      <w:pPr>
        <w:pStyle w:val="ListParagraph"/>
        <w:numPr>
          <w:ilvl w:val="0"/>
          <w:numId w:val="17"/>
        </w:numPr>
        <w:spacing w:after="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 xml:space="preserve">priority </w:t>
      </w:r>
      <w:proofErr w:type="gramStart"/>
      <w:r w:rsidRPr="000F056F">
        <w:rPr>
          <w:rFonts w:asciiTheme="minorHAnsi" w:hAnsiTheme="minorHAnsi" w:cstheme="minorHAnsi"/>
          <w:color w:val="000000"/>
          <w:sz w:val="22"/>
          <w:szCs w:val="22"/>
          <w:lang w:val="en-CA"/>
        </w:rPr>
        <w:t>entitlements;</w:t>
      </w:r>
      <w:proofErr w:type="gramEnd"/>
    </w:p>
    <w:p w14:paraId="55D80B63" w14:textId="77777777" w:rsidR="002944FE" w:rsidRPr="000F056F" w:rsidRDefault="002944FE" w:rsidP="000A26AC">
      <w:pPr>
        <w:pStyle w:val="ListParagraph"/>
        <w:numPr>
          <w:ilvl w:val="0"/>
          <w:numId w:val="17"/>
        </w:numPr>
        <w:spacing w:after="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 xml:space="preserve">PSC’s new unsupervised second language evaluations and temporary measures to provide flexibility in assessing second language </w:t>
      </w:r>
      <w:proofErr w:type="gramStart"/>
      <w:r w:rsidRPr="000F056F">
        <w:rPr>
          <w:rFonts w:asciiTheme="minorHAnsi" w:hAnsiTheme="minorHAnsi" w:cstheme="minorHAnsi"/>
          <w:color w:val="000000"/>
          <w:sz w:val="22"/>
          <w:szCs w:val="22"/>
          <w:lang w:val="en-CA"/>
        </w:rPr>
        <w:t>qualifications;</w:t>
      </w:r>
      <w:proofErr w:type="gramEnd"/>
    </w:p>
    <w:p w14:paraId="5C39C295" w14:textId="77777777" w:rsidR="002944FE" w:rsidRPr="000F056F" w:rsidRDefault="002944FE" w:rsidP="002944FE">
      <w:pPr>
        <w:pStyle w:val="ListParagraph"/>
        <w:numPr>
          <w:ilvl w:val="0"/>
          <w:numId w:val="17"/>
        </w:numPr>
        <w:spacing w:after="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 xml:space="preserve">PSC's new toolkit on video </w:t>
      </w:r>
      <w:proofErr w:type="gramStart"/>
      <w:r w:rsidRPr="000F056F">
        <w:rPr>
          <w:rFonts w:asciiTheme="minorHAnsi" w:hAnsiTheme="minorHAnsi" w:cstheme="minorHAnsi"/>
          <w:color w:val="000000"/>
          <w:sz w:val="22"/>
          <w:szCs w:val="22"/>
          <w:lang w:val="en-CA"/>
        </w:rPr>
        <w:t>interviews;</w:t>
      </w:r>
      <w:proofErr w:type="gramEnd"/>
    </w:p>
    <w:p w14:paraId="2EEAC45E" w14:textId="77777777" w:rsidR="002944FE" w:rsidRPr="000F056F" w:rsidRDefault="002944FE" w:rsidP="002944FE">
      <w:pPr>
        <w:pStyle w:val="ListParagraph"/>
        <w:numPr>
          <w:ilvl w:val="0"/>
          <w:numId w:val="17"/>
        </w:numPr>
        <w:spacing w:after="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 xml:space="preserve">exemptions to meeting official languages for acting </w:t>
      </w:r>
      <w:proofErr w:type="gramStart"/>
      <w:r w:rsidRPr="000F056F">
        <w:rPr>
          <w:rFonts w:asciiTheme="minorHAnsi" w:hAnsiTheme="minorHAnsi" w:cstheme="minorHAnsi"/>
          <w:color w:val="000000"/>
          <w:sz w:val="22"/>
          <w:szCs w:val="22"/>
          <w:lang w:val="en-CA"/>
        </w:rPr>
        <w:t>appointments;</w:t>
      </w:r>
      <w:proofErr w:type="gramEnd"/>
    </w:p>
    <w:p w14:paraId="7F7C15BF" w14:textId="77777777" w:rsidR="002944FE" w:rsidRPr="000F056F" w:rsidRDefault="002944FE" w:rsidP="002944FE">
      <w:pPr>
        <w:pStyle w:val="ListParagraph"/>
        <w:numPr>
          <w:ilvl w:val="0"/>
          <w:numId w:val="17"/>
        </w:numPr>
        <w:spacing w:after="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direction on the use of advertised and non-advertised appointment processes; and</w:t>
      </w:r>
    </w:p>
    <w:p w14:paraId="565B4B27" w14:textId="77777777" w:rsidR="002944FE" w:rsidRPr="000F056F" w:rsidRDefault="002944FE" w:rsidP="000A26AC">
      <w:pPr>
        <w:pStyle w:val="ListParagraph"/>
        <w:numPr>
          <w:ilvl w:val="0"/>
          <w:numId w:val="17"/>
        </w:numPr>
        <w:spacing w:after="12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use of telework on GC Jobs advertisements.</w:t>
      </w:r>
    </w:p>
    <w:p w14:paraId="629B1104" w14:textId="77777777" w:rsidR="002944FE" w:rsidRPr="000F056F" w:rsidRDefault="002944FE" w:rsidP="000A26AC">
      <w:pPr>
        <w:pStyle w:val="Heading1"/>
        <w:spacing w:after="120"/>
        <w:rPr>
          <w:rFonts w:cstheme="majorHAnsi"/>
          <w:lang w:val="en-CA"/>
        </w:rPr>
      </w:pPr>
      <w:r w:rsidRPr="000F056F">
        <w:rPr>
          <w:rFonts w:cstheme="majorHAnsi"/>
          <w:lang w:val="en-CA"/>
        </w:rPr>
        <w:t>Oversight</w:t>
      </w:r>
    </w:p>
    <w:p w14:paraId="04C76A02" w14:textId="77777777" w:rsidR="002944FE" w:rsidRPr="000F056F" w:rsidRDefault="002944FE" w:rsidP="000A26AC">
      <w:pPr>
        <w:pStyle w:val="Heading2"/>
        <w:spacing w:after="120"/>
        <w:rPr>
          <w:u w:val="single"/>
          <w:lang w:val="en-CA"/>
        </w:rPr>
      </w:pPr>
      <w:r w:rsidRPr="000F056F">
        <w:rPr>
          <w:lang w:val="en-CA"/>
        </w:rPr>
        <w:t>Audits</w:t>
      </w:r>
    </w:p>
    <w:p w14:paraId="6C17DCC5" w14:textId="77777777" w:rsidR="002944FE" w:rsidRPr="000F056F" w:rsidRDefault="002944FE" w:rsidP="000A26AC">
      <w:pPr>
        <w:autoSpaceDE w:val="0"/>
        <w:autoSpaceDN w:val="0"/>
        <w:adjustRightInd w:val="0"/>
        <w:spacing w:after="120"/>
        <w:rPr>
          <w:rFonts w:asciiTheme="minorHAnsi" w:hAnsiTheme="minorHAnsi" w:cstheme="minorHAnsi"/>
          <w:bCs/>
          <w:sz w:val="22"/>
          <w:szCs w:val="22"/>
          <w:lang w:val="en-CA"/>
        </w:rPr>
      </w:pPr>
      <w:r w:rsidRPr="000F056F">
        <w:rPr>
          <w:rFonts w:asciiTheme="minorHAnsi" w:hAnsiTheme="minorHAnsi" w:cstheme="minorHAnsi"/>
          <w:sz w:val="22"/>
          <w:szCs w:val="22"/>
          <w:lang w:val="en-CA"/>
        </w:rPr>
        <w:t xml:space="preserve">The CGC was among the 30 organizations that participated in the PSC’s Audit of Employment Equity Representation in Recruitment recently completed and one of the 14 organizations selected for the horizontal Audit of FSWEP that is currently underway. </w:t>
      </w:r>
    </w:p>
    <w:p w14:paraId="649D1CB3" w14:textId="77777777" w:rsidR="002944FE" w:rsidRPr="000F056F" w:rsidRDefault="002944FE" w:rsidP="000A26AC">
      <w:pPr>
        <w:autoSpaceDE w:val="0"/>
        <w:autoSpaceDN w:val="0"/>
        <w:adjustRightInd w:val="0"/>
        <w:spacing w:after="120"/>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The objective of the Audit of EE Representation in Recruitment was to </w:t>
      </w:r>
      <w:r w:rsidRPr="000F056F">
        <w:rPr>
          <w:rFonts w:asciiTheme="minorHAnsi" w:hAnsiTheme="minorHAnsi" w:cstheme="minorHAnsi"/>
          <w:bCs/>
          <w:sz w:val="22"/>
          <w:szCs w:val="22"/>
          <w:lang w:val="en-CA"/>
        </w:rPr>
        <w:t xml:space="preserve">determine whether the four designated EE groups are proportionately represented in recruitment processes and to </w:t>
      </w:r>
      <w:r w:rsidRPr="000F056F">
        <w:rPr>
          <w:rFonts w:asciiTheme="minorHAnsi" w:hAnsiTheme="minorHAnsi" w:cstheme="minorHAnsi"/>
          <w:sz w:val="22"/>
          <w:szCs w:val="22"/>
          <w:lang w:val="en-CA"/>
        </w:rPr>
        <w:t xml:space="preserve">identify key factors that influence representation in the appointment system among the four designated EE groups. The audit report was published in January 2021. </w:t>
      </w:r>
    </w:p>
    <w:p w14:paraId="3D2F2DEF" w14:textId="77777777" w:rsidR="002944FE" w:rsidRPr="000F056F" w:rsidRDefault="002944FE" w:rsidP="000A26AC">
      <w:pPr>
        <w:autoSpaceDE w:val="0"/>
        <w:autoSpaceDN w:val="0"/>
        <w:adjustRightInd w:val="0"/>
        <w:spacing w:after="120"/>
        <w:rPr>
          <w:rFonts w:asciiTheme="minorHAnsi" w:hAnsiTheme="minorHAnsi" w:cstheme="minorHAnsi"/>
          <w:bCs/>
          <w:sz w:val="22"/>
          <w:szCs w:val="22"/>
          <w:lang w:val="en-CA"/>
        </w:rPr>
      </w:pPr>
      <w:r w:rsidRPr="000F056F">
        <w:rPr>
          <w:rFonts w:asciiTheme="minorHAnsi" w:hAnsiTheme="minorHAnsi" w:cstheme="minorHAnsi"/>
          <w:sz w:val="22"/>
          <w:szCs w:val="22"/>
          <w:lang w:val="en-CA"/>
        </w:rPr>
        <w:t xml:space="preserve">The FSWEP audit objectives are to </w:t>
      </w:r>
      <w:r w:rsidRPr="000F056F">
        <w:rPr>
          <w:rFonts w:asciiTheme="minorHAnsi" w:hAnsiTheme="minorHAnsi" w:cstheme="minorHAnsi"/>
          <w:bCs/>
          <w:sz w:val="22"/>
          <w:szCs w:val="22"/>
          <w:lang w:val="en-CA"/>
        </w:rPr>
        <w:t>determine if student appointments under the FSWEP are compliant with key legislative, policy and regulatory requirements and</w:t>
      </w:r>
      <w:r w:rsidRPr="000F056F">
        <w:rPr>
          <w:rFonts w:asciiTheme="minorHAnsi" w:hAnsiTheme="minorHAnsi" w:cstheme="minorHAnsi"/>
          <w:sz w:val="22"/>
          <w:szCs w:val="22"/>
          <w:lang w:val="en-CA"/>
        </w:rPr>
        <w:t xml:space="preserve"> to determine the extent to which organizational roles, responsibilities and practices influence the use of FSWEP.</w:t>
      </w:r>
      <w:r w:rsidRPr="000F056F">
        <w:rPr>
          <w:rFonts w:asciiTheme="minorHAnsi" w:hAnsiTheme="minorHAnsi" w:cstheme="minorHAnsi"/>
          <w:bCs/>
          <w:sz w:val="22"/>
          <w:szCs w:val="22"/>
          <w:lang w:val="en-CA"/>
        </w:rPr>
        <w:t xml:space="preserve"> The audit report is expected to be published in spring 2021.</w:t>
      </w:r>
    </w:p>
    <w:p w14:paraId="246AB86B" w14:textId="77777777" w:rsidR="002944FE" w:rsidRPr="000F056F" w:rsidRDefault="002944FE" w:rsidP="000A26AC">
      <w:pPr>
        <w:pStyle w:val="Heading2"/>
        <w:spacing w:after="120"/>
        <w:rPr>
          <w:u w:val="single"/>
          <w:lang w:val="en-CA"/>
        </w:rPr>
      </w:pPr>
      <w:r w:rsidRPr="000F056F">
        <w:rPr>
          <w:lang w:val="en-CA"/>
        </w:rPr>
        <w:t>Investigations</w:t>
      </w:r>
    </w:p>
    <w:p w14:paraId="6384DB73" w14:textId="77777777" w:rsidR="002944FE" w:rsidRPr="00031404" w:rsidRDefault="002944FE" w:rsidP="00031404">
      <w:pPr>
        <w:autoSpaceDE w:val="0"/>
        <w:autoSpaceDN w:val="0"/>
        <w:adjustRightInd w:val="0"/>
        <w:spacing w:after="120"/>
        <w:rPr>
          <w:rFonts w:asciiTheme="minorHAnsi" w:hAnsiTheme="minorHAnsi" w:cstheme="minorHAnsi"/>
          <w:sz w:val="22"/>
          <w:szCs w:val="22"/>
          <w:lang w:val="en-CA"/>
        </w:rPr>
      </w:pPr>
      <w:r w:rsidRPr="00031404">
        <w:rPr>
          <w:rFonts w:asciiTheme="minorHAnsi" w:hAnsiTheme="minorHAnsi" w:cstheme="minorHAnsi"/>
          <w:sz w:val="22"/>
          <w:szCs w:val="22"/>
          <w:lang w:val="en-CA"/>
        </w:rPr>
        <w:t xml:space="preserve">Between January 8, 2020 and January 8, 2021, one allegation relating to the CGC was received by the PSC under s.66 External Appointments (i.e. merit, error, omission, improper conduct) of the </w:t>
      </w:r>
      <w:r w:rsidRPr="00031404">
        <w:rPr>
          <w:i/>
          <w:iCs/>
          <w:szCs w:val="22"/>
        </w:rPr>
        <w:t>Public Service Employment Act</w:t>
      </w:r>
      <w:r w:rsidRPr="00031404">
        <w:rPr>
          <w:rFonts w:asciiTheme="minorHAnsi" w:hAnsiTheme="minorHAnsi" w:cstheme="minorHAnsi"/>
          <w:sz w:val="22"/>
          <w:szCs w:val="22"/>
          <w:lang w:val="en-CA"/>
        </w:rPr>
        <w:t xml:space="preserve"> (PSEA). However, it was closed by the PSC upon receipt.</w:t>
      </w:r>
    </w:p>
    <w:p w14:paraId="0B8DC34C" w14:textId="77777777" w:rsidR="002944FE" w:rsidRPr="000F056F" w:rsidRDefault="002944FE" w:rsidP="000A26AC">
      <w:pPr>
        <w:pStyle w:val="Heading2"/>
        <w:spacing w:after="120"/>
        <w:rPr>
          <w:u w:val="single"/>
          <w:lang w:val="en-CA"/>
        </w:rPr>
      </w:pPr>
      <w:r w:rsidRPr="000F056F">
        <w:rPr>
          <w:lang w:val="en-CA"/>
        </w:rPr>
        <w:t>Staffing and Non-Partisanship Survey Results</w:t>
      </w:r>
    </w:p>
    <w:p w14:paraId="324CC6C5" w14:textId="77777777" w:rsidR="00B75DF3" w:rsidRPr="000F056F" w:rsidRDefault="002944FE" w:rsidP="000A26AC">
      <w:pPr>
        <w:pStyle w:val="ListParagraph"/>
        <w:spacing w:after="120"/>
        <w:contextualSpacing w:val="0"/>
        <w:rPr>
          <w:rFonts w:asciiTheme="minorHAnsi" w:hAnsiTheme="minorHAnsi" w:cstheme="minorHAnsi"/>
          <w:sz w:val="22"/>
          <w:szCs w:val="22"/>
          <w:lang w:val="en-CA" w:eastAsia="en-CA"/>
        </w:rPr>
        <w:sectPr w:rsidR="00B75DF3" w:rsidRPr="000F056F" w:rsidSect="005D4281">
          <w:pgSz w:w="12240" w:h="15840"/>
          <w:pgMar w:top="1440" w:right="1080" w:bottom="1440" w:left="1080" w:header="709" w:footer="284" w:gutter="0"/>
          <w:cols w:space="708"/>
          <w:titlePg/>
          <w:docGrid w:linePitch="360"/>
        </w:sectPr>
      </w:pPr>
      <w:r w:rsidRPr="000F056F">
        <w:rPr>
          <w:rFonts w:asciiTheme="minorHAnsi" w:hAnsiTheme="minorHAnsi" w:cstheme="minorHAnsi"/>
          <w:sz w:val="22"/>
          <w:szCs w:val="22"/>
          <w:lang w:val="en-CA" w:eastAsia="en-CA"/>
        </w:rPr>
        <w:t xml:space="preserve">Overall, the CGC’s Staffing and Non-Partisanship Survey (SNPS) results are positive when compared to similar sized organizations and the public service, specifically pertaining to employee perceptions of transparency and fairness in staffing processes. Employees were also more likely than those in similar sized organizations and the public service </w:t>
      </w:r>
      <w:proofErr w:type="gramStart"/>
      <w:r w:rsidRPr="000F056F">
        <w:rPr>
          <w:rFonts w:asciiTheme="minorHAnsi" w:hAnsiTheme="minorHAnsi" w:cstheme="minorHAnsi"/>
          <w:sz w:val="22"/>
          <w:szCs w:val="22"/>
          <w:lang w:val="en-CA" w:eastAsia="en-CA"/>
        </w:rPr>
        <w:t>as a whole to</w:t>
      </w:r>
      <w:proofErr w:type="gramEnd"/>
      <w:r w:rsidRPr="000F056F">
        <w:rPr>
          <w:rFonts w:asciiTheme="minorHAnsi" w:hAnsiTheme="minorHAnsi" w:cstheme="minorHAnsi"/>
          <w:sz w:val="22"/>
          <w:szCs w:val="22"/>
          <w:lang w:val="en-CA" w:eastAsia="en-CA"/>
        </w:rPr>
        <w:t xml:space="preserve"> indicate that staffing is less dependent on who you know and that the people hired can do the job. The remainder of the results are relatively consistent with similar sized organizations and the public </w:t>
      </w:r>
      <w:proofErr w:type="gramStart"/>
      <w:r w:rsidRPr="000F056F">
        <w:rPr>
          <w:rFonts w:asciiTheme="minorHAnsi" w:hAnsiTheme="minorHAnsi" w:cstheme="minorHAnsi"/>
          <w:sz w:val="22"/>
          <w:szCs w:val="22"/>
          <w:lang w:val="en-CA" w:eastAsia="en-CA"/>
        </w:rPr>
        <w:t>service as a whole</w:t>
      </w:r>
      <w:proofErr w:type="gramEnd"/>
      <w:r w:rsidRPr="000F056F">
        <w:rPr>
          <w:rFonts w:asciiTheme="minorHAnsi" w:hAnsiTheme="minorHAnsi" w:cstheme="minorHAnsi"/>
          <w:sz w:val="22"/>
          <w:szCs w:val="22"/>
          <w:lang w:val="en-CA" w:eastAsia="en-CA"/>
        </w:rPr>
        <w:t>.</w:t>
      </w:r>
    </w:p>
    <w:p w14:paraId="511F45DD" w14:textId="77777777" w:rsidR="002944FE" w:rsidRPr="000F056F" w:rsidRDefault="002944FE" w:rsidP="002944FE">
      <w:pPr>
        <w:pStyle w:val="ListParagraph"/>
        <w:spacing w:after="0"/>
        <w:rPr>
          <w:rFonts w:asciiTheme="minorHAnsi" w:hAnsiTheme="minorHAnsi" w:cstheme="minorHAnsi"/>
          <w:sz w:val="22"/>
          <w:szCs w:val="22"/>
          <w:lang w:val="en-CA"/>
        </w:rPr>
      </w:pPr>
      <w:r w:rsidRPr="000F056F">
        <w:rPr>
          <w:rFonts w:asciiTheme="minorHAnsi" w:hAnsiTheme="minorHAnsi" w:cstheme="minorHAnsi"/>
          <w:sz w:val="22"/>
          <w:szCs w:val="22"/>
          <w:lang w:val="en-CA"/>
        </w:rPr>
        <w:lastRenderedPageBreak/>
        <w:t>Below are key findings from the CGC’s 2018 SNPS results:</w:t>
      </w:r>
    </w:p>
    <w:p w14:paraId="10E1D8FD" w14:textId="77777777" w:rsidR="002944FE" w:rsidRPr="000F056F" w:rsidRDefault="002944FE" w:rsidP="002944FE">
      <w:pPr>
        <w:numPr>
          <w:ilvl w:val="0"/>
          <w:numId w:val="31"/>
        </w:numPr>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 xml:space="preserve">61.6% of </w:t>
      </w:r>
      <w:r w:rsidRPr="000F056F">
        <w:rPr>
          <w:rStyle w:val="Strong"/>
          <w:rFonts w:asciiTheme="minorHAnsi" w:hAnsiTheme="minorHAnsi" w:cstheme="minorHAnsi"/>
          <w:sz w:val="22"/>
          <w:szCs w:val="18"/>
          <w:lang w:val="en-CA"/>
        </w:rPr>
        <w:t>employees</w:t>
      </w:r>
      <w:r w:rsidRPr="000F056F">
        <w:rPr>
          <w:rFonts w:asciiTheme="minorHAnsi" w:hAnsiTheme="minorHAnsi" w:cstheme="minorHAnsi"/>
          <w:b/>
          <w:sz w:val="22"/>
          <w:szCs w:val="22"/>
          <w:lang w:val="en-CA" w:eastAsia="en-CA"/>
        </w:rPr>
        <w:t xml:space="preserve"> </w:t>
      </w:r>
      <w:r w:rsidRPr="000F056F">
        <w:rPr>
          <w:rFonts w:asciiTheme="minorHAnsi" w:hAnsiTheme="minorHAnsi" w:cstheme="minorHAnsi"/>
          <w:sz w:val="22"/>
          <w:szCs w:val="22"/>
          <w:lang w:val="en-CA" w:eastAsia="en-CA"/>
        </w:rPr>
        <w:t>indicated that staffing was carried out in a transparent way, as compared to 51.3% in similar size organizations and 44.3% across all organizations in the federal public service.</w:t>
      </w:r>
    </w:p>
    <w:p w14:paraId="434E1F20" w14:textId="77777777" w:rsidR="002944FE" w:rsidRPr="000F056F" w:rsidRDefault="002944FE" w:rsidP="002944FE">
      <w:pPr>
        <w:numPr>
          <w:ilvl w:val="0"/>
          <w:numId w:val="31"/>
        </w:numPr>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 xml:space="preserve">34.6% of </w:t>
      </w:r>
      <w:r w:rsidRPr="000F056F">
        <w:rPr>
          <w:rStyle w:val="Strong"/>
          <w:rFonts w:asciiTheme="minorHAnsi" w:hAnsiTheme="minorHAnsi" w:cstheme="minorHAnsi"/>
          <w:sz w:val="22"/>
          <w:szCs w:val="18"/>
          <w:lang w:val="en-CA"/>
        </w:rPr>
        <w:t>employees</w:t>
      </w:r>
      <w:r w:rsidRPr="000F056F">
        <w:rPr>
          <w:rFonts w:asciiTheme="minorHAnsi" w:hAnsiTheme="minorHAnsi" w:cstheme="minorHAnsi"/>
          <w:sz w:val="22"/>
          <w:szCs w:val="22"/>
          <w:lang w:val="en-CA" w:eastAsia="en-CA"/>
        </w:rPr>
        <w:t xml:space="preserve"> indicated that appointments depend on who you know, as compared to 45.5% in similar size organizations and 54% across all organizations in the federal public service.</w:t>
      </w:r>
    </w:p>
    <w:p w14:paraId="270CF7D3" w14:textId="77777777" w:rsidR="002944FE" w:rsidRPr="000F056F" w:rsidRDefault="002944FE" w:rsidP="002944FE">
      <w:pPr>
        <w:numPr>
          <w:ilvl w:val="0"/>
          <w:numId w:val="31"/>
        </w:numPr>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 xml:space="preserve">74.6% of </w:t>
      </w:r>
      <w:r w:rsidRPr="000F056F">
        <w:rPr>
          <w:rStyle w:val="Strong"/>
          <w:rFonts w:asciiTheme="minorHAnsi" w:hAnsiTheme="minorHAnsi" w:cstheme="minorHAnsi"/>
          <w:sz w:val="22"/>
          <w:szCs w:val="18"/>
          <w:lang w:val="en-CA"/>
        </w:rPr>
        <w:t>employees</w:t>
      </w:r>
      <w:r w:rsidRPr="000F056F">
        <w:rPr>
          <w:rFonts w:asciiTheme="minorHAnsi" w:hAnsiTheme="minorHAnsi" w:cstheme="minorHAnsi"/>
          <w:sz w:val="22"/>
          <w:szCs w:val="22"/>
          <w:lang w:val="en-CA" w:eastAsia="en-CA"/>
        </w:rPr>
        <w:t xml:space="preserve"> indicated that people hired in their work unit can do the job, as compared to 67.1% in similar size organizations and 53.8% across all organizations in the federal public service.</w:t>
      </w:r>
    </w:p>
    <w:p w14:paraId="378C3464" w14:textId="77777777" w:rsidR="002944FE" w:rsidRPr="000F056F" w:rsidRDefault="002944FE" w:rsidP="002944FE">
      <w:pPr>
        <w:numPr>
          <w:ilvl w:val="0"/>
          <w:numId w:val="31"/>
        </w:numPr>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 xml:space="preserve">69.4% of </w:t>
      </w:r>
      <w:r w:rsidRPr="000F056F">
        <w:rPr>
          <w:rStyle w:val="Strong"/>
          <w:rFonts w:asciiTheme="minorHAnsi" w:hAnsiTheme="minorHAnsi" w:cstheme="minorHAnsi"/>
          <w:sz w:val="22"/>
          <w:szCs w:val="18"/>
          <w:lang w:val="en-CA"/>
        </w:rPr>
        <w:t>employees</w:t>
      </w:r>
      <w:r w:rsidRPr="000F056F">
        <w:rPr>
          <w:rFonts w:asciiTheme="minorHAnsi" w:hAnsiTheme="minorHAnsi" w:cstheme="minorHAnsi"/>
          <w:sz w:val="22"/>
          <w:szCs w:val="22"/>
          <w:lang w:val="en-CA" w:eastAsia="en-CA"/>
        </w:rPr>
        <w:t xml:space="preserve"> indicated that the process of selecting a person for a position is fairly done, as compared to 56.9% in similar size organizations and 46.4% across all organizations in the federal public service.</w:t>
      </w:r>
    </w:p>
    <w:p w14:paraId="18C2B8E5" w14:textId="77777777" w:rsidR="002944FE" w:rsidRPr="000F056F" w:rsidRDefault="002944FE" w:rsidP="002944FE">
      <w:pPr>
        <w:pStyle w:val="ListParagraph"/>
        <w:numPr>
          <w:ilvl w:val="0"/>
          <w:numId w:val="31"/>
        </w:numPr>
        <w:spacing w:after="0"/>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 xml:space="preserve">82.6% of </w:t>
      </w:r>
      <w:r w:rsidRPr="000F056F">
        <w:rPr>
          <w:rStyle w:val="Strong"/>
          <w:rFonts w:asciiTheme="minorHAnsi" w:hAnsiTheme="minorHAnsi" w:cstheme="minorHAnsi"/>
          <w:sz w:val="22"/>
          <w:szCs w:val="18"/>
          <w:lang w:val="en-CA"/>
        </w:rPr>
        <w:t>managers</w:t>
      </w:r>
      <w:r w:rsidRPr="000F056F">
        <w:rPr>
          <w:rFonts w:asciiTheme="minorHAnsi" w:hAnsiTheme="minorHAnsi" w:cstheme="minorHAnsi"/>
          <w:sz w:val="22"/>
          <w:szCs w:val="22"/>
          <w:lang w:val="en-CA" w:eastAsia="en-CA"/>
        </w:rPr>
        <w:t xml:space="preserve"> feel staffing is burdensome, as compared to 79.3% in similar size organizations and 87.9% across all organizations in the federal public service. </w:t>
      </w:r>
    </w:p>
    <w:p w14:paraId="013BF77F" w14:textId="77777777" w:rsidR="002944FE" w:rsidRPr="000F056F" w:rsidRDefault="002944FE" w:rsidP="00B75DF3">
      <w:pPr>
        <w:numPr>
          <w:ilvl w:val="0"/>
          <w:numId w:val="31"/>
        </w:numPr>
        <w:spacing w:after="120"/>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 xml:space="preserve">67.7% of </w:t>
      </w:r>
      <w:r w:rsidRPr="000F056F">
        <w:rPr>
          <w:rStyle w:val="Strong"/>
          <w:rFonts w:asciiTheme="minorHAnsi" w:hAnsiTheme="minorHAnsi" w:cstheme="minorHAnsi"/>
          <w:sz w:val="22"/>
          <w:szCs w:val="18"/>
          <w:lang w:val="en-CA"/>
        </w:rPr>
        <w:t xml:space="preserve">managers </w:t>
      </w:r>
      <w:r w:rsidRPr="000F056F">
        <w:rPr>
          <w:rFonts w:asciiTheme="minorHAnsi" w:hAnsiTheme="minorHAnsi" w:cstheme="minorHAnsi"/>
          <w:sz w:val="22"/>
          <w:szCs w:val="22"/>
          <w:lang w:val="en-CA" w:eastAsia="en-CA"/>
        </w:rPr>
        <w:t>agreed that NDS has improved the way they hire and appoint persons to and within their organization, compared to 69.7% in organizations of similar size, and 56.1% in the federal public service.</w:t>
      </w:r>
    </w:p>
    <w:p w14:paraId="30CC22FF" w14:textId="77777777" w:rsidR="002944FE" w:rsidRPr="000F056F" w:rsidRDefault="002944FE" w:rsidP="00B75DF3">
      <w:pPr>
        <w:pStyle w:val="Heading1"/>
        <w:spacing w:after="120"/>
        <w:rPr>
          <w:rFonts w:cstheme="majorHAnsi"/>
          <w:lang w:val="en-CA"/>
        </w:rPr>
      </w:pPr>
      <w:r w:rsidRPr="000F056F">
        <w:rPr>
          <w:rFonts w:cstheme="majorHAnsi"/>
          <w:lang w:val="en-CA"/>
        </w:rPr>
        <w:t>Diversity Profile</w:t>
      </w:r>
    </w:p>
    <w:p w14:paraId="7506CBBE" w14:textId="34C76164" w:rsidR="002944FE" w:rsidRPr="000F056F" w:rsidRDefault="002944FE" w:rsidP="00B75DF3">
      <w:pPr>
        <w:spacing w:after="120"/>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The CGC is doing well in its EE representation of Aboriginal Peoples and members of visible minorities. However, the organization is below workforce availability for persons with disabilities and women, who represent only 4.3% and 48.3% of its workforce, respectively. This is compared to an overall workforce availability of </w:t>
      </w:r>
      <w:r w:rsidR="00755B63" w:rsidRPr="000F056F">
        <w:rPr>
          <w:rFonts w:asciiTheme="minorHAnsi" w:hAnsiTheme="minorHAnsi" w:cstheme="minorHAnsi"/>
          <w:sz w:val="22"/>
          <w:szCs w:val="22"/>
          <w:lang w:val="en-CA"/>
        </w:rPr>
        <w:t>7.8</w:t>
      </w:r>
      <w:r w:rsidRPr="000F056F">
        <w:rPr>
          <w:rFonts w:asciiTheme="minorHAnsi" w:hAnsiTheme="minorHAnsi" w:cstheme="minorHAnsi"/>
          <w:sz w:val="22"/>
          <w:szCs w:val="22"/>
          <w:lang w:val="en-CA"/>
        </w:rPr>
        <w:t>% for persons with disabilities and 52.7% for women.</w:t>
      </w:r>
      <w:r w:rsidR="009F0304" w:rsidRPr="000F056F">
        <w:rPr>
          <w:rFonts w:asciiTheme="minorHAnsi" w:hAnsiTheme="minorHAnsi" w:cstheme="minorHAnsi"/>
          <w:sz w:val="22"/>
          <w:szCs w:val="22"/>
          <w:lang w:val="en-CA"/>
        </w:rPr>
        <w:t xml:space="preserve"> </w:t>
      </w:r>
      <w:r w:rsidRPr="000F056F">
        <w:rPr>
          <w:rFonts w:asciiTheme="minorHAnsi" w:hAnsiTheme="minorHAnsi" w:cstheme="minorHAnsi"/>
          <w:sz w:val="22"/>
          <w:szCs w:val="22"/>
          <w:lang w:val="en-CA"/>
        </w:rPr>
        <w:t>The CGC had the same two EE gaps in 2017-2018 and 2018-2019. However, the organization’s representation gaps in 2018-2019 increased for persons with disabilities and decreased for women.</w:t>
      </w:r>
    </w:p>
    <w:p w14:paraId="13496D9A" w14:textId="7DF5C03B" w:rsidR="008A5AA5" w:rsidRPr="000F056F" w:rsidRDefault="008A5AA5" w:rsidP="008A5AA5">
      <w:pPr>
        <w:pStyle w:val="Caption"/>
        <w:keepNext/>
        <w:spacing w:after="0"/>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Table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Table \* ARABIC </w:instrText>
      </w:r>
      <w:r w:rsidRPr="000F056F">
        <w:rPr>
          <w:rFonts w:asciiTheme="minorHAnsi" w:hAnsiTheme="minorHAnsi" w:cstheme="minorHAnsi"/>
          <w:i w:val="0"/>
          <w:iCs w:val="0"/>
          <w:color w:val="auto"/>
          <w:lang w:val="en-CA"/>
        </w:rPr>
        <w:fldChar w:fldCharType="separate"/>
      </w:r>
      <w:r w:rsidR="00E4530D" w:rsidRPr="000F056F">
        <w:rPr>
          <w:rFonts w:asciiTheme="minorHAnsi" w:hAnsiTheme="minorHAnsi" w:cstheme="minorHAnsi"/>
          <w:i w:val="0"/>
          <w:iCs w:val="0"/>
          <w:noProof/>
          <w:color w:val="auto"/>
          <w:lang w:val="en-CA"/>
        </w:rPr>
        <w:t>1</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Diversity Profile</w:t>
      </w:r>
    </w:p>
    <w:tbl>
      <w:tblPr>
        <w:tblStyle w:val="Grilledutableau1"/>
        <w:tblW w:w="10206" w:type="dxa"/>
        <w:jc w:val="center"/>
        <w:tblLook w:val="04A0" w:firstRow="1" w:lastRow="0" w:firstColumn="1" w:lastColumn="0" w:noHBand="0" w:noVBand="1"/>
        <w:tblCaption w:val="Diversity Profile"/>
        <w:tblDescription w:val="Diversity Profile"/>
      </w:tblPr>
      <w:tblGrid>
        <w:gridCol w:w="2048"/>
        <w:gridCol w:w="2205"/>
        <w:gridCol w:w="1828"/>
        <w:gridCol w:w="1998"/>
        <w:gridCol w:w="2127"/>
      </w:tblGrid>
      <w:tr w:rsidR="008A5AA5" w:rsidRPr="000F056F" w14:paraId="7244E46E" w14:textId="77777777" w:rsidTr="008E37FE">
        <w:trPr>
          <w:cantSplit/>
          <w:trHeight w:val="759"/>
          <w:tblHeader/>
          <w:jc w:val="center"/>
        </w:trPr>
        <w:tc>
          <w:tcPr>
            <w:tcW w:w="2048" w:type="dxa"/>
            <w:shd w:val="clear" w:color="auto" w:fill="54575A" w:themeFill="text1"/>
            <w:hideMark/>
          </w:tcPr>
          <w:p w14:paraId="796E1C20" w14:textId="77777777" w:rsidR="002944FE" w:rsidRPr="000F056F" w:rsidRDefault="002944FE" w:rsidP="008A5AA5">
            <w:pPr>
              <w:pStyle w:val="TableTitle"/>
              <w:rPr>
                <w:rFonts w:cs="Segoe UI Semibold"/>
                <w:color w:val="FFFFFF" w:themeColor="background1"/>
                <w:szCs w:val="22"/>
                <w:lang w:val="en-CA"/>
              </w:rPr>
            </w:pPr>
            <w:r w:rsidRPr="000F056F">
              <w:rPr>
                <w:rFonts w:cs="Segoe UI Semibold"/>
                <w:color w:val="FFFFFF" w:themeColor="background1"/>
                <w:szCs w:val="22"/>
                <w:lang w:val="en-CA"/>
              </w:rPr>
              <w:t>Designated Group</w:t>
            </w:r>
          </w:p>
        </w:tc>
        <w:tc>
          <w:tcPr>
            <w:tcW w:w="2205" w:type="dxa"/>
            <w:shd w:val="clear" w:color="auto" w:fill="54575A" w:themeFill="text1"/>
            <w:hideMark/>
          </w:tcPr>
          <w:p w14:paraId="1039F642" w14:textId="77777777" w:rsidR="002944FE" w:rsidRPr="000F056F" w:rsidRDefault="002944FE" w:rsidP="008A5AA5">
            <w:pPr>
              <w:pStyle w:val="TableTitle"/>
              <w:rPr>
                <w:rFonts w:cs="Segoe UI Semibold"/>
                <w:color w:val="FFFFFF" w:themeColor="background1"/>
                <w:szCs w:val="22"/>
                <w:lang w:val="en-CA"/>
              </w:rPr>
            </w:pPr>
            <w:r w:rsidRPr="000F056F">
              <w:rPr>
                <w:rFonts w:cs="Segoe UI Semibold"/>
                <w:color w:val="FFFFFF" w:themeColor="background1"/>
                <w:szCs w:val="22"/>
                <w:lang w:val="en-CA"/>
              </w:rPr>
              <w:t xml:space="preserve">Public Service </w:t>
            </w:r>
            <w:r w:rsidRPr="000F056F">
              <w:rPr>
                <w:rFonts w:cs="Segoe UI Semibold"/>
                <w:color w:val="FFFFFF" w:themeColor="background1"/>
                <w:szCs w:val="22"/>
                <w:lang w:val="en-CA"/>
              </w:rPr>
              <w:br/>
              <w:t>Work Force Availability (WFA)</w:t>
            </w:r>
          </w:p>
        </w:tc>
        <w:tc>
          <w:tcPr>
            <w:tcW w:w="1828" w:type="dxa"/>
            <w:shd w:val="clear" w:color="auto" w:fill="BF3C00"/>
          </w:tcPr>
          <w:p w14:paraId="1AA8F48E" w14:textId="77777777" w:rsidR="002944FE" w:rsidRPr="000F056F" w:rsidRDefault="002944FE" w:rsidP="008A5AA5">
            <w:pPr>
              <w:pStyle w:val="TableTitle"/>
              <w:rPr>
                <w:rFonts w:cs="Segoe UI Semibold"/>
                <w:color w:val="FFFFFF" w:themeColor="background1"/>
                <w:szCs w:val="22"/>
                <w:lang w:val="en-CA"/>
              </w:rPr>
            </w:pPr>
            <w:r w:rsidRPr="000F056F">
              <w:rPr>
                <w:rFonts w:cs="Segoe UI Semibold"/>
                <w:color w:val="FFFFFF" w:themeColor="background1"/>
                <w:szCs w:val="22"/>
                <w:lang w:val="en-CA"/>
              </w:rPr>
              <w:t xml:space="preserve">Canadian Grain </w:t>
            </w:r>
            <w:r w:rsidRPr="000F056F">
              <w:rPr>
                <w:rFonts w:cs="Segoe UI Semibold"/>
                <w:color w:val="FFFFFF" w:themeColor="background1"/>
                <w:szCs w:val="22"/>
                <w:lang w:val="en-CA"/>
              </w:rPr>
              <w:br/>
              <w:t xml:space="preserve">Commission </w:t>
            </w:r>
            <w:r w:rsidRPr="000F056F">
              <w:rPr>
                <w:rFonts w:cs="Segoe UI Semibold"/>
                <w:color w:val="FFFFFF" w:themeColor="background1"/>
                <w:szCs w:val="22"/>
                <w:lang w:val="en-CA"/>
              </w:rPr>
              <w:br/>
              <w:t>(2018-2019)</w:t>
            </w:r>
          </w:p>
        </w:tc>
        <w:tc>
          <w:tcPr>
            <w:tcW w:w="1998" w:type="dxa"/>
            <w:shd w:val="clear" w:color="auto" w:fill="54575A" w:themeFill="text1"/>
          </w:tcPr>
          <w:p w14:paraId="5EBAB65D" w14:textId="77777777" w:rsidR="002944FE" w:rsidRPr="000F056F" w:rsidRDefault="002944FE" w:rsidP="008A5AA5">
            <w:pPr>
              <w:pStyle w:val="TableTitle"/>
              <w:rPr>
                <w:rFonts w:cs="Segoe UI Semibold"/>
                <w:color w:val="FFFFFF" w:themeColor="background1"/>
                <w:szCs w:val="22"/>
                <w:lang w:val="en-CA"/>
              </w:rPr>
            </w:pPr>
            <w:r w:rsidRPr="000F056F">
              <w:rPr>
                <w:rFonts w:cs="Segoe UI Semibold"/>
                <w:color w:val="FFFFFF" w:themeColor="background1"/>
                <w:szCs w:val="22"/>
                <w:lang w:val="en-CA"/>
              </w:rPr>
              <w:t xml:space="preserve">Canadian Grain </w:t>
            </w:r>
            <w:r w:rsidRPr="000F056F">
              <w:rPr>
                <w:rFonts w:cs="Segoe UI Semibold"/>
                <w:color w:val="FFFFFF" w:themeColor="background1"/>
                <w:szCs w:val="22"/>
                <w:lang w:val="en-CA"/>
              </w:rPr>
              <w:br/>
              <w:t xml:space="preserve">Commission </w:t>
            </w:r>
            <w:r w:rsidRPr="000F056F">
              <w:rPr>
                <w:rFonts w:cs="Segoe UI Semibold"/>
                <w:color w:val="FFFFFF" w:themeColor="background1"/>
                <w:szCs w:val="22"/>
                <w:lang w:val="en-CA"/>
              </w:rPr>
              <w:br/>
              <w:t>(2017-2018)</w:t>
            </w:r>
          </w:p>
        </w:tc>
        <w:tc>
          <w:tcPr>
            <w:tcW w:w="2127" w:type="dxa"/>
            <w:shd w:val="clear" w:color="auto" w:fill="54575A" w:themeFill="text1"/>
          </w:tcPr>
          <w:p w14:paraId="3BF2F244" w14:textId="77777777" w:rsidR="002944FE" w:rsidRPr="000F056F" w:rsidRDefault="002944FE" w:rsidP="008A5AA5">
            <w:pPr>
              <w:pStyle w:val="TableTitle"/>
              <w:rPr>
                <w:rFonts w:cs="Segoe UI Semibold"/>
                <w:color w:val="FFFFFF" w:themeColor="background1"/>
                <w:szCs w:val="22"/>
                <w:lang w:val="en-CA"/>
              </w:rPr>
            </w:pPr>
            <w:r w:rsidRPr="000F056F">
              <w:rPr>
                <w:rFonts w:cs="Segoe UI Semibold"/>
                <w:color w:val="FFFFFF" w:themeColor="background1"/>
                <w:szCs w:val="22"/>
                <w:lang w:val="en-CA"/>
              </w:rPr>
              <w:t xml:space="preserve">Representation across the </w:t>
            </w:r>
            <w:r w:rsidRPr="000F056F">
              <w:rPr>
                <w:rFonts w:cs="Segoe UI Semibold"/>
                <w:color w:val="FFFFFF" w:themeColor="background1"/>
                <w:szCs w:val="22"/>
                <w:lang w:val="en-CA"/>
              </w:rPr>
              <w:br/>
              <w:t>Public Service of Canada</w:t>
            </w:r>
          </w:p>
        </w:tc>
      </w:tr>
      <w:tr w:rsidR="002944FE" w:rsidRPr="000F056F" w14:paraId="53AA4FFB" w14:textId="77777777" w:rsidTr="008E37FE">
        <w:trPr>
          <w:cantSplit/>
          <w:tblHeader/>
          <w:jc w:val="center"/>
        </w:trPr>
        <w:tc>
          <w:tcPr>
            <w:tcW w:w="2048" w:type="dxa"/>
            <w:shd w:val="clear" w:color="auto" w:fill="54575A" w:themeFill="text1"/>
            <w:hideMark/>
          </w:tcPr>
          <w:p w14:paraId="57FC45F9" w14:textId="77777777" w:rsidR="002944FE" w:rsidRPr="000F056F" w:rsidRDefault="002944FE" w:rsidP="00F40414">
            <w:pPr>
              <w:contextualSpacing/>
              <w:rPr>
                <w:rFonts w:asciiTheme="minorHAnsi" w:hAnsiTheme="minorHAnsi" w:cstheme="minorHAnsi"/>
                <w:color w:val="FFFFFF" w:themeColor="background1"/>
                <w:sz w:val="22"/>
                <w:szCs w:val="22"/>
                <w:lang w:val="en-CA"/>
              </w:rPr>
            </w:pPr>
            <w:r w:rsidRPr="000F056F">
              <w:rPr>
                <w:rFonts w:asciiTheme="minorHAnsi" w:hAnsiTheme="minorHAnsi" w:cstheme="minorHAnsi"/>
                <w:color w:val="FFFFFF" w:themeColor="background1"/>
                <w:sz w:val="22"/>
                <w:szCs w:val="22"/>
                <w:lang w:val="en-CA"/>
              </w:rPr>
              <w:t>Women</w:t>
            </w:r>
          </w:p>
        </w:tc>
        <w:tc>
          <w:tcPr>
            <w:tcW w:w="2205" w:type="dxa"/>
            <w:hideMark/>
          </w:tcPr>
          <w:p w14:paraId="04153E99" w14:textId="77777777" w:rsidR="002944FE" w:rsidRPr="000F056F" w:rsidRDefault="002944FE" w:rsidP="008A5AA5">
            <w:pPr>
              <w:contextual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52.7%</w:t>
            </w:r>
          </w:p>
        </w:tc>
        <w:tc>
          <w:tcPr>
            <w:tcW w:w="1828" w:type="dxa"/>
          </w:tcPr>
          <w:p w14:paraId="3E0F1E97" w14:textId="6CF37A81" w:rsidR="002944FE" w:rsidRPr="000F056F" w:rsidRDefault="002944FE" w:rsidP="008A5AA5">
            <w:pPr>
              <w:contextualSpacing/>
              <w:jc w:val="center"/>
              <w:rPr>
                <w:rFonts w:asciiTheme="minorHAnsi" w:hAnsiTheme="minorHAnsi" w:cstheme="minorHAnsi"/>
                <w:bCs/>
                <w:sz w:val="22"/>
                <w:szCs w:val="22"/>
                <w:lang w:val="en-CA"/>
              </w:rPr>
            </w:pPr>
            <w:r w:rsidRPr="000F056F">
              <w:rPr>
                <w:rFonts w:asciiTheme="minorHAnsi" w:hAnsiTheme="minorHAnsi" w:cstheme="minorHAnsi"/>
                <w:bCs/>
                <w:sz w:val="22"/>
                <w:szCs w:val="22"/>
                <w:lang w:val="en-CA"/>
              </w:rPr>
              <w:t>48.3%</w:t>
            </w:r>
          </w:p>
        </w:tc>
        <w:tc>
          <w:tcPr>
            <w:tcW w:w="1998" w:type="dxa"/>
          </w:tcPr>
          <w:p w14:paraId="65156ABC" w14:textId="77777777" w:rsidR="002944FE" w:rsidRPr="000F056F" w:rsidRDefault="002944FE" w:rsidP="008A5AA5">
            <w:pPr>
              <w:contextualSpacing/>
              <w:jc w:val="center"/>
              <w:rPr>
                <w:rFonts w:asciiTheme="minorHAnsi" w:hAnsiTheme="minorHAnsi" w:cstheme="minorHAnsi"/>
                <w:bCs/>
                <w:sz w:val="22"/>
                <w:szCs w:val="22"/>
                <w:lang w:val="en-CA"/>
              </w:rPr>
            </w:pPr>
            <w:r w:rsidRPr="000F056F">
              <w:rPr>
                <w:rFonts w:asciiTheme="minorHAnsi" w:hAnsiTheme="minorHAnsi" w:cstheme="minorHAnsi"/>
                <w:bCs/>
                <w:sz w:val="22"/>
                <w:szCs w:val="22"/>
                <w:lang w:val="en-CA"/>
              </w:rPr>
              <w:t>47.7%</w:t>
            </w:r>
          </w:p>
        </w:tc>
        <w:tc>
          <w:tcPr>
            <w:tcW w:w="2127" w:type="dxa"/>
          </w:tcPr>
          <w:p w14:paraId="01AC8D03" w14:textId="77777777" w:rsidR="002944FE" w:rsidRPr="000F056F" w:rsidRDefault="002944FE" w:rsidP="008A5AA5">
            <w:pPr>
              <w:contextual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54.8%</w:t>
            </w:r>
          </w:p>
        </w:tc>
      </w:tr>
      <w:tr w:rsidR="002944FE" w:rsidRPr="000F056F" w14:paraId="697D134D" w14:textId="77777777" w:rsidTr="008E37FE">
        <w:trPr>
          <w:cantSplit/>
          <w:tblHeader/>
          <w:jc w:val="center"/>
        </w:trPr>
        <w:tc>
          <w:tcPr>
            <w:tcW w:w="2048" w:type="dxa"/>
            <w:shd w:val="clear" w:color="auto" w:fill="54575A" w:themeFill="text1"/>
            <w:hideMark/>
          </w:tcPr>
          <w:p w14:paraId="47CB2A40" w14:textId="77777777" w:rsidR="002944FE" w:rsidRPr="000F056F" w:rsidRDefault="002944FE" w:rsidP="00F40414">
            <w:pPr>
              <w:contextualSpacing/>
              <w:rPr>
                <w:rFonts w:asciiTheme="minorHAnsi" w:hAnsiTheme="minorHAnsi" w:cstheme="minorHAnsi"/>
                <w:color w:val="FFFFFF" w:themeColor="background1"/>
                <w:sz w:val="22"/>
                <w:szCs w:val="22"/>
                <w:lang w:val="en-CA"/>
              </w:rPr>
            </w:pPr>
            <w:r w:rsidRPr="000F056F">
              <w:rPr>
                <w:rFonts w:asciiTheme="minorHAnsi" w:hAnsiTheme="minorHAnsi" w:cstheme="minorHAnsi"/>
                <w:color w:val="FFFFFF" w:themeColor="background1"/>
                <w:sz w:val="22"/>
                <w:szCs w:val="22"/>
                <w:lang w:val="en-CA"/>
              </w:rPr>
              <w:t>Aboriginal Peoples</w:t>
            </w:r>
          </w:p>
        </w:tc>
        <w:tc>
          <w:tcPr>
            <w:tcW w:w="2205" w:type="dxa"/>
            <w:hideMark/>
          </w:tcPr>
          <w:p w14:paraId="5820B077" w14:textId="77777777" w:rsidR="002944FE" w:rsidRPr="000F056F" w:rsidRDefault="002944FE" w:rsidP="008A5AA5">
            <w:pPr>
              <w:contextual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4.0%</w:t>
            </w:r>
          </w:p>
        </w:tc>
        <w:tc>
          <w:tcPr>
            <w:tcW w:w="1828" w:type="dxa"/>
          </w:tcPr>
          <w:p w14:paraId="791EAF8D" w14:textId="7544C253" w:rsidR="002944FE" w:rsidRPr="000F056F" w:rsidRDefault="002944FE" w:rsidP="008A5AA5">
            <w:pPr>
              <w:contextualSpacing/>
              <w:jc w:val="center"/>
              <w:rPr>
                <w:rFonts w:asciiTheme="minorHAnsi" w:hAnsiTheme="minorHAnsi" w:cstheme="minorHAnsi"/>
                <w:bCs/>
                <w:sz w:val="22"/>
                <w:szCs w:val="22"/>
                <w:lang w:val="en-CA"/>
              </w:rPr>
            </w:pPr>
            <w:r w:rsidRPr="000F056F">
              <w:rPr>
                <w:rFonts w:asciiTheme="minorHAnsi" w:hAnsiTheme="minorHAnsi" w:cstheme="minorHAnsi"/>
                <w:bCs/>
                <w:sz w:val="22"/>
                <w:szCs w:val="22"/>
                <w:lang w:val="en-CA"/>
              </w:rPr>
              <w:t>6.0%</w:t>
            </w:r>
          </w:p>
        </w:tc>
        <w:tc>
          <w:tcPr>
            <w:tcW w:w="1998" w:type="dxa"/>
          </w:tcPr>
          <w:p w14:paraId="2941AAC3" w14:textId="77777777" w:rsidR="002944FE" w:rsidRPr="000F056F" w:rsidRDefault="002944FE" w:rsidP="008A5AA5">
            <w:pPr>
              <w:contextualSpacing/>
              <w:jc w:val="center"/>
              <w:rPr>
                <w:rFonts w:asciiTheme="minorHAnsi" w:hAnsiTheme="minorHAnsi" w:cstheme="minorHAnsi"/>
                <w:bCs/>
                <w:sz w:val="22"/>
                <w:szCs w:val="22"/>
                <w:lang w:val="en-CA"/>
              </w:rPr>
            </w:pPr>
            <w:r w:rsidRPr="000F056F">
              <w:rPr>
                <w:rFonts w:asciiTheme="minorHAnsi" w:hAnsiTheme="minorHAnsi" w:cstheme="minorHAnsi"/>
                <w:bCs/>
                <w:sz w:val="22"/>
                <w:szCs w:val="22"/>
                <w:lang w:val="en-CA"/>
              </w:rPr>
              <w:t>5.8%</w:t>
            </w:r>
          </w:p>
        </w:tc>
        <w:tc>
          <w:tcPr>
            <w:tcW w:w="2127" w:type="dxa"/>
          </w:tcPr>
          <w:p w14:paraId="5740BC1A" w14:textId="77777777" w:rsidR="002944FE" w:rsidRPr="000F056F" w:rsidRDefault="002944FE" w:rsidP="008A5AA5">
            <w:pPr>
              <w:contextual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5.1%</w:t>
            </w:r>
          </w:p>
        </w:tc>
      </w:tr>
      <w:tr w:rsidR="002944FE" w:rsidRPr="000F056F" w14:paraId="4CBAE82A" w14:textId="77777777" w:rsidTr="008E37FE">
        <w:trPr>
          <w:cantSplit/>
          <w:trHeight w:val="598"/>
          <w:tblHeader/>
          <w:jc w:val="center"/>
        </w:trPr>
        <w:tc>
          <w:tcPr>
            <w:tcW w:w="2048" w:type="dxa"/>
            <w:shd w:val="clear" w:color="auto" w:fill="54575A" w:themeFill="text1"/>
            <w:hideMark/>
          </w:tcPr>
          <w:p w14:paraId="7E5A535A" w14:textId="77777777" w:rsidR="002944FE" w:rsidRPr="000F056F" w:rsidRDefault="002944FE" w:rsidP="00F40414">
            <w:pPr>
              <w:contextualSpacing/>
              <w:rPr>
                <w:rFonts w:asciiTheme="minorHAnsi" w:hAnsiTheme="minorHAnsi" w:cstheme="minorHAnsi"/>
                <w:color w:val="FFFFFF" w:themeColor="background1"/>
                <w:sz w:val="22"/>
                <w:szCs w:val="22"/>
                <w:lang w:val="en-CA"/>
              </w:rPr>
            </w:pPr>
            <w:r w:rsidRPr="000F056F">
              <w:rPr>
                <w:rFonts w:asciiTheme="minorHAnsi" w:hAnsiTheme="minorHAnsi" w:cstheme="minorHAnsi"/>
                <w:color w:val="FFFFFF" w:themeColor="background1"/>
                <w:sz w:val="22"/>
                <w:szCs w:val="22"/>
                <w:lang w:val="en-CA"/>
              </w:rPr>
              <w:t>Persons with Disabilities</w:t>
            </w:r>
          </w:p>
        </w:tc>
        <w:tc>
          <w:tcPr>
            <w:tcW w:w="2205" w:type="dxa"/>
            <w:hideMark/>
          </w:tcPr>
          <w:p w14:paraId="308001B9" w14:textId="7D999ED9" w:rsidR="002944FE" w:rsidRPr="000F056F" w:rsidRDefault="002944FE" w:rsidP="008A5AA5">
            <w:pPr>
              <w:contextualSpacing/>
              <w:jc w:val="center"/>
              <w:rPr>
                <w:rFonts w:asciiTheme="minorHAnsi" w:hAnsiTheme="minorHAnsi" w:cstheme="minorHAnsi"/>
                <w:sz w:val="16"/>
                <w:szCs w:val="16"/>
                <w:lang w:val="en-CA"/>
              </w:rPr>
            </w:pPr>
            <w:r w:rsidRPr="000F056F">
              <w:rPr>
                <w:rFonts w:asciiTheme="minorHAnsi" w:hAnsiTheme="minorHAnsi" w:cstheme="minorHAnsi"/>
                <w:sz w:val="22"/>
                <w:szCs w:val="22"/>
                <w:lang w:val="en-CA"/>
              </w:rPr>
              <w:t>7.8%</w:t>
            </w:r>
            <w:r w:rsidR="004C25A6" w:rsidRPr="000F056F">
              <w:rPr>
                <w:rFonts w:asciiTheme="minorHAnsi" w:hAnsiTheme="minorHAnsi" w:cstheme="minorHAnsi"/>
                <w:sz w:val="22"/>
                <w:szCs w:val="22"/>
                <w:lang w:val="en-CA"/>
              </w:rPr>
              <w:t>*</w:t>
            </w:r>
          </w:p>
        </w:tc>
        <w:tc>
          <w:tcPr>
            <w:tcW w:w="1828" w:type="dxa"/>
          </w:tcPr>
          <w:p w14:paraId="39CEE8C7" w14:textId="684735A7" w:rsidR="002944FE" w:rsidRPr="000F056F" w:rsidRDefault="002944FE" w:rsidP="008A5AA5">
            <w:pPr>
              <w:contextualSpacing/>
              <w:jc w:val="center"/>
              <w:rPr>
                <w:rFonts w:asciiTheme="minorHAnsi" w:hAnsiTheme="minorHAnsi" w:cstheme="minorHAnsi"/>
                <w:bCs/>
                <w:sz w:val="22"/>
                <w:szCs w:val="22"/>
                <w:lang w:val="en-CA"/>
              </w:rPr>
            </w:pPr>
            <w:r w:rsidRPr="000F056F">
              <w:rPr>
                <w:rFonts w:asciiTheme="minorHAnsi" w:hAnsiTheme="minorHAnsi" w:cstheme="minorHAnsi"/>
                <w:bCs/>
                <w:sz w:val="22"/>
                <w:szCs w:val="22"/>
                <w:lang w:val="en-CA"/>
              </w:rPr>
              <w:t>4.3%</w:t>
            </w:r>
          </w:p>
        </w:tc>
        <w:tc>
          <w:tcPr>
            <w:tcW w:w="1998" w:type="dxa"/>
          </w:tcPr>
          <w:p w14:paraId="51C4FA93" w14:textId="77777777" w:rsidR="002944FE" w:rsidRPr="000F056F" w:rsidRDefault="002944FE" w:rsidP="008A5AA5">
            <w:pPr>
              <w:contextualSpacing/>
              <w:jc w:val="center"/>
              <w:rPr>
                <w:rFonts w:asciiTheme="minorHAnsi" w:hAnsiTheme="minorHAnsi" w:cstheme="minorHAnsi"/>
                <w:bCs/>
                <w:sz w:val="22"/>
                <w:szCs w:val="22"/>
                <w:lang w:val="en-CA"/>
              </w:rPr>
            </w:pPr>
            <w:r w:rsidRPr="000F056F">
              <w:rPr>
                <w:rFonts w:asciiTheme="minorHAnsi" w:hAnsiTheme="minorHAnsi" w:cstheme="minorHAnsi"/>
                <w:bCs/>
                <w:sz w:val="22"/>
                <w:szCs w:val="22"/>
                <w:lang w:val="en-CA"/>
              </w:rPr>
              <w:t>5.8%</w:t>
            </w:r>
          </w:p>
        </w:tc>
        <w:tc>
          <w:tcPr>
            <w:tcW w:w="2127" w:type="dxa"/>
          </w:tcPr>
          <w:p w14:paraId="0CCDC2E8" w14:textId="77777777" w:rsidR="002944FE" w:rsidRPr="000F056F" w:rsidRDefault="002944FE" w:rsidP="008A5AA5">
            <w:pPr>
              <w:contextual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5.2%</w:t>
            </w:r>
          </w:p>
        </w:tc>
      </w:tr>
      <w:tr w:rsidR="002944FE" w:rsidRPr="000F056F" w14:paraId="35EC3092" w14:textId="77777777" w:rsidTr="008E37FE">
        <w:trPr>
          <w:cantSplit/>
          <w:tblHeader/>
          <w:jc w:val="center"/>
        </w:trPr>
        <w:tc>
          <w:tcPr>
            <w:tcW w:w="2048" w:type="dxa"/>
            <w:shd w:val="clear" w:color="auto" w:fill="54575A" w:themeFill="text1"/>
            <w:hideMark/>
          </w:tcPr>
          <w:p w14:paraId="396981B4" w14:textId="77777777" w:rsidR="002944FE" w:rsidRPr="000F056F" w:rsidRDefault="002944FE" w:rsidP="00F40414">
            <w:pPr>
              <w:contextualSpacing/>
              <w:rPr>
                <w:rFonts w:asciiTheme="minorHAnsi" w:hAnsiTheme="minorHAnsi" w:cstheme="minorHAnsi"/>
                <w:color w:val="FFFFFF" w:themeColor="background1"/>
                <w:sz w:val="22"/>
                <w:szCs w:val="22"/>
                <w:lang w:val="en-CA"/>
              </w:rPr>
            </w:pPr>
            <w:r w:rsidRPr="000F056F">
              <w:rPr>
                <w:rFonts w:asciiTheme="minorHAnsi" w:hAnsiTheme="minorHAnsi" w:cstheme="minorHAnsi"/>
                <w:color w:val="FFFFFF" w:themeColor="background1"/>
                <w:sz w:val="22"/>
                <w:szCs w:val="22"/>
                <w:lang w:val="en-CA"/>
              </w:rPr>
              <w:t>Members of Visible Minorities</w:t>
            </w:r>
          </w:p>
        </w:tc>
        <w:tc>
          <w:tcPr>
            <w:tcW w:w="2205" w:type="dxa"/>
            <w:hideMark/>
          </w:tcPr>
          <w:p w14:paraId="1FA1A631" w14:textId="77777777" w:rsidR="002944FE" w:rsidRPr="000F056F" w:rsidRDefault="002944FE" w:rsidP="008A5AA5">
            <w:pPr>
              <w:contextual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15.3%</w:t>
            </w:r>
          </w:p>
        </w:tc>
        <w:tc>
          <w:tcPr>
            <w:tcW w:w="1828" w:type="dxa"/>
          </w:tcPr>
          <w:p w14:paraId="17716A70" w14:textId="2A34A4A2" w:rsidR="002944FE" w:rsidRPr="000F056F" w:rsidRDefault="002944FE" w:rsidP="008A5AA5">
            <w:pPr>
              <w:contextualSpacing/>
              <w:jc w:val="center"/>
              <w:rPr>
                <w:rFonts w:asciiTheme="minorHAnsi" w:hAnsiTheme="minorHAnsi" w:cstheme="minorHAnsi"/>
                <w:bCs/>
                <w:sz w:val="22"/>
                <w:szCs w:val="22"/>
                <w:lang w:val="en-CA"/>
              </w:rPr>
            </w:pPr>
            <w:r w:rsidRPr="000F056F">
              <w:rPr>
                <w:rFonts w:asciiTheme="minorHAnsi" w:hAnsiTheme="minorHAnsi" w:cstheme="minorHAnsi"/>
                <w:bCs/>
                <w:sz w:val="22"/>
                <w:szCs w:val="22"/>
                <w:lang w:val="en-CA"/>
              </w:rPr>
              <w:t>24.2%</w:t>
            </w:r>
          </w:p>
        </w:tc>
        <w:tc>
          <w:tcPr>
            <w:tcW w:w="1998" w:type="dxa"/>
          </w:tcPr>
          <w:p w14:paraId="750D0CD9" w14:textId="77777777" w:rsidR="002944FE" w:rsidRPr="000F056F" w:rsidRDefault="002944FE" w:rsidP="008A5AA5">
            <w:pPr>
              <w:contextualSpacing/>
              <w:jc w:val="center"/>
              <w:rPr>
                <w:rFonts w:asciiTheme="minorHAnsi" w:hAnsiTheme="minorHAnsi" w:cstheme="minorHAnsi"/>
                <w:bCs/>
                <w:sz w:val="22"/>
                <w:szCs w:val="22"/>
                <w:lang w:val="en-CA"/>
              </w:rPr>
            </w:pPr>
            <w:r w:rsidRPr="000F056F">
              <w:rPr>
                <w:rFonts w:asciiTheme="minorHAnsi" w:hAnsiTheme="minorHAnsi" w:cstheme="minorHAnsi"/>
                <w:bCs/>
                <w:sz w:val="22"/>
                <w:szCs w:val="22"/>
                <w:lang w:val="en-CA"/>
              </w:rPr>
              <w:t>22.9%</w:t>
            </w:r>
          </w:p>
        </w:tc>
        <w:tc>
          <w:tcPr>
            <w:tcW w:w="2127" w:type="dxa"/>
          </w:tcPr>
          <w:p w14:paraId="10B2C996" w14:textId="77777777" w:rsidR="002944FE" w:rsidRPr="000F056F" w:rsidRDefault="002944FE" w:rsidP="008A5AA5">
            <w:pPr>
              <w:contextual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16.7%</w:t>
            </w:r>
          </w:p>
        </w:tc>
      </w:tr>
    </w:tbl>
    <w:p w14:paraId="1994EAC5" w14:textId="77777777" w:rsidR="00755B63" w:rsidRPr="000F056F" w:rsidRDefault="00755B63" w:rsidP="002944FE">
      <w:pPr>
        <w:rPr>
          <w:rFonts w:asciiTheme="minorHAnsi" w:hAnsiTheme="minorHAnsi" w:cstheme="minorHAnsi"/>
          <w:sz w:val="22"/>
          <w:szCs w:val="22"/>
          <w:lang w:val="en-CA"/>
        </w:rPr>
      </w:pPr>
      <w:r w:rsidRPr="000F056F">
        <w:rPr>
          <w:rFonts w:asciiTheme="minorHAnsi" w:hAnsiTheme="minorHAnsi" w:cstheme="minorHAnsi"/>
          <w:sz w:val="22"/>
          <w:szCs w:val="22"/>
          <w:lang w:val="en-CA"/>
        </w:rPr>
        <w:t>Source: Treasury Board of Canada Secretariat</w:t>
      </w:r>
    </w:p>
    <w:p w14:paraId="38A23C64" w14:textId="3D421B55" w:rsidR="004C25A6" w:rsidRPr="000F056F" w:rsidRDefault="004C25A6" w:rsidP="00B75DF3">
      <w:pPr>
        <w:spacing w:after="120"/>
        <w:rPr>
          <w:rFonts w:asciiTheme="minorHAnsi" w:hAnsiTheme="minorHAnsi" w:cstheme="minorHAnsi"/>
          <w:sz w:val="22"/>
          <w:szCs w:val="22"/>
          <w:lang w:val="en-CA"/>
        </w:rPr>
      </w:pPr>
      <w:r w:rsidRPr="000F056F">
        <w:rPr>
          <w:rFonts w:asciiTheme="minorHAnsi" w:hAnsiTheme="minorHAnsi" w:cstheme="minorHAnsi"/>
          <w:color w:val="000000"/>
          <w:sz w:val="22"/>
          <w:szCs w:val="22"/>
          <w:lang w:val="en-CA"/>
        </w:rPr>
        <w:t>*Based on Census 2016 and the 2017 Survey on Disability</w:t>
      </w:r>
    </w:p>
    <w:p w14:paraId="2479F3F5" w14:textId="5B1D1548" w:rsidR="002944FE" w:rsidRPr="000F056F" w:rsidRDefault="002944FE" w:rsidP="00E75DB4">
      <w:pP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The Clerk of the Privy Council asked senior leaders to commit to making measurable change to the diversity and inclusiveness of the public service which includes the creation of staffing plans to close representation gaps for employment equity groups.</w:t>
      </w:r>
      <w:r w:rsidRPr="000F056F">
        <w:rPr>
          <w:rFonts w:asciiTheme="minorHAnsi" w:hAnsiTheme="minorHAnsi" w:cstheme="minorHAnsi"/>
          <w:sz w:val="22"/>
          <w:szCs w:val="22"/>
          <w:lang w:val="en-CA"/>
        </w:rPr>
        <w:t xml:space="preserve"> </w:t>
      </w:r>
      <w:r w:rsidR="009F0304" w:rsidRPr="000F056F">
        <w:rPr>
          <w:rFonts w:asciiTheme="minorHAnsi" w:hAnsiTheme="minorHAnsi" w:cstheme="minorHAnsi"/>
          <w:sz w:val="22"/>
          <w:szCs w:val="22"/>
          <w:lang w:val="en-CA"/>
        </w:rPr>
        <w:t xml:space="preserve">The below </w:t>
      </w:r>
      <w:r w:rsidRPr="000F056F">
        <w:rPr>
          <w:rFonts w:asciiTheme="minorHAnsi" w:hAnsiTheme="minorHAnsi" w:cstheme="minorHAnsi"/>
          <w:color w:val="000000"/>
          <w:sz w:val="22"/>
          <w:szCs w:val="22"/>
          <w:lang w:val="en-CA"/>
        </w:rPr>
        <w:t>data highligh</w:t>
      </w:r>
      <w:r w:rsidR="009F0304" w:rsidRPr="000F056F">
        <w:rPr>
          <w:rFonts w:asciiTheme="minorHAnsi" w:hAnsiTheme="minorHAnsi" w:cstheme="minorHAnsi"/>
          <w:color w:val="000000"/>
          <w:sz w:val="22"/>
          <w:szCs w:val="22"/>
          <w:lang w:val="en-CA"/>
        </w:rPr>
        <w:t xml:space="preserve">ts </w:t>
      </w:r>
      <w:r w:rsidRPr="000F056F">
        <w:rPr>
          <w:rFonts w:asciiTheme="minorHAnsi" w:hAnsiTheme="minorHAnsi" w:cstheme="minorHAnsi"/>
          <w:color w:val="000000"/>
          <w:sz w:val="22"/>
          <w:szCs w:val="22"/>
          <w:lang w:val="en-CA"/>
        </w:rPr>
        <w:t xml:space="preserve">the current gap in representation of persons with disabilities (PWD) </w:t>
      </w:r>
      <w:r w:rsidR="009F0304" w:rsidRPr="000F056F">
        <w:rPr>
          <w:rFonts w:asciiTheme="minorHAnsi" w:hAnsiTheme="minorHAnsi" w:cstheme="minorHAnsi"/>
          <w:color w:val="000000"/>
          <w:sz w:val="22"/>
          <w:szCs w:val="22"/>
          <w:lang w:val="en-CA"/>
        </w:rPr>
        <w:t xml:space="preserve">at the CGC </w:t>
      </w:r>
      <w:r w:rsidRPr="000F056F">
        <w:rPr>
          <w:rFonts w:asciiTheme="minorHAnsi" w:hAnsiTheme="minorHAnsi" w:cstheme="minorHAnsi"/>
          <w:color w:val="000000"/>
          <w:sz w:val="22"/>
          <w:szCs w:val="22"/>
          <w:lang w:val="en-CA"/>
        </w:rPr>
        <w:t>and the estimated level of recruitment required to close this gap within the next five years, taking into consideration factors such as attrition.</w:t>
      </w:r>
    </w:p>
    <w:p w14:paraId="7590C75B" w14:textId="77777777" w:rsidR="002944FE" w:rsidRPr="000F056F" w:rsidRDefault="002944FE" w:rsidP="00E75DB4">
      <w:pPr>
        <w:pStyle w:val="NoSpacing"/>
        <w:numPr>
          <w:ilvl w:val="0"/>
          <w:numId w:val="40"/>
        </w:numPr>
        <w:rPr>
          <w:rFonts w:asciiTheme="minorHAnsi" w:hAnsiTheme="minorHAnsi" w:cstheme="minorHAnsi"/>
          <w:sz w:val="22"/>
          <w:szCs w:val="22"/>
          <w:lang w:val="en-CA"/>
        </w:rPr>
      </w:pPr>
      <w:r w:rsidRPr="000F056F">
        <w:rPr>
          <w:rFonts w:asciiTheme="minorHAnsi" w:hAnsiTheme="minorHAnsi" w:cstheme="minorHAnsi"/>
          <w:sz w:val="22"/>
          <w:szCs w:val="22"/>
          <w:lang w:val="en-CA"/>
        </w:rPr>
        <w:lastRenderedPageBreak/>
        <w:t>Representation of PWD: 4.3%</w:t>
      </w:r>
    </w:p>
    <w:p w14:paraId="4E3CE797" w14:textId="77777777" w:rsidR="002944FE" w:rsidRPr="000F056F" w:rsidRDefault="002944FE" w:rsidP="00E75DB4">
      <w:pPr>
        <w:pStyle w:val="NoSpacing"/>
        <w:numPr>
          <w:ilvl w:val="0"/>
          <w:numId w:val="40"/>
        </w:numPr>
        <w:rPr>
          <w:rFonts w:asciiTheme="minorHAnsi" w:hAnsiTheme="minorHAnsi" w:cstheme="minorHAnsi"/>
          <w:sz w:val="22"/>
          <w:szCs w:val="22"/>
          <w:lang w:val="en-CA"/>
        </w:rPr>
      </w:pPr>
      <w:r w:rsidRPr="000F056F">
        <w:rPr>
          <w:rFonts w:asciiTheme="minorHAnsi" w:hAnsiTheme="minorHAnsi" w:cstheme="minorHAnsi"/>
          <w:sz w:val="22"/>
          <w:szCs w:val="22"/>
          <w:lang w:val="en-CA"/>
        </w:rPr>
        <w:t>Workforce availability (WFA) for PWD: 7.8%</w:t>
      </w:r>
    </w:p>
    <w:p w14:paraId="118D7DAD" w14:textId="77777777" w:rsidR="002944FE" w:rsidRPr="000F056F" w:rsidRDefault="002944FE" w:rsidP="00E75DB4">
      <w:pPr>
        <w:pStyle w:val="NoSpacing"/>
        <w:numPr>
          <w:ilvl w:val="0"/>
          <w:numId w:val="40"/>
        </w:numPr>
        <w:rPr>
          <w:rFonts w:asciiTheme="minorHAnsi" w:hAnsiTheme="minorHAnsi" w:cstheme="minorHAnsi"/>
          <w:sz w:val="22"/>
          <w:szCs w:val="22"/>
          <w:lang w:val="en-CA"/>
        </w:rPr>
      </w:pPr>
      <w:r w:rsidRPr="000F056F">
        <w:rPr>
          <w:rFonts w:asciiTheme="minorHAnsi" w:hAnsiTheme="minorHAnsi" w:cstheme="minorHAnsi"/>
          <w:sz w:val="22"/>
          <w:szCs w:val="22"/>
          <w:lang w:val="en-CA"/>
        </w:rPr>
        <w:t>Gap between WFA and representation: 3.5%</w:t>
      </w:r>
    </w:p>
    <w:p w14:paraId="7C1B05F3" w14:textId="77777777" w:rsidR="002944FE" w:rsidRPr="000F056F" w:rsidRDefault="002944FE" w:rsidP="00E75DB4">
      <w:pPr>
        <w:pStyle w:val="NoSpacing"/>
        <w:numPr>
          <w:ilvl w:val="0"/>
          <w:numId w:val="40"/>
        </w:numPr>
        <w:rPr>
          <w:rFonts w:asciiTheme="minorHAnsi" w:hAnsiTheme="minorHAnsi" w:cstheme="minorHAnsi"/>
          <w:sz w:val="22"/>
          <w:szCs w:val="22"/>
          <w:lang w:val="en-CA"/>
        </w:rPr>
      </w:pPr>
      <w:r w:rsidRPr="000F056F">
        <w:rPr>
          <w:rFonts w:asciiTheme="minorHAnsi" w:hAnsiTheme="minorHAnsi" w:cstheme="minorHAnsi"/>
          <w:sz w:val="22"/>
          <w:szCs w:val="22"/>
          <w:lang w:val="en-CA"/>
        </w:rPr>
        <w:t>Closing the gap: PWD population increase required to reach WFA over 5 years: 15</w:t>
      </w:r>
    </w:p>
    <w:p w14:paraId="33C02CA5" w14:textId="77777777" w:rsidR="002944FE" w:rsidRPr="000F056F" w:rsidRDefault="002944FE" w:rsidP="00B75DF3">
      <w:pPr>
        <w:pStyle w:val="NoSpacing"/>
        <w:numPr>
          <w:ilvl w:val="0"/>
          <w:numId w:val="40"/>
        </w:numPr>
        <w:spacing w:after="120"/>
        <w:rPr>
          <w:rFonts w:asciiTheme="minorHAnsi" w:hAnsiTheme="minorHAnsi" w:cstheme="minorHAnsi"/>
          <w:sz w:val="22"/>
          <w:szCs w:val="22"/>
          <w:lang w:val="en-CA"/>
        </w:rPr>
      </w:pPr>
      <w:r w:rsidRPr="000F056F">
        <w:rPr>
          <w:rFonts w:asciiTheme="minorHAnsi" w:hAnsiTheme="minorHAnsi" w:cstheme="minorHAnsi"/>
          <w:sz w:val="22"/>
          <w:szCs w:val="22"/>
          <w:lang w:val="en-CA"/>
        </w:rPr>
        <w:t>Closing the gap: Recruitment of PWD required to achieve population increase over 5 years (estimate):  27</w:t>
      </w:r>
    </w:p>
    <w:p w14:paraId="3307DEBF" w14:textId="77777777" w:rsidR="002944FE" w:rsidRPr="000F056F" w:rsidRDefault="002944FE" w:rsidP="00B75DF3">
      <w:pPr>
        <w:pStyle w:val="Heading1"/>
        <w:spacing w:after="120"/>
        <w:rPr>
          <w:rFonts w:cstheme="majorHAnsi"/>
          <w:lang w:val="en-CA"/>
        </w:rPr>
      </w:pPr>
      <w:r w:rsidRPr="000F056F">
        <w:rPr>
          <w:rFonts w:cstheme="majorHAnsi"/>
          <w:lang w:val="en-CA"/>
        </w:rPr>
        <w:t>Priority Entitlements and Veterans</w:t>
      </w:r>
    </w:p>
    <w:p w14:paraId="222471C6" w14:textId="77777777" w:rsidR="002944FE" w:rsidRPr="000F056F" w:rsidRDefault="002944FE" w:rsidP="008E37FE">
      <w:pPr>
        <w:pStyle w:val="Heading2"/>
        <w:spacing w:after="120"/>
        <w:rPr>
          <w:lang w:val="en-CA"/>
        </w:rPr>
      </w:pPr>
      <w:r w:rsidRPr="000F056F">
        <w:rPr>
          <w:lang w:val="en-CA"/>
        </w:rPr>
        <w:t xml:space="preserve">Appointments of Persons with a Priority Entitlement </w:t>
      </w:r>
    </w:p>
    <w:p w14:paraId="488504E0" w14:textId="77777777" w:rsidR="002944FE" w:rsidRPr="000F056F" w:rsidRDefault="002944FE" w:rsidP="00B75DF3">
      <w:pPr>
        <w:pStyle w:val="NoSpacing"/>
        <w:spacing w:after="12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From April 1, 2019 to January 7, 2021, the CGC has not appointed any persons with a priority entitlement (PPE).</w:t>
      </w:r>
    </w:p>
    <w:p w14:paraId="00350747" w14:textId="77777777" w:rsidR="002944FE" w:rsidRPr="000F056F" w:rsidRDefault="002944FE" w:rsidP="008E37FE">
      <w:pPr>
        <w:pStyle w:val="Heading2"/>
        <w:spacing w:after="120"/>
        <w:rPr>
          <w:lang w:val="en-CA"/>
        </w:rPr>
      </w:pPr>
      <w:r w:rsidRPr="000F056F">
        <w:rPr>
          <w:lang w:val="en-CA"/>
        </w:rPr>
        <w:t>Appointments of Persons with a Canadian Armed Forces (CAF) Priority Entitlement</w:t>
      </w:r>
    </w:p>
    <w:p w14:paraId="6F9D2184" w14:textId="77777777" w:rsidR="002944FE" w:rsidRPr="000F056F" w:rsidRDefault="002944FE" w:rsidP="00B75DF3">
      <w:pPr>
        <w:pStyle w:val="NoSpacing"/>
        <w:spacing w:after="12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 xml:space="preserve">Since the coming into force of the </w:t>
      </w:r>
      <w:r w:rsidRPr="000F056F">
        <w:rPr>
          <w:rStyle w:val="Emphasis"/>
          <w:rFonts w:asciiTheme="minorHAnsi" w:hAnsiTheme="minorHAnsi" w:cstheme="minorHAnsi"/>
          <w:sz w:val="22"/>
          <w:szCs w:val="18"/>
          <w:lang w:val="en-CA"/>
        </w:rPr>
        <w:t>Veterans Hiring Act</w:t>
      </w:r>
      <w:r w:rsidRPr="000F056F">
        <w:rPr>
          <w:rFonts w:asciiTheme="minorHAnsi" w:hAnsiTheme="minorHAnsi" w:cstheme="minorHAnsi"/>
          <w:color w:val="000000"/>
          <w:sz w:val="20"/>
          <w:lang w:val="en-CA"/>
        </w:rPr>
        <w:t xml:space="preserve"> </w:t>
      </w:r>
      <w:r w:rsidRPr="000F056F">
        <w:rPr>
          <w:rFonts w:asciiTheme="minorHAnsi" w:hAnsiTheme="minorHAnsi" w:cstheme="minorHAnsi"/>
          <w:color w:val="000000"/>
          <w:sz w:val="22"/>
          <w:szCs w:val="22"/>
          <w:lang w:val="en-CA"/>
        </w:rPr>
        <w:t>(VHA) on July 1, 2015 until January 7, 2021, the CGC has not appointed any persons with a CAF Priority Entitlement.</w:t>
      </w:r>
    </w:p>
    <w:p w14:paraId="15FF2DEA" w14:textId="77777777" w:rsidR="002944FE" w:rsidRPr="000F056F" w:rsidRDefault="002944FE" w:rsidP="008E37FE">
      <w:pPr>
        <w:pStyle w:val="Heading2"/>
        <w:spacing w:after="120"/>
        <w:rPr>
          <w:lang w:val="en-CA"/>
        </w:rPr>
      </w:pPr>
      <w:r w:rsidRPr="000F056F">
        <w:rPr>
          <w:lang w:val="en-CA"/>
        </w:rPr>
        <w:t>Priority Clearance Requests</w:t>
      </w:r>
    </w:p>
    <w:p w14:paraId="4EBD7460" w14:textId="77777777" w:rsidR="002944FE" w:rsidRPr="000F056F" w:rsidRDefault="002944FE" w:rsidP="00B75DF3">
      <w:pPr>
        <w:pStyle w:val="NoSpacing"/>
        <w:spacing w:after="12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From April 1, 2019 to January 7, 2021, the CGC has submitted 138 priority clearance requests.</w:t>
      </w:r>
    </w:p>
    <w:p w14:paraId="3AF8F185" w14:textId="425159AF" w:rsidR="008A5AA5" w:rsidRPr="000F056F" w:rsidRDefault="008A5AA5" w:rsidP="00B43256">
      <w:pPr>
        <w:pStyle w:val="TableTitle"/>
        <w:rPr>
          <w:sz w:val="18"/>
          <w:szCs w:val="18"/>
          <w:lang w:val="en-CA"/>
        </w:rPr>
      </w:pPr>
      <w:r w:rsidRPr="000F056F">
        <w:rPr>
          <w:sz w:val="18"/>
          <w:szCs w:val="18"/>
          <w:lang w:val="en-CA"/>
        </w:rPr>
        <w:t xml:space="preserve">Table </w:t>
      </w:r>
      <w:r w:rsidRPr="000F056F">
        <w:rPr>
          <w:sz w:val="18"/>
          <w:szCs w:val="18"/>
          <w:lang w:val="en-CA"/>
        </w:rPr>
        <w:fldChar w:fldCharType="begin"/>
      </w:r>
      <w:r w:rsidRPr="000F056F">
        <w:rPr>
          <w:sz w:val="18"/>
          <w:szCs w:val="18"/>
          <w:lang w:val="en-CA"/>
        </w:rPr>
        <w:instrText xml:space="preserve"> SEQ Table \* ARABIC </w:instrText>
      </w:r>
      <w:r w:rsidRPr="000F056F">
        <w:rPr>
          <w:sz w:val="18"/>
          <w:szCs w:val="18"/>
          <w:lang w:val="en-CA"/>
        </w:rPr>
        <w:fldChar w:fldCharType="separate"/>
      </w:r>
      <w:r w:rsidR="00E4530D" w:rsidRPr="000F056F">
        <w:rPr>
          <w:noProof/>
          <w:sz w:val="18"/>
          <w:szCs w:val="18"/>
          <w:lang w:val="en-CA"/>
        </w:rPr>
        <w:t>2</w:t>
      </w:r>
      <w:r w:rsidRPr="000F056F">
        <w:rPr>
          <w:sz w:val="18"/>
          <w:szCs w:val="18"/>
          <w:lang w:val="en-CA"/>
        </w:rPr>
        <w:fldChar w:fldCharType="end"/>
      </w:r>
      <w:r w:rsidRPr="000F056F">
        <w:rPr>
          <w:sz w:val="18"/>
          <w:szCs w:val="18"/>
          <w:lang w:val="en-CA"/>
        </w:rPr>
        <w:t xml:space="preserve"> - Priority Clearance Requests</w:t>
      </w:r>
    </w:p>
    <w:tbl>
      <w:tblPr>
        <w:tblStyle w:val="TableGrid"/>
        <w:tblW w:w="10206" w:type="dxa"/>
        <w:jc w:val="center"/>
        <w:tblLook w:val="04A0" w:firstRow="1" w:lastRow="0" w:firstColumn="1" w:lastColumn="0" w:noHBand="0" w:noVBand="1"/>
        <w:tblDescription w:val="Priority Clearance Requests"/>
      </w:tblPr>
      <w:tblGrid>
        <w:gridCol w:w="7372"/>
        <w:gridCol w:w="1339"/>
        <w:gridCol w:w="1495"/>
      </w:tblGrid>
      <w:tr w:rsidR="008A5AA5" w:rsidRPr="000F056F" w14:paraId="52B65288" w14:textId="77777777" w:rsidTr="008A5AA5">
        <w:trPr>
          <w:cantSplit/>
          <w:tblHeader/>
          <w:jc w:val="center"/>
        </w:trPr>
        <w:tc>
          <w:tcPr>
            <w:tcW w:w="7372" w:type="dxa"/>
          </w:tcPr>
          <w:p w14:paraId="3B8A2777" w14:textId="77777777" w:rsidR="002944FE" w:rsidRPr="000F056F" w:rsidRDefault="002944FE" w:rsidP="00B43256">
            <w:pPr>
              <w:pStyle w:val="TableTitle"/>
              <w:rPr>
                <w:rFonts w:cs="Segoe UI Semibold"/>
                <w:szCs w:val="22"/>
                <w:lang w:val="en-CA"/>
              </w:rPr>
            </w:pPr>
            <w:r w:rsidRPr="000F056F">
              <w:rPr>
                <w:rFonts w:cs="Segoe UI Semibold"/>
                <w:szCs w:val="22"/>
                <w:lang w:val="en-CA"/>
              </w:rPr>
              <w:t>Priority Clearance Type</w:t>
            </w:r>
          </w:p>
        </w:tc>
        <w:tc>
          <w:tcPr>
            <w:tcW w:w="1339" w:type="dxa"/>
          </w:tcPr>
          <w:p w14:paraId="3E18CF6E" w14:textId="77777777" w:rsidR="002944FE" w:rsidRPr="000F056F" w:rsidRDefault="002944FE" w:rsidP="00B43256">
            <w:pPr>
              <w:pStyle w:val="TableTitle"/>
              <w:rPr>
                <w:rFonts w:cs="Segoe UI Semibold"/>
                <w:szCs w:val="22"/>
                <w:lang w:val="en-CA"/>
              </w:rPr>
            </w:pPr>
            <w:r w:rsidRPr="000F056F">
              <w:rPr>
                <w:rFonts w:cs="Segoe UI Semibold"/>
                <w:szCs w:val="22"/>
                <w:lang w:val="en-CA"/>
              </w:rPr>
              <w:t>Amount</w:t>
            </w:r>
          </w:p>
        </w:tc>
        <w:tc>
          <w:tcPr>
            <w:tcW w:w="1495" w:type="dxa"/>
          </w:tcPr>
          <w:p w14:paraId="58DA8893" w14:textId="77777777" w:rsidR="002944FE" w:rsidRPr="000F056F" w:rsidRDefault="002944FE" w:rsidP="00B43256">
            <w:pPr>
              <w:pStyle w:val="TableTitle"/>
              <w:rPr>
                <w:rFonts w:cs="Segoe UI Semibold"/>
                <w:szCs w:val="22"/>
                <w:lang w:val="en-CA"/>
              </w:rPr>
            </w:pPr>
            <w:r w:rsidRPr="000F056F">
              <w:rPr>
                <w:rFonts w:cs="Segoe UI Semibold"/>
                <w:szCs w:val="22"/>
                <w:lang w:val="en-CA"/>
              </w:rPr>
              <w:t>Percentage</w:t>
            </w:r>
          </w:p>
        </w:tc>
      </w:tr>
      <w:tr w:rsidR="008A5AA5" w:rsidRPr="000F056F" w14:paraId="4C1613F5" w14:textId="77777777" w:rsidTr="008A5AA5">
        <w:trPr>
          <w:cantSplit/>
          <w:trHeight w:val="978"/>
          <w:tblHeader/>
          <w:jc w:val="center"/>
        </w:trPr>
        <w:tc>
          <w:tcPr>
            <w:tcW w:w="7372" w:type="dxa"/>
          </w:tcPr>
          <w:p w14:paraId="37891129" w14:textId="77777777" w:rsidR="002944FE" w:rsidRPr="000F056F" w:rsidRDefault="002944FE" w:rsidP="000A26AC">
            <w:pPr>
              <w:pStyle w:val="NoSpacing"/>
              <w:rPr>
                <w:rFonts w:asciiTheme="minorHAnsi" w:hAnsiTheme="minorHAnsi" w:cstheme="minorHAnsi"/>
                <w:sz w:val="22"/>
                <w:szCs w:val="22"/>
                <w:lang w:val="en-CA"/>
              </w:rPr>
            </w:pPr>
            <w:r w:rsidRPr="000F056F">
              <w:rPr>
                <w:rFonts w:asciiTheme="minorHAnsi" w:hAnsiTheme="minorHAnsi" w:cstheme="minorHAnsi"/>
                <w:sz w:val="22"/>
                <w:szCs w:val="22"/>
                <w:lang w:val="en-CA"/>
              </w:rPr>
              <w:t>Internal advertised processes</w:t>
            </w:r>
          </w:p>
          <w:p w14:paraId="20641EFF" w14:textId="77777777" w:rsidR="002944FE" w:rsidRPr="000F056F" w:rsidRDefault="002944FE" w:rsidP="000A26AC">
            <w:pPr>
              <w:pStyle w:val="NoSpacing"/>
              <w:numPr>
                <w:ilvl w:val="0"/>
                <w:numId w:val="12"/>
              </w:numPr>
              <w:rPr>
                <w:rFonts w:asciiTheme="minorHAnsi" w:hAnsiTheme="minorHAnsi" w:cstheme="minorHAnsi"/>
                <w:sz w:val="22"/>
                <w:szCs w:val="22"/>
                <w:lang w:val="en-CA"/>
              </w:rPr>
            </w:pPr>
            <w:r w:rsidRPr="000F056F">
              <w:rPr>
                <w:rFonts w:asciiTheme="minorHAnsi" w:hAnsiTheme="minorHAnsi" w:cstheme="minorHAnsi"/>
                <w:sz w:val="22"/>
                <w:szCs w:val="22"/>
                <w:lang w:val="en-CA"/>
              </w:rPr>
              <w:t>Internal advertised (22)</w:t>
            </w:r>
          </w:p>
          <w:p w14:paraId="4B465E12" w14:textId="63D0E6E6" w:rsidR="002944FE" w:rsidRPr="000F056F" w:rsidRDefault="002944FE" w:rsidP="004C25A6">
            <w:pPr>
              <w:pStyle w:val="NoSpacing"/>
              <w:numPr>
                <w:ilvl w:val="0"/>
                <w:numId w:val="12"/>
              </w:numPr>
              <w:rPr>
                <w:rFonts w:asciiTheme="minorHAnsi" w:hAnsiTheme="minorHAnsi" w:cstheme="minorHAnsi"/>
                <w:sz w:val="22"/>
                <w:szCs w:val="22"/>
                <w:lang w:val="en-CA"/>
              </w:rPr>
            </w:pPr>
            <w:r w:rsidRPr="000F056F">
              <w:rPr>
                <w:rFonts w:asciiTheme="minorHAnsi" w:hAnsiTheme="minorHAnsi" w:cstheme="minorHAnsi"/>
                <w:sz w:val="22"/>
                <w:szCs w:val="22"/>
                <w:lang w:val="en-CA"/>
              </w:rPr>
              <w:t>Appointment from a previously established pool (12)</w:t>
            </w:r>
          </w:p>
        </w:tc>
        <w:tc>
          <w:tcPr>
            <w:tcW w:w="1339" w:type="dxa"/>
          </w:tcPr>
          <w:p w14:paraId="6593B3CD" w14:textId="77777777" w:rsidR="002944FE" w:rsidRPr="000F056F" w:rsidRDefault="002944FE" w:rsidP="000120A8">
            <w:pPr>
              <w:pStyle w:val="No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34</w:t>
            </w:r>
          </w:p>
        </w:tc>
        <w:tc>
          <w:tcPr>
            <w:tcW w:w="1495" w:type="dxa"/>
          </w:tcPr>
          <w:p w14:paraId="6E65A273" w14:textId="77777777" w:rsidR="002944FE" w:rsidRPr="000F056F" w:rsidRDefault="002944FE" w:rsidP="000120A8">
            <w:pPr>
              <w:pStyle w:val="No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25%</w:t>
            </w:r>
          </w:p>
        </w:tc>
      </w:tr>
      <w:tr w:rsidR="008A5AA5" w:rsidRPr="000F056F" w14:paraId="61F122BD" w14:textId="77777777" w:rsidTr="008A5AA5">
        <w:trPr>
          <w:cantSplit/>
          <w:trHeight w:val="1202"/>
          <w:tblHeader/>
          <w:jc w:val="center"/>
        </w:trPr>
        <w:tc>
          <w:tcPr>
            <w:tcW w:w="7372" w:type="dxa"/>
          </w:tcPr>
          <w:p w14:paraId="0608735A" w14:textId="77777777" w:rsidR="002944FE" w:rsidRPr="000F056F" w:rsidRDefault="002944FE" w:rsidP="000A26AC">
            <w:pPr>
              <w:pStyle w:val="NoSpacing"/>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External advertised processes </w:t>
            </w:r>
          </w:p>
          <w:p w14:paraId="0D3DF2E7" w14:textId="77777777" w:rsidR="002944FE" w:rsidRPr="000F056F" w:rsidRDefault="002944FE" w:rsidP="000A26AC">
            <w:pPr>
              <w:pStyle w:val="NoSpacing"/>
              <w:numPr>
                <w:ilvl w:val="0"/>
                <w:numId w:val="13"/>
              </w:numPr>
              <w:rPr>
                <w:rFonts w:asciiTheme="minorHAnsi" w:hAnsiTheme="minorHAnsi" w:cstheme="minorHAnsi"/>
                <w:sz w:val="22"/>
                <w:szCs w:val="22"/>
                <w:lang w:val="en-CA"/>
              </w:rPr>
            </w:pPr>
            <w:r w:rsidRPr="000F056F">
              <w:rPr>
                <w:rFonts w:asciiTheme="minorHAnsi" w:hAnsiTheme="minorHAnsi" w:cstheme="minorHAnsi"/>
                <w:sz w:val="22"/>
                <w:szCs w:val="22"/>
                <w:lang w:val="en-CA"/>
              </w:rPr>
              <w:t>External advertised (60)</w:t>
            </w:r>
          </w:p>
          <w:p w14:paraId="1C9C4C08" w14:textId="77777777" w:rsidR="002944FE" w:rsidRPr="000F056F" w:rsidRDefault="002944FE" w:rsidP="000A26AC">
            <w:pPr>
              <w:pStyle w:val="NoSpacing"/>
              <w:numPr>
                <w:ilvl w:val="0"/>
                <w:numId w:val="13"/>
              </w:numPr>
              <w:rPr>
                <w:rFonts w:asciiTheme="minorHAnsi" w:hAnsiTheme="minorHAnsi" w:cstheme="minorHAnsi"/>
                <w:sz w:val="22"/>
                <w:szCs w:val="22"/>
                <w:lang w:val="en-CA"/>
              </w:rPr>
            </w:pPr>
            <w:r w:rsidRPr="000F056F">
              <w:rPr>
                <w:rFonts w:asciiTheme="minorHAnsi" w:hAnsiTheme="minorHAnsi" w:cstheme="minorHAnsi"/>
                <w:sz w:val="22"/>
                <w:szCs w:val="22"/>
                <w:lang w:val="en-CA"/>
              </w:rPr>
              <w:t>Appointment from a previously established pool (24)</w:t>
            </w:r>
          </w:p>
          <w:p w14:paraId="331D86A7" w14:textId="77777777" w:rsidR="002944FE" w:rsidRPr="000F056F" w:rsidRDefault="002944FE" w:rsidP="000A26AC">
            <w:pPr>
              <w:pStyle w:val="NoSpacing"/>
              <w:numPr>
                <w:ilvl w:val="0"/>
                <w:numId w:val="13"/>
              </w:numPr>
              <w:rPr>
                <w:rFonts w:asciiTheme="minorHAnsi" w:hAnsiTheme="minorHAnsi" w:cstheme="minorHAnsi"/>
                <w:sz w:val="22"/>
                <w:szCs w:val="22"/>
                <w:lang w:val="en-CA"/>
              </w:rPr>
            </w:pPr>
            <w:r w:rsidRPr="000F056F">
              <w:rPr>
                <w:rFonts w:asciiTheme="minorHAnsi" w:hAnsiTheme="minorHAnsi" w:cstheme="minorHAnsi"/>
                <w:sz w:val="22"/>
                <w:szCs w:val="22"/>
                <w:lang w:val="en-CA"/>
              </w:rPr>
              <w:t>Student Bridging - Advertised (6)</w:t>
            </w:r>
          </w:p>
          <w:p w14:paraId="0EC393E8" w14:textId="77777777" w:rsidR="002944FE" w:rsidRPr="000F056F" w:rsidRDefault="002944FE" w:rsidP="000A26AC">
            <w:pPr>
              <w:pStyle w:val="NoSpacing"/>
              <w:rPr>
                <w:rFonts w:asciiTheme="minorHAnsi" w:hAnsiTheme="minorHAnsi" w:cstheme="minorHAnsi"/>
                <w:sz w:val="22"/>
                <w:szCs w:val="22"/>
                <w:lang w:val="en-CA"/>
              </w:rPr>
            </w:pPr>
          </w:p>
        </w:tc>
        <w:tc>
          <w:tcPr>
            <w:tcW w:w="1339" w:type="dxa"/>
          </w:tcPr>
          <w:p w14:paraId="000DD997" w14:textId="77777777" w:rsidR="002944FE" w:rsidRPr="000F056F" w:rsidRDefault="002944FE" w:rsidP="000120A8">
            <w:pPr>
              <w:pStyle w:val="No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90</w:t>
            </w:r>
          </w:p>
        </w:tc>
        <w:tc>
          <w:tcPr>
            <w:tcW w:w="1495" w:type="dxa"/>
          </w:tcPr>
          <w:p w14:paraId="2E613313" w14:textId="77777777" w:rsidR="002944FE" w:rsidRPr="000F056F" w:rsidRDefault="002944FE" w:rsidP="000120A8">
            <w:pPr>
              <w:pStyle w:val="No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65%</w:t>
            </w:r>
          </w:p>
        </w:tc>
      </w:tr>
      <w:tr w:rsidR="008A5AA5" w:rsidRPr="000F056F" w14:paraId="709EA36F" w14:textId="77777777" w:rsidTr="008A5AA5">
        <w:trPr>
          <w:cantSplit/>
          <w:trHeight w:val="313"/>
          <w:tblHeader/>
          <w:jc w:val="center"/>
        </w:trPr>
        <w:tc>
          <w:tcPr>
            <w:tcW w:w="7372" w:type="dxa"/>
          </w:tcPr>
          <w:p w14:paraId="7ACE9508" w14:textId="77777777" w:rsidR="002944FE" w:rsidRPr="000F056F" w:rsidRDefault="002944FE" w:rsidP="000A26AC">
            <w:pPr>
              <w:pStyle w:val="NoSpacing"/>
              <w:rPr>
                <w:rFonts w:asciiTheme="minorHAnsi" w:hAnsiTheme="minorHAnsi" w:cstheme="minorHAnsi"/>
                <w:sz w:val="22"/>
                <w:szCs w:val="22"/>
                <w:lang w:val="en-CA"/>
              </w:rPr>
            </w:pPr>
            <w:r w:rsidRPr="000F056F">
              <w:rPr>
                <w:rFonts w:asciiTheme="minorHAnsi" w:hAnsiTheme="minorHAnsi" w:cstheme="minorHAnsi"/>
                <w:sz w:val="22"/>
                <w:szCs w:val="22"/>
                <w:lang w:val="en-CA"/>
              </w:rPr>
              <w:t>Internal non-advertised processes</w:t>
            </w:r>
          </w:p>
        </w:tc>
        <w:tc>
          <w:tcPr>
            <w:tcW w:w="1339" w:type="dxa"/>
          </w:tcPr>
          <w:p w14:paraId="62385515" w14:textId="77777777" w:rsidR="002944FE" w:rsidRPr="000F056F" w:rsidRDefault="002944FE" w:rsidP="000120A8">
            <w:pPr>
              <w:pStyle w:val="No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8</w:t>
            </w:r>
          </w:p>
        </w:tc>
        <w:tc>
          <w:tcPr>
            <w:tcW w:w="1495" w:type="dxa"/>
          </w:tcPr>
          <w:p w14:paraId="2624E62A" w14:textId="77777777" w:rsidR="002944FE" w:rsidRPr="000F056F" w:rsidRDefault="002944FE" w:rsidP="000120A8">
            <w:pPr>
              <w:pStyle w:val="No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6%</w:t>
            </w:r>
          </w:p>
        </w:tc>
      </w:tr>
      <w:tr w:rsidR="008A5AA5" w:rsidRPr="000F056F" w14:paraId="388A2AE2" w14:textId="77777777" w:rsidTr="008A5AA5">
        <w:trPr>
          <w:cantSplit/>
          <w:tblHeader/>
          <w:jc w:val="center"/>
        </w:trPr>
        <w:tc>
          <w:tcPr>
            <w:tcW w:w="7372" w:type="dxa"/>
          </w:tcPr>
          <w:p w14:paraId="10F0D2C9" w14:textId="77777777" w:rsidR="002944FE" w:rsidRPr="000F056F" w:rsidRDefault="002944FE" w:rsidP="000A26AC">
            <w:pPr>
              <w:pStyle w:val="NoSpacing"/>
              <w:rPr>
                <w:rFonts w:asciiTheme="minorHAnsi" w:hAnsiTheme="minorHAnsi" w:cstheme="minorHAnsi"/>
                <w:sz w:val="22"/>
                <w:szCs w:val="22"/>
                <w:lang w:val="en-CA"/>
              </w:rPr>
            </w:pPr>
            <w:r w:rsidRPr="000F056F">
              <w:rPr>
                <w:rFonts w:asciiTheme="minorHAnsi" w:hAnsiTheme="minorHAnsi" w:cstheme="minorHAnsi"/>
                <w:sz w:val="22"/>
                <w:szCs w:val="22"/>
                <w:lang w:val="en-CA"/>
              </w:rPr>
              <w:t>External non-advertised processes</w:t>
            </w:r>
          </w:p>
        </w:tc>
        <w:tc>
          <w:tcPr>
            <w:tcW w:w="1339" w:type="dxa"/>
          </w:tcPr>
          <w:p w14:paraId="01D32D6F" w14:textId="77777777" w:rsidR="002944FE" w:rsidRPr="000F056F" w:rsidRDefault="002944FE" w:rsidP="000120A8">
            <w:pPr>
              <w:pStyle w:val="No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6</w:t>
            </w:r>
          </w:p>
        </w:tc>
        <w:tc>
          <w:tcPr>
            <w:tcW w:w="1495" w:type="dxa"/>
          </w:tcPr>
          <w:p w14:paraId="1D82A895" w14:textId="77777777" w:rsidR="002944FE" w:rsidRPr="000F056F" w:rsidRDefault="002944FE" w:rsidP="000120A8">
            <w:pPr>
              <w:pStyle w:val="No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w:t>
            </w:r>
          </w:p>
        </w:tc>
      </w:tr>
      <w:tr w:rsidR="008A5AA5" w:rsidRPr="000F056F" w14:paraId="7F68D1CD" w14:textId="77777777" w:rsidTr="008A5AA5">
        <w:trPr>
          <w:cantSplit/>
          <w:tblHeader/>
          <w:jc w:val="center"/>
        </w:trPr>
        <w:tc>
          <w:tcPr>
            <w:tcW w:w="7372" w:type="dxa"/>
          </w:tcPr>
          <w:p w14:paraId="279BE6E9" w14:textId="77777777" w:rsidR="002944FE" w:rsidRPr="000F056F" w:rsidRDefault="002944FE" w:rsidP="000A26AC">
            <w:pPr>
              <w:pStyle w:val="NoSpacing"/>
              <w:rPr>
                <w:rFonts w:asciiTheme="minorHAnsi" w:hAnsiTheme="minorHAnsi" w:cstheme="minorHAnsi"/>
                <w:sz w:val="22"/>
                <w:szCs w:val="22"/>
                <w:lang w:val="en-CA"/>
              </w:rPr>
            </w:pPr>
            <w:r w:rsidRPr="000F056F">
              <w:rPr>
                <w:rFonts w:asciiTheme="minorHAnsi" w:hAnsiTheme="minorHAnsi" w:cstheme="minorHAnsi"/>
                <w:sz w:val="22"/>
                <w:szCs w:val="22"/>
                <w:lang w:val="en-CA"/>
              </w:rPr>
              <w:t>Total</w:t>
            </w:r>
          </w:p>
        </w:tc>
        <w:tc>
          <w:tcPr>
            <w:tcW w:w="1339" w:type="dxa"/>
          </w:tcPr>
          <w:p w14:paraId="22F64513" w14:textId="77777777" w:rsidR="002944FE" w:rsidRPr="000F056F" w:rsidRDefault="002944FE" w:rsidP="000120A8">
            <w:pPr>
              <w:pStyle w:val="No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fldChar w:fldCharType="begin"/>
            </w:r>
            <w:r w:rsidRPr="000F056F">
              <w:rPr>
                <w:rFonts w:asciiTheme="minorHAnsi" w:hAnsiTheme="minorHAnsi" w:cstheme="minorHAnsi"/>
                <w:sz w:val="22"/>
                <w:szCs w:val="22"/>
                <w:lang w:val="en-CA"/>
              </w:rPr>
              <w:instrText xml:space="preserve"> =SUM(ABOVE) </w:instrText>
            </w:r>
            <w:r w:rsidRPr="000F056F">
              <w:rPr>
                <w:rFonts w:asciiTheme="minorHAnsi" w:hAnsiTheme="minorHAnsi" w:cstheme="minorHAnsi"/>
                <w:sz w:val="22"/>
                <w:szCs w:val="22"/>
                <w:lang w:val="en-CA"/>
              </w:rPr>
              <w:fldChar w:fldCharType="separate"/>
            </w:r>
            <w:r w:rsidRPr="000F056F">
              <w:rPr>
                <w:rFonts w:asciiTheme="minorHAnsi" w:hAnsiTheme="minorHAnsi" w:cstheme="minorHAnsi"/>
                <w:sz w:val="22"/>
                <w:szCs w:val="22"/>
                <w:lang w:val="en-CA"/>
              </w:rPr>
              <w:t>138</w:t>
            </w:r>
            <w:r w:rsidRPr="000F056F">
              <w:rPr>
                <w:rFonts w:asciiTheme="minorHAnsi" w:hAnsiTheme="minorHAnsi" w:cstheme="minorHAnsi"/>
                <w:sz w:val="22"/>
                <w:szCs w:val="22"/>
                <w:lang w:val="en-CA"/>
              </w:rPr>
              <w:fldChar w:fldCharType="end"/>
            </w:r>
          </w:p>
        </w:tc>
        <w:tc>
          <w:tcPr>
            <w:tcW w:w="1495" w:type="dxa"/>
          </w:tcPr>
          <w:p w14:paraId="5CC4A7DE" w14:textId="77777777" w:rsidR="002944FE" w:rsidRPr="000F056F" w:rsidRDefault="002944FE" w:rsidP="000120A8">
            <w:pPr>
              <w:pStyle w:val="NoSpacing"/>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100%</w:t>
            </w:r>
          </w:p>
        </w:tc>
      </w:tr>
    </w:tbl>
    <w:p w14:paraId="7345A3B9" w14:textId="77777777" w:rsidR="002944FE" w:rsidRPr="000F056F" w:rsidRDefault="002944FE" w:rsidP="00B75DF3">
      <w:pPr>
        <w:spacing w:after="120"/>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Source: Priority Information Management System</w:t>
      </w:r>
    </w:p>
    <w:p w14:paraId="0CC3797F" w14:textId="77777777" w:rsidR="002944FE" w:rsidRPr="000F056F" w:rsidRDefault="002944FE" w:rsidP="008E37FE">
      <w:pPr>
        <w:pStyle w:val="Heading2"/>
        <w:spacing w:after="120"/>
        <w:rPr>
          <w:lang w:val="en-CA"/>
        </w:rPr>
      </w:pPr>
      <w:r w:rsidRPr="000F056F">
        <w:rPr>
          <w:lang w:val="en-CA"/>
        </w:rPr>
        <w:t>COVID-19 Related Priority Clearance Requests</w:t>
      </w:r>
    </w:p>
    <w:p w14:paraId="0CF00B6C" w14:textId="77777777" w:rsidR="008E37FE" w:rsidRPr="000F056F" w:rsidRDefault="002944FE" w:rsidP="008E37FE">
      <w:pPr>
        <w:pStyle w:val="NoSpacing"/>
        <w:spacing w:after="120"/>
        <w:rPr>
          <w:rFonts w:asciiTheme="minorHAnsi" w:hAnsiTheme="minorHAnsi" w:cstheme="minorHAnsi"/>
          <w:color w:val="000000"/>
          <w:sz w:val="22"/>
          <w:szCs w:val="22"/>
          <w:lang w:val="en-CA"/>
        </w:rPr>
        <w:sectPr w:rsidR="008E37FE" w:rsidRPr="000F056F" w:rsidSect="005D4281">
          <w:pgSz w:w="12240" w:h="15840"/>
          <w:pgMar w:top="1440" w:right="1080" w:bottom="1440" w:left="1080" w:header="709" w:footer="284" w:gutter="0"/>
          <w:cols w:space="708"/>
          <w:titlePg/>
          <w:docGrid w:linePitch="360"/>
        </w:sectPr>
      </w:pPr>
      <w:r w:rsidRPr="000F056F">
        <w:rPr>
          <w:rFonts w:asciiTheme="minorHAnsi" w:hAnsiTheme="minorHAnsi" w:cstheme="minorHAnsi"/>
          <w:color w:val="000000"/>
          <w:sz w:val="22"/>
          <w:szCs w:val="22"/>
          <w:lang w:val="en-CA"/>
        </w:rPr>
        <w:t>Since March 13, 2020, the CGC has not submitted any priority clearance requests related to COVID-19 positions.</w:t>
      </w:r>
    </w:p>
    <w:p w14:paraId="42095C66" w14:textId="77777777" w:rsidR="002944FE" w:rsidRPr="000F056F" w:rsidRDefault="002944FE" w:rsidP="008E37FE">
      <w:pPr>
        <w:pStyle w:val="Heading2"/>
        <w:spacing w:after="120"/>
        <w:rPr>
          <w:lang w:val="en-CA"/>
        </w:rPr>
      </w:pPr>
      <w:r w:rsidRPr="000F056F">
        <w:rPr>
          <w:lang w:val="en-CA"/>
        </w:rPr>
        <w:lastRenderedPageBreak/>
        <w:t>Persons with a Priority Entitlement</w:t>
      </w:r>
    </w:p>
    <w:p w14:paraId="097EE46F" w14:textId="77777777" w:rsidR="002944FE" w:rsidRPr="000F056F" w:rsidRDefault="002944FE" w:rsidP="002944FE">
      <w:pPr>
        <w:pStyle w:val="No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As of January 11, 2021, the CGC had three PPEs in the Priority Information Management System:</w:t>
      </w:r>
    </w:p>
    <w:p w14:paraId="640E2A66" w14:textId="7D5D5F1C" w:rsidR="002944FE" w:rsidRPr="000F056F" w:rsidRDefault="002944FE" w:rsidP="002944FE">
      <w:pPr>
        <w:pStyle w:val="NoSpacing"/>
        <w:numPr>
          <w:ilvl w:val="0"/>
          <w:numId w:val="18"/>
        </w:numP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One</w:t>
      </w:r>
      <w:r w:rsidR="00031404">
        <w:rPr>
          <w:rFonts w:asciiTheme="minorHAnsi" w:hAnsiTheme="minorHAnsi" w:cstheme="minorHAnsi"/>
          <w:color w:val="000000"/>
          <w:sz w:val="22"/>
          <w:szCs w:val="22"/>
          <w:lang w:val="en-CA"/>
        </w:rPr>
        <w:t xml:space="preserve"> employee</w:t>
      </w:r>
      <w:r w:rsidRPr="000F056F">
        <w:rPr>
          <w:rFonts w:asciiTheme="minorHAnsi" w:hAnsiTheme="minorHAnsi" w:cstheme="minorHAnsi"/>
          <w:color w:val="000000"/>
          <w:sz w:val="22"/>
          <w:szCs w:val="22"/>
          <w:lang w:val="en-CA"/>
        </w:rPr>
        <w:t xml:space="preserve"> with a surplus entitlement (Guarantee of a reasonable job offer</w:t>
      </w:r>
      <w:proofErr w:type="gramStart"/>
      <w:r w:rsidRPr="000F056F">
        <w:rPr>
          <w:rFonts w:asciiTheme="minorHAnsi" w:hAnsiTheme="minorHAnsi" w:cstheme="minorHAnsi"/>
          <w:color w:val="000000"/>
          <w:sz w:val="22"/>
          <w:szCs w:val="22"/>
          <w:lang w:val="en-CA"/>
        </w:rPr>
        <w:t>);</w:t>
      </w:r>
      <w:proofErr w:type="gramEnd"/>
    </w:p>
    <w:p w14:paraId="0E7D6E1D" w14:textId="77777777" w:rsidR="002944FE" w:rsidRPr="000F056F" w:rsidRDefault="002944FE" w:rsidP="002944FE">
      <w:pPr>
        <w:pStyle w:val="NoSpacing"/>
        <w:numPr>
          <w:ilvl w:val="0"/>
          <w:numId w:val="18"/>
        </w:numP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One with a leave of absence entitlement; and</w:t>
      </w:r>
    </w:p>
    <w:p w14:paraId="7CF606F4" w14:textId="77777777" w:rsidR="002944FE" w:rsidRPr="000F056F" w:rsidRDefault="002944FE" w:rsidP="00B75DF3">
      <w:pPr>
        <w:pStyle w:val="NoSpacing"/>
        <w:numPr>
          <w:ilvl w:val="0"/>
          <w:numId w:val="18"/>
        </w:numPr>
        <w:spacing w:after="12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One with a lay-off entitlement.</w:t>
      </w:r>
    </w:p>
    <w:p w14:paraId="0FDCA504" w14:textId="77777777" w:rsidR="002944FE" w:rsidRPr="000F056F" w:rsidRDefault="002944FE" w:rsidP="00B75DF3">
      <w:pPr>
        <w:pStyle w:val="Heading1"/>
        <w:spacing w:after="120"/>
        <w:rPr>
          <w:rFonts w:cstheme="majorHAnsi"/>
          <w:lang w:val="en-CA"/>
        </w:rPr>
      </w:pPr>
      <w:r w:rsidRPr="000F056F">
        <w:rPr>
          <w:rFonts w:cstheme="majorHAnsi"/>
          <w:lang w:val="en-CA"/>
        </w:rPr>
        <w:t>Non-Partisanship in the Public Service</w:t>
      </w:r>
    </w:p>
    <w:p w14:paraId="5F52AE80" w14:textId="77777777" w:rsidR="002944FE" w:rsidRPr="000F056F" w:rsidRDefault="002944FE" w:rsidP="00B75DF3">
      <w:pPr>
        <w:pStyle w:val="NoSpacing"/>
        <w:spacing w:after="12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 xml:space="preserve">Since the 2006-2007 fiscal year, no CGC employee has requested PSC permission to be a candidate in a federal, provincial, </w:t>
      </w:r>
      <w:proofErr w:type="gramStart"/>
      <w:r w:rsidRPr="000F056F">
        <w:rPr>
          <w:rFonts w:asciiTheme="minorHAnsi" w:hAnsiTheme="minorHAnsi" w:cstheme="minorHAnsi"/>
          <w:color w:val="000000"/>
          <w:sz w:val="22"/>
          <w:szCs w:val="22"/>
          <w:lang w:val="en-CA"/>
        </w:rPr>
        <w:t>territorial</w:t>
      </w:r>
      <w:proofErr w:type="gramEnd"/>
      <w:r w:rsidRPr="000F056F">
        <w:rPr>
          <w:rFonts w:asciiTheme="minorHAnsi" w:hAnsiTheme="minorHAnsi" w:cstheme="minorHAnsi"/>
          <w:color w:val="000000"/>
          <w:sz w:val="22"/>
          <w:szCs w:val="22"/>
          <w:lang w:val="en-CA"/>
        </w:rPr>
        <w:t xml:space="preserve"> or municipal election.</w:t>
      </w:r>
    </w:p>
    <w:p w14:paraId="6C6434BB" w14:textId="77777777" w:rsidR="002944FE" w:rsidRPr="000F056F" w:rsidRDefault="002944FE" w:rsidP="002944FE">
      <w:pPr>
        <w:pStyle w:val="No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In the 2018 SNPS:</w:t>
      </w:r>
    </w:p>
    <w:p w14:paraId="5B47D994" w14:textId="77777777" w:rsidR="002944FE" w:rsidRPr="000F056F" w:rsidRDefault="002944FE" w:rsidP="002944FE">
      <w:pPr>
        <w:pStyle w:val="NoSpacing"/>
        <w:numPr>
          <w:ilvl w:val="0"/>
          <w:numId w:val="18"/>
        </w:numP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4.0% of the CGC respondents indicated that they engaged in political activities (other than voting or seeking political candidacy) between January 1 and December 31, 2017, which is higher than the average of 2.4% for the Public Service in general.</w:t>
      </w:r>
    </w:p>
    <w:p w14:paraId="6E72E60B" w14:textId="77777777" w:rsidR="002944FE" w:rsidRPr="000F056F" w:rsidRDefault="002944FE" w:rsidP="00B75DF3">
      <w:pPr>
        <w:pStyle w:val="NoSpacing"/>
        <w:numPr>
          <w:ilvl w:val="0"/>
          <w:numId w:val="18"/>
        </w:numPr>
        <w:spacing w:after="12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91.8% of the CGC respondents indicated that they are aware of their rights and obligations for engaging in political activities to a moderate and great extent, which is greater than 80.1% for the Public Service in general.</w:t>
      </w:r>
    </w:p>
    <w:p w14:paraId="402F4FCC" w14:textId="0F1A984D" w:rsidR="002944FE" w:rsidRPr="000F056F" w:rsidRDefault="002944FE" w:rsidP="00B75DF3">
      <w:pPr>
        <w:pStyle w:val="NoSpacing"/>
        <w:spacing w:after="12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 xml:space="preserve">The CGC’s Designated Political Activities Representative (DPAR) is Patti </w:t>
      </w:r>
      <w:proofErr w:type="spellStart"/>
      <w:r w:rsidRPr="000F056F">
        <w:rPr>
          <w:rFonts w:asciiTheme="minorHAnsi" w:hAnsiTheme="minorHAnsi" w:cstheme="minorHAnsi"/>
          <w:color w:val="000000"/>
          <w:sz w:val="22"/>
          <w:szCs w:val="22"/>
          <w:lang w:val="en-CA"/>
        </w:rPr>
        <w:t>Charach</w:t>
      </w:r>
      <w:proofErr w:type="spellEnd"/>
      <w:r w:rsidRPr="000F056F">
        <w:rPr>
          <w:rFonts w:asciiTheme="minorHAnsi" w:hAnsiTheme="minorHAnsi" w:cstheme="minorHAnsi"/>
          <w:color w:val="000000"/>
          <w:sz w:val="22"/>
          <w:szCs w:val="22"/>
          <w:lang w:val="en-CA"/>
        </w:rPr>
        <w:t xml:space="preserve">, </w:t>
      </w:r>
      <w:r w:rsidR="009052EF" w:rsidRPr="000F056F">
        <w:rPr>
          <w:rFonts w:asciiTheme="minorHAnsi" w:hAnsiTheme="minorHAnsi" w:cstheme="minorHAnsi"/>
          <w:color w:val="000000"/>
          <w:sz w:val="22"/>
          <w:szCs w:val="22"/>
          <w:lang w:val="en-CA"/>
        </w:rPr>
        <w:t>Acting Director, Human Resources Branch</w:t>
      </w:r>
      <w:r w:rsidRPr="000F056F">
        <w:rPr>
          <w:rFonts w:asciiTheme="minorHAnsi" w:hAnsiTheme="minorHAnsi" w:cstheme="minorHAnsi"/>
          <w:color w:val="000000"/>
          <w:sz w:val="22"/>
          <w:szCs w:val="22"/>
          <w:lang w:val="en-CA"/>
        </w:rPr>
        <w:t>. The DPAR acts as a liaison with the PSC on matters related to political activities and non-partisanship. General awareness sessions on political activities and non-partisanship for employees can be delivered upon request.</w:t>
      </w:r>
    </w:p>
    <w:p w14:paraId="6662F2C9" w14:textId="77777777" w:rsidR="002944FE" w:rsidRPr="000F056F" w:rsidRDefault="002944FE" w:rsidP="00B75DF3">
      <w:pPr>
        <w:pStyle w:val="Heading1"/>
        <w:spacing w:after="120"/>
        <w:rPr>
          <w:rFonts w:cstheme="majorHAnsi"/>
          <w:lang w:val="en-CA"/>
        </w:rPr>
      </w:pPr>
      <w:r w:rsidRPr="000F056F">
        <w:rPr>
          <w:rFonts w:cstheme="majorHAnsi"/>
          <w:lang w:val="en-CA"/>
        </w:rPr>
        <w:t>Recruitment Programs</w:t>
      </w:r>
    </w:p>
    <w:p w14:paraId="5BEDA152" w14:textId="77777777" w:rsidR="002944FE" w:rsidRPr="000F056F" w:rsidRDefault="002944FE" w:rsidP="00B75DF3">
      <w:pPr>
        <w:pStyle w:val="Heading2"/>
        <w:spacing w:after="120"/>
        <w:rPr>
          <w:lang w:val="en-CA"/>
        </w:rPr>
      </w:pPr>
      <w:r w:rsidRPr="000F056F">
        <w:rPr>
          <w:lang w:val="en-CA"/>
        </w:rPr>
        <w:t>Federal Internship Program for Canadians with Disabilities (FIPCD)</w:t>
      </w:r>
    </w:p>
    <w:p w14:paraId="6DEB6F80" w14:textId="77777777" w:rsidR="002944FE" w:rsidRPr="000F056F" w:rsidRDefault="002944FE" w:rsidP="00B75DF3">
      <w:pPr>
        <w:spacing w:after="120"/>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Although the CGC is currently not participating in the FIPCD Program, it is an excellent initiative to contribute to the Government of Canada’s Accessibility Strategy by having an intern and support their organization while the intern develops their skills to increase their employability. The program also offers for a 50% salary reimbursement to hiring departments for the duration of the internship period.</w:t>
      </w:r>
    </w:p>
    <w:p w14:paraId="27DF1D2A" w14:textId="7E9866C3" w:rsidR="002944FE" w:rsidRPr="000F056F" w:rsidRDefault="002944FE" w:rsidP="00B75DF3">
      <w:pPr>
        <w:spacing w:after="120"/>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 xml:space="preserve">In addition, the program provides managers and interns with career coaching services and tools to support the interns’ development such as recommended training offered by the Canada School of Public Service (CSPS). </w:t>
      </w:r>
    </w:p>
    <w:p w14:paraId="6D963ABE" w14:textId="2B015D0D" w:rsidR="002944FE" w:rsidRPr="000F056F" w:rsidRDefault="002944FE" w:rsidP="00B75DF3">
      <w:pPr>
        <w:spacing w:after="120"/>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Should </w:t>
      </w:r>
      <w:r w:rsidR="002E101C" w:rsidRPr="000F056F">
        <w:rPr>
          <w:rFonts w:asciiTheme="minorHAnsi" w:hAnsiTheme="minorHAnsi" w:cstheme="minorHAnsi"/>
          <w:sz w:val="22"/>
          <w:szCs w:val="22"/>
          <w:lang w:val="en-CA"/>
        </w:rPr>
        <w:t>the CGC</w:t>
      </w:r>
      <w:r w:rsidRPr="000F056F">
        <w:rPr>
          <w:rFonts w:asciiTheme="minorHAnsi" w:hAnsiTheme="minorHAnsi" w:cstheme="minorHAnsi"/>
          <w:sz w:val="22"/>
          <w:szCs w:val="22"/>
          <w:lang w:val="en-CA"/>
        </w:rPr>
        <w:t xml:space="preserve"> wish to hire interns, they may contact the PSC to explore this option at: </w:t>
      </w:r>
      <w:hyperlink r:id="rId11" w:history="1">
        <w:r w:rsidRPr="000F056F">
          <w:rPr>
            <w:rStyle w:val="Hyperlink"/>
            <w:rFonts w:asciiTheme="minorHAnsi" w:hAnsiTheme="minorHAnsi" w:cstheme="minorHAnsi"/>
            <w:sz w:val="22"/>
            <w:szCs w:val="22"/>
            <w:lang w:val="en-CA"/>
          </w:rPr>
          <w:t>cfp.diversitedetalent-talentdiversity.psc@canada.ca</w:t>
        </w:r>
      </w:hyperlink>
      <w:r w:rsidRPr="000F056F">
        <w:rPr>
          <w:rFonts w:asciiTheme="minorHAnsi" w:hAnsiTheme="minorHAnsi" w:cstheme="minorHAnsi"/>
          <w:sz w:val="22"/>
          <w:szCs w:val="22"/>
          <w:lang w:val="en-CA"/>
        </w:rPr>
        <w:t xml:space="preserve"> </w:t>
      </w:r>
    </w:p>
    <w:p w14:paraId="561F38A6" w14:textId="77777777" w:rsidR="002944FE" w:rsidRPr="000F056F" w:rsidRDefault="002944FE" w:rsidP="00B75DF3">
      <w:pPr>
        <w:pStyle w:val="Heading2"/>
        <w:spacing w:after="120"/>
        <w:rPr>
          <w:lang w:val="en-CA"/>
        </w:rPr>
      </w:pPr>
      <w:r w:rsidRPr="000F056F">
        <w:rPr>
          <w:lang w:val="en-CA"/>
        </w:rPr>
        <w:t>Employment Opportunity for Students with Disabilities (EOSD) / Indigenous Student Employment Opportunity (ISEO)</w:t>
      </w:r>
    </w:p>
    <w:p w14:paraId="085CD7A8" w14:textId="77777777" w:rsidR="002944FE" w:rsidRPr="000F056F" w:rsidRDefault="002944FE" w:rsidP="00B75DF3">
      <w:pPr>
        <w:tabs>
          <w:tab w:val="center" w:pos="4680"/>
        </w:tabs>
        <w:spacing w:after="120"/>
        <w:rPr>
          <w:rFonts w:asciiTheme="minorHAnsi" w:eastAsia="Calibri" w:hAnsiTheme="minorHAnsi" w:cstheme="minorHAnsi"/>
          <w:color w:val="0563C1"/>
          <w:sz w:val="22"/>
          <w:szCs w:val="22"/>
          <w:u w:val="single"/>
          <w:lang w:val="en-CA"/>
        </w:rPr>
      </w:pPr>
      <w:r w:rsidRPr="000F056F">
        <w:rPr>
          <w:rFonts w:asciiTheme="minorHAnsi" w:eastAsia="Calibri" w:hAnsiTheme="minorHAnsi" w:cstheme="minorHAnsi"/>
          <w:sz w:val="22"/>
          <w:szCs w:val="22"/>
          <w:lang w:val="en-CA"/>
        </w:rPr>
        <w:t>Since January 1, 2020, the CGC has not submitted any requests referrals for the EOSD or ISEO through FSWEP.</w:t>
      </w:r>
    </w:p>
    <w:p w14:paraId="194178BE" w14:textId="1A2C0182" w:rsidR="002944FE" w:rsidRPr="000F056F" w:rsidRDefault="00A316BF" w:rsidP="002944FE">
      <w:pPr>
        <w:tabs>
          <w:tab w:val="center" w:pos="4680"/>
        </w:tabs>
        <w:contextualSpacing/>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lastRenderedPageBreak/>
        <w:t xml:space="preserve">The EOSD and ISEO initiatives are excellent support initiatives available to students through </w:t>
      </w:r>
      <w:hyperlink r:id="rId12" w:history="1">
        <w:r w:rsidRPr="000F056F">
          <w:rPr>
            <w:rFonts w:asciiTheme="minorHAnsi" w:eastAsia="Calibri" w:hAnsiTheme="minorHAnsi" w:cstheme="minorHAnsi"/>
            <w:color w:val="0563C1"/>
            <w:sz w:val="22"/>
            <w:szCs w:val="22"/>
            <w:u w:val="single"/>
            <w:lang w:val="en-CA"/>
          </w:rPr>
          <w:t>FSWEP</w:t>
        </w:r>
      </w:hyperlink>
      <w:r w:rsidRPr="000F056F">
        <w:rPr>
          <w:rFonts w:asciiTheme="minorHAnsi" w:eastAsia="Calibri" w:hAnsiTheme="minorHAnsi" w:cstheme="minorHAnsi"/>
          <w:color w:val="0563C1"/>
          <w:sz w:val="22"/>
          <w:szCs w:val="22"/>
          <w:u w:val="single"/>
          <w:lang w:val="en-CA"/>
        </w:rPr>
        <w:t xml:space="preserve"> </w:t>
      </w:r>
      <w:r w:rsidR="002944FE" w:rsidRPr="000F056F">
        <w:rPr>
          <w:rFonts w:asciiTheme="minorHAnsi" w:eastAsia="Calibri" w:hAnsiTheme="minorHAnsi" w:cstheme="minorHAnsi"/>
          <w:sz w:val="22"/>
          <w:szCs w:val="22"/>
          <w:lang w:val="en-CA"/>
        </w:rPr>
        <w:t xml:space="preserve">and to increase workplace diversity by facilitating the hiring of students living with disabilities and Indigenous students. Managers and students are provided with resources such as onboarding tools, </w:t>
      </w:r>
      <w:proofErr w:type="gramStart"/>
      <w:r w:rsidR="002944FE" w:rsidRPr="000F056F">
        <w:rPr>
          <w:rFonts w:asciiTheme="minorHAnsi" w:eastAsia="Calibri" w:hAnsiTheme="minorHAnsi" w:cstheme="minorHAnsi"/>
          <w:sz w:val="22"/>
          <w:szCs w:val="22"/>
          <w:lang w:val="en-CA"/>
        </w:rPr>
        <w:t>training</w:t>
      </w:r>
      <w:proofErr w:type="gramEnd"/>
      <w:r w:rsidR="002944FE" w:rsidRPr="000F056F">
        <w:rPr>
          <w:rFonts w:asciiTheme="minorHAnsi" w:eastAsia="Calibri" w:hAnsiTheme="minorHAnsi" w:cstheme="minorHAnsi"/>
          <w:sz w:val="22"/>
          <w:szCs w:val="22"/>
          <w:lang w:val="en-CA"/>
        </w:rPr>
        <w:t xml:space="preserve"> and networking events, such as mentoring and meet and greets. Candidates from </w:t>
      </w:r>
      <w:proofErr w:type="gramStart"/>
      <w:r w:rsidR="002944FE" w:rsidRPr="000F056F">
        <w:rPr>
          <w:rFonts w:asciiTheme="minorHAnsi" w:eastAsia="Calibri" w:hAnsiTheme="minorHAnsi" w:cstheme="minorHAnsi"/>
          <w:sz w:val="22"/>
          <w:szCs w:val="22"/>
          <w:lang w:val="en-CA"/>
        </w:rPr>
        <w:t>both of these</w:t>
      </w:r>
      <w:proofErr w:type="gramEnd"/>
      <w:r w:rsidR="002944FE" w:rsidRPr="000F056F">
        <w:rPr>
          <w:rFonts w:asciiTheme="minorHAnsi" w:eastAsia="Calibri" w:hAnsiTheme="minorHAnsi" w:cstheme="minorHAnsi"/>
          <w:sz w:val="22"/>
          <w:szCs w:val="22"/>
          <w:lang w:val="en-CA"/>
        </w:rPr>
        <w:t xml:space="preserve"> initiatives are available to hiring organizations year-round through the FSWEP ongoing inventory.</w:t>
      </w:r>
    </w:p>
    <w:p w14:paraId="7FC1C266" w14:textId="77777777" w:rsidR="002944FE" w:rsidRPr="000F056F" w:rsidRDefault="002944FE" w:rsidP="002944FE">
      <w:pPr>
        <w:numPr>
          <w:ilvl w:val="0"/>
          <w:numId w:val="11"/>
        </w:numPr>
        <w:tabs>
          <w:tab w:val="center" w:pos="4680"/>
        </w:tabs>
        <w:contextualSpacing/>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The number of available students in EOSD is 4,424</w:t>
      </w:r>
      <w:r w:rsidRPr="000F056F">
        <w:rPr>
          <w:rFonts w:asciiTheme="minorHAnsi" w:eastAsia="Calibri" w:hAnsiTheme="minorHAnsi" w:cstheme="minorHAnsi"/>
          <w:sz w:val="22"/>
          <w:szCs w:val="22"/>
          <w:vertAlign w:val="superscript"/>
          <w:lang w:val="en-CA"/>
        </w:rPr>
        <w:footnoteReference w:id="1"/>
      </w:r>
      <w:r w:rsidRPr="000F056F">
        <w:rPr>
          <w:rFonts w:asciiTheme="minorHAnsi" w:eastAsia="Calibri" w:hAnsiTheme="minorHAnsi" w:cstheme="minorHAnsi"/>
          <w:sz w:val="22"/>
          <w:szCs w:val="22"/>
          <w:lang w:val="en-CA"/>
        </w:rPr>
        <w:t>.</w:t>
      </w:r>
    </w:p>
    <w:p w14:paraId="474BB7CB" w14:textId="044E8D9F" w:rsidR="002944FE" w:rsidRPr="000F056F" w:rsidRDefault="002944FE" w:rsidP="00B75DF3">
      <w:pPr>
        <w:numPr>
          <w:ilvl w:val="0"/>
          <w:numId w:val="11"/>
        </w:numPr>
        <w:tabs>
          <w:tab w:val="center" w:pos="4680"/>
        </w:tabs>
        <w:spacing w:after="120"/>
        <w:contextualSpacing/>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The number of available students in ISEO</w:t>
      </w:r>
      <w:r w:rsidR="006610A5">
        <w:rPr>
          <w:rFonts w:asciiTheme="minorHAnsi" w:eastAsia="Calibri" w:hAnsiTheme="minorHAnsi" w:cstheme="minorHAnsi"/>
          <w:sz w:val="22"/>
          <w:szCs w:val="22"/>
          <w:lang w:val="en-CA"/>
        </w:rPr>
        <w:t xml:space="preserve"> is</w:t>
      </w:r>
      <w:r w:rsidRPr="000F056F">
        <w:rPr>
          <w:rFonts w:asciiTheme="minorHAnsi" w:eastAsia="Calibri" w:hAnsiTheme="minorHAnsi" w:cstheme="minorHAnsi"/>
          <w:sz w:val="22"/>
          <w:szCs w:val="22"/>
          <w:lang w:val="en-CA"/>
        </w:rPr>
        <w:t xml:space="preserve"> 2,511</w:t>
      </w:r>
      <w:r w:rsidRPr="000F056F">
        <w:rPr>
          <w:rFonts w:asciiTheme="minorHAnsi" w:eastAsia="Calibri" w:hAnsiTheme="minorHAnsi" w:cstheme="minorHAnsi"/>
          <w:sz w:val="22"/>
          <w:szCs w:val="22"/>
          <w:vertAlign w:val="superscript"/>
          <w:lang w:val="en-CA"/>
        </w:rPr>
        <w:t>2</w:t>
      </w:r>
      <w:r w:rsidRPr="000F056F">
        <w:rPr>
          <w:rFonts w:asciiTheme="minorHAnsi" w:eastAsia="Calibri" w:hAnsiTheme="minorHAnsi" w:cstheme="minorHAnsi"/>
          <w:sz w:val="22"/>
          <w:szCs w:val="22"/>
          <w:lang w:val="en-CA"/>
        </w:rPr>
        <w:t>.</w:t>
      </w:r>
    </w:p>
    <w:p w14:paraId="4FA70C2A" w14:textId="77777777" w:rsidR="002944FE" w:rsidRPr="000F056F" w:rsidRDefault="002944FE" w:rsidP="00B75DF3">
      <w:pPr>
        <w:pStyle w:val="Heading2"/>
        <w:spacing w:after="120"/>
        <w:rPr>
          <w:lang w:val="en-CA"/>
        </w:rPr>
      </w:pPr>
      <w:r w:rsidRPr="000F056F">
        <w:rPr>
          <w:lang w:val="en-CA"/>
        </w:rPr>
        <w:t>Federal Student Work Experience Program (FSWEP)</w:t>
      </w:r>
    </w:p>
    <w:p w14:paraId="1A762E88" w14:textId="3CFB8B98" w:rsidR="002944FE" w:rsidRPr="00031404" w:rsidRDefault="002944FE" w:rsidP="00B75DF3">
      <w:pPr>
        <w:tabs>
          <w:tab w:val="center" w:pos="4680"/>
        </w:tabs>
        <w:spacing w:after="120"/>
        <w:contextualSpacing/>
        <w:rPr>
          <w:rFonts w:asciiTheme="minorHAnsi" w:eastAsia="Calibri" w:hAnsiTheme="minorHAnsi" w:cstheme="minorHAnsi"/>
          <w:sz w:val="22"/>
          <w:szCs w:val="22"/>
          <w:lang w:val="en-CA"/>
        </w:rPr>
      </w:pPr>
      <w:r w:rsidRPr="00144CFA">
        <w:rPr>
          <w:rFonts w:asciiTheme="minorHAnsi" w:eastAsia="Calibri" w:hAnsiTheme="minorHAnsi" w:cstheme="minorHAnsi"/>
          <w:sz w:val="22"/>
          <w:szCs w:val="22"/>
          <w:lang w:val="en-CA"/>
        </w:rPr>
        <w:t xml:space="preserve">The CGC has submitted </w:t>
      </w:r>
      <w:r w:rsidR="00A64FBF" w:rsidRPr="00144CFA">
        <w:rPr>
          <w:rFonts w:asciiTheme="minorHAnsi" w:eastAsia="Calibri" w:hAnsiTheme="minorHAnsi" w:cstheme="minorHAnsi"/>
          <w:sz w:val="22"/>
          <w:szCs w:val="22"/>
          <w:lang w:val="en-CA"/>
        </w:rPr>
        <w:t>5</w:t>
      </w:r>
      <w:r w:rsidRPr="00144CFA">
        <w:rPr>
          <w:rFonts w:asciiTheme="minorHAnsi" w:eastAsia="Calibri" w:hAnsiTheme="minorHAnsi" w:cstheme="minorHAnsi"/>
          <w:sz w:val="22"/>
          <w:szCs w:val="22"/>
          <w:lang w:val="en-CA"/>
        </w:rPr>
        <w:t xml:space="preserve"> </w:t>
      </w:r>
      <w:r w:rsidR="00545707" w:rsidRPr="00144CFA">
        <w:rPr>
          <w:rFonts w:asciiTheme="minorHAnsi" w:eastAsia="Calibri" w:hAnsiTheme="minorHAnsi" w:cstheme="minorHAnsi"/>
          <w:sz w:val="22"/>
          <w:szCs w:val="22"/>
          <w:lang w:val="en-CA"/>
        </w:rPr>
        <w:t>requests</w:t>
      </w:r>
      <w:r w:rsidRPr="00144CFA">
        <w:rPr>
          <w:rFonts w:asciiTheme="minorHAnsi" w:eastAsia="Calibri" w:hAnsiTheme="minorHAnsi" w:cstheme="minorHAnsi"/>
          <w:sz w:val="22"/>
          <w:szCs w:val="22"/>
          <w:lang w:val="en-CA"/>
        </w:rPr>
        <w:t xml:space="preserve"> for referrals through FSWEP since January 1, 2020. This program remains an excellent way an organization to renew its workforce and bring in new energy, </w:t>
      </w:r>
      <w:proofErr w:type="gramStart"/>
      <w:r w:rsidRPr="00144CFA">
        <w:rPr>
          <w:rFonts w:asciiTheme="minorHAnsi" w:eastAsia="Calibri" w:hAnsiTheme="minorHAnsi" w:cstheme="minorHAnsi"/>
          <w:sz w:val="22"/>
          <w:szCs w:val="22"/>
          <w:lang w:val="en-CA"/>
        </w:rPr>
        <w:t>ideas</w:t>
      </w:r>
      <w:proofErr w:type="gramEnd"/>
      <w:r w:rsidRPr="00144CFA">
        <w:rPr>
          <w:rFonts w:asciiTheme="minorHAnsi" w:eastAsia="Calibri" w:hAnsiTheme="minorHAnsi" w:cstheme="minorHAnsi"/>
          <w:sz w:val="22"/>
          <w:szCs w:val="22"/>
          <w:lang w:val="en-CA"/>
        </w:rPr>
        <w:t xml:space="preserve"> and approaches to its workplace. The number of available students in this program is 84,744</w:t>
      </w:r>
      <w:r w:rsidRPr="00144CFA">
        <w:rPr>
          <w:rFonts w:asciiTheme="minorHAnsi" w:eastAsia="Calibri" w:hAnsiTheme="minorHAnsi" w:cstheme="minorHAnsi"/>
          <w:sz w:val="22"/>
          <w:szCs w:val="22"/>
          <w:vertAlign w:val="superscript"/>
          <w:lang w:val="en-CA"/>
        </w:rPr>
        <w:footnoteReference w:id="2"/>
      </w:r>
      <w:r w:rsidRPr="00144CFA">
        <w:rPr>
          <w:rFonts w:asciiTheme="minorHAnsi" w:eastAsia="Calibri" w:hAnsiTheme="minorHAnsi" w:cstheme="minorHAnsi"/>
          <w:sz w:val="22"/>
          <w:szCs w:val="22"/>
          <w:lang w:val="en-CA"/>
        </w:rPr>
        <w:t xml:space="preserve">. </w:t>
      </w:r>
    </w:p>
    <w:p w14:paraId="3B8E67DF" w14:textId="77777777" w:rsidR="002944FE" w:rsidRPr="000F056F" w:rsidRDefault="002944FE" w:rsidP="00B75DF3">
      <w:pPr>
        <w:pStyle w:val="Heading2"/>
        <w:spacing w:after="120"/>
        <w:rPr>
          <w:lang w:val="en-CA"/>
        </w:rPr>
      </w:pPr>
      <w:r w:rsidRPr="000F056F">
        <w:rPr>
          <w:lang w:val="en-CA"/>
        </w:rPr>
        <w:t>Post-Secondary Recruitment (PSR)</w:t>
      </w:r>
    </w:p>
    <w:p w14:paraId="17FC43B7" w14:textId="2A943E09" w:rsidR="002944FE" w:rsidRPr="000F056F" w:rsidRDefault="002944FE" w:rsidP="002944FE">
      <w:pPr>
        <w:contextualSpacing/>
        <w:rPr>
          <w:rFonts w:asciiTheme="minorHAnsi" w:hAnsiTheme="minorHAnsi" w:cstheme="minorHAnsi"/>
          <w:sz w:val="22"/>
          <w:szCs w:val="22"/>
          <w:lang w:val="en-CA"/>
        </w:rPr>
      </w:pPr>
      <w:r w:rsidRPr="000F056F">
        <w:rPr>
          <w:rFonts w:asciiTheme="minorHAnsi" w:eastAsia="Calibri" w:hAnsiTheme="minorHAnsi" w:cstheme="minorHAnsi"/>
          <w:sz w:val="22"/>
          <w:szCs w:val="22"/>
          <w:lang w:val="en-CA"/>
        </w:rPr>
        <w:t xml:space="preserve">The CGC has not submitted any requests for referrals from existing PSR inventories in 2020. </w:t>
      </w:r>
      <w:proofErr w:type="gramStart"/>
      <w:r w:rsidRPr="000F056F">
        <w:rPr>
          <w:rFonts w:asciiTheme="minorHAnsi" w:hAnsiTheme="minorHAnsi" w:cstheme="minorHAnsi"/>
          <w:sz w:val="22"/>
          <w:szCs w:val="22"/>
          <w:lang w:val="en-CA"/>
        </w:rPr>
        <w:t>A number of</w:t>
      </w:r>
      <w:proofErr w:type="gramEnd"/>
      <w:r w:rsidRPr="000F056F">
        <w:rPr>
          <w:rFonts w:asciiTheme="minorHAnsi" w:hAnsiTheme="minorHAnsi" w:cstheme="minorHAnsi"/>
          <w:sz w:val="22"/>
          <w:szCs w:val="22"/>
          <w:lang w:val="en-CA"/>
        </w:rPr>
        <w:t xml:space="preserve"> candidates remain available</w:t>
      </w:r>
      <w:r w:rsidR="00B43256" w:rsidRPr="000F056F">
        <w:rPr>
          <w:rFonts w:asciiTheme="minorHAnsi" w:hAnsiTheme="minorHAnsi" w:cstheme="minorHAnsi"/>
          <w:sz w:val="22"/>
          <w:szCs w:val="22"/>
          <w:lang w:val="en-CA"/>
        </w:rPr>
        <w:t>.</w:t>
      </w:r>
    </w:p>
    <w:p w14:paraId="3718ADC0" w14:textId="3002373B" w:rsidR="00A316BF" w:rsidRPr="000F056F" w:rsidRDefault="00A316BF" w:rsidP="00A316BF">
      <w:pPr>
        <w:pStyle w:val="ListParagraph"/>
        <w:numPr>
          <w:ilvl w:val="0"/>
          <w:numId w:val="20"/>
        </w:numPr>
        <w:spacing w:after="0"/>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 xml:space="preserve">Careers in Policy, Economics and Social </w:t>
      </w:r>
      <w:proofErr w:type="gramStart"/>
      <w:r w:rsidRPr="000F056F">
        <w:rPr>
          <w:rFonts w:asciiTheme="minorHAnsi" w:eastAsia="Calibri" w:hAnsiTheme="minorHAnsi" w:cstheme="minorHAnsi"/>
          <w:sz w:val="22"/>
          <w:szCs w:val="22"/>
          <w:lang w:val="en-CA"/>
        </w:rPr>
        <w:t>Sciences;</w:t>
      </w:r>
      <w:proofErr w:type="gramEnd"/>
    </w:p>
    <w:p w14:paraId="48CE627C" w14:textId="77777777" w:rsidR="00A316BF" w:rsidRPr="000F056F" w:rsidRDefault="00A316BF" w:rsidP="00A316BF">
      <w:pPr>
        <w:pStyle w:val="ListParagraph"/>
        <w:numPr>
          <w:ilvl w:val="0"/>
          <w:numId w:val="20"/>
        </w:numPr>
        <w:spacing w:after="0"/>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Careers in Project Management, Procurement and Contracting; and</w:t>
      </w:r>
    </w:p>
    <w:p w14:paraId="30A510AE" w14:textId="0712910E" w:rsidR="00A316BF" w:rsidRPr="000F056F" w:rsidRDefault="00A316BF" w:rsidP="00FF658D">
      <w:pPr>
        <w:pStyle w:val="ListParagraph"/>
        <w:numPr>
          <w:ilvl w:val="0"/>
          <w:numId w:val="20"/>
        </w:numPr>
        <w:spacing w:after="120"/>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Careers in Administrative Services.</w:t>
      </w:r>
    </w:p>
    <w:p w14:paraId="6EA3C2EC" w14:textId="77777777" w:rsidR="002944FE" w:rsidRPr="000F056F" w:rsidRDefault="002944FE" w:rsidP="00B75DF3">
      <w:pPr>
        <w:pStyle w:val="Heading2"/>
        <w:spacing w:after="120"/>
        <w:rPr>
          <w:lang w:val="en-CA"/>
        </w:rPr>
      </w:pPr>
      <w:r w:rsidRPr="000F056F">
        <w:rPr>
          <w:lang w:val="en-CA"/>
        </w:rPr>
        <w:t>Participation in new PSC initiatives</w:t>
      </w:r>
    </w:p>
    <w:p w14:paraId="2A1EFDCD" w14:textId="77777777" w:rsidR="002944FE" w:rsidRPr="000F056F" w:rsidRDefault="002944FE" w:rsidP="002944FE">
      <w:pPr>
        <w:contextualSpacing/>
        <w:rPr>
          <w:rFonts w:asciiTheme="minorHAnsi" w:eastAsia="Calibri" w:hAnsiTheme="minorHAnsi" w:cstheme="minorHAnsi"/>
          <w:sz w:val="22"/>
          <w:szCs w:val="22"/>
          <w:lang w:val="en-CA"/>
        </w:rPr>
      </w:pPr>
      <w:r w:rsidRPr="000F056F">
        <w:rPr>
          <w:rFonts w:asciiTheme="minorHAnsi" w:eastAsia="Calibri" w:hAnsiTheme="minorHAnsi" w:cstheme="minorHAnsi"/>
          <w:bCs/>
          <w:sz w:val="22"/>
          <w:szCs w:val="22"/>
          <w:lang w:val="en-CA"/>
        </w:rPr>
        <w:t>The CGC</w:t>
      </w:r>
      <w:r w:rsidRPr="000F056F">
        <w:rPr>
          <w:rFonts w:asciiTheme="minorHAnsi" w:eastAsia="Calibri" w:hAnsiTheme="minorHAnsi" w:cstheme="minorHAnsi"/>
          <w:sz w:val="22"/>
          <w:szCs w:val="22"/>
          <w:lang w:val="en-CA"/>
        </w:rPr>
        <w:t xml:space="preserve"> posted 4 external appointment processes using the PSC’s new unsupervised second language test (SLE-UIT) for reading and writing to fill bilingual imperative BBB/BBB positions (all in the Quebec Region). In total, there were 710 applicants for these four appointment processes and 14 SLE-UITs were administered:</w:t>
      </w:r>
    </w:p>
    <w:p w14:paraId="01FB6E0E" w14:textId="77777777" w:rsidR="002944FE" w:rsidRPr="000F056F" w:rsidRDefault="002944FE" w:rsidP="002944FE">
      <w:pPr>
        <w:numPr>
          <w:ilvl w:val="0"/>
          <w:numId w:val="19"/>
        </w:numPr>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 xml:space="preserve">1 appointment process for a CR-05 Administration Assistant – general </w:t>
      </w:r>
      <w:proofErr w:type="gramStart"/>
      <w:r w:rsidRPr="000F056F">
        <w:rPr>
          <w:rFonts w:asciiTheme="minorHAnsi" w:eastAsia="Calibri" w:hAnsiTheme="minorHAnsi" w:cstheme="minorHAnsi"/>
          <w:sz w:val="22"/>
          <w:szCs w:val="22"/>
          <w:lang w:val="en-CA"/>
        </w:rPr>
        <w:t>services;</w:t>
      </w:r>
      <w:proofErr w:type="gramEnd"/>
    </w:p>
    <w:p w14:paraId="25B9B4A0" w14:textId="77777777" w:rsidR="002944FE" w:rsidRPr="000F056F" w:rsidRDefault="002944FE" w:rsidP="002944FE">
      <w:pPr>
        <w:numPr>
          <w:ilvl w:val="0"/>
          <w:numId w:val="19"/>
        </w:numPr>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2 appointment processes for EG-03, Equipment and Standards Technicians; and</w:t>
      </w:r>
    </w:p>
    <w:p w14:paraId="6053380A" w14:textId="77777777" w:rsidR="002944FE" w:rsidRPr="000F056F" w:rsidRDefault="002944FE" w:rsidP="008E37FE">
      <w:pPr>
        <w:numPr>
          <w:ilvl w:val="0"/>
          <w:numId w:val="19"/>
        </w:numPr>
        <w:spacing w:after="120"/>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 xml:space="preserve">1 appointment process for a PI-CGC-01, Grain Inspector Trainee as part of the four-year Grain Inspector </w:t>
      </w:r>
      <w:r w:rsidRPr="000F056F">
        <w:rPr>
          <w:rFonts w:asciiTheme="minorHAnsi" w:hAnsiTheme="minorHAnsi" w:cstheme="minorHAnsi"/>
          <w:color w:val="000000"/>
          <w:sz w:val="22"/>
          <w:szCs w:val="22"/>
          <w:lang w:val="en-CA"/>
        </w:rPr>
        <w:t>PDAP.</w:t>
      </w:r>
    </w:p>
    <w:p w14:paraId="5D5145EA" w14:textId="1CF3E1DA" w:rsidR="002944FE" w:rsidRPr="000F056F" w:rsidRDefault="00176BB6" w:rsidP="00B75DF3">
      <w:pPr>
        <w:pStyle w:val="Heading2"/>
        <w:spacing w:after="120"/>
        <w:rPr>
          <w:lang w:val="en-CA"/>
        </w:rPr>
      </w:pPr>
      <w:r w:rsidRPr="000F056F">
        <w:rPr>
          <w:lang w:val="en-CA"/>
        </w:rPr>
        <w:t>Participation in I</w:t>
      </w:r>
      <w:r w:rsidR="002944FE" w:rsidRPr="000F056F">
        <w:rPr>
          <w:lang w:val="en-CA"/>
        </w:rPr>
        <w:t xml:space="preserve">nitiatives </w:t>
      </w:r>
      <w:r w:rsidRPr="000F056F">
        <w:rPr>
          <w:lang w:val="en-CA"/>
        </w:rPr>
        <w:t>R</w:t>
      </w:r>
      <w:r w:rsidR="002944FE" w:rsidRPr="000F056F">
        <w:rPr>
          <w:lang w:val="en-CA"/>
        </w:rPr>
        <w:t xml:space="preserve">elated to the </w:t>
      </w:r>
      <w:r w:rsidRPr="000F056F">
        <w:rPr>
          <w:lang w:val="en-CA"/>
        </w:rPr>
        <w:t>H</w:t>
      </w:r>
      <w:r w:rsidR="002944FE" w:rsidRPr="000F056F">
        <w:rPr>
          <w:lang w:val="en-CA"/>
        </w:rPr>
        <w:t xml:space="preserve">iring of </w:t>
      </w:r>
      <w:r w:rsidRPr="000F056F">
        <w:rPr>
          <w:lang w:val="en-CA"/>
        </w:rPr>
        <w:t>I</w:t>
      </w:r>
      <w:r w:rsidR="002944FE" w:rsidRPr="000F056F">
        <w:rPr>
          <w:lang w:val="en-CA"/>
        </w:rPr>
        <w:t xml:space="preserve">ndigenous </w:t>
      </w:r>
      <w:r w:rsidRPr="000F056F">
        <w:rPr>
          <w:lang w:val="en-CA"/>
        </w:rPr>
        <w:t>P</w:t>
      </w:r>
      <w:r w:rsidR="002944FE" w:rsidRPr="000F056F">
        <w:rPr>
          <w:lang w:val="en-CA"/>
        </w:rPr>
        <w:t>eoples</w:t>
      </w:r>
    </w:p>
    <w:p w14:paraId="5808E5E4" w14:textId="77777777" w:rsidR="002944FE" w:rsidRPr="000F056F" w:rsidRDefault="002944FE" w:rsidP="00B75DF3">
      <w:pPr>
        <w:pStyle w:val="NormalWeb"/>
        <w:spacing w:before="0" w:beforeAutospacing="0" w:after="120" w:afterAutospacing="0"/>
        <w:rPr>
          <w:rFonts w:asciiTheme="minorHAnsi" w:hAnsiTheme="minorHAnsi" w:cstheme="minorHAnsi"/>
          <w:lang w:val="en-CA"/>
        </w:rPr>
      </w:pPr>
      <w:r w:rsidRPr="000F056F">
        <w:rPr>
          <w:rFonts w:asciiTheme="minorHAnsi" w:eastAsia="Calibri" w:hAnsiTheme="minorHAnsi" w:cstheme="minorHAnsi"/>
          <w:sz w:val="22"/>
          <w:szCs w:val="22"/>
          <w:lang w:val="en-CA"/>
        </w:rPr>
        <w:t>Although the CGC has not yet participated in this initiative, the PSC’s Aboriginal Centre of Expertise and the Treasury Board Secretariat’s Office of the Chief Human Resources Officer (OCHRO) have developed Indigenous Career Pathways (ICP) that may be of interest to the CGC.</w:t>
      </w:r>
    </w:p>
    <w:p w14:paraId="0A0D208B" w14:textId="77777777" w:rsidR="00A316BF" w:rsidRPr="000F056F" w:rsidRDefault="00A316BF" w:rsidP="00A316BF">
      <w:pPr>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 xml:space="preserve">The ICP provides managers and human resources specialists with expertise and support </w:t>
      </w:r>
      <w:proofErr w:type="gramStart"/>
      <w:r w:rsidRPr="000F056F">
        <w:rPr>
          <w:rFonts w:asciiTheme="minorHAnsi" w:eastAsia="Calibri" w:hAnsiTheme="minorHAnsi" w:cstheme="minorHAnsi"/>
          <w:sz w:val="22"/>
          <w:szCs w:val="22"/>
          <w:lang w:val="en-CA"/>
        </w:rPr>
        <w:t>in the area of</w:t>
      </w:r>
      <w:proofErr w:type="gramEnd"/>
      <w:r w:rsidRPr="000F056F">
        <w:rPr>
          <w:rFonts w:asciiTheme="minorHAnsi" w:eastAsia="Calibri" w:hAnsiTheme="minorHAnsi" w:cstheme="minorHAnsi"/>
          <w:sz w:val="22"/>
          <w:szCs w:val="22"/>
          <w:lang w:val="en-CA"/>
        </w:rPr>
        <w:t xml:space="preserve"> ​​Aboriginal recruitment and combines two tools:</w:t>
      </w:r>
    </w:p>
    <w:p w14:paraId="34A617F0" w14:textId="0FFBF0D3" w:rsidR="00A316BF" w:rsidRPr="000F056F" w:rsidRDefault="00A316BF" w:rsidP="00A316BF">
      <w:pPr>
        <w:numPr>
          <w:ilvl w:val="0"/>
          <w:numId w:val="21"/>
        </w:numPr>
        <w:rPr>
          <w:rFonts w:asciiTheme="minorHAnsi" w:hAnsiTheme="minorHAnsi" w:cstheme="minorHAnsi"/>
          <w:sz w:val="22"/>
          <w:szCs w:val="22"/>
          <w:lang w:val="en-CA"/>
        </w:rPr>
      </w:pPr>
      <w:r w:rsidRPr="000F056F">
        <w:rPr>
          <w:rFonts w:asciiTheme="minorHAnsi" w:hAnsiTheme="minorHAnsi" w:cstheme="minorHAnsi"/>
          <w:sz w:val="22"/>
          <w:szCs w:val="22"/>
          <w:lang w:val="en-CA"/>
        </w:rPr>
        <w:lastRenderedPageBreak/>
        <w:t>The Inventory of Indigenous Applicants facilitates the matching between hiring managers and candidates by sourcing indigenous talent from existing PSC inventories and proactively promoting their profiles to federal organizations.</w:t>
      </w:r>
    </w:p>
    <w:p w14:paraId="62F128CE" w14:textId="77777777" w:rsidR="00A316BF" w:rsidRPr="000F056F" w:rsidRDefault="00A316BF" w:rsidP="00A316BF">
      <w:pPr>
        <w:numPr>
          <w:ilvl w:val="1"/>
          <w:numId w:val="22"/>
        </w:numPr>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12 students currently available</w:t>
      </w:r>
      <w:r w:rsidRPr="000F056F">
        <w:rPr>
          <w:rFonts w:asciiTheme="minorHAnsi" w:eastAsia="Calibri" w:hAnsiTheme="minorHAnsi" w:cstheme="minorHAnsi"/>
          <w:sz w:val="22"/>
          <w:szCs w:val="22"/>
          <w:vertAlign w:val="superscript"/>
          <w:lang w:val="en-CA"/>
        </w:rPr>
        <w:footnoteReference w:id="3"/>
      </w:r>
    </w:p>
    <w:p w14:paraId="58B73FC6" w14:textId="77777777" w:rsidR="00A316BF" w:rsidRPr="000F056F" w:rsidRDefault="00A316BF" w:rsidP="00A316BF">
      <w:pPr>
        <w:numPr>
          <w:ilvl w:val="1"/>
          <w:numId w:val="22"/>
        </w:numPr>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8 graduates currently available</w:t>
      </w:r>
      <w:r w:rsidRPr="000F056F">
        <w:rPr>
          <w:rFonts w:asciiTheme="minorHAnsi" w:eastAsia="Calibri" w:hAnsiTheme="minorHAnsi" w:cstheme="minorHAnsi"/>
          <w:sz w:val="22"/>
          <w:szCs w:val="22"/>
          <w:vertAlign w:val="superscript"/>
          <w:lang w:val="en-CA"/>
        </w:rPr>
        <w:footnoteReference w:id="4"/>
      </w:r>
    </w:p>
    <w:p w14:paraId="09168013" w14:textId="72724EEE" w:rsidR="00A316BF" w:rsidRPr="000F056F" w:rsidRDefault="00A316BF" w:rsidP="001543FF">
      <w:pPr>
        <w:pStyle w:val="ListParagraph"/>
        <w:numPr>
          <w:ilvl w:val="0"/>
          <w:numId w:val="21"/>
        </w:numPr>
        <w:spacing w:after="120"/>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The Indigenous Recruitment Toolkit provides tools, resources and advice on indigenous recruitment and outreach, and shares initiatives that PSC and other departments offer.</w:t>
      </w:r>
    </w:p>
    <w:p w14:paraId="7F4BE48B" w14:textId="77777777" w:rsidR="00A316BF" w:rsidRPr="000F056F" w:rsidRDefault="00A316BF" w:rsidP="00A316BF">
      <w:pPr>
        <w:rPr>
          <w:rFonts w:asciiTheme="minorHAnsi" w:eastAsia="Calibri" w:hAnsiTheme="minorHAnsi" w:cstheme="minorHAnsi"/>
          <w:sz w:val="22"/>
          <w:szCs w:val="22"/>
          <w:lang w:val="en-CA"/>
        </w:rPr>
      </w:pPr>
      <w:r w:rsidRPr="000F056F">
        <w:rPr>
          <w:rFonts w:asciiTheme="minorHAnsi" w:eastAsia="Calibri" w:hAnsiTheme="minorHAnsi" w:cstheme="minorHAnsi"/>
          <w:sz w:val="22"/>
          <w:szCs w:val="22"/>
          <w:lang w:val="en-CA"/>
        </w:rPr>
        <w:t xml:space="preserve">More information about the Indigenous recruitment programs is available on the </w:t>
      </w:r>
      <w:hyperlink r:id="rId13" w:history="1">
        <w:r w:rsidRPr="000F056F">
          <w:rPr>
            <w:rFonts w:asciiTheme="minorHAnsi" w:eastAsia="Calibri" w:hAnsiTheme="minorHAnsi" w:cstheme="minorHAnsi"/>
            <w:color w:val="0563C1"/>
            <w:sz w:val="22"/>
            <w:szCs w:val="22"/>
            <w:u w:val="single"/>
            <w:lang w:val="en-CA"/>
          </w:rPr>
          <w:t>Indigenous recruitment – Information for hiring managers</w:t>
        </w:r>
      </w:hyperlink>
      <w:r w:rsidRPr="000F056F">
        <w:rPr>
          <w:rFonts w:asciiTheme="minorHAnsi" w:eastAsia="Calibri" w:hAnsiTheme="minorHAnsi" w:cstheme="minorHAnsi"/>
          <w:sz w:val="22"/>
          <w:szCs w:val="22"/>
          <w:lang w:val="en-CA"/>
        </w:rPr>
        <w:t xml:space="preserve"> website.</w:t>
      </w:r>
    </w:p>
    <w:p w14:paraId="317CF522" w14:textId="77777777" w:rsidR="000F056F" w:rsidRDefault="000F056F" w:rsidP="00B75DF3">
      <w:pPr>
        <w:pStyle w:val="Heading1"/>
        <w:spacing w:after="120"/>
        <w:rPr>
          <w:rFonts w:cstheme="majorHAnsi"/>
          <w:lang w:val="en-CA"/>
        </w:rPr>
        <w:sectPr w:rsidR="000F056F" w:rsidSect="005D4281">
          <w:pgSz w:w="12240" w:h="15840"/>
          <w:pgMar w:top="1440" w:right="1080" w:bottom="1440" w:left="1080" w:header="709" w:footer="284" w:gutter="0"/>
          <w:cols w:space="708"/>
          <w:titlePg/>
          <w:docGrid w:linePitch="360"/>
        </w:sectPr>
      </w:pPr>
    </w:p>
    <w:p w14:paraId="5ECCEE87" w14:textId="4FACC135" w:rsidR="002944FE" w:rsidRPr="000F056F" w:rsidRDefault="002944FE" w:rsidP="00B75DF3">
      <w:pPr>
        <w:pStyle w:val="Heading1"/>
        <w:spacing w:after="120"/>
        <w:rPr>
          <w:rFonts w:cstheme="majorHAnsi"/>
          <w:lang w:val="en-CA"/>
        </w:rPr>
      </w:pPr>
      <w:r w:rsidRPr="000F056F">
        <w:rPr>
          <w:rFonts w:cstheme="majorHAnsi"/>
          <w:lang w:val="en-CA"/>
        </w:rPr>
        <w:lastRenderedPageBreak/>
        <w:t>Staffing Support</w:t>
      </w:r>
    </w:p>
    <w:p w14:paraId="30E3B6EE" w14:textId="77777777" w:rsidR="002944FE" w:rsidRPr="000F056F" w:rsidRDefault="002944FE" w:rsidP="00B75DF3">
      <w:pPr>
        <w:pStyle w:val="Heading2"/>
        <w:spacing w:after="120"/>
        <w:rPr>
          <w:u w:val="single"/>
          <w:lang w:val="en-CA"/>
        </w:rPr>
      </w:pPr>
      <w:r w:rsidRPr="000F056F">
        <w:rPr>
          <w:lang w:val="en-CA"/>
        </w:rPr>
        <w:t>Public Service of Commission Representatives and Organizational Contacts</w:t>
      </w:r>
    </w:p>
    <w:p w14:paraId="7A1EEE24" w14:textId="77777777" w:rsidR="002944FE" w:rsidRPr="000F056F" w:rsidRDefault="002944FE" w:rsidP="00B75DF3">
      <w:pPr>
        <w:spacing w:after="120"/>
        <w:rPr>
          <w:rFonts w:asciiTheme="majorHAnsi" w:hAnsiTheme="majorHAnsi" w:cstheme="majorHAnsi"/>
          <w:b/>
          <w:bCs/>
          <w:sz w:val="22"/>
          <w:szCs w:val="22"/>
          <w:lang w:val="en-CA"/>
        </w:rPr>
      </w:pPr>
      <w:r w:rsidRPr="000F056F">
        <w:rPr>
          <w:rFonts w:asciiTheme="majorHAnsi" w:hAnsiTheme="majorHAnsi" w:cstheme="majorHAnsi"/>
          <w:sz w:val="22"/>
          <w:szCs w:val="22"/>
          <w:lang w:val="en-CA"/>
        </w:rPr>
        <w:t xml:space="preserve">The SSA assigned to the CGC is Steven Davidson and the primary organizational contacts are Danielle </w:t>
      </w:r>
      <w:proofErr w:type="spellStart"/>
      <w:r w:rsidRPr="000F056F">
        <w:rPr>
          <w:rFonts w:asciiTheme="majorHAnsi" w:hAnsiTheme="majorHAnsi" w:cstheme="majorHAnsi"/>
          <w:sz w:val="22"/>
          <w:szCs w:val="22"/>
          <w:lang w:val="en-CA"/>
        </w:rPr>
        <w:t>Dupasquier</w:t>
      </w:r>
      <w:proofErr w:type="spellEnd"/>
      <w:r w:rsidRPr="000F056F">
        <w:rPr>
          <w:rFonts w:asciiTheme="majorHAnsi" w:hAnsiTheme="majorHAnsi" w:cstheme="majorHAnsi"/>
          <w:sz w:val="22"/>
          <w:szCs w:val="22"/>
          <w:lang w:val="en-CA"/>
        </w:rPr>
        <w:t xml:space="preserve">, Human Resources Advisor and Rosana Leung Shing, Senior Human Resources Consultant. The CGC’s head of human resources is Patti </w:t>
      </w:r>
      <w:proofErr w:type="spellStart"/>
      <w:r w:rsidRPr="000F056F">
        <w:rPr>
          <w:rFonts w:asciiTheme="majorHAnsi" w:hAnsiTheme="majorHAnsi" w:cstheme="majorHAnsi"/>
          <w:sz w:val="22"/>
          <w:szCs w:val="22"/>
          <w:lang w:val="en-CA"/>
        </w:rPr>
        <w:t>Charach</w:t>
      </w:r>
      <w:proofErr w:type="spellEnd"/>
      <w:r w:rsidRPr="000F056F">
        <w:rPr>
          <w:rFonts w:asciiTheme="majorHAnsi" w:hAnsiTheme="majorHAnsi" w:cstheme="majorHAnsi"/>
          <w:sz w:val="22"/>
          <w:szCs w:val="22"/>
          <w:lang w:val="en-CA"/>
        </w:rPr>
        <w:t>, Acting Director, Human Resources Branch. There is a high level of collaboration between the organization and the SSA.</w:t>
      </w:r>
    </w:p>
    <w:p w14:paraId="0958801F" w14:textId="77777777" w:rsidR="00B75DF3" w:rsidRPr="000F056F" w:rsidRDefault="00B75DF3" w:rsidP="002944FE">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b/>
          <w:bCs/>
          <w:sz w:val="22"/>
          <w:szCs w:val="22"/>
          <w:lang w:val="en-CA"/>
        </w:rPr>
        <w:sectPr w:rsidR="00B75DF3" w:rsidRPr="000F056F" w:rsidSect="005D4281">
          <w:pgSz w:w="12240" w:h="15840"/>
          <w:pgMar w:top="1440" w:right="1080" w:bottom="1440" w:left="1080" w:header="709" w:footer="284" w:gutter="0"/>
          <w:cols w:space="708"/>
          <w:titlePg/>
          <w:docGrid w:linePitch="360"/>
        </w:sectPr>
      </w:pPr>
    </w:p>
    <w:p w14:paraId="745EBAF0" w14:textId="508E978B" w:rsidR="002944FE" w:rsidRPr="000F056F" w:rsidRDefault="002944FE" w:rsidP="00B75DF3">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Style w:val="Strong"/>
          <w:rFonts w:asciiTheme="minorHAnsi" w:hAnsiTheme="minorHAnsi" w:cstheme="minorHAnsi"/>
          <w:sz w:val="22"/>
          <w:szCs w:val="22"/>
          <w:lang w:val="en-CA"/>
        </w:rPr>
      </w:pPr>
      <w:r w:rsidRPr="000F056F">
        <w:rPr>
          <w:rStyle w:val="Strong"/>
          <w:rFonts w:asciiTheme="minorHAnsi" w:hAnsiTheme="minorHAnsi" w:cstheme="minorHAnsi"/>
          <w:sz w:val="22"/>
          <w:szCs w:val="22"/>
          <w:lang w:val="en-CA"/>
        </w:rPr>
        <w:t>PREPARED BY:</w:t>
      </w:r>
    </w:p>
    <w:p w14:paraId="515354E7" w14:textId="77777777" w:rsidR="002944FE" w:rsidRPr="000F056F" w:rsidRDefault="002944FE" w:rsidP="002944FE">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lang w:val="en-CA"/>
        </w:rPr>
      </w:pPr>
      <w:r w:rsidRPr="000F056F">
        <w:rPr>
          <w:rFonts w:asciiTheme="minorHAnsi" w:hAnsiTheme="minorHAnsi" w:cstheme="minorHAnsi"/>
          <w:sz w:val="22"/>
          <w:szCs w:val="22"/>
          <w:lang w:val="en-CA"/>
        </w:rPr>
        <w:t>Steven Davidson</w:t>
      </w:r>
    </w:p>
    <w:p w14:paraId="04ED0ABF" w14:textId="77777777" w:rsidR="002944FE" w:rsidRPr="000F056F" w:rsidRDefault="002944FE" w:rsidP="00B75DF3">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Fonts w:asciiTheme="minorHAnsi" w:hAnsiTheme="minorHAnsi" w:cstheme="minorHAnsi"/>
          <w:sz w:val="22"/>
          <w:szCs w:val="22"/>
          <w:lang w:val="en-CA"/>
        </w:rPr>
      </w:pPr>
      <w:r w:rsidRPr="000F056F">
        <w:rPr>
          <w:rFonts w:asciiTheme="minorHAnsi" w:hAnsiTheme="minorHAnsi" w:cstheme="minorHAnsi"/>
          <w:sz w:val="22"/>
          <w:szCs w:val="22"/>
          <w:lang w:val="en-CA"/>
        </w:rPr>
        <w:t>Staffing Support Advisor</w:t>
      </w:r>
    </w:p>
    <w:p w14:paraId="40025EF1" w14:textId="77777777" w:rsidR="002944FE" w:rsidRPr="000F056F" w:rsidRDefault="002944FE" w:rsidP="001543FF">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Style w:val="Strong"/>
          <w:rFonts w:asciiTheme="minorHAnsi" w:hAnsiTheme="minorHAnsi" w:cstheme="minorHAnsi"/>
          <w:sz w:val="22"/>
          <w:szCs w:val="22"/>
          <w:lang w:val="en-CA"/>
        </w:rPr>
      </w:pPr>
      <w:r w:rsidRPr="000F056F">
        <w:rPr>
          <w:rStyle w:val="Strong"/>
          <w:rFonts w:asciiTheme="minorHAnsi" w:hAnsiTheme="minorHAnsi" w:cstheme="minorHAnsi"/>
          <w:sz w:val="22"/>
          <w:szCs w:val="22"/>
          <w:lang w:val="en-CA"/>
        </w:rPr>
        <w:t>APPROVED BY:</w:t>
      </w:r>
    </w:p>
    <w:p w14:paraId="7A50CAF0" w14:textId="008A1FF8" w:rsidR="002944FE" w:rsidRPr="000F056F" w:rsidRDefault="00546259" w:rsidP="002944FE">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lang w:val="en-CA"/>
        </w:rPr>
      </w:pPr>
      <w:bookmarkStart w:id="0" w:name="_Hlk64887942"/>
      <w:r w:rsidRPr="000F056F">
        <w:rPr>
          <w:rFonts w:asciiTheme="minorHAnsi" w:hAnsiTheme="minorHAnsi" w:cstheme="minorHAnsi"/>
          <w:sz w:val="22"/>
          <w:szCs w:val="22"/>
          <w:lang w:val="en-CA"/>
        </w:rPr>
        <w:t>Electronically signed</w:t>
      </w:r>
      <w:bookmarkEnd w:id="0"/>
    </w:p>
    <w:p w14:paraId="08865100" w14:textId="1B4F9D17" w:rsidR="002944FE" w:rsidRPr="000F056F" w:rsidRDefault="002944FE" w:rsidP="002944FE">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lang w:val="en-CA"/>
        </w:rPr>
      </w:pPr>
      <w:r w:rsidRPr="000F056F">
        <w:rPr>
          <w:rFonts w:asciiTheme="minorHAnsi" w:hAnsiTheme="minorHAnsi" w:cstheme="minorHAnsi"/>
          <w:sz w:val="22"/>
          <w:szCs w:val="22"/>
          <w:lang w:val="en-CA" w:eastAsia="en-CA"/>
        </w:rPr>
        <w:t xml:space="preserve">Approved by </w:t>
      </w:r>
      <w:r w:rsidRPr="000F056F">
        <w:rPr>
          <w:rFonts w:asciiTheme="minorHAnsi" w:hAnsiTheme="minorHAnsi" w:cstheme="minorHAnsi"/>
          <w:sz w:val="22"/>
          <w:szCs w:val="22"/>
          <w:lang w:val="en-CA"/>
        </w:rPr>
        <w:t>Lynn Brault</w:t>
      </w:r>
    </w:p>
    <w:p w14:paraId="23DE3190" w14:textId="5277191D" w:rsidR="002944FE" w:rsidRPr="000F056F" w:rsidRDefault="002944FE" w:rsidP="002944FE">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Theme="minorHAnsi" w:hAnsiTheme="minorHAnsi" w:cstheme="minorHAnsi"/>
          <w:sz w:val="22"/>
          <w:szCs w:val="22"/>
          <w:lang w:val="en-CA"/>
        </w:rPr>
      </w:pPr>
      <w:r w:rsidRPr="000F056F">
        <w:rPr>
          <w:rFonts w:asciiTheme="minorHAnsi" w:hAnsiTheme="minorHAnsi" w:cstheme="minorHAnsi"/>
          <w:sz w:val="22"/>
          <w:szCs w:val="22"/>
          <w:lang w:val="en-CA"/>
        </w:rPr>
        <w:t>Director General, Staffing Support,</w:t>
      </w:r>
    </w:p>
    <w:p w14:paraId="7F689C36" w14:textId="7395350F" w:rsidR="002944FE" w:rsidRPr="000F056F" w:rsidRDefault="002944FE" w:rsidP="00B75DF3">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480" w:hanging="6480"/>
        <w:rPr>
          <w:rFonts w:asciiTheme="minorHAnsi" w:hAnsiTheme="minorHAnsi" w:cstheme="minorHAnsi"/>
          <w:sz w:val="22"/>
          <w:szCs w:val="22"/>
          <w:lang w:val="en-CA"/>
        </w:rPr>
      </w:pPr>
      <w:r w:rsidRPr="000F056F">
        <w:rPr>
          <w:rFonts w:asciiTheme="minorHAnsi" w:hAnsiTheme="minorHAnsi" w:cstheme="minorHAnsi"/>
          <w:sz w:val="22"/>
          <w:szCs w:val="22"/>
          <w:lang w:val="en-CA"/>
        </w:rPr>
        <w:t>Priorities and Political Activities Directorate</w:t>
      </w:r>
      <w:r w:rsidRPr="000F056F">
        <w:rPr>
          <w:rFonts w:asciiTheme="minorHAnsi" w:hAnsiTheme="minorHAnsi" w:cstheme="minorHAnsi"/>
          <w:sz w:val="22"/>
          <w:szCs w:val="22"/>
          <w:lang w:val="en-CA"/>
        </w:rPr>
        <w:tab/>
      </w:r>
    </w:p>
    <w:p w14:paraId="6078CE32" w14:textId="5993767B" w:rsidR="008A5AA5" w:rsidRPr="000F056F" w:rsidRDefault="00546259" w:rsidP="008A5AA5">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lang w:val="en-CA"/>
        </w:rPr>
      </w:pPr>
      <w:r w:rsidRPr="000F056F">
        <w:rPr>
          <w:rFonts w:asciiTheme="minorHAnsi" w:hAnsiTheme="minorHAnsi" w:cstheme="minorHAnsi"/>
          <w:sz w:val="22"/>
          <w:szCs w:val="22"/>
          <w:lang w:val="en-CA"/>
        </w:rPr>
        <w:t>22 February 2021</w:t>
      </w:r>
    </w:p>
    <w:p w14:paraId="39D934B2" w14:textId="2CCB79B6" w:rsidR="002944FE" w:rsidRPr="000F056F" w:rsidRDefault="002944FE" w:rsidP="008A5AA5">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lang w:val="en-CA"/>
        </w:rPr>
      </w:pPr>
      <w:r w:rsidRPr="000F056F">
        <w:rPr>
          <w:rFonts w:asciiTheme="minorHAnsi" w:hAnsiTheme="minorHAnsi" w:cstheme="minorHAnsi"/>
          <w:sz w:val="22"/>
          <w:szCs w:val="22"/>
          <w:lang w:val="en-CA"/>
        </w:rPr>
        <w:t>Date</w:t>
      </w:r>
    </w:p>
    <w:p w14:paraId="1CDD8527" w14:textId="2CFA638C" w:rsidR="002944FE" w:rsidRPr="000F056F" w:rsidRDefault="00546259" w:rsidP="008A5AA5">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Theme="minorHAnsi" w:hAnsiTheme="minorHAnsi" w:cstheme="minorHAnsi"/>
          <w:sz w:val="22"/>
          <w:szCs w:val="22"/>
          <w:lang w:val="en-CA"/>
        </w:rPr>
      </w:pPr>
      <w:r w:rsidRPr="000F056F">
        <w:rPr>
          <w:rFonts w:asciiTheme="minorHAnsi" w:hAnsiTheme="minorHAnsi" w:cstheme="minorHAnsi"/>
          <w:sz w:val="22"/>
          <w:szCs w:val="22"/>
          <w:lang w:val="en-CA"/>
        </w:rPr>
        <w:t>Electronically signed</w:t>
      </w:r>
    </w:p>
    <w:p w14:paraId="7949E435" w14:textId="77777777" w:rsidR="002944FE" w:rsidRPr="000F056F" w:rsidRDefault="002944FE" w:rsidP="00294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CA"/>
        </w:rPr>
      </w:pPr>
      <w:r w:rsidRPr="000F056F">
        <w:rPr>
          <w:rFonts w:asciiTheme="minorHAnsi" w:hAnsiTheme="minorHAnsi" w:cstheme="minorHAnsi"/>
          <w:sz w:val="22"/>
          <w:szCs w:val="22"/>
          <w:lang w:val="en-CA"/>
        </w:rPr>
        <w:t>Approved by Michael Morin</w:t>
      </w:r>
    </w:p>
    <w:p w14:paraId="22C4CA8E" w14:textId="77777777" w:rsidR="002944FE" w:rsidRPr="000F056F" w:rsidRDefault="002944FE" w:rsidP="008A5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heme="minorHAnsi" w:hAnsiTheme="minorHAnsi" w:cstheme="minorHAnsi"/>
          <w:sz w:val="22"/>
          <w:szCs w:val="22"/>
          <w:lang w:val="en-CA"/>
        </w:rPr>
      </w:pPr>
      <w:r w:rsidRPr="000F056F">
        <w:rPr>
          <w:rFonts w:asciiTheme="minorHAnsi" w:hAnsiTheme="minorHAnsi" w:cstheme="minorHAnsi"/>
          <w:sz w:val="22"/>
          <w:szCs w:val="22"/>
          <w:lang w:val="en-CA"/>
        </w:rPr>
        <w:t>Acting Vice-President, Policy and Communications Sector</w:t>
      </w:r>
    </w:p>
    <w:p w14:paraId="4E1CF72C" w14:textId="09353DFB" w:rsidR="002944FE" w:rsidRPr="000F056F" w:rsidRDefault="00546259" w:rsidP="00294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CA"/>
        </w:rPr>
      </w:pPr>
      <w:r w:rsidRPr="000F056F">
        <w:rPr>
          <w:rFonts w:asciiTheme="minorHAnsi" w:hAnsiTheme="minorHAnsi" w:cstheme="minorHAnsi"/>
          <w:sz w:val="22"/>
          <w:szCs w:val="22"/>
          <w:lang w:val="en-CA"/>
        </w:rPr>
        <w:t>22 February 2021</w:t>
      </w:r>
    </w:p>
    <w:p w14:paraId="484336B7" w14:textId="77777777" w:rsidR="002944FE" w:rsidRPr="000F056F" w:rsidRDefault="002944FE" w:rsidP="002944FE">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lang w:val="en-CA"/>
        </w:rPr>
      </w:pPr>
      <w:r w:rsidRPr="000F056F">
        <w:rPr>
          <w:rFonts w:asciiTheme="minorHAnsi" w:hAnsiTheme="minorHAnsi" w:cstheme="minorHAnsi"/>
          <w:sz w:val="22"/>
          <w:szCs w:val="22"/>
          <w:lang w:val="en-CA"/>
        </w:rPr>
        <w:t>Date</w:t>
      </w:r>
    </w:p>
    <w:p w14:paraId="17661F1D" w14:textId="77777777" w:rsidR="002944FE" w:rsidRPr="000F056F" w:rsidRDefault="002944FE" w:rsidP="008A5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heme="minorHAnsi" w:hAnsiTheme="minorHAnsi" w:cstheme="minorHAnsi"/>
          <w:sz w:val="22"/>
          <w:szCs w:val="22"/>
          <w:lang w:val="en-CA"/>
        </w:rPr>
      </w:pPr>
      <w:r w:rsidRPr="000F056F">
        <w:rPr>
          <w:rFonts w:asciiTheme="minorHAnsi" w:hAnsiTheme="minorHAnsi" w:cstheme="minorHAnsi"/>
          <w:sz w:val="22"/>
          <w:szCs w:val="22"/>
          <w:lang w:val="en-CA"/>
        </w:rPr>
        <w:t>Annexes:</w:t>
      </w:r>
    </w:p>
    <w:p w14:paraId="43C44E7D" w14:textId="0AF2E3C9" w:rsidR="002944FE" w:rsidRPr="000F056F" w:rsidRDefault="00662E05" w:rsidP="008A5AA5">
      <w:pPr>
        <w:numPr>
          <w:ilvl w:val="0"/>
          <w:numId w:val="39"/>
        </w:numPr>
        <w:spacing w:after="120"/>
        <w:rPr>
          <w:rFonts w:asciiTheme="minorHAnsi" w:hAnsiTheme="minorHAnsi" w:cstheme="minorHAnsi"/>
          <w:bCs/>
          <w:sz w:val="22"/>
          <w:szCs w:val="22"/>
          <w:u w:val="single"/>
          <w:lang w:val="en-CA"/>
        </w:rPr>
      </w:pPr>
      <w:hyperlink w:anchor="AnnexA" w:history="1">
        <w:r w:rsidR="002944FE" w:rsidRPr="000F056F">
          <w:rPr>
            <w:rStyle w:val="Hyperlink"/>
            <w:rFonts w:asciiTheme="minorHAnsi" w:hAnsiTheme="minorHAnsi" w:cstheme="minorHAnsi"/>
            <w:sz w:val="22"/>
            <w:szCs w:val="22"/>
            <w:lang w:val="en-CA"/>
          </w:rPr>
          <w:t>Annex A – A New Direction in Staffing, highlights for deputy heads</w:t>
        </w:r>
      </w:hyperlink>
    </w:p>
    <w:p w14:paraId="0374A949" w14:textId="56D1DD47" w:rsidR="002944FE" w:rsidRPr="000F056F" w:rsidRDefault="00662E05" w:rsidP="00CD2C47">
      <w:pPr>
        <w:numPr>
          <w:ilvl w:val="0"/>
          <w:numId w:val="39"/>
        </w:numPr>
        <w:rPr>
          <w:rFonts w:ascii="Segoe UI" w:hAnsi="Segoe UI" w:cs="Segoe UI"/>
          <w:b/>
          <w:sz w:val="22"/>
          <w:szCs w:val="22"/>
          <w:lang w:val="en-CA"/>
        </w:rPr>
      </w:pPr>
      <w:hyperlink w:anchor="AnnexB" w:history="1">
        <w:r w:rsidR="002944FE" w:rsidRPr="000F056F">
          <w:rPr>
            <w:rStyle w:val="Hyperlink"/>
            <w:rFonts w:asciiTheme="minorHAnsi" w:hAnsiTheme="minorHAnsi" w:cstheme="minorHAnsi"/>
            <w:sz w:val="22"/>
            <w:szCs w:val="22"/>
            <w:lang w:val="en-CA"/>
          </w:rPr>
          <w:t>Annex B – Data on Population and Staffing Activities</w:t>
        </w:r>
      </w:hyperlink>
    </w:p>
    <w:p w14:paraId="0FD0F5FE" w14:textId="77777777" w:rsidR="00073614" w:rsidRPr="000F056F" w:rsidRDefault="00073614" w:rsidP="002944FE">
      <w:pPr>
        <w:pStyle w:val="Heading3"/>
        <w:jc w:val="right"/>
        <w:rPr>
          <w:rFonts w:ascii="Segoe UI" w:hAnsi="Segoe UI" w:cs="Segoe UI"/>
          <w:b/>
          <w:bCs/>
          <w:szCs w:val="22"/>
          <w:lang w:val="en-CA"/>
        </w:rPr>
        <w:sectPr w:rsidR="00073614" w:rsidRPr="000F056F" w:rsidSect="00073614">
          <w:type w:val="continuous"/>
          <w:pgSz w:w="12240" w:h="15840"/>
          <w:pgMar w:top="1440" w:right="1080" w:bottom="1440" w:left="1080" w:header="709" w:footer="284" w:gutter="0"/>
          <w:cols w:space="708"/>
          <w:titlePg/>
          <w:docGrid w:linePitch="360"/>
        </w:sectPr>
      </w:pPr>
      <w:bookmarkStart w:id="1" w:name="AnnexA"/>
    </w:p>
    <w:p w14:paraId="331FED3E" w14:textId="577DCA91" w:rsidR="002944FE" w:rsidRPr="000F056F" w:rsidRDefault="002944FE" w:rsidP="002944FE">
      <w:pPr>
        <w:pStyle w:val="Heading3"/>
        <w:jc w:val="right"/>
        <w:rPr>
          <w:rFonts w:ascii="Segoe UI" w:hAnsi="Segoe UI" w:cs="Segoe UI"/>
          <w:b/>
          <w:bCs/>
          <w:szCs w:val="22"/>
          <w:lang w:val="en-CA"/>
        </w:rPr>
      </w:pPr>
      <w:r w:rsidRPr="000F056F">
        <w:rPr>
          <w:rFonts w:ascii="Segoe UI" w:hAnsi="Segoe UI" w:cs="Segoe UI"/>
          <w:b/>
          <w:bCs/>
          <w:szCs w:val="22"/>
          <w:lang w:val="en-CA"/>
        </w:rPr>
        <w:lastRenderedPageBreak/>
        <w:t>Annex A</w:t>
      </w:r>
    </w:p>
    <w:bookmarkEnd w:id="1"/>
    <w:p w14:paraId="6ADD21A3" w14:textId="77777777" w:rsidR="002944FE" w:rsidRPr="000F056F" w:rsidRDefault="002944FE" w:rsidP="002944FE">
      <w:pPr>
        <w:pStyle w:val="Heading3"/>
        <w:spacing w:after="120"/>
        <w:jc w:val="center"/>
        <w:rPr>
          <w:rFonts w:asciiTheme="minorHAnsi" w:hAnsiTheme="minorHAnsi" w:cstheme="minorHAnsi"/>
          <w:b/>
          <w:sz w:val="22"/>
          <w:szCs w:val="20"/>
          <w:lang w:val="en-CA"/>
        </w:rPr>
      </w:pPr>
      <w:r w:rsidRPr="000F056F">
        <w:rPr>
          <w:rFonts w:asciiTheme="minorHAnsi" w:hAnsiTheme="minorHAnsi" w:cstheme="minorHAnsi"/>
          <w:b/>
          <w:sz w:val="22"/>
          <w:szCs w:val="20"/>
          <w:lang w:val="en-CA"/>
        </w:rPr>
        <w:t>Highlights for deputy heads</w:t>
      </w:r>
    </w:p>
    <w:p w14:paraId="40605A4F" w14:textId="77777777" w:rsidR="002944FE" w:rsidRPr="000F056F" w:rsidRDefault="002944FE" w:rsidP="002944FE">
      <w:pPr>
        <w:keepNext/>
        <w:keepLines/>
        <w:spacing w:before="40" w:after="120" w:line="259" w:lineRule="auto"/>
        <w:jc w:val="center"/>
        <w:outlineLvl w:val="1"/>
        <w:rPr>
          <w:rFonts w:asciiTheme="minorHAnsi" w:eastAsiaTheme="majorEastAsia" w:hAnsiTheme="minorHAnsi" w:cstheme="minorHAnsi"/>
          <w:b/>
          <w:color w:val="5B315E" w:themeColor="accent2"/>
          <w:sz w:val="22"/>
          <w:lang w:val="en-CA"/>
        </w:rPr>
      </w:pPr>
      <w:r w:rsidRPr="000F056F">
        <w:rPr>
          <w:rFonts w:asciiTheme="minorHAnsi" w:eastAsiaTheme="majorEastAsia" w:hAnsiTheme="minorHAnsi" w:cstheme="minorHAnsi"/>
          <w:b/>
          <w:color w:val="5B315E" w:themeColor="accent2"/>
          <w:sz w:val="22"/>
          <w:lang w:val="en-CA"/>
        </w:rPr>
        <w:t>A New Direction in Staffing – A Merit-Based System That is Effective, Efficient and Fair</w:t>
      </w:r>
    </w:p>
    <w:p w14:paraId="4B755859" w14:textId="77777777" w:rsidR="002944FE" w:rsidRPr="000F056F" w:rsidRDefault="002944FE" w:rsidP="002944FE">
      <w:pPr>
        <w:pStyle w:val="Heading3"/>
        <w:spacing w:after="120"/>
        <w:rPr>
          <w:rFonts w:asciiTheme="minorHAnsi" w:hAnsiTheme="minorHAnsi" w:cstheme="minorHAnsi"/>
          <w:sz w:val="22"/>
          <w:szCs w:val="20"/>
          <w:lang w:val="en-CA"/>
        </w:rPr>
      </w:pPr>
      <w:r w:rsidRPr="000F056F">
        <w:rPr>
          <w:rFonts w:asciiTheme="minorHAnsi" w:hAnsiTheme="minorHAnsi" w:cstheme="minorHAnsi"/>
          <w:sz w:val="22"/>
          <w:szCs w:val="20"/>
          <w:lang w:val="en-CA"/>
        </w:rPr>
        <w:t>Appointment Policy</w:t>
      </w:r>
    </w:p>
    <w:p w14:paraId="6FCB2B64" w14:textId="77777777" w:rsidR="002944FE" w:rsidRPr="000F056F" w:rsidRDefault="002944FE" w:rsidP="002944FE">
      <w:pPr>
        <w:keepLines/>
        <w:tabs>
          <w:tab w:val="center" w:pos="4680"/>
          <w:tab w:val="right" w:pos="9360"/>
        </w:tabs>
        <w:rPr>
          <w:rFonts w:asciiTheme="minorHAnsi" w:eastAsiaTheme="minorHAnsi" w:hAnsiTheme="minorHAnsi" w:cstheme="minorHAnsi"/>
          <w:noProof/>
          <w:sz w:val="22"/>
          <w:lang w:val="en-CA" w:eastAsia="en-CA"/>
        </w:rPr>
      </w:pPr>
      <w:r w:rsidRPr="000F056F">
        <w:rPr>
          <w:rStyle w:val="Strong"/>
          <w:rFonts w:asciiTheme="minorHAnsi" w:eastAsiaTheme="minorHAnsi" w:hAnsiTheme="minorHAnsi" w:cstheme="minorHAnsi"/>
          <w:sz w:val="22"/>
          <w:lang w:val="en-CA"/>
        </w:rPr>
        <w:t>New focus on core requirements</w:t>
      </w:r>
      <w:r w:rsidRPr="000F056F">
        <w:rPr>
          <w:rFonts w:asciiTheme="minorHAnsi" w:eastAsiaTheme="minorHAnsi" w:hAnsiTheme="minorHAnsi" w:cstheme="minorHAnsi"/>
          <w:noProof/>
          <w:sz w:val="22"/>
          <w:lang w:val="en-CA" w:eastAsia="en-CA"/>
        </w:rPr>
        <w:t xml:space="preserve"> to provide sub-delegated persons with greater discretion in making an appointment</w:t>
      </w:r>
    </w:p>
    <w:p w14:paraId="604C8C18" w14:textId="77777777" w:rsidR="002944FE" w:rsidRPr="000F056F" w:rsidRDefault="002944FE" w:rsidP="002944FE">
      <w:pPr>
        <w:keepLines/>
        <w:numPr>
          <w:ilvl w:val="0"/>
          <w:numId w:val="4"/>
        </w:numPr>
        <w:tabs>
          <w:tab w:val="center" w:pos="4680"/>
          <w:tab w:val="right" w:pos="9360"/>
        </w:tabs>
        <w:rPr>
          <w:rFonts w:asciiTheme="minorHAnsi" w:eastAsiaTheme="minorHAnsi" w:hAnsiTheme="minorHAnsi" w:cstheme="minorHAnsi"/>
          <w:sz w:val="22"/>
          <w:lang w:val="en-CA"/>
        </w:rPr>
      </w:pPr>
      <w:r w:rsidRPr="000F056F">
        <w:rPr>
          <w:rStyle w:val="Strong"/>
          <w:rFonts w:asciiTheme="minorHAnsi" w:eastAsiaTheme="minorHAnsi" w:hAnsiTheme="minorHAnsi" w:cstheme="minorHAnsi"/>
          <w:sz w:val="22"/>
          <w:lang w:val="en-CA"/>
        </w:rPr>
        <w:t>One Appointment Policy</w:t>
      </w:r>
      <w:r w:rsidRPr="000F056F">
        <w:rPr>
          <w:rFonts w:asciiTheme="minorHAnsi" w:eastAsiaTheme="minorHAnsi" w:hAnsiTheme="minorHAnsi" w:cstheme="minorHAnsi"/>
          <w:sz w:val="22"/>
          <w:lang w:val="en-CA"/>
        </w:rPr>
        <w:t>, no duplication of legal requirements</w:t>
      </w:r>
    </w:p>
    <w:p w14:paraId="73A75CCB" w14:textId="77777777" w:rsidR="002944FE" w:rsidRPr="000F056F" w:rsidRDefault="002944FE" w:rsidP="002944FE">
      <w:pPr>
        <w:keepLines/>
        <w:numPr>
          <w:ilvl w:val="0"/>
          <w:numId w:val="4"/>
        </w:numPr>
        <w:tabs>
          <w:tab w:val="center" w:pos="4680"/>
          <w:tab w:val="right" w:pos="9360"/>
        </w:tabs>
        <w:rPr>
          <w:rFonts w:asciiTheme="minorHAnsi" w:eastAsiaTheme="minorHAnsi" w:hAnsiTheme="minorHAnsi" w:cstheme="minorHAnsi"/>
          <w:sz w:val="22"/>
          <w:lang w:val="en-CA"/>
        </w:rPr>
      </w:pPr>
      <w:r w:rsidRPr="000F056F">
        <w:rPr>
          <w:rStyle w:val="Strong"/>
          <w:rFonts w:asciiTheme="minorHAnsi" w:eastAsiaTheme="minorHAnsi" w:hAnsiTheme="minorHAnsi" w:cstheme="minorHAnsi"/>
          <w:sz w:val="22"/>
          <w:lang w:val="en-CA"/>
        </w:rPr>
        <w:t>Broader focus on values-based system</w:t>
      </w:r>
      <w:r w:rsidRPr="000F056F">
        <w:rPr>
          <w:rFonts w:asciiTheme="minorHAnsi" w:eastAsiaTheme="minorHAnsi" w:hAnsiTheme="minorHAnsi" w:cstheme="minorHAnsi"/>
          <w:bCs/>
          <w:sz w:val="22"/>
          <w:lang w:val="en-CA"/>
        </w:rPr>
        <w:t>,</w:t>
      </w:r>
      <w:r w:rsidRPr="000F056F">
        <w:rPr>
          <w:rFonts w:asciiTheme="minorHAnsi" w:eastAsiaTheme="minorHAnsi" w:hAnsiTheme="minorHAnsi" w:cstheme="minorHAnsi"/>
          <w:sz w:val="22"/>
          <w:lang w:val="en-CA"/>
        </w:rPr>
        <w:t xml:space="preserve"> away from rules-based system</w:t>
      </w:r>
    </w:p>
    <w:p w14:paraId="769FBD0C" w14:textId="77777777" w:rsidR="002944FE" w:rsidRPr="000F056F" w:rsidRDefault="002944FE" w:rsidP="002944FE">
      <w:pPr>
        <w:keepLines/>
        <w:numPr>
          <w:ilvl w:val="0"/>
          <w:numId w:val="4"/>
        </w:numPr>
        <w:tabs>
          <w:tab w:val="center" w:pos="4680"/>
          <w:tab w:val="right" w:pos="9360"/>
        </w:tabs>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 xml:space="preserve">Appointment Policy supported by </w:t>
      </w:r>
      <w:r w:rsidRPr="000F056F">
        <w:rPr>
          <w:rStyle w:val="Strong"/>
          <w:rFonts w:asciiTheme="minorHAnsi" w:eastAsiaTheme="minorHAnsi" w:hAnsiTheme="minorHAnsi" w:cstheme="minorHAnsi"/>
          <w:sz w:val="22"/>
          <w:lang w:val="en-CA"/>
        </w:rPr>
        <w:t>streamlined guidance:</w:t>
      </w:r>
    </w:p>
    <w:p w14:paraId="69246560" w14:textId="77777777" w:rsidR="002944FE" w:rsidRPr="000F056F" w:rsidRDefault="002944FE" w:rsidP="002944FE">
      <w:pPr>
        <w:keepLines/>
        <w:numPr>
          <w:ilvl w:val="1"/>
          <w:numId w:val="15"/>
        </w:numPr>
        <w:tabs>
          <w:tab w:val="center" w:pos="4680"/>
          <w:tab w:val="right" w:pos="9360"/>
        </w:tabs>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 xml:space="preserve">A roadmap to the legislative, regulatory and policy requirements </w:t>
      </w:r>
    </w:p>
    <w:p w14:paraId="345202FF" w14:textId="77777777" w:rsidR="002944FE" w:rsidRPr="000F056F" w:rsidRDefault="002944FE" w:rsidP="002944FE">
      <w:pPr>
        <w:keepLines/>
        <w:numPr>
          <w:ilvl w:val="1"/>
          <w:numId w:val="15"/>
        </w:numPr>
        <w:tabs>
          <w:tab w:val="center" w:pos="4680"/>
          <w:tab w:val="right" w:pos="9360"/>
        </w:tabs>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Options and considerations for decision making where there is discretion</w:t>
      </w:r>
    </w:p>
    <w:p w14:paraId="4949B26C" w14:textId="77777777" w:rsidR="002944FE" w:rsidRPr="000F056F" w:rsidRDefault="002944FE" w:rsidP="002944FE">
      <w:pPr>
        <w:keepLines/>
        <w:numPr>
          <w:ilvl w:val="0"/>
          <w:numId w:val="5"/>
        </w:numPr>
        <w:tabs>
          <w:tab w:val="center" w:pos="4680"/>
          <w:tab w:val="right" w:pos="9360"/>
        </w:tabs>
        <w:rPr>
          <w:rFonts w:asciiTheme="minorHAnsi" w:eastAsiaTheme="minorHAnsi" w:hAnsiTheme="minorHAnsi" w:cstheme="minorHAnsi"/>
          <w:sz w:val="22"/>
          <w:lang w:val="en-CA"/>
        </w:rPr>
      </w:pPr>
      <w:r w:rsidRPr="000F056F">
        <w:rPr>
          <w:rStyle w:val="Strong"/>
          <w:rFonts w:asciiTheme="minorHAnsi" w:eastAsiaTheme="minorHAnsi" w:hAnsiTheme="minorHAnsi" w:cstheme="minorHAnsi"/>
          <w:sz w:val="22"/>
          <w:lang w:val="en-CA"/>
        </w:rPr>
        <w:t>Clear expectations</w:t>
      </w:r>
      <w:r w:rsidRPr="000F056F">
        <w:rPr>
          <w:rFonts w:asciiTheme="minorHAnsi" w:eastAsiaTheme="minorHAnsi" w:hAnsiTheme="minorHAnsi" w:cstheme="minorHAnsi"/>
          <w:sz w:val="22"/>
          <w:lang w:val="en-CA"/>
        </w:rPr>
        <w:t xml:space="preserve"> for priority entitlements</w:t>
      </w:r>
    </w:p>
    <w:p w14:paraId="2B4EC582" w14:textId="77777777" w:rsidR="002944FE" w:rsidRPr="000F056F" w:rsidRDefault="002944FE" w:rsidP="002944FE">
      <w:pPr>
        <w:keepLines/>
        <w:numPr>
          <w:ilvl w:val="0"/>
          <w:numId w:val="5"/>
        </w:numPr>
        <w:tabs>
          <w:tab w:val="center" w:pos="4680"/>
          <w:tab w:val="right" w:pos="9360"/>
        </w:tabs>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No restrictions on assessment methods for EX appointments</w:t>
      </w:r>
    </w:p>
    <w:p w14:paraId="07FBD1C4" w14:textId="77777777" w:rsidR="002944FE" w:rsidRPr="000F056F" w:rsidRDefault="002944FE" w:rsidP="002944FE">
      <w:pPr>
        <w:keepLines/>
        <w:numPr>
          <w:ilvl w:val="0"/>
          <w:numId w:val="5"/>
        </w:numPr>
        <w:tabs>
          <w:tab w:val="center" w:pos="4680"/>
          <w:tab w:val="right" w:pos="9360"/>
        </w:tabs>
        <w:spacing w:after="240"/>
        <w:ind w:left="714" w:hanging="357"/>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Exceptions to National Area of Selection approved by deputy head</w:t>
      </w:r>
    </w:p>
    <w:p w14:paraId="62AAEEE5" w14:textId="77777777" w:rsidR="002944FE" w:rsidRPr="000F056F" w:rsidRDefault="002944FE" w:rsidP="002944FE">
      <w:pPr>
        <w:pStyle w:val="Heading3"/>
        <w:spacing w:after="120"/>
        <w:rPr>
          <w:rFonts w:asciiTheme="minorHAnsi" w:hAnsiTheme="minorHAnsi" w:cstheme="minorHAnsi"/>
          <w:sz w:val="22"/>
          <w:szCs w:val="20"/>
          <w:lang w:val="en-CA"/>
        </w:rPr>
      </w:pPr>
      <w:r w:rsidRPr="000F056F">
        <w:rPr>
          <w:rFonts w:asciiTheme="minorHAnsi" w:hAnsiTheme="minorHAnsi" w:cstheme="minorHAnsi"/>
          <w:sz w:val="22"/>
          <w:szCs w:val="20"/>
          <w:lang w:val="en-CA"/>
        </w:rPr>
        <w:t>Delegation</w:t>
      </w:r>
    </w:p>
    <w:p w14:paraId="529BA4DA" w14:textId="77777777" w:rsidR="002944FE" w:rsidRPr="000F056F" w:rsidRDefault="002944FE" w:rsidP="002944FE">
      <w:pPr>
        <w:keepLines/>
        <w:numPr>
          <w:ilvl w:val="0"/>
          <w:numId w:val="7"/>
        </w:numPr>
        <w:spacing w:after="320" w:line="259" w:lineRule="auto"/>
        <w:contextualSpacing/>
        <w:rPr>
          <w:rFonts w:asciiTheme="minorHAnsi" w:eastAsiaTheme="minorHAnsi" w:hAnsiTheme="minorHAnsi" w:cstheme="minorHAnsi"/>
          <w:sz w:val="22"/>
          <w:lang w:val="en-CA"/>
        </w:rPr>
      </w:pPr>
      <w:r w:rsidRPr="000F056F">
        <w:rPr>
          <w:rStyle w:val="Strong"/>
          <w:rFonts w:asciiTheme="minorHAnsi" w:eastAsiaTheme="minorHAnsi" w:hAnsiTheme="minorHAnsi" w:cstheme="minorHAnsi"/>
          <w:sz w:val="22"/>
          <w:lang w:val="en-CA"/>
        </w:rPr>
        <w:t>New ability to customize organizational staffing system</w:t>
      </w:r>
      <w:r w:rsidRPr="000F056F">
        <w:rPr>
          <w:rFonts w:asciiTheme="minorHAnsi" w:eastAsiaTheme="minorHAnsi" w:hAnsiTheme="minorHAnsi" w:cstheme="minorHAnsi"/>
          <w:sz w:val="22"/>
          <w:lang w:val="en-CA"/>
        </w:rPr>
        <w:t xml:space="preserve"> based on unique context and evolving business needs</w:t>
      </w:r>
    </w:p>
    <w:p w14:paraId="38101AFC" w14:textId="77777777" w:rsidR="002944FE" w:rsidRPr="000F056F" w:rsidRDefault="002944FE" w:rsidP="002944FE">
      <w:pPr>
        <w:keepLines/>
        <w:numPr>
          <w:ilvl w:val="0"/>
          <w:numId w:val="6"/>
        </w:numPr>
        <w:spacing w:after="320" w:line="259" w:lineRule="auto"/>
        <w:contextualSpacing/>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 xml:space="preserve">Deputy heads establish a direction on the </w:t>
      </w:r>
      <w:r w:rsidRPr="000F056F">
        <w:rPr>
          <w:rStyle w:val="Strong"/>
          <w:rFonts w:asciiTheme="minorHAnsi" w:eastAsiaTheme="minorHAnsi" w:hAnsiTheme="minorHAnsi" w:cstheme="minorHAnsi"/>
          <w:sz w:val="22"/>
          <w:lang w:val="en-CA"/>
        </w:rPr>
        <w:t>use of advertised and non-advertised</w:t>
      </w:r>
      <w:r w:rsidRPr="000F056F">
        <w:rPr>
          <w:rFonts w:asciiTheme="minorHAnsi" w:eastAsiaTheme="minorHAnsi" w:hAnsiTheme="minorHAnsi" w:cstheme="minorHAnsi"/>
          <w:sz w:val="22"/>
          <w:lang w:val="en-CA"/>
        </w:rPr>
        <w:t xml:space="preserve"> appointment processes</w:t>
      </w:r>
    </w:p>
    <w:p w14:paraId="5CE7FC94" w14:textId="77777777" w:rsidR="002944FE" w:rsidRPr="000F056F" w:rsidRDefault="002944FE" w:rsidP="002944FE">
      <w:pPr>
        <w:keepLines/>
        <w:numPr>
          <w:ilvl w:val="0"/>
          <w:numId w:val="6"/>
        </w:numPr>
        <w:spacing w:after="320" w:line="259" w:lineRule="auto"/>
        <w:contextualSpacing/>
        <w:rPr>
          <w:rStyle w:val="Strong"/>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 xml:space="preserve">Deputy heads to establish requirement(s) for sub-delegated persons to </w:t>
      </w:r>
      <w:r w:rsidRPr="000F056F">
        <w:rPr>
          <w:rStyle w:val="Strong"/>
          <w:rFonts w:asciiTheme="minorHAnsi" w:eastAsiaTheme="minorHAnsi" w:hAnsiTheme="minorHAnsi" w:cstheme="minorHAnsi"/>
          <w:sz w:val="22"/>
          <w:lang w:val="en-CA"/>
        </w:rPr>
        <w:t>articulate, in writing, their selection decision</w:t>
      </w:r>
    </w:p>
    <w:p w14:paraId="4AD19B19" w14:textId="77777777" w:rsidR="002944FE" w:rsidRPr="000F056F" w:rsidRDefault="002944FE" w:rsidP="002944FE">
      <w:pPr>
        <w:keepLines/>
        <w:numPr>
          <w:ilvl w:val="0"/>
          <w:numId w:val="6"/>
        </w:numPr>
        <w:spacing w:after="320" w:line="259" w:lineRule="auto"/>
        <w:contextualSpacing/>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Clarity on requirements related to investigations</w:t>
      </w:r>
    </w:p>
    <w:p w14:paraId="6637E60C" w14:textId="77777777" w:rsidR="002944FE" w:rsidRPr="000F056F" w:rsidRDefault="002944FE" w:rsidP="002944FE">
      <w:pPr>
        <w:keepLines/>
        <w:numPr>
          <w:ilvl w:val="0"/>
          <w:numId w:val="6"/>
        </w:numPr>
        <w:spacing w:after="320" w:line="259" w:lineRule="auto"/>
        <w:contextualSpacing/>
        <w:rPr>
          <w:rFonts w:asciiTheme="minorHAnsi" w:eastAsiaTheme="minorHAnsi" w:hAnsiTheme="minorHAnsi" w:cstheme="minorHAnsi"/>
          <w:sz w:val="22"/>
          <w:lang w:val="en-CA"/>
        </w:rPr>
      </w:pPr>
      <w:r w:rsidRPr="000F056F">
        <w:rPr>
          <w:rStyle w:val="Strong"/>
          <w:rFonts w:asciiTheme="minorHAnsi" w:eastAsiaTheme="minorHAnsi" w:hAnsiTheme="minorHAnsi" w:cstheme="minorHAnsi"/>
          <w:sz w:val="22"/>
          <w:lang w:val="en-CA"/>
        </w:rPr>
        <w:t>Attestation form</w:t>
      </w:r>
      <w:r w:rsidRPr="000F056F">
        <w:rPr>
          <w:rFonts w:asciiTheme="minorHAnsi" w:eastAsiaTheme="minorHAnsi" w:hAnsiTheme="minorHAnsi" w:cstheme="minorHAnsi"/>
          <w:sz w:val="22"/>
          <w:lang w:val="en-CA"/>
        </w:rPr>
        <w:t xml:space="preserve"> to reinforce the accountabilities of sub-delegated persons</w:t>
      </w:r>
    </w:p>
    <w:p w14:paraId="09813DA5" w14:textId="77777777" w:rsidR="002944FE" w:rsidRPr="000F056F" w:rsidRDefault="002944FE" w:rsidP="002944FE">
      <w:pPr>
        <w:keepLines/>
        <w:spacing w:after="360" w:line="259" w:lineRule="auto"/>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All PSC monitoring and reporting requirements now found in the Appointment Delegation and Accountability Instrument</w:t>
      </w:r>
    </w:p>
    <w:p w14:paraId="3E2689E8" w14:textId="77777777" w:rsidR="002944FE" w:rsidRPr="000F056F" w:rsidRDefault="002944FE" w:rsidP="002944FE">
      <w:pPr>
        <w:pStyle w:val="Heading3"/>
        <w:spacing w:after="120"/>
        <w:rPr>
          <w:rFonts w:asciiTheme="minorHAnsi" w:hAnsiTheme="minorHAnsi" w:cstheme="minorHAnsi"/>
          <w:sz w:val="22"/>
          <w:szCs w:val="20"/>
          <w:lang w:val="en-CA"/>
        </w:rPr>
      </w:pPr>
      <w:r w:rsidRPr="000F056F">
        <w:rPr>
          <w:rFonts w:asciiTheme="minorHAnsi" w:hAnsiTheme="minorHAnsi" w:cstheme="minorHAnsi"/>
          <w:sz w:val="22"/>
          <w:szCs w:val="20"/>
          <w:lang w:val="en-CA"/>
        </w:rPr>
        <w:t>Monitoring and Reporting</w:t>
      </w:r>
    </w:p>
    <w:p w14:paraId="67854E23" w14:textId="77777777" w:rsidR="002944FE" w:rsidRPr="000F056F" w:rsidRDefault="002944FE" w:rsidP="002944FE">
      <w:pPr>
        <w:keepLines/>
        <w:spacing w:after="120" w:line="259" w:lineRule="auto"/>
        <w:rPr>
          <w:rFonts w:asciiTheme="minorHAnsi" w:eastAsiaTheme="minorHAnsi" w:hAnsiTheme="minorHAnsi" w:cstheme="minorHAnsi"/>
          <w:sz w:val="22"/>
          <w:lang w:val="en-CA"/>
        </w:rPr>
      </w:pPr>
      <w:r w:rsidRPr="000F056F">
        <w:rPr>
          <w:rStyle w:val="Strong"/>
          <w:rFonts w:asciiTheme="minorHAnsi" w:eastAsiaTheme="minorHAnsi" w:hAnsiTheme="minorHAnsi" w:cstheme="minorHAnsi"/>
          <w:sz w:val="22"/>
          <w:lang w:val="en-CA"/>
        </w:rPr>
        <w:t>Monitoring built by organizations</w:t>
      </w:r>
      <w:r w:rsidRPr="000F056F">
        <w:rPr>
          <w:rFonts w:asciiTheme="minorHAnsi" w:eastAsiaTheme="minorHAnsi" w:hAnsiTheme="minorHAnsi" w:cstheme="minorHAnsi"/>
          <w:sz w:val="22"/>
          <w:lang w:val="en-CA"/>
        </w:rPr>
        <w:t>, targeted to their needs</w:t>
      </w:r>
    </w:p>
    <w:p w14:paraId="00139226" w14:textId="77777777" w:rsidR="002944FE" w:rsidRPr="000F056F" w:rsidRDefault="002944FE" w:rsidP="002944FE">
      <w:pPr>
        <w:keepLines/>
        <w:numPr>
          <w:ilvl w:val="0"/>
          <w:numId w:val="8"/>
        </w:numPr>
        <w:spacing w:after="320" w:line="259" w:lineRule="auto"/>
        <w:contextualSpacing/>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Annual Departmental Staffing Accountability Report no longer required</w:t>
      </w:r>
    </w:p>
    <w:p w14:paraId="09DA71D5" w14:textId="77777777" w:rsidR="002944FE" w:rsidRPr="000F056F" w:rsidRDefault="002944FE" w:rsidP="002944FE">
      <w:pPr>
        <w:keepLines/>
        <w:numPr>
          <w:ilvl w:val="0"/>
          <w:numId w:val="8"/>
        </w:numPr>
        <w:spacing w:after="320" w:line="259" w:lineRule="auto"/>
        <w:contextualSpacing/>
        <w:rPr>
          <w:rFonts w:asciiTheme="minorHAnsi" w:eastAsiaTheme="minorHAnsi" w:hAnsiTheme="minorHAnsi" w:cstheme="minorHAnsi"/>
          <w:sz w:val="22"/>
          <w:lang w:val="en-CA"/>
        </w:rPr>
      </w:pPr>
      <w:r w:rsidRPr="000F056F">
        <w:rPr>
          <w:rStyle w:val="Strong"/>
          <w:rFonts w:asciiTheme="minorHAnsi" w:eastAsiaTheme="minorHAnsi" w:hAnsiTheme="minorHAnsi" w:cstheme="minorHAnsi"/>
          <w:sz w:val="22"/>
          <w:lang w:val="en-CA"/>
        </w:rPr>
        <w:t>Annual reporting to the PSC limited</w:t>
      </w:r>
      <w:r w:rsidRPr="000F056F">
        <w:rPr>
          <w:rFonts w:asciiTheme="minorHAnsi" w:eastAsiaTheme="minorHAnsi" w:hAnsiTheme="minorHAnsi" w:cstheme="minorHAnsi"/>
          <w:sz w:val="22"/>
          <w:lang w:val="en-CA"/>
        </w:rPr>
        <w:t xml:space="preserve"> to:</w:t>
      </w:r>
    </w:p>
    <w:p w14:paraId="1C4DAA6F" w14:textId="77777777" w:rsidR="002944FE" w:rsidRPr="000F056F" w:rsidRDefault="002944FE" w:rsidP="00FF658D">
      <w:pPr>
        <w:keepLines/>
        <w:numPr>
          <w:ilvl w:val="1"/>
          <w:numId w:val="43"/>
        </w:numPr>
        <w:spacing w:after="320" w:line="259" w:lineRule="auto"/>
        <w:contextualSpacing/>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Use of Public Service Official Language Exclusion Approval Order</w:t>
      </w:r>
    </w:p>
    <w:p w14:paraId="6A903257" w14:textId="77777777" w:rsidR="002944FE" w:rsidRPr="000F056F" w:rsidRDefault="002944FE" w:rsidP="00FF658D">
      <w:pPr>
        <w:keepLines/>
        <w:numPr>
          <w:ilvl w:val="1"/>
          <w:numId w:val="43"/>
        </w:numPr>
        <w:spacing w:after="320" w:line="259" w:lineRule="auto"/>
        <w:contextualSpacing/>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Exceptions to the National Area of Selection approved by the deputy head</w:t>
      </w:r>
    </w:p>
    <w:p w14:paraId="38E82F50" w14:textId="77777777" w:rsidR="002944FE" w:rsidRPr="000F056F" w:rsidRDefault="002944FE" w:rsidP="00FF658D">
      <w:pPr>
        <w:keepLines/>
        <w:numPr>
          <w:ilvl w:val="1"/>
          <w:numId w:val="43"/>
        </w:numPr>
        <w:spacing w:after="320" w:line="259" w:lineRule="auto"/>
        <w:contextualSpacing/>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Results of any internal investigations</w:t>
      </w:r>
    </w:p>
    <w:p w14:paraId="3E6BE5A2" w14:textId="77777777" w:rsidR="002944FE" w:rsidRPr="000F056F" w:rsidRDefault="002944FE" w:rsidP="00FF658D">
      <w:pPr>
        <w:keepLines/>
        <w:numPr>
          <w:ilvl w:val="1"/>
          <w:numId w:val="43"/>
        </w:numPr>
        <w:spacing w:after="320" w:line="259" w:lineRule="auto"/>
        <w:contextualSpacing/>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Actions taken following any PSC investigations or audits.</w:t>
      </w:r>
    </w:p>
    <w:p w14:paraId="4C553BF6" w14:textId="77777777" w:rsidR="002944FE" w:rsidRPr="000F056F" w:rsidRDefault="002944FE" w:rsidP="002944FE">
      <w:pPr>
        <w:keepLines/>
        <w:numPr>
          <w:ilvl w:val="0"/>
          <w:numId w:val="9"/>
        </w:numPr>
        <w:spacing w:after="320" w:line="259" w:lineRule="auto"/>
        <w:contextualSpacing/>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 xml:space="preserve">Deputy head responsible for </w:t>
      </w:r>
      <w:r w:rsidRPr="000F056F">
        <w:rPr>
          <w:rStyle w:val="Strong"/>
          <w:rFonts w:asciiTheme="minorHAnsi" w:eastAsiaTheme="minorHAnsi" w:hAnsiTheme="minorHAnsi" w:cstheme="minorHAnsi"/>
          <w:sz w:val="22"/>
          <w:lang w:val="en-CA"/>
        </w:rPr>
        <w:t>ongoing monitoring of organizational staffing system</w:t>
      </w:r>
      <w:r w:rsidRPr="000F056F">
        <w:rPr>
          <w:rFonts w:asciiTheme="minorHAnsi" w:eastAsiaTheme="minorHAnsi" w:hAnsiTheme="minorHAnsi" w:cstheme="minorHAnsi"/>
          <w:sz w:val="22"/>
          <w:lang w:val="en-CA"/>
        </w:rPr>
        <w:t xml:space="preserve"> based on the organization’s unique context</w:t>
      </w:r>
    </w:p>
    <w:p w14:paraId="7CEA2A79" w14:textId="77777777" w:rsidR="002944FE" w:rsidRPr="000F056F" w:rsidRDefault="002944FE" w:rsidP="00FF658D">
      <w:pPr>
        <w:keepLines/>
        <w:numPr>
          <w:ilvl w:val="2"/>
          <w:numId w:val="9"/>
        </w:numPr>
        <w:spacing w:after="320" w:line="259" w:lineRule="auto"/>
        <w:contextualSpacing/>
        <w:rPr>
          <w:rFonts w:asciiTheme="minorHAnsi" w:eastAsiaTheme="minorHAnsi" w:hAnsiTheme="minorHAnsi" w:cstheme="minorHAnsi"/>
          <w:sz w:val="22"/>
          <w:lang w:val="en-CA"/>
        </w:rPr>
      </w:pPr>
      <w:r w:rsidRPr="000F056F">
        <w:rPr>
          <w:rStyle w:val="Strong"/>
          <w:rFonts w:asciiTheme="minorHAnsi" w:eastAsiaTheme="minorHAnsi" w:hAnsiTheme="minorHAnsi" w:cstheme="minorHAnsi"/>
          <w:sz w:val="22"/>
          <w:lang w:val="en-CA"/>
        </w:rPr>
        <w:t>Assessment of adherence to requirements</w:t>
      </w:r>
      <w:r w:rsidRPr="000F056F">
        <w:rPr>
          <w:rFonts w:asciiTheme="minorHAnsi" w:eastAsiaTheme="minorHAnsi" w:hAnsiTheme="minorHAnsi" w:cstheme="minorHAnsi"/>
          <w:sz w:val="22"/>
          <w:lang w:val="en-CA"/>
        </w:rPr>
        <w:t>, based on organization’s own risks, every five years, at a minimum.</w:t>
      </w:r>
    </w:p>
    <w:p w14:paraId="3E6C698E" w14:textId="77777777" w:rsidR="002944FE" w:rsidRPr="000F056F" w:rsidRDefault="002944FE" w:rsidP="002944FE">
      <w:pPr>
        <w:pStyle w:val="Heading3"/>
        <w:spacing w:after="120"/>
        <w:rPr>
          <w:rFonts w:asciiTheme="minorHAnsi" w:hAnsiTheme="minorHAnsi" w:cstheme="minorHAnsi"/>
          <w:sz w:val="22"/>
          <w:szCs w:val="20"/>
          <w:lang w:val="en-CA"/>
        </w:rPr>
      </w:pPr>
      <w:r w:rsidRPr="000F056F">
        <w:rPr>
          <w:rFonts w:asciiTheme="minorHAnsi" w:hAnsiTheme="minorHAnsi" w:cstheme="minorHAnsi"/>
          <w:sz w:val="22"/>
          <w:szCs w:val="20"/>
          <w:lang w:val="en-CA"/>
        </w:rPr>
        <w:lastRenderedPageBreak/>
        <w:t>PSC Oversight</w:t>
      </w:r>
    </w:p>
    <w:p w14:paraId="601A4154" w14:textId="77777777" w:rsidR="002944FE" w:rsidRPr="000F056F" w:rsidRDefault="002944FE" w:rsidP="002944FE">
      <w:pPr>
        <w:keepLines/>
        <w:spacing w:after="120" w:line="259" w:lineRule="auto"/>
        <w:rPr>
          <w:rFonts w:asciiTheme="minorHAnsi" w:eastAsiaTheme="minorHAnsi" w:hAnsiTheme="minorHAnsi" w:cstheme="minorHAnsi"/>
          <w:sz w:val="22"/>
          <w:lang w:val="en-CA"/>
        </w:rPr>
      </w:pPr>
      <w:r w:rsidRPr="000F056F">
        <w:rPr>
          <w:rFonts w:asciiTheme="minorHAnsi" w:eastAsiaTheme="minorHAnsi" w:hAnsiTheme="minorHAnsi" w:cstheme="minorHAnsi"/>
          <w:sz w:val="22"/>
          <w:lang w:val="en-CA"/>
        </w:rPr>
        <w:t>System-wide focus</w:t>
      </w:r>
    </w:p>
    <w:p w14:paraId="6A491E10" w14:textId="77777777" w:rsidR="002944FE" w:rsidRPr="000F056F" w:rsidRDefault="002944FE" w:rsidP="002944FE">
      <w:pPr>
        <w:keepLines/>
        <w:numPr>
          <w:ilvl w:val="0"/>
          <w:numId w:val="10"/>
        </w:numPr>
        <w:spacing w:line="259" w:lineRule="auto"/>
        <w:rPr>
          <w:rStyle w:val="Strong"/>
          <w:rFonts w:asciiTheme="minorHAnsi" w:eastAsiaTheme="minorHAnsi" w:hAnsiTheme="minorHAnsi" w:cstheme="minorHAnsi"/>
          <w:sz w:val="22"/>
          <w:lang w:val="en-CA"/>
        </w:rPr>
      </w:pPr>
      <w:r w:rsidRPr="000F056F">
        <w:rPr>
          <w:rStyle w:val="Strong"/>
          <w:rFonts w:asciiTheme="minorHAnsi" w:eastAsiaTheme="minorHAnsi" w:hAnsiTheme="minorHAnsi" w:cstheme="minorHAnsi"/>
          <w:sz w:val="22"/>
          <w:lang w:val="en-CA"/>
        </w:rPr>
        <w:t>Government-wide compliance audit every two years</w:t>
      </w:r>
    </w:p>
    <w:p w14:paraId="121330E5" w14:textId="77777777" w:rsidR="002944FE" w:rsidRPr="000F056F" w:rsidRDefault="002944FE" w:rsidP="002944FE">
      <w:pPr>
        <w:keepLines/>
        <w:numPr>
          <w:ilvl w:val="0"/>
          <w:numId w:val="10"/>
        </w:numPr>
        <w:spacing w:line="259" w:lineRule="auto"/>
        <w:rPr>
          <w:rFonts w:asciiTheme="minorHAnsi" w:eastAsiaTheme="minorHAnsi" w:hAnsiTheme="minorHAnsi" w:cstheme="minorHAnsi"/>
          <w:sz w:val="22"/>
          <w:lang w:val="en-CA"/>
        </w:rPr>
      </w:pPr>
      <w:r w:rsidRPr="000F056F">
        <w:rPr>
          <w:rStyle w:val="Strong"/>
          <w:rFonts w:asciiTheme="minorHAnsi" w:eastAsiaTheme="minorHAnsi" w:hAnsiTheme="minorHAnsi" w:cstheme="minorHAnsi"/>
          <w:sz w:val="22"/>
          <w:lang w:val="en-CA"/>
        </w:rPr>
        <w:t>Renewed Survey of Staffing</w:t>
      </w:r>
      <w:r w:rsidRPr="000F056F">
        <w:rPr>
          <w:rFonts w:asciiTheme="minorHAnsi" w:eastAsiaTheme="minorHAnsi" w:hAnsiTheme="minorHAnsi" w:cstheme="minorHAnsi"/>
          <w:sz w:val="22"/>
          <w:lang w:val="en-CA"/>
        </w:rPr>
        <w:t xml:space="preserve"> administered in alternating years with government-wide audit</w:t>
      </w:r>
    </w:p>
    <w:p w14:paraId="054775F2" w14:textId="77777777" w:rsidR="002944FE" w:rsidRPr="000F056F" w:rsidRDefault="002944FE" w:rsidP="002944FE">
      <w:pPr>
        <w:keepLines/>
        <w:numPr>
          <w:ilvl w:val="0"/>
          <w:numId w:val="10"/>
        </w:numPr>
        <w:spacing w:line="259" w:lineRule="auto"/>
        <w:rPr>
          <w:rFonts w:asciiTheme="minorHAnsi" w:eastAsiaTheme="minorHAnsi" w:hAnsiTheme="minorHAnsi" w:cstheme="minorHAnsi"/>
          <w:sz w:val="22"/>
          <w:lang w:val="en-CA"/>
        </w:rPr>
      </w:pPr>
      <w:r w:rsidRPr="000F056F">
        <w:rPr>
          <w:rStyle w:val="Strong"/>
          <w:rFonts w:asciiTheme="minorHAnsi" w:eastAsiaTheme="minorHAnsi" w:hAnsiTheme="minorHAnsi" w:cstheme="minorHAnsi"/>
          <w:sz w:val="22"/>
          <w:lang w:val="en-CA"/>
        </w:rPr>
        <w:t>System-wide effectiveness and efficiency reviews</w:t>
      </w:r>
      <w:r w:rsidRPr="000F056F">
        <w:rPr>
          <w:rFonts w:asciiTheme="minorHAnsi" w:eastAsiaTheme="minorHAnsi" w:hAnsiTheme="minorHAnsi" w:cstheme="minorHAnsi"/>
          <w:sz w:val="22"/>
          <w:lang w:val="en-CA"/>
        </w:rPr>
        <w:t xml:space="preserve"> to support continuous improvement</w:t>
      </w:r>
    </w:p>
    <w:p w14:paraId="21847399" w14:textId="77777777" w:rsidR="002944FE" w:rsidRPr="000F056F" w:rsidRDefault="002944FE" w:rsidP="002944FE">
      <w:pPr>
        <w:keepLines/>
        <w:numPr>
          <w:ilvl w:val="0"/>
          <w:numId w:val="10"/>
        </w:numPr>
        <w:spacing w:line="259" w:lineRule="auto"/>
        <w:rPr>
          <w:rFonts w:asciiTheme="minorHAnsi" w:eastAsiaTheme="minorHAnsi" w:hAnsiTheme="minorHAnsi" w:cstheme="minorHAnsi"/>
          <w:sz w:val="22"/>
          <w:lang w:val="en-CA"/>
        </w:rPr>
      </w:pPr>
      <w:r w:rsidRPr="000F056F">
        <w:rPr>
          <w:rStyle w:val="Strong"/>
          <w:rFonts w:asciiTheme="minorHAnsi" w:eastAsiaTheme="minorHAnsi" w:hAnsiTheme="minorHAnsi" w:cstheme="minorHAnsi"/>
          <w:sz w:val="22"/>
          <w:lang w:val="en-CA"/>
        </w:rPr>
        <w:t>Targeted PSC audits</w:t>
      </w:r>
      <w:r w:rsidRPr="000F056F">
        <w:rPr>
          <w:rFonts w:asciiTheme="minorHAnsi" w:eastAsiaTheme="minorHAnsi" w:hAnsiTheme="minorHAnsi" w:cstheme="minorHAnsi"/>
          <w:sz w:val="22"/>
          <w:lang w:val="en-CA"/>
        </w:rPr>
        <w:t xml:space="preserve"> </w:t>
      </w:r>
      <w:proofErr w:type="gramStart"/>
      <w:r w:rsidRPr="000F056F">
        <w:rPr>
          <w:rFonts w:asciiTheme="minorHAnsi" w:eastAsiaTheme="minorHAnsi" w:hAnsiTheme="minorHAnsi" w:cstheme="minorHAnsi"/>
          <w:sz w:val="22"/>
          <w:lang w:val="en-CA"/>
        </w:rPr>
        <w:t>as a result of</w:t>
      </w:r>
      <w:proofErr w:type="gramEnd"/>
      <w:r w:rsidRPr="000F056F">
        <w:rPr>
          <w:rFonts w:asciiTheme="minorHAnsi" w:eastAsiaTheme="minorHAnsi" w:hAnsiTheme="minorHAnsi" w:cstheme="minorHAnsi"/>
          <w:sz w:val="22"/>
          <w:lang w:val="en-CA"/>
        </w:rPr>
        <w:t xml:space="preserve"> identified system-wide or organizational risks or at the request of deputy head </w:t>
      </w:r>
    </w:p>
    <w:p w14:paraId="71536E46" w14:textId="77777777" w:rsidR="002944FE" w:rsidRPr="000F056F" w:rsidRDefault="002944FE" w:rsidP="002944FE">
      <w:pPr>
        <w:keepLines/>
        <w:numPr>
          <w:ilvl w:val="0"/>
          <w:numId w:val="10"/>
        </w:numPr>
        <w:spacing w:after="320" w:line="259" w:lineRule="auto"/>
        <w:rPr>
          <w:rFonts w:asciiTheme="minorHAnsi" w:eastAsiaTheme="minorHAnsi" w:hAnsiTheme="minorHAnsi" w:cstheme="minorHAnsi"/>
          <w:sz w:val="22"/>
          <w:lang w:val="en-CA"/>
        </w:rPr>
      </w:pPr>
      <w:r w:rsidRPr="000F056F">
        <w:rPr>
          <w:rStyle w:val="Strong"/>
          <w:rFonts w:asciiTheme="minorHAnsi" w:eastAsiaTheme="minorHAnsi" w:hAnsiTheme="minorHAnsi" w:cstheme="minorHAnsi"/>
          <w:sz w:val="22"/>
          <w:lang w:val="en-CA"/>
        </w:rPr>
        <w:t>Investigations conducted</w:t>
      </w:r>
      <w:r w:rsidRPr="000F056F">
        <w:rPr>
          <w:rFonts w:asciiTheme="minorHAnsi" w:eastAsiaTheme="minorHAnsi" w:hAnsiTheme="minorHAnsi" w:cstheme="minorHAnsi"/>
          <w:sz w:val="22"/>
          <w:lang w:val="en-CA"/>
        </w:rPr>
        <w:t xml:space="preserve"> when there is reason to believe there was political influence, </w:t>
      </w:r>
      <w:proofErr w:type="gramStart"/>
      <w:r w:rsidRPr="000F056F">
        <w:rPr>
          <w:rFonts w:asciiTheme="minorHAnsi" w:eastAsiaTheme="minorHAnsi" w:hAnsiTheme="minorHAnsi" w:cstheme="minorHAnsi"/>
          <w:sz w:val="22"/>
          <w:lang w:val="en-CA"/>
        </w:rPr>
        <w:t>fraud</w:t>
      </w:r>
      <w:proofErr w:type="gramEnd"/>
      <w:r w:rsidRPr="000F056F">
        <w:rPr>
          <w:rFonts w:asciiTheme="minorHAnsi" w:eastAsiaTheme="minorHAnsi" w:hAnsiTheme="minorHAnsi" w:cstheme="minorHAnsi"/>
          <w:sz w:val="22"/>
          <w:lang w:val="en-CA"/>
        </w:rPr>
        <w:t xml:space="preserve"> or improper conduct in an appointment process</w:t>
      </w:r>
    </w:p>
    <w:p w14:paraId="28BA6E64" w14:textId="77777777" w:rsidR="002944FE" w:rsidRPr="000F056F" w:rsidRDefault="002944FE" w:rsidP="002944FE">
      <w:pPr>
        <w:keepLines/>
        <w:tabs>
          <w:tab w:val="center" w:pos="4680"/>
          <w:tab w:val="right" w:pos="9360"/>
        </w:tabs>
        <w:jc w:val="both"/>
        <w:rPr>
          <w:rStyle w:val="Strong"/>
          <w:rFonts w:asciiTheme="minorHAnsi" w:eastAsiaTheme="minorHAnsi" w:hAnsiTheme="minorHAnsi" w:cstheme="minorHAnsi"/>
          <w:b w:val="0"/>
          <w:sz w:val="22"/>
          <w:lang w:val="en-CA"/>
        </w:rPr>
        <w:sectPr w:rsidR="002944FE" w:rsidRPr="000F056F" w:rsidSect="00073614">
          <w:pgSz w:w="12240" w:h="15840"/>
          <w:pgMar w:top="1440" w:right="1080" w:bottom="1440" w:left="1080" w:header="709" w:footer="284" w:gutter="0"/>
          <w:cols w:space="708"/>
          <w:titlePg/>
          <w:docGrid w:linePitch="360"/>
        </w:sectPr>
      </w:pPr>
      <w:r w:rsidRPr="000F056F">
        <w:rPr>
          <w:rStyle w:val="Strong"/>
          <w:rFonts w:asciiTheme="minorHAnsi" w:eastAsiaTheme="minorHAnsi" w:hAnsiTheme="minorHAnsi" w:cstheme="minorHAnsi"/>
          <w:b w:val="0"/>
          <w:sz w:val="22"/>
          <w:lang w:val="en-CA"/>
        </w:rPr>
        <w:t xml:space="preserve">This document should be read in conjunction with the </w:t>
      </w:r>
      <w:r w:rsidRPr="000F056F">
        <w:rPr>
          <w:rStyle w:val="Emphasis"/>
          <w:rFonts w:asciiTheme="minorHAnsi" w:eastAsiaTheme="minorHAnsi" w:hAnsiTheme="minorHAnsi" w:cstheme="minorHAnsi"/>
          <w:sz w:val="22"/>
          <w:lang w:val="en-CA"/>
        </w:rPr>
        <w:t>Public Service Employment Act</w:t>
      </w:r>
      <w:r w:rsidRPr="000F056F">
        <w:rPr>
          <w:rStyle w:val="Strong"/>
          <w:rFonts w:asciiTheme="minorHAnsi" w:eastAsiaTheme="minorHAnsi" w:hAnsiTheme="minorHAnsi" w:cstheme="minorHAnsi"/>
          <w:b w:val="0"/>
          <w:sz w:val="22"/>
          <w:lang w:val="en-CA"/>
        </w:rPr>
        <w:t xml:space="preserve">, the </w:t>
      </w:r>
      <w:r w:rsidRPr="000F056F">
        <w:rPr>
          <w:rStyle w:val="Emphasis"/>
          <w:rFonts w:asciiTheme="minorHAnsi" w:eastAsiaTheme="minorHAnsi" w:hAnsiTheme="minorHAnsi" w:cstheme="minorHAnsi"/>
          <w:sz w:val="22"/>
          <w:lang w:val="en-CA"/>
        </w:rPr>
        <w:t>Public Service Employment Regulations</w:t>
      </w:r>
      <w:r w:rsidRPr="000F056F">
        <w:rPr>
          <w:rStyle w:val="Strong"/>
          <w:rFonts w:asciiTheme="minorHAnsi" w:eastAsiaTheme="minorHAnsi" w:hAnsiTheme="minorHAnsi" w:cstheme="minorHAnsi"/>
          <w:b w:val="0"/>
          <w:sz w:val="22"/>
          <w:lang w:val="en-CA"/>
        </w:rPr>
        <w:t xml:space="preserve">, the </w:t>
      </w:r>
      <w:r w:rsidRPr="000F056F">
        <w:rPr>
          <w:rStyle w:val="Emphasis"/>
          <w:rFonts w:asciiTheme="minorHAnsi" w:eastAsiaTheme="minorHAnsi" w:hAnsiTheme="minorHAnsi" w:cstheme="minorHAnsi"/>
          <w:sz w:val="22"/>
          <w:lang w:val="en-CA"/>
        </w:rPr>
        <w:t>PSC Appointment Policy</w:t>
      </w:r>
      <w:r w:rsidRPr="000F056F">
        <w:rPr>
          <w:rStyle w:val="Strong"/>
          <w:rFonts w:asciiTheme="minorHAnsi" w:eastAsiaTheme="minorHAnsi" w:hAnsiTheme="minorHAnsi" w:cstheme="minorHAnsi"/>
          <w:b w:val="0"/>
          <w:sz w:val="20"/>
          <w:lang w:val="en-CA"/>
        </w:rPr>
        <w:t xml:space="preserve"> </w:t>
      </w:r>
      <w:r w:rsidRPr="000F056F">
        <w:rPr>
          <w:rStyle w:val="Strong"/>
          <w:rFonts w:asciiTheme="minorHAnsi" w:eastAsiaTheme="minorHAnsi" w:hAnsiTheme="minorHAnsi" w:cstheme="minorHAnsi"/>
          <w:b w:val="0"/>
          <w:sz w:val="22"/>
          <w:lang w:val="en-CA"/>
        </w:rPr>
        <w:t>and the PSC Appointment Delegation and Accountability Instrument.</w:t>
      </w:r>
    </w:p>
    <w:p w14:paraId="1329A8A7" w14:textId="723A8439" w:rsidR="002944FE" w:rsidRPr="000F056F" w:rsidRDefault="008A5AA5" w:rsidP="008A5AA5">
      <w:pPr>
        <w:pStyle w:val="Heading3"/>
        <w:jc w:val="right"/>
        <w:rPr>
          <w:rFonts w:ascii="Segoe UI" w:eastAsia="Calibri" w:hAnsi="Segoe UI" w:cs="Segoe UI"/>
          <w:b/>
          <w:bCs/>
          <w:noProof/>
          <w:lang w:val="en-CA" w:eastAsia="en-CA"/>
        </w:rPr>
      </w:pPr>
      <w:bookmarkStart w:id="2" w:name="AnnexB"/>
      <w:r w:rsidRPr="000F056F">
        <w:rPr>
          <w:rFonts w:ascii="Segoe UI" w:eastAsia="Calibri" w:hAnsi="Segoe UI" w:cs="Segoe UI"/>
          <w:b/>
          <w:bCs/>
          <w:noProof/>
          <w:lang w:val="en-CA" w:eastAsia="en-CA"/>
        </w:rPr>
        <w:lastRenderedPageBreak/>
        <w:t>A</w:t>
      </w:r>
      <w:r w:rsidR="002944FE" w:rsidRPr="000F056F">
        <w:rPr>
          <w:rFonts w:ascii="Segoe UI" w:eastAsia="Calibri" w:hAnsi="Segoe UI" w:cs="Segoe UI"/>
          <w:b/>
          <w:bCs/>
          <w:noProof/>
          <w:lang w:val="en-CA" w:eastAsia="en-CA"/>
        </w:rPr>
        <w:t>nnex B</w:t>
      </w:r>
      <w:bookmarkEnd w:id="2"/>
    </w:p>
    <w:p w14:paraId="5B5A6361" w14:textId="77777777" w:rsidR="008A5AA5" w:rsidRPr="000F056F" w:rsidRDefault="008A5AA5" w:rsidP="008A5AA5">
      <w:pPr>
        <w:pStyle w:val="Heading1"/>
        <w:spacing w:before="120" w:after="120"/>
        <w:rPr>
          <w:rFonts w:eastAsia="Calibri"/>
          <w:noProof/>
          <w:sz w:val="40"/>
          <w:szCs w:val="40"/>
          <w:lang w:val="en-CA" w:eastAsia="en-CA"/>
        </w:rPr>
      </w:pPr>
      <w:r w:rsidRPr="000F056F">
        <w:rPr>
          <w:rFonts w:eastAsia="Calibri"/>
          <w:noProof/>
          <w:sz w:val="40"/>
          <w:szCs w:val="40"/>
          <w:lang w:val="en-CA" w:eastAsia="en-CA"/>
        </w:rPr>
        <w:t>Population by tenure as of March 31, 2020</w:t>
      </w:r>
    </w:p>
    <w:p w14:paraId="7033BE55" w14:textId="77777777" w:rsidR="00C27A67" w:rsidRPr="000F056F" w:rsidRDefault="002944FE" w:rsidP="00C27A67">
      <w:pPr>
        <w:keepNext/>
        <w:tabs>
          <w:tab w:val="left" w:pos="7839"/>
        </w:tabs>
        <w:jc w:val="center"/>
        <w:rPr>
          <w:lang w:val="en-CA"/>
        </w:rPr>
      </w:pPr>
      <w:r w:rsidRPr="000F056F">
        <w:rPr>
          <w:rFonts w:ascii="Arial" w:eastAsia="Calibri" w:hAnsi="Arial"/>
          <w:noProof/>
          <w:sz w:val="22"/>
          <w:szCs w:val="22"/>
          <w:lang w:val="en-CA" w:eastAsia="en-CA"/>
        </w:rPr>
        <w:drawing>
          <wp:inline distT="0" distB="0" distL="0" distR="0" wp14:anchorId="3CDF049B" wp14:editId="48C8A1FA">
            <wp:extent cx="5648400" cy="3049200"/>
            <wp:effectExtent l="0" t="0" r="9525" b="18415"/>
            <wp:docPr id="13" name="Chart 13" descr="Population by tenure as of March 31, 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8D719F" w14:textId="79296540" w:rsidR="00D76ECD" w:rsidRPr="000F056F" w:rsidRDefault="00C27A67" w:rsidP="00C27A67">
      <w:pPr>
        <w:pStyle w:val="Caption"/>
        <w:spacing w:after="0"/>
        <w:jc w:val="center"/>
        <w:rPr>
          <w:rFonts w:asciiTheme="minorHAnsi" w:eastAsia="Calibri" w:hAnsiTheme="minorHAnsi" w:cstheme="minorHAnsi"/>
          <w:i w:val="0"/>
          <w:iCs w:val="0"/>
          <w:noProof/>
          <w:color w:val="auto"/>
          <w:sz w:val="22"/>
          <w:szCs w:val="22"/>
          <w:lang w:val="en-CA" w:eastAsia="en-CA"/>
        </w:rPr>
      </w:pPr>
      <w:r w:rsidRPr="000F056F">
        <w:rPr>
          <w:rFonts w:asciiTheme="minorHAnsi" w:hAnsiTheme="minorHAnsi" w:cstheme="minorHAnsi"/>
          <w:i w:val="0"/>
          <w:iCs w:val="0"/>
          <w:color w:val="auto"/>
          <w:lang w:val="en-CA"/>
        </w:rPr>
        <w:t xml:space="preserve">Figure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Figure \* ARABIC </w:instrText>
      </w:r>
      <w:r w:rsidRPr="000F056F">
        <w:rPr>
          <w:rFonts w:asciiTheme="minorHAnsi" w:hAnsiTheme="minorHAnsi" w:cstheme="minorHAnsi"/>
          <w:i w:val="0"/>
          <w:iCs w:val="0"/>
          <w:color w:val="auto"/>
          <w:lang w:val="en-CA"/>
        </w:rPr>
        <w:fldChar w:fldCharType="separate"/>
      </w:r>
      <w:r w:rsidR="00A16ADA" w:rsidRPr="000F056F">
        <w:rPr>
          <w:rFonts w:asciiTheme="minorHAnsi" w:hAnsiTheme="minorHAnsi" w:cstheme="minorHAnsi"/>
          <w:i w:val="0"/>
          <w:iCs w:val="0"/>
          <w:noProof/>
          <w:color w:val="auto"/>
          <w:lang w:val="en-CA"/>
        </w:rPr>
        <w:t>1</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Population by tenure as of March 31, 2020</w:t>
      </w:r>
    </w:p>
    <w:p w14:paraId="4DC579A7" w14:textId="2DE57AED" w:rsidR="009E49A3" w:rsidRPr="000F056F" w:rsidRDefault="009E49A3" w:rsidP="009E49A3">
      <w:pPr>
        <w:pStyle w:val="Caption"/>
        <w:keepNext/>
        <w:spacing w:before="240" w:after="0"/>
        <w:jc w:val="center"/>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Table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Table \* ARABIC </w:instrText>
      </w:r>
      <w:r w:rsidRPr="000F056F">
        <w:rPr>
          <w:rFonts w:asciiTheme="minorHAnsi" w:hAnsiTheme="minorHAnsi" w:cstheme="minorHAnsi"/>
          <w:i w:val="0"/>
          <w:iCs w:val="0"/>
          <w:color w:val="auto"/>
          <w:lang w:val="en-CA"/>
        </w:rPr>
        <w:fldChar w:fldCharType="separate"/>
      </w:r>
      <w:r w:rsidR="00E4530D" w:rsidRPr="000F056F">
        <w:rPr>
          <w:rFonts w:asciiTheme="minorHAnsi" w:hAnsiTheme="minorHAnsi" w:cstheme="minorHAnsi"/>
          <w:i w:val="0"/>
          <w:iCs w:val="0"/>
          <w:noProof/>
          <w:color w:val="auto"/>
          <w:lang w:val="en-CA"/>
        </w:rPr>
        <w:t>3</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w:t>
      </w:r>
      <w:r w:rsidRPr="000F056F">
        <w:rPr>
          <w:rStyle w:val="Emphasis"/>
          <w:rFonts w:asciiTheme="minorHAnsi" w:hAnsiTheme="minorHAnsi" w:cstheme="minorHAnsi"/>
          <w:i/>
          <w:iCs/>
          <w:color w:val="auto"/>
          <w:lang w:val="en-CA"/>
        </w:rPr>
        <w:t>Public Service Employment Act</w:t>
      </w:r>
      <w:r w:rsidRPr="000F056F">
        <w:rPr>
          <w:rFonts w:asciiTheme="minorHAnsi" w:hAnsiTheme="minorHAnsi" w:cstheme="minorHAnsi"/>
          <w:i w:val="0"/>
          <w:iCs w:val="0"/>
          <w:color w:val="auto"/>
          <w:lang w:val="en-CA"/>
        </w:rPr>
        <w:t xml:space="preserve"> population by tenure as of March 31</w:t>
      </w:r>
    </w:p>
    <w:tbl>
      <w:tblPr>
        <w:tblStyle w:val="TableGrid"/>
        <w:tblW w:w="5000" w:type="pct"/>
        <w:jc w:val="center"/>
        <w:tblLook w:val="0020" w:firstRow="1" w:lastRow="0" w:firstColumn="0" w:lastColumn="0" w:noHBand="0" w:noVBand="0"/>
        <w:tblDescription w:val="Population by tenure as of March 31 from 2015 to 2020"/>
      </w:tblPr>
      <w:tblGrid>
        <w:gridCol w:w="2263"/>
        <w:gridCol w:w="2977"/>
        <w:gridCol w:w="2268"/>
        <w:gridCol w:w="2268"/>
        <w:gridCol w:w="2605"/>
        <w:gridCol w:w="2009"/>
      </w:tblGrid>
      <w:tr w:rsidR="00C27A67" w:rsidRPr="000F056F" w14:paraId="5CE698CB" w14:textId="77777777" w:rsidTr="00053B83">
        <w:trPr>
          <w:cantSplit/>
          <w:trHeight w:val="290"/>
          <w:tblHeader/>
          <w:jc w:val="center"/>
        </w:trPr>
        <w:tc>
          <w:tcPr>
            <w:tcW w:w="786" w:type="pct"/>
          </w:tcPr>
          <w:p w14:paraId="10A8ADEE" w14:textId="77777777" w:rsidR="00D76ECD" w:rsidRPr="000F056F" w:rsidRDefault="00D76ECD" w:rsidP="00C27A67">
            <w:pPr>
              <w:pStyle w:val="TableTitle"/>
              <w:rPr>
                <w:rFonts w:cs="Segoe UI Semibold"/>
                <w:color w:val="auto"/>
                <w:szCs w:val="22"/>
                <w:lang w:val="en-CA"/>
              </w:rPr>
            </w:pPr>
            <w:r w:rsidRPr="000F056F">
              <w:rPr>
                <w:rFonts w:cs="Segoe UI Semibold"/>
                <w:color w:val="auto"/>
                <w:szCs w:val="22"/>
                <w:lang w:val="en-CA"/>
              </w:rPr>
              <w:t xml:space="preserve"> Year</w:t>
            </w:r>
          </w:p>
        </w:tc>
        <w:tc>
          <w:tcPr>
            <w:tcW w:w="1034" w:type="pct"/>
          </w:tcPr>
          <w:p w14:paraId="5C656812" w14:textId="53721B4E" w:rsidR="00D76ECD" w:rsidRPr="000F056F" w:rsidRDefault="00D76ECD" w:rsidP="00C27A67">
            <w:pPr>
              <w:pStyle w:val="TableTitle"/>
              <w:rPr>
                <w:rFonts w:cs="Segoe UI Semibold"/>
                <w:color w:val="auto"/>
                <w:szCs w:val="22"/>
                <w:lang w:val="en-CA"/>
              </w:rPr>
            </w:pPr>
            <w:r w:rsidRPr="000F056F">
              <w:rPr>
                <w:rFonts w:cs="Segoe UI Semibold"/>
                <w:color w:val="auto"/>
                <w:szCs w:val="22"/>
                <w:lang w:val="en-CA"/>
              </w:rPr>
              <w:t>Indeterminate</w:t>
            </w:r>
            <w:r w:rsidR="00C27A67" w:rsidRPr="000F056F">
              <w:rPr>
                <w:rFonts w:cs="Segoe UI Semibold"/>
                <w:color w:val="auto"/>
                <w:szCs w:val="22"/>
                <w:lang w:val="en-CA"/>
              </w:rPr>
              <w:t xml:space="preserve"> </w:t>
            </w:r>
            <w:r w:rsidRPr="000F056F">
              <w:rPr>
                <w:rFonts w:cs="Segoe UI Semibold"/>
                <w:color w:val="auto"/>
                <w:szCs w:val="22"/>
                <w:lang w:val="en-CA"/>
              </w:rPr>
              <w:t>population</w:t>
            </w:r>
          </w:p>
        </w:tc>
        <w:tc>
          <w:tcPr>
            <w:tcW w:w="788" w:type="pct"/>
          </w:tcPr>
          <w:p w14:paraId="4155BEC6" w14:textId="7E450D6C" w:rsidR="00D76ECD" w:rsidRPr="000F056F" w:rsidRDefault="00D76ECD" w:rsidP="00C27A67">
            <w:pPr>
              <w:pStyle w:val="TableTitle"/>
              <w:rPr>
                <w:rFonts w:cs="Segoe UI Semibold"/>
                <w:color w:val="auto"/>
                <w:szCs w:val="22"/>
                <w:lang w:val="en-CA"/>
              </w:rPr>
            </w:pPr>
            <w:r w:rsidRPr="000F056F">
              <w:rPr>
                <w:rFonts w:cs="Segoe UI Semibold"/>
                <w:color w:val="auto"/>
                <w:szCs w:val="22"/>
                <w:lang w:val="en-CA"/>
              </w:rPr>
              <w:t>Term</w:t>
            </w:r>
            <w:r w:rsidR="00C27A67" w:rsidRPr="000F056F">
              <w:rPr>
                <w:rFonts w:cs="Segoe UI Semibold"/>
                <w:color w:val="auto"/>
                <w:szCs w:val="22"/>
                <w:lang w:val="en-CA"/>
              </w:rPr>
              <w:t xml:space="preserve"> </w:t>
            </w:r>
            <w:r w:rsidRPr="000F056F">
              <w:rPr>
                <w:rFonts w:cs="Segoe UI Semibold"/>
                <w:color w:val="auto"/>
                <w:szCs w:val="22"/>
                <w:lang w:val="en-CA"/>
              </w:rPr>
              <w:t xml:space="preserve">population </w:t>
            </w:r>
          </w:p>
        </w:tc>
        <w:tc>
          <w:tcPr>
            <w:tcW w:w="788" w:type="pct"/>
          </w:tcPr>
          <w:p w14:paraId="223575CC" w14:textId="1B56C44D" w:rsidR="00D76ECD" w:rsidRPr="000F056F" w:rsidRDefault="00D76ECD" w:rsidP="00C27A67">
            <w:pPr>
              <w:pStyle w:val="TableTitle"/>
              <w:rPr>
                <w:rFonts w:cs="Segoe UI Semibold"/>
                <w:color w:val="auto"/>
                <w:szCs w:val="22"/>
                <w:lang w:val="en-CA"/>
              </w:rPr>
            </w:pPr>
            <w:r w:rsidRPr="000F056F">
              <w:rPr>
                <w:rFonts w:cs="Segoe UI Semibold"/>
                <w:color w:val="auto"/>
                <w:szCs w:val="22"/>
                <w:lang w:val="en-CA"/>
              </w:rPr>
              <w:t>Casual</w:t>
            </w:r>
            <w:r w:rsidR="00C27A67" w:rsidRPr="000F056F">
              <w:rPr>
                <w:rFonts w:cs="Segoe UI Semibold"/>
                <w:color w:val="auto"/>
                <w:szCs w:val="22"/>
                <w:lang w:val="en-CA"/>
              </w:rPr>
              <w:t xml:space="preserve"> </w:t>
            </w:r>
            <w:r w:rsidRPr="000F056F">
              <w:rPr>
                <w:rFonts w:cs="Segoe UI Semibold"/>
                <w:color w:val="auto"/>
                <w:szCs w:val="22"/>
                <w:lang w:val="en-CA"/>
              </w:rPr>
              <w:t>population</w:t>
            </w:r>
          </w:p>
        </w:tc>
        <w:tc>
          <w:tcPr>
            <w:tcW w:w="905" w:type="pct"/>
          </w:tcPr>
          <w:p w14:paraId="05986CFA" w14:textId="3D742F31" w:rsidR="00D76ECD" w:rsidRPr="000F056F" w:rsidRDefault="00D76ECD" w:rsidP="00C27A67">
            <w:pPr>
              <w:pStyle w:val="TableTitle"/>
              <w:rPr>
                <w:rFonts w:cs="Segoe UI Semibold"/>
                <w:color w:val="auto"/>
                <w:szCs w:val="22"/>
                <w:lang w:val="en-CA"/>
              </w:rPr>
            </w:pPr>
            <w:r w:rsidRPr="000F056F">
              <w:rPr>
                <w:rFonts w:cs="Segoe UI Semibold"/>
                <w:color w:val="auto"/>
                <w:szCs w:val="22"/>
                <w:lang w:val="en-CA"/>
              </w:rPr>
              <w:t>Student</w:t>
            </w:r>
            <w:r w:rsidR="00C27A67" w:rsidRPr="000F056F">
              <w:rPr>
                <w:rFonts w:cs="Segoe UI Semibold"/>
                <w:color w:val="auto"/>
                <w:szCs w:val="22"/>
                <w:lang w:val="en-CA"/>
              </w:rPr>
              <w:t xml:space="preserve"> </w:t>
            </w:r>
            <w:r w:rsidRPr="000F056F">
              <w:rPr>
                <w:rFonts w:cs="Segoe UI Semibold"/>
                <w:color w:val="auto"/>
                <w:szCs w:val="22"/>
                <w:lang w:val="en-CA"/>
              </w:rPr>
              <w:t>population</w:t>
            </w:r>
          </w:p>
        </w:tc>
        <w:tc>
          <w:tcPr>
            <w:tcW w:w="698" w:type="pct"/>
          </w:tcPr>
          <w:p w14:paraId="6F244136" w14:textId="0759E884" w:rsidR="00D76ECD" w:rsidRPr="000F056F" w:rsidRDefault="00D76ECD" w:rsidP="00C27A67">
            <w:pPr>
              <w:pStyle w:val="TableTitle"/>
              <w:rPr>
                <w:rFonts w:cs="Segoe UI Semibold"/>
                <w:color w:val="auto"/>
                <w:szCs w:val="22"/>
                <w:lang w:val="en-CA"/>
              </w:rPr>
            </w:pPr>
            <w:r w:rsidRPr="000F056F">
              <w:rPr>
                <w:rFonts w:cs="Segoe UI Semibold"/>
                <w:color w:val="auto"/>
                <w:szCs w:val="22"/>
                <w:lang w:val="en-CA"/>
              </w:rPr>
              <w:t>Total</w:t>
            </w:r>
            <w:r w:rsidR="00C27A67" w:rsidRPr="000F056F">
              <w:rPr>
                <w:rFonts w:cs="Segoe UI Semibold"/>
                <w:color w:val="auto"/>
                <w:szCs w:val="22"/>
                <w:lang w:val="en-CA"/>
              </w:rPr>
              <w:t xml:space="preserve"> </w:t>
            </w:r>
            <w:r w:rsidRPr="000F056F">
              <w:rPr>
                <w:rFonts w:cs="Segoe UI Semibold"/>
                <w:color w:val="auto"/>
                <w:szCs w:val="22"/>
                <w:lang w:val="en-CA"/>
              </w:rPr>
              <w:t>population</w:t>
            </w:r>
          </w:p>
        </w:tc>
      </w:tr>
      <w:tr w:rsidR="00C27A67" w:rsidRPr="000F056F" w14:paraId="4648EBFB" w14:textId="77777777" w:rsidTr="00053B83">
        <w:trPr>
          <w:cantSplit/>
          <w:trHeight w:val="290"/>
          <w:tblHeader/>
          <w:jc w:val="center"/>
        </w:trPr>
        <w:tc>
          <w:tcPr>
            <w:tcW w:w="786" w:type="pct"/>
          </w:tcPr>
          <w:p w14:paraId="15809E68" w14:textId="77777777" w:rsidR="00D76ECD" w:rsidRPr="000F056F" w:rsidRDefault="00D76ECD" w:rsidP="00C27A67">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As of March 31, 2015</w:t>
            </w:r>
          </w:p>
        </w:tc>
        <w:tc>
          <w:tcPr>
            <w:tcW w:w="1034" w:type="pct"/>
          </w:tcPr>
          <w:p w14:paraId="0249BC86"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379</w:t>
            </w:r>
          </w:p>
        </w:tc>
        <w:tc>
          <w:tcPr>
            <w:tcW w:w="788" w:type="pct"/>
          </w:tcPr>
          <w:p w14:paraId="61D211C2"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5</w:t>
            </w:r>
          </w:p>
        </w:tc>
        <w:tc>
          <w:tcPr>
            <w:tcW w:w="788" w:type="pct"/>
          </w:tcPr>
          <w:p w14:paraId="53001858"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12</w:t>
            </w:r>
          </w:p>
        </w:tc>
        <w:tc>
          <w:tcPr>
            <w:tcW w:w="905" w:type="pct"/>
          </w:tcPr>
          <w:p w14:paraId="45B2C2C8"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9</w:t>
            </w:r>
          </w:p>
        </w:tc>
        <w:tc>
          <w:tcPr>
            <w:tcW w:w="698" w:type="pct"/>
          </w:tcPr>
          <w:p w14:paraId="75E75230"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405</w:t>
            </w:r>
          </w:p>
        </w:tc>
      </w:tr>
      <w:tr w:rsidR="00C27A67" w:rsidRPr="000F056F" w14:paraId="51C043C2" w14:textId="77777777" w:rsidTr="00053B83">
        <w:trPr>
          <w:cantSplit/>
          <w:trHeight w:val="290"/>
          <w:tblHeader/>
          <w:jc w:val="center"/>
        </w:trPr>
        <w:tc>
          <w:tcPr>
            <w:tcW w:w="786" w:type="pct"/>
          </w:tcPr>
          <w:p w14:paraId="7691CF6D" w14:textId="77777777" w:rsidR="00D76ECD" w:rsidRPr="000F056F" w:rsidRDefault="00D76ECD" w:rsidP="00C27A67">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As of March 31, 2016</w:t>
            </w:r>
          </w:p>
        </w:tc>
        <w:tc>
          <w:tcPr>
            <w:tcW w:w="1034" w:type="pct"/>
          </w:tcPr>
          <w:p w14:paraId="52CF813B"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378</w:t>
            </w:r>
          </w:p>
        </w:tc>
        <w:tc>
          <w:tcPr>
            <w:tcW w:w="788" w:type="pct"/>
          </w:tcPr>
          <w:p w14:paraId="7D9D9F5A"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12</w:t>
            </w:r>
          </w:p>
        </w:tc>
        <w:tc>
          <w:tcPr>
            <w:tcW w:w="788" w:type="pct"/>
          </w:tcPr>
          <w:p w14:paraId="22F7479E"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w:t>
            </w:r>
          </w:p>
        </w:tc>
        <w:tc>
          <w:tcPr>
            <w:tcW w:w="905" w:type="pct"/>
          </w:tcPr>
          <w:p w14:paraId="03833F0F"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6</w:t>
            </w:r>
          </w:p>
        </w:tc>
        <w:tc>
          <w:tcPr>
            <w:tcW w:w="698" w:type="pct"/>
          </w:tcPr>
          <w:p w14:paraId="5D16E0F0"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400</w:t>
            </w:r>
          </w:p>
        </w:tc>
      </w:tr>
      <w:tr w:rsidR="00C27A67" w:rsidRPr="000F056F" w14:paraId="4DA43AD5" w14:textId="77777777" w:rsidTr="00053B83">
        <w:trPr>
          <w:cantSplit/>
          <w:trHeight w:val="290"/>
          <w:tblHeader/>
          <w:jc w:val="center"/>
        </w:trPr>
        <w:tc>
          <w:tcPr>
            <w:tcW w:w="786" w:type="pct"/>
          </w:tcPr>
          <w:p w14:paraId="57F44AE2" w14:textId="77777777" w:rsidR="00D76ECD" w:rsidRPr="000F056F" w:rsidRDefault="00D76ECD" w:rsidP="00C27A67">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As of March 31, 2017</w:t>
            </w:r>
          </w:p>
        </w:tc>
        <w:tc>
          <w:tcPr>
            <w:tcW w:w="1034" w:type="pct"/>
          </w:tcPr>
          <w:p w14:paraId="51E99F09"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397</w:t>
            </w:r>
          </w:p>
        </w:tc>
        <w:tc>
          <w:tcPr>
            <w:tcW w:w="788" w:type="pct"/>
          </w:tcPr>
          <w:p w14:paraId="0A86FB6F"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27</w:t>
            </w:r>
          </w:p>
        </w:tc>
        <w:tc>
          <w:tcPr>
            <w:tcW w:w="788" w:type="pct"/>
          </w:tcPr>
          <w:p w14:paraId="776878A9"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8</w:t>
            </w:r>
          </w:p>
        </w:tc>
        <w:tc>
          <w:tcPr>
            <w:tcW w:w="905" w:type="pct"/>
          </w:tcPr>
          <w:p w14:paraId="7DE9D318"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w:t>
            </w:r>
          </w:p>
        </w:tc>
        <w:tc>
          <w:tcPr>
            <w:tcW w:w="698" w:type="pct"/>
          </w:tcPr>
          <w:p w14:paraId="0E54288C"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436</w:t>
            </w:r>
          </w:p>
        </w:tc>
      </w:tr>
      <w:tr w:rsidR="00C27A67" w:rsidRPr="000F056F" w14:paraId="6DD9B3D8" w14:textId="77777777" w:rsidTr="00053B83">
        <w:trPr>
          <w:cantSplit/>
          <w:trHeight w:val="290"/>
          <w:tblHeader/>
          <w:jc w:val="center"/>
        </w:trPr>
        <w:tc>
          <w:tcPr>
            <w:tcW w:w="786" w:type="pct"/>
          </w:tcPr>
          <w:p w14:paraId="3071CB28" w14:textId="77777777" w:rsidR="00D76ECD" w:rsidRPr="000F056F" w:rsidRDefault="00D76ECD" w:rsidP="00C27A67">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As of March 31, 2018</w:t>
            </w:r>
          </w:p>
        </w:tc>
        <w:tc>
          <w:tcPr>
            <w:tcW w:w="1034" w:type="pct"/>
          </w:tcPr>
          <w:p w14:paraId="188B85D7"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389</w:t>
            </w:r>
          </w:p>
        </w:tc>
        <w:tc>
          <w:tcPr>
            <w:tcW w:w="788" w:type="pct"/>
          </w:tcPr>
          <w:p w14:paraId="3B9A4772"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28</w:t>
            </w:r>
          </w:p>
        </w:tc>
        <w:tc>
          <w:tcPr>
            <w:tcW w:w="788" w:type="pct"/>
          </w:tcPr>
          <w:p w14:paraId="28B3BF0D"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7</w:t>
            </w:r>
          </w:p>
        </w:tc>
        <w:tc>
          <w:tcPr>
            <w:tcW w:w="905" w:type="pct"/>
          </w:tcPr>
          <w:p w14:paraId="12B51903"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w:t>
            </w:r>
          </w:p>
        </w:tc>
        <w:tc>
          <w:tcPr>
            <w:tcW w:w="698" w:type="pct"/>
          </w:tcPr>
          <w:p w14:paraId="488D3FE9"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428</w:t>
            </w:r>
          </w:p>
        </w:tc>
      </w:tr>
      <w:tr w:rsidR="00C27A67" w:rsidRPr="000F056F" w14:paraId="4E6D5E18" w14:textId="77777777" w:rsidTr="00053B83">
        <w:trPr>
          <w:cantSplit/>
          <w:trHeight w:val="290"/>
          <w:tblHeader/>
          <w:jc w:val="center"/>
        </w:trPr>
        <w:tc>
          <w:tcPr>
            <w:tcW w:w="786" w:type="pct"/>
          </w:tcPr>
          <w:p w14:paraId="53D55C61" w14:textId="77777777" w:rsidR="00D76ECD" w:rsidRPr="000F056F" w:rsidRDefault="00D76ECD" w:rsidP="00C27A67">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As of March 31, 2019</w:t>
            </w:r>
          </w:p>
        </w:tc>
        <w:tc>
          <w:tcPr>
            <w:tcW w:w="1034" w:type="pct"/>
          </w:tcPr>
          <w:p w14:paraId="3B45D945"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400</w:t>
            </w:r>
          </w:p>
        </w:tc>
        <w:tc>
          <w:tcPr>
            <w:tcW w:w="788" w:type="pct"/>
          </w:tcPr>
          <w:p w14:paraId="01ACF25A"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21</w:t>
            </w:r>
          </w:p>
        </w:tc>
        <w:tc>
          <w:tcPr>
            <w:tcW w:w="788" w:type="pct"/>
          </w:tcPr>
          <w:p w14:paraId="62DA28B5"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w:t>
            </w:r>
          </w:p>
        </w:tc>
        <w:tc>
          <w:tcPr>
            <w:tcW w:w="905" w:type="pct"/>
          </w:tcPr>
          <w:p w14:paraId="66588291"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w:t>
            </w:r>
          </w:p>
        </w:tc>
        <w:tc>
          <w:tcPr>
            <w:tcW w:w="698" w:type="pct"/>
          </w:tcPr>
          <w:p w14:paraId="6C95EB36"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428</w:t>
            </w:r>
          </w:p>
        </w:tc>
      </w:tr>
      <w:tr w:rsidR="00C27A67" w:rsidRPr="000F056F" w14:paraId="54759229" w14:textId="77777777" w:rsidTr="00053B83">
        <w:trPr>
          <w:cantSplit/>
          <w:trHeight w:val="290"/>
          <w:tblHeader/>
          <w:jc w:val="center"/>
        </w:trPr>
        <w:tc>
          <w:tcPr>
            <w:tcW w:w="786" w:type="pct"/>
          </w:tcPr>
          <w:p w14:paraId="54BF92B6" w14:textId="77777777" w:rsidR="00D76ECD" w:rsidRPr="000F056F" w:rsidRDefault="00D76ECD" w:rsidP="00C27A67">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As of March 31, 2020</w:t>
            </w:r>
          </w:p>
        </w:tc>
        <w:tc>
          <w:tcPr>
            <w:tcW w:w="1034" w:type="pct"/>
          </w:tcPr>
          <w:p w14:paraId="546C41B5"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403</w:t>
            </w:r>
          </w:p>
        </w:tc>
        <w:tc>
          <w:tcPr>
            <w:tcW w:w="788" w:type="pct"/>
          </w:tcPr>
          <w:p w14:paraId="5821A4AE"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16</w:t>
            </w:r>
          </w:p>
        </w:tc>
        <w:tc>
          <w:tcPr>
            <w:tcW w:w="788" w:type="pct"/>
          </w:tcPr>
          <w:p w14:paraId="1DB77E94"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w:t>
            </w:r>
          </w:p>
        </w:tc>
        <w:tc>
          <w:tcPr>
            <w:tcW w:w="905" w:type="pct"/>
          </w:tcPr>
          <w:p w14:paraId="237FC5AA"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9</w:t>
            </w:r>
          </w:p>
        </w:tc>
        <w:tc>
          <w:tcPr>
            <w:tcW w:w="698" w:type="pct"/>
          </w:tcPr>
          <w:p w14:paraId="77CED2B0" w14:textId="77777777" w:rsidR="00D76ECD" w:rsidRPr="000F056F" w:rsidRDefault="00D76ECD"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429</w:t>
            </w:r>
          </w:p>
        </w:tc>
      </w:tr>
    </w:tbl>
    <w:p w14:paraId="62A59A41" w14:textId="061B96CB" w:rsidR="00D76ECD" w:rsidRPr="000F056F" w:rsidRDefault="00D76ECD" w:rsidP="002944FE">
      <w:pPr>
        <w:tabs>
          <w:tab w:val="left" w:pos="7839"/>
        </w:tabs>
        <w:rPr>
          <w:rFonts w:ascii="Arial" w:eastAsia="Calibri" w:hAnsi="Arial"/>
          <w:noProof/>
          <w:sz w:val="22"/>
          <w:szCs w:val="22"/>
          <w:lang w:val="en-CA" w:eastAsia="en-CA"/>
        </w:rPr>
      </w:pPr>
    </w:p>
    <w:p w14:paraId="64073493" w14:textId="77777777" w:rsidR="00D76ECD" w:rsidRPr="000F056F" w:rsidRDefault="00D76ECD" w:rsidP="002944FE">
      <w:pPr>
        <w:tabs>
          <w:tab w:val="left" w:pos="7839"/>
        </w:tabs>
        <w:rPr>
          <w:rFonts w:ascii="Arial" w:eastAsia="Calibri" w:hAnsi="Arial"/>
          <w:noProof/>
          <w:sz w:val="22"/>
          <w:szCs w:val="22"/>
          <w:lang w:val="en-CA" w:eastAsia="en-CA"/>
        </w:rPr>
        <w:sectPr w:rsidR="00D76ECD" w:rsidRPr="000F056F" w:rsidSect="00C27A67">
          <w:headerReference w:type="default" r:id="rId15"/>
          <w:footerReference w:type="even" r:id="rId16"/>
          <w:headerReference w:type="first" r:id="rId17"/>
          <w:footerReference w:type="first" r:id="rId18"/>
          <w:pgSz w:w="15840" w:h="12240" w:orient="landscape"/>
          <w:pgMar w:top="720" w:right="720" w:bottom="720" w:left="720" w:header="708" w:footer="708" w:gutter="0"/>
          <w:cols w:space="708"/>
          <w:titlePg/>
          <w:docGrid w:linePitch="360"/>
        </w:sectPr>
      </w:pPr>
    </w:p>
    <w:p w14:paraId="6B74A1CA" w14:textId="2AAC1EAF" w:rsidR="00D76ECD" w:rsidRPr="000F056F" w:rsidRDefault="00C27A67" w:rsidP="00C27A67">
      <w:pPr>
        <w:pStyle w:val="Heading1"/>
        <w:spacing w:before="120" w:after="120"/>
        <w:rPr>
          <w:rFonts w:eastAsia="Calibri"/>
          <w:noProof/>
          <w:sz w:val="40"/>
          <w:szCs w:val="40"/>
          <w:lang w:val="en-CA" w:eastAsia="en-CA"/>
        </w:rPr>
      </w:pPr>
      <w:r w:rsidRPr="000F056F">
        <w:rPr>
          <w:rFonts w:eastAsia="Calibri"/>
          <w:noProof/>
          <w:sz w:val="40"/>
          <w:szCs w:val="40"/>
          <w:lang w:val="en-CA" w:eastAsia="en-CA"/>
        </w:rPr>
        <w:lastRenderedPageBreak/>
        <w:t>Population by language requirements as of March 31, 2020</w:t>
      </w:r>
    </w:p>
    <w:p w14:paraId="54FBE0BC" w14:textId="77777777" w:rsidR="009E49A3" w:rsidRPr="000F056F" w:rsidRDefault="00D76ECD" w:rsidP="009E49A3">
      <w:pPr>
        <w:keepNext/>
        <w:tabs>
          <w:tab w:val="left" w:pos="7839"/>
        </w:tabs>
        <w:jc w:val="center"/>
        <w:rPr>
          <w:lang w:val="en-CA"/>
        </w:rPr>
      </w:pPr>
      <w:r w:rsidRPr="000F056F">
        <w:rPr>
          <w:rFonts w:ascii="Arial" w:eastAsia="Calibri" w:hAnsi="Arial"/>
          <w:noProof/>
          <w:sz w:val="22"/>
          <w:szCs w:val="22"/>
          <w:lang w:val="en-CA" w:eastAsia="en-CA"/>
        </w:rPr>
        <w:drawing>
          <wp:inline distT="0" distB="0" distL="0" distR="0" wp14:anchorId="6E273C8C" wp14:editId="1A042E17">
            <wp:extent cx="1980000" cy="3020400"/>
            <wp:effectExtent l="0" t="0" r="1270" b="8890"/>
            <wp:docPr id="8" name="Chart 8" descr="Population by language requirements as of March 31,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FED1421" w14:textId="49E1D997" w:rsidR="00D76ECD" w:rsidRPr="000F056F" w:rsidRDefault="009E49A3" w:rsidP="009E49A3">
      <w:pPr>
        <w:pStyle w:val="Caption"/>
        <w:spacing w:after="0"/>
        <w:jc w:val="center"/>
        <w:rPr>
          <w:rFonts w:asciiTheme="minorHAnsi" w:eastAsia="Calibri" w:hAnsiTheme="minorHAnsi" w:cstheme="minorHAnsi"/>
          <w:i w:val="0"/>
          <w:iCs w:val="0"/>
          <w:noProof/>
          <w:color w:val="auto"/>
          <w:sz w:val="22"/>
          <w:szCs w:val="22"/>
          <w:lang w:val="en-CA" w:eastAsia="en-CA"/>
        </w:rPr>
      </w:pPr>
      <w:r w:rsidRPr="000F056F">
        <w:rPr>
          <w:rFonts w:asciiTheme="minorHAnsi" w:hAnsiTheme="minorHAnsi" w:cstheme="minorHAnsi"/>
          <w:i w:val="0"/>
          <w:iCs w:val="0"/>
          <w:color w:val="auto"/>
          <w:lang w:val="en-CA"/>
        </w:rPr>
        <w:t xml:space="preserve">Figure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Figure \* ARABIC </w:instrText>
      </w:r>
      <w:r w:rsidRPr="000F056F">
        <w:rPr>
          <w:rFonts w:asciiTheme="minorHAnsi" w:hAnsiTheme="minorHAnsi" w:cstheme="minorHAnsi"/>
          <w:i w:val="0"/>
          <w:iCs w:val="0"/>
          <w:color w:val="auto"/>
          <w:lang w:val="en-CA"/>
        </w:rPr>
        <w:fldChar w:fldCharType="separate"/>
      </w:r>
      <w:r w:rsidR="00A16ADA" w:rsidRPr="000F056F">
        <w:rPr>
          <w:rFonts w:asciiTheme="minorHAnsi" w:hAnsiTheme="minorHAnsi" w:cstheme="minorHAnsi"/>
          <w:i w:val="0"/>
          <w:iCs w:val="0"/>
          <w:noProof/>
          <w:color w:val="auto"/>
          <w:lang w:val="en-CA"/>
        </w:rPr>
        <w:t>2</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Population by language requirements as of March 31, 2020</w:t>
      </w:r>
    </w:p>
    <w:p w14:paraId="08918C0F" w14:textId="1470F762" w:rsidR="009E49A3" w:rsidRPr="000F056F" w:rsidRDefault="009E49A3" w:rsidP="009E49A3">
      <w:pPr>
        <w:pStyle w:val="Caption"/>
        <w:keepNext/>
        <w:spacing w:before="240" w:after="0"/>
        <w:jc w:val="center"/>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Table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Table \* ARABIC </w:instrText>
      </w:r>
      <w:r w:rsidRPr="000F056F">
        <w:rPr>
          <w:rFonts w:asciiTheme="minorHAnsi" w:hAnsiTheme="minorHAnsi" w:cstheme="minorHAnsi"/>
          <w:i w:val="0"/>
          <w:iCs w:val="0"/>
          <w:color w:val="auto"/>
          <w:lang w:val="en-CA"/>
        </w:rPr>
        <w:fldChar w:fldCharType="separate"/>
      </w:r>
      <w:r w:rsidR="00E4530D" w:rsidRPr="000F056F">
        <w:rPr>
          <w:rFonts w:asciiTheme="minorHAnsi" w:hAnsiTheme="minorHAnsi" w:cstheme="minorHAnsi"/>
          <w:i w:val="0"/>
          <w:iCs w:val="0"/>
          <w:noProof/>
          <w:color w:val="auto"/>
          <w:lang w:val="en-CA"/>
        </w:rPr>
        <w:t>4</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w:t>
      </w:r>
      <w:r w:rsidRPr="000F056F">
        <w:rPr>
          <w:rStyle w:val="Emphasis"/>
          <w:rFonts w:asciiTheme="minorHAnsi" w:hAnsiTheme="minorHAnsi" w:cstheme="minorHAnsi"/>
          <w:i/>
          <w:iCs/>
          <w:color w:val="auto"/>
          <w:lang w:val="en-CA"/>
        </w:rPr>
        <w:t>Public Service Employment Act</w:t>
      </w:r>
      <w:r w:rsidRPr="000F056F">
        <w:rPr>
          <w:rFonts w:asciiTheme="minorHAnsi" w:hAnsiTheme="minorHAnsi" w:cstheme="minorHAnsi"/>
          <w:i w:val="0"/>
          <w:iCs w:val="0"/>
          <w:color w:val="auto"/>
          <w:lang w:val="en-CA"/>
        </w:rPr>
        <w:t xml:space="preserve"> population by language requirements of the position for fiscal year 2019 to 2020</w:t>
      </w:r>
    </w:p>
    <w:tbl>
      <w:tblPr>
        <w:tblStyle w:val="TableGrid"/>
        <w:tblW w:w="5000" w:type="pct"/>
        <w:jc w:val="center"/>
        <w:tblLook w:val="0020" w:firstRow="1" w:lastRow="0" w:firstColumn="0" w:lastColumn="0" w:noHBand="0" w:noVBand="0"/>
        <w:tblDescription w:val="Population by language requirements as of March 31, 2020"/>
      </w:tblPr>
      <w:tblGrid>
        <w:gridCol w:w="4755"/>
        <w:gridCol w:w="4596"/>
        <w:gridCol w:w="5039"/>
      </w:tblGrid>
      <w:tr w:rsidR="009E49A3" w:rsidRPr="000F056F" w14:paraId="1206AB44" w14:textId="77777777" w:rsidTr="00053B83">
        <w:trPr>
          <w:cantSplit/>
          <w:trHeight w:val="290"/>
          <w:tblHeader/>
          <w:jc w:val="center"/>
        </w:trPr>
        <w:tc>
          <w:tcPr>
            <w:tcW w:w="1652" w:type="pct"/>
          </w:tcPr>
          <w:p w14:paraId="1574EBD3" w14:textId="77777777" w:rsidR="00D007DC" w:rsidRPr="000F056F" w:rsidRDefault="00D007DC" w:rsidP="009E49A3">
            <w:pPr>
              <w:pStyle w:val="TableTitle"/>
              <w:rPr>
                <w:color w:val="auto"/>
                <w:szCs w:val="22"/>
                <w:lang w:val="en-CA"/>
              </w:rPr>
            </w:pPr>
            <w:r w:rsidRPr="000F056F">
              <w:rPr>
                <w:color w:val="auto"/>
                <w:szCs w:val="22"/>
                <w:lang w:val="en-CA"/>
              </w:rPr>
              <w:t>Linguistic requirements of the position</w:t>
            </w:r>
          </w:p>
        </w:tc>
        <w:tc>
          <w:tcPr>
            <w:tcW w:w="1597" w:type="pct"/>
          </w:tcPr>
          <w:p w14:paraId="4187C55C" w14:textId="77777777" w:rsidR="00D007DC" w:rsidRPr="000F056F" w:rsidRDefault="00D007DC" w:rsidP="009E49A3">
            <w:pPr>
              <w:pStyle w:val="TableTitle"/>
              <w:rPr>
                <w:color w:val="auto"/>
                <w:szCs w:val="22"/>
                <w:lang w:val="en-CA"/>
              </w:rPr>
            </w:pPr>
            <w:r w:rsidRPr="000F056F">
              <w:rPr>
                <w:color w:val="auto"/>
                <w:szCs w:val="22"/>
                <w:lang w:val="en-CA"/>
              </w:rPr>
              <w:t>Population as of March 31, 2020</w:t>
            </w:r>
          </w:p>
        </w:tc>
        <w:tc>
          <w:tcPr>
            <w:tcW w:w="1751" w:type="pct"/>
          </w:tcPr>
          <w:p w14:paraId="10AB2DBF" w14:textId="77777777" w:rsidR="00D007DC" w:rsidRPr="000F056F" w:rsidRDefault="00D007DC" w:rsidP="009E49A3">
            <w:pPr>
              <w:pStyle w:val="TableTitle"/>
              <w:rPr>
                <w:color w:val="auto"/>
                <w:szCs w:val="22"/>
                <w:lang w:val="en-CA"/>
              </w:rPr>
            </w:pPr>
            <w:r w:rsidRPr="000F056F">
              <w:rPr>
                <w:color w:val="auto"/>
                <w:szCs w:val="22"/>
                <w:lang w:val="en-CA"/>
              </w:rPr>
              <w:t>Percentage of population as of March 31, 2020</w:t>
            </w:r>
          </w:p>
        </w:tc>
      </w:tr>
      <w:tr w:rsidR="009E49A3" w:rsidRPr="000F056F" w14:paraId="7405CE2C" w14:textId="77777777" w:rsidTr="00053B83">
        <w:trPr>
          <w:cantSplit/>
          <w:trHeight w:val="290"/>
          <w:tblHeader/>
          <w:jc w:val="center"/>
        </w:trPr>
        <w:tc>
          <w:tcPr>
            <w:tcW w:w="1652" w:type="pct"/>
          </w:tcPr>
          <w:p w14:paraId="24E50FFE"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Bilingual </w:t>
            </w:r>
          </w:p>
        </w:tc>
        <w:tc>
          <w:tcPr>
            <w:tcW w:w="1597" w:type="pct"/>
          </w:tcPr>
          <w:p w14:paraId="02A35746"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63</w:t>
            </w:r>
          </w:p>
        </w:tc>
        <w:tc>
          <w:tcPr>
            <w:tcW w:w="1751" w:type="pct"/>
            <w:shd w:val="clear" w:color="auto" w:fill="auto"/>
          </w:tcPr>
          <w:p w14:paraId="4F57BD4B"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15%</w:t>
            </w:r>
          </w:p>
        </w:tc>
      </w:tr>
      <w:tr w:rsidR="009E49A3" w:rsidRPr="000F056F" w14:paraId="07F7BC2C" w14:textId="77777777" w:rsidTr="00053B83">
        <w:trPr>
          <w:cantSplit/>
          <w:trHeight w:val="290"/>
          <w:tblHeader/>
          <w:jc w:val="center"/>
        </w:trPr>
        <w:tc>
          <w:tcPr>
            <w:tcW w:w="1652" w:type="pct"/>
          </w:tcPr>
          <w:p w14:paraId="1DC35C5B"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Unilingual</w:t>
            </w:r>
          </w:p>
        </w:tc>
        <w:tc>
          <w:tcPr>
            <w:tcW w:w="1597" w:type="pct"/>
          </w:tcPr>
          <w:p w14:paraId="6ABAD7F6"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352</w:t>
            </w:r>
          </w:p>
        </w:tc>
        <w:tc>
          <w:tcPr>
            <w:tcW w:w="1751" w:type="pct"/>
            <w:shd w:val="clear" w:color="auto" w:fill="auto"/>
          </w:tcPr>
          <w:p w14:paraId="1CFBEE75"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85%</w:t>
            </w:r>
          </w:p>
        </w:tc>
      </w:tr>
      <w:tr w:rsidR="009E49A3" w:rsidRPr="000F056F" w14:paraId="147B03CD" w14:textId="77777777" w:rsidTr="00053B83">
        <w:trPr>
          <w:cantSplit/>
          <w:trHeight w:val="290"/>
          <w:tblHeader/>
          <w:jc w:val="center"/>
        </w:trPr>
        <w:tc>
          <w:tcPr>
            <w:tcW w:w="1652" w:type="pct"/>
          </w:tcPr>
          <w:p w14:paraId="45FAAA44"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Unknowns</w:t>
            </w:r>
          </w:p>
        </w:tc>
        <w:tc>
          <w:tcPr>
            <w:tcW w:w="1597" w:type="pct"/>
          </w:tcPr>
          <w:p w14:paraId="3C62DB14"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14</w:t>
            </w:r>
          </w:p>
        </w:tc>
        <w:tc>
          <w:tcPr>
            <w:tcW w:w="1751" w:type="pct"/>
            <w:shd w:val="clear" w:color="auto" w:fill="auto"/>
          </w:tcPr>
          <w:p w14:paraId="377B6914" w14:textId="2EB73EA9" w:rsidR="00D007DC" w:rsidRPr="000F056F" w:rsidRDefault="009E49A3"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r>
    </w:tbl>
    <w:p w14:paraId="5A7947EF" w14:textId="79C989D1" w:rsidR="00D76ECD" w:rsidRPr="000F056F" w:rsidRDefault="00D76ECD" w:rsidP="002944FE">
      <w:pPr>
        <w:tabs>
          <w:tab w:val="left" w:pos="7839"/>
        </w:tabs>
        <w:rPr>
          <w:rFonts w:ascii="Arial" w:eastAsia="Calibri" w:hAnsi="Arial"/>
          <w:noProof/>
          <w:sz w:val="22"/>
          <w:szCs w:val="22"/>
          <w:lang w:val="en-CA" w:eastAsia="en-CA"/>
        </w:rPr>
      </w:pPr>
    </w:p>
    <w:p w14:paraId="055A7E57" w14:textId="77777777" w:rsidR="00D76ECD" w:rsidRPr="000F056F" w:rsidRDefault="00D76ECD" w:rsidP="002944FE">
      <w:pPr>
        <w:tabs>
          <w:tab w:val="left" w:pos="7839"/>
        </w:tabs>
        <w:rPr>
          <w:rFonts w:ascii="Arial" w:eastAsia="Calibri" w:hAnsi="Arial"/>
          <w:noProof/>
          <w:sz w:val="22"/>
          <w:szCs w:val="22"/>
          <w:lang w:val="en-CA" w:eastAsia="en-CA"/>
        </w:rPr>
        <w:sectPr w:rsidR="00D76ECD" w:rsidRPr="000F056F" w:rsidSect="008D03AB">
          <w:pgSz w:w="15840" w:h="12240" w:orient="landscape"/>
          <w:pgMar w:top="1025" w:right="720" w:bottom="720" w:left="720" w:header="708" w:footer="708" w:gutter="0"/>
          <w:cols w:space="708"/>
          <w:titlePg/>
          <w:docGrid w:linePitch="360"/>
        </w:sectPr>
      </w:pPr>
    </w:p>
    <w:p w14:paraId="43B909A4" w14:textId="7D70FD55" w:rsidR="00D76ECD" w:rsidRPr="000F056F" w:rsidRDefault="009E49A3" w:rsidP="009E49A3">
      <w:pPr>
        <w:pStyle w:val="Heading1"/>
        <w:spacing w:before="120" w:after="120"/>
        <w:rPr>
          <w:rFonts w:eastAsia="Calibri"/>
          <w:noProof/>
          <w:sz w:val="40"/>
          <w:szCs w:val="40"/>
          <w:lang w:val="en-CA" w:eastAsia="en-CA"/>
        </w:rPr>
      </w:pPr>
      <w:r w:rsidRPr="000F056F">
        <w:rPr>
          <w:rFonts w:eastAsia="Calibri"/>
          <w:noProof/>
          <w:sz w:val="40"/>
          <w:szCs w:val="40"/>
          <w:lang w:val="en-CA" w:eastAsia="en-CA"/>
        </w:rPr>
        <w:lastRenderedPageBreak/>
        <w:t>Population by occupational group as of March 31, 2020</w:t>
      </w:r>
    </w:p>
    <w:p w14:paraId="4EE8814A" w14:textId="77777777" w:rsidR="009E49A3" w:rsidRPr="000F056F" w:rsidRDefault="00D76ECD" w:rsidP="009E49A3">
      <w:pPr>
        <w:keepNext/>
        <w:tabs>
          <w:tab w:val="left" w:pos="7839"/>
        </w:tabs>
        <w:jc w:val="center"/>
        <w:rPr>
          <w:lang w:val="en-CA"/>
        </w:rPr>
      </w:pPr>
      <w:r w:rsidRPr="000F056F">
        <w:rPr>
          <w:rFonts w:ascii="Arial" w:eastAsia="Calibri" w:hAnsi="Arial"/>
          <w:noProof/>
          <w:sz w:val="22"/>
          <w:szCs w:val="22"/>
          <w:lang w:val="en-CA" w:eastAsia="en-CA"/>
        </w:rPr>
        <w:drawing>
          <wp:inline distT="0" distB="0" distL="0" distR="0" wp14:anchorId="68A7B63C" wp14:editId="4220FA7C">
            <wp:extent cx="1980000" cy="3020400"/>
            <wp:effectExtent l="0" t="0" r="1270" b="8890"/>
            <wp:docPr id="5" name="Chart 5" descr="Population by occupational group as of March 31,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3E2DC0D" w14:textId="0F713454" w:rsidR="00D76ECD" w:rsidRPr="000F056F" w:rsidRDefault="009E49A3" w:rsidP="00D64EB0">
      <w:pPr>
        <w:pStyle w:val="Caption"/>
        <w:spacing w:after="0"/>
        <w:jc w:val="center"/>
        <w:rPr>
          <w:rFonts w:asciiTheme="minorHAnsi" w:eastAsia="Calibri" w:hAnsiTheme="minorHAnsi" w:cstheme="minorHAnsi"/>
          <w:i w:val="0"/>
          <w:iCs w:val="0"/>
          <w:noProof/>
          <w:color w:val="auto"/>
          <w:sz w:val="22"/>
          <w:szCs w:val="22"/>
          <w:lang w:val="en-CA" w:eastAsia="en-CA"/>
        </w:rPr>
      </w:pPr>
      <w:r w:rsidRPr="000F056F">
        <w:rPr>
          <w:rFonts w:asciiTheme="minorHAnsi" w:hAnsiTheme="minorHAnsi" w:cstheme="minorHAnsi"/>
          <w:i w:val="0"/>
          <w:iCs w:val="0"/>
          <w:color w:val="auto"/>
          <w:lang w:val="en-CA"/>
        </w:rPr>
        <w:t xml:space="preserve">Figure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Figure \* ARABIC </w:instrText>
      </w:r>
      <w:r w:rsidRPr="000F056F">
        <w:rPr>
          <w:rFonts w:asciiTheme="minorHAnsi" w:hAnsiTheme="minorHAnsi" w:cstheme="minorHAnsi"/>
          <w:i w:val="0"/>
          <w:iCs w:val="0"/>
          <w:color w:val="auto"/>
          <w:lang w:val="en-CA"/>
        </w:rPr>
        <w:fldChar w:fldCharType="separate"/>
      </w:r>
      <w:r w:rsidR="00A16ADA" w:rsidRPr="000F056F">
        <w:rPr>
          <w:rFonts w:asciiTheme="minorHAnsi" w:hAnsiTheme="minorHAnsi" w:cstheme="minorHAnsi"/>
          <w:i w:val="0"/>
          <w:iCs w:val="0"/>
          <w:noProof/>
          <w:color w:val="auto"/>
          <w:lang w:val="en-CA"/>
        </w:rPr>
        <w:t>3</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Population by occupational group as of March 31, 2020</w:t>
      </w:r>
    </w:p>
    <w:p w14:paraId="20703BE1" w14:textId="4079BFC7" w:rsidR="00D64EB0" w:rsidRPr="000F056F" w:rsidRDefault="00D64EB0" w:rsidP="00D64EB0">
      <w:pPr>
        <w:pStyle w:val="Caption"/>
        <w:keepNext/>
        <w:spacing w:before="240" w:after="0"/>
        <w:jc w:val="center"/>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Table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Table \* ARABIC </w:instrText>
      </w:r>
      <w:r w:rsidRPr="000F056F">
        <w:rPr>
          <w:rFonts w:asciiTheme="minorHAnsi" w:hAnsiTheme="minorHAnsi" w:cstheme="minorHAnsi"/>
          <w:i w:val="0"/>
          <w:iCs w:val="0"/>
          <w:color w:val="auto"/>
          <w:lang w:val="en-CA"/>
        </w:rPr>
        <w:fldChar w:fldCharType="separate"/>
      </w:r>
      <w:r w:rsidR="00E4530D" w:rsidRPr="000F056F">
        <w:rPr>
          <w:rFonts w:asciiTheme="minorHAnsi" w:hAnsiTheme="minorHAnsi" w:cstheme="minorHAnsi"/>
          <w:i w:val="0"/>
          <w:iCs w:val="0"/>
          <w:noProof/>
          <w:color w:val="auto"/>
          <w:lang w:val="en-CA"/>
        </w:rPr>
        <w:t>5</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Top occupational groups, as a percentage of the </w:t>
      </w:r>
      <w:r w:rsidRPr="000F056F">
        <w:rPr>
          <w:rStyle w:val="Emphasis"/>
          <w:rFonts w:asciiTheme="minorHAnsi" w:hAnsiTheme="minorHAnsi" w:cstheme="minorHAnsi"/>
          <w:i/>
          <w:iCs/>
          <w:color w:val="auto"/>
          <w:lang w:val="en-CA"/>
        </w:rPr>
        <w:t>Public Service Employment Act</w:t>
      </w:r>
      <w:r w:rsidRPr="000F056F">
        <w:rPr>
          <w:rFonts w:asciiTheme="minorHAnsi" w:hAnsiTheme="minorHAnsi" w:cstheme="minorHAnsi"/>
          <w:i w:val="0"/>
          <w:iCs w:val="0"/>
          <w:color w:val="auto"/>
          <w:lang w:val="en-CA"/>
        </w:rPr>
        <w:t xml:space="preserve"> population for fiscal year 2019 to 2020</w:t>
      </w:r>
    </w:p>
    <w:tbl>
      <w:tblPr>
        <w:tblStyle w:val="TableGrid"/>
        <w:tblW w:w="5000" w:type="pct"/>
        <w:jc w:val="center"/>
        <w:tblLook w:val="0020" w:firstRow="1" w:lastRow="0" w:firstColumn="0" w:lastColumn="0" w:noHBand="0" w:noVBand="0"/>
        <w:tblDescription w:val="Population by occupational group as of March 31, 2020"/>
      </w:tblPr>
      <w:tblGrid>
        <w:gridCol w:w="4107"/>
        <w:gridCol w:w="5244"/>
        <w:gridCol w:w="5039"/>
      </w:tblGrid>
      <w:tr w:rsidR="00D64EB0" w:rsidRPr="000F056F" w14:paraId="3D4B3F91" w14:textId="77777777" w:rsidTr="00053B83">
        <w:trPr>
          <w:cantSplit/>
          <w:trHeight w:val="290"/>
          <w:tblHeader/>
          <w:jc w:val="center"/>
        </w:trPr>
        <w:tc>
          <w:tcPr>
            <w:tcW w:w="1427" w:type="pct"/>
          </w:tcPr>
          <w:p w14:paraId="7A7AA5AE" w14:textId="77777777" w:rsidR="00D007DC" w:rsidRPr="000F056F" w:rsidRDefault="00D007DC" w:rsidP="00D64EB0">
            <w:pPr>
              <w:pStyle w:val="TableTitle"/>
              <w:rPr>
                <w:rFonts w:cs="Segoe UI Semibold"/>
                <w:color w:val="auto"/>
                <w:szCs w:val="22"/>
                <w:lang w:val="en-CA"/>
              </w:rPr>
            </w:pPr>
            <w:r w:rsidRPr="000F056F">
              <w:rPr>
                <w:rFonts w:cs="Segoe UI Semibold"/>
                <w:color w:val="auto"/>
                <w:szCs w:val="22"/>
                <w:lang w:val="en-CA"/>
              </w:rPr>
              <w:t>Occupational group</w:t>
            </w:r>
          </w:p>
        </w:tc>
        <w:tc>
          <w:tcPr>
            <w:tcW w:w="1822" w:type="pct"/>
          </w:tcPr>
          <w:p w14:paraId="4E330610" w14:textId="77777777" w:rsidR="00D007DC" w:rsidRPr="000F056F" w:rsidRDefault="00D007DC" w:rsidP="00D64EB0">
            <w:pPr>
              <w:pStyle w:val="TableTitle"/>
              <w:rPr>
                <w:rFonts w:cs="Segoe UI Semibold"/>
                <w:color w:val="auto"/>
                <w:szCs w:val="22"/>
                <w:lang w:val="en-CA"/>
              </w:rPr>
            </w:pPr>
            <w:r w:rsidRPr="000F056F">
              <w:rPr>
                <w:rFonts w:cs="Segoe UI Semibold"/>
                <w:color w:val="auto"/>
                <w:szCs w:val="22"/>
                <w:lang w:val="en-CA"/>
              </w:rPr>
              <w:t>Population as of March 31, 2020</w:t>
            </w:r>
          </w:p>
        </w:tc>
        <w:tc>
          <w:tcPr>
            <w:tcW w:w="1751" w:type="pct"/>
          </w:tcPr>
          <w:p w14:paraId="167C656A" w14:textId="77777777" w:rsidR="00D007DC" w:rsidRPr="000F056F" w:rsidRDefault="00D007DC" w:rsidP="00D64EB0">
            <w:pPr>
              <w:pStyle w:val="TableTitle"/>
              <w:rPr>
                <w:rFonts w:cs="Segoe UI Semibold"/>
                <w:color w:val="auto"/>
                <w:szCs w:val="22"/>
                <w:lang w:val="en-CA"/>
              </w:rPr>
            </w:pPr>
            <w:r w:rsidRPr="000F056F">
              <w:rPr>
                <w:rFonts w:cs="Segoe UI Semibold"/>
                <w:color w:val="auto"/>
                <w:szCs w:val="22"/>
                <w:lang w:val="en-CA"/>
              </w:rPr>
              <w:t>Percentage of population as of March 31, 2020</w:t>
            </w:r>
          </w:p>
        </w:tc>
      </w:tr>
      <w:tr w:rsidR="00D64EB0" w:rsidRPr="000F056F" w14:paraId="61A55CE6" w14:textId="77777777" w:rsidTr="00053B83">
        <w:trPr>
          <w:cantSplit/>
          <w:trHeight w:val="290"/>
          <w:tblHeader/>
          <w:jc w:val="center"/>
        </w:trPr>
        <w:tc>
          <w:tcPr>
            <w:tcW w:w="1427" w:type="pct"/>
          </w:tcPr>
          <w:p w14:paraId="0AD27007"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PI – Primary Products Inspection</w:t>
            </w:r>
          </w:p>
        </w:tc>
        <w:tc>
          <w:tcPr>
            <w:tcW w:w="1822" w:type="pct"/>
          </w:tcPr>
          <w:p w14:paraId="4620618F"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144</w:t>
            </w:r>
          </w:p>
        </w:tc>
        <w:tc>
          <w:tcPr>
            <w:tcW w:w="1751" w:type="pct"/>
          </w:tcPr>
          <w:p w14:paraId="634B7A72"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34%</w:t>
            </w:r>
          </w:p>
        </w:tc>
      </w:tr>
      <w:tr w:rsidR="00D64EB0" w:rsidRPr="000F056F" w14:paraId="43F62AEC" w14:textId="77777777" w:rsidTr="00053B83">
        <w:trPr>
          <w:cantSplit/>
          <w:trHeight w:val="290"/>
          <w:tblHeader/>
          <w:jc w:val="center"/>
        </w:trPr>
        <w:tc>
          <w:tcPr>
            <w:tcW w:w="1427" w:type="pct"/>
          </w:tcPr>
          <w:p w14:paraId="1FE9DC91"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EG – Engineering and Scientific Support</w:t>
            </w:r>
          </w:p>
        </w:tc>
        <w:tc>
          <w:tcPr>
            <w:tcW w:w="1822" w:type="pct"/>
          </w:tcPr>
          <w:p w14:paraId="69BF6790"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65</w:t>
            </w:r>
          </w:p>
        </w:tc>
        <w:tc>
          <w:tcPr>
            <w:tcW w:w="1751" w:type="pct"/>
          </w:tcPr>
          <w:p w14:paraId="6EF4E4B0"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15%</w:t>
            </w:r>
          </w:p>
        </w:tc>
      </w:tr>
      <w:tr w:rsidR="00D64EB0" w:rsidRPr="000F056F" w14:paraId="7287E1B3" w14:textId="77777777" w:rsidTr="00053B83">
        <w:trPr>
          <w:cantSplit/>
          <w:trHeight w:val="290"/>
          <w:tblHeader/>
          <w:jc w:val="center"/>
        </w:trPr>
        <w:tc>
          <w:tcPr>
            <w:tcW w:w="1427" w:type="pct"/>
          </w:tcPr>
          <w:p w14:paraId="55D98AA8"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AS – Administrative Services</w:t>
            </w:r>
          </w:p>
        </w:tc>
        <w:tc>
          <w:tcPr>
            <w:tcW w:w="1822" w:type="pct"/>
          </w:tcPr>
          <w:p w14:paraId="15A93097"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40</w:t>
            </w:r>
          </w:p>
        </w:tc>
        <w:tc>
          <w:tcPr>
            <w:tcW w:w="1751" w:type="pct"/>
          </w:tcPr>
          <w:p w14:paraId="16B9D75E"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10%</w:t>
            </w:r>
          </w:p>
        </w:tc>
      </w:tr>
      <w:tr w:rsidR="00D64EB0" w:rsidRPr="000F056F" w14:paraId="1E07EFFA" w14:textId="77777777" w:rsidTr="00053B83">
        <w:trPr>
          <w:cantSplit/>
          <w:trHeight w:val="290"/>
          <w:tblHeader/>
          <w:jc w:val="center"/>
        </w:trPr>
        <w:tc>
          <w:tcPr>
            <w:tcW w:w="1427" w:type="pct"/>
          </w:tcPr>
          <w:p w14:paraId="61EA84D7"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CS – Computer Systems</w:t>
            </w:r>
          </w:p>
        </w:tc>
        <w:tc>
          <w:tcPr>
            <w:tcW w:w="1822" w:type="pct"/>
          </w:tcPr>
          <w:p w14:paraId="7CF70CD6"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37</w:t>
            </w:r>
          </w:p>
        </w:tc>
        <w:tc>
          <w:tcPr>
            <w:tcW w:w="1751" w:type="pct"/>
          </w:tcPr>
          <w:p w14:paraId="2CB45AB0"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9%</w:t>
            </w:r>
          </w:p>
        </w:tc>
      </w:tr>
      <w:tr w:rsidR="00D64EB0" w:rsidRPr="000F056F" w14:paraId="4C37F9D3" w14:textId="77777777" w:rsidTr="00053B83">
        <w:trPr>
          <w:cantSplit/>
          <w:trHeight w:val="290"/>
          <w:tblHeader/>
          <w:jc w:val="center"/>
        </w:trPr>
        <w:tc>
          <w:tcPr>
            <w:tcW w:w="1427" w:type="pct"/>
          </w:tcPr>
          <w:p w14:paraId="318DFBB9"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Other</w:t>
            </w:r>
          </w:p>
        </w:tc>
        <w:tc>
          <w:tcPr>
            <w:tcW w:w="1822" w:type="pct"/>
          </w:tcPr>
          <w:p w14:paraId="2EFEC100"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134</w:t>
            </w:r>
          </w:p>
        </w:tc>
        <w:tc>
          <w:tcPr>
            <w:tcW w:w="1751" w:type="pct"/>
          </w:tcPr>
          <w:p w14:paraId="7E3ED9D7"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32%</w:t>
            </w:r>
          </w:p>
        </w:tc>
      </w:tr>
      <w:tr w:rsidR="00D64EB0" w:rsidRPr="000F056F" w14:paraId="68C38975" w14:textId="77777777" w:rsidTr="00053B83">
        <w:trPr>
          <w:cantSplit/>
          <w:trHeight w:val="290"/>
          <w:tblHeader/>
          <w:jc w:val="center"/>
        </w:trPr>
        <w:tc>
          <w:tcPr>
            <w:tcW w:w="1427" w:type="pct"/>
          </w:tcPr>
          <w:p w14:paraId="1A780313"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Unknowns</w:t>
            </w:r>
          </w:p>
        </w:tc>
        <w:tc>
          <w:tcPr>
            <w:tcW w:w="1822" w:type="pct"/>
          </w:tcPr>
          <w:p w14:paraId="091AA734"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9</w:t>
            </w:r>
          </w:p>
        </w:tc>
        <w:tc>
          <w:tcPr>
            <w:tcW w:w="1751" w:type="pct"/>
          </w:tcPr>
          <w:p w14:paraId="5E8D2B50" w14:textId="5671D011" w:rsidR="00D007DC" w:rsidRPr="000F056F" w:rsidRDefault="00D64EB0"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r>
    </w:tbl>
    <w:p w14:paraId="13A14E1C" w14:textId="2E3E40E5" w:rsidR="00D007DC" w:rsidRPr="000F056F" w:rsidRDefault="00D007DC" w:rsidP="002944FE">
      <w:pPr>
        <w:tabs>
          <w:tab w:val="left" w:pos="7839"/>
        </w:tabs>
        <w:rPr>
          <w:rFonts w:ascii="Arial" w:eastAsia="Calibri" w:hAnsi="Arial"/>
          <w:noProof/>
          <w:sz w:val="22"/>
          <w:szCs w:val="22"/>
          <w:lang w:val="en-CA" w:eastAsia="en-CA"/>
        </w:rPr>
      </w:pPr>
    </w:p>
    <w:p w14:paraId="34AE0409" w14:textId="77777777" w:rsidR="00D007DC" w:rsidRPr="000F056F" w:rsidRDefault="00D007DC" w:rsidP="002944FE">
      <w:pPr>
        <w:tabs>
          <w:tab w:val="left" w:pos="7839"/>
        </w:tabs>
        <w:rPr>
          <w:rFonts w:ascii="Arial" w:eastAsia="Calibri" w:hAnsi="Arial"/>
          <w:noProof/>
          <w:sz w:val="22"/>
          <w:szCs w:val="22"/>
          <w:lang w:val="en-CA" w:eastAsia="en-CA"/>
        </w:rPr>
        <w:sectPr w:rsidR="00D007DC" w:rsidRPr="000F056F" w:rsidSect="008D03AB">
          <w:pgSz w:w="15840" w:h="12240" w:orient="landscape"/>
          <w:pgMar w:top="1025" w:right="720" w:bottom="720" w:left="720" w:header="708" w:footer="708" w:gutter="0"/>
          <w:cols w:space="708"/>
          <w:titlePg/>
          <w:docGrid w:linePitch="360"/>
        </w:sectPr>
      </w:pPr>
    </w:p>
    <w:p w14:paraId="6C783EF6" w14:textId="601ECDDA" w:rsidR="00D76ECD" w:rsidRPr="000F056F" w:rsidRDefault="00D64EB0" w:rsidP="00D64EB0">
      <w:pPr>
        <w:pStyle w:val="Heading1"/>
        <w:spacing w:before="120" w:after="120"/>
        <w:rPr>
          <w:rFonts w:eastAsia="Calibri"/>
          <w:noProof/>
          <w:sz w:val="40"/>
          <w:szCs w:val="40"/>
          <w:lang w:val="en-CA" w:eastAsia="en-CA"/>
        </w:rPr>
      </w:pPr>
      <w:r w:rsidRPr="000F056F">
        <w:rPr>
          <w:rFonts w:eastAsia="Calibri"/>
          <w:noProof/>
          <w:sz w:val="40"/>
          <w:szCs w:val="40"/>
          <w:lang w:val="en-CA" w:eastAsia="en-CA"/>
        </w:rPr>
        <w:lastRenderedPageBreak/>
        <w:t>Population by region as of March 31, 2020</w:t>
      </w:r>
    </w:p>
    <w:p w14:paraId="447A30F8" w14:textId="77777777" w:rsidR="00D64EB0" w:rsidRPr="000F056F" w:rsidRDefault="00D76ECD" w:rsidP="00D64EB0">
      <w:pPr>
        <w:keepNext/>
        <w:tabs>
          <w:tab w:val="left" w:pos="7839"/>
        </w:tabs>
        <w:jc w:val="center"/>
        <w:rPr>
          <w:lang w:val="en-CA"/>
        </w:rPr>
      </w:pPr>
      <w:r w:rsidRPr="000F056F">
        <w:rPr>
          <w:rFonts w:ascii="Arial" w:eastAsia="Calibri" w:hAnsi="Arial"/>
          <w:noProof/>
          <w:sz w:val="22"/>
          <w:szCs w:val="22"/>
          <w:lang w:val="en-CA" w:eastAsia="en-CA"/>
        </w:rPr>
        <w:drawing>
          <wp:inline distT="0" distB="0" distL="0" distR="0" wp14:anchorId="1984CA3B" wp14:editId="48F22143">
            <wp:extent cx="1980000" cy="3020400"/>
            <wp:effectExtent l="0" t="0" r="1270" b="8890"/>
            <wp:docPr id="12" name="Chart 12" descr="Population by region as of March 31, 20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AD72DC" w14:textId="690A14D7" w:rsidR="00D76ECD" w:rsidRPr="000F056F" w:rsidRDefault="00D64EB0" w:rsidP="00D64EB0">
      <w:pPr>
        <w:pStyle w:val="Caption"/>
        <w:spacing w:after="0"/>
        <w:jc w:val="center"/>
        <w:rPr>
          <w:rFonts w:asciiTheme="minorHAnsi" w:eastAsia="Calibri" w:hAnsiTheme="minorHAnsi" w:cstheme="minorHAnsi"/>
          <w:i w:val="0"/>
          <w:iCs w:val="0"/>
          <w:noProof/>
          <w:color w:val="auto"/>
          <w:sz w:val="22"/>
          <w:szCs w:val="22"/>
          <w:lang w:val="en-CA" w:eastAsia="en-CA"/>
        </w:rPr>
      </w:pPr>
      <w:r w:rsidRPr="000F056F">
        <w:rPr>
          <w:rFonts w:asciiTheme="minorHAnsi" w:hAnsiTheme="minorHAnsi" w:cstheme="minorHAnsi"/>
          <w:i w:val="0"/>
          <w:iCs w:val="0"/>
          <w:color w:val="auto"/>
          <w:lang w:val="en-CA"/>
        </w:rPr>
        <w:t xml:space="preserve">Figure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Figure \* ARABIC </w:instrText>
      </w:r>
      <w:r w:rsidRPr="000F056F">
        <w:rPr>
          <w:rFonts w:asciiTheme="minorHAnsi" w:hAnsiTheme="minorHAnsi" w:cstheme="minorHAnsi"/>
          <w:i w:val="0"/>
          <w:iCs w:val="0"/>
          <w:color w:val="auto"/>
          <w:lang w:val="en-CA"/>
        </w:rPr>
        <w:fldChar w:fldCharType="separate"/>
      </w:r>
      <w:r w:rsidR="00A16ADA" w:rsidRPr="000F056F">
        <w:rPr>
          <w:rFonts w:asciiTheme="minorHAnsi" w:hAnsiTheme="minorHAnsi" w:cstheme="minorHAnsi"/>
          <w:i w:val="0"/>
          <w:iCs w:val="0"/>
          <w:noProof/>
          <w:color w:val="auto"/>
          <w:lang w:val="en-CA"/>
        </w:rPr>
        <w:t>4</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Population by region as of March 31, 2020</w:t>
      </w:r>
    </w:p>
    <w:p w14:paraId="46F6DEE4" w14:textId="3F5FBFD1" w:rsidR="00D64EB0" w:rsidRPr="000F056F" w:rsidRDefault="00D64EB0" w:rsidP="00D64EB0">
      <w:pPr>
        <w:pStyle w:val="Caption"/>
        <w:keepNext/>
        <w:spacing w:before="240" w:after="0"/>
        <w:jc w:val="center"/>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Table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Table \* ARABIC </w:instrText>
      </w:r>
      <w:r w:rsidRPr="000F056F">
        <w:rPr>
          <w:rFonts w:asciiTheme="minorHAnsi" w:hAnsiTheme="minorHAnsi" w:cstheme="minorHAnsi"/>
          <w:i w:val="0"/>
          <w:iCs w:val="0"/>
          <w:color w:val="auto"/>
          <w:lang w:val="en-CA"/>
        </w:rPr>
        <w:fldChar w:fldCharType="separate"/>
      </w:r>
      <w:r w:rsidR="00E4530D" w:rsidRPr="000F056F">
        <w:rPr>
          <w:rFonts w:asciiTheme="minorHAnsi" w:hAnsiTheme="minorHAnsi" w:cstheme="minorHAnsi"/>
          <w:i w:val="0"/>
          <w:iCs w:val="0"/>
          <w:noProof/>
          <w:color w:val="auto"/>
          <w:lang w:val="en-CA"/>
        </w:rPr>
        <w:t>6</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Distribution by region, as a percentage of the </w:t>
      </w:r>
      <w:r w:rsidRPr="000F056F">
        <w:rPr>
          <w:rStyle w:val="Emphasis"/>
          <w:rFonts w:asciiTheme="minorHAnsi" w:hAnsiTheme="minorHAnsi" w:cstheme="minorHAnsi"/>
          <w:i/>
          <w:iCs/>
          <w:color w:val="auto"/>
          <w:lang w:val="en-CA"/>
        </w:rPr>
        <w:t>Public Service Employment Act</w:t>
      </w:r>
      <w:r w:rsidRPr="000F056F">
        <w:rPr>
          <w:rFonts w:asciiTheme="minorHAnsi" w:hAnsiTheme="minorHAnsi" w:cstheme="minorHAnsi"/>
          <w:i w:val="0"/>
          <w:iCs w:val="0"/>
          <w:color w:val="auto"/>
          <w:lang w:val="en-CA"/>
        </w:rPr>
        <w:t xml:space="preserve"> population for fiscal year 2019 to 2020</w:t>
      </w:r>
    </w:p>
    <w:tbl>
      <w:tblPr>
        <w:tblStyle w:val="TableGrid"/>
        <w:tblW w:w="5000" w:type="pct"/>
        <w:jc w:val="center"/>
        <w:tblLook w:val="0020" w:firstRow="1" w:lastRow="0" w:firstColumn="0" w:lastColumn="0" w:noHBand="0" w:noVBand="0"/>
        <w:tblDescription w:val="Population by region as of March 31, 2020"/>
      </w:tblPr>
      <w:tblGrid>
        <w:gridCol w:w="4107"/>
        <w:gridCol w:w="5244"/>
        <w:gridCol w:w="5039"/>
      </w:tblGrid>
      <w:tr w:rsidR="00D64EB0" w:rsidRPr="000F056F" w14:paraId="33180F3D" w14:textId="77777777" w:rsidTr="00053B83">
        <w:trPr>
          <w:cantSplit/>
          <w:trHeight w:val="290"/>
          <w:tblHeader/>
          <w:jc w:val="center"/>
        </w:trPr>
        <w:tc>
          <w:tcPr>
            <w:tcW w:w="1427" w:type="pct"/>
          </w:tcPr>
          <w:p w14:paraId="19FD963E" w14:textId="77777777" w:rsidR="00D007DC" w:rsidRPr="000F056F" w:rsidRDefault="00D007DC" w:rsidP="00D64EB0">
            <w:pPr>
              <w:pStyle w:val="TableTitle"/>
              <w:rPr>
                <w:color w:val="auto"/>
                <w:szCs w:val="22"/>
                <w:lang w:val="en-CA"/>
              </w:rPr>
            </w:pPr>
            <w:r w:rsidRPr="000F056F">
              <w:rPr>
                <w:color w:val="auto"/>
                <w:szCs w:val="22"/>
                <w:lang w:val="en-CA"/>
              </w:rPr>
              <w:t>Region</w:t>
            </w:r>
          </w:p>
        </w:tc>
        <w:tc>
          <w:tcPr>
            <w:tcW w:w="1822" w:type="pct"/>
          </w:tcPr>
          <w:p w14:paraId="307986B7" w14:textId="77777777" w:rsidR="00D007DC" w:rsidRPr="000F056F" w:rsidRDefault="00D007DC" w:rsidP="00D64EB0">
            <w:pPr>
              <w:pStyle w:val="TableTitle"/>
              <w:rPr>
                <w:color w:val="auto"/>
                <w:szCs w:val="22"/>
                <w:lang w:val="en-CA"/>
              </w:rPr>
            </w:pPr>
            <w:r w:rsidRPr="000F056F">
              <w:rPr>
                <w:color w:val="auto"/>
                <w:szCs w:val="22"/>
                <w:lang w:val="en-CA"/>
              </w:rPr>
              <w:t>Population as of March 31, 2020</w:t>
            </w:r>
          </w:p>
        </w:tc>
        <w:tc>
          <w:tcPr>
            <w:tcW w:w="1751" w:type="pct"/>
          </w:tcPr>
          <w:p w14:paraId="4131EB2E" w14:textId="77777777" w:rsidR="00D007DC" w:rsidRPr="000F056F" w:rsidRDefault="00D007DC" w:rsidP="00D64EB0">
            <w:pPr>
              <w:pStyle w:val="TableTitle"/>
              <w:rPr>
                <w:color w:val="auto"/>
                <w:szCs w:val="22"/>
                <w:lang w:val="en-CA"/>
              </w:rPr>
            </w:pPr>
            <w:r w:rsidRPr="000F056F">
              <w:rPr>
                <w:color w:val="auto"/>
                <w:szCs w:val="22"/>
                <w:lang w:val="en-CA"/>
              </w:rPr>
              <w:t>Percentage of population as of March 31, 2020</w:t>
            </w:r>
          </w:p>
        </w:tc>
      </w:tr>
      <w:tr w:rsidR="00D007DC" w:rsidRPr="000F056F" w14:paraId="49077A55" w14:textId="77777777" w:rsidTr="00053B83">
        <w:trPr>
          <w:cantSplit/>
          <w:trHeight w:val="290"/>
          <w:tblHeader/>
          <w:jc w:val="center"/>
        </w:trPr>
        <w:tc>
          <w:tcPr>
            <w:tcW w:w="1427" w:type="pct"/>
          </w:tcPr>
          <w:p w14:paraId="3D0D7499" w14:textId="77777777" w:rsidR="00D007DC" w:rsidRPr="000F056F" w:rsidRDefault="00D007DC" w:rsidP="00D007DC">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National Capital Region (NCR)</w:t>
            </w:r>
          </w:p>
        </w:tc>
        <w:tc>
          <w:tcPr>
            <w:tcW w:w="1822" w:type="pct"/>
          </w:tcPr>
          <w:p w14:paraId="483ED877"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0</w:t>
            </w:r>
          </w:p>
        </w:tc>
        <w:tc>
          <w:tcPr>
            <w:tcW w:w="1751" w:type="pct"/>
          </w:tcPr>
          <w:p w14:paraId="2E0320A1"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0%</w:t>
            </w:r>
          </w:p>
        </w:tc>
      </w:tr>
      <w:tr w:rsidR="00D007DC" w:rsidRPr="000F056F" w14:paraId="14D9DEB8" w14:textId="77777777" w:rsidTr="00053B83">
        <w:trPr>
          <w:cantSplit/>
          <w:trHeight w:val="290"/>
          <w:tblHeader/>
          <w:jc w:val="center"/>
        </w:trPr>
        <w:tc>
          <w:tcPr>
            <w:tcW w:w="1427" w:type="pct"/>
          </w:tcPr>
          <w:p w14:paraId="3EECF169" w14:textId="77777777" w:rsidR="00D007DC" w:rsidRPr="000F056F" w:rsidRDefault="00D007DC" w:rsidP="00D007DC">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Non-NCR</w:t>
            </w:r>
          </w:p>
        </w:tc>
        <w:tc>
          <w:tcPr>
            <w:tcW w:w="1822" w:type="pct"/>
          </w:tcPr>
          <w:p w14:paraId="22F61D84"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428</w:t>
            </w:r>
          </w:p>
        </w:tc>
        <w:tc>
          <w:tcPr>
            <w:tcW w:w="1751" w:type="pct"/>
          </w:tcPr>
          <w:p w14:paraId="56D718A9"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100%</w:t>
            </w:r>
          </w:p>
        </w:tc>
      </w:tr>
      <w:tr w:rsidR="00D007DC" w:rsidRPr="000F056F" w14:paraId="764A6794" w14:textId="77777777" w:rsidTr="00053B83">
        <w:trPr>
          <w:cantSplit/>
          <w:trHeight w:val="290"/>
          <w:tblHeader/>
          <w:jc w:val="center"/>
        </w:trPr>
        <w:tc>
          <w:tcPr>
            <w:tcW w:w="1427" w:type="pct"/>
          </w:tcPr>
          <w:p w14:paraId="0541EBB9" w14:textId="77777777" w:rsidR="00D007DC" w:rsidRPr="000F056F" w:rsidRDefault="00D007DC" w:rsidP="00D007DC">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Unknown</w:t>
            </w:r>
          </w:p>
        </w:tc>
        <w:tc>
          <w:tcPr>
            <w:tcW w:w="1822" w:type="pct"/>
          </w:tcPr>
          <w:p w14:paraId="4CFCD87F"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w:t>
            </w:r>
          </w:p>
        </w:tc>
        <w:tc>
          <w:tcPr>
            <w:tcW w:w="1751" w:type="pct"/>
          </w:tcPr>
          <w:p w14:paraId="1B0A5422" w14:textId="72213EF4" w:rsidR="00D007DC" w:rsidRPr="000F056F" w:rsidRDefault="00D64EB0"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0%</w:t>
            </w:r>
          </w:p>
        </w:tc>
      </w:tr>
    </w:tbl>
    <w:p w14:paraId="5D9720E0" w14:textId="09D51A0E" w:rsidR="00D007DC" w:rsidRPr="000F056F" w:rsidRDefault="00D007DC" w:rsidP="002944FE">
      <w:pPr>
        <w:tabs>
          <w:tab w:val="left" w:pos="7839"/>
        </w:tabs>
        <w:rPr>
          <w:rFonts w:ascii="Arial" w:eastAsia="Calibri" w:hAnsi="Arial"/>
          <w:noProof/>
          <w:sz w:val="22"/>
          <w:szCs w:val="22"/>
          <w:lang w:val="en-CA" w:eastAsia="en-CA"/>
        </w:rPr>
      </w:pPr>
    </w:p>
    <w:p w14:paraId="577473D2" w14:textId="77777777" w:rsidR="00D007DC" w:rsidRPr="000F056F" w:rsidRDefault="00D007DC" w:rsidP="002944FE">
      <w:pPr>
        <w:tabs>
          <w:tab w:val="left" w:pos="7839"/>
        </w:tabs>
        <w:rPr>
          <w:rFonts w:ascii="Arial" w:eastAsia="Calibri" w:hAnsi="Arial"/>
          <w:noProof/>
          <w:sz w:val="22"/>
          <w:szCs w:val="22"/>
          <w:lang w:val="en-CA" w:eastAsia="en-CA"/>
        </w:rPr>
        <w:sectPr w:rsidR="00D007DC" w:rsidRPr="000F056F" w:rsidSect="008D03AB">
          <w:pgSz w:w="15840" w:h="12240" w:orient="landscape"/>
          <w:pgMar w:top="1025" w:right="720" w:bottom="720" w:left="720" w:header="708" w:footer="708" w:gutter="0"/>
          <w:cols w:space="708"/>
          <w:titlePg/>
          <w:docGrid w:linePitch="360"/>
        </w:sectPr>
      </w:pPr>
    </w:p>
    <w:p w14:paraId="4F55350C" w14:textId="717FC0DE" w:rsidR="00D007DC" w:rsidRPr="000F056F" w:rsidRDefault="00D64EB0" w:rsidP="00D64EB0">
      <w:pPr>
        <w:pStyle w:val="Heading1"/>
        <w:spacing w:before="120" w:after="120"/>
        <w:rPr>
          <w:rFonts w:eastAsia="Calibri"/>
          <w:noProof/>
          <w:sz w:val="40"/>
          <w:szCs w:val="40"/>
          <w:lang w:val="en-CA" w:eastAsia="en-CA"/>
        </w:rPr>
      </w:pPr>
      <w:r w:rsidRPr="000F056F">
        <w:rPr>
          <w:rFonts w:eastAsia="Calibri"/>
          <w:noProof/>
          <w:sz w:val="40"/>
          <w:szCs w:val="40"/>
          <w:lang w:val="en-CA" w:eastAsia="en-CA"/>
        </w:rPr>
        <w:lastRenderedPageBreak/>
        <w:t>External indeterminate hires by occupational group, 2019-2020</w:t>
      </w:r>
    </w:p>
    <w:p w14:paraId="3D066BA7" w14:textId="77777777" w:rsidR="00D64EB0" w:rsidRPr="000F056F" w:rsidRDefault="002944FE" w:rsidP="00D64EB0">
      <w:pPr>
        <w:keepNext/>
        <w:tabs>
          <w:tab w:val="left" w:pos="7839"/>
        </w:tabs>
        <w:jc w:val="center"/>
        <w:rPr>
          <w:lang w:val="en-CA"/>
        </w:rPr>
      </w:pPr>
      <w:r w:rsidRPr="000F056F">
        <w:rPr>
          <w:rFonts w:ascii="Arial" w:eastAsia="Calibri" w:hAnsi="Arial"/>
          <w:noProof/>
          <w:sz w:val="22"/>
          <w:szCs w:val="22"/>
          <w:lang w:val="en-CA" w:eastAsia="en-CA"/>
        </w:rPr>
        <w:drawing>
          <wp:inline distT="0" distB="0" distL="0" distR="0" wp14:anchorId="1FC48F74" wp14:editId="0603FB6D">
            <wp:extent cx="1980000" cy="3020400"/>
            <wp:effectExtent l="0" t="0" r="1270" b="8890"/>
            <wp:docPr id="7" name="Chart 7" descr="External indeterminate hires by &#10;occupational group, 2019-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4D7A67" w14:textId="48A72722" w:rsidR="00D007DC" w:rsidRPr="000F056F" w:rsidRDefault="00D64EB0" w:rsidP="00D64EB0">
      <w:pPr>
        <w:pStyle w:val="Caption"/>
        <w:spacing w:after="0"/>
        <w:jc w:val="center"/>
        <w:rPr>
          <w:rFonts w:asciiTheme="minorHAnsi" w:eastAsia="Calibri" w:hAnsiTheme="minorHAnsi" w:cstheme="minorHAnsi"/>
          <w:i w:val="0"/>
          <w:iCs w:val="0"/>
          <w:noProof/>
          <w:color w:val="auto"/>
          <w:sz w:val="22"/>
          <w:szCs w:val="22"/>
          <w:lang w:val="en-CA" w:eastAsia="en-CA"/>
        </w:rPr>
      </w:pPr>
      <w:r w:rsidRPr="000F056F">
        <w:rPr>
          <w:rFonts w:asciiTheme="minorHAnsi" w:hAnsiTheme="minorHAnsi" w:cstheme="minorHAnsi"/>
          <w:i w:val="0"/>
          <w:iCs w:val="0"/>
          <w:color w:val="auto"/>
          <w:lang w:val="en-CA"/>
        </w:rPr>
        <w:t xml:space="preserve">Figure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Figure \* ARABIC </w:instrText>
      </w:r>
      <w:r w:rsidRPr="000F056F">
        <w:rPr>
          <w:rFonts w:asciiTheme="minorHAnsi" w:hAnsiTheme="minorHAnsi" w:cstheme="minorHAnsi"/>
          <w:i w:val="0"/>
          <w:iCs w:val="0"/>
          <w:color w:val="auto"/>
          <w:lang w:val="en-CA"/>
        </w:rPr>
        <w:fldChar w:fldCharType="separate"/>
      </w:r>
      <w:r w:rsidR="00A16ADA" w:rsidRPr="000F056F">
        <w:rPr>
          <w:rFonts w:asciiTheme="minorHAnsi" w:hAnsiTheme="minorHAnsi" w:cstheme="minorHAnsi"/>
          <w:i w:val="0"/>
          <w:iCs w:val="0"/>
          <w:noProof/>
          <w:color w:val="auto"/>
          <w:lang w:val="en-CA"/>
        </w:rPr>
        <w:t>5</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External indeterminate hires by occupational group, 2019-20</w:t>
      </w:r>
    </w:p>
    <w:p w14:paraId="0BC953CC" w14:textId="138701E5" w:rsidR="00D64EB0" w:rsidRPr="000F056F" w:rsidRDefault="00D64EB0" w:rsidP="00D64EB0">
      <w:pPr>
        <w:pStyle w:val="Caption"/>
        <w:keepNext/>
        <w:spacing w:before="240" w:after="0"/>
        <w:jc w:val="center"/>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Table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Table \* ARABIC </w:instrText>
      </w:r>
      <w:r w:rsidRPr="000F056F">
        <w:rPr>
          <w:rFonts w:asciiTheme="minorHAnsi" w:hAnsiTheme="minorHAnsi" w:cstheme="minorHAnsi"/>
          <w:i w:val="0"/>
          <w:iCs w:val="0"/>
          <w:color w:val="auto"/>
          <w:lang w:val="en-CA"/>
        </w:rPr>
        <w:fldChar w:fldCharType="separate"/>
      </w:r>
      <w:r w:rsidR="00E4530D" w:rsidRPr="000F056F">
        <w:rPr>
          <w:rFonts w:asciiTheme="minorHAnsi" w:hAnsiTheme="minorHAnsi" w:cstheme="minorHAnsi"/>
          <w:i w:val="0"/>
          <w:iCs w:val="0"/>
          <w:noProof/>
          <w:color w:val="auto"/>
          <w:lang w:val="en-CA"/>
        </w:rPr>
        <w:t>7</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External indeterminate hires by top occupational groups, for fiscal year 2019 to 2020</w:t>
      </w:r>
    </w:p>
    <w:tbl>
      <w:tblPr>
        <w:tblStyle w:val="TableGrid"/>
        <w:tblW w:w="5000" w:type="pct"/>
        <w:jc w:val="center"/>
        <w:tblLook w:val="0020" w:firstRow="1" w:lastRow="0" w:firstColumn="0" w:lastColumn="0" w:noHBand="0" w:noVBand="0"/>
        <w:tblDescription w:val="External indeterminate hires by occupational group, 2019-2020"/>
      </w:tblPr>
      <w:tblGrid>
        <w:gridCol w:w="3396"/>
        <w:gridCol w:w="5670"/>
        <w:gridCol w:w="5324"/>
      </w:tblGrid>
      <w:tr w:rsidR="00D64EB0" w:rsidRPr="000F056F" w14:paraId="30B4EE61" w14:textId="77777777" w:rsidTr="00053B83">
        <w:trPr>
          <w:cantSplit/>
          <w:trHeight w:val="290"/>
          <w:tblHeader/>
          <w:jc w:val="center"/>
        </w:trPr>
        <w:tc>
          <w:tcPr>
            <w:tcW w:w="1180" w:type="pct"/>
          </w:tcPr>
          <w:p w14:paraId="025584FD" w14:textId="77777777" w:rsidR="00D007DC" w:rsidRPr="000F056F" w:rsidRDefault="00D007DC" w:rsidP="00D64EB0">
            <w:pPr>
              <w:pStyle w:val="TableTitle"/>
              <w:rPr>
                <w:color w:val="auto"/>
                <w:szCs w:val="22"/>
                <w:lang w:val="en-CA"/>
              </w:rPr>
            </w:pPr>
            <w:r w:rsidRPr="000F056F">
              <w:rPr>
                <w:color w:val="auto"/>
                <w:szCs w:val="22"/>
                <w:lang w:val="en-CA"/>
              </w:rPr>
              <w:t>Occupational group</w:t>
            </w:r>
          </w:p>
        </w:tc>
        <w:tc>
          <w:tcPr>
            <w:tcW w:w="1970" w:type="pct"/>
          </w:tcPr>
          <w:p w14:paraId="25DB9A74" w14:textId="77777777" w:rsidR="00D007DC" w:rsidRPr="000F056F" w:rsidRDefault="00D007DC" w:rsidP="00D64EB0">
            <w:pPr>
              <w:pStyle w:val="TableTitle"/>
              <w:rPr>
                <w:color w:val="auto"/>
                <w:szCs w:val="22"/>
                <w:lang w:val="en-CA"/>
              </w:rPr>
            </w:pPr>
            <w:r w:rsidRPr="000F056F">
              <w:rPr>
                <w:color w:val="auto"/>
                <w:szCs w:val="22"/>
                <w:lang w:val="en-CA"/>
              </w:rPr>
              <w:t xml:space="preserve">Number of indeterminate hiring activities </w:t>
            </w:r>
          </w:p>
        </w:tc>
        <w:tc>
          <w:tcPr>
            <w:tcW w:w="1850" w:type="pct"/>
          </w:tcPr>
          <w:p w14:paraId="74C124FD" w14:textId="77777777" w:rsidR="00D007DC" w:rsidRPr="000F056F" w:rsidRDefault="00D007DC" w:rsidP="00D64EB0">
            <w:pPr>
              <w:pStyle w:val="TableTitle"/>
              <w:rPr>
                <w:color w:val="auto"/>
                <w:szCs w:val="22"/>
                <w:lang w:val="en-CA"/>
              </w:rPr>
            </w:pPr>
            <w:r w:rsidRPr="000F056F">
              <w:rPr>
                <w:color w:val="auto"/>
                <w:szCs w:val="22"/>
                <w:lang w:val="en-CA"/>
              </w:rPr>
              <w:t>Percentage of all indeterminate hiring activities</w:t>
            </w:r>
          </w:p>
        </w:tc>
      </w:tr>
      <w:tr w:rsidR="00D007DC" w:rsidRPr="000F056F" w14:paraId="53D11416" w14:textId="77777777" w:rsidTr="00053B83">
        <w:trPr>
          <w:cantSplit/>
          <w:trHeight w:val="290"/>
          <w:tblHeader/>
          <w:jc w:val="center"/>
        </w:trPr>
        <w:tc>
          <w:tcPr>
            <w:tcW w:w="1180" w:type="pct"/>
          </w:tcPr>
          <w:p w14:paraId="2829CB71" w14:textId="77777777" w:rsidR="00D007DC" w:rsidRPr="000F056F" w:rsidRDefault="00D007DC" w:rsidP="00D007DC">
            <w:pPr>
              <w:autoSpaceDE w:val="0"/>
              <w:autoSpaceDN w:val="0"/>
              <w:adjustRightInd w:val="0"/>
              <w:rPr>
                <w:rFonts w:asciiTheme="minorHAnsi" w:hAnsiTheme="minorHAnsi" w:cstheme="minorHAnsi"/>
                <w:color w:val="000000"/>
                <w:sz w:val="22"/>
                <w:szCs w:val="22"/>
                <w:highlight w:val="yellow"/>
                <w:lang w:val="en-CA"/>
              </w:rPr>
            </w:pPr>
            <w:r w:rsidRPr="000F056F">
              <w:rPr>
                <w:rFonts w:asciiTheme="minorHAnsi" w:hAnsiTheme="minorHAnsi" w:cstheme="minorHAnsi"/>
                <w:color w:val="000000"/>
                <w:sz w:val="22"/>
                <w:szCs w:val="22"/>
                <w:lang w:val="en-CA"/>
              </w:rPr>
              <w:t>PI – Primary Products Inspection</w:t>
            </w:r>
          </w:p>
        </w:tc>
        <w:tc>
          <w:tcPr>
            <w:tcW w:w="1970" w:type="pct"/>
          </w:tcPr>
          <w:p w14:paraId="666E7D79"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14</w:t>
            </w:r>
          </w:p>
        </w:tc>
        <w:tc>
          <w:tcPr>
            <w:tcW w:w="1850" w:type="pct"/>
          </w:tcPr>
          <w:p w14:paraId="37D0797A"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50%</w:t>
            </w:r>
          </w:p>
        </w:tc>
      </w:tr>
      <w:tr w:rsidR="00D007DC" w:rsidRPr="000F056F" w14:paraId="7037381D" w14:textId="77777777" w:rsidTr="00053B83">
        <w:trPr>
          <w:cantSplit/>
          <w:trHeight w:val="290"/>
          <w:tblHeader/>
          <w:jc w:val="center"/>
        </w:trPr>
        <w:tc>
          <w:tcPr>
            <w:tcW w:w="1180" w:type="pct"/>
          </w:tcPr>
          <w:p w14:paraId="16FC76DF" w14:textId="77777777" w:rsidR="00D007DC" w:rsidRPr="000F056F" w:rsidRDefault="00D007DC" w:rsidP="00D007DC">
            <w:pPr>
              <w:tabs>
                <w:tab w:val="left" w:pos="2383"/>
              </w:tabs>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AS – Administrative Services</w:t>
            </w:r>
          </w:p>
        </w:tc>
        <w:tc>
          <w:tcPr>
            <w:tcW w:w="1970" w:type="pct"/>
          </w:tcPr>
          <w:p w14:paraId="6E690B8C"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w:t>
            </w:r>
          </w:p>
        </w:tc>
        <w:tc>
          <w:tcPr>
            <w:tcW w:w="1850" w:type="pct"/>
          </w:tcPr>
          <w:p w14:paraId="4EECDF16"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7%</w:t>
            </w:r>
          </w:p>
        </w:tc>
      </w:tr>
      <w:tr w:rsidR="00D007DC" w:rsidRPr="000F056F" w14:paraId="10A2CAA7" w14:textId="77777777" w:rsidTr="00053B83">
        <w:trPr>
          <w:cantSplit/>
          <w:trHeight w:val="290"/>
          <w:tblHeader/>
          <w:jc w:val="center"/>
        </w:trPr>
        <w:tc>
          <w:tcPr>
            <w:tcW w:w="1180" w:type="pct"/>
          </w:tcPr>
          <w:p w14:paraId="1170AAAC" w14:textId="77777777" w:rsidR="00D007DC" w:rsidRPr="000F056F" w:rsidRDefault="00D007DC" w:rsidP="00D007DC">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AU – Auditing</w:t>
            </w:r>
          </w:p>
        </w:tc>
        <w:tc>
          <w:tcPr>
            <w:tcW w:w="1970" w:type="pct"/>
          </w:tcPr>
          <w:p w14:paraId="2A503EF5"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w:t>
            </w:r>
          </w:p>
        </w:tc>
        <w:tc>
          <w:tcPr>
            <w:tcW w:w="1850" w:type="pct"/>
          </w:tcPr>
          <w:p w14:paraId="638C18DD"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7%</w:t>
            </w:r>
          </w:p>
        </w:tc>
      </w:tr>
      <w:tr w:rsidR="00D007DC" w:rsidRPr="000F056F" w14:paraId="686CC972" w14:textId="77777777" w:rsidTr="00053B83">
        <w:trPr>
          <w:cantSplit/>
          <w:trHeight w:val="290"/>
          <w:tblHeader/>
          <w:jc w:val="center"/>
        </w:trPr>
        <w:tc>
          <w:tcPr>
            <w:tcW w:w="1180" w:type="pct"/>
          </w:tcPr>
          <w:p w14:paraId="50451F84" w14:textId="77777777" w:rsidR="00D007DC" w:rsidRPr="000F056F" w:rsidRDefault="00D007DC" w:rsidP="00D007DC">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CS – Computer Systems</w:t>
            </w:r>
          </w:p>
        </w:tc>
        <w:tc>
          <w:tcPr>
            <w:tcW w:w="1970" w:type="pct"/>
          </w:tcPr>
          <w:p w14:paraId="06D6E34C"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w:t>
            </w:r>
          </w:p>
        </w:tc>
        <w:tc>
          <w:tcPr>
            <w:tcW w:w="1850" w:type="pct"/>
          </w:tcPr>
          <w:p w14:paraId="7CDA9400"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7%</w:t>
            </w:r>
          </w:p>
        </w:tc>
      </w:tr>
      <w:tr w:rsidR="00D007DC" w:rsidRPr="000F056F" w14:paraId="77D89D2E" w14:textId="77777777" w:rsidTr="00053B83">
        <w:trPr>
          <w:cantSplit/>
          <w:trHeight w:val="290"/>
          <w:tblHeader/>
          <w:jc w:val="center"/>
        </w:trPr>
        <w:tc>
          <w:tcPr>
            <w:tcW w:w="1180" w:type="pct"/>
          </w:tcPr>
          <w:p w14:paraId="30790796" w14:textId="77777777" w:rsidR="00D007DC" w:rsidRPr="000F056F" w:rsidRDefault="00D007DC" w:rsidP="00D007DC">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FI – Financial Management</w:t>
            </w:r>
          </w:p>
        </w:tc>
        <w:tc>
          <w:tcPr>
            <w:tcW w:w="1970" w:type="pct"/>
          </w:tcPr>
          <w:p w14:paraId="2E24D1EC"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w:t>
            </w:r>
          </w:p>
        </w:tc>
        <w:tc>
          <w:tcPr>
            <w:tcW w:w="1850" w:type="pct"/>
          </w:tcPr>
          <w:p w14:paraId="559608B3"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7%</w:t>
            </w:r>
          </w:p>
        </w:tc>
      </w:tr>
      <w:tr w:rsidR="00D007DC" w:rsidRPr="000F056F" w14:paraId="44CEF5CA" w14:textId="77777777" w:rsidTr="00053B83">
        <w:trPr>
          <w:cantSplit/>
          <w:trHeight w:val="70"/>
          <w:tblHeader/>
          <w:jc w:val="center"/>
        </w:trPr>
        <w:tc>
          <w:tcPr>
            <w:tcW w:w="1180" w:type="pct"/>
          </w:tcPr>
          <w:p w14:paraId="4C12EBF7" w14:textId="77777777" w:rsidR="00D007DC" w:rsidRPr="000F056F" w:rsidRDefault="00D007DC" w:rsidP="00D007DC">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Other</w:t>
            </w:r>
          </w:p>
        </w:tc>
        <w:tc>
          <w:tcPr>
            <w:tcW w:w="1970" w:type="pct"/>
          </w:tcPr>
          <w:p w14:paraId="0CF33F1F"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w:t>
            </w:r>
          </w:p>
        </w:tc>
        <w:tc>
          <w:tcPr>
            <w:tcW w:w="1850" w:type="pct"/>
          </w:tcPr>
          <w:p w14:paraId="6AC93A50"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21%</w:t>
            </w:r>
          </w:p>
        </w:tc>
      </w:tr>
      <w:tr w:rsidR="00D007DC" w:rsidRPr="000F056F" w14:paraId="3CB26808" w14:textId="77777777" w:rsidTr="00053B83">
        <w:trPr>
          <w:cantSplit/>
          <w:trHeight w:val="70"/>
          <w:tblHeader/>
          <w:jc w:val="center"/>
        </w:trPr>
        <w:tc>
          <w:tcPr>
            <w:tcW w:w="1180" w:type="pct"/>
          </w:tcPr>
          <w:p w14:paraId="52B8216B" w14:textId="77777777" w:rsidR="00D007DC" w:rsidRPr="000F056F" w:rsidRDefault="00D007DC" w:rsidP="00D007DC">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Total</w:t>
            </w:r>
          </w:p>
        </w:tc>
        <w:tc>
          <w:tcPr>
            <w:tcW w:w="1970" w:type="pct"/>
          </w:tcPr>
          <w:p w14:paraId="7CE6FA4E"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28</w:t>
            </w:r>
          </w:p>
        </w:tc>
        <w:tc>
          <w:tcPr>
            <w:tcW w:w="1850" w:type="pct"/>
          </w:tcPr>
          <w:p w14:paraId="441D8CE1" w14:textId="77777777" w:rsidR="00D007DC" w:rsidRPr="000F056F" w:rsidRDefault="00D007DC" w:rsidP="00D007DC">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100%</w:t>
            </w:r>
          </w:p>
        </w:tc>
      </w:tr>
    </w:tbl>
    <w:p w14:paraId="51E441C0" w14:textId="3CBB4BA6" w:rsidR="00D007DC" w:rsidRPr="000F056F" w:rsidRDefault="00D007DC" w:rsidP="002944FE">
      <w:pPr>
        <w:tabs>
          <w:tab w:val="left" w:pos="7839"/>
        </w:tabs>
        <w:rPr>
          <w:rFonts w:ascii="Arial" w:eastAsia="Calibri" w:hAnsi="Arial"/>
          <w:noProof/>
          <w:sz w:val="22"/>
          <w:szCs w:val="22"/>
          <w:lang w:val="en-CA" w:eastAsia="en-CA"/>
        </w:rPr>
      </w:pPr>
    </w:p>
    <w:p w14:paraId="688B5B74" w14:textId="77777777" w:rsidR="00D007DC" w:rsidRPr="000F056F" w:rsidRDefault="00D007DC" w:rsidP="002944FE">
      <w:pPr>
        <w:tabs>
          <w:tab w:val="left" w:pos="7839"/>
        </w:tabs>
        <w:rPr>
          <w:rFonts w:ascii="Arial" w:eastAsia="Calibri" w:hAnsi="Arial"/>
          <w:noProof/>
          <w:sz w:val="22"/>
          <w:szCs w:val="22"/>
          <w:lang w:val="en-CA" w:eastAsia="en-CA"/>
        </w:rPr>
        <w:sectPr w:rsidR="00D007DC" w:rsidRPr="000F056F" w:rsidSect="008D03AB">
          <w:pgSz w:w="15840" w:h="12240" w:orient="landscape"/>
          <w:pgMar w:top="1025" w:right="720" w:bottom="720" w:left="720" w:header="708" w:footer="708" w:gutter="0"/>
          <w:cols w:space="708"/>
          <w:titlePg/>
          <w:docGrid w:linePitch="360"/>
        </w:sectPr>
      </w:pPr>
    </w:p>
    <w:p w14:paraId="61D394A3" w14:textId="77777777" w:rsidR="00D64EB0" w:rsidRPr="000F056F" w:rsidRDefault="00D64EB0" w:rsidP="00D64EB0">
      <w:pPr>
        <w:pStyle w:val="Heading1"/>
        <w:spacing w:before="120" w:after="120"/>
        <w:rPr>
          <w:rFonts w:eastAsia="Calibri"/>
          <w:noProof/>
          <w:sz w:val="40"/>
          <w:szCs w:val="40"/>
          <w:lang w:val="en-CA" w:eastAsia="en-CA"/>
        </w:rPr>
      </w:pPr>
      <w:r w:rsidRPr="000F056F">
        <w:rPr>
          <w:rFonts w:eastAsia="Calibri"/>
          <w:noProof/>
          <w:sz w:val="40"/>
          <w:szCs w:val="40"/>
          <w:lang w:val="en-CA" w:eastAsia="en-CA"/>
        </w:rPr>
        <w:lastRenderedPageBreak/>
        <w:t>Staffing by region</w:t>
      </w:r>
    </w:p>
    <w:p w14:paraId="65073584" w14:textId="77777777" w:rsidR="00D64EB0" w:rsidRPr="000F056F" w:rsidRDefault="00D007DC" w:rsidP="00D64EB0">
      <w:pPr>
        <w:keepNext/>
        <w:tabs>
          <w:tab w:val="left" w:pos="7839"/>
        </w:tabs>
        <w:jc w:val="center"/>
        <w:rPr>
          <w:lang w:val="en-CA"/>
        </w:rPr>
      </w:pPr>
      <w:r w:rsidRPr="000F056F">
        <w:rPr>
          <w:rFonts w:ascii="Arial" w:eastAsia="Calibri" w:hAnsi="Arial"/>
          <w:noProof/>
          <w:sz w:val="22"/>
          <w:szCs w:val="22"/>
          <w:lang w:val="en-CA" w:eastAsia="en-CA"/>
        </w:rPr>
        <w:drawing>
          <wp:inline distT="0" distB="0" distL="0" distR="0" wp14:anchorId="381E51B2" wp14:editId="35F03711">
            <wp:extent cx="5648400" cy="3049200"/>
            <wp:effectExtent l="0" t="0" r="9525" b="18415"/>
            <wp:docPr id="6" name="Chart 6" descr="Staffing by region&#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F7FD0B1" w14:textId="667C0FE5" w:rsidR="00D007DC" w:rsidRPr="000F056F" w:rsidRDefault="00D64EB0" w:rsidP="00D64EB0">
      <w:pPr>
        <w:pStyle w:val="Caption"/>
        <w:spacing w:after="0"/>
        <w:jc w:val="center"/>
        <w:rPr>
          <w:rFonts w:asciiTheme="minorHAnsi" w:eastAsia="Calibri" w:hAnsiTheme="minorHAnsi" w:cstheme="minorHAnsi"/>
          <w:i w:val="0"/>
          <w:iCs w:val="0"/>
          <w:noProof/>
          <w:color w:val="auto"/>
          <w:sz w:val="22"/>
          <w:szCs w:val="22"/>
          <w:lang w:val="en-CA" w:eastAsia="en-CA"/>
        </w:rPr>
      </w:pPr>
      <w:r w:rsidRPr="000F056F">
        <w:rPr>
          <w:rFonts w:asciiTheme="minorHAnsi" w:hAnsiTheme="minorHAnsi" w:cstheme="minorHAnsi"/>
          <w:i w:val="0"/>
          <w:iCs w:val="0"/>
          <w:color w:val="auto"/>
          <w:lang w:val="en-CA"/>
        </w:rPr>
        <w:t xml:space="preserve">Figure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Figure \* ARABIC </w:instrText>
      </w:r>
      <w:r w:rsidRPr="000F056F">
        <w:rPr>
          <w:rFonts w:asciiTheme="minorHAnsi" w:hAnsiTheme="minorHAnsi" w:cstheme="minorHAnsi"/>
          <w:i w:val="0"/>
          <w:iCs w:val="0"/>
          <w:color w:val="auto"/>
          <w:lang w:val="en-CA"/>
        </w:rPr>
        <w:fldChar w:fldCharType="separate"/>
      </w:r>
      <w:r w:rsidR="00A16ADA" w:rsidRPr="000F056F">
        <w:rPr>
          <w:rFonts w:asciiTheme="minorHAnsi" w:hAnsiTheme="minorHAnsi" w:cstheme="minorHAnsi"/>
          <w:i w:val="0"/>
          <w:iCs w:val="0"/>
          <w:noProof/>
          <w:color w:val="auto"/>
          <w:lang w:val="en-CA"/>
        </w:rPr>
        <w:t>6</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Staffing by region</w:t>
      </w:r>
    </w:p>
    <w:p w14:paraId="63E6DAB1" w14:textId="1AA3C817" w:rsidR="00D64EB0" w:rsidRPr="000F056F" w:rsidRDefault="00D64EB0" w:rsidP="00D64EB0">
      <w:pPr>
        <w:pStyle w:val="Caption"/>
        <w:keepNext/>
        <w:spacing w:before="240" w:after="0"/>
        <w:jc w:val="center"/>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Table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Table \* ARABIC </w:instrText>
      </w:r>
      <w:r w:rsidRPr="000F056F">
        <w:rPr>
          <w:rFonts w:asciiTheme="minorHAnsi" w:hAnsiTheme="minorHAnsi" w:cstheme="minorHAnsi"/>
          <w:i w:val="0"/>
          <w:iCs w:val="0"/>
          <w:color w:val="auto"/>
          <w:lang w:val="en-CA"/>
        </w:rPr>
        <w:fldChar w:fldCharType="separate"/>
      </w:r>
      <w:r w:rsidR="00E4530D" w:rsidRPr="000F056F">
        <w:rPr>
          <w:rFonts w:asciiTheme="minorHAnsi" w:hAnsiTheme="minorHAnsi" w:cstheme="minorHAnsi"/>
          <w:i w:val="0"/>
          <w:iCs w:val="0"/>
          <w:noProof/>
          <w:color w:val="auto"/>
          <w:lang w:val="en-CA"/>
        </w:rPr>
        <w:t>8</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Percentage of staffing activities in the National Capital Region compared with all other regions by fiscal year</w:t>
      </w:r>
    </w:p>
    <w:tbl>
      <w:tblPr>
        <w:tblStyle w:val="TableGrid"/>
        <w:tblW w:w="5000" w:type="pct"/>
        <w:jc w:val="center"/>
        <w:tblLook w:val="0020" w:firstRow="1" w:lastRow="0" w:firstColumn="0" w:lastColumn="0" w:noHBand="0" w:noVBand="0"/>
        <w:tblDescription w:val="Staffing by region from 2015 to 2020"/>
      </w:tblPr>
      <w:tblGrid>
        <w:gridCol w:w="2191"/>
        <w:gridCol w:w="6170"/>
        <w:gridCol w:w="6029"/>
      </w:tblGrid>
      <w:tr w:rsidR="00D64EB0" w:rsidRPr="000F056F" w14:paraId="7E899D71" w14:textId="77777777" w:rsidTr="00053B83">
        <w:trPr>
          <w:cantSplit/>
          <w:trHeight w:val="290"/>
          <w:tblHeader/>
          <w:jc w:val="center"/>
        </w:trPr>
        <w:tc>
          <w:tcPr>
            <w:tcW w:w="761" w:type="pct"/>
          </w:tcPr>
          <w:p w14:paraId="422BCD19" w14:textId="77777777" w:rsidR="00D007DC" w:rsidRPr="000F056F" w:rsidRDefault="00D007DC" w:rsidP="00D64EB0">
            <w:pPr>
              <w:pStyle w:val="TableTitle"/>
              <w:rPr>
                <w:color w:val="auto"/>
                <w:szCs w:val="22"/>
                <w:lang w:val="en-CA"/>
              </w:rPr>
            </w:pPr>
            <w:r w:rsidRPr="000F056F">
              <w:rPr>
                <w:color w:val="auto"/>
                <w:szCs w:val="22"/>
                <w:lang w:val="en-CA"/>
              </w:rPr>
              <w:t>Fiscal year</w:t>
            </w:r>
          </w:p>
        </w:tc>
        <w:tc>
          <w:tcPr>
            <w:tcW w:w="2144" w:type="pct"/>
          </w:tcPr>
          <w:p w14:paraId="2568222F" w14:textId="77777777" w:rsidR="00D007DC" w:rsidRPr="000F056F" w:rsidRDefault="00D007DC" w:rsidP="00D64EB0">
            <w:pPr>
              <w:pStyle w:val="TableTitle"/>
              <w:rPr>
                <w:color w:val="auto"/>
                <w:szCs w:val="22"/>
                <w:lang w:val="en-CA"/>
              </w:rPr>
            </w:pPr>
            <w:r w:rsidRPr="000F056F">
              <w:rPr>
                <w:color w:val="auto"/>
                <w:szCs w:val="22"/>
                <w:lang w:val="en-CA"/>
              </w:rPr>
              <w:t>Percentage of staffing activities in the National Capital Region (NCR)</w:t>
            </w:r>
          </w:p>
        </w:tc>
        <w:tc>
          <w:tcPr>
            <w:tcW w:w="2096" w:type="pct"/>
          </w:tcPr>
          <w:p w14:paraId="26F42058" w14:textId="77777777" w:rsidR="00D007DC" w:rsidRPr="000F056F" w:rsidRDefault="00D007DC" w:rsidP="00D64EB0">
            <w:pPr>
              <w:pStyle w:val="TableTitle"/>
              <w:rPr>
                <w:color w:val="auto"/>
                <w:szCs w:val="22"/>
                <w:lang w:val="en-CA"/>
              </w:rPr>
            </w:pPr>
            <w:r w:rsidRPr="000F056F">
              <w:rPr>
                <w:color w:val="auto"/>
                <w:szCs w:val="22"/>
                <w:lang w:val="en-CA"/>
              </w:rPr>
              <w:t>Percentage of staffing activities in all other regions (Non-NCR)</w:t>
            </w:r>
          </w:p>
        </w:tc>
      </w:tr>
      <w:tr w:rsidR="00D64EB0" w:rsidRPr="000F056F" w14:paraId="0405E217" w14:textId="77777777" w:rsidTr="00053B83">
        <w:trPr>
          <w:cantSplit/>
          <w:trHeight w:val="290"/>
          <w:tblHeader/>
          <w:jc w:val="center"/>
        </w:trPr>
        <w:tc>
          <w:tcPr>
            <w:tcW w:w="761" w:type="pct"/>
          </w:tcPr>
          <w:p w14:paraId="0069F137"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2015 to 2016</w:t>
            </w:r>
          </w:p>
        </w:tc>
        <w:tc>
          <w:tcPr>
            <w:tcW w:w="2144" w:type="pct"/>
          </w:tcPr>
          <w:p w14:paraId="7B577383"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c>
          <w:tcPr>
            <w:tcW w:w="2096" w:type="pct"/>
          </w:tcPr>
          <w:p w14:paraId="64F7730F"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100%</w:t>
            </w:r>
          </w:p>
        </w:tc>
      </w:tr>
      <w:tr w:rsidR="00D64EB0" w:rsidRPr="000F056F" w14:paraId="03B541EB" w14:textId="77777777" w:rsidTr="00053B83">
        <w:trPr>
          <w:cantSplit/>
          <w:trHeight w:val="290"/>
          <w:tblHeader/>
          <w:jc w:val="center"/>
        </w:trPr>
        <w:tc>
          <w:tcPr>
            <w:tcW w:w="761" w:type="pct"/>
          </w:tcPr>
          <w:p w14:paraId="70BF4573"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2016 to 2017</w:t>
            </w:r>
          </w:p>
        </w:tc>
        <w:tc>
          <w:tcPr>
            <w:tcW w:w="2144" w:type="pct"/>
          </w:tcPr>
          <w:p w14:paraId="74D83659"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c>
          <w:tcPr>
            <w:tcW w:w="2096" w:type="pct"/>
          </w:tcPr>
          <w:p w14:paraId="25A9F1FD"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100%</w:t>
            </w:r>
          </w:p>
        </w:tc>
      </w:tr>
      <w:tr w:rsidR="00D64EB0" w:rsidRPr="000F056F" w14:paraId="7271E862" w14:textId="77777777" w:rsidTr="00053B83">
        <w:trPr>
          <w:cantSplit/>
          <w:trHeight w:val="290"/>
          <w:tblHeader/>
          <w:jc w:val="center"/>
        </w:trPr>
        <w:tc>
          <w:tcPr>
            <w:tcW w:w="761" w:type="pct"/>
          </w:tcPr>
          <w:p w14:paraId="5BAE8107"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2017 to 2018</w:t>
            </w:r>
          </w:p>
        </w:tc>
        <w:tc>
          <w:tcPr>
            <w:tcW w:w="2144" w:type="pct"/>
          </w:tcPr>
          <w:p w14:paraId="5098CD46"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c>
          <w:tcPr>
            <w:tcW w:w="2096" w:type="pct"/>
          </w:tcPr>
          <w:p w14:paraId="1107C735"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100%</w:t>
            </w:r>
          </w:p>
        </w:tc>
      </w:tr>
      <w:tr w:rsidR="00D64EB0" w:rsidRPr="000F056F" w14:paraId="3A1AD134" w14:textId="77777777" w:rsidTr="00053B83">
        <w:trPr>
          <w:cantSplit/>
          <w:trHeight w:val="290"/>
          <w:tblHeader/>
          <w:jc w:val="center"/>
        </w:trPr>
        <w:tc>
          <w:tcPr>
            <w:tcW w:w="761" w:type="pct"/>
          </w:tcPr>
          <w:p w14:paraId="16ECF748"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2018 to 2019</w:t>
            </w:r>
          </w:p>
        </w:tc>
        <w:tc>
          <w:tcPr>
            <w:tcW w:w="2144" w:type="pct"/>
          </w:tcPr>
          <w:p w14:paraId="1BD74C6A"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w:t>
            </w:r>
          </w:p>
        </w:tc>
        <w:tc>
          <w:tcPr>
            <w:tcW w:w="2096" w:type="pct"/>
          </w:tcPr>
          <w:p w14:paraId="2D9B4E62"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99%</w:t>
            </w:r>
          </w:p>
        </w:tc>
      </w:tr>
      <w:tr w:rsidR="00D64EB0" w:rsidRPr="000F056F" w14:paraId="336B58D8" w14:textId="77777777" w:rsidTr="00053B83">
        <w:trPr>
          <w:cantSplit/>
          <w:trHeight w:val="290"/>
          <w:tblHeader/>
          <w:jc w:val="center"/>
        </w:trPr>
        <w:tc>
          <w:tcPr>
            <w:tcW w:w="761" w:type="pct"/>
          </w:tcPr>
          <w:p w14:paraId="31D89C4C"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2019 to 2020</w:t>
            </w:r>
          </w:p>
        </w:tc>
        <w:tc>
          <w:tcPr>
            <w:tcW w:w="2144" w:type="pct"/>
          </w:tcPr>
          <w:p w14:paraId="5DF0D25E"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c>
          <w:tcPr>
            <w:tcW w:w="2096" w:type="pct"/>
          </w:tcPr>
          <w:p w14:paraId="7AC35A47"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100%</w:t>
            </w:r>
          </w:p>
        </w:tc>
      </w:tr>
    </w:tbl>
    <w:p w14:paraId="431F7601" w14:textId="68727FE7" w:rsidR="00D007DC" w:rsidRPr="000F056F" w:rsidRDefault="00D007DC" w:rsidP="00D007DC">
      <w:pPr>
        <w:pStyle w:val="ListParagraph"/>
        <w:numPr>
          <w:ilvl w:val="0"/>
          <w:numId w:val="27"/>
        </w:numPr>
        <w:spacing w:after="100" w:afterAutospacing="1"/>
        <w:contextualSpacing w:val="0"/>
        <w:rPr>
          <w:rFonts w:asciiTheme="minorHAnsi" w:hAnsiTheme="minorHAnsi" w:cstheme="minorHAnsi"/>
          <w:sz w:val="22"/>
          <w:szCs w:val="22"/>
          <w:lang w:val="en-CA"/>
        </w:rPr>
      </w:pPr>
      <w:r w:rsidRPr="000F056F">
        <w:rPr>
          <w:rFonts w:asciiTheme="minorHAnsi" w:hAnsiTheme="minorHAnsi" w:cstheme="minorHAnsi"/>
          <w:sz w:val="22"/>
          <w:szCs w:val="22"/>
          <w:lang w:val="en-CA"/>
        </w:rPr>
        <w:t>Regional distribution excludes unknowns</w:t>
      </w:r>
    </w:p>
    <w:p w14:paraId="1D5FA682" w14:textId="77777777" w:rsidR="00D007DC" w:rsidRPr="000F056F" w:rsidRDefault="00D007DC" w:rsidP="002944FE">
      <w:pPr>
        <w:tabs>
          <w:tab w:val="left" w:pos="7839"/>
        </w:tabs>
        <w:rPr>
          <w:rFonts w:ascii="Arial" w:eastAsia="Calibri" w:hAnsi="Arial"/>
          <w:noProof/>
          <w:sz w:val="22"/>
          <w:szCs w:val="22"/>
          <w:lang w:val="en-CA" w:eastAsia="en-CA"/>
        </w:rPr>
        <w:sectPr w:rsidR="00D007DC" w:rsidRPr="000F056F" w:rsidSect="008D03AB">
          <w:pgSz w:w="15840" w:h="12240" w:orient="landscape"/>
          <w:pgMar w:top="1025" w:right="720" w:bottom="720" w:left="720" w:header="708" w:footer="708" w:gutter="0"/>
          <w:cols w:space="708"/>
          <w:titlePg/>
          <w:docGrid w:linePitch="360"/>
        </w:sectPr>
      </w:pPr>
    </w:p>
    <w:p w14:paraId="6A0DC855" w14:textId="77777777" w:rsidR="006D1F60" w:rsidRPr="000F056F" w:rsidRDefault="006D1F60" w:rsidP="006D1F60">
      <w:pPr>
        <w:pStyle w:val="Heading1"/>
        <w:spacing w:before="120" w:after="120"/>
        <w:rPr>
          <w:rFonts w:eastAsia="Calibri"/>
          <w:noProof/>
          <w:sz w:val="40"/>
          <w:szCs w:val="40"/>
          <w:lang w:val="en-CA" w:eastAsia="en-CA"/>
        </w:rPr>
      </w:pPr>
      <w:r w:rsidRPr="000F056F">
        <w:rPr>
          <w:rFonts w:eastAsia="Calibri"/>
          <w:noProof/>
          <w:sz w:val="40"/>
          <w:szCs w:val="40"/>
          <w:lang w:val="en-CA" w:eastAsia="en-CA"/>
        </w:rPr>
        <w:lastRenderedPageBreak/>
        <w:t>Staffing by process type</w:t>
      </w:r>
    </w:p>
    <w:p w14:paraId="66BDE8C5" w14:textId="77777777" w:rsidR="006D1F60" w:rsidRPr="000F056F" w:rsidRDefault="00D007DC" w:rsidP="006D1F60">
      <w:pPr>
        <w:keepNext/>
        <w:tabs>
          <w:tab w:val="left" w:pos="7839"/>
        </w:tabs>
        <w:jc w:val="center"/>
        <w:rPr>
          <w:lang w:val="en-CA"/>
        </w:rPr>
      </w:pPr>
      <w:r w:rsidRPr="000F056F">
        <w:rPr>
          <w:rFonts w:ascii="Arial" w:eastAsia="Calibri" w:hAnsi="Arial"/>
          <w:noProof/>
          <w:sz w:val="22"/>
          <w:szCs w:val="22"/>
          <w:lang w:val="en-CA" w:eastAsia="en-CA"/>
        </w:rPr>
        <w:drawing>
          <wp:inline distT="0" distB="0" distL="0" distR="0" wp14:anchorId="24DE3527" wp14:editId="0F74E1E3">
            <wp:extent cx="5648400" cy="3049200"/>
            <wp:effectExtent l="0" t="0" r="9525" b="18415"/>
            <wp:docPr id="1" name="Chart 1" descr="Staffing by process typ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B23D8D9" w14:textId="4ACD2481" w:rsidR="00D007DC" w:rsidRPr="000F056F" w:rsidRDefault="006D1F60" w:rsidP="006D1F60">
      <w:pPr>
        <w:pStyle w:val="Caption"/>
        <w:spacing w:after="0"/>
        <w:jc w:val="center"/>
        <w:rPr>
          <w:rFonts w:asciiTheme="minorHAnsi" w:eastAsia="Calibri" w:hAnsiTheme="minorHAnsi" w:cstheme="minorHAnsi"/>
          <w:i w:val="0"/>
          <w:iCs w:val="0"/>
          <w:color w:val="auto"/>
          <w:sz w:val="22"/>
          <w:szCs w:val="22"/>
          <w:lang w:val="en-CA"/>
        </w:rPr>
      </w:pPr>
      <w:r w:rsidRPr="000F056F">
        <w:rPr>
          <w:rFonts w:asciiTheme="minorHAnsi" w:hAnsiTheme="minorHAnsi" w:cstheme="minorHAnsi"/>
          <w:i w:val="0"/>
          <w:iCs w:val="0"/>
          <w:color w:val="auto"/>
          <w:lang w:val="en-CA"/>
        </w:rPr>
        <w:t xml:space="preserve">Figure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Figure \* ARABIC </w:instrText>
      </w:r>
      <w:r w:rsidRPr="000F056F">
        <w:rPr>
          <w:rFonts w:asciiTheme="minorHAnsi" w:hAnsiTheme="minorHAnsi" w:cstheme="minorHAnsi"/>
          <w:i w:val="0"/>
          <w:iCs w:val="0"/>
          <w:color w:val="auto"/>
          <w:lang w:val="en-CA"/>
        </w:rPr>
        <w:fldChar w:fldCharType="separate"/>
      </w:r>
      <w:r w:rsidR="00A16ADA" w:rsidRPr="000F056F">
        <w:rPr>
          <w:rFonts w:asciiTheme="minorHAnsi" w:hAnsiTheme="minorHAnsi" w:cstheme="minorHAnsi"/>
          <w:i w:val="0"/>
          <w:iCs w:val="0"/>
          <w:noProof/>
          <w:color w:val="auto"/>
          <w:lang w:val="en-CA"/>
        </w:rPr>
        <w:t>7</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External indeterminate hires by occupational group, 2019-2020</w:t>
      </w:r>
    </w:p>
    <w:p w14:paraId="2C2B85EB" w14:textId="47521FE5" w:rsidR="006D1F60" w:rsidRPr="000F056F" w:rsidRDefault="006D1F60" w:rsidP="006D1F60">
      <w:pPr>
        <w:pStyle w:val="Caption"/>
        <w:keepNext/>
        <w:spacing w:before="240" w:after="0"/>
        <w:jc w:val="center"/>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Table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Table \* ARABIC </w:instrText>
      </w:r>
      <w:r w:rsidRPr="000F056F">
        <w:rPr>
          <w:rFonts w:asciiTheme="minorHAnsi" w:hAnsiTheme="minorHAnsi" w:cstheme="minorHAnsi"/>
          <w:i w:val="0"/>
          <w:iCs w:val="0"/>
          <w:color w:val="auto"/>
          <w:lang w:val="en-CA"/>
        </w:rPr>
        <w:fldChar w:fldCharType="separate"/>
      </w:r>
      <w:r w:rsidR="00E4530D" w:rsidRPr="000F056F">
        <w:rPr>
          <w:rFonts w:asciiTheme="minorHAnsi" w:hAnsiTheme="minorHAnsi" w:cstheme="minorHAnsi"/>
          <w:i w:val="0"/>
          <w:iCs w:val="0"/>
          <w:noProof/>
          <w:color w:val="auto"/>
          <w:lang w:val="en-CA"/>
        </w:rPr>
        <w:t>9</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Number and percentage of staffing activities by type of process and fiscal year</w:t>
      </w:r>
    </w:p>
    <w:tbl>
      <w:tblPr>
        <w:tblStyle w:val="TableGrid"/>
        <w:tblW w:w="5000" w:type="pct"/>
        <w:jc w:val="center"/>
        <w:tblLook w:val="0020" w:firstRow="1" w:lastRow="0" w:firstColumn="0" w:lastColumn="0" w:noHBand="0" w:noVBand="0"/>
        <w:tblDescription w:val="Staffing by process type from 2015 to 2020"/>
      </w:tblPr>
      <w:tblGrid>
        <w:gridCol w:w="1695"/>
        <w:gridCol w:w="5103"/>
        <w:gridCol w:w="3828"/>
        <w:gridCol w:w="3764"/>
      </w:tblGrid>
      <w:tr w:rsidR="006D1F60" w:rsidRPr="000F056F" w14:paraId="51036305" w14:textId="77777777" w:rsidTr="00053B83">
        <w:trPr>
          <w:cantSplit/>
          <w:trHeight w:val="290"/>
          <w:tblHeader/>
          <w:jc w:val="center"/>
        </w:trPr>
        <w:tc>
          <w:tcPr>
            <w:tcW w:w="589" w:type="pct"/>
          </w:tcPr>
          <w:p w14:paraId="7B4DBC0A" w14:textId="77777777" w:rsidR="00D007DC" w:rsidRPr="000F056F" w:rsidRDefault="00D007DC" w:rsidP="006D1F60">
            <w:pPr>
              <w:pStyle w:val="TableTitle"/>
              <w:rPr>
                <w:color w:val="auto"/>
                <w:szCs w:val="22"/>
                <w:lang w:val="en-CA"/>
              </w:rPr>
            </w:pPr>
            <w:r w:rsidRPr="000F056F">
              <w:rPr>
                <w:color w:val="auto"/>
                <w:szCs w:val="22"/>
                <w:lang w:val="en-CA"/>
              </w:rPr>
              <w:t>Fiscal year</w:t>
            </w:r>
          </w:p>
        </w:tc>
        <w:tc>
          <w:tcPr>
            <w:tcW w:w="1773" w:type="pct"/>
          </w:tcPr>
          <w:p w14:paraId="7033D067" w14:textId="77777777" w:rsidR="00D007DC" w:rsidRPr="000F056F" w:rsidRDefault="00D007DC" w:rsidP="006D1F60">
            <w:pPr>
              <w:pStyle w:val="TableTitle"/>
              <w:rPr>
                <w:color w:val="auto"/>
                <w:szCs w:val="22"/>
                <w:lang w:val="en-CA"/>
              </w:rPr>
            </w:pPr>
            <w:r w:rsidRPr="000F056F">
              <w:rPr>
                <w:color w:val="auto"/>
                <w:szCs w:val="22"/>
                <w:lang w:val="en-CA"/>
              </w:rPr>
              <w:t>Non-advertised processes (excludes unknowns)</w:t>
            </w:r>
          </w:p>
        </w:tc>
        <w:tc>
          <w:tcPr>
            <w:tcW w:w="1330" w:type="pct"/>
          </w:tcPr>
          <w:p w14:paraId="0ECEFA87" w14:textId="77777777" w:rsidR="00D007DC" w:rsidRPr="000F056F" w:rsidRDefault="00D007DC" w:rsidP="006D1F60">
            <w:pPr>
              <w:pStyle w:val="TableTitle"/>
              <w:rPr>
                <w:color w:val="auto"/>
                <w:szCs w:val="22"/>
                <w:lang w:val="en-CA"/>
              </w:rPr>
            </w:pPr>
            <w:r w:rsidRPr="000F056F">
              <w:rPr>
                <w:color w:val="auto"/>
                <w:szCs w:val="22"/>
                <w:lang w:val="en-CA"/>
              </w:rPr>
              <w:t>Advertised processes</w:t>
            </w:r>
          </w:p>
        </w:tc>
        <w:tc>
          <w:tcPr>
            <w:tcW w:w="1308" w:type="pct"/>
          </w:tcPr>
          <w:p w14:paraId="356DD14E" w14:textId="77777777" w:rsidR="00D007DC" w:rsidRPr="000F056F" w:rsidRDefault="00D007DC" w:rsidP="006D1F60">
            <w:pPr>
              <w:pStyle w:val="TableTitle"/>
              <w:rPr>
                <w:color w:val="auto"/>
                <w:szCs w:val="22"/>
                <w:lang w:val="en-CA"/>
              </w:rPr>
            </w:pPr>
            <w:r w:rsidRPr="000F056F">
              <w:rPr>
                <w:color w:val="auto"/>
                <w:szCs w:val="22"/>
                <w:lang w:val="en-CA"/>
              </w:rPr>
              <w:t>% of Non- advertised processes</w:t>
            </w:r>
          </w:p>
        </w:tc>
      </w:tr>
      <w:tr w:rsidR="006D1F60" w:rsidRPr="000F056F" w14:paraId="433AE7C7" w14:textId="77777777" w:rsidTr="00053B83">
        <w:trPr>
          <w:cantSplit/>
          <w:trHeight w:val="290"/>
          <w:tblHeader/>
          <w:jc w:val="center"/>
        </w:trPr>
        <w:tc>
          <w:tcPr>
            <w:tcW w:w="589" w:type="pct"/>
          </w:tcPr>
          <w:p w14:paraId="09FA8DD0"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2015 to 2016 </w:t>
            </w:r>
          </w:p>
        </w:tc>
        <w:tc>
          <w:tcPr>
            <w:tcW w:w="1773" w:type="pct"/>
          </w:tcPr>
          <w:p w14:paraId="6C1F139D"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10</w:t>
            </w:r>
          </w:p>
        </w:tc>
        <w:tc>
          <w:tcPr>
            <w:tcW w:w="1330" w:type="pct"/>
          </w:tcPr>
          <w:p w14:paraId="7F4070EE"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24</w:t>
            </w:r>
          </w:p>
        </w:tc>
        <w:tc>
          <w:tcPr>
            <w:tcW w:w="1308" w:type="pct"/>
          </w:tcPr>
          <w:p w14:paraId="66396740"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29%</w:t>
            </w:r>
          </w:p>
        </w:tc>
      </w:tr>
      <w:tr w:rsidR="006D1F60" w:rsidRPr="000F056F" w14:paraId="616D5FB3" w14:textId="77777777" w:rsidTr="00053B83">
        <w:trPr>
          <w:cantSplit/>
          <w:trHeight w:val="290"/>
          <w:tblHeader/>
          <w:jc w:val="center"/>
        </w:trPr>
        <w:tc>
          <w:tcPr>
            <w:tcW w:w="589" w:type="pct"/>
          </w:tcPr>
          <w:p w14:paraId="45DA9BDA"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2016 to 2017</w:t>
            </w:r>
          </w:p>
        </w:tc>
        <w:tc>
          <w:tcPr>
            <w:tcW w:w="1773" w:type="pct"/>
          </w:tcPr>
          <w:p w14:paraId="6E99DCE0"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25</w:t>
            </w:r>
          </w:p>
        </w:tc>
        <w:tc>
          <w:tcPr>
            <w:tcW w:w="1330" w:type="pct"/>
          </w:tcPr>
          <w:p w14:paraId="1FBB5FAF"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68</w:t>
            </w:r>
          </w:p>
        </w:tc>
        <w:tc>
          <w:tcPr>
            <w:tcW w:w="1308" w:type="pct"/>
          </w:tcPr>
          <w:p w14:paraId="72527C09"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27%</w:t>
            </w:r>
          </w:p>
        </w:tc>
      </w:tr>
      <w:tr w:rsidR="006D1F60" w:rsidRPr="000F056F" w14:paraId="5DE830D6" w14:textId="77777777" w:rsidTr="00053B83">
        <w:trPr>
          <w:cantSplit/>
          <w:trHeight w:val="290"/>
          <w:tblHeader/>
          <w:jc w:val="center"/>
        </w:trPr>
        <w:tc>
          <w:tcPr>
            <w:tcW w:w="589" w:type="pct"/>
          </w:tcPr>
          <w:p w14:paraId="3BFD4EBD"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2017 to 2018</w:t>
            </w:r>
          </w:p>
        </w:tc>
        <w:tc>
          <w:tcPr>
            <w:tcW w:w="1773" w:type="pct"/>
          </w:tcPr>
          <w:p w14:paraId="7FC27409"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24</w:t>
            </w:r>
          </w:p>
        </w:tc>
        <w:tc>
          <w:tcPr>
            <w:tcW w:w="1330" w:type="pct"/>
          </w:tcPr>
          <w:p w14:paraId="61EA7321"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52</w:t>
            </w:r>
          </w:p>
        </w:tc>
        <w:tc>
          <w:tcPr>
            <w:tcW w:w="1308" w:type="pct"/>
          </w:tcPr>
          <w:p w14:paraId="7A4FAE8C"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32%</w:t>
            </w:r>
          </w:p>
        </w:tc>
      </w:tr>
      <w:tr w:rsidR="006D1F60" w:rsidRPr="000F056F" w14:paraId="61065819" w14:textId="77777777" w:rsidTr="00053B83">
        <w:trPr>
          <w:cantSplit/>
          <w:trHeight w:val="290"/>
          <w:tblHeader/>
          <w:jc w:val="center"/>
        </w:trPr>
        <w:tc>
          <w:tcPr>
            <w:tcW w:w="589" w:type="pct"/>
          </w:tcPr>
          <w:p w14:paraId="2FA664E0"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2018 to 2019</w:t>
            </w:r>
          </w:p>
        </w:tc>
        <w:tc>
          <w:tcPr>
            <w:tcW w:w="1773" w:type="pct"/>
          </w:tcPr>
          <w:p w14:paraId="1D78A4C4"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29</w:t>
            </w:r>
          </w:p>
        </w:tc>
        <w:tc>
          <w:tcPr>
            <w:tcW w:w="1330" w:type="pct"/>
          </w:tcPr>
          <w:p w14:paraId="3855C04E"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75</w:t>
            </w:r>
          </w:p>
        </w:tc>
        <w:tc>
          <w:tcPr>
            <w:tcW w:w="1308" w:type="pct"/>
          </w:tcPr>
          <w:p w14:paraId="4CBF46A7"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28%</w:t>
            </w:r>
          </w:p>
        </w:tc>
      </w:tr>
      <w:tr w:rsidR="006D1F60" w:rsidRPr="000F056F" w14:paraId="63578F61" w14:textId="77777777" w:rsidTr="00053B83">
        <w:trPr>
          <w:cantSplit/>
          <w:trHeight w:val="290"/>
          <w:tblHeader/>
          <w:jc w:val="center"/>
        </w:trPr>
        <w:tc>
          <w:tcPr>
            <w:tcW w:w="589" w:type="pct"/>
          </w:tcPr>
          <w:p w14:paraId="4B6E9258"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2019 to 2020</w:t>
            </w:r>
          </w:p>
        </w:tc>
        <w:tc>
          <w:tcPr>
            <w:tcW w:w="1773" w:type="pct"/>
          </w:tcPr>
          <w:p w14:paraId="6BF11CF2"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35</w:t>
            </w:r>
          </w:p>
        </w:tc>
        <w:tc>
          <w:tcPr>
            <w:tcW w:w="1330" w:type="pct"/>
          </w:tcPr>
          <w:p w14:paraId="1BF06E19"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70</w:t>
            </w:r>
          </w:p>
        </w:tc>
        <w:tc>
          <w:tcPr>
            <w:tcW w:w="1308" w:type="pct"/>
          </w:tcPr>
          <w:p w14:paraId="71BC640F"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33%</w:t>
            </w:r>
          </w:p>
        </w:tc>
      </w:tr>
    </w:tbl>
    <w:p w14:paraId="312466DD" w14:textId="77777777" w:rsidR="00D007DC" w:rsidRPr="000F056F" w:rsidRDefault="00D007DC" w:rsidP="006D1F60">
      <w:pPr>
        <w:pStyle w:val="ListParagraph"/>
        <w:numPr>
          <w:ilvl w:val="0"/>
          <w:numId w:val="25"/>
        </w:numPr>
        <w:spacing w:after="0"/>
        <w:contextualSpacing w:val="0"/>
        <w:rPr>
          <w:rFonts w:asciiTheme="minorHAnsi" w:hAnsiTheme="minorHAnsi" w:cstheme="minorHAnsi"/>
          <w:sz w:val="22"/>
          <w:szCs w:val="22"/>
          <w:lang w:val="en-CA"/>
        </w:rPr>
      </w:pPr>
      <w:r w:rsidRPr="000F056F">
        <w:rPr>
          <w:rFonts w:asciiTheme="minorHAnsi" w:hAnsiTheme="minorHAnsi" w:cstheme="minorHAnsi"/>
          <w:sz w:val="22"/>
          <w:szCs w:val="22"/>
          <w:lang w:val="en-CA"/>
        </w:rPr>
        <w:t>Includes indeterminate and specified term appointments</w:t>
      </w:r>
    </w:p>
    <w:p w14:paraId="5C8AF1F8" w14:textId="77777777" w:rsidR="00D007DC" w:rsidRPr="000F056F" w:rsidRDefault="00D007DC" w:rsidP="006D1F60">
      <w:pPr>
        <w:pStyle w:val="ListParagraph"/>
        <w:numPr>
          <w:ilvl w:val="0"/>
          <w:numId w:val="25"/>
        </w:numPr>
        <w:spacing w:after="0"/>
        <w:contextualSpacing w:val="0"/>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Excludes lateral and downward movements, </w:t>
      </w:r>
      <w:proofErr w:type="gramStart"/>
      <w:r w:rsidRPr="000F056F">
        <w:rPr>
          <w:rFonts w:asciiTheme="minorHAnsi" w:hAnsiTheme="minorHAnsi" w:cstheme="minorHAnsi"/>
          <w:sz w:val="22"/>
          <w:szCs w:val="22"/>
          <w:lang w:val="en-CA"/>
        </w:rPr>
        <w:t>deployments</w:t>
      </w:r>
      <w:proofErr w:type="gramEnd"/>
      <w:r w:rsidRPr="000F056F">
        <w:rPr>
          <w:rFonts w:asciiTheme="minorHAnsi" w:hAnsiTheme="minorHAnsi" w:cstheme="minorHAnsi"/>
          <w:sz w:val="22"/>
          <w:szCs w:val="22"/>
          <w:lang w:val="en-CA"/>
        </w:rPr>
        <w:t xml:space="preserve"> and acting appointments of less than 4 months</w:t>
      </w:r>
    </w:p>
    <w:p w14:paraId="59718E16" w14:textId="77777777" w:rsidR="00D007DC" w:rsidRPr="000F056F" w:rsidRDefault="00D007DC" w:rsidP="00D007DC">
      <w:pPr>
        <w:pStyle w:val="ListParagraph"/>
        <w:numPr>
          <w:ilvl w:val="0"/>
          <w:numId w:val="25"/>
        </w:numPr>
        <w:spacing w:before="100" w:beforeAutospacing="1" w:after="100" w:afterAutospacing="1"/>
        <w:contextualSpacing w:val="0"/>
        <w:rPr>
          <w:rFonts w:asciiTheme="minorHAnsi" w:hAnsiTheme="minorHAnsi" w:cstheme="minorHAnsi"/>
          <w:sz w:val="22"/>
          <w:szCs w:val="22"/>
          <w:lang w:val="en-CA"/>
        </w:rPr>
      </w:pPr>
      <w:r w:rsidRPr="000F056F">
        <w:rPr>
          <w:rFonts w:asciiTheme="minorHAnsi" w:hAnsiTheme="minorHAnsi" w:cstheme="minorHAnsi"/>
          <w:sz w:val="22"/>
          <w:szCs w:val="22"/>
          <w:lang w:val="en-CA"/>
        </w:rPr>
        <w:t>Includes only appointments where the staffing process type is known (68% to 92% of appointments)</w:t>
      </w:r>
    </w:p>
    <w:p w14:paraId="7CB0B0AB" w14:textId="77777777" w:rsidR="00D007DC" w:rsidRPr="000F056F" w:rsidRDefault="00D007DC" w:rsidP="002944FE">
      <w:pPr>
        <w:tabs>
          <w:tab w:val="left" w:pos="7839"/>
        </w:tabs>
        <w:rPr>
          <w:rFonts w:ascii="Arial" w:eastAsia="Calibri" w:hAnsi="Arial"/>
          <w:sz w:val="22"/>
          <w:szCs w:val="22"/>
          <w:lang w:val="en-CA"/>
        </w:rPr>
        <w:sectPr w:rsidR="00D007DC" w:rsidRPr="000F056F" w:rsidSect="008D03AB">
          <w:pgSz w:w="15840" w:h="12240" w:orient="landscape"/>
          <w:pgMar w:top="1025" w:right="720" w:bottom="720" w:left="720" w:header="708" w:footer="708" w:gutter="0"/>
          <w:cols w:space="708"/>
          <w:titlePg/>
          <w:docGrid w:linePitch="360"/>
        </w:sectPr>
      </w:pPr>
    </w:p>
    <w:p w14:paraId="182251F6" w14:textId="77777777" w:rsidR="006D1F60" w:rsidRPr="000F056F" w:rsidRDefault="006D1F60" w:rsidP="006D1F60">
      <w:pPr>
        <w:pStyle w:val="Heading1"/>
        <w:spacing w:before="120" w:after="120"/>
        <w:rPr>
          <w:rFonts w:eastAsia="Calibri"/>
          <w:sz w:val="40"/>
          <w:szCs w:val="40"/>
          <w:lang w:val="en-CA"/>
        </w:rPr>
      </w:pPr>
      <w:r w:rsidRPr="000F056F">
        <w:rPr>
          <w:rFonts w:eastAsia="Calibri"/>
          <w:sz w:val="40"/>
          <w:szCs w:val="40"/>
          <w:lang w:val="en-CA"/>
        </w:rPr>
        <w:lastRenderedPageBreak/>
        <w:t>Staffing by appointment type</w:t>
      </w:r>
    </w:p>
    <w:p w14:paraId="3F8B542C" w14:textId="77777777" w:rsidR="006D1F60" w:rsidRPr="000F056F" w:rsidRDefault="002944FE" w:rsidP="006D1F60">
      <w:pPr>
        <w:keepNext/>
        <w:jc w:val="center"/>
        <w:rPr>
          <w:lang w:val="en-CA"/>
        </w:rPr>
      </w:pPr>
      <w:r w:rsidRPr="000F056F">
        <w:rPr>
          <w:rFonts w:ascii="Arial" w:eastAsia="Calibri" w:hAnsi="Arial"/>
          <w:noProof/>
          <w:sz w:val="22"/>
          <w:szCs w:val="22"/>
          <w:lang w:val="en-CA" w:eastAsia="en-CA"/>
        </w:rPr>
        <w:drawing>
          <wp:inline distT="0" distB="0" distL="0" distR="0" wp14:anchorId="22093442" wp14:editId="6C04D1BB">
            <wp:extent cx="5648400" cy="3049200"/>
            <wp:effectExtent l="0" t="0" r="9525" b="18415"/>
            <wp:docPr id="9" name="Chart 9" descr="Staffing by appointment type&#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A168976" w14:textId="1195919E" w:rsidR="002944FE" w:rsidRPr="000F056F" w:rsidRDefault="006D1F60" w:rsidP="006D1F60">
      <w:pPr>
        <w:pStyle w:val="Caption"/>
        <w:spacing w:after="0"/>
        <w:jc w:val="center"/>
        <w:rPr>
          <w:rFonts w:asciiTheme="minorHAnsi" w:eastAsia="Calibri" w:hAnsiTheme="minorHAnsi" w:cstheme="minorHAnsi"/>
          <w:i w:val="0"/>
          <w:iCs w:val="0"/>
          <w:color w:val="auto"/>
          <w:sz w:val="22"/>
          <w:szCs w:val="22"/>
          <w:lang w:val="en-CA"/>
        </w:rPr>
      </w:pPr>
      <w:r w:rsidRPr="000F056F">
        <w:rPr>
          <w:rFonts w:asciiTheme="minorHAnsi" w:hAnsiTheme="minorHAnsi" w:cstheme="minorHAnsi"/>
          <w:i w:val="0"/>
          <w:iCs w:val="0"/>
          <w:color w:val="auto"/>
          <w:lang w:val="en-CA"/>
        </w:rPr>
        <w:t xml:space="preserve">Figure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Figure \* ARABIC </w:instrText>
      </w:r>
      <w:r w:rsidRPr="000F056F">
        <w:rPr>
          <w:rFonts w:asciiTheme="minorHAnsi" w:hAnsiTheme="minorHAnsi" w:cstheme="minorHAnsi"/>
          <w:i w:val="0"/>
          <w:iCs w:val="0"/>
          <w:color w:val="auto"/>
          <w:lang w:val="en-CA"/>
        </w:rPr>
        <w:fldChar w:fldCharType="separate"/>
      </w:r>
      <w:r w:rsidR="00A16ADA" w:rsidRPr="000F056F">
        <w:rPr>
          <w:rFonts w:asciiTheme="minorHAnsi" w:hAnsiTheme="minorHAnsi" w:cstheme="minorHAnsi"/>
          <w:i w:val="0"/>
          <w:iCs w:val="0"/>
          <w:noProof/>
          <w:color w:val="auto"/>
          <w:lang w:val="en-CA"/>
        </w:rPr>
        <w:t>8</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Staffing by appointment type</w:t>
      </w:r>
    </w:p>
    <w:p w14:paraId="32DA23AE" w14:textId="2602290A" w:rsidR="006D1F60" w:rsidRPr="000F056F" w:rsidRDefault="006D1F60" w:rsidP="006D1F60">
      <w:pPr>
        <w:pStyle w:val="Caption"/>
        <w:keepNext/>
        <w:spacing w:before="240" w:after="0"/>
        <w:jc w:val="center"/>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Table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Table \* ARABIC </w:instrText>
      </w:r>
      <w:r w:rsidRPr="000F056F">
        <w:rPr>
          <w:rFonts w:asciiTheme="minorHAnsi" w:hAnsiTheme="minorHAnsi" w:cstheme="minorHAnsi"/>
          <w:i w:val="0"/>
          <w:iCs w:val="0"/>
          <w:color w:val="auto"/>
          <w:lang w:val="en-CA"/>
        </w:rPr>
        <w:fldChar w:fldCharType="separate"/>
      </w:r>
      <w:r w:rsidR="00E4530D" w:rsidRPr="000F056F">
        <w:rPr>
          <w:rFonts w:asciiTheme="minorHAnsi" w:hAnsiTheme="minorHAnsi" w:cstheme="minorHAnsi"/>
          <w:i w:val="0"/>
          <w:iCs w:val="0"/>
          <w:noProof/>
          <w:color w:val="auto"/>
          <w:lang w:val="en-CA"/>
        </w:rPr>
        <w:t>10</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Staffing activities by appointment type and fiscal year</w:t>
      </w:r>
    </w:p>
    <w:tbl>
      <w:tblPr>
        <w:tblStyle w:val="TableGrid"/>
        <w:tblW w:w="5000" w:type="pct"/>
        <w:jc w:val="center"/>
        <w:tblLook w:val="0020" w:firstRow="1" w:lastRow="0" w:firstColumn="0" w:lastColumn="0" w:noHBand="0" w:noVBand="0"/>
        <w:tblDescription w:val="Staffing by appointment type from 2015 to 2020"/>
      </w:tblPr>
      <w:tblGrid>
        <w:gridCol w:w="1555"/>
        <w:gridCol w:w="1417"/>
        <w:gridCol w:w="2553"/>
        <w:gridCol w:w="3825"/>
        <w:gridCol w:w="3969"/>
        <w:gridCol w:w="1071"/>
      </w:tblGrid>
      <w:tr w:rsidR="00993A95" w:rsidRPr="000F056F" w14:paraId="37F13356" w14:textId="77777777" w:rsidTr="00053B83">
        <w:trPr>
          <w:cantSplit/>
          <w:tblHeader/>
          <w:jc w:val="center"/>
        </w:trPr>
        <w:tc>
          <w:tcPr>
            <w:tcW w:w="540" w:type="pct"/>
          </w:tcPr>
          <w:p w14:paraId="66050C3B" w14:textId="77777777" w:rsidR="00D007DC" w:rsidRPr="000F056F" w:rsidRDefault="00D007DC" w:rsidP="006D1F60">
            <w:pPr>
              <w:pStyle w:val="TableTitle"/>
              <w:rPr>
                <w:rFonts w:cs="Segoe UI Semibold"/>
                <w:color w:val="auto"/>
                <w:szCs w:val="22"/>
                <w:lang w:val="en-CA"/>
              </w:rPr>
            </w:pPr>
            <w:r w:rsidRPr="000F056F">
              <w:rPr>
                <w:rFonts w:cs="Segoe UI Semibold"/>
                <w:color w:val="auto"/>
                <w:szCs w:val="22"/>
                <w:lang w:val="en-CA"/>
              </w:rPr>
              <w:t>Fiscal year</w:t>
            </w:r>
          </w:p>
        </w:tc>
        <w:tc>
          <w:tcPr>
            <w:tcW w:w="492" w:type="pct"/>
          </w:tcPr>
          <w:p w14:paraId="6AB33236" w14:textId="77777777" w:rsidR="00D007DC" w:rsidRPr="000F056F" w:rsidRDefault="00D007DC" w:rsidP="006D1F60">
            <w:pPr>
              <w:pStyle w:val="TableTitle"/>
              <w:rPr>
                <w:rFonts w:cs="Segoe UI Semibold"/>
                <w:color w:val="auto"/>
                <w:szCs w:val="22"/>
                <w:lang w:val="en-CA"/>
              </w:rPr>
            </w:pPr>
            <w:r w:rsidRPr="000F056F">
              <w:rPr>
                <w:rFonts w:cs="Segoe UI Semibold"/>
                <w:color w:val="auto"/>
                <w:szCs w:val="22"/>
                <w:lang w:val="en-CA"/>
              </w:rPr>
              <w:t>Promotions</w:t>
            </w:r>
          </w:p>
        </w:tc>
        <w:tc>
          <w:tcPr>
            <w:tcW w:w="887" w:type="pct"/>
          </w:tcPr>
          <w:p w14:paraId="779A2857" w14:textId="77777777" w:rsidR="00D007DC" w:rsidRPr="000F056F" w:rsidRDefault="00D007DC" w:rsidP="006D1F60">
            <w:pPr>
              <w:pStyle w:val="TableTitle"/>
              <w:rPr>
                <w:rFonts w:cs="Segoe UI Semibold"/>
                <w:color w:val="auto"/>
                <w:szCs w:val="22"/>
                <w:lang w:val="en-CA"/>
              </w:rPr>
            </w:pPr>
            <w:r w:rsidRPr="000F056F">
              <w:rPr>
                <w:rFonts w:cs="Segoe UI Semibold"/>
                <w:color w:val="auto"/>
                <w:szCs w:val="22"/>
                <w:lang w:val="en-CA"/>
              </w:rPr>
              <w:t>Lateral and downward movements</w:t>
            </w:r>
          </w:p>
        </w:tc>
        <w:tc>
          <w:tcPr>
            <w:tcW w:w="1329" w:type="pct"/>
          </w:tcPr>
          <w:p w14:paraId="700A92EE" w14:textId="77777777" w:rsidR="00D007DC" w:rsidRPr="000F056F" w:rsidRDefault="00D007DC" w:rsidP="006D1F60">
            <w:pPr>
              <w:pStyle w:val="TableTitle"/>
              <w:rPr>
                <w:rFonts w:cs="Segoe UI Semibold"/>
                <w:color w:val="auto"/>
                <w:szCs w:val="22"/>
                <w:lang w:val="en-CA"/>
              </w:rPr>
            </w:pPr>
            <w:r w:rsidRPr="000F056F">
              <w:rPr>
                <w:rFonts w:cs="Segoe UI Semibold"/>
                <w:color w:val="auto"/>
                <w:szCs w:val="22"/>
                <w:lang w:val="en-CA"/>
              </w:rPr>
              <w:t>Appointments to the public service (includes casuals and students)</w:t>
            </w:r>
          </w:p>
        </w:tc>
        <w:tc>
          <w:tcPr>
            <w:tcW w:w="1379" w:type="pct"/>
          </w:tcPr>
          <w:p w14:paraId="60B3A214" w14:textId="77777777" w:rsidR="00D007DC" w:rsidRPr="000F056F" w:rsidRDefault="00D007DC" w:rsidP="006D1F60">
            <w:pPr>
              <w:pStyle w:val="TableTitle"/>
              <w:rPr>
                <w:rFonts w:cs="Segoe UI Semibold"/>
                <w:color w:val="auto"/>
                <w:szCs w:val="22"/>
                <w:lang w:val="en-CA"/>
              </w:rPr>
            </w:pPr>
            <w:r w:rsidRPr="000F056F">
              <w:rPr>
                <w:rFonts w:cs="Segoe UI Semibold"/>
                <w:color w:val="auto"/>
                <w:szCs w:val="22"/>
                <w:lang w:val="en-CA"/>
              </w:rPr>
              <w:t>Acting appointments (excludes appointments of less than 4 months)</w:t>
            </w:r>
          </w:p>
        </w:tc>
        <w:tc>
          <w:tcPr>
            <w:tcW w:w="372" w:type="pct"/>
          </w:tcPr>
          <w:p w14:paraId="665DCF93" w14:textId="77777777" w:rsidR="00D007DC" w:rsidRPr="000F056F" w:rsidRDefault="00D007DC" w:rsidP="006D1F60">
            <w:pPr>
              <w:pStyle w:val="TableTitle"/>
              <w:rPr>
                <w:rFonts w:cs="Segoe UI Semibold"/>
                <w:color w:val="auto"/>
                <w:szCs w:val="22"/>
                <w:lang w:val="en-CA"/>
              </w:rPr>
            </w:pPr>
            <w:r w:rsidRPr="000F056F">
              <w:rPr>
                <w:rFonts w:cs="Segoe UI Semibold"/>
                <w:color w:val="auto"/>
                <w:szCs w:val="22"/>
                <w:lang w:val="en-CA"/>
              </w:rPr>
              <w:t>Total</w:t>
            </w:r>
          </w:p>
        </w:tc>
      </w:tr>
      <w:tr w:rsidR="00993A95" w:rsidRPr="000F056F" w14:paraId="115F5716" w14:textId="77777777" w:rsidTr="00053B83">
        <w:trPr>
          <w:cantSplit/>
          <w:tblHeader/>
          <w:jc w:val="center"/>
        </w:trPr>
        <w:tc>
          <w:tcPr>
            <w:tcW w:w="540" w:type="pct"/>
          </w:tcPr>
          <w:p w14:paraId="3B4B4A87"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2015 to 2016</w:t>
            </w:r>
          </w:p>
        </w:tc>
        <w:tc>
          <w:tcPr>
            <w:tcW w:w="492" w:type="pct"/>
          </w:tcPr>
          <w:p w14:paraId="5276E02E"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16</w:t>
            </w:r>
          </w:p>
        </w:tc>
        <w:tc>
          <w:tcPr>
            <w:tcW w:w="887" w:type="pct"/>
          </w:tcPr>
          <w:p w14:paraId="358314F6"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16</w:t>
            </w:r>
          </w:p>
        </w:tc>
        <w:tc>
          <w:tcPr>
            <w:tcW w:w="1329" w:type="pct"/>
          </w:tcPr>
          <w:p w14:paraId="00C7E974"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51</w:t>
            </w:r>
          </w:p>
        </w:tc>
        <w:tc>
          <w:tcPr>
            <w:tcW w:w="1379" w:type="pct"/>
          </w:tcPr>
          <w:p w14:paraId="1053B094"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14</w:t>
            </w:r>
          </w:p>
        </w:tc>
        <w:tc>
          <w:tcPr>
            <w:tcW w:w="372" w:type="pct"/>
          </w:tcPr>
          <w:p w14:paraId="75A9E266"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97</w:t>
            </w:r>
          </w:p>
        </w:tc>
      </w:tr>
      <w:tr w:rsidR="00993A95" w:rsidRPr="000F056F" w14:paraId="3C936BEB" w14:textId="77777777" w:rsidTr="00053B83">
        <w:trPr>
          <w:cantSplit/>
          <w:tblHeader/>
          <w:jc w:val="center"/>
        </w:trPr>
        <w:tc>
          <w:tcPr>
            <w:tcW w:w="540" w:type="pct"/>
          </w:tcPr>
          <w:p w14:paraId="119C91C8"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2016 to 2017 </w:t>
            </w:r>
          </w:p>
        </w:tc>
        <w:tc>
          <w:tcPr>
            <w:tcW w:w="492" w:type="pct"/>
          </w:tcPr>
          <w:p w14:paraId="3E914E45"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41</w:t>
            </w:r>
          </w:p>
        </w:tc>
        <w:tc>
          <w:tcPr>
            <w:tcW w:w="887" w:type="pct"/>
          </w:tcPr>
          <w:p w14:paraId="677471C6"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26</w:t>
            </w:r>
          </w:p>
        </w:tc>
        <w:tc>
          <w:tcPr>
            <w:tcW w:w="1329" w:type="pct"/>
          </w:tcPr>
          <w:p w14:paraId="793DA86B"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88</w:t>
            </w:r>
          </w:p>
        </w:tc>
        <w:tc>
          <w:tcPr>
            <w:tcW w:w="1379" w:type="pct"/>
          </w:tcPr>
          <w:p w14:paraId="4D731BDD"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16</w:t>
            </w:r>
          </w:p>
        </w:tc>
        <w:tc>
          <w:tcPr>
            <w:tcW w:w="372" w:type="pct"/>
          </w:tcPr>
          <w:p w14:paraId="5400C506"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171</w:t>
            </w:r>
          </w:p>
        </w:tc>
      </w:tr>
      <w:tr w:rsidR="00993A95" w:rsidRPr="000F056F" w14:paraId="5A81DD35" w14:textId="77777777" w:rsidTr="00053B83">
        <w:trPr>
          <w:cantSplit/>
          <w:tblHeader/>
          <w:jc w:val="center"/>
        </w:trPr>
        <w:tc>
          <w:tcPr>
            <w:tcW w:w="540" w:type="pct"/>
          </w:tcPr>
          <w:p w14:paraId="7E9FF00F"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2017 to 2018</w:t>
            </w:r>
          </w:p>
        </w:tc>
        <w:tc>
          <w:tcPr>
            <w:tcW w:w="492" w:type="pct"/>
          </w:tcPr>
          <w:p w14:paraId="58C9598C"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31</w:t>
            </w:r>
          </w:p>
        </w:tc>
        <w:tc>
          <w:tcPr>
            <w:tcW w:w="887" w:type="pct"/>
          </w:tcPr>
          <w:p w14:paraId="3F7D317E"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15</w:t>
            </w:r>
          </w:p>
        </w:tc>
        <w:tc>
          <w:tcPr>
            <w:tcW w:w="1329" w:type="pct"/>
          </w:tcPr>
          <w:p w14:paraId="40E07C40"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64</w:t>
            </w:r>
          </w:p>
        </w:tc>
        <w:tc>
          <w:tcPr>
            <w:tcW w:w="1379" w:type="pct"/>
          </w:tcPr>
          <w:p w14:paraId="7F0B760B"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16</w:t>
            </w:r>
          </w:p>
        </w:tc>
        <w:tc>
          <w:tcPr>
            <w:tcW w:w="372" w:type="pct"/>
          </w:tcPr>
          <w:p w14:paraId="75BC792E"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126</w:t>
            </w:r>
          </w:p>
        </w:tc>
      </w:tr>
      <w:tr w:rsidR="00993A95" w:rsidRPr="000F056F" w14:paraId="299CBC60" w14:textId="77777777" w:rsidTr="00053B83">
        <w:trPr>
          <w:cantSplit/>
          <w:tblHeader/>
          <w:jc w:val="center"/>
        </w:trPr>
        <w:tc>
          <w:tcPr>
            <w:tcW w:w="540" w:type="pct"/>
          </w:tcPr>
          <w:p w14:paraId="43103210"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2018 to 2019</w:t>
            </w:r>
          </w:p>
        </w:tc>
        <w:tc>
          <w:tcPr>
            <w:tcW w:w="492" w:type="pct"/>
          </w:tcPr>
          <w:p w14:paraId="5F5D7AA9"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58</w:t>
            </w:r>
          </w:p>
        </w:tc>
        <w:tc>
          <w:tcPr>
            <w:tcW w:w="887" w:type="pct"/>
          </w:tcPr>
          <w:p w14:paraId="20377FFC"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28</w:t>
            </w:r>
          </w:p>
        </w:tc>
        <w:tc>
          <w:tcPr>
            <w:tcW w:w="1329" w:type="pct"/>
          </w:tcPr>
          <w:p w14:paraId="0C35B12E"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73</w:t>
            </w:r>
          </w:p>
        </w:tc>
        <w:tc>
          <w:tcPr>
            <w:tcW w:w="1379" w:type="pct"/>
          </w:tcPr>
          <w:p w14:paraId="02DAE1E5"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14</w:t>
            </w:r>
          </w:p>
        </w:tc>
        <w:tc>
          <w:tcPr>
            <w:tcW w:w="372" w:type="pct"/>
          </w:tcPr>
          <w:p w14:paraId="2218B9CD"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173</w:t>
            </w:r>
          </w:p>
        </w:tc>
      </w:tr>
      <w:tr w:rsidR="00993A95" w:rsidRPr="000F056F" w14:paraId="75849638" w14:textId="77777777" w:rsidTr="00053B83">
        <w:trPr>
          <w:cantSplit/>
          <w:tblHeader/>
          <w:jc w:val="center"/>
        </w:trPr>
        <w:tc>
          <w:tcPr>
            <w:tcW w:w="540" w:type="pct"/>
          </w:tcPr>
          <w:p w14:paraId="7CF3839E" w14:textId="77777777" w:rsidR="00D007DC" w:rsidRPr="000F056F" w:rsidRDefault="00D007DC" w:rsidP="00D007DC">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2019 to 2020</w:t>
            </w:r>
          </w:p>
        </w:tc>
        <w:tc>
          <w:tcPr>
            <w:tcW w:w="492" w:type="pct"/>
          </w:tcPr>
          <w:p w14:paraId="250D2EF3"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44</w:t>
            </w:r>
          </w:p>
        </w:tc>
        <w:tc>
          <w:tcPr>
            <w:tcW w:w="887" w:type="pct"/>
          </w:tcPr>
          <w:p w14:paraId="05CEDF25"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31</w:t>
            </w:r>
          </w:p>
        </w:tc>
        <w:tc>
          <w:tcPr>
            <w:tcW w:w="1329" w:type="pct"/>
          </w:tcPr>
          <w:p w14:paraId="6C535120"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85</w:t>
            </w:r>
          </w:p>
        </w:tc>
        <w:tc>
          <w:tcPr>
            <w:tcW w:w="1379" w:type="pct"/>
          </w:tcPr>
          <w:p w14:paraId="535C2BCA"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17</w:t>
            </w:r>
          </w:p>
        </w:tc>
        <w:tc>
          <w:tcPr>
            <w:tcW w:w="372" w:type="pct"/>
          </w:tcPr>
          <w:p w14:paraId="1208C545" w14:textId="77777777" w:rsidR="00D007DC" w:rsidRPr="000F056F" w:rsidRDefault="00D007DC" w:rsidP="00D007DC">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177</w:t>
            </w:r>
          </w:p>
        </w:tc>
      </w:tr>
    </w:tbl>
    <w:p w14:paraId="45339CE6" w14:textId="68170CC0" w:rsidR="00D007DC" w:rsidRPr="000F056F" w:rsidRDefault="00D007DC" w:rsidP="002944FE">
      <w:pPr>
        <w:rPr>
          <w:rFonts w:ascii="Arial" w:eastAsia="Calibri" w:hAnsi="Arial"/>
          <w:sz w:val="22"/>
          <w:szCs w:val="22"/>
          <w:lang w:val="en-CA"/>
        </w:rPr>
      </w:pPr>
    </w:p>
    <w:p w14:paraId="16CD3E1D" w14:textId="77777777" w:rsidR="00D007DC" w:rsidRPr="000F056F" w:rsidRDefault="00D007DC" w:rsidP="002944FE">
      <w:pPr>
        <w:rPr>
          <w:rFonts w:ascii="Arial" w:eastAsia="Calibri" w:hAnsi="Arial"/>
          <w:sz w:val="22"/>
          <w:szCs w:val="22"/>
          <w:lang w:val="en-CA"/>
        </w:rPr>
        <w:sectPr w:rsidR="00D007DC" w:rsidRPr="000F056F" w:rsidSect="008D03AB">
          <w:pgSz w:w="15840" w:h="12240" w:orient="landscape"/>
          <w:pgMar w:top="1025" w:right="720" w:bottom="720" w:left="720" w:header="708" w:footer="708" w:gutter="0"/>
          <w:cols w:space="708"/>
          <w:titlePg/>
          <w:docGrid w:linePitch="360"/>
        </w:sectPr>
      </w:pPr>
    </w:p>
    <w:p w14:paraId="268F2EF9" w14:textId="77777777" w:rsidR="00993A95" w:rsidRPr="000F056F" w:rsidRDefault="00993A95" w:rsidP="00993A95">
      <w:pPr>
        <w:pStyle w:val="Heading1"/>
        <w:spacing w:before="120" w:after="120"/>
        <w:rPr>
          <w:rFonts w:eastAsia="Calibri"/>
          <w:sz w:val="40"/>
          <w:szCs w:val="40"/>
          <w:lang w:val="en-CA"/>
        </w:rPr>
      </w:pPr>
      <w:r w:rsidRPr="000F056F">
        <w:rPr>
          <w:rFonts w:eastAsia="Calibri"/>
          <w:sz w:val="40"/>
          <w:szCs w:val="40"/>
          <w:lang w:val="en-CA"/>
        </w:rPr>
        <w:lastRenderedPageBreak/>
        <w:t>Staffing by tenure</w:t>
      </w:r>
    </w:p>
    <w:p w14:paraId="0394AEAE" w14:textId="77777777" w:rsidR="00993A95" w:rsidRPr="000F056F" w:rsidRDefault="00D007DC" w:rsidP="00993A95">
      <w:pPr>
        <w:keepNext/>
        <w:jc w:val="center"/>
        <w:rPr>
          <w:lang w:val="en-CA"/>
        </w:rPr>
      </w:pPr>
      <w:r w:rsidRPr="000F056F">
        <w:rPr>
          <w:rFonts w:ascii="Arial" w:eastAsia="Calibri" w:hAnsi="Arial"/>
          <w:noProof/>
          <w:sz w:val="22"/>
          <w:szCs w:val="22"/>
          <w:lang w:val="en-CA" w:eastAsia="en-CA"/>
        </w:rPr>
        <w:drawing>
          <wp:inline distT="0" distB="0" distL="0" distR="0" wp14:anchorId="178C2C89" wp14:editId="257E448A">
            <wp:extent cx="5648400" cy="3049200"/>
            <wp:effectExtent l="0" t="0" r="9525" b="18415"/>
            <wp:docPr id="3" name="Chart 3" descr="Staffing by tenure&#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6444B53" w14:textId="7C1D3403" w:rsidR="00D007DC" w:rsidRPr="000F056F" w:rsidRDefault="00993A95" w:rsidP="00993A95">
      <w:pPr>
        <w:pStyle w:val="Caption"/>
        <w:spacing w:after="0"/>
        <w:jc w:val="center"/>
        <w:rPr>
          <w:rFonts w:asciiTheme="minorHAnsi" w:eastAsia="Calibri" w:hAnsiTheme="minorHAnsi" w:cstheme="minorHAnsi"/>
          <w:i w:val="0"/>
          <w:iCs w:val="0"/>
          <w:color w:val="auto"/>
          <w:sz w:val="22"/>
          <w:szCs w:val="22"/>
          <w:lang w:val="en-CA"/>
        </w:rPr>
      </w:pPr>
      <w:r w:rsidRPr="000F056F">
        <w:rPr>
          <w:rFonts w:asciiTheme="minorHAnsi" w:hAnsiTheme="minorHAnsi" w:cstheme="minorHAnsi"/>
          <w:i w:val="0"/>
          <w:iCs w:val="0"/>
          <w:color w:val="auto"/>
          <w:lang w:val="en-CA"/>
        </w:rPr>
        <w:t xml:space="preserve">Figure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Figure \* ARABIC </w:instrText>
      </w:r>
      <w:r w:rsidRPr="000F056F">
        <w:rPr>
          <w:rFonts w:asciiTheme="minorHAnsi" w:hAnsiTheme="minorHAnsi" w:cstheme="minorHAnsi"/>
          <w:i w:val="0"/>
          <w:iCs w:val="0"/>
          <w:color w:val="auto"/>
          <w:lang w:val="en-CA"/>
        </w:rPr>
        <w:fldChar w:fldCharType="separate"/>
      </w:r>
      <w:r w:rsidR="00A16ADA" w:rsidRPr="000F056F">
        <w:rPr>
          <w:rFonts w:asciiTheme="minorHAnsi" w:hAnsiTheme="minorHAnsi" w:cstheme="minorHAnsi"/>
          <w:i w:val="0"/>
          <w:iCs w:val="0"/>
          <w:noProof/>
          <w:color w:val="auto"/>
          <w:lang w:val="en-CA"/>
        </w:rPr>
        <w:t>9</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Staffing by tenure</w:t>
      </w:r>
    </w:p>
    <w:p w14:paraId="47A7E86B" w14:textId="3F41A05E" w:rsidR="00993A95" w:rsidRPr="000F056F" w:rsidRDefault="00993A95" w:rsidP="00993A95">
      <w:pPr>
        <w:pStyle w:val="Caption"/>
        <w:keepNext/>
        <w:spacing w:before="240" w:after="0"/>
        <w:jc w:val="center"/>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Table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Table \* ARABIC </w:instrText>
      </w:r>
      <w:r w:rsidRPr="000F056F">
        <w:rPr>
          <w:rFonts w:asciiTheme="minorHAnsi" w:hAnsiTheme="minorHAnsi" w:cstheme="minorHAnsi"/>
          <w:i w:val="0"/>
          <w:iCs w:val="0"/>
          <w:color w:val="auto"/>
          <w:lang w:val="en-CA"/>
        </w:rPr>
        <w:fldChar w:fldCharType="separate"/>
      </w:r>
      <w:r w:rsidR="00E4530D" w:rsidRPr="000F056F">
        <w:rPr>
          <w:rFonts w:asciiTheme="minorHAnsi" w:hAnsiTheme="minorHAnsi" w:cstheme="minorHAnsi"/>
          <w:i w:val="0"/>
          <w:iCs w:val="0"/>
          <w:noProof/>
          <w:color w:val="auto"/>
          <w:lang w:val="en-CA"/>
        </w:rPr>
        <w:t>11</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Staffing activities by tenure and fiscal year</w:t>
      </w:r>
    </w:p>
    <w:tbl>
      <w:tblPr>
        <w:tblStyle w:val="TableGrid"/>
        <w:tblW w:w="5000" w:type="pct"/>
        <w:jc w:val="center"/>
        <w:tblLook w:val="0020" w:firstRow="1" w:lastRow="0" w:firstColumn="0" w:lastColumn="0" w:noHBand="0" w:noVBand="0"/>
        <w:tblDescription w:val="Staffing by tenure from 2015 to 2020"/>
      </w:tblPr>
      <w:tblGrid>
        <w:gridCol w:w="1696"/>
        <w:gridCol w:w="2836"/>
        <w:gridCol w:w="2412"/>
        <w:gridCol w:w="2550"/>
        <w:gridCol w:w="2268"/>
        <w:gridCol w:w="2628"/>
      </w:tblGrid>
      <w:tr w:rsidR="00993A95" w:rsidRPr="000F056F" w14:paraId="200F7C36" w14:textId="77777777" w:rsidTr="00053B83">
        <w:trPr>
          <w:cantSplit/>
          <w:tblHeader/>
          <w:jc w:val="center"/>
        </w:trPr>
        <w:tc>
          <w:tcPr>
            <w:tcW w:w="589" w:type="pct"/>
          </w:tcPr>
          <w:p w14:paraId="7B3C3F1C" w14:textId="77777777" w:rsidR="00953477" w:rsidRPr="000F056F" w:rsidRDefault="00953477" w:rsidP="00993A95">
            <w:pPr>
              <w:pStyle w:val="TableTitle"/>
              <w:rPr>
                <w:rFonts w:cs="Segoe UI Semibold"/>
                <w:color w:val="auto"/>
                <w:szCs w:val="22"/>
                <w:lang w:val="en-CA"/>
              </w:rPr>
            </w:pPr>
            <w:r w:rsidRPr="000F056F">
              <w:rPr>
                <w:rFonts w:cs="Segoe UI Semibold"/>
                <w:color w:val="auto"/>
                <w:szCs w:val="22"/>
                <w:lang w:val="en-CA"/>
              </w:rPr>
              <w:t>Fiscal year</w:t>
            </w:r>
          </w:p>
        </w:tc>
        <w:tc>
          <w:tcPr>
            <w:tcW w:w="985" w:type="pct"/>
          </w:tcPr>
          <w:p w14:paraId="514E141A" w14:textId="77777777" w:rsidR="00953477" w:rsidRPr="000F056F" w:rsidRDefault="00953477" w:rsidP="00993A95">
            <w:pPr>
              <w:pStyle w:val="TableTitle"/>
              <w:rPr>
                <w:rFonts w:cs="Segoe UI Semibold"/>
                <w:color w:val="auto"/>
                <w:szCs w:val="22"/>
                <w:lang w:val="en-CA"/>
              </w:rPr>
            </w:pPr>
            <w:r w:rsidRPr="000F056F">
              <w:rPr>
                <w:rFonts w:cs="Segoe UI Semibold"/>
                <w:color w:val="auto"/>
                <w:szCs w:val="22"/>
                <w:lang w:val="en-CA"/>
              </w:rPr>
              <w:t>Indeterminate staffing activities</w:t>
            </w:r>
          </w:p>
        </w:tc>
        <w:tc>
          <w:tcPr>
            <w:tcW w:w="838" w:type="pct"/>
          </w:tcPr>
          <w:p w14:paraId="3B65F7E5" w14:textId="77777777" w:rsidR="00953477" w:rsidRPr="000F056F" w:rsidRDefault="00953477" w:rsidP="00993A95">
            <w:pPr>
              <w:pStyle w:val="TableTitle"/>
              <w:rPr>
                <w:rFonts w:cs="Segoe UI Semibold"/>
                <w:color w:val="auto"/>
                <w:szCs w:val="22"/>
                <w:lang w:val="en-CA"/>
              </w:rPr>
            </w:pPr>
            <w:r w:rsidRPr="000F056F">
              <w:rPr>
                <w:rFonts w:cs="Segoe UI Semibold"/>
                <w:color w:val="auto"/>
                <w:szCs w:val="22"/>
                <w:lang w:val="en-CA"/>
              </w:rPr>
              <w:t>Term staffing activities</w:t>
            </w:r>
          </w:p>
        </w:tc>
        <w:tc>
          <w:tcPr>
            <w:tcW w:w="886" w:type="pct"/>
          </w:tcPr>
          <w:p w14:paraId="51E3ECD9" w14:textId="77777777" w:rsidR="00953477" w:rsidRPr="000F056F" w:rsidRDefault="00953477" w:rsidP="00993A95">
            <w:pPr>
              <w:pStyle w:val="TableTitle"/>
              <w:rPr>
                <w:rFonts w:cs="Segoe UI Semibold"/>
                <w:color w:val="auto"/>
                <w:szCs w:val="22"/>
                <w:lang w:val="en-CA"/>
              </w:rPr>
            </w:pPr>
            <w:r w:rsidRPr="000F056F">
              <w:rPr>
                <w:rFonts w:cs="Segoe UI Semibold"/>
                <w:color w:val="auto"/>
                <w:szCs w:val="22"/>
                <w:lang w:val="en-CA"/>
              </w:rPr>
              <w:t>Casual staffing activities</w:t>
            </w:r>
          </w:p>
        </w:tc>
        <w:tc>
          <w:tcPr>
            <w:tcW w:w="788" w:type="pct"/>
          </w:tcPr>
          <w:p w14:paraId="300226D0" w14:textId="77777777" w:rsidR="00953477" w:rsidRPr="000F056F" w:rsidRDefault="00953477" w:rsidP="00993A95">
            <w:pPr>
              <w:pStyle w:val="TableTitle"/>
              <w:rPr>
                <w:rFonts w:cs="Segoe UI Semibold"/>
                <w:color w:val="auto"/>
                <w:szCs w:val="22"/>
                <w:lang w:val="en-CA"/>
              </w:rPr>
            </w:pPr>
            <w:r w:rsidRPr="000F056F">
              <w:rPr>
                <w:rFonts w:cs="Segoe UI Semibold"/>
                <w:color w:val="auto"/>
                <w:szCs w:val="22"/>
                <w:lang w:val="en-CA"/>
              </w:rPr>
              <w:t>Student staffing activities</w:t>
            </w:r>
          </w:p>
        </w:tc>
        <w:tc>
          <w:tcPr>
            <w:tcW w:w="913" w:type="pct"/>
          </w:tcPr>
          <w:p w14:paraId="5D97B534" w14:textId="77777777" w:rsidR="00953477" w:rsidRPr="000F056F" w:rsidRDefault="00953477" w:rsidP="00993A95">
            <w:pPr>
              <w:pStyle w:val="TableTitle"/>
              <w:rPr>
                <w:rFonts w:cs="Segoe UI Semibold"/>
                <w:color w:val="auto"/>
                <w:szCs w:val="22"/>
                <w:lang w:val="en-CA"/>
              </w:rPr>
            </w:pPr>
            <w:r w:rsidRPr="000F056F">
              <w:rPr>
                <w:rFonts w:cs="Segoe UI Semibold"/>
                <w:color w:val="auto"/>
                <w:szCs w:val="22"/>
                <w:lang w:val="en-CA"/>
              </w:rPr>
              <w:t>Total staffing activities</w:t>
            </w:r>
          </w:p>
        </w:tc>
      </w:tr>
      <w:tr w:rsidR="00993A95" w:rsidRPr="000F056F" w14:paraId="70BD4991" w14:textId="77777777" w:rsidTr="00053B83">
        <w:trPr>
          <w:cantSplit/>
          <w:tblHeader/>
          <w:jc w:val="center"/>
        </w:trPr>
        <w:tc>
          <w:tcPr>
            <w:tcW w:w="589" w:type="pct"/>
          </w:tcPr>
          <w:p w14:paraId="0D1CE1D0"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2015 to 2016</w:t>
            </w:r>
          </w:p>
        </w:tc>
        <w:tc>
          <w:tcPr>
            <w:tcW w:w="985" w:type="pct"/>
          </w:tcPr>
          <w:p w14:paraId="280F92E6"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50</w:t>
            </w:r>
          </w:p>
        </w:tc>
        <w:tc>
          <w:tcPr>
            <w:tcW w:w="838" w:type="pct"/>
          </w:tcPr>
          <w:p w14:paraId="78834D14"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16</w:t>
            </w:r>
          </w:p>
        </w:tc>
        <w:tc>
          <w:tcPr>
            <w:tcW w:w="886" w:type="pct"/>
          </w:tcPr>
          <w:p w14:paraId="6030FC10"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17</w:t>
            </w:r>
          </w:p>
        </w:tc>
        <w:tc>
          <w:tcPr>
            <w:tcW w:w="788" w:type="pct"/>
          </w:tcPr>
          <w:p w14:paraId="5242DF22"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14</w:t>
            </w:r>
          </w:p>
        </w:tc>
        <w:tc>
          <w:tcPr>
            <w:tcW w:w="913" w:type="pct"/>
          </w:tcPr>
          <w:p w14:paraId="6A76F5B6"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97</w:t>
            </w:r>
          </w:p>
        </w:tc>
      </w:tr>
      <w:tr w:rsidR="00993A95" w:rsidRPr="000F056F" w14:paraId="079602B8" w14:textId="77777777" w:rsidTr="00053B83">
        <w:trPr>
          <w:cantSplit/>
          <w:tblHeader/>
          <w:jc w:val="center"/>
        </w:trPr>
        <w:tc>
          <w:tcPr>
            <w:tcW w:w="589" w:type="pct"/>
          </w:tcPr>
          <w:p w14:paraId="28BC2295"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2016 to 2017</w:t>
            </w:r>
          </w:p>
        </w:tc>
        <w:tc>
          <w:tcPr>
            <w:tcW w:w="985" w:type="pct"/>
          </w:tcPr>
          <w:p w14:paraId="54877EFA"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106</w:t>
            </w:r>
          </w:p>
        </w:tc>
        <w:tc>
          <w:tcPr>
            <w:tcW w:w="838" w:type="pct"/>
          </w:tcPr>
          <w:p w14:paraId="6D1F1648"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35</w:t>
            </w:r>
          </w:p>
        </w:tc>
        <w:tc>
          <w:tcPr>
            <w:tcW w:w="886" w:type="pct"/>
          </w:tcPr>
          <w:p w14:paraId="5CA6C3B6"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21</w:t>
            </w:r>
          </w:p>
        </w:tc>
        <w:tc>
          <w:tcPr>
            <w:tcW w:w="788" w:type="pct"/>
          </w:tcPr>
          <w:p w14:paraId="04AF0B31"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9</w:t>
            </w:r>
          </w:p>
        </w:tc>
        <w:tc>
          <w:tcPr>
            <w:tcW w:w="913" w:type="pct"/>
          </w:tcPr>
          <w:p w14:paraId="4A4D03C2"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171</w:t>
            </w:r>
          </w:p>
        </w:tc>
      </w:tr>
      <w:tr w:rsidR="00993A95" w:rsidRPr="000F056F" w14:paraId="0D470AAB" w14:textId="77777777" w:rsidTr="00053B83">
        <w:trPr>
          <w:cantSplit/>
          <w:tblHeader/>
          <w:jc w:val="center"/>
        </w:trPr>
        <w:tc>
          <w:tcPr>
            <w:tcW w:w="589" w:type="pct"/>
          </w:tcPr>
          <w:p w14:paraId="20F30D22"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2017 to 2018</w:t>
            </w:r>
          </w:p>
        </w:tc>
        <w:tc>
          <w:tcPr>
            <w:tcW w:w="985" w:type="pct"/>
          </w:tcPr>
          <w:p w14:paraId="274BA559"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77</w:t>
            </w:r>
          </w:p>
        </w:tc>
        <w:tc>
          <w:tcPr>
            <w:tcW w:w="838" w:type="pct"/>
          </w:tcPr>
          <w:p w14:paraId="1C131290"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21</w:t>
            </w:r>
          </w:p>
        </w:tc>
        <w:tc>
          <w:tcPr>
            <w:tcW w:w="886" w:type="pct"/>
          </w:tcPr>
          <w:p w14:paraId="22BBDFE0"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19</w:t>
            </w:r>
          </w:p>
        </w:tc>
        <w:tc>
          <w:tcPr>
            <w:tcW w:w="788" w:type="pct"/>
          </w:tcPr>
          <w:p w14:paraId="1C886BBE"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9</w:t>
            </w:r>
          </w:p>
        </w:tc>
        <w:tc>
          <w:tcPr>
            <w:tcW w:w="913" w:type="pct"/>
          </w:tcPr>
          <w:p w14:paraId="389A29EC"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126</w:t>
            </w:r>
          </w:p>
        </w:tc>
      </w:tr>
      <w:tr w:rsidR="00993A95" w:rsidRPr="000F056F" w14:paraId="340270C9" w14:textId="77777777" w:rsidTr="00053B83">
        <w:trPr>
          <w:cantSplit/>
          <w:tblHeader/>
          <w:jc w:val="center"/>
        </w:trPr>
        <w:tc>
          <w:tcPr>
            <w:tcW w:w="589" w:type="pct"/>
          </w:tcPr>
          <w:p w14:paraId="797103FB"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2018 to 2019</w:t>
            </w:r>
          </w:p>
        </w:tc>
        <w:tc>
          <w:tcPr>
            <w:tcW w:w="985" w:type="pct"/>
          </w:tcPr>
          <w:p w14:paraId="7FB2A76B"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109</w:t>
            </w:r>
          </w:p>
        </w:tc>
        <w:tc>
          <w:tcPr>
            <w:tcW w:w="838" w:type="pct"/>
          </w:tcPr>
          <w:p w14:paraId="03CDC22A"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32</w:t>
            </w:r>
          </w:p>
        </w:tc>
        <w:tc>
          <w:tcPr>
            <w:tcW w:w="886" w:type="pct"/>
          </w:tcPr>
          <w:p w14:paraId="079E7657"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21</w:t>
            </w:r>
          </w:p>
        </w:tc>
        <w:tc>
          <w:tcPr>
            <w:tcW w:w="788" w:type="pct"/>
          </w:tcPr>
          <w:p w14:paraId="652E9A1B"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11</w:t>
            </w:r>
          </w:p>
        </w:tc>
        <w:tc>
          <w:tcPr>
            <w:tcW w:w="913" w:type="pct"/>
          </w:tcPr>
          <w:p w14:paraId="47DAE7FB"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173</w:t>
            </w:r>
          </w:p>
        </w:tc>
      </w:tr>
      <w:tr w:rsidR="00993A95" w:rsidRPr="000F056F" w14:paraId="1675039F" w14:textId="77777777" w:rsidTr="00053B83">
        <w:trPr>
          <w:cantSplit/>
          <w:tblHeader/>
          <w:jc w:val="center"/>
        </w:trPr>
        <w:tc>
          <w:tcPr>
            <w:tcW w:w="589" w:type="pct"/>
          </w:tcPr>
          <w:p w14:paraId="5CAD985F"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2019 to 2020</w:t>
            </w:r>
          </w:p>
        </w:tc>
        <w:tc>
          <w:tcPr>
            <w:tcW w:w="985" w:type="pct"/>
          </w:tcPr>
          <w:p w14:paraId="0ABB6E0D"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117</w:t>
            </w:r>
          </w:p>
        </w:tc>
        <w:tc>
          <w:tcPr>
            <w:tcW w:w="838" w:type="pct"/>
          </w:tcPr>
          <w:p w14:paraId="53798DA9"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34</w:t>
            </w:r>
          </w:p>
        </w:tc>
        <w:tc>
          <w:tcPr>
            <w:tcW w:w="886" w:type="pct"/>
          </w:tcPr>
          <w:p w14:paraId="793C7B49"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6</w:t>
            </w:r>
          </w:p>
        </w:tc>
        <w:tc>
          <w:tcPr>
            <w:tcW w:w="788" w:type="pct"/>
          </w:tcPr>
          <w:p w14:paraId="20529921"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20</w:t>
            </w:r>
          </w:p>
        </w:tc>
        <w:tc>
          <w:tcPr>
            <w:tcW w:w="913" w:type="pct"/>
          </w:tcPr>
          <w:p w14:paraId="1BC95956"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177</w:t>
            </w:r>
          </w:p>
        </w:tc>
      </w:tr>
    </w:tbl>
    <w:p w14:paraId="462A33C6" w14:textId="77777777" w:rsidR="00A32CAE" w:rsidRDefault="00A32CAE" w:rsidP="00953477">
      <w:pPr>
        <w:rPr>
          <w:rStyle w:val="Strong"/>
          <w:rFonts w:asciiTheme="minorHAnsi" w:hAnsiTheme="minorHAnsi" w:cstheme="minorHAnsi"/>
          <w:sz w:val="22"/>
          <w:szCs w:val="18"/>
          <w:lang w:val="en-CA"/>
        </w:rPr>
      </w:pPr>
    </w:p>
    <w:p w14:paraId="650187FB" w14:textId="6B01FBEA" w:rsidR="00953477" w:rsidRPr="000F056F" w:rsidRDefault="00953477" w:rsidP="00953477">
      <w:pPr>
        <w:rPr>
          <w:rStyle w:val="Strong"/>
          <w:rFonts w:asciiTheme="minorHAnsi" w:hAnsiTheme="minorHAnsi" w:cstheme="minorHAnsi"/>
          <w:sz w:val="22"/>
          <w:szCs w:val="18"/>
          <w:lang w:val="en-CA"/>
        </w:rPr>
      </w:pPr>
      <w:r w:rsidRPr="000F056F">
        <w:rPr>
          <w:rStyle w:val="Strong"/>
          <w:rFonts w:asciiTheme="minorHAnsi" w:hAnsiTheme="minorHAnsi" w:cstheme="minorHAnsi"/>
          <w:sz w:val="22"/>
          <w:szCs w:val="18"/>
          <w:lang w:val="en-CA"/>
        </w:rPr>
        <w:t>Key findings - Staffing and non-partisanship survey (2018)</w:t>
      </w:r>
    </w:p>
    <w:p w14:paraId="06CA98A8" w14:textId="77777777" w:rsidR="00953477" w:rsidRPr="000F056F" w:rsidRDefault="00953477" w:rsidP="00993A95">
      <w:pPr>
        <w:pStyle w:val="ListParagraph"/>
        <w:numPr>
          <w:ilvl w:val="0"/>
          <w:numId w:val="26"/>
        </w:numPr>
        <w:spacing w:after="0"/>
        <w:contextualSpacing w:val="0"/>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74.6% of </w:t>
      </w:r>
      <w:r w:rsidRPr="000F056F">
        <w:rPr>
          <w:rStyle w:val="Strong"/>
          <w:rFonts w:asciiTheme="minorHAnsi" w:hAnsiTheme="minorHAnsi" w:cstheme="minorHAnsi"/>
          <w:sz w:val="22"/>
          <w:szCs w:val="18"/>
          <w:lang w:val="en-CA"/>
        </w:rPr>
        <w:t>employees</w:t>
      </w:r>
      <w:r w:rsidRPr="000F056F">
        <w:rPr>
          <w:rFonts w:asciiTheme="minorHAnsi" w:hAnsiTheme="minorHAnsi" w:cstheme="minorHAnsi"/>
          <w:sz w:val="22"/>
          <w:szCs w:val="22"/>
          <w:lang w:val="en-CA"/>
        </w:rPr>
        <w:t xml:space="preserve"> agreed that people hired can do the job, compared to 67.1% in organizations of similar size, and 53.8% in the federal public service</w:t>
      </w:r>
    </w:p>
    <w:p w14:paraId="254F0ACC" w14:textId="77777777" w:rsidR="00953477" w:rsidRPr="000F056F" w:rsidRDefault="00953477" w:rsidP="00993A95">
      <w:pPr>
        <w:pStyle w:val="ListParagraph"/>
        <w:numPr>
          <w:ilvl w:val="0"/>
          <w:numId w:val="26"/>
        </w:numPr>
        <w:spacing w:after="0"/>
        <w:contextualSpacing w:val="0"/>
        <w:rPr>
          <w:rFonts w:asciiTheme="minorHAnsi" w:hAnsiTheme="minorHAnsi" w:cstheme="minorHAnsi"/>
          <w:sz w:val="22"/>
          <w:szCs w:val="22"/>
          <w:lang w:val="en-CA"/>
        </w:rPr>
      </w:pPr>
      <w:r w:rsidRPr="000F056F">
        <w:rPr>
          <w:rFonts w:asciiTheme="minorHAnsi" w:hAnsiTheme="minorHAnsi" w:cstheme="minorHAnsi"/>
          <w:sz w:val="22"/>
          <w:szCs w:val="22"/>
          <w:lang w:val="en-CA"/>
        </w:rPr>
        <w:lastRenderedPageBreak/>
        <w:t xml:space="preserve">67.7% of </w:t>
      </w:r>
      <w:r w:rsidRPr="000F056F">
        <w:rPr>
          <w:rStyle w:val="Strong"/>
          <w:rFonts w:asciiTheme="minorHAnsi" w:hAnsiTheme="minorHAnsi" w:cstheme="minorHAnsi"/>
          <w:sz w:val="22"/>
          <w:szCs w:val="18"/>
          <w:lang w:val="en-CA"/>
        </w:rPr>
        <w:t xml:space="preserve">managers </w:t>
      </w:r>
      <w:r w:rsidRPr="000F056F">
        <w:rPr>
          <w:rFonts w:asciiTheme="minorHAnsi" w:hAnsiTheme="minorHAnsi" w:cstheme="minorHAnsi"/>
          <w:sz w:val="22"/>
          <w:szCs w:val="22"/>
          <w:lang w:val="en-CA"/>
        </w:rPr>
        <w:t>agreed that the New Direction in Staffing has improved the way they hire and appoint persons to and within their organization, compared to 69.7% in organizations of similar size, and 56.1% in the federal public service</w:t>
      </w:r>
    </w:p>
    <w:p w14:paraId="2F798C21" w14:textId="7E4E3C77" w:rsidR="00D007DC" w:rsidRPr="000F056F" w:rsidRDefault="00953477" w:rsidP="009619CB">
      <w:pPr>
        <w:pStyle w:val="ListParagraph"/>
        <w:numPr>
          <w:ilvl w:val="0"/>
          <w:numId w:val="26"/>
        </w:numPr>
        <w:spacing w:after="0"/>
        <w:contextualSpacing w:val="0"/>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82.6% of </w:t>
      </w:r>
      <w:r w:rsidRPr="000F056F">
        <w:rPr>
          <w:rStyle w:val="Strong"/>
          <w:rFonts w:asciiTheme="minorHAnsi" w:hAnsiTheme="minorHAnsi" w:cstheme="minorHAnsi"/>
          <w:sz w:val="22"/>
          <w:szCs w:val="18"/>
          <w:lang w:val="en-CA"/>
        </w:rPr>
        <w:t xml:space="preserve">managers </w:t>
      </w:r>
      <w:r w:rsidRPr="000F056F">
        <w:rPr>
          <w:rFonts w:asciiTheme="minorHAnsi" w:hAnsiTheme="minorHAnsi" w:cstheme="minorHAnsi"/>
          <w:sz w:val="22"/>
          <w:szCs w:val="22"/>
          <w:lang w:val="en-CA"/>
        </w:rPr>
        <w:t xml:space="preserve">agreed that within their organization, the administrative to staff a position is </w:t>
      </w:r>
      <w:r w:rsidRPr="000F056F">
        <w:rPr>
          <w:rStyle w:val="Strong"/>
          <w:rFonts w:asciiTheme="minorHAnsi" w:hAnsiTheme="minorHAnsi" w:cstheme="minorHAnsi"/>
          <w:sz w:val="22"/>
          <w:szCs w:val="18"/>
          <w:lang w:val="en-CA"/>
        </w:rPr>
        <w:t>burdensome</w:t>
      </w:r>
      <w:r w:rsidRPr="000F056F">
        <w:rPr>
          <w:rFonts w:asciiTheme="minorHAnsi" w:hAnsiTheme="minorHAnsi" w:cstheme="minorHAnsi"/>
          <w:sz w:val="22"/>
          <w:szCs w:val="22"/>
          <w:lang w:val="en-CA"/>
        </w:rPr>
        <w:t>, compared to 79.3% in organizations of similar size, and 87.9% in the federal public service</w:t>
      </w:r>
    </w:p>
    <w:p w14:paraId="30294AC0" w14:textId="2B351BD5" w:rsidR="00953477" w:rsidRPr="000F056F" w:rsidRDefault="00953477" w:rsidP="002944FE">
      <w:pPr>
        <w:rPr>
          <w:rFonts w:ascii="Arial" w:eastAsia="Calibri" w:hAnsi="Arial"/>
          <w:sz w:val="22"/>
          <w:szCs w:val="22"/>
          <w:lang w:val="en-CA"/>
        </w:rPr>
        <w:sectPr w:rsidR="00953477" w:rsidRPr="000F056F" w:rsidSect="008D03AB">
          <w:pgSz w:w="15840" w:h="12240" w:orient="landscape"/>
          <w:pgMar w:top="1025" w:right="720" w:bottom="720" w:left="720" w:header="708" w:footer="708" w:gutter="0"/>
          <w:cols w:space="708"/>
          <w:titlePg/>
          <w:docGrid w:linePitch="360"/>
        </w:sectPr>
      </w:pPr>
    </w:p>
    <w:p w14:paraId="25F069C3" w14:textId="77777777" w:rsidR="009619CB" w:rsidRPr="000F056F" w:rsidRDefault="009619CB" w:rsidP="009619CB">
      <w:pPr>
        <w:pStyle w:val="Heading1"/>
        <w:spacing w:before="120" w:after="120"/>
        <w:rPr>
          <w:rFonts w:eastAsia="Calibri"/>
          <w:sz w:val="40"/>
          <w:szCs w:val="40"/>
          <w:lang w:val="en-CA"/>
        </w:rPr>
      </w:pPr>
      <w:r w:rsidRPr="000F056F">
        <w:rPr>
          <w:rFonts w:eastAsia="Calibri"/>
          <w:sz w:val="40"/>
          <w:szCs w:val="40"/>
          <w:lang w:val="en-CA"/>
        </w:rPr>
        <w:lastRenderedPageBreak/>
        <w:t>Student program hires</w:t>
      </w:r>
    </w:p>
    <w:p w14:paraId="3F90D066" w14:textId="77777777" w:rsidR="009619CB" w:rsidRPr="000F056F" w:rsidRDefault="002944FE" w:rsidP="009619CB">
      <w:pPr>
        <w:keepNext/>
        <w:jc w:val="center"/>
        <w:rPr>
          <w:lang w:val="en-CA"/>
        </w:rPr>
      </w:pPr>
      <w:r w:rsidRPr="000F056F">
        <w:rPr>
          <w:rFonts w:ascii="Arial" w:eastAsia="Calibri" w:hAnsi="Arial"/>
          <w:noProof/>
          <w:sz w:val="22"/>
          <w:szCs w:val="22"/>
          <w:lang w:val="en-CA" w:eastAsia="en-CA"/>
        </w:rPr>
        <w:drawing>
          <wp:inline distT="0" distB="0" distL="0" distR="0" wp14:anchorId="406954D4" wp14:editId="66EFD6F8">
            <wp:extent cx="5648400" cy="3049200"/>
            <wp:effectExtent l="0" t="0" r="9525" b="18415"/>
            <wp:docPr id="17" name="Chart 17" descr="Student program hires&#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DA45055" w14:textId="0AB1666A" w:rsidR="002944FE" w:rsidRPr="000F056F" w:rsidRDefault="009619CB" w:rsidP="009619CB">
      <w:pPr>
        <w:pStyle w:val="Caption"/>
        <w:spacing w:after="0"/>
        <w:jc w:val="center"/>
        <w:rPr>
          <w:rFonts w:asciiTheme="minorHAnsi" w:eastAsia="Calibri" w:hAnsiTheme="minorHAnsi" w:cstheme="minorHAnsi"/>
          <w:i w:val="0"/>
          <w:iCs w:val="0"/>
          <w:color w:val="auto"/>
          <w:sz w:val="22"/>
          <w:szCs w:val="22"/>
          <w:lang w:val="en-CA"/>
        </w:rPr>
      </w:pPr>
      <w:r w:rsidRPr="000F056F">
        <w:rPr>
          <w:rFonts w:asciiTheme="minorHAnsi" w:hAnsiTheme="minorHAnsi" w:cstheme="minorHAnsi"/>
          <w:i w:val="0"/>
          <w:iCs w:val="0"/>
          <w:color w:val="auto"/>
          <w:lang w:val="en-CA"/>
        </w:rPr>
        <w:t xml:space="preserve">Figure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Figure \* ARABIC </w:instrText>
      </w:r>
      <w:r w:rsidRPr="000F056F">
        <w:rPr>
          <w:rFonts w:asciiTheme="minorHAnsi" w:hAnsiTheme="minorHAnsi" w:cstheme="minorHAnsi"/>
          <w:i w:val="0"/>
          <w:iCs w:val="0"/>
          <w:color w:val="auto"/>
          <w:lang w:val="en-CA"/>
        </w:rPr>
        <w:fldChar w:fldCharType="separate"/>
      </w:r>
      <w:r w:rsidR="00A16ADA" w:rsidRPr="000F056F">
        <w:rPr>
          <w:rFonts w:asciiTheme="minorHAnsi" w:hAnsiTheme="minorHAnsi" w:cstheme="minorHAnsi"/>
          <w:i w:val="0"/>
          <w:iCs w:val="0"/>
          <w:noProof/>
          <w:color w:val="auto"/>
          <w:lang w:val="en-CA"/>
        </w:rPr>
        <w:t>10</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Student program hires</w:t>
      </w:r>
    </w:p>
    <w:p w14:paraId="169EFE2B" w14:textId="0E036A05" w:rsidR="009619CB" w:rsidRPr="000F056F" w:rsidRDefault="009619CB" w:rsidP="009619CB">
      <w:pPr>
        <w:pStyle w:val="Caption"/>
        <w:keepNext/>
        <w:spacing w:before="240" w:after="0"/>
        <w:jc w:val="center"/>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Table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Table \* ARABIC </w:instrText>
      </w:r>
      <w:r w:rsidRPr="000F056F">
        <w:rPr>
          <w:rFonts w:asciiTheme="minorHAnsi" w:hAnsiTheme="minorHAnsi" w:cstheme="minorHAnsi"/>
          <w:i w:val="0"/>
          <w:iCs w:val="0"/>
          <w:color w:val="auto"/>
          <w:lang w:val="en-CA"/>
        </w:rPr>
        <w:fldChar w:fldCharType="separate"/>
      </w:r>
      <w:r w:rsidR="00E4530D" w:rsidRPr="000F056F">
        <w:rPr>
          <w:rFonts w:asciiTheme="minorHAnsi" w:hAnsiTheme="minorHAnsi" w:cstheme="minorHAnsi"/>
          <w:i w:val="0"/>
          <w:iCs w:val="0"/>
          <w:noProof/>
          <w:color w:val="auto"/>
          <w:lang w:val="en-CA"/>
        </w:rPr>
        <w:t>12</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noProof/>
          <w:color w:val="auto"/>
          <w:lang w:val="en-CA"/>
        </w:rPr>
        <w:t xml:space="preserve"> - Student staffing activities by recruitment program and fiscal year</w:t>
      </w:r>
    </w:p>
    <w:tbl>
      <w:tblPr>
        <w:tblStyle w:val="TableGrid"/>
        <w:tblW w:w="5000" w:type="pct"/>
        <w:jc w:val="center"/>
        <w:tblLook w:val="0020" w:firstRow="1" w:lastRow="0" w:firstColumn="0" w:lastColumn="0" w:noHBand="0" w:noVBand="0"/>
        <w:tblDescription w:val="Student program hires from 2015 to 2020"/>
      </w:tblPr>
      <w:tblGrid>
        <w:gridCol w:w="1555"/>
        <w:gridCol w:w="4537"/>
        <w:gridCol w:w="4536"/>
        <w:gridCol w:w="2976"/>
        <w:gridCol w:w="786"/>
      </w:tblGrid>
      <w:tr w:rsidR="009619CB" w:rsidRPr="000F056F" w14:paraId="347B6C1A" w14:textId="77777777" w:rsidTr="00053B83">
        <w:trPr>
          <w:cantSplit/>
          <w:tblHeader/>
          <w:jc w:val="center"/>
        </w:trPr>
        <w:tc>
          <w:tcPr>
            <w:tcW w:w="540" w:type="pct"/>
          </w:tcPr>
          <w:p w14:paraId="0A282591" w14:textId="77777777" w:rsidR="00953477" w:rsidRPr="000F056F" w:rsidRDefault="00953477" w:rsidP="009619CB">
            <w:pPr>
              <w:pStyle w:val="TableTitle"/>
              <w:rPr>
                <w:rFonts w:cs="Segoe UI Semibold"/>
                <w:color w:val="auto"/>
                <w:szCs w:val="22"/>
                <w:lang w:val="en-CA"/>
              </w:rPr>
            </w:pPr>
            <w:r w:rsidRPr="000F056F">
              <w:rPr>
                <w:rFonts w:cs="Segoe UI Semibold"/>
                <w:color w:val="auto"/>
                <w:szCs w:val="22"/>
                <w:lang w:val="en-CA"/>
              </w:rPr>
              <w:t>Fiscal year</w:t>
            </w:r>
          </w:p>
        </w:tc>
        <w:tc>
          <w:tcPr>
            <w:tcW w:w="1576" w:type="pct"/>
          </w:tcPr>
          <w:p w14:paraId="4135EAD7" w14:textId="77777777" w:rsidR="00953477" w:rsidRPr="000F056F" w:rsidRDefault="00953477" w:rsidP="009619CB">
            <w:pPr>
              <w:pStyle w:val="TableTitle"/>
              <w:rPr>
                <w:rFonts w:cs="Segoe UI Semibold"/>
                <w:color w:val="auto"/>
                <w:szCs w:val="22"/>
                <w:lang w:val="en-CA"/>
              </w:rPr>
            </w:pPr>
            <w:r w:rsidRPr="000F056F">
              <w:rPr>
                <w:rFonts w:cs="Segoe UI Semibold"/>
                <w:color w:val="auto"/>
                <w:szCs w:val="22"/>
                <w:lang w:val="en-CA"/>
              </w:rPr>
              <w:t>Federal Student Work Experience Program</w:t>
            </w:r>
          </w:p>
        </w:tc>
        <w:tc>
          <w:tcPr>
            <w:tcW w:w="1576" w:type="pct"/>
          </w:tcPr>
          <w:p w14:paraId="4C7F18AA" w14:textId="77777777" w:rsidR="00953477" w:rsidRPr="000F056F" w:rsidRDefault="00953477" w:rsidP="009619CB">
            <w:pPr>
              <w:pStyle w:val="TableTitle"/>
              <w:rPr>
                <w:rFonts w:cs="Segoe UI Semibold"/>
                <w:color w:val="auto"/>
                <w:szCs w:val="22"/>
                <w:lang w:val="en-CA"/>
              </w:rPr>
            </w:pPr>
            <w:r w:rsidRPr="000F056F">
              <w:rPr>
                <w:rFonts w:cs="Segoe UI Semibold"/>
                <w:color w:val="auto"/>
                <w:szCs w:val="22"/>
                <w:lang w:val="en-CA"/>
              </w:rPr>
              <w:t>Post-Secondary Co-op/Internship Program</w:t>
            </w:r>
          </w:p>
        </w:tc>
        <w:tc>
          <w:tcPr>
            <w:tcW w:w="1034" w:type="pct"/>
          </w:tcPr>
          <w:p w14:paraId="42E21470" w14:textId="77777777" w:rsidR="00953477" w:rsidRPr="000F056F" w:rsidRDefault="00953477" w:rsidP="009619CB">
            <w:pPr>
              <w:pStyle w:val="TableTitle"/>
              <w:rPr>
                <w:rFonts w:cs="Segoe UI Semibold"/>
                <w:color w:val="auto"/>
                <w:szCs w:val="22"/>
                <w:lang w:val="en-CA"/>
              </w:rPr>
            </w:pPr>
            <w:r w:rsidRPr="000F056F">
              <w:rPr>
                <w:rFonts w:cs="Segoe UI Semibold"/>
                <w:color w:val="auto"/>
                <w:szCs w:val="22"/>
                <w:lang w:val="en-CA"/>
              </w:rPr>
              <w:t>Research Affiliate Program</w:t>
            </w:r>
          </w:p>
        </w:tc>
        <w:tc>
          <w:tcPr>
            <w:tcW w:w="273" w:type="pct"/>
          </w:tcPr>
          <w:p w14:paraId="7636EEFE" w14:textId="77777777" w:rsidR="00953477" w:rsidRPr="000F056F" w:rsidRDefault="00953477" w:rsidP="009619CB">
            <w:pPr>
              <w:pStyle w:val="TableTitle"/>
              <w:rPr>
                <w:rFonts w:cs="Segoe UI Semibold"/>
                <w:color w:val="auto"/>
                <w:szCs w:val="22"/>
                <w:lang w:val="en-CA"/>
              </w:rPr>
            </w:pPr>
            <w:r w:rsidRPr="000F056F">
              <w:rPr>
                <w:rFonts w:cs="Segoe UI Semibold"/>
                <w:color w:val="auto"/>
                <w:szCs w:val="22"/>
                <w:lang w:val="en-CA"/>
              </w:rPr>
              <w:t>Total</w:t>
            </w:r>
          </w:p>
        </w:tc>
      </w:tr>
      <w:tr w:rsidR="009619CB" w:rsidRPr="000F056F" w14:paraId="50FEF71A" w14:textId="77777777" w:rsidTr="00053B83">
        <w:trPr>
          <w:cantSplit/>
          <w:tblHeader/>
          <w:jc w:val="center"/>
        </w:trPr>
        <w:tc>
          <w:tcPr>
            <w:tcW w:w="540" w:type="pct"/>
          </w:tcPr>
          <w:p w14:paraId="7DEEF596"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2015 to 2016</w:t>
            </w:r>
          </w:p>
        </w:tc>
        <w:tc>
          <w:tcPr>
            <w:tcW w:w="1576" w:type="pct"/>
          </w:tcPr>
          <w:p w14:paraId="53507B05"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w:t>
            </w:r>
          </w:p>
        </w:tc>
        <w:tc>
          <w:tcPr>
            <w:tcW w:w="1576" w:type="pct"/>
          </w:tcPr>
          <w:p w14:paraId="518C4EA6"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13</w:t>
            </w:r>
          </w:p>
        </w:tc>
        <w:tc>
          <w:tcPr>
            <w:tcW w:w="1034" w:type="pct"/>
          </w:tcPr>
          <w:p w14:paraId="0EB21C5C"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c>
          <w:tcPr>
            <w:tcW w:w="273" w:type="pct"/>
          </w:tcPr>
          <w:p w14:paraId="61F6B808"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14</w:t>
            </w:r>
          </w:p>
        </w:tc>
      </w:tr>
      <w:tr w:rsidR="009619CB" w:rsidRPr="000F056F" w14:paraId="04A974BE" w14:textId="77777777" w:rsidTr="00053B83">
        <w:trPr>
          <w:cantSplit/>
          <w:tblHeader/>
          <w:jc w:val="center"/>
        </w:trPr>
        <w:tc>
          <w:tcPr>
            <w:tcW w:w="540" w:type="pct"/>
          </w:tcPr>
          <w:p w14:paraId="605A855F"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2016 to 2017</w:t>
            </w:r>
          </w:p>
        </w:tc>
        <w:tc>
          <w:tcPr>
            <w:tcW w:w="1576" w:type="pct"/>
          </w:tcPr>
          <w:p w14:paraId="0BBB810E"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w:t>
            </w:r>
          </w:p>
        </w:tc>
        <w:tc>
          <w:tcPr>
            <w:tcW w:w="1576" w:type="pct"/>
          </w:tcPr>
          <w:p w14:paraId="3352AD02"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8</w:t>
            </w:r>
          </w:p>
        </w:tc>
        <w:tc>
          <w:tcPr>
            <w:tcW w:w="1034" w:type="pct"/>
          </w:tcPr>
          <w:p w14:paraId="05C4050A"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c>
          <w:tcPr>
            <w:tcW w:w="273" w:type="pct"/>
          </w:tcPr>
          <w:p w14:paraId="4C0205E8"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9</w:t>
            </w:r>
          </w:p>
        </w:tc>
      </w:tr>
      <w:tr w:rsidR="009619CB" w:rsidRPr="000F056F" w14:paraId="48D75DDB" w14:textId="77777777" w:rsidTr="00053B83">
        <w:trPr>
          <w:cantSplit/>
          <w:tblHeader/>
          <w:jc w:val="center"/>
        </w:trPr>
        <w:tc>
          <w:tcPr>
            <w:tcW w:w="540" w:type="pct"/>
          </w:tcPr>
          <w:p w14:paraId="73F0603B"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2017 to 2018</w:t>
            </w:r>
          </w:p>
        </w:tc>
        <w:tc>
          <w:tcPr>
            <w:tcW w:w="1576" w:type="pct"/>
          </w:tcPr>
          <w:p w14:paraId="67A8B503"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w:t>
            </w:r>
          </w:p>
        </w:tc>
        <w:tc>
          <w:tcPr>
            <w:tcW w:w="1576" w:type="pct"/>
          </w:tcPr>
          <w:p w14:paraId="4E351E6A"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5</w:t>
            </w:r>
          </w:p>
        </w:tc>
        <w:tc>
          <w:tcPr>
            <w:tcW w:w="1034" w:type="pct"/>
          </w:tcPr>
          <w:p w14:paraId="66DC98AE"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c>
          <w:tcPr>
            <w:tcW w:w="273" w:type="pct"/>
          </w:tcPr>
          <w:p w14:paraId="37DA32B0"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9</w:t>
            </w:r>
          </w:p>
        </w:tc>
      </w:tr>
      <w:tr w:rsidR="009619CB" w:rsidRPr="000F056F" w14:paraId="38E92A7A" w14:textId="77777777" w:rsidTr="00053B83">
        <w:trPr>
          <w:cantSplit/>
          <w:tblHeader/>
          <w:jc w:val="center"/>
        </w:trPr>
        <w:tc>
          <w:tcPr>
            <w:tcW w:w="540" w:type="pct"/>
          </w:tcPr>
          <w:p w14:paraId="0938852F"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2018 to 2019</w:t>
            </w:r>
          </w:p>
        </w:tc>
        <w:tc>
          <w:tcPr>
            <w:tcW w:w="1576" w:type="pct"/>
          </w:tcPr>
          <w:p w14:paraId="585A21C2"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6</w:t>
            </w:r>
          </w:p>
        </w:tc>
        <w:tc>
          <w:tcPr>
            <w:tcW w:w="1576" w:type="pct"/>
          </w:tcPr>
          <w:p w14:paraId="14CDE679"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5</w:t>
            </w:r>
          </w:p>
        </w:tc>
        <w:tc>
          <w:tcPr>
            <w:tcW w:w="1034" w:type="pct"/>
          </w:tcPr>
          <w:p w14:paraId="3A0F5F03"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c>
          <w:tcPr>
            <w:tcW w:w="273" w:type="pct"/>
          </w:tcPr>
          <w:p w14:paraId="7ABCD29F"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11</w:t>
            </w:r>
          </w:p>
        </w:tc>
      </w:tr>
      <w:tr w:rsidR="009619CB" w:rsidRPr="000F056F" w14:paraId="639884F9" w14:textId="77777777" w:rsidTr="00053B83">
        <w:trPr>
          <w:cantSplit/>
          <w:tblHeader/>
          <w:jc w:val="center"/>
        </w:trPr>
        <w:tc>
          <w:tcPr>
            <w:tcW w:w="540" w:type="pct"/>
          </w:tcPr>
          <w:p w14:paraId="640F68F4"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2019 to 2020</w:t>
            </w:r>
          </w:p>
        </w:tc>
        <w:tc>
          <w:tcPr>
            <w:tcW w:w="1576" w:type="pct"/>
          </w:tcPr>
          <w:p w14:paraId="3E3A424A"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10</w:t>
            </w:r>
          </w:p>
        </w:tc>
        <w:tc>
          <w:tcPr>
            <w:tcW w:w="1576" w:type="pct"/>
          </w:tcPr>
          <w:p w14:paraId="5C0DEF11"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10</w:t>
            </w:r>
          </w:p>
        </w:tc>
        <w:tc>
          <w:tcPr>
            <w:tcW w:w="1034" w:type="pct"/>
          </w:tcPr>
          <w:p w14:paraId="1D994561"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c>
          <w:tcPr>
            <w:tcW w:w="273" w:type="pct"/>
          </w:tcPr>
          <w:p w14:paraId="1C076ACA"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20</w:t>
            </w:r>
          </w:p>
        </w:tc>
      </w:tr>
    </w:tbl>
    <w:p w14:paraId="13CA573E" w14:textId="77777777" w:rsidR="00953477" w:rsidRPr="000F056F" w:rsidRDefault="00953477" w:rsidP="002944FE">
      <w:pPr>
        <w:rPr>
          <w:rFonts w:ascii="Arial" w:eastAsia="Calibri" w:hAnsi="Arial"/>
          <w:sz w:val="22"/>
          <w:szCs w:val="22"/>
          <w:lang w:val="en-CA"/>
        </w:rPr>
      </w:pPr>
    </w:p>
    <w:p w14:paraId="701BBAB2" w14:textId="77777777" w:rsidR="00D007DC" w:rsidRPr="000F056F" w:rsidRDefault="00D007DC" w:rsidP="002944FE">
      <w:pPr>
        <w:rPr>
          <w:rFonts w:ascii="Arial" w:eastAsia="Calibri" w:hAnsi="Arial"/>
          <w:sz w:val="22"/>
          <w:szCs w:val="22"/>
          <w:lang w:val="en-CA"/>
        </w:rPr>
        <w:sectPr w:rsidR="00D007DC" w:rsidRPr="000F056F" w:rsidSect="008D03AB">
          <w:pgSz w:w="15840" w:h="12240" w:orient="landscape"/>
          <w:pgMar w:top="1025" w:right="720" w:bottom="720" w:left="720" w:header="708" w:footer="708" w:gutter="0"/>
          <w:cols w:space="708"/>
          <w:titlePg/>
          <w:docGrid w:linePitch="360"/>
        </w:sectPr>
      </w:pPr>
    </w:p>
    <w:p w14:paraId="0429C4A7" w14:textId="77777777" w:rsidR="00A16ADA" w:rsidRPr="000F056F" w:rsidRDefault="00A16ADA" w:rsidP="00A16ADA">
      <w:pPr>
        <w:pStyle w:val="Heading1"/>
        <w:spacing w:before="120" w:after="120"/>
        <w:rPr>
          <w:rFonts w:eastAsia="Calibri"/>
          <w:sz w:val="40"/>
          <w:szCs w:val="40"/>
          <w:lang w:val="en-CA"/>
        </w:rPr>
      </w:pPr>
      <w:r w:rsidRPr="000F056F">
        <w:rPr>
          <w:rFonts w:eastAsia="Calibri"/>
          <w:sz w:val="40"/>
          <w:szCs w:val="40"/>
          <w:lang w:val="en-CA"/>
        </w:rPr>
        <w:lastRenderedPageBreak/>
        <w:t>External indeterminate and term hiring activities: Post-Secondary Recruitment Program and former student hires</w:t>
      </w:r>
    </w:p>
    <w:p w14:paraId="27005DD5" w14:textId="77777777" w:rsidR="00A16ADA" w:rsidRPr="000F056F" w:rsidRDefault="00D007DC" w:rsidP="00A16ADA">
      <w:pPr>
        <w:keepNext/>
        <w:numPr>
          <w:ilvl w:val="1"/>
          <w:numId w:val="0"/>
        </w:numPr>
        <w:jc w:val="center"/>
        <w:rPr>
          <w:lang w:val="en-CA"/>
        </w:rPr>
      </w:pPr>
      <w:r w:rsidRPr="000F056F">
        <w:rPr>
          <w:rFonts w:ascii="Arial" w:eastAsia="Calibri" w:hAnsi="Arial"/>
          <w:noProof/>
          <w:sz w:val="22"/>
          <w:szCs w:val="22"/>
          <w:lang w:val="en-CA" w:eastAsia="en-CA"/>
        </w:rPr>
        <w:drawing>
          <wp:inline distT="0" distB="0" distL="0" distR="0" wp14:anchorId="0F43E2A9" wp14:editId="68840954">
            <wp:extent cx="5648400" cy="3049200"/>
            <wp:effectExtent l="0" t="0" r="9525" b="18415"/>
            <wp:docPr id="2" name="Chart 2" descr="External indeterminate and term hiring activities: Post-Secondary Recruitment Program and former student hire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3AA85E6" w14:textId="068B78CC" w:rsidR="002944FE" w:rsidRPr="000F056F" w:rsidRDefault="00A16ADA" w:rsidP="00A16ADA">
      <w:pPr>
        <w:pStyle w:val="Caption"/>
        <w:spacing w:after="0"/>
        <w:jc w:val="center"/>
        <w:rPr>
          <w:rFonts w:asciiTheme="minorHAnsi" w:eastAsia="MS Mincho" w:hAnsiTheme="minorHAnsi" w:cstheme="minorHAnsi"/>
          <w:i w:val="0"/>
          <w:iCs w:val="0"/>
          <w:color w:val="auto"/>
          <w:spacing w:val="15"/>
          <w:sz w:val="22"/>
          <w:szCs w:val="22"/>
          <w:lang w:val="en-CA"/>
        </w:rPr>
      </w:pPr>
      <w:r w:rsidRPr="000F056F">
        <w:rPr>
          <w:rFonts w:asciiTheme="minorHAnsi" w:hAnsiTheme="minorHAnsi" w:cstheme="minorHAnsi"/>
          <w:i w:val="0"/>
          <w:iCs w:val="0"/>
          <w:color w:val="auto"/>
          <w:lang w:val="en-CA"/>
        </w:rPr>
        <w:t xml:space="preserve">Figure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Figure \* ARABIC </w:instrText>
      </w:r>
      <w:r w:rsidRPr="000F056F">
        <w:rPr>
          <w:rFonts w:asciiTheme="minorHAnsi" w:hAnsiTheme="minorHAnsi" w:cstheme="minorHAnsi"/>
          <w:i w:val="0"/>
          <w:iCs w:val="0"/>
          <w:color w:val="auto"/>
          <w:lang w:val="en-CA"/>
        </w:rPr>
        <w:fldChar w:fldCharType="separate"/>
      </w:r>
      <w:r w:rsidRPr="000F056F">
        <w:rPr>
          <w:rFonts w:asciiTheme="minorHAnsi" w:hAnsiTheme="minorHAnsi" w:cstheme="minorHAnsi"/>
          <w:i w:val="0"/>
          <w:iCs w:val="0"/>
          <w:noProof/>
          <w:color w:val="auto"/>
          <w:lang w:val="en-CA"/>
        </w:rPr>
        <w:t>11</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External indeterminate and term hiring activities: Post-Secondary Recruitment Program and former student hires</w:t>
      </w:r>
    </w:p>
    <w:p w14:paraId="5EDA908D" w14:textId="25CEE95E" w:rsidR="00A16ADA" w:rsidRPr="000F056F" w:rsidRDefault="00A16ADA" w:rsidP="00A16ADA">
      <w:pPr>
        <w:pStyle w:val="Caption"/>
        <w:keepNext/>
        <w:spacing w:before="240" w:after="0"/>
        <w:jc w:val="center"/>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Table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Table \* ARABIC </w:instrText>
      </w:r>
      <w:r w:rsidRPr="000F056F">
        <w:rPr>
          <w:rFonts w:asciiTheme="minorHAnsi" w:hAnsiTheme="minorHAnsi" w:cstheme="minorHAnsi"/>
          <w:i w:val="0"/>
          <w:iCs w:val="0"/>
          <w:color w:val="auto"/>
          <w:lang w:val="en-CA"/>
        </w:rPr>
        <w:fldChar w:fldCharType="separate"/>
      </w:r>
      <w:r w:rsidR="00E4530D" w:rsidRPr="000F056F">
        <w:rPr>
          <w:rFonts w:asciiTheme="minorHAnsi" w:hAnsiTheme="minorHAnsi" w:cstheme="minorHAnsi"/>
          <w:i w:val="0"/>
          <w:iCs w:val="0"/>
          <w:noProof/>
          <w:color w:val="auto"/>
          <w:lang w:val="en-CA"/>
        </w:rPr>
        <w:t>13</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External indeterminate and term hiring activities: Post-Secondary Recruitment Program and former student hires by fiscal year</w:t>
      </w:r>
    </w:p>
    <w:tbl>
      <w:tblPr>
        <w:tblStyle w:val="TableGrid"/>
        <w:tblW w:w="5000" w:type="pct"/>
        <w:jc w:val="center"/>
        <w:tblLook w:val="0020" w:firstRow="1" w:lastRow="0" w:firstColumn="0" w:lastColumn="0" w:noHBand="0" w:noVBand="0"/>
        <w:tblDescription w:val="Post-Secondary Recruitment Program and former student hires"/>
      </w:tblPr>
      <w:tblGrid>
        <w:gridCol w:w="2357"/>
        <w:gridCol w:w="6142"/>
        <w:gridCol w:w="5891"/>
      </w:tblGrid>
      <w:tr w:rsidR="00A16ADA" w:rsidRPr="000F056F" w14:paraId="0219F089" w14:textId="77777777" w:rsidTr="00053B83">
        <w:trPr>
          <w:cantSplit/>
          <w:tblHeader/>
          <w:jc w:val="center"/>
        </w:trPr>
        <w:tc>
          <w:tcPr>
            <w:tcW w:w="819" w:type="pct"/>
          </w:tcPr>
          <w:p w14:paraId="7E930D59" w14:textId="77777777" w:rsidR="00953477" w:rsidRPr="000F056F" w:rsidRDefault="00953477" w:rsidP="00A16ADA">
            <w:pPr>
              <w:pStyle w:val="TableTitle"/>
              <w:rPr>
                <w:rFonts w:cs="Segoe UI Semibold"/>
                <w:color w:val="auto"/>
                <w:szCs w:val="22"/>
                <w:lang w:val="en-CA"/>
              </w:rPr>
            </w:pPr>
            <w:r w:rsidRPr="000F056F">
              <w:rPr>
                <w:rFonts w:cs="Segoe UI Semibold"/>
                <w:color w:val="auto"/>
                <w:szCs w:val="22"/>
                <w:lang w:val="en-CA"/>
              </w:rPr>
              <w:t>Fiscal year</w:t>
            </w:r>
          </w:p>
        </w:tc>
        <w:tc>
          <w:tcPr>
            <w:tcW w:w="2134" w:type="pct"/>
          </w:tcPr>
          <w:p w14:paraId="6A740F62" w14:textId="77777777" w:rsidR="00953477" w:rsidRPr="000F056F" w:rsidRDefault="00953477" w:rsidP="00A16ADA">
            <w:pPr>
              <w:pStyle w:val="TableTitle"/>
              <w:rPr>
                <w:rFonts w:cs="Segoe UI Semibold"/>
                <w:color w:val="auto"/>
                <w:szCs w:val="22"/>
                <w:lang w:val="en-CA"/>
              </w:rPr>
            </w:pPr>
            <w:r w:rsidRPr="000F056F">
              <w:rPr>
                <w:rFonts w:cs="Segoe UI Semibold"/>
                <w:color w:val="auto"/>
                <w:szCs w:val="22"/>
                <w:lang w:val="en-CA"/>
              </w:rPr>
              <w:t>Post-Secondary Recruitment Program hires</w:t>
            </w:r>
          </w:p>
        </w:tc>
        <w:tc>
          <w:tcPr>
            <w:tcW w:w="2047" w:type="pct"/>
          </w:tcPr>
          <w:p w14:paraId="017F0CC7" w14:textId="77777777" w:rsidR="00953477" w:rsidRPr="000F056F" w:rsidRDefault="00953477" w:rsidP="00A16ADA">
            <w:pPr>
              <w:pStyle w:val="TableTitle"/>
              <w:rPr>
                <w:rFonts w:cs="Segoe UI Semibold"/>
                <w:color w:val="auto"/>
                <w:szCs w:val="22"/>
                <w:lang w:val="en-CA"/>
              </w:rPr>
            </w:pPr>
            <w:r w:rsidRPr="000F056F">
              <w:rPr>
                <w:rFonts w:cs="Segoe UI Semibold"/>
                <w:color w:val="auto"/>
                <w:szCs w:val="22"/>
                <w:lang w:val="en-CA"/>
              </w:rPr>
              <w:t>Hiring of former students</w:t>
            </w:r>
          </w:p>
        </w:tc>
      </w:tr>
      <w:tr w:rsidR="00A16ADA" w:rsidRPr="000F056F" w14:paraId="09F91515" w14:textId="77777777" w:rsidTr="00053B83">
        <w:trPr>
          <w:cantSplit/>
          <w:tblHeader/>
          <w:jc w:val="center"/>
        </w:trPr>
        <w:tc>
          <w:tcPr>
            <w:tcW w:w="819" w:type="pct"/>
          </w:tcPr>
          <w:p w14:paraId="382D5AC3"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2015 to 2016</w:t>
            </w:r>
          </w:p>
        </w:tc>
        <w:tc>
          <w:tcPr>
            <w:tcW w:w="2134" w:type="pct"/>
          </w:tcPr>
          <w:p w14:paraId="3EFFC983"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c>
          <w:tcPr>
            <w:tcW w:w="2047" w:type="pct"/>
          </w:tcPr>
          <w:p w14:paraId="75E26993"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w:t>
            </w:r>
          </w:p>
        </w:tc>
      </w:tr>
      <w:tr w:rsidR="00A16ADA" w:rsidRPr="000F056F" w14:paraId="50983C94" w14:textId="77777777" w:rsidTr="00053B83">
        <w:trPr>
          <w:cantSplit/>
          <w:tblHeader/>
          <w:jc w:val="center"/>
        </w:trPr>
        <w:tc>
          <w:tcPr>
            <w:tcW w:w="819" w:type="pct"/>
          </w:tcPr>
          <w:p w14:paraId="33AA70AA"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2016 to 2017</w:t>
            </w:r>
          </w:p>
        </w:tc>
        <w:tc>
          <w:tcPr>
            <w:tcW w:w="2134" w:type="pct"/>
          </w:tcPr>
          <w:p w14:paraId="2CB0FFC7"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c>
          <w:tcPr>
            <w:tcW w:w="2047" w:type="pct"/>
          </w:tcPr>
          <w:p w14:paraId="1D513CDA"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7</w:t>
            </w:r>
          </w:p>
        </w:tc>
      </w:tr>
      <w:tr w:rsidR="00A16ADA" w:rsidRPr="000F056F" w14:paraId="21636A50" w14:textId="77777777" w:rsidTr="00053B83">
        <w:trPr>
          <w:cantSplit/>
          <w:tblHeader/>
          <w:jc w:val="center"/>
        </w:trPr>
        <w:tc>
          <w:tcPr>
            <w:tcW w:w="819" w:type="pct"/>
          </w:tcPr>
          <w:p w14:paraId="7B58DB3E"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2017 to 2018</w:t>
            </w:r>
          </w:p>
        </w:tc>
        <w:tc>
          <w:tcPr>
            <w:tcW w:w="2134" w:type="pct"/>
          </w:tcPr>
          <w:p w14:paraId="1ADFE5CB"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c>
          <w:tcPr>
            <w:tcW w:w="2047" w:type="pct"/>
          </w:tcPr>
          <w:p w14:paraId="1A7F516C"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2</w:t>
            </w:r>
          </w:p>
        </w:tc>
      </w:tr>
      <w:tr w:rsidR="00A16ADA" w:rsidRPr="000F056F" w14:paraId="6A454446" w14:textId="77777777" w:rsidTr="00053B83">
        <w:trPr>
          <w:cantSplit/>
          <w:tblHeader/>
          <w:jc w:val="center"/>
        </w:trPr>
        <w:tc>
          <w:tcPr>
            <w:tcW w:w="819" w:type="pct"/>
          </w:tcPr>
          <w:p w14:paraId="7DF23CE0"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2018 to 2019</w:t>
            </w:r>
          </w:p>
        </w:tc>
        <w:tc>
          <w:tcPr>
            <w:tcW w:w="2134" w:type="pct"/>
          </w:tcPr>
          <w:p w14:paraId="511657F5"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w:t>
            </w:r>
          </w:p>
        </w:tc>
        <w:tc>
          <w:tcPr>
            <w:tcW w:w="2047" w:type="pct"/>
          </w:tcPr>
          <w:p w14:paraId="61393223"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4</w:t>
            </w:r>
          </w:p>
        </w:tc>
      </w:tr>
      <w:tr w:rsidR="00A16ADA" w:rsidRPr="000F056F" w14:paraId="41DA201D" w14:textId="77777777" w:rsidTr="00053B83">
        <w:trPr>
          <w:cantSplit/>
          <w:tblHeader/>
          <w:jc w:val="center"/>
        </w:trPr>
        <w:tc>
          <w:tcPr>
            <w:tcW w:w="819" w:type="pct"/>
          </w:tcPr>
          <w:p w14:paraId="7E593048" w14:textId="77777777" w:rsidR="00953477" w:rsidRPr="000F056F" w:rsidRDefault="00953477" w:rsidP="008E37FE">
            <w:pPr>
              <w:autoSpaceDE w:val="0"/>
              <w:autoSpaceDN w:val="0"/>
              <w:adjustRightInd w:val="0"/>
              <w:rPr>
                <w:rFonts w:asciiTheme="minorHAnsi" w:hAnsiTheme="minorHAnsi" w:cstheme="minorHAnsi"/>
                <w:sz w:val="22"/>
                <w:szCs w:val="22"/>
                <w:lang w:val="en-CA"/>
              </w:rPr>
            </w:pPr>
            <w:r w:rsidRPr="000F056F">
              <w:rPr>
                <w:rFonts w:asciiTheme="minorHAnsi" w:hAnsiTheme="minorHAnsi" w:cstheme="minorHAnsi"/>
                <w:sz w:val="22"/>
                <w:szCs w:val="22"/>
                <w:lang w:val="en-CA"/>
              </w:rPr>
              <w:t>2019 to 2020</w:t>
            </w:r>
          </w:p>
        </w:tc>
        <w:tc>
          <w:tcPr>
            <w:tcW w:w="2134" w:type="pct"/>
          </w:tcPr>
          <w:p w14:paraId="3E9E27DA"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0</w:t>
            </w:r>
          </w:p>
        </w:tc>
        <w:tc>
          <w:tcPr>
            <w:tcW w:w="2047" w:type="pct"/>
          </w:tcPr>
          <w:p w14:paraId="546BAD09" w14:textId="77777777" w:rsidR="00953477" w:rsidRPr="000F056F" w:rsidRDefault="00953477" w:rsidP="008E37FE">
            <w:pPr>
              <w:autoSpaceDE w:val="0"/>
              <w:autoSpaceDN w:val="0"/>
              <w:adjustRightInd w:val="0"/>
              <w:jc w:val="center"/>
              <w:rPr>
                <w:rFonts w:asciiTheme="minorHAnsi" w:hAnsiTheme="minorHAnsi" w:cstheme="minorHAnsi"/>
                <w:sz w:val="22"/>
                <w:szCs w:val="22"/>
                <w:lang w:val="en-CA"/>
              </w:rPr>
            </w:pPr>
            <w:r w:rsidRPr="000F056F">
              <w:rPr>
                <w:rFonts w:asciiTheme="minorHAnsi" w:hAnsiTheme="minorHAnsi" w:cstheme="minorHAnsi"/>
                <w:sz w:val="22"/>
                <w:szCs w:val="22"/>
                <w:lang w:val="en-CA"/>
              </w:rPr>
              <w:t>10</w:t>
            </w:r>
          </w:p>
        </w:tc>
      </w:tr>
    </w:tbl>
    <w:p w14:paraId="202DFCB6" w14:textId="1D4D2BAB" w:rsidR="00D007DC" w:rsidRPr="000F056F" w:rsidRDefault="00953477" w:rsidP="00953477">
      <w:pPr>
        <w:rPr>
          <w:rFonts w:asciiTheme="minorHAnsi" w:hAnsiTheme="minorHAnsi" w:cstheme="minorHAnsi"/>
          <w:sz w:val="22"/>
          <w:szCs w:val="22"/>
          <w:lang w:val="en-CA"/>
        </w:rPr>
      </w:pPr>
      <w:r w:rsidRPr="000F056F">
        <w:rPr>
          <w:rFonts w:asciiTheme="minorHAnsi" w:hAnsiTheme="minorHAnsi" w:cstheme="minorHAnsi"/>
          <w:sz w:val="22"/>
          <w:szCs w:val="22"/>
          <w:lang w:val="en-CA"/>
        </w:rPr>
        <w:t>Hiring of former students includes indeterminate and term hires with experience in a federal student recruitment program within the last 10 years.</w:t>
      </w:r>
    </w:p>
    <w:p w14:paraId="472113C1" w14:textId="77777777" w:rsidR="00D007DC" w:rsidRPr="000F056F" w:rsidRDefault="00D007DC" w:rsidP="002944FE">
      <w:pPr>
        <w:numPr>
          <w:ilvl w:val="1"/>
          <w:numId w:val="0"/>
        </w:numPr>
        <w:spacing w:after="160"/>
        <w:rPr>
          <w:rFonts w:ascii="Calibri" w:eastAsia="MS Mincho" w:hAnsi="Calibri"/>
          <w:color w:val="5A5A5A"/>
          <w:spacing w:val="15"/>
          <w:sz w:val="22"/>
          <w:szCs w:val="22"/>
          <w:lang w:val="en-CA"/>
        </w:rPr>
        <w:sectPr w:rsidR="00D007DC" w:rsidRPr="000F056F" w:rsidSect="008D03AB">
          <w:pgSz w:w="15840" w:h="12240" w:orient="landscape"/>
          <w:pgMar w:top="1025" w:right="720" w:bottom="720" w:left="720" w:header="708" w:footer="708" w:gutter="0"/>
          <w:cols w:space="708"/>
          <w:titlePg/>
          <w:docGrid w:linePitch="360"/>
        </w:sectPr>
      </w:pPr>
    </w:p>
    <w:p w14:paraId="46DCB803" w14:textId="79CE8C88" w:rsidR="00D007DC" w:rsidRPr="000F056F" w:rsidRDefault="00A16ADA" w:rsidP="00A16ADA">
      <w:pPr>
        <w:pStyle w:val="Heading1"/>
        <w:spacing w:before="120" w:after="120"/>
        <w:rPr>
          <w:rFonts w:eastAsia="MS Mincho"/>
          <w:sz w:val="40"/>
          <w:szCs w:val="40"/>
          <w:lang w:val="en-CA"/>
        </w:rPr>
      </w:pPr>
      <w:r w:rsidRPr="000F056F">
        <w:rPr>
          <w:rFonts w:eastAsia="MS Mincho"/>
          <w:sz w:val="40"/>
          <w:szCs w:val="40"/>
          <w:lang w:val="en-CA"/>
        </w:rPr>
        <w:lastRenderedPageBreak/>
        <w:t>Internal time to staff</w:t>
      </w:r>
    </w:p>
    <w:p w14:paraId="0C1133AC" w14:textId="39152E85" w:rsidR="00A16ADA" w:rsidRPr="000F056F" w:rsidRDefault="002944FE" w:rsidP="00A16ADA">
      <w:pPr>
        <w:keepNext/>
        <w:rPr>
          <w:lang w:val="en-CA"/>
        </w:rPr>
      </w:pPr>
      <w:r w:rsidRPr="000F056F">
        <w:rPr>
          <w:rFonts w:ascii="Arial" w:eastAsia="Calibri" w:hAnsi="Arial"/>
          <w:noProof/>
          <w:sz w:val="22"/>
          <w:szCs w:val="22"/>
          <w:lang w:val="en-CA" w:eastAsia="en-CA"/>
        </w:rPr>
        <w:drawing>
          <wp:inline distT="0" distB="0" distL="0" distR="0" wp14:anchorId="20B04D41" wp14:editId="7E1CB7D2">
            <wp:extent cx="5648400" cy="3049200"/>
            <wp:effectExtent l="0" t="0" r="9525" b="18415"/>
            <wp:docPr id="22" name="Chart 22" descr="Internal time to staff Public service median = 175 days, 2019-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A16ADA" w:rsidRPr="000F056F">
        <w:rPr>
          <w:rFonts w:asciiTheme="minorHAnsi" w:eastAsia="Calibri" w:hAnsiTheme="minorHAnsi" w:cstheme="minorHAnsi"/>
          <w:noProof/>
          <w:sz w:val="22"/>
          <w:szCs w:val="22"/>
          <w:lang w:val="en-CA" w:eastAsia="en-CA"/>
        </w:rPr>
        <mc:AlternateContent>
          <mc:Choice Requires="wps">
            <w:drawing>
              <wp:inline distT="0" distB="0" distL="0" distR="0" wp14:anchorId="7CA67FF3" wp14:editId="1A87931A">
                <wp:extent cx="5648400" cy="3049200"/>
                <wp:effectExtent l="0" t="0" r="28575" b="18415"/>
                <wp:docPr id="4" name="Text Box 4" descr="The data is insufficient for providing results on internal process times for the specified organization." title="Internal time to staff for fiscal year 2019 to 2020 for the specified organiz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39EE6CA9" w14:textId="77777777" w:rsidR="005B3BCC" w:rsidRPr="00A16ADA" w:rsidRDefault="005B3BCC" w:rsidP="00A16ADA">
                            <w:pPr>
                              <w:spacing w:after="120"/>
                              <w:rPr>
                                <w:rFonts w:asciiTheme="minorHAnsi" w:hAnsiTheme="minorHAnsi" w:cstheme="minorHAnsi"/>
                                <w:sz w:val="22"/>
                                <w:szCs w:val="22"/>
                              </w:rPr>
                            </w:pPr>
                            <w:r w:rsidRPr="00A16ADA">
                              <w:rPr>
                                <w:rFonts w:asciiTheme="minorHAnsi" w:hAnsiTheme="minorHAnsi" w:cstheme="minorHAnsi"/>
                                <w:sz w:val="22"/>
                                <w:szCs w:val="22"/>
                              </w:rPr>
                              <w:t>Internal Time to Staff</w:t>
                            </w:r>
                          </w:p>
                          <w:p w14:paraId="0ACB6CAF" w14:textId="77777777" w:rsidR="005B3BCC" w:rsidRPr="00A16ADA" w:rsidRDefault="005B3BCC" w:rsidP="00A16ADA">
                            <w:pPr>
                              <w:pStyle w:val="ListParagraph"/>
                              <w:ind w:left="360"/>
                              <w:rPr>
                                <w:rFonts w:asciiTheme="minorHAnsi" w:hAnsiTheme="minorHAnsi" w:cstheme="minorHAnsi"/>
                                <w:sz w:val="22"/>
                                <w:szCs w:val="18"/>
                              </w:rPr>
                            </w:pPr>
                            <w:r w:rsidRPr="00A16ADA">
                              <w:rPr>
                                <w:rFonts w:asciiTheme="minorHAnsi" w:hAnsiTheme="minorHAnsi" w:cstheme="minorHAnsi"/>
                                <w:sz w:val="22"/>
                                <w:szCs w:val="18"/>
                              </w:rPr>
                              <w:t>The data is insufficient for providing results on internal process times for the Canadian Grain Commission.</w:t>
                            </w:r>
                          </w:p>
                        </w:txbxContent>
                      </wps:txbx>
                      <wps:bodyPr rot="0" vert="horz" wrap="square" lIns="91440" tIns="45720" rIns="91440" bIns="45720" anchor="t" anchorCtr="0">
                        <a:noAutofit/>
                      </wps:bodyPr>
                    </wps:wsp>
                  </a:graphicData>
                </a:graphic>
              </wp:inline>
            </w:drawing>
          </mc:Choice>
          <mc:Fallback>
            <w:pict>
              <v:shapetype w14:anchorId="7CA67FF3" id="_x0000_t202" coordsize="21600,21600" o:spt="202" path="m,l,21600r21600,l21600,xe">
                <v:stroke joinstyle="miter"/>
                <v:path gradientshapeok="t" o:connecttype="rect"/>
              </v:shapetype>
              <v:shape id="Text Box 4" o:spid="_x0000_s1026" type="#_x0000_t202" alt="Title: Internal time to staff for fiscal year 2019 to 2020 for the specified organization - Description: The data is insufficient for providing results on internal process times for the specified organization."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">
                <v:textbox>
                  <w:txbxContent>
                    <w:p w14:paraId="39EE6CA9" w14:textId="77777777" w:rsidR="005B3BCC" w:rsidRPr="00A16ADA" w:rsidRDefault="005B3BCC" w:rsidP="00A16ADA">
                      <w:pPr>
                        <w:spacing w:after="120"/>
                        <w:rPr>
                          <w:rFonts w:asciiTheme="minorHAnsi" w:hAnsiTheme="minorHAnsi" w:cstheme="minorHAnsi"/>
                          <w:sz w:val="22"/>
                          <w:szCs w:val="22"/>
                        </w:rPr>
                      </w:pPr>
                      <w:r w:rsidRPr="00A16ADA">
                        <w:rPr>
                          <w:rFonts w:asciiTheme="minorHAnsi" w:hAnsiTheme="minorHAnsi" w:cstheme="minorHAnsi"/>
                          <w:sz w:val="22"/>
                          <w:szCs w:val="22"/>
                        </w:rPr>
                        <w:t>Internal Time to Staff</w:t>
                      </w:r>
                    </w:p>
                    <w:p w14:paraId="0ACB6CAF" w14:textId="77777777" w:rsidR="005B3BCC" w:rsidRPr="00A16ADA" w:rsidRDefault="005B3BCC" w:rsidP="00A16ADA">
                      <w:pPr>
                        <w:pStyle w:val="ListParagraph"/>
                        <w:ind w:left="360"/>
                        <w:rPr>
                          <w:rFonts w:asciiTheme="minorHAnsi" w:hAnsiTheme="minorHAnsi" w:cstheme="minorHAnsi"/>
                          <w:sz w:val="22"/>
                          <w:szCs w:val="18"/>
                        </w:rPr>
                      </w:pPr>
                      <w:r w:rsidRPr="00A16ADA">
                        <w:rPr>
                          <w:rFonts w:asciiTheme="minorHAnsi" w:hAnsiTheme="minorHAnsi" w:cstheme="minorHAnsi"/>
                          <w:sz w:val="22"/>
                          <w:szCs w:val="18"/>
                        </w:rPr>
                        <w:t>The data is insufficient for providing results on internal process times for the Canadian Grain Commission.</w:t>
                      </w:r>
                    </w:p>
                  </w:txbxContent>
                </v:textbox>
                <w10:anchorlock/>
              </v:shape>
            </w:pict>
          </mc:Fallback>
        </mc:AlternateContent>
      </w:r>
    </w:p>
    <w:p w14:paraId="0AF7F247" w14:textId="45AF5A11" w:rsidR="00A16ADA" w:rsidRPr="000F056F" w:rsidRDefault="00A16ADA" w:rsidP="00A16ADA">
      <w:pPr>
        <w:pStyle w:val="Caption"/>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Figure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Figure \* ARABIC </w:instrText>
      </w:r>
      <w:r w:rsidRPr="000F056F">
        <w:rPr>
          <w:rFonts w:asciiTheme="minorHAnsi" w:hAnsiTheme="minorHAnsi" w:cstheme="minorHAnsi"/>
          <w:i w:val="0"/>
          <w:iCs w:val="0"/>
          <w:color w:val="auto"/>
          <w:lang w:val="en-CA"/>
        </w:rPr>
        <w:fldChar w:fldCharType="separate"/>
      </w:r>
      <w:r w:rsidRPr="000F056F">
        <w:rPr>
          <w:rFonts w:asciiTheme="minorHAnsi" w:hAnsiTheme="minorHAnsi" w:cstheme="minorHAnsi"/>
          <w:i w:val="0"/>
          <w:iCs w:val="0"/>
          <w:noProof/>
          <w:color w:val="auto"/>
          <w:lang w:val="en-CA"/>
        </w:rPr>
        <w:t>12</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Internal time to staff Public service median = 175 days, 2019</w:t>
      </w:r>
      <w:r w:rsidR="005E30C0" w:rsidRPr="000F056F">
        <w:rPr>
          <w:rFonts w:asciiTheme="minorHAnsi" w:hAnsiTheme="minorHAnsi" w:cstheme="minorHAnsi"/>
          <w:i w:val="0"/>
          <w:iCs w:val="0"/>
          <w:color w:val="auto"/>
          <w:lang w:val="en-CA"/>
        </w:rPr>
        <w:t>-20</w:t>
      </w:r>
      <w:r w:rsidRPr="000F056F">
        <w:rPr>
          <w:rFonts w:asciiTheme="minorHAnsi" w:hAnsiTheme="minorHAnsi" w:cstheme="minorHAnsi"/>
          <w:i w:val="0"/>
          <w:iCs w:val="0"/>
          <w:color w:val="auto"/>
          <w:lang w:val="en-CA"/>
        </w:rPr>
        <w:t>20</w:t>
      </w:r>
    </w:p>
    <w:p w14:paraId="0AD75499" w14:textId="5E255E4A" w:rsidR="009619CB" w:rsidRPr="000F056F" w:rsidRDefault="00662E05" w:rsidP="009619CB">
      <w:pPr>
        <w:numPr>
          <w:ilvl w:val="1"/>
          <w:numId w:val="0"/>
        </w:numPr>
        <w:spacing w:before="240" w:after="120"/>
        <w:rPr>
          <w:rStyle w:val="Hyperlink"/>
          <w:rFonts w:asciiTheme="minorHAnsi" w:eastAsiaTheme="minorHAnsi" w:hAnsiTheme="minorHAnsi" w:cstheme="minorHAnsi"/>
          <w:szCs w:val="24"/>
          <w:lang w:val="en-CA"/>
        </w:rPr>
      </w:pPr>
      <w:hyperlink w:anchor="Internal_time_to_staff" w:history="1">
        <w:r w:rsidR="009619CB" w:rsidRPr="000F056F">
          <w:rPr>
            <w:rStyle w:val="Hyperlink"/>
            <w:rFonts w:asciiTheme="minorHAnsi" w:eastAsiaTheme="minorHAnsi" w:hAnsiTheme="minorHAnsi" w:cstheme="minorHAnsi"/>
            <w:szCs w:val="24"/>
            <w:lang w:val="en-CA"/>
          </w:rPr>
          <w:t>Internal time to staff data table available here</w:t>
        </w:r>
      </w:hyperlink>
    </w:p>
    <w:p w14:paraId="2867B8A4" w14:textId="77777777" w:rsidR="00A16ADA" w:rsidRPr="000F056F" w:rsidRDefault="00A16ADA" w:rsidP="00D007DC">
      <w:pPr>
        <w:rPr>
          <w:rFonts w:asciiTheme="minorHAnsi" w:hAnsiTheme="minorHAnsi" w:cstheme="minorHAnsi"/>
          <w:sz w:val="22"/>
          <w:szCs w:val="22"/>
          <w:lang w:val="en-CA" w:eastAsia="en-CA"/>
        </w:rPr>
        <w:sectPr w:rsidR="00A16ADA" w:rsidRPr="000F056F" w:rsidSect="00D007DC">
          <w:pgSz w:w="20160" w:h="12240" w:orient="landscape" w:code="5"/>
          <w:pgMar w:top="1025" w:right="720" w:bottom="720" w:left="720" w:header="708" w:footer="708" w:gutter="0"/>
          <w:cols w:space="708"/>
          <w:titlePg/>
          <w:docGrid w:linePitch="360"/>
        </w:sectPr>
      </w:pPr>
    </w:p>
    <w:p w14:paraId="7E901952" w14:textId="5A9F32AB" w:rsidR="00D007DC" w:rsidRPr="000F056F" w:rsidRDefault="00D007DC" w:rsidP="00A16ADA">
      <w:pPr>
        <w:spacing w:after="120"/>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Internal time to staff is calculated as the number of calendar days between the opening date of the advertisement and the date of the first notification</w:t>
      </w:r>
    </w:p>
    <w:p w14:paraId="3D85369D" w14:textId="77777777" w:rsidR="00953477" w:rsidRPr="000F056F" w:rsidRDefault="00953477" w:rsidP="00953477">
      <w:pPr>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The median internal time to staff for the public service (organizations subject to the </w:t>
      </w:r>
      <w:r w:rsidRPr="000F056F">
        <w:rPr>
          <w:rStyle w:val="Emphasis"/>
          <w:rFonts w:asciiTheme="minorHAnsi" w:hAnsiTheme="minorHAnsi" w:cstheme="minorHAnsi"/>
          <w:sz w:val="22"/>
          <w:szCs w:val="18"/>
          <w:lang w:val="en-CA"/>
        </w:rPr>
        <w:t>Public Service Employment Act</w:t>
      </w:r>
      <w:r w:rsidRPr="000F056F">
        <w:rPr>
          <w:rFonts w:asciiTheme="minorHAnsi" w:hAnsiTheme="minorHAnsi" w:cstheme="minorHAnsi"/>
          <w:sz w:val="22"/>
          <w:szCs w:val="22"/>
          <w:lang w:val="en-CA"/>
        </w:rPr>
        <w:t>) for fiscal year 2019 to 2020 is 175 days</w:t>
      </w:r>
    </w:p>
    <w:p w14:paraId="58C2C677" w14:textId="7473518A" w:rsidR="00953477" w:rsidRPr="000F056F" w:rsidRDefault="00953477" w:rsidP="008E37FE">
      <w:pPr>
        <w:rPr>
          <w:rStyle w:val="Strong"/>
          <w:rFonts w:asciiTheme="minorHAnsi" w:hAnsiTheme="minorHAnsi" w:cstheme="minorHAnsi"/>
          <w:sz w:val="22"/>
          <w:szCs w:val="18"/>
          <w:lang w:val="en-CA"/>
        </w:rPr>
      </w:pPr>
      <w:r w:rsidRPr="000F056F">
        <w:rPr>
          <w:rStyle w:val="Strong"/>
          <w:rFonts w:asciiTheme="minorHAnsi" w:hAnsiTheme="minorHAnsi" w:cstheme="minorHAnsi"/>
          <w:sz w:val="22"/>
          <w:szCs w:val="18"/>
          <w:lang w:val="en-CA"/>
        </w:rPr>
        <w:t>Internal time to staff for fiscal year 2019 to 2020</w:t>
      </w:r>
    </w:p>
    <w:p w14:paraId="0BC0CD49" w14:textId="0CEB21B1" w:rsidR="00D007DC" w:rsidRPr="000F056F" w:rsidRDefault="00953477" w:rsidP="002944FE">
      <w:pPr>
        <w:rPr>
          <w:rFonts w:asciiTheme="minorHAnsi" w:hAnsiTheme="minorHAnsi" w:cstheme="minorHAnsi"/>
          <w:sz w:val="22"/>
          <w:szCs w:val="22"/>
          <w:lang w:val="en-CA"/>
        </w:rPr>
      </w:pPr>
      <w:r w:rsidRPr="000F056F">
        <w:rPr>
          <w:rFonts w:asciiTheme="minorHAnsi" w:hAnsiTheme="minorHAnsi" w:cstheme="minorHAnsi"/>
          <w:sz w:val="22"/>
          <w:szCs w:val="22"/>
          <w:lang w:val="en-CA"/>
        </w:rPr>
        <w:t>The data is insufficient for providing results on internal process times for the Canadian Grain Commission.</w:t>
      </w:r>
    </w:p>
    <w:p w14:paraId="19B510D9" w14:textId="77777777" w:rsidR="00A16ADA" w:rsidRPr="000F056F" w:rsidRDefault="00A16ADA" w:rsidP="002944FE">
      <w:pPr>
        <w:rPr>
          <w:rFonts w:ascii="Arial" w:eastAsia="Calibri" w:hAnsi="Arial"/>
          <w:sz w:val="22"/>
          <w:szCs w:val="22"/>
          <w:lang w:val="en-CA"/>
        </w:rPr>
        <w:sectPr w:rsidR="00A16ADA" w:rsidRPr="000F056F" w:rsidSect="00A16ADA">
          <w:type w:val="continuous"/>
          <w:pgSz w:w="20160" w:h="12240" w:orient="landscape" w:code="5"/>
          <w:pgMar w:top="1025" w:right="720" w:bottom="720" w:left="720" w:header="708" w:footer="708" w:gutter="0"/>
          <w:cols w:num="2" w:space="708"/>
          <w:titlePg/>
          <w:docGrid w:linePitch="360"/>
        </w:sectPr>
      </w:pPr>
    </w:p>
    <w:p w14:paraId="3ADB51BE" w14:textId="2E234259" w:rsidR="00D76ECD" w:rsidRPr="000F056F" w:rsidRDefault="00D76ECD" w:rsidP="002944FE">
      <w:pPr>
        <w:rPr>
          <w:rFonts w:ascii="Arial" w:eastAsia="Calibri" w:hAnsi="Arial"/>
          <w:sz w:val="22"/>
          <w:szCs w:val="22"/>
          <w:lang w:val="en-CA"/>
        </w:rPr>
      </w:pPr>
    </w:p>
    <w:p w14:paraId="794C7B05" w14:textId="77777777" w:rsidR="00D007DC" w:rsidRPr="000F056F" w:rsidRDefault="00D007DC" w:rsidP="002944FE">
      <w:pPr>
        <w:rPr>
          <w:rFonts w:ascii="Arial" w:eastAsia="Calibri" w:hAnsi="Arial"/>
          <w:sz w:val="22"/>
          <w:szCs w:val="22"/>
          <w:lang w:val="en-CA"/>
        </w:rPr>
        <w:sectPr w:rsidR="00D007DC" w:rsidRPr="000F056F" w:rsidSect="00A16ADA">
          <w:type w:val="continuous"/>
          <w:pgSz w:w="20160" w:h="12240" w:orient="landscape" w:code="5"/>
          <w:pgMar w:top="1025" w:right="720" w:bottom="720" w:left="720" w:header="708" w:footer="708" w:gutter="0"/>
          <w:cols w:space="708"/>
          <w:titlePg/>
          <w:docGrid w:linePitch="360"/>
        </w:sectPr>
      </w:pPr>
    </w:p>
    <w:p w14:paraId="775DF5FF" w14:textId="4DBF1810" w:rsidR="00D007DC" w:rsidRPr="000F056F" w:rsidRDefault="00A16ADA" w:rsidP="00A16ADA">
      <w:pPr>
        <w:pStyle w:val="Heading1"/>
        <w:spacing w:before="120" w:after="120"/>
        <w:rPr>
          <w:rFonts w:eastAsia="Calibri"/>
          <w:sz w:val="40"/>
          <w:szCs w:val="40"/>
          <w:lang w:val="en-CA"/>
        </w:rPr>
      </w:pPr>
      <w:r w:rsidRPr="000F056F">
        <w:rPr>
          <w:rFonts w:eastAsia="Calibri"/>
          <w:sz w:val="40"/>
          <w:szCs w:val="40"/>
          <w:lang w:val="en-CA"/>
        </w:rPr>
        <w:lastRenderedPageBreak/>
        <w:t>Internal time to staff</w:t>
      </w:r>
    </w:p>
    <w:p w14:paraId="68906FBE" w14:textId="5A9F2E7A" w:rsidR="00E4530D" w:rsidRPr="000F056F" w:rsidRDefault="00E4530D" w:rsidP="00E4530D">
      <w:pPr>
        <w:pStyle w:val="Caption"/>
        <w:keepNext/>
        <w:spacing w:after="0"/>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Table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Table \* ARABIC </w:instrText>
      </w:r>
      <w:r w:rsidRPr="000F056F">
        <w:rPr>
          <w:rFonts w:asciiTheme="minorHAnsi" w:hAnsiTheme="minorHAnsi" w:cstheme="minorHAnsi"/>
          <w:i w:val="0"/>
          <w:iCs w:val="0"/>
          <w:color w:val="auto"/>
          <w:lang w:val="en-CA"/>
        </w:rPr>
        <w:fldChar w:fldCharType="separate"/>
      </w:r>
      <w:r w:rsidRPr="000F056F">
        <w:rPr>
          <w:rFonts w:asciiTheme="minorHAnsi" w:hAnsiTheme="minorHAnsi" w:cstheme="minorHAnsi"/>
          <w:i w:val="0"/>
          <w:iCs w:val="0"/>
          <w:noProof/>
          <w:color w:val="auto"/>
          <w:lang w:val="en-CA"/>
        </w:rPr>
        <w:t>14</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Internal time to staff</w:t>
      </w:r>
    </w:p>
    <w:tbl>
      <w:tblPr>
        <w:tblStyle w:val="TableGrid"/>
        <w:tblW w:w="5000" w:type="pct"/>
        <w:jc w:val="center"/>
        <w:tblLook w:val="0020" w:firstRow="1" w:lastRow="0" w:firstColumn="0" w:lastColumn="0" w:noHBand="0" w:noVBand="0"/>
        <w:tblDescription w:val="Internal time to staff"/>
      </w:tblPr>
      <w:tblGrid>
        <w:gridCol w:w="2971"/>
        <w:gridCol w:w="7514"/>
      </w:tblGrid>
      <w:tr w:rsidR="00A16ADA" w:rsidRPr="000F056F" w14:paraId="200707C8" w14:textId="77777777" w:rsidTr="00053B83">
        <w:trPr>
          <w:cantSplit/>
          <w:trHeight w:val="290"/>
          <w:tblHeader/>
          <w:jc w:val="center"/>
        </w:trPr>
        <w:tc>
          <w:tcPr>
            <w:tcW w:w="1417" w:type="pct"/>
          </w:tcPr>
          <w:p w14:paraId="68812043" w14:textId="77777777" w:rsidR="00F40414" w:rsidRPr="000F056F" w:rsidRDefault="00F40414" w:rsidP="00A16ADA">
            <w:pPr>
              <w:pStyle w:val="TableTitle"/>
              <w:rPr>
                <w:rFonts w:cs="Segoe UI Semibold"/>
                <w:color w:val="auto"/>
                <w:szCs w:val="22"/>
                <w:lang w:val="en-CA"/>
              </w:rPr>
            </w:pPr>
            <w:bookmarkStart w:id="3" w:name="Internal_time_to_staff"/>
            <w:r w:rsidRPr="000F056F">
              <w:rPr>
                <w:rFonts w:cs="Segoe UI Semibold"/>
                <w:color w:val="auto"/>
                <w:szCs w:val="22"/>
                <w:lang w:val="en-CA"/>
              </w:rPr>
              <w:t>Number of calendar days</w:t>
            </w:r>
            <w:bookmarkEnd w:id="3"/>
          </w:p>
        </w:tc>
        <w:tc>
          <w:tcPr>
            <w:tcW w:w="3583" w:type="pct"/>
          </w:tcPr>
          <w:p w14:paraId="3CBFAAC4" w14:textId="77777777" w:rsidR="00F40414" w:rsidRPr="000F056F" w:rsidRDefault="00F40414" w:rsidP="00A16ADA">
            <w:pPr>
              <w:pStyle w:val="TableTitle"/>
              <w:rPr>
                <w:rFonts w:cs="Segoe UI Semibold"/>
                <w:color w:val="auto"/>
                <w:szCs w:val="22"/>
                <w:lang w:val="en-CA"/>
              </w:rPr>
            </w:pPr>
            <w:r w:rsidRPr="000F056F">
              <w:rPr>
                <w:rFonts w:cs="Segoe UI Semibold"/>
                <w:color w:val="auto"/>
                <w:szCs w:val="22"/>
                <w:lang w:val="en-CA"/>
              </w:rPr>
              <w:t xml:space="preserve">The number of internal appointments for which the TTS-IA was within the specified number of calendar days for organizations subject to the </w:t>
            </w:r>
            <w:r w:rsidRPr="000F056F">
              <w:rPr>
                <w:rStyle w:val="Emphasis"/>
                <w:b/>
                <w:bCs/>
                <w:color w:val="auto"/>
                <w:szCs w:val="22"/>
                <w:lang w:val="en-CA"/>
              </w:rPr>
              <w:t>Public Service Employment Act</w:t>
            </w:r>
          </w:p>
        </w:tc>
      </w:tr>
      <w:tr w:rsidR="00F40414" w:rsidRPr="000F056F" w14:paraId="092EFD4A" w14:textId="77777777" w:rsidTr="00053B83">
        <w:trPr>
          <w:cantSplit/>
          <w:trHeight w:val="290"/>
          <w:tblHeader/>
          <w:jc w:val="center"/>
        </w:trPr>
        <w:tc>
          <w:tcPr>
            <w:tcW w:w="1417" w:type="pct"/>
          </w:tcPr>
          <w:p w14:paraId="48C250AF"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0 calendar days</w:t>
            </w:r>
          </w:p>
        </w:tc>
        <w:tc>
          <w:tcPr>
            <w:tcW w:w="3583" w:type="pct"/>
          </w:tcPr>
          <w:p w14:paraId="619E18EC"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0</w:t>
            </w:r>
          </w:p>
        </w:tc>
      </w:tr>
      <w:tr w:rsidR="00F40414" w:rsidRPr="000F056F" w14:paraId="64F91693" w14:textId="77777777" w:rsidTr="00053B83">
        <w:trPr>
          <w:cantSplit/>
          <w:trHeight w:val="290"/>
          <w:tblHeader/>
          <w:jc w:val="center"/>
        </w:trPr>
        <w:tc>
          <w:tcPr>
            <w:tcW w:w="1417" w:type="pct"/>
          </w:tcPr>
          <w:p w14:paraId="6AB7B468"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0 to 29 calendar days</w:t>
            </w:r>
          </w:p>
        </w:tc>
        <w:tc>
          <w:tcPr>
            <w:tcW w:w="3583" w:type="pct"/>
          </w:tcPr>
          <w:p w14:paraId="2490E049"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13</w:t>
            </w:r>
          </w:p>
        </w:tc>
      </w:tr>
      <w:tr w:rsidR="00F40414" w:rsidRPr="000F056F" w14:paraId="4B4439DE" w14:textId="77777777" w:rsidTr="00053B83">
        <w:trPr>
          <w:cantSplit/>
          <w:trHeight w:val="290"/>
          <w:tblHeader/>
          <w:jc w:val="center"/>
        </w:trPr>
        <w:tc>
          <w:tcPr>
            <w:tcW w:w="1417" w:type="pct"/>
          </w:tcPr>
          <w:p w14:paraId="42E3FF3C"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30 to 59 calendar days</w:t>
            </w:r>
          </w:p>
        </w:tc>
        <w:tc>
          <w:tcPr>
            <w:tcW w:w="3583" w:type="pct"/>
          </w:tcPr>
          <w:p w14:paraId="3FC387F9"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106</w:t>
            </w:r>
          </w:p>
        </w:tc>
      </w:tr>
      <w:tr w:rsidR="00F40414" w:rsidRPr="000F056F" w14:paraId="5EF8C274" w14:textId="77777777" w:rsidTr="00053B83">
        <w:trPr>
          <w:cantSplit/>
          <w:trHeight w:val="290"/>
          <w:tblHeader/>
          <w:jc w:val="center"/>
        </w:trPr>
        <w:tc>
          <w:tcPr>
            <w:tcW w:w="1417" w:type="pct"/>
          </w:tcPr>
          <w:p w14:paraId="136CCE65"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60 to 89 calendar days</w:t>
            </w:r>
          </w:p>
        </w:tc>
        <w:tc>
          <w:tcPr>
            <w:tcW w:w="3583" w:type="pct"/>
          </w:tcPr>
          <w:p w14:paraId="5036BCE0"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256</w:t>
            </w:r>
          </w:p>
        </w:tc>
      </w:tr>
      <w:tr w:rsidR="00F40414" w:rsidRPr="000F056F" w14:paraId="0537C618" w14:textId="77777777" w:rsidTr="00053B83">
        <w:trPr>
          <w:cantSplit/>
          <w:trHeight w:val="290"/>
          <w:tblHeader/>
          <w:jc w:val="center"/>
        </w:trPr>
        <w:tc>
          <w:tcPr>
            <w:tcW w:w="1417" w:type="pct"/>
          </w:tcPr>
          <w:p w14:paraId="0848B742"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90 to 119 calendar days</w:t>
            </w:r>
          </w:p>
        </w:tc>
        <w:tc>
          <w:tcPr>
            <w:tcW w:w="3583" w:type="pct"/>
          </w:tcPr>
          <w:p w14:paraId="68AB0DA8"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331</w:t>
            </w:r>
          </w:p>
        </w:tc>
      </w:tr>
      <w:tr w:rsidR="00F40414" w:rsidRPr="000F056F" w14:paraId="28B533C9" w14:textId="77777777" w:rsidTr="00053B83">
        <w:trPr>
          <w:cantSplit/>
          <w:trHeight w:val="290"/>
          <w:tblHeader/>
          <w:jc w:val="center"/>
        </w:trPr>
        <w:tc>
          <w:tcPr>
            <w:tcW w:w="1417" w:type="pct"/>
          </w:tcPr>
          <w:p w14:paraId="47B734F3"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120 to 149 calendar days</w:t>
            </w:r>
          </w:p>
        </w:tc>
        <w:tc>
          <w:tcPr>
            <w:tcW w:w="3583" w:type="pct"/>
          </w:tcPr>
          <w:p w14:paraId="5A772AE3"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313</w:t>
            </w:r>
          </w:p>
        </w:tc>
      </w:tr>
      <w:tr w:rsidR="00F40414" w:rsidRPr="000F056F" w14:paraId="44BF41D8" w14:textId="77777777" w:rsidTr="00053B83">
        <w:trPr>
          <w:cantSplit/>
          <w:trHeight w:val="290"/>
          <w:tblHeader/>
          <w:jc w:val="center"/>
        </w:trPr>
        <w:tc>
          <w:tcPr>
            <w:tcW w:w="1417" w:type="pct"/>
          </w:tcPr>
          <w:p w14:paraId="4A908062"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150 to 179 calendar days</w:t>
            </w:r>
          </w:p>
        </w:tc>
        <w:tc>
          <w:tcPr>
            <w:tcW w:w="3583" w:type="pct"/>
          </w:tcPr>
          <w:p w14:paraId="249A0BB1"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314</w:t>
            </w:r>
          </w:p>
        </w:tc>
      </w:tr>
      <w:tr w:rsidR="00F40414" w:rsidRPr="000F056F" w14:paraId="415BB82C" w14:textId="77777777" w:rsidTr="00053B83">
        <w:trPr>
          <w:cantSplit/>
          <w:trHeight w:val="290"/>
          <w:tblHeader/>
          <w:jc w:val="center"/>
        </w:trPr>
        <w:tc>
          <w:tcPr>
            <w:tcW w:w="1417" w:type="pct"/>
          </w:tcPr>
          <w:p w14:paraId="784DCC50"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180 to 209 calendar days</w:t>
            </w:r>
          </w:p>
        </w:tc>
        <w:tc>
          <w:tcPr>
            <w:tcW w:w="3583" w:type="pct"/>
          </w:tcPr>
          <w:p w14:paraId="5BA418E4"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258</w:t>
            </w:r>
          </w:p>
        </w:tc>
      </w:tr>
      <w:tr w:rsidR="00F40414" w:rsidRPr="000F056F" w14:paraId="076BB6DA" w14:textId="77777777" w:rsidTr="00053B83">
        <w:trPr>
          <w:cantSplit/>
          <w:trHeight w:val="290"/>
          <w:tblHeader/>
          <w:jc w:val="center"/>
        </w:trPr>
        <w:tc>
          <w:tcPr>
            <w:tcW w:w="1417" w:type="pct"/>
          </w:tcPr>
          <w:p w14:paraId="76B5458D"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210 to 239 calendar days</w:t>
            </w:r>
          </w:p>
        </w:tc>
        <w:tc>
          <w:tcPr>
            <w:tcW w:w="3583" w:type="pct"/>
          </w:tcPr>
          <w:p w14:paraId="233A1CB3"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191</w:t>
            </w:r>
          </w:p>
        </w:tc>
      </w:tr>
      <w:tr w:rsidR="00F40414" w:rsidRPr="000F056F" w14:paraId="0A59ABE2" w14:textId="77777777" w:rsidTr="00053B83">
        <w:trPr>
          <w:cantSplit/>
          <w:trHeight w:val="290"/>
          <w:tblHeader/>
          <w:jc w:val="center"/>
        </w:trPr>
        <w:tc>
          <w:tcPr>
            <w:tcW w:w="1417" w:type="pct"/>
          </w:tcPr>
          <w:p w14:paraId="4A528909"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240 to 269 calendar days</w:t>
            </w:r>
          </w:p>
        </w:tc>
        <w:tc>
          <w:tcPr>
            <w:tcW w:w="3583" w:type="pct"/>
          </w:tcPr>
          <w:p w14:paraId="5B5FEED1"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143</w:t>
            </w:r>
          </w:p>
        </w:tc>
      </w:tr>
      <w:tr w:rsidR="00F40414" w:rsidRPr="000F056F" w14:paraId="5218CFCD" w14:textId="77777777" w:rsidTr="00053B83">
        <w:trPr>
          <w:cantSplit/>
          <w:trHeight w:val="290"/>
          <w:tblHeader/>
          <w:jc w:val="center"/>
        </w:trPr>
        <w:tc>
          <w:tcPr>
            <w:tcW w:w="1417" w:type="pct"/>
          </w:tcPr>
          <w:p w14:paraId="2D23BC6B"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270 to 299 calendar days</w:t>
            </w:r>
          </w:p>
        </w:tc>
        <w:tc>
          <w:tcPr>
            <w:tcW w:w="3583" w:type="pct"/>
          </w:tcPr>
          <w:p w14:paraId="4F001B01"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109</w:t>
            </w:r>
          </w:p>
        </w:tc>
      </w:tr>
      <w:tr w:rsidR="00F40414" w:rsidRPr="000F056F" w14:paraId="24C8693D" w14:textId="77777777" w:rsidTr="00053B83">
        <w:trPr>
          <w:cantSplit/>
          <w:trHeight w:val="290"/>
          <w:tblHeader/>
          <w:jc w:val="center"/>
        </w:trPr>
        <w:tc>
          <w:tcPr>
            <w:tcW w:w="1417" w:type="pct"/>
          </w:tcPr>
          <w:p w14:paraId="1CE8CE88"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300 to 329 calendar days</w:t>
            </w:r>
          </w:p>
        </w:tc>
        <w:tc>
          <w:tcPr>
            <w:tcW w:w="3583" w:type="pct"/>
          </w:tcPr>
          <w:p w14:paraId="2A47EFD4"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91</w:t>
            </w:r>
          </w:p>
        </w:tc>
      </w:tr>
      <w:tr w:rsidR="00F40414" w:rsidRPr="000F056F" w14:paraId="4743858F" w14:textId="77777777" w:rsidTr="00053B83">
        <w:trPr>
          <w:cantSplit/>
          <w:trHeight w:val="290"/>
          <w:tblHeader/>
          <w:jc w:val="center"/>
        </w:trPr>
        <w:tc>
          <w:tcPr>
            <w:tcW w:w="1417" w:type="pct"/>
          </w:tcPr>
          <w:p w14:paraId="377A1F1B"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330 to 359 calendar days</w:t>
            </w:r>
          </w:p>
        </w:tc>
        <w:tc>
          <w:tcPr>
            <w:tcW w:w="3583" w:type="pct"/>
          </w:tcPr>
          <w:p w14:paraId="63080F65"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70</w:t>
            </w:r>
          </w:p>
        </w:tc>
      </w:tr>
      <w:tr w:rsidR="00F40414" w:rsidRPr="000F056F" w14:paraId="005CC4E0" w14:textId="77777777" w:rsidTr="00053B83">
        <w:trPr>
          <w:cantSplit/>
          <w:trHeight w:val="290"/>
          <w:tblHeader/>
          <w:jc w:val="center"/>
        </w:trPr>
        <w:tc>
          <w:tcPr>
            <w:tcW w:w="1417" w:type="pct"/>
          </w:tcPr>
          <w:p w14:paraId="0467A00F"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360 to 389 calendar days</w:t>
            </w:r>
          </w:p>
        </w:tc>
        <w:tc>
          <w:tcPr>
            <w:tcW w:w="3583" w:type="pct"/>
          </w:tcPr>
          <w:p w14:paraId="16742283"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49</w:t>
            </w:r>
          </w:p>
        </w:tc>
      </w:tr>
      <w:tr w:rsidR="00F40414" w:rsidRPr="000F056F" w14:paraId="17842851" w14:textId="77777777" w:rsidTr="00053B83">
        <w:trPr>
          <w:cantSplit/>
          <w:trHeight w:val="290"/>
          <w:tblHeader/>
          <w:jc w:val="center"/>
        </w:trPr>
        <w:tc>
          <w:tcPr>
            <w:tcW w:w="1417" w:type="pct"/>
          </w:tcPr>
          <w:p w14:paraId="01F96B38"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390 to 419 calendar days</w:t>
            </w:r>
          </w:p>
        </w:tc>
        <w:tc>
          <w:tcPr>
            <w:tcW w:w="3583" w:type="pct"/>
          </w:tcPr>
          <w:p w14:paraId="5892EC68"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43</w:t>
            </w:r>
          </w:p>
        </w:tc>
      </w:tr>
      <w:tr w:rsidR="00F40414" w:rsidRPr="000F056F" w14:paraId="2C90969E" w14:textId="77777777" w:rsidTr="00053B83">
        <w:trPr>
          <w:cantSplit/>
          <w:trHeight w:val="290"/>
          <w:tblHeader/>
          <w:jc w:val="center"/>
        </w:trPr>
        <w:tc>
          <w:tcPr>
            <w:tcW w:w="1417" w:type="pct"/>
          </w:tcPr>
          <w:p w14:paraId="440B571C"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420 to 449 calendar days</w:t>
            </w:r>
          </w:p>
        </w:tc>
        <w:tc>
          <w:tcPr>
            <w:tcW w:w="3583" w:type="pct"/>
          </w:tcPr>
          <w:p w14:paraId="0219A30B"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41</w:t>
            </w:r>
          </w:p>
        </w:tc>
      </w:tr>
      <w:tr w:rsidR="00F40414" w:rsidRPr="000F056F" w14:paraId="777DBEE2" w14:textId="77777777" w:rsidTr="00053B83">
        <w:trPr>
          <w:cantSplit/>
          <w:trHeight w:val="290"/>
          <w:tblHeader/>
          <w:jc w:val="center"/>
        </w:trPr>
        <w:tc>
          <w:tcPr>
            <w:tcW w:w="1417" w:type="pct"/>
          </w:tcPr>
          <w:p w14:paraId="41EEF907"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450 to 479 calendar days</w:t>
            </w:r>
          </w:p>
        </w:tc>
        <w:tc>
          <w:tcPr>
            <w:tcW w:w="3583" w:type="pct"/>
          </w:tcPr>
          <w:p w14:paraId="07D452EB"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36</w:t>
            </w:r>
          </w:p>
        </w:tc>
      </w:tr>
      <w:tr w:rsidR="00F40414" w:rsidRPr="000F056F" w14:paraId="55B84702" w14:textId="77777777" w:rsidTr="00053B83">
        <w:trPr>
          <w:cantSplit/>
          <w:trHeight w:val="290"/>
          <w:tblHeader/>
          <w:jc w:val="center"/>
        </w:trPr>
        <w:tc>
          <w:tcPr>
            <w:tcW w:w="1417" w:type="pct"/>
          </w:tcPr>
          <w:p w14:paraId="2E10E92D"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480 to 509 calendar days</w:t>
            </w:r>
          </w:p>
        </w:tc>
        <w:tc>
          <w:tcPr>
            <w:tcW w:w="3583" w:type="pct"/>
          </w:tcPr>
          <w:p w14:paraId="59CE2D9A"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20</w:t>
            </w:r>
          </w:p>
        </w:tc>
      </w:tr>
      <w:tr w:rsidR="00F40414" w:rsidRPr="000F056F" w14:paraId="47A39622" w14:textId="77777777" w:rsidTr="00053B83">
        <w:trPr>
          <w:cantSplit/>
          <w:trHeight w:val="290"/>
          <w:tblHeader/>
          <w:jc w:val="center"/>
        </w:trPr>
        <w:tc>
          <w:tcPr>
            <w:tcW w:w="1417" w:type="pct"/>
          </w:tcPr>
          <w:p w14:paraId="1988FE4E"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510 to 539 calendar days</w:t>
            </w:r>
          </w:p>
        </w:tc>
        <w:tc>
          <w:tcPr>
            <w:tcW w:w="3583" w:type="pct"/>
          </w:tcPr>
          <w:p w14:paraId="3790C35D"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15</w:t>
            </w:r>
          </w:p>
        </w:tc>
      </w:tr>
      <w:tr w:rsidR="00F40414" w:rsidRPr="000F056F" w14:paraId="28008257" w14:textId="77777777" w:rsidTr="00053B83">
        <w:trPr>
          <w:cantSplit/>
          <w:trHeight w:val="290"/>
          <w:tblHeader/>
          <w:jc w:val="center"/>
        </w:trPr>
        <w:tc>
          <w:tcPr>
            <w:tcW w:w="1417" w:type="pct"/>
          </w:tcPr>
          <w:p w14:paraId="69C37DE6"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540 to 569 calendar days</w:t>
            </w:r>
          </w:p>
        </w:tc>
        <w:tc>
          <w:tcPr>
            <w:tcW w:w="3583" w:type="pct"/>
          </w:tcPr>
          <w:p w14:paraId="0BC1E1CF"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23</w:t>
            </w:r>
          </w:p>
        </w:tc>
      </w:tr>
      <w:tr w:rsidR="00F40414" w:rsidRPr="000F056F" w14:paraId="4116A23F" w14:textId="77777777" w:rsidTr="00053B83">
        <w:trPr>
          <w:cantSplit/>
          <w:trHeight w:val="290"/>
          <w:tblHeader/>
          <w:jc w:val="center"/>
        </w:trPr>
        <w:tc>
          <w:tcPr>
            <w:tcW w:w="1417" w:type="pct"/>
          </w:tcPr>
          <w:p w14:paraId="369509AA"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570 to 599 calendar days</w:t>
            </w:r>
          </w:p>
        </w:tc>
        <w:tc>
          <w:tcPr>
            <w:tcW w:w="3583" w:type="pct"/>
          </w:tcPr>
          <w:p w14:paraId="0EA0923B"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20</w:t>
            </w:r>
          </w:p>
        </w:tc>
      </w:tr>
      <w:tr w:rsidR="00F40414" w:rsidRPr="000F056F" w14:paraId="330EF03F" w14:textId="77777777" w:rsidTr="00053B83">
        <w:trPr>
          <w:cantSplit/>
          <w:trHeight w:val="290"/>
          <w:tblHeader/>
          <w:jc w:val="center"/>
        </w:trPr>
        <w:tc>
          <w:tcPr>
            <w:tcW w:w="1417" w:type="pct"/>
          </w:tcPr>
          <w:p w14:paraId="1C5B294D"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600 to 629 calendar days</w:t>
            </w:r>
          </w:p>
        </w:tc>
        <w:tc>
          <w:tcPr>
            <w:tcW w:w="3583" w:type="pct"/>
          </w:tcPr>
          <w:p w14:paraId="704C1D5A"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18</w:t>
            </w:r>
          </w:p>
        </w:tc>
      </w:tr>
      <w:tr w:rsidR="00F40414" w:rsidRPr="000F056F" w14:paraId="5A0C5246" w14:textId="77777777" w:rsidTr="00053B83">
        <w:trPr>
          <w:cantSplit/>
          <w:trHeight w:val="290"/>
          <w:tblHeader/>
          <w:jc w:val="center"/>
        </w:trPr>
        <w:tc>
          <w:tcPr>
            <w:tcW w:w="1417" w:type="pct"/>
          </w:tcPr>
          <w:p w14:paraId="5F235FC0"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630 to 659 calendar days</w:t>
            </w:r>
          </w:p>
        </w:tc>
        <w:tc>
          <w:tcPr>
            <w:tcW w:w="3583" w:type="pct"/>
          </w:tcPr>
          <w:p w14:paraId="6B1D31CC"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11</w:t>
            </w:r>
          </w:p>
        </w:tc>
      </w:tr>
      <w:tr w:rsidR="00F40414" w:rsidRPr="000F056F" w14:paraId="42397EC6" w14:textId="77777777" w:rsidTr="00053B83">
        <w:trPr>
          <w:cantSplit/>
          <w:trHeight w:val="290"/>
          <w:tblHeader/>
          <w:jc w:val="center"/>
        </w:trPr>
        <w:tc>
          <w:tcPr>
            <w:tcW w:w="1417" w:type="pct"/>
          </w:tcPr>
          <w:p w14:paraId="25BD2850"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660 to 689 calendar days</w:t>
            </w:r>
          </w:p>
        </w:tc>
        <w:tc>
          <w:tcPr>
            <w:tcW w:w="3583" w:type="pct"/>
          </w:tcPr>
          <w:p w14:paraId="64C05994"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15</w:t>
            </w:r>
          </w:p>
        </w:tc>
      </w:tr>
      <w:tr w:rsidR="00F40414" w:rsidRPr="000F056F" w14:paraId="6954FF16" w14:textId="77777777" w:rsidTr="00053B83">
        <w:trPr>
          <w:cantSplit/>
          <w:trHeight w:val="290"/>
          <w:tblHeader/>
          <w:jc w:val="center"/>
        </w:trPr>
        <w:tc>
          <w:tcPr>
            <w:tcW w:w="1417" w:type="pct"/>
          </w:tcPr>
          <w:p w14:paraId="32C13D02"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690 to 719 calendar days</w:t>
            </w:r>
          </w:p>
        </w:tc>
        <w:tc>
          <w:tcPr>
            <w:tcW w:w="3583" w:type="pct"/>
          </w:tcPr>
          <w:p w14:paraId="3A4E4FB7"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w:t>
            </w:r>
          </w:p>
        </w:tc>
      </w:tr>
      <w:tr w:rsidR="00F40414" w:rsidRPr="000F056F" w14:paraId="1C2849F8" w14:textId="77777777" w:rsidTr="00053B83">
        <w:trPr>
          <w:cantSplit/>
          <w:trHeight w:val="302"/>
          <w:tblHeader/>
          <w:jc w:val="center"/>
        </w:trPr>
        <w:tc>
          <w:tcPr>
            <w:tcW w:w="1417" w:type="pct"/>
          </w:tcPr>
          <w:p w14:paraId="7CCAE680"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720 to 749 calendar days</w:t>
            </w:r>
          </w:p>
        </w:tc>
        <w:tc>
          <w:tcPr>
            <w:tcW w:w="3583" w:type="pct"/>
          </w:tcPr>
          <w:p w14:paraId="0EF9B1D7"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11</w:t>
            </w:r>
          </w:p>
        </w:tc>
      </w:tr>
      <w:tr w:rsidR="00F40414" w:rsidRPr="000F056F" w14:paraId="6B226D8D" w14:textId="77777777" w:rsidTr="00053B83">
        <w:trPr>
          <w:cantSplit/>
          <w:trHeight w:val="290"/>
          <w:tblHeader/>
          <w:jc w:val="center"/>
        </w:trPr>
        <w:tc>
          <w:tcPr>
            <w:tcW w:w="1417" w:type="pct"/>
          </w:tcPr>
          <w:p w14:paraId="50AA5FCC"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750 to 779 calendar days</w:t>
            </w:r>
          </w:p>
        </w:tc>
        <w:tc>
          <w:tcPr>
            <w:tcW w:w="3583" w:type="pct"/>
          </w:tcPr>
          <w:p w14:paraId="3329F17F"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w:t>
            </w:r>
          </w:p>
        </w:tc>
      </w:tr>
      <w:tr w:rsidR="00F40414" w:rsidRPr="000F056F" w14:paraId="45F3A280" w14:textId="77777777" w:rsidTr="00053B83">
        <w:trPr>
          <w:cantSplit/>
          <w:trHeight w:val="290"/>
          <w:tblHeader/>
          <w:jc w:val="center"/>
        </w:trPr>
        <w:tc>
          <w:tcPr>
            <w:tcW w:w="1417" w:type="pct"/>
          </w:tcPr>
          <w:p w14:paraId="22D1A0F4"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780 to 809 calendar days</w:t>
            </w:r>
          </w:p>
        </w:tc>
        <w:tc>
          <w:tcPr>
            <w:tcW w:w="3583" w:type="pct"/>
          </w:tcPr>
          <w:p w14:paraId="5F186550"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5</w:t>
            </w:r>
          </w:p>
        </w:tc>
      </w:tr>
      <w:tr w:rsidR="00F40414" w:rsidRPr="000F056F" w14:paraId="60539318" w14:textId="77777777" w:rsidTr="00053B83">
        <w:trPr>
          <w:cantSplit/>
          <w:trHeight w:val="290"/>
          <w:tblHeader/>
          <w:jc w:val="center"/>
        </w:trPr>
        <w:tc>
          <w:tcPr>
            <w:tcW w:w="1417" w:type="pct"/>
          </w:tcPr>
          <w:p w14:paraId="2EADECAE"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810 to 839 calendar days</w:t>
            </w:r>
          </w:p>
        </w:tc>
        <w:tc>
          <w:tcPr>
            <w:tcW w:w="3583" w:type="pct"/>
          </w:tcPr>
          <w:p w14:paraId="615DA36E"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w:t>
            </w:r>
          </w:p>
        </w:tc>
      </w:tr>
      <w:tr w:rsidR="00F40414" w:rsidRPr="000F056F" w14:paraId="3BD074A3" w14:textId="77777777" w:rsidTr="00053B83">
        <w:trPr>
          <w:cantSplit/>
          <w:trHeight w:val="290"/>
          <w:tblHeader/>
          <w:jc w:val="center"/>
        </w:trPr>
        <w:tc>
          <w:tcPr>
            <w:tcW w:w="1417" w:type="pct"/>
          </w:tcPr>
          <w:p w14:paraId="013EDB49"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840 to 869 calendar days</w:t>
            </w:r>
          </w:p>
        </w:tc>
        <w:tc>
          <w:tcPr>
            <w:tcW w:w="3583" w:type="pct"/>
          </w:tcPr>
          <w:p w14:paraId="636F31A5"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10</w:t>
            </w:r>
          </w:p>
        </w:tc>
      </w:tr>
      <w:tr w:rsidR="00F40414" w:rsidRPr="000F056F" w14:paraId="43C7AE83" w14:textId="77777777" w:rsidTr="00053B83">
        <w:trPr>
          <w:cantSplit/>
          <w:trHeight w:val="290"/>
          <w:tblHeader/>
          <w:jc w:val="center"/>
        </w:trPr>
        <w:tc>
          <w:tcPr>
            <w:tcW w:w="1417" w:type="pct"/>
          </w:tcPr>
          <w:p w14:paraId="47177385"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870 to 899 calendar days</w:t>
            </w:r>
          </w:p>
        </w:tc>
        <w:tc>
          <w:tcPr>
            <w:tcW w:w="3583" w:type="pct"/>
          </w:tcPr>
          <w:p w14:paraId="69B79B24"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w:t>
            </w:r>
          </w:p>
        </w:tc>
      </w:tr>
      <w:tr w:rsidR="00F40414" w:rsidRPr="000F056F" w14:paraId="274FE165" w14:textId="77777777" w:rsidTr="00053B83">
        <w:trPr>
          <w:cantSplit/>
          <w:trHeight w:val="290"/>
          <w:tblHeader/>
          <w:jc w:val="center"/>
        </w:trPr>
        <w:tc>
          <w:tcPr>
            <w:tcW w:w="1417" w:type="pct"/>
          </w:tcPr>
          <w:p w14:paraId="5E7EA9C9"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900 to 929 calendar days</w:t>
            </w:r>
          </w:p>
        </w:tc>
        <w:tc>
          <w:tcPr>
            <w:tcW w:w="3583" w:type="pct"/>
          </w:tcPr>
          <w:p w14:paraId="3C4467D3"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w:t>
            </w:r>
          </w:p>
        </w:tc>
      </w:tr>
      <w:tr w:rsidR="00F40414" w:rsidRPr="000F056F" w14:paraId="10F85763" w14:textId="77777777" w:rsidTr="00053B83">
        <w:trPr>
          <w:cantSplit/>
          <w:trHeight w:val="290"/>
          <w:tblHeader/>
          <w:jc w:val="center"/>
        </w:trPr>
        <w:tc>
          <w:tcPr>
            <w:tcW w:w="1417" w:type="pct"/>
          </w:tcPr>
          <w:p w14:paraId="3E86AE11"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930 to 959 calendar days</w:t>
            </w:r>
          </w:p>
        </w:tc>
        <w:tc>
          <w:tcPr>
            <w:tcW w:w="3583" w:type="pct"/>
          </w:tcPr>
          <w:p w14:paraId="4FD09BDD"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5</w:t>
            </w:r>
          </w:p>
        </w:tc>
      </w:tr>
      <w:tr w:rsidR="00F40414" w:rsidRPr="000F056F" w14:paraId="0DA79B3B" w14:textId="77777777" w:rsidTr="00053B83">
        <w:trPr>
          <w:cantSplit/>
          <w:trHeight w:val="79"/>
          <w:tblHeader/>
          <w:jc w:val="center"/>
        </w:trPr>
        <w:tc>
          <w:tcPr>
            <w:tcW w:w="1417" w:type="pct"/>
          </w:tcPr>
          <w:p w14:paraId="223D2C3C"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960 to 989 calendar days</w:t>
            </w:r>
          </w:p>
        </w:tc>
        <w:tc>
          <w:tcPr>
            <w:tcW w:w="3583" w:type="pct"/>
          </w:tcPr>
          <w:p w14:paraId="1FD6C746"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w:t>
            </w:r>
          </w:p>
        </w:tc>
      </w:tr>
      <w:tr w:rsidR="00F40414" w:rsidRPr="000F056F" w14:paraId="5612DBF6" w14:textId="77777777" w:rsidTr="00053B83">
        <w:trPr>
          <w:cantSplit/>
          <w:trHeight w:val="290"/>
          <w:tblHeader/>
          <w:jc w:val="center"/>
        </w:trPr>
        <w:tc>
          <w:tcPr>
            <w:tcW w:w="1417" w:type="pct"/>
          </w:tcPr>
          <w:p w14:paraId="71FACEE4" w14:textId="77777777" w:rsidR="00F40414" w:rsidRPr="000F056F" w:rsidRDefault="00F40414" w:rsidP="00F40414">
            <w:pPr>
              <w:autoSpaceDE w:val="0"/>
              <w:autoSpaceDN w:val="0"/>
              <w:adjustRightInd w:val="0"/>
              <w:contextualSpacing/>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More than 990 calendar days</w:t>
            </w:r>
          </w:p>
        </w:tc>
        <w:tc>
          <w:tcPr>
            <w:tcW w:w="3583" w:type="pct"/>
          </w:tcPr>
          <w:p w14:paraId="3DE00454" w14:textId="77777777" w:rsidR="00F40414" w:rsidRPr="000F056F" w:rsidRDefault="00F40414" w:rsidP="00F40414">
            <w:pPr>
              <w:autoSpaceDE w:val="0"/>
              <w:autoSpaceDN w:val="0"/>
              <w:adjustRightInd w:val="0"/>
              <w:contextualSpacing/>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43</w:t>
            </w:r>
          </w:p>
        </w:tc>
      </w:tr>
    </w:tbl>
    <w:p w14:paraId="2039E7DF" w14:textId="77777777" w:rsidR="00953477" w:rsidRPr="000F056F" w:rsidRDefault="00953477" w:rsidP="002944FE">
      <w:pPr>
        <w:rPr>
          <w:rFonts w:ascii="Arial" w:eastAsia="Calibri" w:hAnsi="Arial"/>
          <w:sz w:val="22"/>
          <w:szCs w:val="22"/>
          <w:lang w:val="en-CA"/>
        </w:rPr>
      </w:pPr>
    </w:p>
    <w:p w14:paraId="72638DD0" w14:textId="2D0B293E" w:rsidR="00F40414" w:rsidRPr="000F056F" w:rsidRDefault="00F40414" w:rsidP="002944FE">
      <w:pPr>
        <w:rPr>
          <w:rFonts w:ascii="Arial" w:eastAsia="Calibri" w:hAnsi="Arial"/>
          <w:sz w:val="22"/>
          <w:szCs w:val="22"/>
          <w:lang w:val="en-CA"/>
        </w:rPr>
        <w:sectPr w:rsidR="00F40414" w:rsidRPr="000F056F" w:rsidSect="00D007DC">
          <w:pgSz w:w="12240" w:h="15840" w:code="1"/>
          <w:pgMar w:top="720" w:right="720" w:bottom="720" w:left="1025" w:header="708" w:footer="708" w:gutter="0"/>
          <w:cols w:space="708"/>
          <w:titlePg/>
          <w:docGrid w:linePitch="360"/>
        </w:sectPr>
      </w:pPr>
    </w:p>
    <w:p w14:paraId="2A7C1D0C" w14:textId="2169DE0A" w:rsidR="00D76ECD" w:rsidRPr="000F056F" w:rsidRDefault="00A16ADA" w:rsidP="00A16ADA">
      <w:pPr>
        <w:pStyle w:val="Heading1"/>
        <w:spacing w:before="120" w:after="120"/>
        <w:rPr>
          <w:rFonts w:eastAsia="Calibri"/>
          <w:sz w:val="40"/>
          <w:szCs w:val="40"/>
          <w:lang w:val="en-CA"/>
        </w:rPr>
      </w:pPr>
      <w:r w:rsidRPr="000F056F">
        <w:rPr>
          <w:rFonts w:eastAsia="Calibri"/>
          <w:sz w:val="40"/>
          <w:szCs w:val="40"/>
          <w:lang w:val="en-CA"/>
        </w:rPr>
        <w:lastRenderedPageBreak/>
        <w:t>External time to staff</w:t>
      </w:r>
    </w:p>
    <w:p w14:paraId="333445C8" w14:textId="2ADD576B" w:rsidR="00A16ADA" w:rsidRPr="000F056F" w:rsidRDefault="00D007DC" w:rsidP="00A16ADA">
      <w:pPr>
        <w:keepNext/>
        <w:rPr>
          <w:lang w:val="en-CA"/>
        </w:rPr>
      </w:pPr>
      <w:r w:rsidRPr="000F056F">
        <w:rPr>
          <w:rFonts w:ascii="Arial" w:eastAsia="Calibri" w:hAnsi="Arial"/>
          <w:noProof/>
          <w:sz w:val="22"/>
          <w:szCs w:val="22"/>
          <w:lang w:val="en-CA" w:eastAsia="en-CA"/>
        </w:rPr>
        <w:drawing>
          <wp:inline distT="0" distB="0" distL="0" distR="0" wp14:anchorId="25ECB5F6" wp14:editId="2008A65D">
            <wp:extent cx="5648400" cy="3049200"/>
            <wp:effectExtent l="0" t="0" r="9525" b="18415"/>
            <wp:docPr id="21" name="Chart 21" descr="External time to staff Public service median = 203 days, 2019-20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A16ADA" w:rsidRPr="000F056F">
        <w:rPr>
          <w:rFonts w:asciiTheme="minorHAnsi" w:eastAsia="Calibri" w:hAnsiTheme="minorHAnsi" w:cstheme="minorHAnsi"/>
          <w:noProof/>
          <w:sz w:val="22"/>
          <w:szCs w:val="22"/>
          <w:lang w:val="en-CA" w:eastAsia="en-CA"/>
        </w:rPr>
        <mc:AlternateContent>
          <mc:Choice Requires="wps">
            <w:drawing>
              <wp:inline distT="0" distB="0" distL="0" distR="0" wp14:anchorId="086F661D" wp14:editId="34AD0987">
                <wp:extent cx="5648400" cy="3049200"/>
                <wp:effectExtent l="0" t="0" r="28575" b="18415"/>
                <wp:docPr id="14" name="Text Box 14" descr="The data is insufficient for providing results on external process times for the specified organization." title="External time to staff for fiscal year 2019 to 2020 for the specified organiz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2CC575CD" w14:textId="77777777" w:rsidR="005B3BCC" w:rsidRPr="00A16ADA" w:rsidRDefault="005B3BCC" w:rsidP="00A16ADA">
                            <w:pPr>
                              <w:spacing w:after="120"/>
                              <w:rPr>
                                <w:rFonts w:asciiTheme="minorHAnsi" w:hAnsiTheme="minorHAnsi" w:cstheme="minorHAnsi"/>
                                <w:sz w:val="22"/>
                                <w:szCs w:val="22"/>
                              </w:rPr>
                            </w:pPr>
                            <w:r w:rsidRPr="00A16ADA">
                              <w:rPr>
                                <w:rFonts w:asciiTheme="minorHAnsi" w:hAnsiTheme="minorHAnsi" w:cstheme="minorHAnsi"/>
                                <w:sz w:val="22"/>
                                <w:szCs w:val="22"/>
                              </w:rPr>
                              <w:t>External Time to Staff</w:t>
                            </w:r>
                          </w:p>
                          <w:p w14:paraId="2E451257" w14:textId="77777777" w:rsidR="005B3BCC" w:rsidRPr="00A16ADA" w:rsidRDefault="005B3BCC" w:rsidP="00A16ADA">
                            <w:pPr>
                              <w:pStyle w:val="ListParagraph"/>
                              <w:ind w:left="360"/>
                              <w:rPr>
                                <w:rFonts w:asciiTheme="minorHAnsi" w:hAnsiTheme="minorHAnsi" w:cstheme="minorHAnsi"/>
                                <w:sz w:val="22"/>
                                <w:szCs w:val="18"/>
                              </w:rPr>
                            </w:pPr>
                            <w:r w:rsidRPr="00A16ADA">
                              <w:rPr>
                                <w:rFonts w:asciiTheme="minorHAnsi" w:hAnsiTheme="minorHAnsi" w:cstheme="minorHAnsi"/>
                                <w:sz w:val="22"/>
                                <w:szCs w:val="18"/>
                              </w:rPr>
                              <w:t>The data is insufficient for providing results on external process times for the Canadian Grain Commission.</w:t>
                            </w:r>
                          </w:p>
                        </w:txbxContent>
                      </wps:txbx>
                      <wps:bodyPr rot="0" vert="horz" wrap="square" lIns="91440" tIns="45720" rIns="91440" bIns="45720" anchor="t" anchorCtr="0">
                        <a:noAutofit/>
                      </wps:bodyPr>
                    </wps:wsp>
                  </a:graphicData>
                </a:graphic>
              </wp:inline>
            </w:drawing>
          </mc:Choice>
          <mc:Fallback>
            <w:pict>
              <v:shape w14:anchorId="086F661D" id="Text Box 14" o:spid="_x0000_s1027" type="#_x0000_t202" alt="Title: External time to staff for fiscal year 2019 to 2020 for the specified organization - Description: The data is insufficient for providing results on external process times for the specified organization."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">
                <v:textbox>
                  <w:txbxContent>
                    <w:p w14:paraId="2CC575CD" w14:textId="77777777" w:rsidR="005B3BCC" w:rsidRPr="00A16ADA" w:rsidRDefault="005B3BCC" w:rsidP="00A16ADA">
                      <w:pPr>
                        <w:spacing w:after="120"/>
                        <w:rPr>
                          <w:rFonts w:asciiTheme="minorHAnsi" w:hAnsiTheme="minorHAnsi" w:cstheme="minorHAnsi"/>
                          <w:sz w:val="22"/>
                          <w:szCs w:val="22"/>
                        </w:rPr>
                      </w:pPr>
                      <w:r w:rsidRPr="00A16ADA">
                        <w:rPr>
                          <w:rFonts w:asciiTheme="minorHAnsi" w:hAnsiTheme="minorHAnsi" w:cstheme="minorHAnsi"/>
                          <w:sz w:val="22"/>
                          <w:szCs w:val="22"/>
                        </w:rPr>
                        <w:t>External Time to Staff</w:t>
                      </w:r>
                    </w:p>
                    <w:p w14:paraId="2E451257" w14:textId="77777777" w:rsidR="005B3BCC" w:rsidRPr="00A16ADA" w:rsidRDefault="005B3BCC" w:rsidP="00A16ADA">
                      <w:pPr>
                        <w:pStyle w:val="ListParagraph"/>
                        <w:ind w:left="360"/>
                        <w:rPr>
                          <w:rFonts w:asciiTheme="minorHAnsi" w:hAnsiTheme="minorHAnsi" w:cstheme="minorHAnsi"/>
                          <w:sz w:val="22"/>
                          <w:szCs w:val="18"/>
                        </w:rPr>
                      </w:pPr>
                      <w:r w:rsidRPr="00A16ADA">
                        <w:rPr>
                          <w:rFonts w:asciiTheme="minorHAnsi" w:hAnsiTheme="minorHAnsi" w:cstheme="minorHAnsi"/>
                          <w:sz w:val="22"/>
                          <w:szCs w:val="18"/>
                        </w:rPr>
                        <w:t>The data is insufficient for providing results on external process times for the Canadian Grain Commission.</w:t>
                      </w:r>
                    </w:p>
                  </w:txbxContent>
                </v:textbox>
                <w10:anchorlock/>
              </v:shape>
            </w:pict>
          </mc:Fallback>
        </mc:AlternateContent>
      </w:r>
    </w:p>
    <w:p w14:paraId="7765D302" w14:textId="6537EC55" w:rsidR="00A16ADA" w:rsidRPr="000F056F" w:rsidRDefault="00A16ADA" w:rsidP="00A16ADA">
      <w:pPr>
        <w:pStyle w:val="Caption"/>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Figure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Figure \* ARABIC </w:instrText>
      </w:r>
      <w:r w:rsidRPr="000F056F">
        <w:rPr>
          <w:rFonts w:asciiTheme="minorHAnsi" w:hAnsiTheme="minorHAnsi" w:cstheme="minorHAnsi"/>
          <w:i w:val="0"/>
          <w:iCs w:val="0"/>
          <w:color w:val="auto"/>
          <w:lang w:val="en-CA"/>
        </w:rPr>
        <w:fldChar w:fldCharType="separate"/>
      </w:r>
      <w:r w:rsidRPr="000F056F">
        <w:rPr>
          <w:rFonts w:asciiTheme="minorHAnsi" w:hAnsiTheme="minorHAnsi" w:cstheme="minorHAnsi"/>
          <w:i w:val="0"/>
          <w:iCs w:val="0"/>
          <w:noProof/>
          <w:color w:val="auto"/>
          <w:lang w:val="en-CA"/>
        </w:rPr>
        <w:t>13</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External time to staff Public service median = 203 days, 2019-20</w:t>
      </w:r>
      <w:r w:rsidR="005E30C0" w:rsidRPr="000F056F">
        <w:rPr>
          <w:rFonts w:asciiTheme="minorHAnsi" w:hAnsiTheme="minorHAnsi" w:cstheme="minorHAnsi"/>
          <w:i w:val="0"/>
          <w:iCs w:val="0"/>
          <w:color w:val="auto"/>
          <w:lang w:val="en-CA"/>
        </w:rPr>
        <w:t>20</w:t>
      </w:r>
    </w:p>
    <w:p w14:paraId="52229EC5" w14:textId="3DE89F63" w:rsidR="00E4530D" w:rsidRPr="000F056F" w:rsidRDefault="00662E05" w:rsidP="00E4530D">
      <w:pPr>
        <w:numPr>
          <w:ilvl w:val="1"/>
          <w:numId w:val="0"/>
        </w:numPr>
        <w:spacing w:before="240" w:after="120"/>
        <w:rPr>
          <w:rStyle w:val="Hyperlink"/>
          <w:rFonts w:asciiTheme="minorHAnsi" w:eastAsiaTheme="minorHAnsi" w:hAnsiTheme="minorHAnsi" w:cstheme="minorHAnsi"/>
          <w:szCs w:val="24"/>
          <w:lang w:val="en-CA"/>
        </w:rPr>
      </w:pPr>
      <w:hyperlink w:anchor="External_time_to_staff" w:history="1">
        <w:r w:rsidR="00E4530D" w:rsidRPr="000F056F">
          <w:rPr>
            <w:rStyle w:val="Hyperlink"/>
            <w:rFonts w:asciiTheme="minorHAnsi" w:eastAsiaTheme="minorHAnsi" w:hAnsiTheme="minorHAnsi" w:cstheme="minorHAnsi"/>
            <w:szCs w:val="24"/>
            <w:lang w:val="en-CA"/>
          </w:rPr>
          <w:t>External time to staff data table available here</w:t>
        </w:r>
      </w:hyperlink>
    </w:p>
    <w:p w14:paraId="083C7188" w14:textId="77777777" w:rsidR="00E4530D" w:rsidRPr="000F056F" w:rsidRDefault="00E4530D" w:rsidP="00953477">
      <w:pPr>
        <w:rPr>
          <w:rFonts w:asciiTheme="minorHAnsi" w:hAnsiTheme="minorHAnsi" w:cstheme="minorHAnsi"/>
          <w:sz w:val="22"/>
          <w:szCs w:val="22"/>
          <w:lang w:val="en-CA" w:eastAsia="en-CA"/>
        </w:rPr>
        <w:sectPr w:rsidR="00E4530D" w:rsidRPr="000F056F" w:rsidSect="00D007DC">
          <w:pgSz w:w="20160" w:h="12240" w:orient="landscape" w:code="5"/>
          <w:pgMar w:top="1025" w:right="720" w:bottom="720" w:left="720" w:header="708" w:footer="708" w:gutter="0"/>
          <w:cols w:space="708"/>
          <w:titlePg/>
          <w:docGrid w:linePitch="360"/>
        </w:sectPr>
      </w:pPr>
    </w:p>
    <w:p w14:paraId="4EA398B6" w14:textId="20376578" w:rsidR="00D007DC" w:rsidRPr="000F056F" w:rsidRDefault="00D007DC" w:rsidP="00E4530D">
      <w:pPr>
        <w:spacing w:after="120"/>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External time to staff is calculated as the number of calendar days between the opening date of the advertisement and the date of the first estimated external hire</w:t>
      </w:r>
    </w:p>
    <w:p w14:paraId="7EE47597" w14:textId="77777777" w:rsidR="00953477" w:rsidRPr="000F056F" w:rsidRDefault="00953477" w:rsidP="00953477">
      <w:pPr>
        <w:rPr>
          <w:rFonts w:asciiTheme="minorHAnsi" w:hAnsiTheme="minorHAnsi" w:cstheme="minorHAnsi"/>
          <w:sz w:val="22"/>
          <w:szCs w:val="22"/>
          <w:lang w:val="en-CA"/>
        </w:rPr>
      </w:pPr>
      <w:r w:rsidRPr="000F056F">
        <w:rPr>
          <w:rFonts w:asciiTheme="minorHAnsi" w:hAnsiTheme="minorHAnsi" w:cstheme="minorHAnsi"/>
          <w:sz w:val="22"/>
          <w:szCs w:val="22"/>
          <w:lang w:val="en-CA"/>
        </w:rPr>
        <w:t xml:space="preserve">The median external time to staff for the public service (organizations subject to the </w:t>
      </w:r>
      <w:r w:rsidRPr="000F056F">
        <w:rPr>
          <w:rStyle w:val="Emphasis"/>
          <w:rFonts w:asciiTheme="minorHAnsi" w:hAnsiTheme="minorHAnsi" w:cstheme="minorHAnsi"/>
          <w:sz w:val="22"/>
          <w:szCs w:val="18"/>
          <w:lang w:val="en-CA"/>
        </w:rPr>
        <w:t>Public Service Employment Act</w:t>
      </w:r>
      <w:r w:rsidRPr="000F056F">
        <w:rPr>
          <w:rFonts w:asciiTheme="minorHAnsi" w:hAnsiTheme="minorHAnsi" w:cstheme="minorHAnsi"/>
          <w:sz w:val="22"/>
          <w:szCs w:val="22"/>
          <w:lang w:val="en-CA"/>
        </w:rPr>
        <w:t>) for fiscal year 2019 to 2020 is 203 days</w:t>
      </w:r>
    </w:p>
    <w:p w14:paraId="0F548DE9" w14:textId="6E36C372" w:rsidR="00953477" w:rsidRPr="000F056F" w:rsidRDefault="00953477" w:rsidP="00E4530D">
      <w:pPr>
        <w:spacing w:after="120"/>
        <w:rPr>
          <w:rStyle w:val="Strong"/>
          <w:rFonts w:asciiTheme="minorHAnsi" w:hAnsiTheme="minorHAnsi" w:cstheme="minorHAnsi"/>
          <w:sz w:val="22"/>
          <w:szCs w:val="18"/>
          <w:lang w:val="en-CA"/>
        </w:rPr>
      </w:pPr>
      <w:r w:rsidRPr="000F056F">
        <w:rPr>
          <w:rStyle w:val="Strong"/>
          <w:rFonts w:asciiTheme="minorHAnsi" w:hAnsiTheme="minorHAnsi" w:cstheme="minorHAnsi"/>
          <w:sz w:val="22"/>
          <w:szCs w:val="18"/>
          <w:lang w:val="en-CA"/>
        </w:rPr>
        <w:t>External time to staff for fiscal year 2019 to 2020</w:t>
      </w:r>
    </w:p>
    <w:p w14:paraId="59E3F0DE" w14:textId="1D802B20" w:rsidR="00953477" w:rsidRPr="000F056F" w:rsidRDefault="00953477" w:rsidP="00953477">
      <w:pPr>
        <w:rPr>
          <w:rFonts w:asciiTheme="minorHAnsi" w:hAnsiTheme="minorHAnsi" w:cstheme="minorHAnsi"/>
          <w:sz w:val="22"/>
          <w:szCs w:val="22"/>
          <w:lang w:val="en-CA"/>
        </w:rPr>
      </w:pPr>
      <w:r w:rsidRPr="000F056F">
        <w:rPr>
          <w:rFonts w:asciiTheme="minorHAnsi" w:hAnsiTheme="minorHAnsi" w:cstheme="minorHAnsi"/>
          <w:sz w:val="22"/>
          <w:szCs w:val="22"/>
          <w:lang w:val="en-CA"/>
        </w:rPr>
        <w:t>The data is insufficient for providing results on external process times for the Canadian Grain Commission.</w:t>
      </w:r>
    </w:p>
    <w:p w14:paraId="45ADA588" w14:textId="77777777" w:rsidR="00E4530D" w:rsidRPr="000F056F" w:rsidRDefault="00E4530D" w:rsidP="00953477">
      <w:pPr>
        <w:rPr>
          <w:rFonts w:asciiTheme="minorHAnsi" w:hAnsiTheme="minorHAnsi" w:cstheme="minorHAnsi"/>
          <w:sz w:val="22"/>
          <w:szCs w:val="22"/>
          <w:lang w:val="en-CA" w:eastAsia="en-CA"/>
        </w:rPr>
        <w:sectPr w:rsidR="00E4530D" w:rsidRPr="000F056F" w:rsidSect="00E4530D">
          <w:type w:val="continuous"/>
          <w:pgSz w:w="20160" w:h="12240" w:orient="landscape" w:code="5"/>
          <w:pgMar w:top="1025" w:right="720" w:bottom="720" w:left="720" w:header="708" w:footer="708" w:gutter="0"/>
          <w:cols w:num="2" w:space="708"/>
          <w:titlePg/>
          <w:docGrid w:linePitch="360"/>
        </w:sectPr>
      </w:pPr>
    </w:p>
    <w:p w14:paraId="3F2B66B4" w14:textId="11DC2615" w:rsidR="00953477" w:rsidRPr="000F056F" w:rsidRDefault="00953477" w:rsidP="00953477">
      <w:pPr>
        <w:rPr>
          <w:rFonts w:asciiTheme="minorHAnsi" w:hAnsiTheme="minorHAnsi" w:cstheme="minorHAnsi"/>
          <w:sz w:val="22"/>
          <w:szCs w:val="22"/>
          <w:lang w:val="en-CA" w:eastAsia="en-CA"/>
        </w:rPr>
      </w:pPr>
    </w:p>
    <w:p w14:paraId="19F0D69D" w14:textId="189C4C64" w:rsidR="00953477" w:rsidRPr="000F056F" w:rsidRDefault="00953477" w:rsidP="00953477">
      <w:pPr>
        <w:rPr>
          <w:rFonts w:asciiTheme="minorHAnsi" w:hAnsiTheme="minorHAnsi" w:cstheme="minorHAnsi"/>
          <w:sz w:val="22"/>
          <w:szCs w:val="22"/>
          <w:lang w:val="en-CA" w:eastAsia="en-CA"/>
        </w:rPr>
        <w:sectPr w:rsidR="00953477" w:rsidRPr="000F056F" w:rsidSect="00E4530D">
          <w:type w:val="continuous"/>
          <w:pgSz w:w="20160" w:h="12240" w:orient="landscape" w:code="5"/>
          <w:pgMar w:top="1025" w:right="720" w:bottom="720" w:left="720" w:header="708" w:footer="708" w:gutter="0"/>
          <w:cols w:space="708"/>
          <w:titlePg/>
          <w:docGrid w:linePitch="360"/>
        </w:sectPr>
      </w:pPr>
    </w:p>
    <w:p w14:paraId="0DABD8B2" w14:textId="7481DE6D" w:rsidR="00D007DC" w:rsidRPr="000F056F" w:rsidRDefault="00E4530D" w:rsidP="00E4530D">
      <w:pPr>
        <w:pStyle w:val="Heading1"/>
        <w:spacing w:before="120" w:after="120"/>
        <w:rPr>
          <w:sz w:val="40"/>
          <w:szCs w:val="40"/>
          <w:lang w:val="en-CA" w:eastAsia="en-CA"/>
        </w:rPr>
      </w:pPr>
      <w:r w:rsidRPr="000F056F">
        <w:rPr>
          <w:sz w:val="40"/>
          <w:szCs w:val="40"/>
          <w:lang w:val="en-CA" w:eastAsia="en-CA"/>
        </w:rPr>
        <w:lastRenderedPageBreak/>
        <w:t>External time to staff</w:t>
      </w:r>
    </w:p>
    <w:p w14:paraId="640B70E2" w14:textId="60DA69C3" w:rsidR="00E4530D" w:rsidRPr="000F056F" w:rsidRDefault="00E4530D" w:rsidP="00E4530D">
      <w:pPr>
        <w:pStyle w:val="Caption"/>
        <w:keepNext/>
        <w:spacing w:after="0"/>
        <w:rPr>
          <w:rFonts w:asciiTheme="minorHAnsi" w:hAnsiTheme="minorHAnsi" w:cstheme="minorHAnsi"/>
          <w:i w:val="0"/>
          <w:iCs w:val="0"/>
          <w:color w:val="auto"/>
          <w:lang w:val="en-CA"/>
        </w:rPr>
      </w:pPr>
      <w:r w:rsidRPr="000F056F">
        <w:rPr>
          <w:rFonts w:asciiTheme="minorHAnsi" w:hAnsiTheme="minorHAnsi" w:cstheme="minorHAnsi"/>
          <w:i w:val="0"/>
          <w:iCs w:val="0"/>
          <w:color w:val="auto"/>
          <w:lang w:val="en-CA"/>
        </w:rPr>
        <w:t xml:space="preserve">Table </w:t>
      </w:r>
      <w:r w:rsidRPr="000F056F">
        <w:rPr>
          <w:rFonts w:asciiTheme="minorHAnsi" w:hAnsiTheme="minorHAnsi" w:cstheme="minorHAnsi"/>
          <w:i w:val="0"/>
          <w:iCs w:val="0"/>
          <w:color w:val="auto"/>
          <w:lang w:val="en-CA"/>
        </w:rPr>
        <w:fldChar w:fldCharType="begin"/>
      </w:r>
      <w:r w:rsidRPr="000F056F">
        <w:rPr>
          <w:rFonts w:asciiTheme="minorHAnsi" w:hAnsiTheme="minorHAnsi" w:cstheme="minorHAnsi"/>
          <w:i w:val="0"/>
          <w:iCs w:val="0"/>
          <w:color w:val="auto"/>
          <w:lang w:val="en-CA"/>
        </w:rPr>
        <w:instrText xml:space="preserve"> SEQ Table \* ARABIC </w:instrText>
      </w:r>
      <w:r w:rsidRPr="000F056F">
        <w:rPr>
          <w:rFonts w:asciiTheme="minorHAnsi" w:hAnsiTheme="minorHAnsi" w:cstheme="minorHAnsi"/>
          <w:i w:val="0"/>
          <w:iCs w:val="0"/>
          <w:color w:val="auto"/>
          <w:lang w:val="en-CA"/>
        </w:rPr>
        <w:fldChar w:fldCharType="separate"/>
      </w:r>
      <w:r w:rsidRPr="000F056F">
        <w:rPr>
          <w:rFonts w:asciiTheme="minorHAnsi" w:hAnsiTheme="minorHAnsi" w:cstheme="minorHAnsi"/>
          <w:i w:val="0"/>
          <w:iCs w:val="0"/>
          <w:noProof/>
          <w:color w:val="auto"/>
          <w:lang w:val="en-CA"/>
        </w:rPr>
        <w:t>15</w:t>
      </w:r>
      <w:r w:rsidRPr="000F056F">
        <w:rPr>
          <w:rFonts w:asciiTheme="minorHAnsi" w:hAnsiTheme="minorHAnsi" w:cstheme="minorHAnsi"/>
          <w:i w:val="0"/>
          <w:iCs w:val="0"/>
          <w:color w:val="auto"/>
          <w:lang w:val="en-CA"/>
        </w:rPr>
        <w:fldChar w:fldCharType="end"/>
      </w:r>
      <w:r w:rsidRPr="000F056F">
        <w:rPr>
          <w:rFonts w:asciiTheme="minorHAnsi" w:hAnsiTheme="minorHAnsi" w:cstheme="minorHAnsi"/>
          <w:i w:val="0"/>
          <w:iCs w:val="0"/>
          <w:color w:val="auto"/>
          <w:lang w:val="en-CA"/>
        </w:rPr>
        <w:t xml:space="preserve"> - External time to staff</w:t>
      </w:r>
    </w:p>
    <w:tbl>
      <w:tblPr>
        <w:tblStyle w:val="TableGrid"/>
        <w:tblW w:w="5000" w:type="pct"/>
        <w:jc w:val="center"/>
        <w:tblLook w:val="0020" w:firstRow="1" w:lastRow="0" w:firstColumn="0" w:lastColumn="0" w:noHBand="0" w:noVBand="0"/>
        <w:tblDescription w:val="External time to staff"/>
      </w:tblPr>
      <w:tblGrid>
        <w:gridCol w:w="2971"/>
        <w:gridCol w:w="7514"/>
      </w:tblGrid>
      <w:tr w:rsidR="00E4530D" w:rsidRPr="000F056F" w14:paraId="3BFADDC6" w14:textId="77777777" w:rsidTr="00053B83">
        <w:trPr>
          <w:cantSplit/>
          <w:trHeight w:val="290"/>
          <w:tblHeader/>
          <w:jc w:val="center"/>
        </w:trPr>
        <w:tc>
          <w:tcPr>
            <w:tcW w:w="1417" w:type="pct"/>
          </w:tcPr>
          <w:p w14:paraId="6BC63A33" w14:textId="77777777" w:rsidR="00F40414" w:rsidRPr="000F056F" w:rsidRDefault="00F40414" w:rsidP="00E4530D">
            <w:pPr>
              <w:pStyle w:val="TableTitle"/>
              <w:rPr>
                <w:rFonts w:cs="Segoe UI Semibold"/>
                <w:color w:val="auto"/>
                <w:szCs w:val="22"/>
                <w:lang w:val="en-CA"/>
              </w:rPr>
            </w:pPr>
            <w:bookmarkStart w:id="4" w:name="External_time_to_staff"/>
            <w:r w:rsidRPr="000F056F">
              <w:rPr>
                <w:rFonts w:cs="Segoe UI Semibold"/>
                <w:color w:val="auto"/>
                <w:szCs w:val="22"/>
                <w:lang w:val="en-CA"/>
              </w:rPr>
              <w:t>Number of calendar days</w:t>
            </w:r>
            <w:bookmarkEnd w:id="4"/>
          </w:p>
        </w:tc>
        <w:tc>
          <w:tcPr>
            <w:tcW w:w="3583" w:type="pct"/>
          </w:tcPr>
          <w:p w14:paraId="2EB39F81" w14:textId="77777777" w:rsidR="00F40414" w:rsidRPr="000F056F" w:rsidRDefault="00F40414" w:rsidP="00E4530D">
            <w:pPr>
              <w:pStyle w:val="TableTitle"/>
              <w:rPr>
                <w:rFonts w:cs="Segoe UI Semibold"/>
                <w:color w:val="auto"/>
                <w:szCs w:val="22"/>
                <w:lang w:val="en-CA"/>
              </w:rPr>
            </w:pPr>
            <w:r w:rsidRPr="000F056F">
              <w:rPr>
                <w:rFonts w:cs="Segoe UI Semibold"/>
                <w:color w:val="auto"/>
                <w:szCs w:val="22"/>
                <w:lang w:val="en-CA"/>
              </w:rPr>
              <w:t xml:space="preserve">The number of external appointment processes for which the TTS-EA was within the specified number of calendar days for organizations subject to the </w:t>
            </w:r>
            <w:r w:rsidRPr="000F056F">
              <w:rPr>
                <w:rFonts w:cs="Segoe UI Semibold"/>
                <w:i/>
                <w:color w:val="auto"/>
                <w:szCs w:val="22"/>
                <w:lang w:val="en-CA"/>
              </w:rPr>
              <w:t>Public Service Employment Act</w:t>
            </w:r>
          </w:p>
        </w:tc>
      </w:tr>
      <w:tr w:rsidR="00F40414" w:rsidRPr="000F056F" w14:paraId="48F93E2E" w14:textId="77777777" w:rsidTr="00053B83">
        <w:trPr>
          <w:cantSplit/>
          <w:trHeight w:val="290"/>
          <w:tblHeader/>
          <w:jc w:val="center"/>
        </w:trPr>
        <w:tc>
          <w:tcPr>
            <w:tcW w:w="1417" w:type="pct"/>
          </w:tcPr>
          <w:p w14:paraId="221ABA77"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0 calendar days</w:t>
            </w:r>
          </w:p>
        </w:tc>
        <w:tc>
          <w:tcPr>
            <w:tcW w:w="3583" w:type="pct"/>
          </w:tcPr>
          <w:p w14:paraId="76703048"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0</w:t>
            </w:r>
          </w:p>
        </w:tc>
      </w:tr>
      <w:tr w:rsidR="00F40414" w:rsidRPr="000F056F" w14:paraId="67380D84" w14:textId="77777777" w:rsidTr="00053B83">
        <w:trPr>
          <w:cantSplit/>
          <w:trHeight w:val="290"/>
          <w:tblHeader/>
          <w:jc w:val="center"/>
        </w:trPr>
        <w:tc>
          <w:tcPr>
            <w:tcW w:w="1417" w:type="pct"/>
          </w:tcPr>
          <w:p w14:paraId="1CD346A7"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0 to 29 calendar days</w:t>
            </w:r>
          </w:p>
        </w:tc>
        <w:tc>
          <w:tcPr>
            <w:tcW w:w="3583" w:type="pct"/>
          </w:tcPr>
          <w:p w14:paraId="704A2345"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55</w:t>
            </w:r>
          </w:p>
        </w:tc>
      </w:tr>
      <w:tr w:rsidR="00F40414" w:rsidRPr="000F056F" w14:paraId="7195B2CF" w14:textId="77777777" w:rsidTr="00053B83">
        <w:trPr>
          <w:cantSplit/>
          <w:trHeight w:val="290"/>
          <w:tblHeader/>
          <w:jc w:val="center"/>
        </w:trPr>
        <w:tc>
          <w:tcPr>
            <w:tcW w:w="1417" w:type="pct"/>
          </w:tcPr>
          <w:p w14:paraId="6C6B801B"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30 to 59 calendar days</w:t>
            </w:r>
          </w:p>
        </w:tc>
        <w:tc>
          <w:tcPr>
            <w:tcW w:w="3583" w:type="pct"/>
          </w:tcPr>
          <w:p w14:paraId="731E6F03"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75</w:t>
            </w:r>
          </w:p>
        </w:tc>
      </w:tr>
      <w:tr w:rsidR="00F40414" w:rsidRPr="000F056F" w14:paraId="199D881C" w14:textId="77777777" w:rsidTr="00053B83">
        <w:trPr>
          <w:cantSplit/>
          <w:trHeight w:val="290"/>
          <w:tblHeader/>
          <w:jc w:val="center"/>
        </w:trPr>
        <w:tc>
          <w:tcPr>
            <w:tcW w:w="1417" w:type="pct"/>
          </w:tcPr>
          <w:p w14:paraId="16F99E9F"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60 to 89 calendar days</w:t>
            </w:r>
          </w:p>
        </w:tc>
        <w:tc>
          <w:tcPr>
            <w:tcW w:w="3583" w:type="pct"/>
          </w:tcPr>
          <w:p w14:paraId="0146F123"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95</w:t>
            </w:r>
          </w:p>
        </w:tc>
      </w:tr>
      <w:tr w:rsidR="00F40414" w:rsidRPr="000F056F" w14:paraId="0D3483CD" w14:textId="77777777" w:rsidTr="00053B83">
        <w:trPr>
          <w:cantSplit/>
          <w:trHeight w:val="290"/>
          <w:tblHeader/>
          <w:jc w:val="center"/>
        </w:trPr>
        <w:tc>
          <w:tcPr>
            <w:tcW w:w="1417" w:type="pct"/>
          </w:tcPr>
          <w:p w14:paraId="4B7B5D15"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90 to 119 calendar days</w:t>
            </w:r>
          </w:p>
        </w:tc>
        <w:tc>
          <w:tcPr>
            <w:tcW w:w="3583" w:type="pct"/>
          </w:tcPr>
          <w:p w14:paraId="56AEDBD6"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108</w:t>
            </w:r>
          </w:p>
        </w:tc>
      </w:tr>
      <w:tr w:rsidR="00F40414" w:rsidRPr="000F056F" w14:paraId="32719174" w14:textId="77777777" w:rsidTr="00053B83">
        <w:trPr>
          <w:cantSplit/>
          <w:trHeight w:val="290"/>
          <w:tblHeader/>
          <w:jc w:val="center"/>
        </w:trPr>
        <w:tc>
          <w:tcPr>
            <w:tcW w:w="1417" w:type="pct"/>
          </w:tcPr>
          <w:p w14:paraId="32B107E5"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120 to 149 calendar days</w:t>
            </w:r>
          </w:p>
        </w:tc>
        <w:tc>
          <w:tcPr>
            <w:tcW w:w="3583" w:type="pct"/>
          </w:tcPr>
          <w:p w14:paraId="4C88AD6A"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166</w:t>
            </w:r>
          </w:p>
        </w:tc>
      </w:tr>
      <w:tr w:rsidR="00F40414" w:rsidRPr="000F056F" w14:paraId="27ED63CC" w14:textId="77777777" w:rsidTr="00053B83">
        <w:trPr>
          <w:cantSplit/>
          <w:trHeight w:val="290"/>
          <w:tblHeader/>
          <w:jc w:val="center"/>
        </w:trPr>
        <w:tc>
          <w:tcPr>
            <w:tcW w:w="1417" w:type="pct"/>
          </w:tcPr>
          <w:p w14:paraId="49E5CFBB"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150 to 179 calendar days</w:t>
            </w:r>
          </w:p>
        </w:tc>
        <w:tc>
          <w:tcPr>
            <w:tcW w:w="3583" w:type="pct"/>
          </w:tcPr>
          <w:p w14:paraId="105F0271"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164</w:t>
            </w:r>
          </w:p>
        </w:tc>
      </w:tr>
      <w:tr w:rsidR="00F40414" w:rsidRPr="000F056F" w14:paraId="6548E5E7" w14:textId="77777777" w:rsidTr="00053B83">
        <w:trPr>
          <w:cantSplit/>
          <w:trHeight w:val="290"/>
          <w:tblHeader/>
          <w:jc w:val="center"/>
        </w:trPr>
        <w:tc>
          <w:tcPr>
            <w:tcW w:w="1417" w:type="pct"/>
          </w:tcPr>
          <w:p w14:paraId="591A4C2B"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180 to 209 calendar days</w:t>
            </w:r>
          </w:p>
        </w:tc>
        <w:tc>
          <w:tcPr>
            <w:tcW w:w="3583" w:type="pct"/>
          </w:tcPr>
          <w:p w14:paraId="60E8FD43"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160</w:t>
            </w:r>
          </w:p>
        </w:tc>
      </w:tr>
      <w:tr w:rsidR="00F40414" w:rsidRPr="000F056F" w14:paraId="362E906A" w14:textId="77777777" w:rsidTr="00053B83">
        <w:trPr>
          <w:cantSplit/>
          <w:trHeight w:val="290"/>
          <w:tblHeader/>
          <w:jc w:val="center"/>
        </w:trPr>
        <w:tc>
          <w:tcPr>
            <w:tcW w:w="1417" w:type="pct"/>
          </w:tcPr>
          <w:p w14:paraId="38A8C4B5"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210 to 239 calendar days</w:t>
            </w:r>
          </w:p>
        </w:tc>
        <w:tc>
          <w:tcPr>
            <w:tcW w:w="3583" w:type="pct"/>
          </w:tcPr>
          <w:p w14:paraId="3D8F1BE9"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133</w:t>
            </w:r>
          </w:p>
        </w:tc>
      </w:tr>
      <w:tr w:rsidR="00F40414" w:rsidRPr="000F056F" w14:paraId="204A24B6" w14:textId="77777777" w:rsidTr="00053B83">
        <w:trPr>
          <w:cantSplit/>
          <w:trHeight w:val="290"/>
          <w:tblHeader/>
          <w:jc w:val="center"/>
        </w:trPr>
        <w:tc>
          <w:tcPr>
            <w:tcW w:w="1417" w:type="pct"/>
          </w:tcPr>
          <w:p w14:paraId="3366F306"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240 to 269 calendar days</w:t>
            </w:r>
          </w:p>
        </w:tc>
        <w:tc>
          <w:tcPr>
            <w:tcW w:w="3583" w:type="pct"/>
          </w:tcPr>
          <w:p w14:paraId="0F85EFB8"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122</w:t>
            </w:r>
          </w:p>
        </w:tc>
      </w:tr>
      <w:tr w:rsidR="00F40414" w:rsidRPr="000F056F" w14:paraId="074D6907" w14:textId="77777777" w:rsidTr="00053B83">
        <w:trPr>
          <w:cantSplit/>
          <w:trHeight w:val="290"/>
          <w:tblHeader/>
          <w:jc w:val="center"/>
        </w:trPr>
        <w:tc>
          <w:tcPr>
            <w:tcW w:w="1417" w:type="pct"/>
          </w:tcPr>
          <w:p w14:paraId="576F1CCD"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270 to 299 calendar days</w:t>
            </w:r>
          </w:p>
        </w:tc>
        <w:tc>
          <w:tcPr>
            <w:tcW w:w="3583" w:type="pct"/>
          </w:tcPr>
          <w:p w14:paraId="5CB0D7A3"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101</w:t>
            </w:r>
          </w:p>
        </w:tc>
      </w:tr>
      <w:tr w:rsidR="00F40414" w:rsidRPr="000F056F" w14:paraId="1B8E38BC" w14:textId="77777777" w:rsidTr="00053B83">
        <w:trPr>
          <w:cantSplit/>
          <w:trHeight w:val="290"/>
          <w:tblHeader/>
          <w:jc w:val="center"/>
        </w:trPr>
        <w:tc>
          <w:tcPr>
            <w:tcW w:w="1417" w:type="pct"/>
          </w:tcPr>
          <w:p w14:paraId="3FC2D8BB"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300 to 329 calendar days</w:t>
            </w:r>
          </w:p>
        </w:tc>
        <w:tc>
          <w:tcPr>
            <w:tcW w:w="3583" w:type="pct"/>
          </w:tcPr>
          <w:p w14:paraId="310157B3"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80</w:t>
            </w:r>
          </w:p>
        </w:tc>
      </w:tr>
      <w:tr w:rsidR="00F40414" w:rsidRPr="000F056F" w14:paraId="11DCC9FB" w14:textId="77777777" w:rsidTr="00053B83">
        <w:trPr>
          <w:cantSplit/>
          <w:trHeight w:val="290"/>
          <w:tblHeader/>
          <w:jc w:val="center"/>
        </w:trPr>
        <w:tc>
          <w:tcPr>
            <w:tcW w:w="1417" w:type="pct"/>
          </w:tcPr>
          <w:p w14:paraId="3A233B72"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330 to 359 calendar days</w:t>
            </w:r>
          </w:p>
        </w:tc>
        <w:tc>
          <w:tcPr>
            <w:tcW w:w="3583" w:type="pct"/>
          </w:tcPr>
          <w:p w14:paraId="74AC5243"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61</w:t>
            </w:r>
          </w:p>
        </w:tc>
      </w:tr>
      <w:tr w:rsidR="00F40414" w:rsidRPr="000F056F" w14:paraId="739FA181" w14:textId="77777777" w:rsidTr="00053B83">
        <w:trPr>
          <w:cantSplit/>
          <w:trHeight w:val="290"/>
          <w:tblHeader/>
          <w:jc w:val="center"/>
        </w:trPr>
        <w:tc>
          <w:tcPr>
            <w:tcW w:w="1417" w:type="pct"/>
          </w:tcPr>
          <w:p w14:paraId="5E3D5C8D"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360 to 389 calendar days</w:t>
            </w:r>
          </w:p>
        </w:tc>
        <w:tc>
          <w:tcPr>
            <w:tcW w:w="3583" w:type="pct"/>
          </w:tcPr>
          <w:p w14:paraId="73147A2A"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50</w:t>
            </w:r>
          </w:p>
        </w:tc>
      </w:tr>
      <w:tr w:rsidR="00F40414" w:rsidRPr="000F056F" w14:paraId="3BF3B39E" w14:textId="77777777" w:rsidTr="00053B83">
        <w:trPr>
          <w:cantSplit/>
          <w:trHeight w:val="290"/>
          <w:tblHeader/>
          <w:jc w:val="center"/>
        </w:trPr>
        <w:tc>
          <w:tcPr>
            <w:tcW w:w="1417" w:type="pct"/>
          </w:tcPr>
          <w:p w14:paraId="4E03C2A1"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390 to 419 calendar days</w:t>
            </w:r>
          </w:p>
        </w:tc>
        <w:tc>
          <w:tcPr>
            <w:tcW w:w="3583" w:type="pct"/>
          </w:tcPr>
          <w:p w14:paraId="014E8291"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45</w:t>
            </w:r>
          </w:p>
        </w:tc>
      </w:tr>
      <w:tr w:rsidR="00F40414" w:rsidRPr="000F056F" w14:paraId="43C6B799" w14:textId="77777777" w:rsidTr="00053B83">
        <w:trPr>
          <w:cantSplit/>
          <w:trHeight w:val="290"/>
          <w:tblHeader/>
          <w:jc w:val="center"/>
        </w:trPr>
        <w:tc>
          <w:tcPr>
            <w:tcW w:w="1417" w:type="pct"/>
          </w:tcPr>
          <w:p w14:paraId="0F3E7E0F"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420 to 449 calendar days</w:t>
            </w:r>
          </w:p>
        </w:tc>
        <w:tc>
          <w:tcPr>
            <w:tcW w:w="3583" w:type="pct"/>
          </w:tcPr>
          <w:p w14:paraId="6B76B33A"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34</w:t>
            </w:r>
          </w:p>
        </w:tc>
      </w:tr>
      <w:tr w:rsidR="00F40414" w:rsidRPr="000F056F" w14:paraId="519586EC" w14:textId="77777777" w:rsidTr="00053B83">
        <w:trPr>
          <w:cantSplit/>
          <w:trHeight w:val="290"/>
          <w:tblHeader/>
          <w:jc w:val="center"/>
        </w:trPr>
        <w:tc>
          <w:tcPr>
            <w:tcW w:w="1417" w:type="pct"/>
          </w:tcPr>
          <w:p w14:paraId="397E486B"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450 to 479 calendar days</w:t>
            </w:r>
          </w:p>
        </w:tc>
        <w:tc>
          <w:tcPr>
            <w:tcW w:w="3583" w:type="pct"/>
          </w:tcPr>
          <w:p w14:paraId="3CACF090"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34</w:t>
            </w:r>
          </w:p>
        </w:tc>
      </w:tr>
      <w:tr w:rsidR="00F40414" w:rsidRPr="000F056F" w14:paraId="0163AB95" w14:textId="77777777" w:rsidTr="00053B83">
        <w:trPr>
          <w:cantSplit/>
          <w:trHeight w:val="290"/>
          <w:tblHeader/>
          <w:jc w:val="center"/>
        </w:trPr>
        <w:tc>
          <w:tcPr>
            <w:tcW w:w="1417" w:type="pct"/>
          </w:tcPr>
          <w:p w14:paraId="7065F7EE"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480 to 509 calendar days</w:t>
            </w:r>
          </w:p>
        </w:tc>
        <w:tc>
          <w:tcPr>
            <w:tcW w:w="3583" w:type="pct"/>
          </w:tcPr>
          <w:p w14:paraId="12E54A64"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21</w:t>
            </w:r>
          </w:p>
        </w:tc>
      </w:tr>
      <w:tr w:rsidR="00F40414" w:rsidRPr="000F056F" w14:paraId="6A5DD5D6" w14:textId="77777777" w:rsidTr="00053B83">
        <w:trPr>
          <w:cantSplit/>
          <w:trHeight w:val="290"/>
          <w:tblHeader/>
          <w:jc w:val="center"/>
        </w:trPr>
        <w:tc>
          <w:tcPr>
            <w:tcW w:w="1417" w:type="pct"/>
          </w:tcPr>
          <w:p w14:paraId="67BA3105"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510 to 539 calendar days</w:t>
            </w:r>
          </w:p>
        </w:tc>
        <w:tc>
          <w:tcPr>
            <w:tcW w:w="3583" w:type="pct"/>
          </w:tcPr>
          <w:p w14:paraId="6CF76801"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16</w:t>
            </w:r>
          </w:p>
        </w:tc>
      </w:tr>
      <w:tr w:rsidR="00F40414" w:rsidRPr="000F056F" w14:paraId="67CE3368" w14:textId="77777777" w:rsidTr="00053B83">
        <w:trPr>
          <w:cantSplit/>
          <w:trHeight w:val="290"/>
          <w:tblHeader/>
          <w:jc w:val="center"/>
        </w:trPr>
        <w:tc>
          <w:tcPr>
            <w:tcW w:w="1417" w:type="pct"/>
          </w:tcPr>
          <w:p w14:paraId="2CE16D1A"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540 to 569 calendar days</w:t>
            </w:r>
          </w:p>
        </w:tc>
        <w:tc>
          <w:tcPr>
            <w:tcW w:w="3583" w:type="pct"/>
          </w:tcPr>
          <w:p w14:paraId="5F2349AC"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19</w:t>
            </w:r>
          </w:p>
        </w:tc>
      </w:tr>
      <w:tr w:rsidR="00F40414" w:rsidRPr="000F056F" w14:paraId="7DD0B46A" w14:textId="77777777" w:rsidTr="00053B83">
        <w:trPr>
          <w:cantSplit/>
          <w:trHeight w:val="290"/>
          <w:tblHeader/>
          <w:jc w:val="center"/>
        </w:trPr>
        <w:tc>
          <w:tcPr>
            <w:tcW w:w="1417" w:type="pct"/>
          </w:tcPr>
          <w:p w14:paraId="6C971A82"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570 to 599 calendar days</w:t>
            </w:r>
          </w:p>
        </w:tc>
        <w:tc>
          <w:tcPr>
            <w:tcW w:w="3583" w:type="pct"/>
          </w:tcPr>
          <w:p w14:paraId="7BE0E57C"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13</w:t>
            </w:r>
          </w:p>
        </w:tc>
      </w:tr>
      <w:tr w:rsidR="00F40414" w:rsidRPr="000F056F" w14:paraId="2A39D45B" w14:textId="77777777" w:rsidTr="00053B83">
        <w:trPr>
          <w:cantSplit/>
          <w:trHeight w:val="290"/>
          <w:tblHeader/>
          <w:jc w:val="center"/>
        </w:trPr>
        <w:tc>
          <w:tcPr>
            <w:tcW w:w="1417" w:type="pct"/>
          </w:tcPr>
          <w:p w14:paraId="4AA635C7"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600 to 629 calendar days</w:t>
            </w:r>
          </w:p>
        </w:tc>
        <w:tc>
          <w:tcPr>
            <w:tcW w:w="3583" w:type="pct"/>
          </w:tcPr>
          <w:p w14:paraId="6569E317"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7</w:t>
            </w:r>
          </w:p>
        </w:tc>
      </w:tr>
      <w:tr w:rsidR="00F40414" w:rsidRPr="000F056F" w14:paraId="7746DA02" w14:textId="77777777" w:rsidTr="00053B83">
        <w:trPr>
          <w:cantSplit/>
          <w:trHeight w:val="290"/>
          <w:tblHeader/>
          <w:jc w:val="center"/>
        </w:trPr>
        <w:tc>
          <w:tcPr>
            <w:tcW w:w="1417" w:type="pct"/>
          </w:tcPr>
          <w:p w14:paraId="07946939"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630 to 659 calendar days</w:t>
            </w:r>
          </w:p>
        </w:tc>
        <w:tc>
          <w:tcPr>
            <w:tcW w:w="3583" w:type="pct"/>
          </w:tcPr>
          <w:p w14:paraId="63957217"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7</w:t>
            </w:r>
          </w:p>
        </w:tc>
      </w:tr>
      <w:tr w:rsidR="00F40414" w:rsidRPr="000F056F" w14:paraId="14999B94" w14:textId="77777777" w:rsidTr="00053B83">
        <w:trPr>
          <w:cantSplit/>
          <w:trHeight w:val="290"/>
          <w:tblHeader/>
          <w:jc w:val="center"/>
        </w:trPr>
        <w:tc>
          <w:tcPr>
            <w:tcW w:w="1417" w:type="pct"/>
          </w:tcPr>
          <w:p w14:paraId="74267004"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660 to 689 calendar days</w:t>
            </w:r>
          </w:p>
        </w:tc>
        <w:tc>
          <w:tcPr>
            <w:tcW w:w="3583" w:type="pct"/>
          </w:tcPr>
          <w:p w14:paraId="01A43BDF"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w:t>
            </w:r>
          </w:p>
        </w:tc>
      </w:tr>
      <w:tr w:rsidR="00F40414" w:rsidRPr="000F056F" w14:paraId="1B81C95A" w14:textId="77777777" w:rsidTr="00053B83">
        <w:trPr>
          <w:cantSplit/>
          <w:trHeight w:val="290"/>
          <w:tblHeader/>
          <w:jc w:val="center"/>
        </w:trPr>
        <w:tc>
          <w:tcPr>
            <w:tcW w:w="1417" w:type="pct"/>
          </w:tcPr>
          <w:p w14:paraId="63F22DC5"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690 to 719 calendar days</w:t>
            </w:r>
          </w:p>
        </w:tc>
        <w:tc>
          <w:tcPr>
            <w:tcW w:w="3583" w:type="pct"/>
          </w:tcPr>
          <w:p w14:paraId="5CD2BBF7"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11</w:t>
            </w:r>
          </w:p>
        </w:tc>
      </w:tr>
      <w:tr w:rsidR="00F40414" w:rsidRPr="000F056F" w14:paraId="2E0CD1BC" w14:textId="77777777" w:rsidTr="00053B83">
        <w:trPr>
          <w:cantSplit/>
          <w:trHeight w:val="302"/>
          <w:tblHeader/>
          <w:jc w:val="center"/>
        </w:trPr>
        <w:tc>
          <w:tcPr>
            <w:tcW w:w="1417" w:type="pct"/>
          </w:tcPr>
          <w:p w14:paraId="5D163445"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720 to 749 calendar days</w:t>
            </w:r>
          </w:p>
        </w:tc>
        <w:tc>
          <w:tcPr>
            <w:tcW w:w="3583" w:type="pct"/>
          </w:tcPr>
          <w:p w14:paraId="37E02C35"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6</w:t>
            </w:r>
          </w:p>
        </w:tc>
      </w:tr>
      <w:tr w:rsidR="00F40414" w:rsidRPr="000F056F" w14:paraId="45145BDD" w14:textId="77777777" w:rsidTr="00053B83">
        <w:trPr>
          <w:cantSplit/>
          <w:trHeight w:val="290"/>
          <w:tblHeader/>
          <w:jc w:val="center"/>
        </w:trPr>
        <w:tc>
          <w:tcPr>
            <w:tcW w:w="1417" w:type="pct"/>
          </w:tcPr>
          <w:p w14:paraId="3CD6E307"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750 to 779 calendar days</w:t>
            </w:r>
          </w:p>
        </w:tc>
        <w:tc>
          <w:tcPr>
            <w:tcW w:w="3583" w:type="pct"/>
          </w:tcPr>
          <w:p w14:paraId="1AD05332"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2</w:t>
            </w:r>
          </w:p>
        </w:tc>
      </w:tr>
      <w:tr w:rsidR="00F40414" w:rsidRPr="000F056F" w14:paraId="61D08F85" w14:textId="77777777" w:rsidTr="00053B83">
        <w:trPr>
          <w:cantSplit/>
          <w:trHeight w:val="290"/>
          <w:tblHeader/>
          <w:jc w:val="center"/>
        </w:trPr>
        <w:tc>
          <w:tcPr>
            <w:tcW w:w="1417" w:type="pct"/>
          </w:tcPr>
          <w:p w14:paraId="3914F7B1"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780 to 809 calendar days</w:t>
            </w:r>
          </w:p>
        </w:tc>
        <w:tc>
          <w:tcPr>
            <w:tcW w:w="3583" w:type="pct"/>
          </w:tcPr>
          <w:p w14:paraId="746F02EF"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w:t>
            </w:r>
          </w:p>
        </w:tc>
      </w:tr>
      <w:tr w:rsidR="00F40414" w:rsidRPr="000F056F" w14:paraId="4ACBA0CB" w14:textId="77777777" w:rsidTr="00053B83">
        <w:trPr>
          <w:cantSplit/>
          <w:trHeight w:val="290"/>
          <w:tblHeader/>
          <w:jc w:val="center"/>
        </w:trPr>
        <w:tc>
          <w:tcPr>
            <w:tcW w:w="1417" w:type="pct"/>
          </w:tcPr>
          <w:p w14:paraId="191ED588"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810 to 839 calendar days</w:t>
            </w:r>
          </w:p>
        </w:tc>
        <w:tc>
          <w:tcPr>
            <w:tcW w:w="3583" w:type="pct"/>
          </w:tcPr>
          <w:p w14:paraId="4EF291AE"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4</w:t>
            </w:r>
          </w:p>
        </w:tc>
      </w:tr>
      <w:tr w:rsidR="00F40414" w:rsidRPr="000F056F" w14:paraId="1A0C981B" w14:textId="77777777" w:rsidTr="00053B83">
        <w:trPr>
          <w:cantSplit/>
          <w:trHeight w:val="290"/>
          <w:tblHeader/>
          <w:jc w:val="center"/>
        </w:trPr>
        <w:tc>
          <w:tcPr>
            <w:tcW w:w="1417" w:type="pct"/>
          </w:tcPr>
          <w:p w14:paraId="00E46AC2"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840 to 869 calendar days</w:t>
            </w:r>
          </w:p>
        </w:tc>
        <w:tc>
          <w:tcPr>
            <w:tcW w:w="3583" w:type="pct"/>
          </w:tcPr>
          <w:p w14:paraId="55E0543D"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0</w:t>
            </w:r>
          </w:p>
        </w:tc>
      </w:tr>
      <w:tr w:rsidR="00F40414" w:rsidRPr="000F056F" w14:paraId="79017AC2" w14:textId="77777777" w:rsidTr="00053B83">
        <w:trPr>
          <w:cantSplit/>
          <w:trHeight w:val="290"/>
          <w:tblHeader/>
          <w:jc w:val="center"/>
        </w:trPr>
        <w:tc>
          <w:tcPr>
            <w:tcW w:w="1417" w:type="pct"/>
          </w:tcPr>
          <w:p w14:paraId="703410FB"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870 to 899 calendar days</w:t>
            </w:r>
          </w:p>
        </w:tc>
        <w:tc>
          <w:tcPr>
            <w:tcW w:w="3583" w:type="pct"/>
          </w:tcPr>
          <w:p w14:paraId="187C70D6"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1</w:t>
            </w:r>
          </w:p>
        </w:tc>
      </w:tr>
      <w:tr w:rsidR="00F40414" w:rsidRPr="000F056F" w14:paraId="07FF74B4" w14:textId="77777777" w:rsidTr="00053B83">
        <w:trPr>
          <w:cantSplit/>
          <w:trHeight w:val="290"/>
          <w:tblHeader/>
          <w:jc w:val="center"/>
        </w:trPr>
        <w:tc>
          <w:tcPr>
            <w:tcW w:w="1417" w:type="pct"/>
          </w:tcPr>
          <w:p w14:paraId="48CF6D72"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900 to 929 calendar days</w:t>
            </w:r>
          </w:p>
        </w:tc>
        <w:tc>
          <w:tcPr>
            <w:tcW w:w="3583" w:type="pct"/>
          </w:tcPr>
          <w:p w14:paraId="58A689C0"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0</w:t>
            </w:r>
          </w:p>
        </w:tc>
      </w:tr>
      <w:tr w:rsidR="00F40414" w:rsidRPr="000F056F" w14:paraId="464C8625" w14:textId="77777777" w:rsidTr="00053B83">
        <w:trPr>
          <w:cantSplit/>
          <w:trHeight w:val="290"/>
          <w:tblHeader/>
          <w:jc w:val="center"/>
        </w:trPr>
        <w:tc>
          <w:tcPr>
            <w:tcW w:w="1417" w:type="pct"/>
          </w:tcPr>
          <w:p w14:paraId="6E2CCAB8"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930 to 959 calendar days</w:t>
            </w:r>
          </w:p>
        </w:tc>
        <w:tc>
          <w:tcPr>
            <w:tcW w:w="3583" w:type="pct"/>
          </w:tcPr>
          <w:p w14:paraId="4769F0ED"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0</w:t>
            </w:r>
          </w:p>
        </w:tc>
      </w:tr>
      <w:tr w:rsidR="00F40414" w:rsidRPr="000F056F" w14:paraId="6A5EEC33" w14:textId="77777777" w:rsidTr="00053B83">
        <w:trPr>
          <w:cantSplit/>
          <w:trHeight w:val="79"/>
          <w:tblHeader/>
          <w:jc w:val="center"/>
        </w:trPr>
        <w:tc>
          <w:tcPr>
            <w:tcW w:w="1417" w:type="pct"/>
          </w:tcPr>
          <w:p w14:paraId="00C30F50"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960 to 989 calendar days</w:t>
            </w:r>
          </w:p>
        </w:tc>
        <w:tc>
          <w:tcPr>
            <w:tcW w:w="3583" w:type="pct"/>
          </w:tcPr>
          <w:p w14:paraId="562F29AE"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0</w:t>
            </w:r>
          </w:p>
        </w:tc>
      </w:tr>
      <w:tr w:rsidR="00F40414" w:rsidRPr="000F056F" w14:paraId="21F71DE5" w14:textId="77777777" w:rsidTr="00053B83">
        <w:trPr>
          <w:cantSplit/>
          <w:trHeight w:val="290"/>
          <w:tblHeader/>
          <w:jc w:val="center"/>
        </w:trPr>
        <w:tc>
          <w:tcPr>
            <w:tcW w:w="1417" w:type="pct"/>
          </w:tcPr>
          <w:p w14:paraId="56984CB9" w14:textId="77777777" w:rsidR="00F40414" w:rsidRPr="000F056F" w:rsidRDefault="00F40414" w:rsidP="008E37FE">
            <w:pPr>
              <w:autoSpaceDE w:val="0"/>
              <w:autoSpaceDN w:val="0"/>
              <w:adjustRightInd w:val="0"/>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More than 990 calendar days</w:t>
            </w:r>
          </w:p>
        </w:tc>
        <w:tc>
          <w:tcPr>
            <w:tcW w:w="3583" w:type="pct"/>
          </w:tcPr>
          <w:p w14:paraId="2BC43A23" w14:textId="77777777" w:rsidR="00F40414" w:rsidRPr="000F056F" w:rsidRDefault="00F40414" w:rsidP="008E37FE">
            <w:pPr>
              <w:autoSpaceDE w:val="0"/>
              <w:autoSpaceDN w:val="0"/>
              <w:adjustRightInd w:val="0"/>
              <w:jc w:val="center"/>
              <w:rPr>
                <w:rFonts w:asciiTheme="minorHAnsi" w:hAnsiTheme="minorHAnsi" w:cstheme="minorHAnsi"/>
                <w:color w:val="000000"/>
                <w:sz w:val="22"/>
                <w:szCs w:val="22"/>
                <w:lang w:val="en-CA"/>
              </w:rPr>
            </w:pPr>
            <w:r w:rsidRPr="000F056F">
              <w:rPr>
                <w:rFonts w:asciiTheme="minorHAnsi" w:hAnsiTheme="minorHAnsi" w:cstheme="minorHAnsi"/>
                <w:color w:val="000000"/>
                <w:sz w:val="22"/>
                <w:szCs w:val="22"/>
                <w:lang w:val="en-CA"/>
              </w:rPr>
              <w:t>0</w:t>
            </w:r>
          </w:p>
        </w:tc>
      </w:tr>
    </w:tbl>
    <w:p w14:paraId="70E9B3DF" w14:textId="77777777" w:rsidR="00D007DC" w:rsidRPr="000F056F" w:rsidRDefault="00D007DC" w:rsidP="002944FE">
      <w:pPr>
        <w:rPr>
          <w:rFonts w:asciiTheme="minorHAnsi" w:hAnsiTheme="minorHAnsi" w:cstheme="minorHAnsi"/>
          <w:sz w:val="22"/>
          <w:szCs w:val="22"/>
          <w:lang w:val="en-CA" w:eastAsia="en-CA"/>
        </w:rPr>
      </w:pPr>
    </w:p>
    <w:p w14:paraId="72B61F3B" w14:textId="6492DB08" w:rsidR="00D007DC" w:rsidRPr="000F056F" w:rsidRDefault="00D007DC" w:rsidP="002944FE">
      <w:pPr>
        <w:rPr>
          <w:rFonts w:asciiTheme="minorHAnsi" w:hAnsiTheme="minorHAnsi" w:cstheme="minorHAnsi"/>
          <w:sz w:val="22"/>
          <w:szCs w:val="22"/>
          <w:lang w:val="en-CA" w:eastAsia="en-CA"/>
        </w:rPr>
        <w:sectPr w:rsidR="00D007DC" w:rsidRPr="000F056F" w:rsidSect="00D007DC">
          <w:pgSz w:w="12240" w:h="15840" w:code="1"/>
          <w:pgMar w:top="720" w:right="720" w:bottom="720" w:left="1025" w:header="708" w:footer="708" w:gutter="0"/>
          <w:cols w:space="708"/>
          <w:titlePg/>
          <w:docGrid w:linePitch="360"/>
        </w:sectPr>
      </w:pPr>
    </w:p>
    <w:p w14:paraId="389CC6A8" w14:textId="77777777" w:rsidR="002944FE" w:rsidRPr="000F056F" w:rsidRDefault="002944FE" w:rsidP="00E4530D">
      <w:pPr>
        <w:pStyle w:val="Heading1"/>
        <w:spacing w:after="120"/>
        <w:rPr>
          <w:rFonts w:eastAsia="Calibri"/>
          <w:lang w:val="en-CA"/>
        </w:rPr>
      </w:pPr>
      <w:r w:rsidRPr="000F056F">
        <w:rPr>
          <w:rFonts w:eastAsia="Calibri"/>
          <w:lang w:val="en-CA"/>
        </w:rPr>
        <w:lastRenderedPageBreak/>
        <w:t>Technical notes:</w:t>
      </w:r>
    </w:p>
    <w:p w14:paraId="0716CCF9" w14:textId="77777777" w:rsidR="002944FE" w:rsidRPr="000F056F" w:rsidRDefault="002944FE" w:rsidP="000F056F">
      <w:pPr>
        <w:numPr>
          <w:ilvl w:val="0"/>
          <w:numId w:val="44"/>
        </w:numPr>
        <w:contextualSpacing/>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14:paraId="036F5891" w14:textId="77777777" w:rsidR="002944FE" w:rsidRPr="000F056F" w:rsidRDefault="002944FE" w:rsidP="000F056F">
      <w:pPr>
        <w:numPr>
          <w:ilvl w:val="0"/>
          <w:numId w:val="44"/>
        </w:numPr>
        <w:contextualSpacing/>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 xml:space="preserve">The Time to Staff - External Appointments (TTS-EA) is the median number of calendar days between the opening date of an external advertisement and the date of the first estimated appointment of an individual from outside an organization subject to the </w:t>
      </w:r>
      <w:r w:rsidRPr="000F056F">
        <w:rPr>
          <w:rStyle w:val="Emphasis"/>
          <w:rFonts w:asciiTheme="minorHAnsi" w:hAnsiTheme="minorHAnsi" w:cstheme="minorHAnsi"/>
          <w:sz w:val="22"/>
          <w:szCs w:val="18"/>
          <w:lang w:val="en-CA"/>
        </w:rPr>
        <w:t>Public Service Employment Act</w:t>
      </w:r>
      <w:r w:rsidRPr="000F056F">
        <w:rPr>
          <w:rFonts w:asciiTheme="minorHAnsi" w:hAnsiTheme="minorHAnsi" w:cstheme="minorHAnsi"/>
          <w:sz w:val="20"/>
          <w:lang w:val="en-CA" w:eastAsia="en-CA"/>
        </w:rPr>
        <w:t xml:space="preserve"> </w:t>
      </w:r>
      <w:r w:rsidRPr="000F056F">
        <w:rPr>
          <w:rFonts w:asciiTheme="minorHAnsi" w:hAnsiTheme="minorHAnsi" w:cstheme="minorHAnsi"/>
          <w:sz w:val="22"/>
          <w:szCs w:val="22"/>
          <w:lang w:val="en-CA" w:eastAsia="en-CA"/>
        </w:rPr>
        <w:t>for term and indeterminate positions. Because data between systems is linked using a probabilistic match, errors in data linkage are a potential source of measurement error.</w:t>
      </w:r>
    </w:p>
    <w:p w14:paraId="22B6E78C" w14:textId="77777777" w:rsidR="002944FE" w:rsidRPr="000F056F" w:rsidRDefault="002944FE" w:rsidP="000F056F">
      <w:pPr>
        <w:numPr>
          <w:ilvl w:val="0"/>
          <w:numId w:val="44"/>
        </w:numPr>
        <w:spacing w:after="120"/>
        <w:contextualSpacing/>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 xml:space="preserve">Only estimated term and indeterminate appointments/notifications are included (deployments, casual and acting appointments are excluded). </w:t>
      </w:r>
    </w:p>
    <w:p w14:paraId="1BEB2BEA" w14:textId="77777777" w:rsidR="002944FE" w:rsidRPr="000F056F" w:rsidRDefault="002944FE" w:rsidP="00E4530D">
      <w:pPr>
        <w:pStyle w:val="Heading1"/>
        <w:spacing w:after="120"/>
        <w:rPr>
          <w:rFonts w:eastAsia="Calibri"/>
          <w:lang w:val="en-CA"/>
        </w:rPr>
      </w:pPr>
      <w:r w:rsidRPr="000F056F">
        <w:rPr>
          <w:rFonts w:eastAsia="Calibri"/>
          <w:lang w:val="en-CA"/>
        </w:rPr>
        <w:t>Sources:</w:t>
      </w:r>
    </w:p>
    <w:p w14:paraId="32571953" w14:textId="77777777" w:rsidR="002944FE" w:rsidRPr="000F056F" w:rsidRDefault="002944FE" w:rsidP="000B0F3A">
      <w:pPr>
        <w:pStyle w:val="ListParagraph"/>
        <w:numPr>
          <w:ilvl w:val="0"/>
          <w:numId w:val="41"/>
        </w:numPr>
        <w:spacing w:before="100" w:beforeAutospacing="1" w:after="100" w:afterAutospacing="1"/>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Hiring and staffing activities data are derived from information received from the Treasury Board of Canada Secretariat Incumbent File.  The Incumbent File is extracted from the Public Services and Procurement Canada’s pay system.  The data constitutes an estimate of hiring and staffing activities to and within organizations.</w:t>
      </w:r>
    </w:p>
    <w:p w14:paraId="2B3EB3EB" w14:textId="77777777" w:rsidR="002944FE" w:rsidRPr="000F056F" w:rsidRDefault="002944FE" w:rsidP="000B0F3A">
      <w:pPr>
        <w:pStyle w:val="ListParagraph"/>
        <w:numPr>
          <w:ilvl w:val="0"/>
          <w:numId w:val="41"/>
        </w:numPr>
        <w:spacing w:before="100" w:beforeAutospacing="1" w:after="100" w:afterAutospacing="1"/>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Information from the Priority Information Management System and the Public Services Resourcing System is also used to determine if staffing actions are advertised or non-advertised as well as for calculating time to staff.</w:t>
      </w:r>
    </w:p>
    <w:p w14:paraId="47878F7F" w14:textId="131E29A1" w:rsidR="00953477" w:rsidRPr="000F056F" w:rsidRDefault="002944FE" w:rsidP="000B0F3A">
      <w:pPr>
        <w:pStyle w:val="ListParagraph"/>
        <w:numPr>
          <w:ilvl w:val="0"/>
          <w:numId w:val="41"/>
        </w:numPr>
        <w:spacing w:before="100" w:beforeAutospacing="1" w:after="100" w:afterAutospacing="1" w:line="259" w:lineRule="auto"/>
        <w:rPr>
          <w:rFonts w:asciiTheme="minorHAnsi" w:hAnsiTheme="minorHAnsi" w:cstheme="minorHAnsi"/>
          <w:sz w:val="22"/>
          <w:szCs w:val="22"/>
          <w:lang w:val="en-CA" w:eastAsia="en-CA"/>
        </w:rPr>
      </w:pPr>
      <w:r w:rsidRPr="000F056F">
        <w:rPr>
          <w:rFonts w:asciiTheme="minorHAnsi" w:hAnsiTheme="minorHAnsi" w:cstheme="minorHAnsi"/>
          <w:sz w:val="22"/>
          <w:szCs w:val="22"/>
          <w:lang w:val="en-CA" w:eastAsia="en-CA"/>
        </w:rPr>
        <w:t>The data are not expected to match an organization’s human resources data, due to methodology and timing differences</w:t>
      </w:r>
    </w:p>
    <w:p w14:paraId="5CC6AB42" w14:textId="77777777" w:rsidR="00545707" w:rsidRPr="000F056F" w:rsidRDefault="00545707" w:rsidP="000B0F3A">
      <w:pPr>
        <w:pStyle w:val="ListParagraph"/>
        <w:numPr>
          <w:ilvl w:val="0"/>
          <w:numId w:val="41"/>
        </w:numPr>
        <w:rPr>
          <w:rFonts w:asciiTheme="minorHAnsi" w:hAnsiTheme="minorHAnsi" w:cstheme="minorHAnsi"/>
          <w:sz w:val="22"/>
          <w:szCs w:val="22"/>
          <w:lang w:val="en-CA"/>
        </w:rPr>
      </w:pPr>
      <w:r w:rsidRPr="000F056F">
        <w:rPr>
          <w:rFonts w:asciiTheme="minorHAnsi" w:hAnsiTheme="minorHAnsi" w:cstheme="minorHAnsi"/>
          <w:sz w:val="22"/>
          <w:szCs w:val="22"/>
          <w:lang w:val="en-CA"/>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14:paraId="4CA4E847" w14:textId="77777777" w:rsidR="00545707" w:rsidRPr="000F056F" w:rsidRDefault="00545707" w:rsidP="000B0F3A">
      <w:pPr>
        <w:pStyle w:val="ListParagraph"/>
        <w:numPr>
          <w:ilvl w:val="0"/>
          <w:numId w:val="41"/>
        </w:numPr>
        <w:rPr>
          <w:rFonts w:asciiTheme="minorHAnsi" w:hAnsiTheme="minorHAnsi" w:cstheme="minorHAnsi"/>
          <w:sz w:val="22"/>
          <w:szCs w:val="22"/>
          <w:lang w:val="en-CA"/>
        </w:rPr>
      </w:pPr>
      <w:r w:rsidRPr="000F056F">
        <w:rPr>
          <w:rFonts w:asciiTheme="minorHAnsi" w:hAnsiTheme="minorHAnsi" w:cstheme="minorHAnsi"/>
          <w:sz w:val="22"/>
          <w:szCs w:val="22"/>
          <w:lang w:val="en-CA"/>
        </w:rPr>
        <w:t>Only estimated term and indeterminate appointments/notifications are included (deployments, casual and acting appointments are excluded)</w:t>
      </w:r>
    </w:p>
    <w:p w14:paraId="6D6FDBCF" w14:textId="77777777" w:rsidR="00545707" w:rsidRPr="000F056F" w:rsidRDefault="00545707" w:rsidP="000B0F3A">
      <w:pPr>
        <w:pStyle w:val="ListParagraph"/>
        <w:numPr>
          <w:ilvl w:val="0"/>
          <w:numId w:val="41"/>
        </w:numPr>
        <w:rPr>
          <w:rFonts w:asciiTheme="minorHAnsi" w:hAnsiTheme="minorHAnsi" w:cstheme="minorHAnsi"/>
          <w:sz w:val="22"/>
          <w:szCs w:val="22"/>
          <w:lang w:val="en-CA"/>
        </w:rPr>
      </w:pPr>
      <w:r w:rsidRPr="000F056F">
        <w:rPr>
          <w:rFonts w:asciiTheme="minorHAnsi" w:hAnsiTheme="minorHAnsi" w:cstheme="minorHAnsi"/>
          <w:sz w:val="22"/>
          <w:szCs w:val="22"/>
          <w:lang w:val="en-CA"/>
        </w:rPr>
        <w:t>The Time to Staff - External Appointments (TTS-EA) is the median number of calendar days between the opening date of an external advertisement and the date of the first estimated appointment of an individual from outside an organization subject to the Public Service Employment Act for term and indeterminate positions. Only estimated term and indeterminate appointments/notifications are included (deployments, casual and acting appointments are excluded)</w:t>
      </w:r>
    </w:p>
    <w:p w14:paraId="66C7C2DA" w14:textId="48E7F381" w:rsidR="00545707" w:rsidRPr="000F056F" w:rsidRDefault="00545707" w:rsidP="000B0F3A">
      <w:pPr>
        <w:pStyle w:val="ListParagraph"/>
        <w:numPr>
          <w:ilvl w:val="0"/>
          <w:numId w:val="41"/>
        </w:numPr>
        <w:rPr>
          <w:rFonts w:asciiTheme="minorHAnsi" w:hAnsiTheme="minorHAnsi" w:cstheme="minorHAnsi"/>
          <w:sz w:val="22"/>
          <w:szCs w:val="22"/>
          <w:lang w:val="en-CA"/>
        </w:rPr>
      </w:pPr>
      <w:r w:rsidRPr="000F056F">
        <w:rPr>
          <w:rFonts w:asciiTheme="minorHAnsi" w:hAnsiTheme="minorHAnsi" w:cstheme="minorHAnsi"/>
          <w:sz w:val="22"/>
          <w:szCs w:val="22"/>
          <w:lang w:val="en-CA"/>
        </w:rPr>
        <w:t>Because data between systems is linked using a probabilistic match, errors in data linkage are a potential source of measurement error</w:t>
      </w:r>
    </w:p>
    <w:p w14:paraId="188B239A" w14:textId="77777777" w:rsidR="00545707" w:rsidRPr="000F056F" w:rsidRDefault="00545707" w:rsidP="000B0F3A">
      <w:pPr>
        <w:pStyle w:val="ListParagraph"/>
        <w:numPr>
          <w:ilvl w:val="0"/>
          <w:numId w:val="41"/>
        </w:numPr>
        <w:rPr>
          <w:rFonts w:asciiTheme="minorHAnsi" w:hAnsiTheme="minorHAnsi" w:cstheme="minorHAnsi"/>
          <w:sz w:val="22"/>
          <w:szCs w:val="22"/>
          <w:lang w:val="en-CA"/>
        </w:rPr>
      </w:pPr>
      <w:r w:rsidRPr="000F056F">
        <w:rPr>
          <w:rFonts w:asciiTheme="minorHAnsi" w:hAnsiTheme="minorHAnsi" w:cstheme="minorHAnsi"/>
          <w:sz w:val="22"/>
          <w:szCs w:val="22"/>
          <w:lang w:val="en-CA"/>
        </w:rPr>
        <w:t>Hiring and staffing activities data are derived from information received from the Treasury Board of Canada Secretariat Incumbent File.  The Incumbent File is extracted from the Public Services and Procurement Canada’s pay system.  The data constitutes an estimate of hiring and staffing activities to and within organizations.</w:t>
      </w:r>
    </w:p>
    <w:p w14:paraId="2CE18ED5" w14:textId="77777777" w:rsidR="00545707" w:rsidRPr="000F056F" w:rsidRDefault="00545707" w:rsidP="000B0F3A">
      <w:pPr>
        <w:pStyle w:val="ListParagraph"/>
        <w:numPr>
          <w:ilvl w:val="0"/>
          <w:numId w:val="41"/>
        </w:numPr>
        <w:rPr>
          <w:rFonts w:asciiTheme="minorHAnsi" w:hAnsiTheme="minorHAnsi" w:cstheme="minorHAnsi"/>
          <w:sz w:val="22"/>
          <w:szCs w:val="22"/>
          <w:lang w:val="en-CA"/>
        </w:rPr>
      </w:pPr>
      <w:r w:rsidRPr="000F056F">
        <w:rPr>
          <w:rFonts w:asciiTheme="minorHAnsi" w:hAnsiTheme="minorHAnsi" w:cstheme="minorHAnsi"/>
          <w:sz w:val="22"/>
          <w:szCs w:val="22"/>
          <w:lang w:val="en-CA"/>
        </w:rPr>
        <w:lastRenderedPageBreak/>
        <w:t>Information from the Priority Information Management System and the Public Services Resourcing System is also used to determine if staffing actions are advertised or non-advertised as well as for calculating time to staff.</w:t>
      </w:r>
    </w:p>
    <w:p w14:paraId="64314A95" w14:textId="77777777" w:rsidR="00545707" w:rsidRPr="000F056F" w:rsidRDefault="00545707" w:rsidP="000B0F3A">
      <w:pPr>
        <w:pStyle w:val="ListParagraph"/>
        <w:numPr>
          <w:ilvl w:val="0"/>
          <w:numId w:val="41"/>
        </w:numPr>
        <w:rPr>
          <w:rFonts w:asciiTheme="minorHAnsi" w:hAnsiTheme="minorHAnsi" w:cstheme="minorHAnsi"/>
          <w:sz w:val="22"/>
          <w:szCs w:val="22"/>
          <w:lang w:val="en-CA"/>
        </w:rPr>
      </w:pPr>
      <w:r w:rsidRPr="000F056F">
        <w:rPr>
          <w:rFonts w:asciiTheme="minorHAnsi" w:hAnsiTheme="minorHAnsi" w:cstheme="minorHAnsi"/>
          <w:sz w:val="22"/>
          <w:szCs w:val="22"/>
          <w:lang w:val="en-CA"/>
        </w:rPr>
        <w:t>The data are not expected to match an organization’s human resources data, due to methodology and timing differences.</w:t>
      </w:r>
    </w:p>
    <w:sectPr w:rsidR="00545707" w:rsidRPr="000F056F" w:rsidSect="00545707">
      <w:headerReference w:type="default" r:id="rId31"/>
      <w:footerReference w:type="even" r:id="rId32"/>
      <w:footerReference w:type="default" r:id="rId33"/>
      <w:pgSz w:w="12240" w:h="15840"/>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C69CE" w14:textId="77777777" w:rsidR="00662E05" w:rsidRDefault="00662E05" w:rsidP="0051557E">
      <w:r>
        <w:separator/>
      </w:r>
    </w:p>
  </w:endnote>
  <w:endnote w:type="continuationSeparator" w:id="0">
    <w:p w14:paraId="0C0D278A" w14:textId="77777777" w:rsidR="00662E05" w:rsidRDefault="00662E05"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535625032"/>
      <w:docPartObj>
        <w:docPartGallery w:val="Page Numbers (Bottom of Page)"/>
        <w:docPartUnique/>
      </w:docPartObj>
    </w:sdtPr>
    <w:sdtEndPr>
      <w:rPr>
        <w:noProof/>
      </w:rPr>
    </w:sdtEndPr>
    <w:sdtContent>
      <w:p w14:paraId="14828CCF" w14:textId="5DDA7BEE" w:rsidR="005B3BCC" w:rsidRPr="00FB0197" w:rsidRDefault="005B3BCC" w:rsidP="00563DB9">
        <w:pPr>
          <w:pStyle w:val="Footer"/>
          <w:tabs>
            <w:tab w:val="left" w:pos="6248"/>
            <w:tab w:val="right" w:pos="10080"/>
          </w:tabs>
          <w:rPr>
            <w:noProof/>
            <w:sz w:val="22"/>
            <w:szCs w:val="22"/>
          </w:rPr>
        </w:pPr>
        <w:r w:rsidRPr="00FB0197">
          <w:rPr>
            <w:rFonts w:ascii="Segoe UI" w:hAnsi="Segoe UI" w:cs="Segoe UI"/>
            <w:sz w:val="22"/>
            <w:szCs w:val="22"/>
          </w:rPr>
          <w:fldChar w:fldCharType="begin"/>
        </w:r>
        <w:r w:rsidRPr="00FB0197">
          <w:rPr>
            <w:rFonts w:ascii="Segoe UI" w:hAnsi="Segoe UI" w:cs="Segoe UI"/>
            <w:sz w:val="22"/>
            <w:szCs w:val="22"/>
          </w:rPr>
          <w:instrText xml:space="preserve"> PAGE   \* MERGEFORMAT </w:instrText>
        </w:r>
        <w:r w:rsidRPr="00FB0197">
          <w:rPr>
            <w:rFonts w:ascii="Segoe UI" w:hAnsi="Segoe UI" w:cs="Segoe UI"/>
            <w:sz w:val="22"/>
            <w:szCs w:val="22"/>
          </w:rPr>
          <w:fldChar w:fldCharType="separate"/>
        </w:r>
        <w:r>
          <w:rPr>
            <w:rFonts w:ascii="Segoe UI" w:hAnsi="Segoe UI" w:cs="Segoe UI"/>
            <w:noProof/>
            <w:sz w:val="22"/>
            <w:szCs w:val="22"/>
          </w:rPr>
          <w:t>17</w:t>
        </w:r>
        <w:r w:rsidRPr="00FB0197">
          <w:rPr>
            <w:rFonts w:ascii="Segoe UI" w:hAnsi="Segoe UI" w:cs="Segoe U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554499"/>
      <w:docPartObj>
        <w:docPartGallery w:val="Page Numbers (Bottom of Page)"/>
        <w:docPartUnique/>
      </w:docPartObj>
    </w:sdtPr>
    <w:sdtEndPr/>
    <w:sdtContent>
      <w:p w14:paraId="5AAE541A" w14:textId="7F45BADE" w:rsidR="005B3BCC" w:rsidRDefault="005B3BCC">
        <w:pPr>
          <w:pStyle w:val="Footer"/>
        </w:pPr>
        <w:r>
          <w:fldChar w:fldCharType="begin"/>
        </w:r>
        <w:r>
          <w:instrText>PAGE   \* MERGEFORMAT</w:instrText>
        </w:r>
        <w:r>
          <w:fldChar w:fldCharType="separate"/>
        </w:r>
        <w:r>
          <w:rPr>
            <w:lang w:val="fr-FR"/>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D3CB" w14:textId="77777777" w:rsidR="005B3BCC" w:rsidRDefault="005B3BCC" w:rsidP="008D03AB">
    <w:pPr>
      <w:pStyle w:val="Footer"/>
      <w:jc w:val="center"/>
    </w:pPr>
    <w:r>
      <w:t xml:space="preserve"> Produced by Data Services and Analysis Directorate (PSC) – Updated on December 23,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490018"/>
      <w:docPartObj>
        <w:docPartGallery w:val="Page Numbers (Bottom of Page)"/>
        <w:docPartUnique/>
      </w:docPartObj>
    </w:sdtPr>
    <w:sdtEndPr/>
    <w:sdtContent>
      <w:p w14:paraId="57331886" w14:textId="73211863" w:rsidR="005B3BCC" w:rsidRDefault="005B3BCC">
        <w:pPr>
          <w:pStyle w:val="Footer"/>
        </w:pPr>
        <w:r>
          <w:fldChar w:fldCharType="begin"/>
        </w:r>
        <w:r>
          <w:instrText>PAGE   \* MERGEFORMAT</w:instrText>
        </w:r>
        <w:r>
          <w:fldChar w:fldCharType="separate"/>
        </w:r>
        <w:r>
          <w:rPr>
            <w:lang w:val="fr-FR"/>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E5E5" w14:textId="77777777" w:rsidR="005B3BCC" w:rsidRPr="00A56930" w:rsidRDefault="005B3BCC" w:rsidP="008D03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516065"/>
      <w:docPartObj>
        <w:docPartGallery w:val="Page Numbers (Bottom of Page)"/>
        <w:docPartUnique/>
      </w:docPartObj>
    </w:sdtPr>
    <w:sdtEndPr/>
    <w:sdtContent>
      <w:p w14:paraId="742842E6" w14:textId="3111B51B" w:rsidR="005B3BCC" w:rsidRDefault="005B3BCC">
        <w:pPr>
          <w:pStyle w:val="Footer"/>
        </w:pPr>
        <w:r>
          <w:fldChar w:fldCharType="begin"/>
        </w:r>
        <w:r>
          <w:instrText>PAGE   \* MERGEFORMAT</w:instrText>
        </w:r>
        <w:r>
          <w:fldChar w:fldCharType="separate"/>
        </w:r>
        <w:r>
          <w:rPr>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B903" w14:textId="77777777" w:rsidR="00662E05" w:rsidRDefault="00662E05" w:rsidP="0051557E">
      <w:r>
        <w:separator/>
      </w:r>
    </w:p>
  </w:footnote>
  <w:footnote w:type="continuationSeparator" w:id="0">
    <w:p w14:paraId="1206F376" w14:textId="77777777" w:rsidR="00662E05" w:rsidRDefault="00662E05" w:rsidP="0051557E">
      <w:r>
        <w:continuationSeparator/>
      </w:r>
    </w:p>
  </w:footnote>
  <w:footnote w:id="1">
    <w:p w14:paraId="1B3C77F7" w14:textId="77777777" w:rsidR="005B3BCC" w:rsidRPr="00FF658D" w:rsidRDefault="005B3BCC" w:rsidP="002944FE">
      <w:pPr>
        <w:pStyle w:val="FootnoteText"/>
        <w:rPr>
          <w:rFonts w:asciiTheme="minorHAnsi" w:hAnsiTheme="minorHAnsi" w:cstheme="minorHAnsi"/>
        </w:rPr>
      </w:pPr>
      <w:r w:rsidRPr="00FF658D">
        <w:rPr>
          <w:rStyle w:val="FootnoteReference"/>
          <w:rFonts w:asciiTheme="minorHAnsi" w:hAnsiTheme="minorHAnsi" w:cstheme="minorHAnsi"/>
        </w:rPr>
        <w:footnoteRef/>
      </w:r>
      <w:r w:rsidRPr="00FF658D">
        <w:rPr>
          <w:rFonts w:asciiTheme="minorHAnsi" w:hAnsiTheme="minorHAnsi" w:cstheme="minorHAnsi"/>
        </w:rPr>
        <w:t xml:space="preserve"> As of December 31, 2020</w:t>
      </w:r>
    </w:p>
  </w:footnote>
  <w:footnote w:id="2">
    <w:p w14:paraId="79D311F9" w14:textId="77777777" w:rsidR="005B3BCC" w:rsidRPr="00F61414" w:rsidRDefault="005B3BCC" w:rsidP="002944FE">
      <w:pPr>
        <w:pStyle w:val="FootnoteText"/>
      </w:pPr>
      <w:r w:rsidRPr="00FF658D">
        <w:rPr>
          <w:rStyle w:val="FootnoteReference"/>
          <w:rFonts w:asciiTheme="minorHAnsi" w:hAnsiTheme="minorHAnsi" w:cstheme="minorHAnsi"/>
        </w:rPr>
        <w:footnoteRef/>
      </w:r>
      <w:r w:rsidRPr="00FF658D">
        <w:rPr>
          <w:rFonts w:asciiTheme="minorHAnsi" w:hAnsiTheme="minorHAnsi" w:cstheme="minorHAnsi"/>
        </w:rPr>
        <w:t xml:space="preserve"> As of December 31, 2020</w:t>
      </w:r>
    </w:p>
  </w:footnote>
  <w:footnote w:id="3">
    <w:p w14:paraId="1D8B9E83" w14:textId="77777777" w:rsidR="005B3BCC" w:rsidRPr="0009593C" w:rsidRDefault="005B3BCC" w:rsidP="00A316BF">
      <w:pPr>
        <w:pStyle w:val="FootnoteText"/>
        <w:rPr>
          <w:rFonts w:ascii="Segoe UI" w:hAnsi="Segoe UI" w:cs="Segoe UI"/>
        </w:rPr>
      </w:pPr>
      <w:r w:rsidRPr="0009593C">
        <w:rPr>
          <w:rStyle w:val="FootnoteReference"/>
          <w:rFonts w:ascii="Segoe UI" w:hAnsi="Segoe UI" w:cs="Segoe UI"/>
        </w:rPr>
        <w:footnoteRef/>
      </w:r>
      <w:r w:rsidRPr="0009593C">
        <w:rPr>
          <w:rFonts w:ascii="Segoe UI" w:hAnsi="Segoe UI" w:cs="Segoe UI"/>
        </w:rPr>
        <w:t xml:space="preserve"> As of December 22, 2020</w:t>
      </w:r>
    </w:p>
  </w:footnote>
  <w:footnote w:id="4">
    <w:p w14:paraId="104CBE5E" w14:textId="77777777" w:rsidR="005B3BCC" w:rsidRDefault="005B3BCC" w:rsidP="00A316BF">
      <w:pPr>
        <w:pStyle w:val="FootnoteText"/>
      </w:pPr>
      <w:r w:rsidRPr="0009593C">
        <w:rPr>
          <w:rStyle w:val="FootnoteReference"/>
          <w:rFonts w:ascii="Segoe UI" w:hAnsi="Segoe UI" w:cs="Segoe UI"/>
        </w:rPr>
        <w:footnoteRef/>
      </w:r>
      <w:r w:rsidRPr="0009593C">
        <w:rPr>
          <w:rFonts w:ascii="Segoe UI" w:hAnsi="Segoe UI" w:cs="Segoe UI"/>
        </w:rPr>
        <w:t xml:space="preserve"> As of December 22,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F45A" w14:textId="77777777" w:rsidR="005B3BCC" w:rsidRDefault="005B3BCC" w:rsidP="0051557E">
    <w:pPr>
      <w:pStyle w:val="Header"/>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53F6" w14:textId="63786823" w:rsidR="005B3BCC" w:rsidRPr="00953477" w:rsidRDefault="005B3BCC" w:rsidP="00953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A5A7" w14:textId="3A80496A" w:rsidR="005B3BCC" w:rsidRPr="00D76ECD" w:rsidRDefault="005B3BCC" w:rsidP="00D76E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540D" w14:textId="77777777" w:rsidR="005B3BCC" w:rsidRPr="00896F90" w:rsidRDefault="005B3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DDF"/>
    <w:multiLevelType w:val="hybridMultilevel"/>
    <w:tmpl w:val="D29ADE6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BF29C7"/>
    <w:multiLevelType w:val="hybridMultilevel"/>
    <w:tmpl w:val="D9B81A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217CC4"/>
    <w:multiLevelType w:val="hybridMultilevel"/>
    <w:tmpl w:val="738400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6411BC"/>
    <w:multiLevelType w:val="hybridMultilevel"/>
    <w:tmpl w:val="098463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B944BAC"/>
    <w:multiLevelType w:val="hybridMultilevel"/>
    <w:tmpl w:val="94E0D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5E2162"/>
    <w:multiLevelType w:val="hybridMultilevel"/>
    <w:tmpl w:val="C3644A82"/>
    <w:lvl w:ilvl="0" w:tplc="10090001">
      <w:start w:val="1"/>
      <w:numFmt w:val="bullet"/>
      <w:lvlText w:val=""/>
      <w:lvlJc w:val="left"/>
      <w:pPr>
        <w:ind w:left="720" w:hanging="72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0077E6"/>
    <w:multiLevelType w:val="hybridMultilevel"/>
    <w:tmpl w:val="FF305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985A06"/>
    <w:multiLevelType w:val="hybridMultilevel"/>
    <w:tmpl w:val="B598FB68"/>
    <w:lvl w:ilvl="0" w:tplc="0C0C0001">
      <w:start w:val="1"/>
      <w:numFmt w:val="bullet"/>
      <w:lvlText w:val=""/>
      <w:lvlJc w:val="left"/>
      <w:pPr>
        <w:tabs>
          <w:tab w:val="num" w:pos="720"/>
        </w:tabs>
        <w:ind w:left="720" w:hanging="360"/>
      </w:pPr>
      <w:rPr>
        <w:rFonts w:ascii="Symbol" w:hAnsi="Symbo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566092"/>
    <w:multiLevelType w:val="hybridMultilevel"/>
    <w:tmpl w:val="02082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735A0B"/>
    <w:multiLevelType w:val="hybridMultilevel"/>
    <w:tmpl w:val="363E70C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347D97"/>
    <w:multiLevelType w:val="hybridMultilevel"/>
    <w:tmpl w:val="CA108116"/>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1BB64CBB"/>
    <w:multiLevelType w:val="hybridMultilevel"/>
    <w:tmpl w:val="F43C4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F122446"/>
    <w:multiLevelType w:val="hybridMultilevel"/>
    <w:tmpl w:val="8C24E432"/>
    <w:lvl w:ilvl="0" w:tplc="3E8258EC">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7858AE"/>
    <w:multiLevelType w:val="multilevel"/>
    <w:tmpl w:val="8EC006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F43695"/>
    <w:multiLevelType w:val="hybridMultilevel"/>
    <w:tmpl w:val="E63AF2D2"/>
    <w:lvl w:ilvl="0" w:tplc="3E8258EC">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770252F"/>
    <w:multiLevelType w:val="hybridMultilevel"/>
    <w:tmpl w:val="8DD81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C44087"/>
    <w:multiLevelType w:val="hybridMultilevel"/>
    <w:tmpl w:val="969A2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FF4C56"/>
    <w:multiLevelType w:val="hybridMultilevel"/>
    <w:tmpl w:val="94D2AA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EE721B5"/>
    <w:multiLevelType w:val="hybridMultilevel"/>
    <w:tmpl w:val="C4F45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F3F342C"/>
    <w:multiLevelType w:val="hybridMultilevel"/>
    <w:tmpl w:val="690A1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0F856D4"/>
    <w:multiLevelType w:val="hybridMultilevel"/>
    <w:tmpl w:val="B31856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13B5FCF"/>
    <w:multiLevelType w:val="hybridMultilevel"/>
    <w:tmpl w:val="4EC0AF72"/>
    <w:lvl w:ilvl="0" w:tplc="10090001">
      <w:start w:val="1"/>
      <w:numFmt w:val="bullet"/>
      <w:lvlText w:val=""/>
      <w:lvlJc w:val="left"/>
      <w:pPr>
        <w:ind w:left="360" w:hanging="360"/>
      </w:pPr>
      <w:rPr>
        <w:rFonts w:ascii="Symbol" w:hAnsi="Symbol" w:hint="default"/>
      </w:rPr>
    </w:lvl>
    <w:lvl w:ilvl="1" w:tplc="169E289C">
      <w:numFmt w:val="bullet"/>
      <w:lvlText w:val="-"/>
      <w:lvlJc w:val="left"/>
      <w:pPr>
        <w:ind w:left="1080" w:hanging="360"/>
      </w:pPr>
      <w:rPr>
        <w:rFonts w:ascii="Arial" w:eastAsiaTheme="minorHAnsi"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3495783A"/>
    <w:multiLevelType w:val="hybridMultilevel"/>
    <w:tmpl w:val="3AAA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A5A50EF"/>
    <w:multiLevelType w:val="hybridMultilevel"/>
    <w:tmpl w:val="36CED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B70032B"/>
    <w:multiLevelType w:val="hybridMultilevel"/>
    <w:tmpl w:val="59740F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3BCC4C19"/>
    <w:multiLevelType w:val="hybridMultilevel"/>
    <w:tmpl w:val="57D601CC"/>
    <w:lvl w:ilvl="0" w:tplc="CE1EFDCA">
      <w:numFmt w:val="bullet"/>
      <w:lvlText w:val="-"/>
      <w:lvlJc w:val="left"/>
      <w:pPr>
        <w:ind w:left="720" w:hanging="360"/>
      </w:pPr>
      <w:rPr>
        <w:rFonts w:ascii="Segoe UI Semilight" w:eastAsia="Times New Roman" w:hAnsi="Segoe UI Semilight" w:cs="Segoe UI Sem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2D1853"/>
    <w:multiLevelType w:val="hybridMultilevel"/>
    <w:tmpl w:val="DF08D424"/>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8576C7"/>
    <w:multiLevelType w:val="hybridMultilevel"/>
    <w:tmpl w:val="7020072A"/>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E084BEB6">
      <w:numFmt w:val="bullet"/>
      <w:lvlText w:val="-"/>
      <w:lvlJc w:val="left"/>
      <w:pPr>
        <w:ind w:left="2160" w:hanging="360"/>
      </w:pPr>
      <w:rPr>
        <w:rFonts w:ascii="Arial" w:eastAsia="Times New Roman" w:hAnsi="Arial" w:cs="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8F242B8"/>
    <w:multiLevelType w:val="hybridMultilevel"/>
    <w:tmpl w:val="884AF698"/>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1E03E94"/>
    <w:multiLevelType w:val="hybridMultilevel"/>
    <w:tmpl w:val="CDB8B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39B18DE"/>
    <w:multiLevelType w:val="hybridMultilevel"/>
    <w:tmpl w:val="3040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7F35584"/>
    <w:multiLevelType w:val="hybridMultilevel"/>
    <w:tmpl w:val="BD8C13FA"/>
    <w:lvl w:ilvl="0" w:tplc="1009000F">
      <w:start w:val="1"/>
      <w:numFmt w:val="decimal"/>
      <w:lvlText w:val="%1."/>
      <w:lvlJc w:val="left"/>
      <w:pPr>
        <w:ind w:left="720" w:hanging="360"/>
      </w:pPr>
    </w:lvl>
    <w:lvl w:ilvl="1" w:tplc="1009000D">
      <w:start w:val="1"/>
      <w:numFmt w:val="bullet"/>
      <w:lvlText w:val=""/>
      <w:lvlJc w:val="left"/>
      <w:pPr>
        <w:ind w:left="1440" w:hanging="360"/>
      </w:pPr>
      <w:rPr>
        <w:rFonts w:ascii="Wingdings" w:hAnsi="Wingding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B906229"/>
    <w:multiLevelType w:val="hybridMultilevel"/>
    <w:tmpl w:val="E98C22B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5C9C26DB"/>
    <w:multiLevelType w:val="hybridMultilevel"/>
    <w:tmpl w:val="CC461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1AF3AC8"/>
    <w:multiLevelType w:val="hybridMultilevel"/>
    <w:tmpl w:val="8D8803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74A5493"/>
    <w:multiLevelType w:val="hybridMultilevel"/>
    <w:tmpl w:val="8FB20840"/>
    <w:lvl w:ilvl="0" w:tplc="3E8258EC">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80F636F"/>
    <w:multiLevelType w:val="hybridMultilevel"/>
    <w:tmpl w:val="D0EC7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81F37F3"/>
    <w:multiLevelType w:val="hybridMultilevel"/>
    <w:tmpl w:val="682A848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DD70E29"/>
    <w:multiLevelType w:val="hybridMultilevel"/>
    <w:tmpl w:val="CBF07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276730E"/>
    <w:multiLevelType w:val="hybridMultilevel"/>
    <w:tmpl w:val="97562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80D54F1"/>
    <w:multiLevelType w:val="hybridMultilevel"/>
    <w:tmpl w:val="F3C68F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8E94D26"/>
    <w:multiLevelType w:val="hybridMultilevel"/>
    <w:tmpl w:val="C4C2C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11"/>
  </w:num>
  <w:num w:numId="4">
    <w:abstractNumId w:val="0"/>
  </w:num>
  <w:num w:numId="5">
    <w:abstractNumId w:val="39"/>
  </w:num>
  <w:num w:numId="6">
    <w:abstractNumId w:val="33"/>
  </w:num>
  <w:num w:numId="7">
    <w:abstractNumId w:val="44"/>
  </w:num>
  <w:num w:numId="8">
    <w:abstractNumId w:val="31"/>
  </w:num>
  <w:num w:numId="9">
    <w:abstractNumId w:val="30"/>
  </w:num>
  <w:num w:numId="10">
    <w:abstractNumId w:val="24"/>
  </w:num>
  <w:num w:numId="11">
    <w:abstractNumId w:val="40"/>
  </w:num>
  <w:num w:numId="12">
    <w:abstractNumId w:val="43"/>
  </w:num>
  <w:num w:numId="13">
    <w:abstractNumId w:val="16"/>
  </w:num>
  <w:num w:numId="14">
    <w:abstractNumId w:val="22"/>
  </w:num>
  <w:num w:numId="15">
    <w:abstractNumId w:val="19"/>
  </w:num>
  <w:num w:numId="16">
    <w:abstractNumId w:val="6"/>
  </w:num>
  <w:num w:numId="17">
    <w:abstractNumId w:val="3"/>
  </w:num>
  <w:num w:numId="18">
    <w:abstractNumId w:val="17"/>
  </w:num>
  <w:num w:numId="19">
    <w:abstractNumId w:val="10"/>
  </w:num>
  <w:num w:numId="20">
    <w:abstractNumId w:val="9"/>
  </w:num>
  <w:num w:numId="21">
    <w:abstractNumId w:val="1"/>
  </w:num>
  <w:num w:numId="22">
    <w:abstractNumId w:val="34"/>
  </w:num>
  <w:num w:numId="23">
    <w:abstractNumId w:val="42"/>
  </w:num>
  <w:num w:numId="24">
    <w:abstractNumId w:val="14"/>
  </w:num>
  <w:num w:numId="25">
    <w:abstractNumId w:val="23"/>
  </w:num>
  <w:num w:numId="26">
    <w:abstractNumId w:val="36"/>
  </w:num>
  <w:num w:numId="27">
    <w:abstractNumId w:val="25"/>
  </w:num>
  <w:num w:numId="28">
    <w:abstractNumId w:val="21"/>
  </w:num>
  <w:num w:numId="29">
    <w:abstractNumId w:val="41"/>
  </w:num>
  <w:num w:numId="30">
    <w:abstractNumId w:val="8"/>
  </w:num>
  <w:num w:numId="31">
    <w:abstractNumId w:val="13"/>
  </w:num>
  <w:num w:numId="32">
    <w:abstractNumId w:val="35"/>
  </w:num>
  <w:num w:numId="33">
    <w:abstractNumId w:val="4"/>
  </w:num>
  <w:num w:numId="34">
    <w:abstractNumId w:val="15"/>
  </w:num>
  <w:num w:numId="35">
    <w:abstractNumId w:val="38"/>
  </w:num>
  <w:num w:numId="36">
    <w:abstractNumId w:val="12"/>
  </w:num>
  <w:num w:numId="37">
    <w:abstractNumId w:val="5"/>
  </w:num>
  <w:num w:numId="38">
    <w:abstractNumId w:val="20"/>
  </w:num>
  <w:num w:numId="39">
    <w:abstractNumId w:val="27"/>
  </w:num>
  <w:num w:numId="40">
    <w:abstractNumId w:val="26"/>
  </w:num>
  <w:num w:numId="41">
    <w:abstractNumId w:val="2"/>
  </w:num>
  <w:num w:numId="42">
    <w:abstractNumId w:val="28"/>
  </w:num>
  <w:num w:numId="43">
    <w:abstractNumId w:val="37"/>
  </w:num>
  <w:num w:numId="44">
    <w:abstractNumId w:val="7"/>
  </w:num>
  <w:num w:numId="45">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8D3"/>
    <w:rsid w:val="00002E8B"/>
    <w:rsid w:val="00005F5A"/>
    <w:rsid w:val="000120A8"/>
    <w:rsid w:val="00012BE7"/>
    <w:rsid w:val="0001783F"/>
    <w:rsid w:val="000225BD"/>
    <w:rsid w:val="00023A82"/>
    <w:rsid w:val="00025A76"/>
    <w:rsid w:val="000272A9"/>
    <w:rsid w:val="000310C6"/>
    <w:rsid w:val="00031404"/>
    <w:rsid w:val="000370B0"/>
    <w:rsid w:val="00037946"/>
    <w:rsid w:val="00043A5F"/>
    <w:rsid w:val="00052FE3"/>
    <w:rsid w:val="00053B83"/>
    <w:rsid w:val="00054709"/>
    <w:rsid w:val="00054942"/>
    <w:rsid w:val="00062226"/>
    <w:rsid w:val="00066B48"/>
    <w:rsid w:val="00070148"/>
    <w:rsid w:val="00073614"/>
    <w:rsid w:val="0008432C"/>
    <w:rsid w:val="00086418"/>
    <w:rsid w:val="00087A0B"/>
    <w:rsid w:val="00093464"/>
    <w:rsid w:val="0009543E"/>
    <w:rsid w:val="0009568B"/>
    <w:rsid w:val="0009593C"/>
    <w:rsid w:val="00097DDE"/>
    <w:rsid w:val="000A26AC"/>
    <w:rsid w:val="000A4859"/>
    <w:rsid w:val="000A5B54"/>
    <w:rsid w:val="000A6CE5"/>
    <w:rsid w:val="000A6F52"/>
    <w:rsid w:val="000B0F3A"/>
    <w:rsid w:val="000C23A7"/>
    <w:rsid w:val="000C31F7"/>
    <w:rsid w:val="000C3540"/>
    <w:rsid w:val="000C63DB"/>
    <w:rsid w:val="000C7818"/>
    <w:rsid w:val="000D1EA7"/>
    <w:rsid w:val="000D5239"/>
    <w:rsid w:val="000D76E7"/>
    <w:rsid w:val="000E70A9"/>
    <w:rsid w:val="000F056F"/>
    <w:rsid w:val="000F6678"/>
    <w:rsid w:val="0011457E"/>
    <w:rsid w:val="00117D89"/>
    <w:rsid w:val="001264C8"/>
    <w:rsid w:val="00131440"/>
    <w:rsid w:val="0013696C"/>
    <w:rsid w:val="00144CFA"/>
    <w:rsid w:val="001456F7"/>
    <w:rsid w:val="00150FE7"/>
    <w:rsid w:val="001520DB"/>
    <w:rsid w:val="001520FE"/>
    <w:rsid w:val="0015344B"/>
    <w:rsid w:val="001543FF"/>
    <w:rsid w:val="00156B50"/>
    <w:rsid w:val="00160FAC"/>
    <w:rsid w:val="00165C38"/>
    <w:rsid w:val="001679B0"/>
    <w:rsid w:val="00171A09"/>
    <w:rsid w:val="00176BB6"/>
    <w:rsid w:val="00180AA9"/>
    <w:rsid w:val="0018219A"/>
    <w:rsid w:val="001844FE"/>
    <w:rsid w:val="0018519A"/>
    <w:rsid w:val="001873EE"/>
    <w:rsid w:val="00187CD2"/>
    <w:rsid w:val="00190E59"/>
    <w:rsid w:val="00196D1A"/>
    <w:rsid w:val="001A20D8"/>
    <w:rsid w:val="001A3444"/>
    <w:rsid w:val="001B61EE"/>
    <w:rsid w:val="001C01C2"/>
    <w:rsid w:val="001C41E0"/>
    <w:rsid w:val="001C63D8"/>
    <w:rsid w:val="001C745B"/>
    <w:rsid w:val="001D0ECC"/>
    <w:rsid w:val="001D2A85"/>
    <w:rsid w:val="001D5063"/>
    <w:rsid w:val="001E449E"/>
    <w:rsid w:val="001E4AE6"/>
    <w:rsid w:val="001E6DA8"/>
    <w:rsid w:val="001E72F9"/>
    <w:rsid w:val="001F7461"/>
    <w:rsid w:val="00201630"/>
    <w:rsid w:val="00201F08"/>
    <w:rsid w:val="00207E80"/>
    <w:rsid w:val="00210749"/>
    <w:rsid w:val="00215ABF"/>
    <w:rsid w:val="00216047"/>
    <w:rsid w:val="002164E2"/>
    <w:rsid w:val="002200D5"/>
    <w:rsid w:val="00224046"/>
    <w:rsid w:val="00224E7B"/>
    <w:rsid w:val="00244CD0"/>
    <w:rsid w:val="0025370B"/>
    <w:rsid w:val="00262923"/>
    <w:rsid w:val="00263830"/>
    <w:rsid w:val="00273AAD"/>
    <w:rsid w:val="00277A38"/>
    <w:rsid w:val="00281110"/>
    <w:rsid w:val="002878FD"/>
    <w:rsid w:val="00293111"/>
    <w:rsid w:val="002944FE"/>
    <w:rsid w:val="002957EE"/>
    <w:rsid w:val="002A1564"/>
    <w:rsid w:val="002B376E"/>
    <w:rsid w:val="002C252E"/>
    <w:rsid w:val="002D275B"/>
    <w:rsid w:val="002D29D7"/>
    <w:rsid w:val="002D2C4E"/>
    <w:rsid w:val="002D653E"/>
    <w:rsid w:val="002E053D"/>
    <w:rsid w:val="002E101C"/>
    <w:rsid w:val="002E1C7A"/>
    <w:rsid w:val="002E2944"/>
    <w:rsid w:val="002E2BE9"/>
    <w:rsid w:val="002E7A5C"/>
    <w:rsid w:val="00306792"/>
    <w:rsid w:val="003133DC"/>
    <w:rsid w:val="00317D20"/>
    <w:rsid w:val="0032194B"/>
    <w:rsid w:val="00322F28"/>
    <w:rsid w:val="00326D75"/>
    <w:rsid w:val="00330FFC"/>
    <w:rsid w:val="00342FCE"/>
    <w:rsid w:val="00345205"/>
    <w:rsid w:val="003452B6"/>
    <w:rsid w:val="0034538A"/>
    <w:rsid w:val="00347512"/>
    <w:rsid w:val="00356658"/>
    <w:rsid w:val="0036005E"/>
    <w:rsid w:val="00364593"/>
    <w:rsid w:val="00383F5E"/>
    <w:rsid w:val="00384F5A"/>
    <w:rsid w:val="00385C63"/>
    <w:rsid w:val="0039151A"/>
    <w:rsid w:val="00394924"/>
    <w:rsid w:val="003961F5"/>
    <w:rsid w:val="00397A4A"/>
    <w:rsid w:val="003B35E8"/>
    <w:rsid w:val="003B53B7"/>
    <w:rsid w:val="003C08D9"/>
    <w:rsid w:val="003C62D6"/>
    <w:rsid w:val="003D1730"/>
    <w:rsid w:val="003D2545"/>
    <w:rsid w:val="003E13DA"/>
    <w:rsid w:val="003E451C"/>
    <w:rsid w:val="003E6B72"/>
    <w:rsid w:val="003F0460"/>
    <w:rsid w:val="003F0DD9"/>
    <w:rsid w:val="003F4FB1"/>
    <w:rsid w:val="00401340"/>
    <w:rsid w:val="00406890"/>
    <w:rsid w:val="00410C47"/>
    <w:rsid w:val="004128D8"/>
    <w:rsid w:val="0042095E"/>
    <w:rsid w:val="00421A54"/>
    <w:rsid w:val="004305BD"/>
    <w:rsid w:val="0043331C"/>
    <w:rsid w:val="00440642"/>
    <w:rsid w:val="00441DC3"/>
    <w:rsid w:val="004439AF"/>
    <w:rsid w:val="004521BE"/>
    <w:rsid w:val="00456A0D"/>
    <w:rsid w:val="00463970"/>
    <w:rsid w:val="00467596"/>
    <w:rsid w:val="00476EF5"/>
    <w:rsid w:val="00477EA1"/>
    <w:rsid w:val="00483866"/>
    <w:rsid w:val="00483B76"/>
    <w:rsid w:val="004841F8"/>
    <w:rsid w:val="00487FE9"/>
    <w:rsid w:val="004966C7"/>
    <w:rsid w:val="004A019B"/>
    <w:rsid w:val="004A167B"/>
    <w:rsid w:val="004A696C"/>
    <w:rsid w:val="004A7FAA"/>
    <w:rsid w:val="004B11DA"/>
    <w:rsid w:val="004B3860"/>
    <w:rsid w:val="004B74B6"/>
    <w:rsid w:val="004C25A6"/>
    <w:rsid w:val="004C3001"/>
    <w:rsid w:val="004D265F"/>
    <w:rsid w:val="004D54D0"/>
    <w:rsid w:val="004E06C6"/>
    <w:rsid w:val="004E7215"/>
    <w:rsid w:val="004E7E17"/>
    <w:rsid w:val="004F69A2"/>
    <w:rsid w:val="00511382"/>
    <w:rsid w:val="0051557E"/>
    <w:rsid w:val="00515B9E"/>
    <w:rsid w:val="00521689"/>
    <w:rsid w:val="005226A9"/>
    <w:rsid w:val="00522F95"/>
    <w:rsid w:val="005230D5"/>
    <w:rsid w:val="00531536"/>
    <w:rsid w:val="005325A2"/>
    <w:rsid w:val="00534906"/>
    <w:rsid w:val="00542A5E"/>
    <w:rsid w:val="005449BC"/>
    <w:rsid w:val="00545707"/>
    <w:rsid w:val="00546259"/>
    <w:rsid w:val="00547467"/>
    <w:rsid w:val="00552416"/>
    <w:rsid w:val="00554EAD"/>
    <w:rsid w:val="00563DB9"/>
    <w:rsid w:val="005712BB"/>
    <w:rsid w:val="005719DD"/>
    <w:rsid w:val="005719F2"/>
    <w:rsid w:val="0058239F"/>
    <w:rsid w:val="0058273B"/>
    <w:rsid w:val="00586C61"/>
    <w:rsid w:val="005968FC"/>
    <w:rsid w:val="00597D85"/>
    <w:rsid w:val="005A01D1"/>
    <w:rsid w:val="005A0F24"/>
    <w:rsid w:val="005A248E"/>
    <w:rsid w:val="005A7988"/>
    <w:rsid w:val="005B3BCC"/>
    <w:rsid w:val="005B4572"/>
    <w:rsid w:val="005B6960"/>
    <w:rsid w:val="005B7E30"/>
    <w:rsid w:val="005C03BA"/>
    <w:rsid w:val="005C0483"/>
    <w:rsid w:val="005C1A7C"/>
    <w:rsid w:val="005C5EFF"/>
    <w:rsid w:val="005D4281"/>
    <w:rsid w:val="005E1B72"/>
    <w:rsid w:val="005E30C0"/>
    <w:rsid w:val="005F5F5D"/>
    <w:rsid w:val="00600B94"/>
    <w:rsid w:val="006043CC"/>
    <w:rsid w:val="00605299"/>
    <w:rsid w:val="00623B02"/>
    <w:rsid w:val="00624605"/>
    <w:rsid w:val="00625653"/>
    <w:rsid w:val="006261D5"/>
    <w:rsid w:val="00626FD1"/>
    <w:rsid w:val="00630BB1"/>
    <w:rsid w:val="0064365F"/>
    <w:rsid w:val="00643BC6"/>
    <w:rsid w:val="00651427"/>
    <w:rsid w:val="006610A5"/>
    <w:rsid w:val="006614DA"/>
    <w:rsid w:val="00662E05"/>
    <w:rsid w:val="0067008E"/>
    <w:rsid w:val="00670396"/>
    <w:rsid w:val="00672C1A"/>
    <w:rsid w:val="00674046"/>
    <w:rsid w:val="0067683B"/>
    <w:rsid w:val="00677CC7"/>
    <w:rsid w:val="00681536"/>
    <w:rsid w:val="00683B8D"/>
    <w:rsid w:val="006903F6"/>
    <w:rsid w:val="0069173A"/>
    <w:rsid w:val="0069358D"/>
    <w:rsid w:val="006B10B8"/>
    <w:rsid w:val="006B1FC8"/>
    <w:rsid w:val="006B3DDE"/>
    <w:rsid w:val="006B4615"/>
    <w:rsid w:val="006B73F9"/>
    <w:rsid w:val="006C2F96"/>
    <w:rsid w:val="006C4A1B"/>
    <w:rsid w:val="006C59E3"/>
    <w:rsid w:val="006D1F60"/>
    <w:rsid w:val="006D5514"/>
    <w:rsid w:val="006F36BD"/>
    <w:rsid w:val="007075ED"/>
    <w:rsid w:val="00716EF7"/>
    <w:rsid w:val="00720DED"/>
    <w:rsid w:val="00721367"/>
    <w:rsid w:val="007238A0"/>
    <w:rsid w:val="00734E23"/>
    <w:rsid w:val="007378D3"/>
    <w:rsid w:val="00737F27"/>
    <w:rsid w:val="007401B5"/>
    <w:rsid w:val="007432EA"/>
    <w:rsid w:val="00747BBC"/>
    <w:rsid w:val="00747DBD"/>
    <w:rsid w:val="00750B98"/>
    <w:rsid w:val="00750F2C"/>
    <w:rsid w:val="00755B63"/>
    <w:rsid w:val="00757382"/>
    <w:rsid w:val="00760198"/>
    <w:rsid w:val="0076163B"/>
    <w:rsid w:val="00766880"/>
    <w:rsid w:val="00766ACE"/>
    <w:rsid w:val="00766E18"/>
    <w:rsid w:val="0077078B"/>
    <w:rsid w:val="007720A3"/>
    <w:rsid w:val="00775C33"/>
    <w:rsid w:val="007803B7"/>
    <w:rsid w:val="00784F59"/>
    <w:rsid w:val="00792115"/>
    <w:rsid w:val="007A2288"/>
    <w:rsid w:val="007A44F3"/>
    <w:rsid w:val="007A50E4"/>
    <w:rsid w:val="007B37FD"/>
    <w:rsid w:val="007B4BF9"/>
    <w:rsid w:val="007C6C07"/>
    <w:rsid w:val="007C7876"/>
    <w:rsid w:val="007E03E7"/>
    <w:rsid w:val="007E2A72"/>
    <w:rsid w:val="007E2DED"/>
    <w:rsid w:val="007E365A"/>
    <w:rsid w:val="007F1D49"/>
    <w:rsid w:val="007F1DE2"/>
    <w:rsid w:val="007F2F57"/>
    <w:rsid w:val="007F439B"/>
    <w:rsid w:val="007F4D3A"/>
    <w:rsid w:val="0080040A"/>
    <w:rsid w:val="008064AE"/>
    <w:rsid w:val="008136AD"/>
    <w:rsid w:val="00816870"/>
    <w:rsid w:val="00823F24"/>
    <w:rsid w:val="00827D94"/>
    <w:rsid w:val="008344AD"/>
    <w:rsid w:val="00842691"/>
    <w:rsid w:val="008426A3"/>
    <w:rsid w:val="008524D1"/>
    <w:rsid w:val="00872B30"/>
    <w:rsid w:val="00874DE1"/>
    <w:rsid w:val="00874FB3"/>
    <w:rsid w:val="00875010"/>
    <w:rsid w:val="008750DF"/>
    <w:rsid w:val="00877214"/>
    <w:rsid w:val="008773D2"/>
    <w:rsid w:val="0088213A"/>
    <w:rsid w:val="008821D3"/>
    <w:rsid w:val="0088393B"/>
    <w:rsid w:val="00890B4C"/>
    <w:rsid w:val="00896051"/>
    <w:rsid w:val="00896DD5"/>
    <w:rsid w:val="0089711E"/>
    <w:rsid w:val="008A283D"/>
    <w:rsid w:val="008A3251"/>
    <w:rsid w:val="008A5424"/>
    <w:rsid w:val="008A5AA5"/>
    <w:rsid w:val="008A6768"/>
    <w:rsid w:val="008B018B"/>
    <w:rsid w:val="008B5405"/>
    <w:rsid w:val="008B7770"/>
    <w:rsid w:val="008D03AB"/>
    <w:rsid w:val="008D0B64"/>
    <w:rsid w:val="008D7329"/>
    <w:rsid w:val="008E37FE"/>
    <w:rsid w:val="008F3466"/>
    <w:rsid w:val="00903C23"/>
    <w:rsid w:val="00903E37"/>
    <w:rsid w:val="00904750"/>
    <w:rsid w:val="009052EF"/>
    <w:rsid w:val="00907F88"/>
    <w:rsid w:val="00914093"/>
    <w:rsid w:val="0091471B"/>
    <w:rsid w:val="00932646"/>
    <w:rsid w:val="00932D2D"/>
    <w:rsid w:val="00934D9D"/>
    <w:rsid w:val="00940ABD"/>
    <w:rsid w:val="00943542"/>
    <w:rsid w:val="00952A8E"/>
    <w:rsid w:val="00952D40"/>
    <w:rsid w:val="00953477"/>
    <w:rsid w:val="00953CEB"/>
    <w:rsid w:val="00953D59"/>
    <w:rsid w:val="00955249"/>
    <w:rsid w:val="00956194"/>
    <w:rsid w:val="00957152"/>
    <w:rsid w:val="009619CB"/>
    <w:rsid w:val="009648F2"/>
    <w:rsid w:val="009669C5"/>
    <w:rsid w:val="0097048C"/>
    <w:rsid w:val="00972F32"/>
    <w:rsid w:val="00974892"/>
    <w:rsid w:val="0097570C"/>
    <w:rsid w:val="009800DD"/>
    <w:rsid w:val="00981887"/>
    <w:rsid w:val="00987FA9"/>
    <w:rsid w:val="0099120D"/>
    <w:rsid w:val="00993A95"/>
    <w:rsid w:val="00997D3F"/>
    <w:rsid w:val="009A0857"/>
    <w:rsid w:val="009A0F65"/>
    <w:rsid w:val="009A2D4B"/>
    <w:rsid w:val="009A5626"/>
    <w:rsid w:val="009B5FF2"/>
    <w:rsid w:val="009C0E5E"/>
    <w:rsid w:val="009C2A80"/>
    <w:rsid w:val="009D4507"/>
    <w:rsid w:val="009D60FE"/>
    <w:rsid w:val="009E2CA2"/>
    <w:rsid w:val="009E49A3"/>
    <w:rsid w:val="009E6E80"/>
    <w:rsid w:val="009F0304"/>
    <w:rsid w:val="009F1385"/>
    <w:rsid w:val="009F1C70"/>
    <w:rsid w:val="009F3D9B"/>
    <w:rsid w:val="009F5000"/>
    <w:rsid w:val="009F7F51"/>
    <w:rsid w:val="00A025A4"/>
    <w:rsid w:val="00A0374B"/>
    <w:rsid w:val="00A10C03"/>
    <w:rsid w:val="00A11775"/>
    <w:rsid w:val="00A16ADA"/>
    <w:rsid w:val="00A20AFD"/>
    <w:rsid w:val="00A21EAE"/>
    <w:rsid w:val="00A2581E"/>
    <w:rsid w:val="00A26E29"/>
    <w:rsid w:val="00A316BF"/>
    <w:rsid w:val="00A32CAE"/>
    <w:rsid w:val="00A337BD"/>
    <w:rsid w:val="00A3677B"/>
    <w:rsid w:val="00A37FE6"/>
    <w:rsid w:val="00A4034E"/>
    <w:rsid w:val="00A43302"/>
    <w:rsid w:val="00A5344B"/>
    <w:rsid w:val="00A60038"/>
    <w:rsid w:val="00A61114"/>
    <w:rsid w:val="00A64EEB"/>
    <w:rsid w:val="00A64FBF"/>
    <w:rsid w:val="00A710CA"/>
    <w:rsid w:val="00A71971"/>
    <w:rsid w:val="00A76D27"/>
    <w:rsid w:val="00A77330"/>
    <w:rsid w:val="00A77594"/>
    <w:rsid w:val="00A95648"/>
    <w:rsid w:val="00A96752"/>
    <w:rsid w:val="00AA03F8"/>
    <w:rsid w:val="00AA2DBD"/>
    <w:rsid w:val="00AA3D87"/>
    <w:rsid w:val="00AC072C"/>
    <w:rsid w:val="00AC1DEA"/>
    <w:rsid w:val="00AC5EFB"/>
    <w:rsid w:val="00AD242D"/>
    <w:rsid w:val="00AE4DD6"/>
    <w:rsid w:val="00AE71A6"/>
    <w:rsid w:val="00AF0484"/>
    <w:rsid w:val="00AF25CE"/>
    <w:rsid w:val="00AF4D61"/>
    <w:rsid w:val="00B0186C"/>
    <w:rsid w:val="00B04360"/>
    <w:rsid w:val="00B115AD"/>
    <w:rsid w:val="00B11FA2"/>
    <w:rsid w:val="00B132A9"/>
    <w:rsid w:val="00B22919"/>
    <w:rsid w:val="00B24B41"/>
    <w:rsid w:val="00B26ECF"/>
    <w:rsid w:val="00B33E5F"/>
    <w:rsid w:val="00B43256"/>
    <w:rsid w:val="00B56B84"/>
    <w:rsid w:val="00B63C7C"/>
    <w:rsid w:val="00B7220B"/>
    <w:rsid w:val="00B75DF3"/>
    <w:rsid w:val="00B768E7"/>
    <w:rsid w:val="00B80858"/>
    <w:rsid w:val="00B80A06"/>
    <w:rsid w:val="00B8405E"/>
    <w:rsid w:val="00B84163"/>
    <w:rsid w:val="00B94100"/>
    <w:rsid w:val="00B94D95"/>
    <w:rsid w:val="00BA72D4"/>
    <w:rsid w:val="00BB52FB"/>
    <w:rsid w:val="00BC1799"/>
    <w:rsid w:val="00BC1F42"/>
    <w:rsid w:val="00BD15C7"/>
    <w:rsid w:val="00BE0F68"/>
    <w:rsid w:val="00BE479C"/>
    <w:rsid w:val="00BE4E22"/>
    <w:rsid w:val="00C11C7C"/>
    <w:rsid w:val="00C14ACA"/>
    <w:rsid w:val="00C21BC8"/>
    <w:rsid w:val="00C262BB"/>
    <w:rsid w:val="00C277FB"/>
    <w:rsid w:val="00C27A67"/>
    <w:rsid w:val="00C30B8B"/>
    <w:rsid w:val="00C30E52"/>
    <w:rsid w:val="00C31941"/>
    <w:rsid w:val="00C33D1F"/>
    <w:rsid w:val="00C464F8"/>
    <w:rsid w:val="00C4798E"/>
    <w:rsid w:val="00C562F1"/>
    <w:rsid w:val="00C56876"/>
    <w:rsid w:val="00C60D93"/>
    <w:rsid w:val="00C63E34"/>
    <w:rsid w:val="00C65028"/>
    <w:rsid w:val="00C727B4"/>
    <w:rsid w:val="00C73191"/>
    <w:rsid w:val="00C73AFF"/>
    <w:rsid w:val="00C76B6D"/>
    <w:rsid w:val="00C82E11"/>
    <w:rsid w:val="00C8417D"/>
    <w:rsid w:val="00C8713A"/>
    <w:rsid w:val="00C91AC5"/>
    <w:rsid w:val="00C94251"/>
    <w:rsid w:val="00CA480F"/>
    <w:rsid w:val="00CB5188"/>
    <w:rsid w:val="00CB527F"/>
    <w:rsid w:val="00CC20CF"/>
    <w:rsid w:val="00CC48F2"/>
    <w:rsid w:val="00CD2C47"/>
    <w:rsid w:val="00CE0AC5"/>
    <w:rsid w:val="00CF48F6"/>
    <w:rsid w:val="00D007DC"/>
    <w:rsid w:val="00D1428F"/>
    <w:rsid w:val="00D200DA"/>
    <w:rsid w:val="00D20BF0"/>
    <w:rsid w:val="00D41BA9"/>
    <w:rsid w:val="00D46468"/>
    <w:rsid w:val="00D52AFD"/>
    <w:rsid w:val="00D5520D"/>
    <w:rsid w:val="00D561B7"/>
    <w:rsid w:val="00D611AB"/>
    <w:rsid w:val="00D638A6"/>
    <w:rsid w:val="00D63C95"/>
    <w:rsid w:val="00D64EB0"/>
    <w:rsid w:val="00D70A0F"/>
    <w:rsid w:val="00D71410"/>
    <w:rsid w:val="00D76ECD"/>
    <w:rsid w:val="00D77000"/>
    <w:rsid w:val="00D77990"/>
    <w:rsid w:val="00D9067E"/>
    <w:rsid w:val="00D919FE"/>
    <w:rsid w:val="00D92C67"/>
    <w:rsid w:val="00DA0C46"/>
    <w:rsid w:val="00DA4866"/>
    <w:rsid w:val="00DA5CFE"/>
    <w:rsid w:val="00DA695B"/>
    <w:rsid w:val="00DC2324"/>
    <w:rsid w:val="00DC551A"/>
    <w:rsid w:val="00DC67E7"/>
    <w:rsid w:val="00DD0FD0"/>
    <w:rsid w:val="00DD2EC8"/>
    <w:rsid w:val="00DD38B6"/>
    <w:rsid w:val="00DD7E48"/>
    <w:rsid w:val="00DF0078"/>
    <w:rsid w:val="00DF0247"/>
    <w:rsid w:val="00DF0A6E"/>
    <w:rsid w:val="00DF5CA0"/>
    <w:rsid w:val="00E016CE"/>
    <w:rsid w:val="00E04D80"/>
    <w:rsid w:val="00E13B39"/>
    <w:rsid w:val="00E20A7B"/>
    <w:rsid w:val="00E21E43"/>
    <w:rsid w:val="00E2201D"/>
    <w:rsid w:val="00E24DE0"/>
    <w:rsid w:val="00E41076"/>
    <w:rsid w:val="00E44138"/>
    <w:rsid w:val="00E4530D"/>
    <w:rsid w:val="00E467D8"/>
    <w:rsid w:val="00E517C7"/>
    <w:rsid w:val="00E603EC"/>
    <w:rsid w:val="00E62E02"/>
    <w:rsid w:val="00E661E9"/>
    <w:rsid w:val="00E716C3"/>
    <w:rsid w:val="00E7540F"/>
    <w:rsid w:val="00E75DB4"/>
    <w:rsid w:val="00E85BB4"/>
    <w:rsid w:val="00E94951"/>
    <w:rsid w:val="00E97540"/>
    <w:rsid w:val="00E976C2"/>
    <w:rsid w:val="00EA2A6B"/>
    <w:rsid w:val="00EA398E"/>
    <w:rsid w:val="00EB0D7F"/>
    <w:rsid w:val="00EB2837"/>
    <w:rsid w:val="00EC06C8"/>
    <w:rsid w:val="00EC1646"/>
    <w:rsid w:val="00EC698E"/>
    <w:rsid w:val="00EC6B08"/>
    <w:rsid w:val="00EC6E16"/>
    <w:rsid w:val="00ED7CFA"/>
    <w:rsid w:val="00ED7F0A"/>
    <w:rsid w:val="00EE601B"/>
    <w:rsid w:val="00EE678E"/>
    <w:rsid w:val="00EF11E9"/>
    <w:rsid w:val="00EF4841"/>
    <w:rsid w:val="00EF709B"/>
    <w:rsid w:val="00F00EF8"/>
    <w:rsid w:val="00F01370"/>
    <w:rsid w:val="00F12A62"/>
    <w:rsid w:val="00F1540F"/>
    <w:rsid w:val="00F16268"/>
    <w:rsid w:val="00F20729"/>
    <w:rsid w:val="00F26F51"/>
    <w:rsid w:val="00F3503D"/>
    <w:rsid w:val="00F40414"/>
    <w:rsid w:val="00F41D4C"/>
    <w:rsid w:val="00F50EF4"/>
    <w:rsid w:val="00F52A0A"/>
    <w:rsid w:val="00F5619A"/>
    <w:rsid w:val="00F64BDE"/>
    <w:rsid w:val="00F941DC"/>
    <w:rsid w:val="00FA0562"/>
    <w:rsid w:val="00FB0197"/>
    <w:rsid w:val="00FB3272"/>
    <w:rsid w:val="00FC569E"/>
    <w:rsid w:val="00FD71E0"/>
    <w:rsid w:val="00FE27C9"/>
    <w:rsid w:val="00FF63CD"/>
    <w:rsid w:val="00FF65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AE78"/>
  <w15:chartTrackingRefBased/>
  <w15:docId w15:val="{547E4A38-FC11-475C-8940-542D5CF5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DA8"/>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B43256"/>
    <w:pPr>
      <w:keepNext/>
      <w:spacing w:before="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character" w:customStyle="1" w:styleId="Heading1Char">
    <w:name w:val="Heading 1 Char"/>
    <w:basedOn w:val="DefaultParagraphFont"/>
    <w:link w:val="Heading1"/>
    <w:uiPriority w:val="9"/>
    <w:rsid w:val="00B43256"/>
    <w:rPr>
      <w:rFonts w:asciiTheme="majorHAnsi" w:eastAsiaTheme="majorEastAsia" w:hAnsiTheme="majorHAnsi" w:cstheme="majorBidi"/>
      <w:sz w:val="48"/>
      <w:szCs w:val="48"/>
      <w:lang w:val="en-US"/>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CA"/>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ListParagraph">
    <w:name w:val="List Paragraph"/>
    <w:basedOn w:val="Normal"/>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B43256"/>
    <w:rPr>
      <w:rFonts w:ascii="Segoe UI Semibold" w:hAnsi="Segoe UI Semibold"/>
      <w:b w:val="0"/>
      <w:color w:val="54575A" w:themeColor="text1"/>
      <w:sz w:val="22"/>
    </w:rPr>
  </w:style>
  <w:style w:type="paragraph" w:styleId="Title">
    <w:name w:val="Title"/>
    <w:basedOn w:val="Normal"/>
    <w:next w:val="Normal"/>
    <w:link w:val="TitleChar"/>
    <w:autoRedefine/>
    <w:uiPriority w:val="10"/>
    <w:qFormat/>
    <w:rsid w:val="005E30C0"/>
    <w:pPr>
      <w:contextualSpacing/>
      <w:jc w:val="center"/>
    </w:pPr>
    <w:rPr>
      <w:rFonts w:ascii="Segoe UI" w:eastAsiaTheme="majorEastAsia" w:hAnsi="Segoe UI" w:cs="Segoe UI"/>
      <w:spacing w:val="-10"/>
      <w:kern w:val="28"/>
      <w:sz w:val="48"/>
      <w:szCs w:val="48"/>
      <w:lang w:val="en-CA"/>
    </w:rPr>
  </w:style>
  <w:style w:type="character" w:customStyle="1" w:styleId="TitleChar">
    <w:name w:val="Title Char"/>
    <w:basedOn w:val="DefaultParagraphFont"/>
    <w:link w:val="Title"/>
    <w:uiPriority w:val="10"/>
    <w:rsid w:val="005E30C0"/>
    <w:rPr>
      <w:rFonts w:ascii="Segoe UI" w:eastAsiaTheme="majorEastAsia" w:hAnsi="Segoe UI" w:cs="Segoe UI"/>
      <w:spacing w:val="-10"/>
      <w:kern w:val="28"/>
      <w:sz w:val="48"/>
      <w:szCs w:val="48"/>
    </w:rPr>
  </w:style>
  <w:style w:type="paragraph" w:customStyle="1" w:styleId="Style2">
    <w:name w:val="Style2"/>
    <w:basedOn w:val="Normal"/>
    <w:link w:val="Style2Char"/>
    <w:qFormat/>
    <w:rsid w:val="007378D3"/>
    <w:pPr>
      <w:shd w:val="clear" w:color="auto" w:fill="F2F2F2"/>
    </w:pPr>
    <w:rPr>
      <w:rFonts w:ascii="Arial" w:hAnsi="Arial" w:cs="Arial"/>
      <w:b/>
      <w:color w:val="009999"/>
      <w:spacing w:val="-10"/>
      <w:lang w:val="en-CA"/>
    </w:rPr>
  </w:style>
  <w:style w:type="character" w:customStyle="1" w:styleId="Style2Char">
    <w:name w:val="Style2 Char"/>
    <w:basedOn w:val="DefaultParagraphFont"/>
    <w:link w:val="Style2"/>
    <w:rsid w:val="007378D3"/>
    <w:rPr>
      <w:rFonts w:ascii="Arial" w:eastAsia="Times New Roman" w:hAnsi="Arial" w:cs="Arial"/>
      <w:b/>
      <w:color w:val="009999"/>
      <w:spacing w:val="-10"/>
      <w:shd w:val="clear" w:color="auto" w:fill="F2F2F2"/>
    </w:rPr>
  </w:style>
  <w:style w:type="paragraph" w:customStyle="1" w:styleId="Style4">
    <w:name w:val="Style4"/>
    <w:basedOn w:val="Normal"/>
    <w:link w:val="Style4Char"/>
    <w:qFormat/>
    <w:rsid w:val="007378D3"/>
    <w:rPr>
      <w:rFonts w:ascii="Arial" w:hAnsi="Arial" w:cs="Arial"/>
      <w:u w:val="single"/>
      <w:lang w:val="en-CA" w:eastAsia="en-CA"/>
    </w:rPr>
  </w:style>
  <w:style w:type="character" w:customStyle="1" w:styleId="Style4Char">
    <w:name w:val="Style4 Char"/>
    <w:basedOn w:val="DefaultParagraphFont"/>
    <w:link w:val="Style4"/>
    <w:rsid w:val="007378D3"/>
    <w:rPr>
      <w:rFonts w:ascii="Arial" w:eastAsia="Times New Roman" w:hAnsi="Arial" w:cs="Arial"/>
      <w:u w:val="single"/>
      <w:lang w:eastAsia="en-CA"/>
    </w:rPr>
  </w:style>
  <w:style w:type="paragraph" w:styleId="NormalWeb">
    <w:name w:val="Normal (Web)"/>
    <w:basedOn w:val="Normal"/>
    <w:uiPriority w:val="99"/>
    <w:unhideWhenUsed/>
    <w:rsid w:val="007378D3"/>
    <w:pPr>
      <w:spacing w:before="100" w:beforeAutospacing="1" w:after="100" w:afterAutospacing="1"/>
    </w:pPr>
    <w:rPr>
      <w:rFonts w:ascii="Verdana" w:hAnsi="Verdana"/>
      <w:szCs w:val="24"/>
    </w:rPr>
  </w:style>
  <w:style w:type="paragraph" w:customStyle="1" w:styleId="Level1">
    <w:name w:val="Level 1"/>
    <w:basedOn w:val="Normal"/>
    <w:uiPriority w:val="99"/>
    <w:rsid w:val="007378D3"/>
    <w:pPr>
      <w:widowControl w:val="0"/>
    </w:pPr>
  </w:style>
  <w:style w:type="character" w:styleId="Hyperlink">
    <w:name w:val="Hyperlink"/>
    <w:uiPriority w:val="99"/>
    <w:unhideWhenUsed/>
    <w:rsid w:val="007378D3"/>
    <w:rPr>
      <w:color w:val="0563C1"/>
      <w:u w:val="single"/>
    </w:rPr>
  </w:style>
  <w:style w:type="paragraph" w:styleId="NoSpacing">
    <w:name w:val="No Spacing"/>
    <w:uiPriority w:val="1"/>
    <w:qFormat/>
    <w:rsid w:val="007378D3"/>
    <w:pPr>
      <w:spacing w:after="0" w:line="240" w:lineRule="auto"/>
    </w:pPr>
    <w:rPr>
      <w:rFonts w:ascii="Times New Roman" w:eastAsia="Times New Roman" w:hAnsi="Times New Roman" w:cs="Times New Roman"/>
      <w:sz w:val="24"/>
      <w:szCs w:val="20"/>
      <w:lang w:val="en-US"/>
    </w:rPr>
  </w:style>
  <w:style w:type="paragraph" w:customStyle="1" w:styleId="Style1">
    <w:name w:val="Style1"/>
    <w:basedOn w:val="Normal"/>
    <w:link w:val="Style1Char"/>
    <w:qFormat/>
    <w:rsid w:val="007378D3"/>
    <w:pPr>
      <w:pBdr>
        <w:bottom w:val="single" w:sz="4" w:space="1" w:color="92D050"/>
      </w:pBdr>
      <w:autoSpaceDE w:val="0"/>
      <w:autoSpaceDN w:val="0"/>
      <w:adjustRightInd w:val="0"/>
      <w:ind w:right="50"/>
    </w:pPr>
    <w:rPr>
      <w:rFonts w:ascii="Arial" w:hAnsi="Arial" w:cs="Arial"/>
      <w:b/>
      <w:caps/>
      <w:color w:val="92D050"/>
      <w:lang w:val="en-CA"/>
    </w:rPr>
  </w:style>
  <w:style w:type="character" w:customStyle="1" w:styleId="Style1Char">
    <w:name w:val="Style1 Char"/>
    <w:basedOn w:val="DefaultParagraphFont"/>
    <w:link w:val="Style1"/>
    <w:rsid w:val="007378D3"/>
    <w:rPr>
      <w:rFonts w:ascii="Arial" w:eastAsia="Times New Roman" w:hAnsi="Arial" w:cs="Arial"/>
      <w:b/>
      <w:caps/>
      <w:color w:val="92D050"/>
    </w:rPr>
  </w:style>
  <w:style w:type="paragraph" w:customStyle="1" w:styleId="Style6">
    <w:name w:val="Style6"/>
    <w:basedOn w:val="Normal"/>
    <w:link w:val="Style6Char"/>
    <w:qFormat/>
    <w:rsid w:val="007378D3"/>
    <w:pPr>
      <w:jc w:val="center"/>
    </w:pPr>
    <w:rPr>
      <w:rFonts w:ascii="Arial" w:hAnsi="Arial" w:cs="Arial"/>
      <w:b/>
      <w:color w:val="009999"/>
      <w:szCs w:val="24"/>
    </w:rPr>
  </w:style>
  <w:style w:type="paragraph" w:customStyle="1" w:styleId="Style7">
    <w:name w:val="Style7"/>
    <w:basedOn w:val="Normal"/>
    <w:link w:val="Style7Char"/>
    <w:qFormat/>
    <w:rsid w:val="007378D3"/>
    <w:pPr>
      <w:jc w:val="center"/>
    </w:pPr>
    <w:rPr>
      <w:rFonts w:ascii="Arial" w:hAnsi="Arial" w:cs="Arial"/>
      <w:color w:val="009999"/>
      <w:szCs w:val="32"/>
    </w:rPr>
  </w:style>
  <w:style w:type="character" w:customStyle="1" w:styleId="Style6Char">
    <w:name w:val="Style6 Char"/>
    <w:basedOn w:val="DefaultParagraphFont"/>
    <w:link w:val="Style6"/>
    <w:rsid w:val="007378D3"/>
    <w:rPr>
      <w:rFonts w:ascii="Arial" w:eastAsia="Times New Roman" w:hAnsi="Arial" w:cs="Arial"/>
      <w:b/>
      <w:color w:val="009999"/>
      <w:sz w:val="24"/>
      <w:szCs w:val="24"/>
      <w:lang w:val="en-US"/>
    </w:rPr>
  </w:style>
  <w:style w:type="paragraph" w:customStyle="1" w:styleId="Style8">
    <w:name w:val="Style8"/>
    <w:basedOn w:val="Normal"/>
    <w:link w:val="Style8Char"/>
    <w:qFormat/>
    <w:rsid w:val="007378D3"/>
    <w:rPr>
      <w:rFonts w:ascii="Arial" w:hAnsi="Arial" w:cs="Arial"/>
      <w:color w:val="767171"/>
      <w:sz w:val="16"/>
      <w:lang w:val="en-CA"/>
    </w:rPr>
  </w:style>
  <w:style w:type="character" w:customStyle="1" w:styleId="Style7Char">
    <w:name w:val="Style7 Char"/>
    <w:basedOn w:val="DefaultParagraphFont"/>
    <w:link w:val="Style7"/>
    <w:rsid w:val="007378D3"/>
    <w:rPr>
      <w:rFonts w:ascii="Arial" w:eastAsia="Times New Roman" w:hAnsi="Arial" w:cs="Arial"/>
      <w:color w:val="009999"/>
      <w:szCs w:val="32"/>
      <w:lang w:val="en-US"/>
    </w:rPr>
  </w:style>
  <w:style w:type="paragraph" w:customStyle="1" w:styleId="Style9">
    <w:name w:val="Style9"/>
    <w:basedOn w:val="Normal"/>
    <w:link w:val="Style9Char"/>
    <w:qFormat/>
    <w:rsid w:val="007378D3"/>
    <w:rPr>
      <w:rFonts w:ascii="Arial" w:hAnsi="Arial" w:cs="Arial"/>
      <w:b/>
      <w:color w:val="009999"/>
      <w:spacing w:val="-10"/>
      <w:lang w:val="en-CA"/>
    </w:rPr>
  </w:style>
  <w:style w:type="character" w:customStyle="1" w:styleId="Style8Char">
    <w:name w:val="Style8 Char"/>
    <w:basedOn w:val="DefaultParagraphFont"/>
    <w:link w:val="Style8"/>
    <w:rsid w:val="007378D3"/>
    <w:rPr>
      <w:rFonts w:ascii="Arial" w:eastAsia="Times New Roman" w:hAnsi="Arial" w:cs="Arial"/>
      <w:color w:val="767171"/>
      <w:sz w:val="16"/>
    </w:rPr>
  </w:style>
  <w:style w:type="character" w:customStyle="1" w:styleId="Style9Char">
    <w:name w:val="Style9 Char"/>
    <w:basedOn w:val="DefaultParagraphFont"/>
    <w:link w:val="Style9"/>
    <w:rsid w:val="007378D3"/>
    <w:rPr>
      <w:rFonts w:ascii="Arial" w:eastAsia="Times New Roman" w:hAnsi="Arial" w:cs="Arial"/>
      <w:b/>
      <w:color w:val="009999"/>
      <w:spacing w:val="-10"/>
    </w:rPr>
  </w:style>
  <w:style w:type="character" w:styleId="FollowedHyperlink">
    <w:name w:val="FollowedHyperlink"/>
    <w:basedOn w:val="DefaultParagraphFont"/>
    <w:uiPriority w:val="99"/>
    <w:semiHidden/>
    <w:unhideWhenUsed/>
    <w:rsid w:val="002D653E"/>
    <w:rPr>
      <w:color w:val="A5A5A5" w:themeColor="followedHyperlink"/>
      <w:u w:val="single"/>
    </w:rPr>
  </w:style>
  <w:style w:type="character" w:styleId="Strong">
    <w:name w:val="Strong"/>
    <w:basedOn w:val="DefaultParagraphFont"/>
    <w:uiPriority w:val="22"/>
    <w:qFormat/>
    <w:rsid w:val="00953CEB"/>
    <w:rPr>
      <w:b/>
      <w:bCs/>
    </w:rPr>
  </w:style>
  <w:style w:type="table" w:customStyle="1" w:styleId="Grilledutableau1">
    <w:name w:val="Grille du tableau1"/>
    <w:basedOn w:val="TableNormal"/>
    <w:next w:val="TableGrid"/>
    <w:uiPriority w:val="39"/>
    <w:rsid w:val="000A6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4841"/>
    <w:rPr>
      <w:sz w:val="16"/>
      <w:szCs w:val="16"/>
    </w:rPr>
  </w:style>
  <w:style w:type="paragraph" w:styleId="CommentText">
    <w:name w:val="annotation text"/>
    <w:basedOn w:val="Normal"/>
    <w:link w:val="CommentTextChar"/>
    <w:uiPriority w:val="99"/>
    <w:semiHidden/>
    <w:unhideWhenUsed/>
    <w:rsid w:val="00EF4841"/>
    <w:rPr>
      <w:sz w:val="20"/>
    </w:rPr>
  </w:style>
  <w:style w:type="character" w:customStyle="1" w:styleId="CommentTextChar">
    <w:name w:val="Comment Text Char"/>
    <w:basedOn w:val="DefaultParagraphFont"/>
    <w:link w:val="CommentText"/>
    <w:uiPriority w:val="99"/>
    <w:semiHidden/>
    <w:rsid w:val="00EF484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F4841"/>
    <w:rPr>
      <w:b/>
      <w:bCs/>
    </w:rPr>
  </w:style>
  <w:style w:type="character" w:customStyle="1" w:styleId="CommentSubjectChar">
    <w:name w:val="Comment Subject Char"/>
    <w:basedOn w:val="CommentTextChar"/>
    <w:link w:val="CommentSubject"/>
    <w:uiPriority w:val="99"/>
    <w:semiHidden/>
    <w:rsid w:val="00EF4841"/>
    <w:rPr>
      <w:rFonts w:ascii="Times New Roman" w:eastAsia="Times New Roman" w:hAnsi="Times New Roman" w:cs="Times New Roman"/>
      <w:b/>
      <w:bCs/>
      <w:sz w:val="20"/>
      <w:szCs w:val="20"/>
      <w:lang w:val="en-US"/>
    </w:rPr>
  </w:style>
  <w:style w:type="character" w:styleId="Emphasis">
    <w:name w:val="Emphasis"/>
    <w:basedOn w:val="DefaultParagraphFont"/>
    <w:uiPriority w:val="20"/>
    <w:qFormat/>
    <w:rsid w:val="005E30C0"/>
    <w:rPr>
      <w:rFonts w:ascii="Segoe UI Semilight" w:hAnsi="Segoe UI Semilight"/>
      <w:i/>
      <w:iCs/>
    </w:rPr>
  </w:style>
  <w:style w:type="paragraph" w:styleId="Caption">
    <w:name w:val="caption"/>
    <w:basedOn w:val="Normal"/>
    <w:next w:val="Normal"/>
    <w:uiPriority w:val="35"/>
    <w:unhideWhenUsed/>
    <w:qFormat/>
    <w:rsid w:val="003C62D6"/>
    <w:pPr>
      <w:spacing w:after="200"/>
    </w:pPr>
    <w:rPr>
      <w:i/>
      <w:iCs/>
      <w:color w:val="54575A" w:themeColor="text2"/>
      <w:sz w:val="18"/>
      <w:szCs w:val="18"/>
    </w:rPr>
  </w:style>
  <w:style w:type="paragraph" w:styleId="PlainText">
    <w:name w:val="Plain Text"/>
    <w:basedOn w:val="Normal"/>
    <w:link w:val="PlainTextChar"/>
    <w:uiPriority w:val="99"/>
    <w:semiHidden/>
    <w:unhideWhenUsed/>
    <w:rsid w:val="0009543E"/>
    <w:rPr>
      <w:rFonts w:ascii="Calibri" w:eastAsiaTheme="minorHAnsi" w:hAnsi="Calibri" w:cs="Calibri"/>
      <w:sz w:val="22"/>
      <w:szCs w:val="22"/>
      <w:lang w:val="fr-CA"/>
    </w:rPr>
  </w:style>
  <w:style w:type="character" w:customStyle="1" w:styleId="PlainTextChar">
    <w:name w:val="Plain Text Char"/>
    <w:basedOn w:val="DefaultParagraphFont"/>
    <w:link w:val="PlainText"/>
    <w:uiPriority w:val="99"/>
    <w:semiHidden/>
    <w:rsid w:val="0009543E"/>
    <w:rPr>
      <w:rFonts w:ascii="Calibri" w:hAnsi="Calibri" w:cs="Calibri"/>
      <w:lang w:val="fr-CA"/>
    </w:rPr>
  </w:style>
  <w:style w:type="table" w:customStyle="1" w:styleId="TableGrid1">
    <w:name w:val="Table Grid1"/>
    <w:basedOn w:val="TableNormal"/>
    <w:next w:val="TableGrid"/>
    <w:uiPriority w:val="39"/>
    <w:rsid w:val="007E2A7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347512"/>
    <w:rPr>
      <w:rFonts w:ascii="Arial" w:hAnsi="Arial"/>
      <w:color w:val="auto"/>
      <w:sz w:val="22"/>
    </w:rPr>
  </w:style>
  <w:style w:type="character" w:styleId="UnresolvedMention">
    <w:name w:val="Unresolved Mention"/>
    <w:basedOn w:val="DefaultParagraphFont"/>
    <w:uiPriority w:val="99"/>
    <w:semiHidden/>
    <w:unhideWhenUsed/>
    <w:rsid w:val="008E3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929">
      <w:bodyDiv w:val="1"/>
      <w:marLeft w:val="0"/>
      <w:marRight w:val="0"/>
      <w:marTop w:val="0"/>
      <w:marBottom w:val="0"/>
      <w:divBdr>
        <w:top w:val="none" w:sz="0" w:space="0" w:color="auto"/>
        <w:left w:val="none" w:sz="0" w:space="0" w:color="auto"/>
        <w:bottom w:val="none" w:sz="0" w:space="0" w:color="auto"/>
        <w:right w:val="none" w:sz="0" w:space="0" w:color="auto"/>
      </w:divBdr>
    </w:div>
    <w:div w:id="107431776">
      <w:bodyDiv w:val="1"/>
      <w:marLeft w:val="0"/>
      <w:marRight w:val="0"/>
      <w:marTop w:val="0"/>
      <w:marBottom w:val="0"/>
      <w:divBdr>
        <w:top w:val="none" w:sz="0" w:space="0" w:color="auto"/>
        <w:left w:val="none" w:sz="0" w:space="0" w:color="auto"/>
        <w:bottom w:val="none" w:sz="0" w:space="0" w:color="auto"/>
        <w:right w:val="none" w:sz="0" w:space="0" w:color="auto"/>
      </w:divBdr>
    </w:div>
    <w:div w:id="160850323">
      <w:bodyDiv w:val="1"/>
      <w:marLeft w:val="0"/>
      <w:marRight w:val="0"/>
      <w:marTop w:val="0"/>
      <w:marBottom w:val="0"/>
      <w:divBdr>
        <w:top w:val="none" w:sz="0" w:space="0" w:color="auto"/>
        <w:left w:val="none" w:sz="0" w:space="0" w:color="auto"/>
        <w:bottom w:val="none" w:sz="0" w:space="0" w:color="auto"/>
        <w:right w:val="none" w:sz="0" w:space="0" w:color="auto"/>
      </w:divBdr>
    </w:div>
    <w:div w:id="247541559">
      <w:bodyDiv w:val="1"/>
      <w:marLeft w:val="0"/>
      <w:marRight w:val="0"/>
      <w:marTop w:val="0"/>
      <w:marBottom w:val="0"/>
      <w:divBdr>
        <w:top w:val="none" w:sz="0" w:space="0" w:color="auto"/>
        <w:left w:val="none" w:sz="0" w:space="0" w:color="auto"/>
        <w:bottom w:val="none" w:sz="0" w:space="0" w:color="auto"/>
        <w:right w:val="none" w:sz="0" w:space="0" w:color="auto"/>
      </w:divBdr>
    </w:div>
    <w:div w:id="650452264">
      <w:bodyDiv w:val="1"/>
      <w:marLeft w:val="0"/>
      <w:marRight w:val="0"/>
      <w:marTop w:val="0"/>
      <w:marBottom w:val="0"/>
      <w:divBdr>
        <w:top w:val="none" w:sz="0" w:space="0" w:color="auto"/>
        <w:left w:val="none" w:sz="0" w:space="0" w:color="auto"/>
        <w:bottom w:val="none" w:sz="0" w:space="0" w:color="auto"/>
        <w:right w:val="none" w:sz="0" w:space="0" w:color="auto"/>
      </w:divBdr>
    </w:div>
    <w:div w:id="778182489">
      <w:bodyDiv w:val="1"/>
      <w:marLeft w:val="0"/>
      <w:marRight w:val="0"/>
      <w:marTop w:val="0"/>
      <w:marBottom w:val="0"/>
      <w:divBdr>
        <w:top w:val="none" w:sz="0" w:space="0" w:color="auto"/>
        <w:left w:val="none" w:sz="0" w:space="0" w:color="auto"/>
        <w:bottom w:val="none" w:sz="0" w:space="0" w:color="auto"/>
        <w:right w:val="none" w:sz="0" w:space="0" w:color="auto"/>
      </w:divBdr>
    </w:div>
    <w:div w:id="802891658">
      <w:bodyDiv w:val="1"/>
      <w:marLeft w:val="0"/>
      <w:marRight w:val="0"/>
      <w:marTop w:val="0"/>
      <w:marBottom w:val="0"/>
      <w:divBdr>
        <w:top w:val="none" w:sz="0" w:space="0" w:color="auto"/>
        <w:left w:val="none" w:sz="0" w:space="0" w:color="auto"/>
        <w:bottom w:val="none" w:sz="0" w:space="0" w:color="auto"/>
        <w:right w:val="none" w:sz="0" w:space="0" w:color="auto"/>
      </w:divBdr>
    </w:div>
    <w:div w:id="1044257667">
      <w:bodyDiv w:val="1"/>
      <w:marLeft w:val="0"/>
      <w:marRight w:val="0"/>
      <w:marTop w:val="0"/>
      <w:marBottom w:val="0"/>
      <w:divBdr>
        <w:top w:val="none" w:sz="0" w:space="0" w:color="auto"/>
        <w:left w:val="none" w:sz="0" w:space="0" w:color="auto"/>
        <w:bottom w:val="none" w:sz="0" w:space="0" w:color="auto"/>
        <w:right w:val="none" w:sz="0" w:space="0" w:color="auto"/>
      </w:divBdr>
      <w:divsChild>
        <w:div w:id="724644485">
          <w:marLeft w:val="0"/>
          <w:marRight w:val="0"/>
          <w:marTop w:val="0"/>
          <w:marBottom w:val="0"/>
          <w:divBdr>
            <w:top w:val="none" w:sz="0" w:space="0" w:color="auto"/>
            <w:left w:val="none" w:sz="0" w:space="0" w:color="auto"/>
            <w:bottom w:val="none" w:sz="0" w:space="0" w:color="auto"/>
            <w:right w:val="none" w:sz="0" w:space="0" w:color="auto"/>
          </w:divBdr>
          <w:divsChild>
            <w:div w:id="1978610256">
              <w:marLeft w:val="0"/>
              <w:marRight w:val="0"/>
              <w:marTop w:val="0"/>
              <w:marBottom w:val="0"/>
              <w:divBdr>
                <w:top w:val="none" w:sz="0" w:space="0" w:color="auto"/>
                <w:left w:val="none" w:sz="0" w:space="0" w:color="auto"/>
                <w:bottom w:val="none" w:sz="0" w:space="0" w:color="auto"/>
                <w:right w:val="none" w:sz="0" w:space="0" w:color="auto"/>
              </w:divBdr>
              <w:divsChild>
                <w:div w:id="509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757943">
      <w:bodyDiv w:val="1"/>
      <w:marLeft w:val="0"/>
      <w:marRight w:val="0"/>
      <w:marTop w:val="0"/>
      <w:marBottom w:val="0"/>
      <w:divBdr>
        <w:top w:val="none" w:sz="0" w:space="0" w:color="auto"/>
        <w:left w:val="none" w:sz="0" w:space="0" w:color="auto"/>
        <w:bottom w:val="none" w:sz="0" w:space="0" w:color="auto"/>
        <w:right w:val="none" w:sz="0" w:space="0" w:color="auto"/>
      </w:divBdr>
    </w:div>
    <w:div w:id="1278483213">
      <w:bodyDiv w:val="1"/>
      <w:marLeft w:val="0"/>
      <w:marRight w:val="0"/>
      <w:marTop w:val="0"/>
      <w:marBottom w:val="0"/>
      <w:divBdr>
        <w:top w:val="none" w:sz="0" w:space="0" w:color="auto"/>
        <w:left w:val="none" w:sz="0" w:space="0" w:color="auto"/>
        <w:bottom w:val="none" w:sz="0" w:space="0" w:color="auto"/>
        <w:right w:val="none" w:sz="0" w:space="0" w:color="auto"/>
      </w:divBdr>
    </w:div>
    <w:div w:id="1337423281">
      <w:bodyDiv w:val="1"/>
      <w:marLeft w:val="0"/>
      <w:marRight w:val="0"/>
      <w:marTop w:val="0"/>
      <w:marBottom w:val="0"/>
      <w:divBdr>
        <w:top w:val="none" w:sz="0" w:space="0" w:color="auto"/>
        <w:left w:val="none" w:sz="0" w:space="0" w:color="auto"/>
        <w:bottom w:val="none" w:sz="0" w:space="0" w:color="auto"/>
        <w:right w:val="none" w:sz="0" w:space="0" w:color="auto"/>
      </w:divBdr>
    </w:div>
    <w:div w:id="1576472770">
      <w:bodyDiv w:val="1"/>
      <w:marLeft w:val="0"/>
      <w:marRight w:val="0"/>
      <w:marTop w:val="0"/>
      <w:marBottom w:val="0"/>
      <w:divBdr>
        <w:top w:val="none" w:sz="0" w:space="0" w:color="auto"/>
        <w:left w:val="none" w:sz="0" w:space="0" w:color="auto"/>
        <w:bottom w:val="none" w:sz="0" w:space="0" w:color="auto"/>
        <w:right w:val="none" w:sz="0" w:space="0" w:color="auto"/>
      </w:divBdr>
      <w:divsChild>
        <w:div w:id="1730691799">
          <w:marLeft w:val="0"/>
          <w:marRight w:val="0"/>
          <w:marTop w:val="0"/>
          <w:marBottom w:val="0"/>
          <w:divBdr>
            <w:top w:val="none" w:sz="0" w:space="0" w:color="auto"/>
            <w:left w:val="none" w:sz="0" w:space="0" w:color="auto"/>
            <w:bottom w:val="none" w:sz="0" w:space="0" w:color="auto"/>
            <w:right w:val="none" w:sz="0" w:space="0" w:color="auto"/>
          </w:divBdr>
          <w:divsChild>
            <w:div w:id="11615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4005">
      <w:bodyDiv w:val="1"/>
      <w:marLeft w:val="0"/>
      <w:marRight w:val="0"/>
      <w:marTop w:val="0"/>
      <w:marBottom w:val="0"/>
      <w:divBdr>
        <w:top w:val="none" w:sz="0" w:space="0" w:color="auto"/>
        <w:left w:val="none" w:sz="0" w:space="0" w:color="auto"/>
        <w:bottom w:val="none" w:sz="0" w:space="0" w:color="auto"/>
        <w:right w:val="none" w:sz="0" w:space="0" w:color="auto"/>
      </w:divBdr>
    </w:div>
    <w:div w:id="1612320881">
      <w:bodyDiv w:val="1"/>
      <w:marLeft w:val="0"/>
      <w:marRight w:val="0"/>
      <w:marTop w:val="0"/>
      <w:marBottom w:val="0"/>
      <w:divBdr>
        <w:top w:val="none" w:sz="0" w:space="0" w:color="auto"/>
        <w:left w:val="none" w:sz="0" w:space="0" w:color="auto"/>
        <w:bottom w:val="none" w:sz="0" w:space="0" w:color="auto"/>
        <w:right w:val="none" w:sz="0" w:space="0" w:color="auto"/>
      </w:divBdr>
    </w:div>
    <w:div w:id="1646355730">
      <w:bodyDiv w:val="1"/>
      <w:marLeft w:val="0"/>
      <w:marRight w:val="0"/>
      <w:marTop w:val="0"/>
      <w:marBottom w:val="0"/>
      <w:divBdr>
        <w:top w:val="none" w:sz="0" w:space="0" w:color="auto"/>
        <w:left w:val="none" w:sz="0" w:space="0" w:color="auto"/>
        <w:bottom w:val="none" w:sz="0" w:space="0" w:color="auto"/>
        <w:right w:val="none" w:sz="0" w:space="0" w:color="auto"/>
      </w:divBdr>
    </w:div>
    <w:div w:id="1700428501">
      <w:bodyDiv w:val="1"/>
      <w:marLeft w:val="0"/>
      <w:marRight w:val="0"/>
      <w:marTop w:val="0"/>
      <w:marBottom w:val="0"/>
      <w:divBdr>
        <w:top w:val="none" w:sz="0" w:space="0" w:color="auto"/>
        <w:left w:val="none" w:sz="0" w:space="0" w:color="auto"/>
        <w:bottom w:val="none" w:sz="0" w:space="0" w:color="auto"/>
        <w:right w:val="none" w:sz="0" w:space="0" w:color="auto"/>
      </w:divBdr>
    </w:div>
    <w:div w:id="1855268522">
      <w:bodyDiv w:val="1"/>
      <w:marLeft w:val="0"/>
      <w:marRight w:val="0"/>
      <w:marTop w:val="0"/>
      <w:marBottom w:val="0"/>
      <w:divBdr>
        <w:top w:val="none" w:sz="0" w:space="0" w:color="auto"/>
        <w:left w:val="none" w:sz="0" w:space="0" w:color="auto"/>
        <w:bottom w:val="none" w:sz="0" w:space="0" w:color="auto"/>
        <w:right w:val="none" w:sz="0" w:space="0" w:color="auto"/>
      </w:divBdr>
    </w:div>
    <w:div w:id="1941326727">
      <w:bodyDiv w:val="1"/>
      <w:marLeft w:val="0"/>
      <w:marRight w:val="0"/>
      <w:marTop w:val="0"/>
      <w:marBottom w:val="0"/>
      <w:divBdr>
        <w:top w:val="none" w:sz="0" w:space="0" w:color="auto"/>
        <w:left w:val="none" w:sz="0" w:space="0" w:color="auto"/>
        <w:bottom w:val="none" w:sz="0" w:space="0" w:color="auto"/>
        <w:right w:val="none" w:sz="0" w:space="0" w:color="auto"/>
      </w:divBdr>
      <w:divsChild>
        <w:div w:id="570241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public-service-commission/jobs/services/gc-jobs/indigenous-recruitment-information-hiring-managers.html" TargetMode="External"/><Relationship Id="rId18" Type="http://schemas.openxmlformats.org/officeDocument/2006/relationships/footer" Target="footer4.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anada.ca/en/public-service-commission/services/staffing-assessment-tools-resources/human-resources-specialists-hiring-managers/recruitment-options-managers/student-recruitment/federal-student-work-experience-program.html" TargetMode="External"/><Relationship Id="rId17" Type="http://schemas.openxmlformats.org/officeDocument/2006/relationships/header" Target="header3.xml"/><Relationship Id="rId25" Type="http://schemas.openxmlformats.org/officeDocument/2006/relationships/chart" Target="charts/chart8.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p.diversitedetalent-talentdiversity.psc@canada.ca" TargetMode="External"/><Relationship Id="rId24" Type="http://schemas.openxmlformats.org/officeDocument/2006/relationships/chart" Target="charts/chart7.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hart" Target="charts/chart6.xml"/><Relationship Id="rId28" Type="http://schemas.openxmlformats.org/officeDocument/2006/relationships/chart" Target="charts/chart11.xml"/><Relationship Id="rId10" Type="http://schemas.openxmlformats.org/officeDocument/2006/relationships/footer" Target="footer2.xml"/><Relationship Id="rId19" Type="http://schemas.openxmlformats.org/officeDocument/2006/relationships/chart" Target="charts/chart2.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Letterhead-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5" Type="http://schemas.openxmlformats.org/officeDocument/2006/relationships/chartUserShapes" Target="../drawings/drawing6.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5" Type="http://schemas.openxmlformats.org/officeDocument/2006/relationships/chartUserShapes" Target="../drawings/drawing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5" Type="http://schemas.openxmlformats.org/officeDocument/2006/relationships/chartUserShapes" Target="../drawings/drawing8.xml"/><Relationship Id="rId4"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4.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5.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Population by tenure as of March 31, 2020</a:t>
            </a:r>
          </a:p>
        </c:rich>
      </c:tx>
      <c:layout>
        <c:manualLayout>
          <c:xMode val="edge"/>
          <c:yMode val="edge"/>
          <c:x val="0.25903874157382945"/>
          <c:y val="2.4994792751510102E-2"/>
        </c:manualLayout>
      </c:layout>
      <c:overlay val="1"/>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820766455443832"/>
          <c:y val="0.11428571428571428"/>
          <c:w val="0.85790458031932704"/>
          <c:h val="0.63086532365272519"/>
        </c:manualLayout>
      </c:layout>
      <c:barChart>
        <c:barDir val="col"/>
        <c:grouping val="stacked"/>
        <c:varyColors val="0"/>
        <c:ser>
          <c:idx val="0"/>
          <c:order val="0"/>
          <c:tx>
            <c:strRef>
              <c:f>Sheet1!$B$1</c:f>
              <c:strCache>
                <c:ptCount val="1"/>
                <c:pt idx="0">
                  <c:v> Indeterminate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(N=405) </c:v>
                </c:pt>
                <c:pt idx="1">
                  <c:v> 2016 
(N=400)</c:v>
                </c:pt>
                <c:pt idx="2">
                  <c:v> 2017 
(N=436) </c:v>
                </c:pt>
                <c:pt idx="3">
                  <c:v> 2018 
(N=428) </c:v>
                </c:pt>
                <c:pt idx="4">
                  <c:v> 2019
(N=428) </c:v>
                </c:pt>
                <c:pt idx="5">
                  <c:v> 2020
(N=429) </c:v>
                </c:pt>
              </c:strCache>
            </c:strRef>
          </c:cat>
          <c:val>
            <c:numRef>
              <c:f>Sheet1!$B$2:$B$7</c:f>
              <c:numCache>
                <c:formatCode>#\ ###</c:formatCode>
                <c:ptCount val="6"/>
                <c:pt idx="0">
                  <c:v>379</c:v>
                </c:pt>
                <c:pt idx="1">
                  <c:v>378</c:v>
                </c:pt>
                <c:pt idx="2">
                  <c:v>397</c:v>
                </c:pt>
                <c:pt idx="3">
                  <c:v>389</c:v>
                </c:pt>
                <c:pt idx="4">
                  <c:v>400</c:v>
                </c:pt>
                <c:pt idx="5">
                  <c:v>403</c:v>
                </c:pt>
              </c:numCache>
            </c:numRef>
          </c:val>
          <c:extLst>
            <c:ext xmlns:c16="http://schemas.microsoft.com/office/drawing/2014/chart" uri="{C3380CC4-5D6E-409C-BE32-E72D297353CC}">
              <c16:uniqueId val="{00000000-A7BB-4EC2-B2FC-2D9848A1C85E}"/>
            </c:ext>
          </c:extLst>
        </c:ser>
        <c:ser>
          <c:idx val="1"/>
          <c:order val="1"/>
          <c:tx>
            <c:strRef>
              <c:f>Sheet1!$C$1</c:f>
              <c:strCache>
                <c:ptCount val="1"/>
                <c:pt idx="0">
                  <c:v> Term </c:v>
                </c:pt>
              </c:strCache>
            </c:strRef>
          </c:tx>
          <c:spPr>
            <a:solidFill>
              <a:schemeClr val="accent2"/>
            </a:solidFill>
            <a:ln>
              <a:noFill/>
            </a:ln>
            <a:effectLst/>
          </c:spPr>
          <c:invertIfNegative val="0"/>
          <c:dLbls>
            <c:dLbl>
              <c:idx val="0"/>
              <c:layout>
                <c:manualLayout>
                  <c:x val="0"/>
                  <c:y val="1.558441558441558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BB-4EC2-B2FC-2D9848A1C85E}"/>
                </c:ext>
              </c:extLst>
            </c:dLbl>
            <c:dLbl>
              <c:idx val="1"/>
              <c:layout>
                <c:manualLayout>
                  <c:x val="3.0506406345332522E-3"/>
                  <c:y val="5.194805194805194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BB-4EC2-B2FC-2D9848A1C85E}"/>
                </c:ext>
              </c:extLst>
            </c:dLbl>
            <c:dLbl>
              <c:idx val="2"/>
              <c:layout>
                <c:manualLayout>
                  <c:x val="0"/>
                  <c:y val="1.558441558441553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BB-4EC2-B2FC-2D9848A1C85E}"/>
                </c:ext>
              </c:extLst>
            </c:dLbl>
            <c:dLbl>
              <c:idx val="3"/>
              <c:layout>
                <c:manualLayout>
                  <c:x val="3.0806666250306263E-3"/>
                  <c:y val="1.0389610389610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BB-4EC2-B2FC-2D9848A1C85E}"/>
                </c:ext>
              </c:extLst>
            </c:dLbl>
            <c:dLbl>
              <c:idx val="4"/>
              <c:layout>
                <c:manualLayout>
                  <c:x val="3.0806666250306263E-3"/>
                  <c:y val="-4.76184975261007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BB-4EC2-B2FC-2D9848A1C85E}"/>
                </c:ext>
              </c:extLst>
            </c:dLbl>
            <c:dLbl>
              <c:idx val="5"/>
              <c:layout>
                <c:manualLayout>
                  <c:x val="-1.1185553110157895E-16"/>
                  <c:y val="1.0389610389610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BB-4EC2-B2FC-2D9848A1C85E}"/>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(N=405) </c:v>
                </c:pt>
                <c:pt idx="1">
                  <c:v> 2016 
(N=400)</c:v>
                </c:pt>
                <c:pt idx="2">
                  <c:v> 2017 
(N=436) </c:v>
                </c:pt>
                <c:pt idx="3">
                  <c:v> 2018 
(N=428) </c:v>
                </c:pt>
                <c:pt idx="4">
                  <c:v> 2019
(N=428) </c:v>
                </c:pt>
                <c:pt idx="5">
                  <c:v> 2020
(N=429) </c:v>
                </c:pt>
              </c:strCache>
            </c:strRef>
          </c:cat>
          <c:val>
            <c:numRef>
              <c:f>Sheet1!$C$2:$C$7</c:f>
              <c:numCache>
                <c:formatCode>#\ ###</c:formatCode>
                <c:ptCount val="6"/>
                <c:pt idx="0">
                  <c:v>5</c:v>
                </c:pt>
                <c:pt idx="1">
                  <c:v>12</c:v>
                </c:pt>
                <c:pt idx="2">
                  <c:v>27</c:v>
                </c:pt>
                <c:pt idx="3">
                  <c:v>28</c:v>
                </c:pt>
                <c:pt idx="4">
                  <c:v>21</c:v>
                </c:pt>
                <c:pt idx="5">
                  <c:v>16</c:v>
                </c:pt>
              </c:numCache>
            </c:numRef>
          </c:val>
          <c:extLst>
            <c:ext xmlns:c16="http://schemas.microsoft.com/office/drawing/2014/chart" uri="{C3380CC4-5D6E-409C-BE32-E72D297353CC}">
              <c16:uniqueId val="{00000007-A7BB-4EC2-B2FC-2D9848A1C85E}"/>
            </c:ext>
          </c:extLst>
        </c:ser>
        <c:ser>
          <c:idx val="2"/>
          <c:order val="2"/>
          <c:tx>
            <c:strRef>
              <c:f>Sheet1!$D$1</c:f>
              <c:strCache>
                <c:ptCount val="1"/>
                <c:pt idx="0">
                  <c:v> Casual </c:v>
                </c:pt>
              </c:strCache>
            </c:strRef>
          </c:tx>
          <c:spPr>
            <a:solidFill>
              <a:schemeClr val="accent3"/>
            </a:solidFill>
            <a:ln>
              <a:noFill/>
            </a:ln>
            <a:effectLst/>
          </c:spPr>
          <c:invertIfNegative val="0"/>
          <c:dLbls>
            <c:dLbl>
              <c:idx val="1"/>
              <c:layout>
                <c:manualLayout>
                  <c:x val="-3.0506406345332522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7BB-4EC2-B2FC-2D9848A1C85E}"/>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(N=405) </c:v>
                </c:pt>
                <c:pt idx="1">
                  <c:v> 2016 
(N=400)</c:v>
                </c:pt>
                <c:pt idx="2">
                  <c:v> 2017 
(N=436) </c:v>
                </c:pt>
                <c:pt idx="3">
                  <c:v> 2018 
(N=428) </c:v>
                </c:pt>
                <c:pt idx="4">
                  <c:v> 2019
(N=428) </c:v>
                </c:pt>
                <c:pt idx="5">
                  <c:v> 2020
(N=429) </c:v>
                </c:pt>
              </c:strCache>
            </c:strRef>
          </c:cat>
          <c:val>
            <c:numRef>
              <c:f>Sheet1!$D$2:$D$7</c:f>
              <c:numCache>
                <c:formatCode>#\ ###</c:formatCode>
                <c:ptCount val="6"/>
                <c:pt idx="0">
                  <c:v>12</c:v>
                </c:pt>
                <c:pt idx="1">
                  <c:v>4</c:v>
                </c:pt>
                <c:pt idx="2">
                  <c:v>8</c:v>
                </c:pt>
                <c:pt idx="3">
                  <c:v>7</c:v>
                </c:pt>
                <c:pt idx="4">
                  <c:v>4</c:v>
                </c:pt>
                <c:pt idx="5">
                  <c:v>1</c:v>
                </c:pt>
              </c:numCache>
            </c:numRef>
          </c:val>
          <c:extLst>
            <c:ext xmlns:c16="http://schemas.microsoft.com/office/drawing/2014/chart" uri="{C3380CC4-5D6E-409C-BE32-E72D297353CC}">
              <c16:uniqueId val="{00000009-A7BB-4EC2-B2FC-2D9848A1C85E}"/>
            </c:ext>
          </c:extLst>
        </c:ser>
        <c:ser>
          <c:idx val="3"/>
          <c:order val="3"/>
          <c:tx>
            <c:strRef>
              <c:f>Sheet1!$E$1</c:f>
              <c:strCache>
                <c:ptCount val="1"/>
                <c:pt idx="0">
                  <c:v> Student </c:v>
                </c:pt>
              </c:strCache>
            </c:strRef>
          </c:tx>
          <c:spPr>
            <a:solidFill>
              <a:schemeClr val="accent4"/>
            </a:solidFill>
            <a:ln>
              <a:noFill/>
            </a:ln>
            <a:effectLst/>
          </c:spPr>
          <c:invertIfNegative val="0"/>
          <c:dLbls>
            <c:dLbl>
              <c:idx val="0"/>
              <c:layout>
                <c:manualLayout>
                  <c:x val="3.0506406345332522E-3"/>
                  <c:y val="-5.71428571428571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7BB-4EC2-B2FC-2D9848A1C85E}"/>
                </c:ext>
              </c:extLst>
            </c:dLbl>
            <c:dLbl>
              <c:idx val="1"/>
              <c:layout>
                <c:manualLayout>
                  <c:x val="3.0506406345332522E-3"/>
                  <c:y val="-4.675324675324675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7BB-4EC2-B2FC-2D9848A1C85E}"/>
                </c:ext>
              </c:extLst>
            </c:dLbl>
            <c:dLbl>
              <c:idx val="2"/>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7BB-4EC2-B2FC-2D9848A1C85E}"/>
                </c:ext>
              </c:extLst>
            </c:dLbl>
            <c:dLbl>
              <c:idx val="3"/>
              <c:layout>
                <c:manualLayout>
                  <c:x val="0"/>
                  <c:y val="-3.116883116883119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7BB-4EC2-B2FC-2D9848A1C85E}"/>
                </c:ext>
              </c:extLst>
            </c:dLbl>
            <c:dLbl>
              <c:idx val="4"/>
              <c:layout>
                <c:manualLayout>
                  <c:x val="0"/>
                  <c:y val="-3.116883116883119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7BB-4EC2-B2FC-2D9848A1C85E}"/>
                </c:ext>
              </c:extLst>
            </c:dLbl>
            <c:dLbl>
              <c:idx val="5"/>
              <c:layout>
                <c:manualLayout>
                  <c:x val="0"/>
                  <c:y val="-5.7142857142857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7BB-4EC2-B2FC-2D9848A1C85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2015 
(N=405) </c:v>
                </c:pt>
                <c:pt idx="1">
                  <c:v> 2016 
(N=400)</c:v>
                </c:pt>
                <c:pt idx="2">
                  <c:v> 2017 
(N=436) </c:v>
                </c:pt>
                <c:pt idx="3">
                  <c:v> 2018 
(N=428) </c:v>
                </c:pt>
                <c:pt idx="4">
                  <c:v> 2019
(N=428) </c:v>
                </c:pt>
                <c:pt idx="5">
                  <c:v> 2020
(N=429) </c:v>
                </c:pt>
              </c:strCache>
            </c:strRef>
          </c:cat>
          <c:val>
            <c:numRef>
              <c:f>Sheet1!$E$2:$E$7</c:f>
              <c:numCache>
                <c:formatCode>#\ ###</c:formatCode>
                <c:ptCount val="6"/>
                <c:pt idx="0">
                  <c:v>9</c:v>
                </c:pt>
                <c:pt idx="1">
                  <c:v>6</c:v>
                </c:pt>
                <c:pt idx="2">
                  <c:v>4</c:v>
                </c:pt>
                <c:pt idx="3">
                  <c:v>4</c:v>
                </c:pt>
                <c:pt idx="4">
                  <c:v>3</c:v>
                </c:pt>
                <c:pt idx="5">
                  <c:v>9</c:v>
                </c:pt>
              </c:numCache>
            </c:numRef>
          </c:val>
          <c:extLst>
            <c:ext xmlns:c16="http://schemas.microsoft.com/office/drawing/2014/chart" uri="{C3380CC4-5D6E-409C-BE32-E72D297353CC}">
              <c16:uniqueId val="{00000010-A7BB-4EC2-B2FC-2D9848A1C85E}"/>
            </c:ext>
          </c:extLst>
        </c:ser>
        <c:dLbls>
          <c:dLblPos val="ctr"/>
          <c:showLegendKey val="0"/>
          <c:showVal val="1"/>
          <c:showCatName val="0"/>
          <c:showSerName val="0"/>
          <c:showPercent val="0"/>
          <c:showBubbleSize val="0"/>
        </c:dLbls>
        <c:gapWidth val="150"/>
        <c:overlap val="100"/>
        <c:axId val="403779416"/>
        <c:axId val="592135328"/>
      </c:barChart>
      <c:catAx>
        <c:axId val="403779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92135328"/>
        <c:crosses val="autoZero"/>
        <c:auto val="1"/>
        <c:lblAlgn val="ctr"/>
        <c:lblOffset val="100"/>
        <c:noMultiLvlLbl val="0"/>
      </c:catAx>
      <c:valAx>
        <c:axId val="59213532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03779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t>Student program hires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88966676906661"/>
          <c:y val="0.12358035061426992"/>
          <c:w val="0.81893579524325377"/>
          <c:h val="0.59127513128395404"/>
        </c:manualLayout>
      </c:layout>
      <c:barChart>
        <c:barDir val="col"/>
        <c:grouping val="stacked"/>
        <c:varyColors val="0"/>
        <c:ser>
          <c:idx val="0"/>
          <c:order val="0"/>
          <c:tx>
            <c:strRef>
              <c:f>Sheet1!$B$1</c:f>
              <c:strCache>
                <c:ptCount val="1"/>
                <c:pt idx="0">
                  <c:v>Federal Student Work Experience Program (FSWEP)</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(N=14)</c:v>
                </c:pt>
                <c:pt idx="1">
                  <c:v>2016-17
 (N=9)</c:v>
                </c:pt>
                <c:pt idx="2">
                  <c:v>2017-18
 (N=9)</c:v>
                </c:pt>
                <c:pt idx="3">
                  <c:v>2018-19
 (N=11)</c:v>
                </c:pt>
                <c:pt idx="4">
                  <c:v>2019-20
 (N=20)</c:v>
                </c:pt>
              </c:strCache>
            </c:strRef>
          </c:cat>
          <c:val>
            <c:numRef>
              <c:f>Sheet1!$B$2:$B$6</c:f>
              <c:numCache>
                <c:formatCode>General</c:formatCode>
                <c:ptCount val="5"/>
                <c:pt idx="0">
                  <c:v>1</c:v>
                </c:pt>
                <c:pt idx="1">
                  <c:v>1</c:v>
                </c:pt>
                <c:pt idx="2">
                  <c:v>4</c:v>
                </c:pt>
                <c:pt idx="3">
                  <c:v>6</c:v>
                </c:pt>
                <c:pt idx="4">
                  <c:v>10</c:v>
                </c:pt>
              </c:numCache>
            </c:numRef>
          </c:val>
          <c:extLst>
            <c:ext xmlns:c16="http://schemas.microsoft.com/office/drawing/2014/chart" uri="{C3380CC4-5D6E-409C-BE32-E72D297353CC}">
              <c16:uniqueId val="{00000000-48EC-4196-9A1F-00ED81433897}"/>
            </c:ext>
          </c:extLst>
        </c:ser>
        <c:ser>
          <c:idx val="1"/>
          <c:order val="1"/>
          <c:tx>
            <c:strRef>
              <c:f>Sheet1!$C$1</c:f>
              <c:strCache>
                <c:ptCount val="1"/>
                <c:pt idx="0">
                  <c:v>Post-Secondary CO-OP/Internship Program (COOP)</c:v>
                </c:pt>
              </c:strCache>
            </c:strRef>
          </c:tx>
          <c:spPr>
            <a:solidFill>
              <a:schemeClr val="accent2"/>
            </a:solidFill>
            <a:ln>
              <a:noFill/>
            </a:ln>
            <a:effectLst/>
          </c:spPr>
          <c:invertIfNegative val="0"/>
          <c:dLbls>
            <c:dLbl>
              <c:idx val="0"/>
              <c:layout>
                <c:manualLayout>
                  <c:x val="0"/>
                  <c:y val="-2.68610897927858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EC-4196-9A1F-00ED81433897}"/>
                </c:ext>
              </c:extLst>
            </c:dLbl>
            <c:dLbl>
              <c:idx val="1"/>
              <c:layout>
                <c:manualLayout>
                  <c:x val="-7.5290026889317413E-17"/>
                  <c:y val="-3.837298541826557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EC-4196-9A1F-00ED81433897}"/>
                </c:ext>
              </c:extLst>
            </c:dLbl>
            <c:dLbl>
              <c:idx val="2"/>
              <c:layout>
                <c:manualLayout>
                  <c:x val="4.1067761806981521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EC-4196-9A1F-00ED81433897}"/>
                </c:ext>
              </c:extLst>
            </c:dLbl>
            <c:dLbl>
              <c:idx val="3"/>
              <c:layout>
                <c:manualLayout>
                  <c:x val="-1.5058005377863483E-16"/>
                  <c:y val="-3.837298541826624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EC-4196-9A1F-00ED81433897}"/>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(N=14)</c:v>
                </c:pt>
                <c:pt idx="1">
                  <c:v>2016-17
 (N=9)</c:v>
                </c:pt>
                <c:pt idx="2">
                  <c:v>2017-18
 (N=9)</c:v>
                </c:pt>
                <c:pt idx="3">
                  <c:v>2018-19
 (N=11)</c:v>
                </c:pt>
                <c:pt idx="4">
                  <c:v>2019-20
 (N=20)</c:v>
                </c:pt>
              </c:strCache>
            </c:strRef>
          </c:cat>
          <c:val>
            <c:numRef>
              <c:f>Sheet1!$C$2:$C$6</c:f>
              <c:numCache>
                <c:formatCode>General</c:formatCode>
                <c:ptCount val="5"/>
                <c:pt idx="0">
                  <c:v>13</c:v>
                </c:pt>
                <c:pt idx="1">
                  <c:v>8</c:v>
                </c:pt>
                <c:pt idx="2">
                  <c:v>5</c:v>
                </c:pt>
                <c:pt idx="3">
                  <c:v>5</c:v>
                </c:pt>
                <c:pt idx="4">
                  <c:v>10</c:v>
                </c:pt>
              </c:numCache>
            </c:numRef>
          </c:val>
          <c:extLst>
            <c:ext xmlns:c16="http://schemas.microsoft.com/office/drawing/2014/chart" uri="{C3380CC4-5D6E-409C-BE32-E72D297353CC}">
              <c16:uniqueId val="{00000005-48EC-4196-9A1F-00ED81433897}"/>
            </c:ext>
          </c:extLst>
        </c:ser>
        <c:dLbls>
          <c:dLblPos val="ctr"/>
          <c:showLegendKey val="0"/>
          <c:showVal val="1"/>
          <c:showCatName val="0"/>
          <c:showSerName val="0"/>
          <c:showPercent val="0"/>
          <c:showBubbleSize val="0"/>
        </c:dLbls>
        <c:gapWidth val="150"/>
        <c:overlap val="100"/>
        <c:axId val="704868888"/>
        <c:axId val="704864968"/>
      </c:barChart>
      <c:catAx>
        <c:axId val="704868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4864968"/>
        <c:crosses val="autoZero"/>
        <c:auto val="1"/>
        <c:lblAlgn val="ctr"/>
        <c:lblOffset val="100"/>
        <c:noMultiLvlLbl val="0"/>
      </c:catAx>
      <c:valAx>
        <c:axId val="7048649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4868888"/>
        <c:crosses val="autoZero"/>
        <c:crossBetween val="between"/>
      </c:valAx>
      <c:spPr>
        <a:noFill/>
        <a:ln>
          <a:noFill/>
        </a:ln>
        <a:effectLst/>
      </c:spPr>
    </c:plotArea>
    <c:legend>
      <c:legendPos val="b"/>
      <c:layout>
        <c:manualLayout>
          <c:xMode val="edge"/>
          <c:yMode val="edge"/>
          <c:x val="1.8249607916053616E-2"/>
          <c:y val="0.84986433487832436"/>
          <c:w val="0.93475302753480249"/>
          <c:h val="0.1462983665798490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CA" sz="1200">
                <a:solidFill>
                  <a:sysClr val="windowText" lastClr="000000"/>
                </a:solidFill>
              </a:rPr>
              <a:t>External indeterminate and term hiring activities: Post-Secondary Recruitment Program and former student hires</a:t>
            </a:r>
          </a:p>
        </c:rich>
      </c:tx>
      <c:layout>
        <c:manualLayout>
          <c:xMode val="edge"/>
          <c:yMode val="edge"/>
          <c:x val="0.11946037099494097"/>
          <c:y val="3.3326390335346803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2825822904140041"/>
        </c:manualLayout>
      </c:layout>
      <c:bar3DChart>
        <c:barDir val="col"/>
        <c:grouping val="clustered"/>
        <c:varyColors val="0"/>
        <c:ser>
          <c:idx val="0"/>
          <c:order val="0"/>
          <c:tx>
            <c:strRef>
              <c:f>Sheet1!$B$1</c:f>
              <c:strCache>
                <c:ptCount val="1"/>
                <c:pt idx="0">
                  <c:v>Post-secondary Recruitment (PSR)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c:v>
                </c:pt>
                <c:pt idx="1">
                  <c:v>2016-17</c:v>
                </c:pt>
                <c:pt idx="2">
                  <c:v>2017-18</c:v>
                </c:pt>
                <c:pt idx="3">
                  <c:v>2018-19</c:v>
                </c:pt>
                <c:pt idx="4">
                  <c:v>2019-20</c:v>
                </c:pt>
              </c:strCache>
            </c:strRef>
          </c:cat>
          <c:val>
            <c:numRef>
              <c:f>Sheet1!$B$2:$B$6</c:f>
              <c:numCache>
                <c:formatCode>General</c:formatCode>
                <c:ptCount val="5"/>
                <c:pt idx="3" formatCode="_-* #,##0_-;\-* #,##0_-;_-* &quot;-&quot;??_-;_-@_-">
                  <c:v>1</c:v>
                </c:pt>
              </c:numCache>
            </c:numRef>
          </c:val>
          <c:extLst>
            <c:ext xmlns:c16="http://schemas.microsoft.com/office/drawing/2014/chart" uri="{C3380CC4-5D6E-409C-BE32-E72D297353CC}">
              <c16:uniqueId val="{00000000-7497-432C-A76A-C45F8A44DC5F}"/>
            </c:ext>
          </c:extLst>
        </c:ser>
        <c:ser>
          <c:idx val="1"/>
          <c:order val="1"/>
          <c:tx>
            <c:strRef>
              <c:f>Sheet1!$C$1</c:f>
              <c:strCache>
                <c:ptCount val="1"/>
                <c:pt idx="0">
                  <c:v>Former student hires*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c:v>
                </c:pt>
                <c:pt idx="1">
                  <c:v>2016-17</c:v>
                </c:pt>
                <c:pt idx="2">
                  <c:v>2017-18</c:v>
                </c:pt>
                <c:pt idx="3">
                  <c:v>2018-19</c:v>
                </c:pt>
                <c:pt idx="4">
                  <c:v>2019-20</c:v>
                </c:pt>
              </c:strCache>
            </c:strRef>
          </c:cat>
          <c:val>
            <c:numRef>
              <c:f>Sheet1!$C$2:$C$6</c:f>
              <c:numCache>
                <c:formatCode>_-* #,##0_-;\-* #,##0_-;_-* "-"??_-;_-@_-</c:formatCode>
                <c:ptCount val="5"/>
                <c:pt idx="0">
                  <c:v>4</c:v>
                </c:pt>
                <c:pt idx="1">
                  <c:v>7</c:v>
                </c:pt>
                <c:pt idx="2">
                  <c:v>2</c:v>
                </c:pt>
                <c:pt idx="3">
                  <c:v>4</c:v>
                </c:pt>
                <c:pt idx="4">
                  <c:v>10</c:v>
                </c:pt>
              </c:numCache>
            </c:numRef>
          </c:val>
          <c:extLst>
            <c:ext xmlns:c16="http://schemas.microsoft.com/office/drawing/2014/chart" uri="{C3380CC4-5D6E-409C-BE32-E72D297353CC}">
              <c16:uniqueId val="{00000001-7497-432C-A76A-C45F8A44DC5F}"/>
            </c:ext>
          </c:extLst>
        </c:ser>
        <c:dLbls>
          <c:showLegendKey val="0"/>
          <c:showVal val="1"/>
          <c:showCatName val="0"/>
          <c:showSerName val="0"/>
          <c:showPercent val="0"/>
          <c:showBubbleSize val="0"/>
        </c:dLbls>
        <c:gapWidth val="150"/>
        <c:shape val="box"/>
        <c:axId val="704863008"/>
        <c:axId val="704863400"/>
        <c:axId val="0"/>
      </c:bar3DChart>
      <c:catAx>
        <c:axId val="7048630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4863400"/>
        <c:crosses val="autoZero"/>
        <c:auto val="1"/>
        <c:lblAlgn val="ctr"/>
        <c:lblOffset val="100"/>
        <c:noMultiLvlLbl val="0"/>
      </c:catAx>
      <c:valAx>
        <c:axId val="70486340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4863008"/>
        <c:crosses val="autoZero"/>
        <c:crossBetween val="between"/>
        <c:majorUnit val="2"/>
      </c:valAx>
      <c:spPr>
        <a:noFill/>
        <a:ln>
          <a:noFill/>
        </a:ln>
        <a:effectLst/>
      </c:spPr>
    </c:plotArea>
    <c:legend>
      <c:legendPos val="r"/>
      <c:layout>
        <c:manualLayout>
          <c:xMode val="edge"/>
          <c:yMode val="edge"/>
          <c:x val="2.8456707535513492E-2"/>
          <c:y val="0.7903145980505315"/>
          <c:w val="0.94572119989179626"/>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userShapes r:id="rId5"/>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Internal time to staff</a:t>
            </a:r>
          </a:p>
          <a:p>
            <a:pPr>
              <a:defRPr sz="1200"/>
            </a:pPr>
            <a:r>
              <a:rPr lang="en-CA" sz="1200"/>
              <a:t>Public service median = 175 days</a:t>
            </a:r>
          </a:p>
          <a:p>
            <a:pPr>
              <a:defRPr sz="1200"/>
            </a:pPr>
            <a:r>
              <a:rPr lang="en-CA" sz="1200"/>
              <a:t> 2019-2020</a:t>
            </a:r>
          </a:p>
        </c:rich>
      </c:tx>
      <c:layout>
        <c:manualLayout>
          <c:xMode val="edge"/>
          <c:yMode val="edge"/>
          <c:x val="0.30646464646464644"/>
          <c:y val="3.618259057823957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13</c:v>
                </c:pt>
                <c:pt idx="2">
                  <c:v>106</c:v>
                </c:pt>
                <c:pt idx="3">
                  <c:v>256</c:v>
                </c:pt>
                <c:pt idx="4">
                  <c:v>331</c:v>
                </c:pt>
                <c:pt idx="5">
                  <c:v>313</c:v>
                </c:pt>
                <c:pt idx="6">
                  <c:v>314</c:v>
                </c:pt>
                <c:pt idx="7">
                  <c:v>258</c:v>
                </c:pt>
                <c:pt idx="8">
                  <c:v>191</c:v>
                </c:pt>
                <c:pt idx="9">
                  <c:v>143</c:v>
                </c:pt>
                <c:pt idx="10">
                  <c:v>109</c:v>
                </c:pt>
                <c:pt idx="11">
                  <c:v>91</c:v>
                </c:pt>
                <c:pt idx="12">
                  <c:v>70</c:v>
                </c:pt>
                <c:pt idx="13">
                  <c:v>49</c:v>
                </c:pt>
                <c:pt idx="14">
                  <c:v>43</c:v>
                </c:pt>
                <c:pt idx="15">
                  <c:v>41</c:v>
                </c:pt>
                <c:pt idx="16">
                  <c:v>36</c:v>
                </c:pt>
                <c:pt idx="17">
                  <c:v>20</c:v>
                </c:pt>
                <c:pt idx="18">
                  <c:v>15</c:v>
                </c:pt>
                <c:pt idx="19">
                  <c:v>23</c:v>
                </c:pt>
                <c:pt idx="20">
                  <c:v>20</c:v>
                </c:pt>
                <c:pt idx="21">
                  <c:v>18</c:v>
                </c:pt>
                <c:pt idx="22">
                  <c:v>11</c:v>
                </c:pt>
                <c:pt idx="23">
                  <c:v>15</c:v>
                </c:pt>
                <c:pt idx="24">
                  <c:v>6</c:v>
                </c:pt>
                <c:pt idx="25">
                  <c:v>11</c:v>
                </c:pt>
                <c:pt idx="26">
                  <c:v>6</c:v>
                </c:pt>
                <c:pt idx="27">
                  <c:v>5</c:v>
                </c:pt>
                <c:pt idx="28">
                  <c:v>6</c:v>
                </c:pt>
                <c:pt idx="29">
                  <c:v>10</c:v>
                </c:pt>
                <c:pt idx="30">
                  <c:v>1</c:v>
                </c:pt>
                <c:pt idx="31">
                  <c:v>4</c:v>
                </c:pt>
                <c:pt idx="32">
                  <c:v>5</c:v>
                </c:pt>
                <c:pt idx="33">
                  <c:v>4</c:v>
                </c:pt>
                <c:pt idx="34">
                  <c:v>43</c:v>
                </c:pt>
              </c:numCache>
            </c:numRef>
          </c:val>
          <c:extLst>
            <c:ext xmlns:c16="http://schemas.microsoft.com/office/drawing/2014/chart" uri="{C3380CC4-5D6E-409C-BE32-E72D297353CC}">
              <c16:uniqueId val="{00000000-C06E-4837-9B0F-681ED8D221AE}"/>
            </c:ext>
          </c:extLst>
        </c:ser>
        <c:dLbls>
          <c:showLegendKey val="0"/>
          <c:showVal val="0"/>
          <c:showCatName val="0"/>
          <c:showSerName val="0"/>
          <c:showPercent val="0"/>
          <c:showBubbleSize val="0"/>
        </c:dLbls>
        <c:gapWidth val="150"/>
        <c:overlap val="100"/>
        <c:axId val="704868104"/>
        <c:axId val="416555000"/>
      </c:barChart>
      <c:catAx>
        <c:axId val="70486810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6555000"/>
        <c:crosses val="autoZero"/>
        <c:auto val="1"/>
        <c:lblAlgn val="ctr"/>
        <c:lblOffset val="100"/>
        <c:noMultiLvlLbl val="0"/>
      </c:catAx>
      <c:valAx>
        <c:axId val="416555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4868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userShapes r:id="rId5"/>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External time to staff</a:t>
            </a:r>
          </a:p>
          <a:p>
            <a:pPr>
              <a:defRPr sz="1200"/>
            </a:pPr>
            <a:r>
              <a:rPr lang="en-CA" sz="1200"/>
              <a:t>Public service median = 203 days</a:t>
            </a:r>
          </a:p>
          <a:p>
            <a:pPr>
              <a:defRPr sz="1200"/>
            </a:pPr>
            <a:r>
              <a:rPr lang="en-CA" sz="1200"/>
              <a:t> 2019-2020</a:t>
            </a:r>
          </a:p>
        </c:rich>
      </c:tx>
      <c:layout>
        <c:manualLayout>
          <c:xMode val="edge"/>
          <c:yMode val="edge"/>
          <c:x val="0.28931165126098374"/>
          <c:y val="1.278222837632910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55</c:v>
                </c:pt>
                <c:pt idx="2">
                  <c:v>75</c:v>
                </c:pt>
                <c:pt idx="3">
                  <c:v>95</c:v>
                </c:pt>
                <c:pt idx="4">
                  <c:v>108</c:v>
                </c:pt>
                <c:pt idx="5">
                  <c:v>166</c:v>
                </c:pt>
                <c:pt idx="6">
                  <c:v>164</c:v>
                </c:pt>
                <c:pt idx="7">
                  <c:v>160</c:v>
                </c:pt>
                <c:pt idx="8">
                  <c:v>133</c:v>
                </c:pt>
                <c:pt idx="9">
                  <c:v>122</c:v>
                </c:pt>
                <c:pt idx="10">
                  <c:v>101</c:v>
                </c:pt>
                <c:pt idx="11">
                  <c:v>80</c:v>
                </c:pt>
                <c:pt idx="12">
                  <c:v>61</c:v>
                </c:pt>
                <c:pt idx="13">
                  <c:v>50</c:v>
                </c:pt>
                <c:pt idx="14">
                  <c:v>45</c:v>
                </c:pt>
                <c:pt idx="15">
                  <c:v>34</c:v>
                </c:pt>
                <c:pt idx="16">
                  <c:v>34</c:v>
                </c:pt>
                <c:pt idx="17">
                  <c:v>21</c:v>
                </c:pt>
                <c:pt idx="18">
                  <c:v>16</c:v>
                </c:pt>
                <c:pt idx="19">
                  <c:v>19</c:v>
                </c:pt>
                <c:pt idx="20">
                  <c:v>13</c:v>
                </c:pt>
                <c:pt idx="21">
                  <c:v>7</c:v>
                </c:pt>
                <c:pt idx="22">
                  <c:v>7</c:v>
                </c:pt>
                <c:pt idx="23">
                  <c:v>4</c:v>
                </c:pt>
                <c:pt idx="24">
                  <c:v>11</c:v>
                </c:pt>
                <c:pt idx="25">
                  <c:v>6</c:v>
                </c:pt>
                <c:pt idx="26">
                  <c:v>2</c:v>
                </c:pt>
                <c:pt idx="27">
                  <c:v>4</c:v>
                </c:pt>
                <c:pt idx="28">
                  <c:v>4</c:v>
                </c:pt>
                <c:pt idx="29">
                  <c:v>0</c:v>
                </c:pt>
                <c:pt idx="30">
                  <c:v>1</c:v>
                </c:pt>
                <c:pt idx="31">
                  <c:v>0</c:v>
                </c:pt>
                <c:pt idx="32">
                  <c:v>0</c:v>
                </c:pt>
                <c:pt idx="33">
                  <c:v>0</c:v>
                </c:pt>
                <c:pt idx="34">
                  <c:v>0</c:v>
                </c:pt>
              </c:numCache>
            </c:numRef>
          </c:val>
          <c:extLst>
            <c:ext xmlns:c16="http://schemas.microsoft.com/office/drawing/2014/chart" uri="{C3380CC4-5D6E-409C-BE32-E72D297353CC}">
              <c16:uniqueId val="{00000000-A726-44AC-B097-536012B6C45F}"/>
            </c:ext>
          </c:extLst>
        </c:ser>
        <c:dLbls>
          <c:showLegendKey val="0"/>
          <c:showVal val="0"/>
          <c:showCatName val="0"/>
          <c:showSerName val="0"/>
          <c:showPercent val="0"/>
          <c:showBubbleSize val="0"/>
        </c:dLbls>
        <c:gapWidth val="150"/>
        <c:overlap val="100"/>
        <c:axId val="416554216"/>
        <c:axId val="416557352"/>
      </c:barChart>
      <c:catAx>
        <c:axId val="41655421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Calendar days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6557352"/>
        <c:crosses val="autoZero"/>
        <c:auto val="1"/>
        <c:lblAlgn val="ctr"/>
        <c:lblOffset val="100"/>
        <c:noMultiLvlLbl val="0"/>
      </c:catAx>
      <c:valAx>
        <c:axId val="416557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Frequency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6554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Population by language requirements as of March 31, 2020 (N=429)</a:t>
            </a:r>
          </a:p>
        </c:rich>
      </c:tx>
      <c:layout>
        <c:manualLayout>
          <c:xMode val="edge"/>
          <c:yMode val="edge"/>
          <c:x val="0.13994491885697385"/>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823059401084E-2"/>
          <c:y val="0.3488225399495374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040-4F2D-9B8A-583616BB0D85}"/>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040-4F2D-9B8A-583616BB0D85}"/>
              </c:ext>
            </c:extLst>
          </c:dPt>
          <c:dLbls>
            <c:dLbl>
              <c:idx val="0"/>
              <c:layout>
                <c:manualLayout>
                  <c:x val="4.6601941747572817E-2"/>
                  <c:y val="9.9311814698298834E-2"/>
                </c:manualLayout>
              </c:layout>
              <c:showLegendKey val="0"/>
              <c:showVal val="0"/>
              <c:showCatName val="1"/>
              <c:showSerName val="0"/>
              <c:showPercent val="1"/>
              <c:showBubbleSize val="0"/>
              <c:extLst>
                <c:ext xmlns:c15="http://schemas.microsoft.com/office/drawing/2012/chart" uri="{CE6537A1-D6FC-4f65-9D91-7224C49458BB}">
                  <c15:layout>
                    <c:manualLayout>
                      <c:w val="0.340414402425049"/>
                      <c:h val="0.18644044267606294"/>
                    </c:manualLayout>
                  </c15:layout>
                </c:ext>
                <c:ext xmlns:c16="http://schemas.microsoft.com/office/drawing/2014/chart" uri="{C3380CC4-5D6E-409C-BE32-E72D297353CC}">
                  <c16:uniqueId val="{00000001-5040-4F2D-9B8A-583616BB0D85}"/>
                </c:ext>
              </c:extLst>
            </c:dLbl>
            <c:dLbl>
              <c:idx val="1"/>
              <c:layout>
                <c:manualLayout>
                  <c:x val="-0.10873786407766997"/>
                  <c:y val="-9.3336994400200782E-2"/>
                </c:manualLayout>
              </c:layout>
              <c:showLegendKey val="0"/>
              <c:showVal val="0"/>
              <c:showCatName val="1"/>
              <c:showSerName val="0"/>
              <c:showPercent val="1"/>
              <c:showBubbleSize val="0"/>
              <c:extLst>
                <c:ext xmlns:c15="http://schemas.microsoft.com/office/drawing/2012/chart" uri="{CE6537A1-D6FC-4f65-9D91-7224C49458BB}">
                  <c15:layout>
                    <c:manualLayout>
                      <c:w val="0.38145539906103287"/>
                      <c:h val="0.18667358050298158"/>
                    </c:manualLayout>
                  </c15:layout>
                </c:ext>
                <c:ext xmlns:c16="http://schemas.microsoft.com/office/drawing/2014/chart" uri="{C3380CC4-5D6E-409C-BE32-E72D297353CC}">
                  <c16:uniqueId val="{00000003-5040-4F2D-9B8A-583616BB0D85}"/>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Bilingual </c:v>
                </c:pt>
                <c:pt idx="1">
                  <c:v>Unilingual</c:v>
                </c:pt>
              </c:strCache>
            </c:strRef>
          </c:cat>
          <c:val>
            <c:numRef>
              <c:f>Sheet1!$B$2:$B$3</c:f>
              <c:numCache>
                <c:formatCode>0</c:formatCode>
                <c:ptCount val="2"/>
                <c:pt idx="0">
                  <c:v>63</c:v>
                </c:pt>
                <c:pt idx="1">
                  <c:v>352</c:v>
                </c:pt>
              </c:numCache>
            </c:numRef>
          </c:val>
          <c:extLst>
            <c:ext xmlns:c16="http://schemas.microsoft.com/office/drawing/2014/chart" uri="{C3380CC4-5D6E-409C-BE32-E72D297353CC}">
              <c16:uniqueId val="{00000004-5040-4F2D-9B8A-583616BB0D85}"/>
            </c:ext>
          </c:extLst>
        </c:ser>
        <c:dLbls>
          <c:showLegendKey val="0"/>
          <c:showVal val="0"/>
          <c:showCatName val="0"/>
          <c:showSerName val="0"/>
          <c:showPercent val="0"/>
          <c:showBubbleSize val="0"/>
          <c:showLeaderLines val="1"/>
        </c:dLbls>
        <c:firstSliceAng val="265"/>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t>Population by occupational group as of March 31, 2020</a:t>
            </a:r>
            <a:br>
              <a:rPr lang="en-US" sz="1200" b="1"/>
            </a:br>
            <a:r>
              <a:rPr lang="en-US" sz="1200" b="1"/>
              <a:t>(N=429)</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by Occupational Group as of March 31, 2016</c:v>
                </c:pt>
              </c:strCache>
            </c:strRef>
          </c:tx>
          <c:spPr>
            <a:ln w="3175">
              <a:noFill/>
            </a:ln>
          </c:spPr>
          <c:dPt>
            <c:idx val="0"/>
            <c:bubble3D val="0"/>
            <c:spPr>
              <a:solidFill>
                <a:schemeClr val="accent2"/>
              </a:solidFill>
              <a:ln w="3175">
                <a:noFill/>
              </a:ln>
              <a:effectLst/>
            </c:spPr>
            <c:extLst>
              <c:ext xmlns:c16="http://schemas.microsoft.com/office/drawing/2014/chart" uri="{C3380CC4-5D6E-409C-BE32-E72D297353CC}">
                <c16:uniqueId val="{00000001-420F-4923-82BB-3FC5F5848F69}"/>
              </c:ext>
            </c:extLst>
          </c:dPt>
          <c:dPt>
            <c:idx val="1"/>
            <c:bubble3D val="0"/>
            <c:spPr>
              <a:solidFill>
                <a:schemeClr val="accent1"/>
              </a:solidFill>
              <a:ln w="3175">
                <a:noFill/>
              </a:ln>
              <a:effectLst/>
            </c:spPr>
            <c:extLst>
              <c:ext xmlns:c16="http://schemas.microsoft.com/office/drawing/2014/chart" uri="{C3380CC4-5D6E-409C-BE32-E72D297353CC}">
                <c16:uniqueId val="{00000003-420F-4923-82BB-3FC5F5848F69}"/>
              </c:ext>
            </c:extLst>
          </c:dPt>
          <c:dPt>
            <c:idx val="2"/>
            <c:bubble3D val="0"/>
            <c:spPr>
              <a:solidFill>
                <a:schemeClr val="bg2">
                  <a:lumMod val="75000"/>
                </a:schemeClr>
              </a:solidFill>
              <a:ln w="3175">
                <a:noFill/>
              </a:ln>
              <a:effectLst/>
            </c:spPr>
            <c:extLst>
              <c:ext xmlns:c16="http://schemas.microsoft.com/office/drawing/2014/chart" uri="{C3380CC4-5D6E-409C-BE32-E72D297353CC}">
                <c16:uniqueId val="{00000005-420F-4923-82BB-3FC5F5848F69}"/>
              </c:ext>
            </c:extLst>
          </c:dPt>
          <c:dPt>
            <c:idx val="3"/>
            <c:bubble3D val="0"/>
            <c:spPr>
              <a:solidFill>
                <a:schemeClr val="accent4"/>
              </a:solidFill>
              <a:ln w="3175">
                <a:noFill/>
              </a:ln>
              <a:effectLst/>
            </c:spPr>
            <c:extLst>
              <c:ext xmlns:c16="http://schemas.microsoft.com/office/drawing/2014/chart" uri="{C3380CC4-5D6E-409C-BE32-E72D297353CC}">
                <c16:uniqueId val="{00000007-420F-4923-82BB-3FC5F5848F69}"/>
              </c:ext>
            </c:extLst>
          </c:dPt>
          <c:dPt>
            <c:idx val="4"/>
            <c:bubble3D val="0"/>
            <c:spPr>
              <a:solidFill>
                <a:schemeClr val="accent6"/>
              </a:solidFill>
              <a:ln w="3175">
                <a:noFill/>
              </a:ln>
              <a:effectLst/>
            </c:spPr>
            <c:extLst>
              <c:ext xmlns:c16="http://schemas.microsoft.com/office/drawing/2014/chart" uri="{C3380CC4-5D6E-409C-BE32-E72D297353CC}">
                <c16:uniqueId val="{00000009-420F-4923-82BB-3FC5F5848F69}"/>
              </c:ext>
            </c:extLst>
          </c:dPt>
          <c:dLbls>
            <c:dLbl>
              <c:idx val="0"/>
              <c:layout>
                <c:manualLayout>
                  <c:x val="0.16250185707918585"/>
                  <c:y val="-0.14153047989623865"/>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420F-4923-82BB-3FC5F5848F69}"/>
                </c:ext>
              </c:extLst>
            </c:dLbl>
            <c:dLbl>
              <c:idx val="1"/>
              <c:layout>
                <c:manualLayout>
                  <c:x val="0.10220125786163523"/>
                  <c:y val="6.880766363348550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420F-4923-82BB-3FC5F5848F69}"/>
                </c:ext>
              </c:extLst>
            </c:dLbl>
            <c:dLbl>
              <c:idx val="2"/>
              <c:layout>
                <c:manualLayout>
                  <c:x val="0.17295628435596494"/>
                  <c:y val="0.1852573097623497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 xmlns:c16="http://schemas.microsoft.com/office/drawing/2014/chart" uri="{C3380CC4-5D6E-409C-BE32-E72D297353CC}">
                  <c16:uniqueId val="{00000005-420F-4923-82BB-3FC5F5848F69}"/>
                </c:ext>
              </c:extLst>
            </c:dLbl>
            <c:dLbl>
              <c:idx val="3"/>
              <c:layout>
                <c:manualLayout>
                  <c:x val="-0.11792452830188679"/>
                  <c:y val="0.1572531838189487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67173252284"/>
                      <c:h val="0.13359273670557717"/>
                    </c:manualLayout>
                  </c15:layout>
                </c:ext>
                <c:ext xmlns:c16="http://schemas.microsoft.com/office/drawing/2014/chart" uri="{C3380CC4-5D6E-409C-BE32-E72D297353CC}">
                  <c16:uniqueId val="{00000007-420F-4923-82BB-3FC5F5848F69}"/>
                </c:ext>
              </c:extLst>
            </c:dLbl>
            <c:dLbl>
              <c:idx val="4"/>
              <c:layout>
                <c:manualLayout>
                  <c:x val="-7.8616352201257858E-2"/>
                  <c:y val="2.199822298477281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886792452830188"/>
                      <c:h val="0.14396887159533073"/>
                    </c:manualLayout>
                  </c15:layout>
                </c:ext>
                <c:ext xmlns:c16="http://schemas.microsoft.com/office/drawing/2014/chart" uri="{C3380CC4-5D6E-409C-BE32-E72D297353CC}">
                  <c16:uniqueId val="{00000009-420F-4923-82BB-3FC5F5848F69}"/>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PI</c:v>
                </c:pt>
                <c:pt idx="1">
                  <c:v>EG</c:v>
                </c:pt>
                <c:pt idx="2">
                  <c:v>AS</c:v>
                </c:pt>
                <c:pt idx="3">
                  <c:v>CS</c:v>
                </c:pt>
                <c:pt idx="4">
                  <c:v>Other</c:v>
                </c:pt>
              </c:strCache>
            </c:strRef>
          </c:cat>
          <c:val>
            <c:numRef>
              <c:f>Sheet1!$B$2:$B$6</c:f>
              <c:numCache>
                <c:formatCode>General</c:formatCode>
                <c:ptCount val="5"/>
                <c:pt idx="0">
                  <c:v>144</c:v>
                </c:pt>
                <c:pt idx="1">
                  <c:v>65</c:v>
                </c:pt>
                <c:pt idx="2">
                  <c:v>40</c:v>
                </c:pt>
                <c:pt idx="3">
                  <c:v>37</c:v>
                </c:pt>
                <c:pt idx="4">
                  <c:v>134</c:v>
                </c:pt>
              </c:numCache>
            </c:numRef>
          </c:val>
          <c:extLst>
            <c:ext xmlns:c16="http://schemas.microsoft.com/office/drawing/2014/chart" uri="{C3380CC4-5D6E-409C-BE32-E72D297353CC}">
              <c16:uniqueId val="{0000000A-420F-4923-82BB-3FC5F5848F69}"/>
            </c:ext>
          </c:extLst>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Population by region as of March 31, 2020 (N=429)</a:t>
            </a:r>
          </a:p>
        </c:rich>
      </c:tx>
      <c:layout>
        <c:manualLayout>
          <c:xMode val="edge"/>
          <c:yMode val="edge"/>
          <c:x val="0.14682869843581692"/>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181-41AE-9700-7DB7B3C07243}"/>
              </c:ext>
            </c:extLst>
          </c:dPt>
          <c:dLbls>
            <c:dLbl>
              <c:idx val="0"/>
              <c:layout>
                <c:manualLayout>
                  <c:x val="-0.13102119460500966"/>
                  <c:y val="0.39408907824815897"/>
                </c:manualLayout>
              </c:layout>
              <c:showLegendKey val="0"/>
              <c:showVal val="0"/>
              <c:showCatName val="1"/>
              <c:showSerName val="0"/>
              <c:showPercent val="1"/>
              <c:showBubbleSize val="0"/>
              <c:extLst>
                <c:ext xmlns:c15="http://schemas.microsoft.com/office/drawing/2012/chart" uri="{CE6537A1-D6FC-4f65-9D91-7224C49458BB}">
                  <c15:layout>
                    <c:manualLayout>
                      <c:w val="0.39892100192678226"/>
                      <c:h val="0.18644044267606294"/>
                    </c:manualLayout>
                  </c15:layout>
                </c:ext>
                <c:ext xmlns:c16="http://schemas.microsoft.com/office/drawing/2014/chart" uri="{C3380CC4-5D6E-409C-BE32-E72D297353CC}">
                  <c16:uniqueId val="{00000001-A181-41AE-9700-7DB7B3C07243}"/>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c:f>
              <c:strCache>
                <c:ptCount val="1"/>
                <c:pt idx="0">
                  <c:v>Non-NCR</c:v>
                </c:pt>
              </c:strCache>
            </c:strRef>
          </c:cat>
          <c:val>
            <c:numRef>
              <c:f>Sheet1!$B$2</c:f>
              <c:numCache>
                <c:formatCode>0</c:formatCode>
                <c:ptCount val="1"/>
                <c:pt idx="0">
                  <c:v>428</c:v>
                </c:pt>
              </c:numCache>
            </c:numRef>
          </c:val>
          <c:extLst>
            <c:ext xmlns:c16="http://schemas.microsoft.com/office/drawing/2014/chart" uri="{C3380CC4-5D6E-409C-BE32-E72D297353CC}">
              <c16:uniqueId val="{00000002-A181-41AE-9700-7DB7B3C07243}"/>
            </c:ext>
          </c:extLst>
        </c:ser>
        <c:dLbls>
          <c:showLegendKey val="0"/>
          <c:showVal val="0"/>
          <c:showCatName val="0"/>
          <c:showSerName val="0"/>
          <c:showPercent val="0"/>
          <c:showBubbleSize val="0"/>
          <c:showLeaderLines val="1"/>
        </c:dLbls>
        <c:firstSliceAng val="18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t>External indeterminate hires by </a:t>
            </a:r>
          </a:p>
          <a:p>
            <a:pPr>
              <a:defRPr sz="1200" b="1"/>
            </a:pPr>
            <a:r>
              <a:rPr lang="en-US" sz="1200" b="1"/>
              <a:t>occupational group,</a:t>
            </a:r>
          </a:p>
          <a:p>
            <a:pPr>
              <a:defRPr sz="1200" b="1"/>
            </a:pPr>
            <a:r>
              <a:rPr lang="en-US" sz="1200" b="1"/>
              <a:t> 2019-20 (N=28)</a:t>
            </a:r>
          </a:p>
        </c:rich>
      </c:tx>
      <c:layout>
        <c:manualLayout>
          <c:xMode val="edge"/>
          <c:yMode val="edge"/>
          <c:x val="0.13704575414282322"/>
          <c:y val="5.1712217638060172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23255872682369"/>
          <c:y val="0.36927676933570858"/>
          <c:w val="0.8966533531134695"/>
          <c:h val="0.48715812098290862"/>
        </c:manualLayout>
      </c:layout>
      <c:doughnutChart>
        <c:varyColors val="1"/>
        <c:ser>
          <c:idx val="0"/>
          <c:order val="0"/>
          <c:tx>
            <c:strRef>
              <c:f>Sheet1!$B$1</c:f>
              <c:strCache>
                <c:ptCount val="1"/>
                <c:pt idx="0">
                  <c:v>Population by Language Requirements as of March 31, 2016</c:v>
                </c:pt>
              </c:strCache>
            </c:strRef>
          </c:tx>
          <c:spPr>
            <a:solidFill>
              <a:schemeClr val="accent1"/>
            </a:solidFill>
            <a:ln w="6350">
              <a:noFill/>
            </a:ln>
          </c:spPr>
          <c:dPt>
            <c:idx val="0"/>
            <c:bubble3D val="0"/>
            <c:spPr>
              <a:solidFill>
                <a:schemeClr val="accent2"/>
              </a:solidFill>
              <a:ln w="6350">
                <a:noFill/>
              </a:ln>
              <a:effectLst/>
            </c:spPr>
            <c:extLst>
              <c:ext xmlns:c16="http://schemas.microsoft.com/office/drawing/2014/chart" uri="{C3380CC4-5D6E-409C-BE32-E72D297353CC}">
                <c16:uniqueId val="{00000001-FD82-4559-BAC5-501037FA6AF6}"/>
              </c:ext>
            </c:extLst>
          </c:dPt>
          <c:dPt>
            <c:idx val="1"/>
            <c:bubble3D val="0"/>
            <c:spPr>
              <a:solidFill>
                <a:schemeClr val="accent3"/>
              </a:solidFill>
              <a:ln w="6350">
                <a:noFill/>
              </a:ln>
              <a:effectLst/>
            </c:spPr>
            <c:extLst>
              <c:ext xmlns:c16="http://schemas.microsoft.com/office/drawing/2014/chart" uri="{C3380CC4-5D6E-409C-BE32-E72D297353CC}">
                <c16:uniqueId val="{00000003-FD82-4559-BAC5-501037FA6AF6}"/>
              </c:ext>
            </c:extLst>
          </c:dPt>
          <c:dPt>
            <c:idx val="2"/>
            <c:bubble3D val="0"/>
            <c:spPr>
              <a:solidFill>
                <a:schemeClr val="accent6">
                  <a:lumMod val="60000"/>
                  <a:lumOff val="40000"/>
                </a:schemeClr>
              </a:solidFill>
              <a:ln w="6350">
                <a:noFill/>
              </a:ln>
              <a:effectLst/>
            </c:spPr>
            <c:extLst>
              <c:ext xmlns:c16="http://schemas.microsoft.com/office/drawing/2014/chart" uri="{C3380CC4-5D6E-409C-BE32-E72D297353CC}">
                <c16:uniqueId val="{00000005-FD82-4559-BAC5-501037FA6AF6}"/>
              </c:ext>
            </c:extLst>
          </c:dPt>
          <c:dPt>
            <c:idx val="3"/>
            <c:bubble3D val="0"/>
            <c:spPr>
              <a:solidFill>
                <a:schemeClr val="accent4"/>
              </a:solidFill>
              <a:ln w="6350">
                <a:noFill/>
              </a:ln>
              <a:effectLst/>
            </c:spPr>
            <c:extLst>
              <c:ext xmlns:c16="http://schemas.microsoft.com/office/drawing/2014/chart" uri="{C3380CC4-5D6E-409C-BE32-E72D297353CC}">
                <c16:uniqueId val="{00000007-FD82-4559-BAC5-501037FA6AF6}"/>
              </c:ext>
            </c:extLst>
          </c:dPt>
          <c:dPt>
            <c:idx val="4"/>
            <c:bubble3D val="0"/>
            <c:spPr>
              <a:solidFill>
                <a:schemeClr val="accent1">
                  <a:lumMod val="40000"/>
                  <a:lumOff val="60000"/>
                </a:schemeClr>
              </a:solidFill>
              <a:ln w="6350">
                <a:noFill/>
              </a:ln>
              <a:effectLst/>
            </c:spPr>
            <c:extLst>
              <c:ext xmlns:c16="http://schemas.microsoft.com/office/drawing/2014/chart" uri="{C3380CC4-5D6E-409C-BE32-E72D297353CC}">
                <c16:uniqueId val="{00000009-FD82-4559-BAC5-501037FA6AF6}"/>
              </c:ext>
            </c:extLst>
          </c:dPt>
          <c:dPt>
            <c:idx val="5"/>
            <c:bubble3D val="0"/>
            <c:spPr>
              <a:solidFill>
                <a:schemeClr val="accent6"/>
              </a:solidFill>
              <a:ln w="6350">
                <a:noFill/>
              </a:ln>
              <a:effectLst/>
            </c:spPr>
            <c:extLst>
              <c:ext xmlns:c16="http://schemas.microsoft.com/office/drawing/2014/chart" uri="{C3380CC4-5D6E-409C-BE32-E72D297353CC}">
                <c16:uniqueId val="{0000000B-FD82-4559-BAC5-501037FA6AF6}"/>
              </c:ext>
            </c:extLst>
          </c:dPt>
          <c:dLbls>
            <c:dLbl>
              <c:idx val="0"/>
              <c:layout>
                <c:manualLayout>
                  <c:x val="6.4412238325281803E-3"/>
                  <c:y val="-6.9991251093614584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D82-4559-BAC5-501037FA6AF6}"/>
                </c:ext>
              </c:extLst>
            </c:dLbl>
            <c:dLbl>
              <c:idx val="1"/>
              <c:layout>
                <c:manualLayout>
                  <c:x val="-1.288244766505639E-2"/>
                  <c:y val="-6.9991251093613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D82-4559-BAC5-501037FA6AF6}"/>
                </c:ext>
              </c:extLst>
            </c:dLbl>
            <c:dLbl>
              <c:idx val="2"/>
              <c:layout>
                <c:manualLayout>
                  <c:x val="-6.4412238325282393E-3"/>
                  <c:y val="-1.0498687664041995E-2"/>
                </c:manualLayout>
              </c:layout>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D82-4559-BAC5-501037FA6AF6}"/>
                </c:ext>
              </c:extLst>
            </c:dLbl>
            <c:dLbl>
              <c:idx val="3"/>
              <c:layout>
                <c:manualLayout>
                  <c:x val="0"/>
                  <c:y val="-6.9991251093613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D82-4559-BAC5-501037FA6AF6}"/>
                </c:ext>
              </c:extLst>
            </c:dLbl>
            <c:dLbl>
              <c:idx val="4"/>
              <c:layout>
                <c:manualLayout>
                  <c:x val="1.932367149758454E-2"/>
                  <c:y val="-1.049868766404202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D82-4559-BAC5-501037FA6AF6}"/>
                </c:ext>
              </c:extLst>
            </c:dLbl>
            <c:dLbl>
              <c:idx val="5"/>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B-FD82-4559-BAC5-501037FA6AF6}"/>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PI</c:v>
                </c:pt>
                <c:pt idx="1">
                  <c:v>AS</c:v>
                </c:pt>
                <c:pt idx="2">
                  <c:v>AU</c:v>
                </c:pt>
                <c:pt idx="3">
                  <c:v>CS</c:v>
                </c:pt>
                <c:pt idx="4">
                  <c:v>FI</c:v>
                </c:pt>
                <c:pt idx="5">
                  <c:v>Other</c:v>
                </c:pt>
              </c:strCache>
            </c:strRef>
          </c:cat>
          <c:val>
            <c:numRef>
              <c:f>Sheet1!$B$2:$B$7</c:f>
              <c:numCache>
                <c:formatCode>General</c:formatCode>
                <c:ptCount val="6"/>
                <c:pt idx="0">
                  <c:v>14</c:v>
                </c:pt>
                <c:pt idx="1">
                  <c:v>2</c:v>
                </c:pt>
                <c:pt idx="2">
                  <c:v>2</c:v>
                </c:pt>
                <c:pt idx="3">
                  <c:v>2</c:v>
                </c:pt>
                <c:pt idx="4">
                  <c:v>2</c:v>
                </c:pt>
                <c:pt idx="5">
                  <c:v>6</c:v>
                </c:pt>
              </c:numCache>
            </c:numRef>
          </c:val>
          <c:extLst>
            <c:ext xmlns:c16="http://schemas.microsoft.com/office/drawing/2014/chart" uri="{C3380CC4-5D6E-409C-BE32-E72D297353CC}">
              <c16:uniqueId val="{0000000C-FD82-4559-BAC5-501037FA6AF6}"/>
            </c:ext>
          </c:extLst>
        </c:ser>
        <c:dLbls>
          <c:showLegendKey val="0"/>
          <c:showVal val="1"/>
          <c:showCatName val="0"/>
          <c:showSerName val="0"/>
          <c:showPercent val="0"/>
          <c:showBubbleSize val="0"/>
          <c:showLeaderLines val="1"/>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region</a:t>
            </a:r>
          </a:p>
        </c:rich>
      </c:tx>
      <c:layout>
        <c:manualLayout>
          <c:xMode val="edge"/>
          <c:yMode val="edge"/>
          <c:x val="0.40652352688628929"/>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6839549778"/>
          <c:y val="0.11572359432992142"/>
          <c:w val="0.84333349635643373"/>
          <c:h val="0.55474858103818014"/>
        </c:manualLayout>
      </c:layout>
      <c:barChart>
        <c:barDir val="col"/>
        <c:grouping val="clustered"/>
        <c:varyColors val="0"/>
        <c:ser>
          <c:idx val="0"/>
          <c:order val="0"/>
          <c:tx>
            <c:strRef>
              <c:f>Sheet1!$B$1</c:f>
              <c:strCache>
                <c:ptCount val="1"/>
                <c:pt idx="0">
                  <c:v>National Capital Region (NCR)</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4C66-449D-A002-DEE09388F47E}"/>
                </c:ext>
              </c:extLst>
            </c:dLbl>
            <c:dLbl>
              <c:idx val="1"/>
              <c:delete val="1"/>
              <c:extLst>
                <c:ext xmlns:c15="http://schemas.microsoft.com/office/drawing/2012/chart" uri="{CE6537A1-D6FC-4f65-9D91-7224C49458BB}"/>
                <c:ext xmlns:c16="http://schemas.microsoft.com/office/drawing/2014/chart" uri="{C3380CC4-5D6E-409C-BE32-E72D297353CC}">
                  <c16:uniqueId val="{00000001-4C66-449D-A002-DEE09388F47E}"/>
                </c:ext>
              </c:extLst>
            </c:dLbl>
            <c:dLbl>
              <c:idx val="2"/>
              <c:delete val="1"/>
              <c:extLst>
                <c:ext xmlns:c15="http://schemas.microsoft.com/office/drawing/2012/chart" uri="{CE6537A1-D6FC-4f65-9D91-7224C49458BB}"/>
                <c:ext xmlns:c16="http://schemas.microsoft.com/office/drawing/2014/chart" uri="{C3380CC4-5D6E-409C-BE32-E72D297353CC}">
                  <c16:uniqueId val="{00000002-4C66-449D-A002-DEE09388F47E}"/>
                </c:ext>
              </c:extLst>
            </c:dLbl>
            <c:dLbl>
              <c:idx val="3"/>
              <c:layout>
                <c:manualLayout>
                  <c:x val="-9.0458066355896209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66-449D-A002-DEE09388F47E}"/>
                </c:ext>
              </c:extLst>
            </c:dLbl>
            <c:dLbl>
              <c:idx val="4"/>
              <c:delete val="1"/>
              <c:extLst>
                <c:ext xmlns:c15="http://schemas.microsoft.com/office/drawing/2012/chart" uri="{CE6537A1-D6FC-4f65-9D91-7224C49458BB}"/>
                <c:ext xmlns:c16="http://schemas.microsoft.com/office/drawing/2014/chart" uri="{C3380CC4-5D6E-409C-BE32-E72D297353CC}">
                  <c16:uniqueId val="{00000004-4C66-449D-A002-DEE09388F47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c:v>
                </c:pt>
                <c:pt idx="1">
                  <c:v>2016-17</c:v>
                </c:pt>
                <c:pt idx="2">
                  <c:v>2017-18</c:v>
                </c:pt>
                <c:pt idx="3">
                  <c:v>2018-19</c:v>
                </c:pt>
                <c:pt idx="4">
                  <c:v>2019-20</c:v>
                </c:pt>
              </c:strCache>
            </c:strRef>
          </c:cat>
          <c:val>
            <c:numRef>
              <c:f>Sheet1!$B$2:$B$6</c:f>
              <c:numCache>
                <c:formatCode>0%</c:formatCode>
                <c:ptCount val="5"/>
                <c:pt idx="0">
                  <c:v>0</c:v>
                </c:pt>
                <c:pt idx="1">
                  <c:v>0</c:v>
                </c:pt>
                <c:pt idx="2">
                  <c:v>0</c:v>
                </c:pt>
                <c:pt idx="3">
                  <c:v>0.01</c:v>
                </c:pt>
                <c:pt idx="4">
                  <c:v>0</c:v>
                </c:pt>
              </c:numCache>
            </c:numRef>
          </c:val>
          <c:extLst>
            <c:ext xmlns:c16="http://schemas.microsoft.com/office/drawing/2014/chart" uri="{C3380CC4-5D6E-409C-BE32-E72D297353CC}">
              <c16:uniqueId val="{00000005-4C66-449D-A002-DEE09388F47E}"/>
            </c:ext>
          </c:extLst>
        </c:ser>
        <c:ser>
          <c:idx val="1"/>
          <c:order val="1"/>
          <c:tx>
            <c:strRef>
              <c:f>Sheet1!$C$1</c:f>
              <c:strCache>
                <c:ptCount val="1"/>
                <c:pt idx="0">
                  <c:v>Outside the National Capital Region (Non-NCR)</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496761352724479E-2"/>
                  <c:y val="9.9958818773680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C66-449D-A002-DEE09388F47E}"/>
                </c:ext>
              </c:extLst>
            </c:dLbl>
            <c:dLbl>
              <c:idx val="1"/>
              <c:layout>
                <c:manualLayout>
                  <c:x val="1.0881331075300664E-2"/>
                  <c:y val="1.1338472493282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66-449D-A002-DEE09388F47E}"/>
                </c:ext>
              </c:extLst>
            </c:dLbl>
            <c:dLbl>
              <c:idx val="2"/>
              <c:layout>
                <c:manualLayout>
                  <c:x val="1.2004236720964203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C66-449D-A002-DEE09388F47E}"/>
                </c:ext>
              </c:extLst>
            </c:dLbl>
            <c:dLbl>
              <c:idx val="3"/>
              <c:layout>
                <c:manualLayout>
                  <c:x val="3.6954915003695491E-3"/>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C66-449D-A002-DEE09388F47E}"/>
                </c:ext>
              </c:extLst>
            </c:dLbl>
            <c:dLbl>
              <c:idx val="4"/>
              <c:layout>
                <c:manualLayout>
                  <c:x val="2.0514342580778042E-4"/>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C66-449D-A002-DEE09388F47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c:v>
                </c:pt>
                <c:pt idx="1">
                  <c:v>2016-17</c:v>
                </c:pt>
                <c:pt idx="2">
                  <c:v>2017-18</c:v>
                </c:pt>
                <c:pt idx="3">
                  <c:v>2018-19</c:v>
                </c:pt>
                <c:pt idx="4">
                  <c:v>2019-20</c:v>
                </c:pt>
              </c:strCache>
            </c:strRef>
          </c:cat>
          <c:val>
            <c:numRef>
              <c:f>Sheet1!$C$2:$C$6</c:f>
              <c:numCache>
                <c:formatCode>0%</c:formatCode>
                <c:ptCount val="5"/>
                <c:pt idx="0">
                  <c:v>1</c:v>
                </c:pt>
                <c:pt idx="1">
                  <c:v>1</c:v>
                </c:pt>
                <c:pt idx="2">
                  <c:v>1</c:v>
                </c:pt>
                <c:pt idx="3">
                  <c:v>0.99</c:v>
                </c:pt>
                <c:pt idx="4">
                  <c:v>1</c:v>
                </c:pt>
              </c:numCache>
            </c:numRef>
          </c:val>
          <c:extLst>
            <c:ext xmlns:c16="http://schemas.microsoft.com/office/drawing/2014/chart" uri="{C3380CC4-5D6E-409C-BE32-E72D297353CC}">
              <c16:uniqueId val="{0000000B-4C66-449D-A002-DEE09388F47E}"/>
            </c:ext>
          </c:extLst>
        </c:ser>
        <c:dLbls>
          <c:showLegendKey val="0"/>
          <c:showVal val="0"/>
          <c:showCatName val="0"/>
          <c:showSerName val="0"/>
          <c:showPercent val="0"/>
          <c:showBubbleSize val="0"/>
        </c:dLbls>
        <c:gapWidth val="150"/>
        <c:axId val="324456408"/>
        <c:axId val="704869280"/>
      </c:barChart>
      <c:catAx>
        <c:axId val="3244564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186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4869280"/>
        <c:crosses val="autoZero"/>
        <c:auto val="1"/>
        <c:lblAlgn val="ctr"/>
        <c:lblOffset val="100"/>
        <c:noMultiLvlLbl val="0"/>
      </c:catAx>
      <c:valAx>
        <c:axId val="704869280"/>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4456408"/>
        <c:crosses val="autoZero"/>
        <c:crossBetween val="between"/>
      </c:valAx>
      <c:spPr>
        <a:noFill/>
        <a:ln>
          <a:noFill/>
        </a:ln>
        <a:effectLst/>
      </c:spPr>
    </c:plotArea>
    <c:legend>
      <c:legendPos val="b"/>
      <c:layout>
        <c:manualLayout>
          <c:xMode val="edge"/>
          <c:yMode val="edge"/>
          <c:x val="0.15583735001084392"/>
          <c:y val="0.79544976686287472"/>
          <c:w val="0.71052254831782391"/>
          <c:h val="0.116320574498766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process type</a:t>
            </a:r>
          </a:p>
        </c:rich>
      </c:tx>
      <c:layout>
        <c:manualLayout>
          <c:xMode val="edge"/>
          <c:yMode val="edge"/>
          <c:x val="0.34581522859380798"/>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5.2914432573661359E-2"/>
          <c:w val="0.84333349635643373"/>
          <c:h val="0.59672864050993113"/>
        </c:manualLayout>
      </c:layout>
      <c:barChart>
        <c:barDir val="col"/>
        <c:grouping val="clustered"/>
        <c:varyColors val="0"/>
        <c:ser>
          <c:idx val="0"/>
          <c:order val="0"/>
          <c:tx>
            <c:strRef>
              <c:f>Sheet1!$B$1</c:f>
              <c:strCache>
                <c:ptCount val="1"/>
                <c:pt idx="0">
                  <c:v>Non-advertised (excludes unknowns)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4.8611111111111112E-3"/>
                  <c:y val="1.74916914465628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AE-4FB6-9B21-A246B6DC1D61}"/>
                </c:ext>
              </c:extLst>
            </c:dLbl>
            <c:dLbl>
              <c:idx val="1"/>
              <c:layout>
                <c:manualLayout>
                  <c:x val="-1.0563484251968536E-2"/>
                  <c:y val="1.74916914465628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AE-4FB6-9B21-A246B6DC1D61}"/>
                </c:ext>
              </c:extLst>
            </c:dLbl>
            <c:dLbl>
              <c:idx val="2"/>
              <c:layout>
                <c:manualLayout>
                  <c:x val="-4.8427930883640181E-3"/>
                  <c:y val="1.39933531572502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AE-4FB6-9B21-A246B6DC1D61}"/>
                </c:ext>
              </c:extLst>
            </c:dLbl>
            <c:dLbl>
              <c:idx val="3"/>
              <c:layout>
                <c:manualLayout>
                  <c:x val="-5.5736001749782547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AE-4FB6-9B21-A246B6DC1D61}"/>
                </c:ext>
              </c:extLst>
            </c:dLbl>
            <c:dLbl>
              <c:idx val="4"/>
              <c:layout>
                <c:manualLayout>
                  <c:x val="-1.4432961504813172E-3"/>
                  <c:y val="1.4415081969922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AE-4FB6-9B21-A246B6DC1D6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c:v>
                </c:pt>
                <c:pt idx="1">
                  <c:v>2016-17</c:v>
                </c:pt>
                <c:pt idx="2">
                  <c:v>2017-18</c:v>
                </c:pt>
                <c:pt idx="3">
                  <c:v>2018-19</c:v>
                </c:pt>
                <c:pt idx="4">
                  <c:v>2019-20</c:v>
                </c:pt>
              </c:strCache>
            </c:strRef>
          </c:cat>
          <c:val>
            <c:numRef>
              <c:f>Sheet1!$B$2:$B$6</c:f>
              <c:numCache>
                <c:formatCode>#\ ###</c:formatCode>
                <c:ptCount val="5"/>
                <c:pt idx="0">
                  <c:v>10</c:v>
                </c:pt>
                <c:pt idx="1">
                  <c:v>25</c:v>
                </c:pt>
                <c:pt idx="2">
                  <c:v>24</c:v>
                </c:pt>
                <c:pt idx="3">
                  <c:v>29</c:v>
                </c:pt>
                <c:pt idx="4">
                  <c:v>35</c:v>
                </c:pt>
              </c:numCache>
            </c:numRef>
          </c:val>
          <c:extLst>
            <c:ext xmlns:c16="http://schemas.microsoft.com/office/drawing/2014/chart" uri="{C3380CC4-5D6E-409C-BE32-E72D297353CC}">
              <c16:uniqueId val="{00000005-BFAE-4FB6-9B21-A246B6DC1D61}"/>
            </c:ext>
          </c:extLst>
        </c:ser>
        <c:ser>
          <c:idx val="1"/>
          <c:order val="1"/>
          <c:tx>
            <c:strRef>
              <c:f>Sheet1!$C$1</c:f>
              <c:strCache>
                <c:ptCount val="1"/>
                <c:pt idx="0">
                  <c:v>Advertised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5085848643919512E-3"/>
                  <c:y val="1.6992558455993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FAE-4FB6-9B21-A246B6DC1D61}"/>
                </c:ext>
              </c:extLst>
            </c:dLbl>
            <c:dLbl>
              <c:idx val="1"/>
              <c:layout>
                <c:manualLayout>
                  <c:x val="-3.4541776027996502E-3"/>
                  <c:y val="1.83351490719073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AE-4FB6-9B21-A246B6DC1D61}"/>
                </c:ext>
              </c:extLst>
            </c:dLbl>
            <c:dLbl>
              <c:idx val="2"/>
              <c:layout>
                <c:manualLayout>
                  <c:x val="6.9444444444438083E-4"/>
                  <c:y val="1.8756877884579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FAE-4FB6-9B21-A246B6DC1D61}"/>
                </c:ext>
              </c:extLst>
            </c:dLbl>
            <c:dLbl>
              <c:idx val="3"/>
              <c:layout>
                <c:manualLayout>
                  <c:x val="-3.472222222222222E-3"/>
                  <c:y val="1.17602013059544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FAE-4FB6-9B21-A246B6DC1D61}"/>
                </c:ext>
              </c:extLst>
            </c:dLbl>
            <c:dLbl>
              <c:idx val="4"/>
              <c:layout>
                <c:manualLayout>
                  <c:x val="6.9263998250218726E-3"/>
                  <c:y val="1.39933531572502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FAE-4FB6-9B21-A246B6DC1D6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c:v>
                </c:pt>
                <c:pt idx="1">
                  <c:v>2016-17</c:v>
                </c:pt>
                <c:pt idx="2">
                  <c:v>2017-18</c:v>
                </c:pt>
                <c:pt idx="3">
                  <c:v>2018-19</c:v>
                </c:pt>
                <c:pt idx="4">
                  <c:v>2019-20</c:v>
                </c:pt>
              </c:strCache>
            </c:strRef>
          </c:cat>
          <c:val>
            <c:numRef>
              <c:f>Sheet1!$C$2:$C$6</c:f>
              <c:numCache>
                <c:formatCode>#\ ###</c:formatCode>
                <c:ptCount val="5"/>
                <c:pt idx="0">
                  <c:v>24</c:v>
                </c:pt>
                <c:pt idx="1">
                  <c:v>68</c:v>
                </c:pt>
                <c:pt idx="2">
                  <c:v>52</c:v>
                </c:pt>
                <c:pt idx="3">
                  <c:v>75</c:v>
                </c:pt>
                <c:pt idx="4">
                  <c:v>70</c:v>
                </c:pt>
              </c:numCache>
            </c:numRef>
          </c:val>
          <c:extLst>
            <c:ext xmlns:c16="http://schemas.microsoft.com/office/drawing/2014/chart" uri="{C3380CC4-5D6E-409C-BE32-E72D297353CC}">
              <c16:uniqueId val="{0000000B-BFAE-4FB6-9B21-A246B6DC1D61}"/>
            </c:ext>
          </c:extLst>
        </c:ser>
        <c:dLbls>
          <c:showLegendKey val="0"/>
          <c:showVal val="0"/>
          <c:showCatName val="0"/>
          <c:showSerName val="0"/>
          <c:showPercent val="0"/>
          <c:showBubbleSize val="0"/>
        </c:dLbls>
        <c:gapWidth val="150"/>
        <c:axId val="704866144"/>
        <c:axId val="704869672"/>
      </c:barChart>
      <c:lineChart>
        <c:grouping val="standard"/>
        <c:varyColors val="0"/>
        <c:ser>
          <c:idx val="2"/>
          <c:order val="2"/>
          <c:tx>
            <c:strRef>
              <c:f>Sheet1!$D$1</c:f>
              <c:strCache>
                <c:ptCount val="1"/>
                <c:pt idx="0">
                  <c:v>% of Non- advertised</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4.7240130139982496E-2"/>
                  <c:y val="-2.7924039230971649E-2"/>
                </c:manualLayout>
              </c:layout>
              <c:showLegendKey val="0"/>
              <c:showVal val="1"/>
              <c:showCatName val="0"/>
              <c:showSerName val="0"/>
              <c:showPercent val="0"/>
              <c:showBubbleSize val="0"/>
              <c:extLst>
                <c:ext xmlns:c15="http://schemas.microsoft.com/office/drawing/2012/chart" uri="{CE6537A1-D6FC-4f65-9D91-7224C49458BB}">
                  <c15:layout>
                    <c:manualLayout>
                      <c:w val="9.5677220034995625E-2"/>
                      <c:h val="5.2422736995202869E-2"/>
                    </c:manualLayout>
                  </c15:layout>
                </c:ext>
                <c:ext xmlns:c16="http://schemas.microsoft.com/office/drawing/2014/chart" uri="{C3380CC4-5D6E-409C-BE32-E72D297353CC}">
                  <c16:uniqueId val="{0000000C-BFAE-4FB6-9B21-A246B6DC1D61}"/>
                </c:ext>
              </c:extLst>
            </c:dLbl>
            <c:dLbl>
              <c:idx val="1"/>
              <c:layout>
                <c:manualLayout>
                  <c:x val="-8.3029855643044645E-2"/>
                  <c:y val="3.2031556664127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FAE-4FB6-9B21-A246B6DC1D61}"/>
                </c:ext>
              </c:extLst>
            </c:dLbl>
            <c:dLbl>
              <c:idx val="2"/>
              <c:layout>
                <c:manualLayout>
                  <c:x val="-5.374671916010499E-2"/>
                  <c:y val="-2.53365084655654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FAE-4FB6-9B21-A246B6DC1D61}"/>
                </c:ext>
              </c:extLst>
            </c:dLbl>
            <c:dLbl>
              <c:idx val="3"/>
              <c:layout>
                <c:manualLayout>
                  <c:x val="-8.4703904199475072E-2"/>
                  <c:y val="2.8283651879530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FAE-4FB6-9B21-A246B6DC1D61}"/>
                </c:ext>
              </c:extLst>
            </c:dLbl>
            <c:dLbl>
              <c:idx val="4"/>
              <c:layout>
                <c:manualLayout>
                  <c:x val="-8.1078302712160974E-2"/>
                  <c:y val="-2.2973615091886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FAE-4FB6-9B21-A246B6DC1D6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c:v>
                </c:pt>
                <c:pt idx="1">
                  <c:v>2016-17</c:v>
                </c:pt>
                <c:pt idx="2">
                  <c:v>2017-18</c:v>
                </c:pt>
                <c:pt idx="3">
                  <c:v>2018-19</c:v>
                </c:pt>
                <c:pt idx="4">
                  <c:v>2019-20</c:v>
                </c:pt>
              </c:strCache>
            </c:strRef>
          </c:cat>
          <c:val>
            <c:numRef>
              <c:f>Sheet1!$D$2:$D$6</c:f>
              <c:numCache>
                <c:formatCode>0%</c:formatCode>
                <c:ptCount val="5"/>
                <c:pt idx="0">
                  <c:v>0.28999999999999998</c:v>
                </c:pt>
                <c:pt idx="1">
                  <c:v>0.27</c:v>
                </c:pt>
                <c:pt idx="2">
                  <c:v>0.32</c:v>
                </c:pt>
                <c:pt idx="3">
                  <c:v>0.28000000000000003</c:v>
                </c:pt>
                <c:pt idx="4">
                  <c:v>0.33</c:v>
                </c:pt>
              </c:numCache>
            </c:numRef>
          </c:val>
          <c:smooth val="0"/>
          <c:extLst>
            <c:ext xmlns:c16="http://schemas.microsoft.com/office/drawing/2014/chart" uri="{C3380CC4-5D6E-409C-BE32-E72D297353CC}">
              <c16:uniqueId val="{00000011-BFAE-4FB6-9B21-A246B6DC1D61}"/>
            </c:ext>
          </c:extLst>
        </c:ser>
        <c:dLbls>
          <c:showLegendKey val="0"/>
          <c:showVal val="0"/>
          <c:showCatName val="0"/>
          <c:showSerName val="0"/>
          <c:showPercent val="0"/>
          <c:showBubbleSize val="0"/>
        </c:dLbls>
        <c:marker val="1"/>
        <c:smooth val="0"/>
        <c:axId val="704863792"/>
        <c:axId val="704865752"/>
      </c:lineChart>
      <c:catAx>
        <c:axId val="7048661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4869672"/>
        <c:crosses val="autoZero"/>
        <c:auto val="1"/>
        <c:lblAlgn val="ctr"/>
        <c:lblOffset val="100"/>
        <c:noMultiLvlLbl val="0"/>
      </c:catAx>
      <c:valAx>
        <c:axId val="70486967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4866144"/>
        <c:crosses val="autoZero"/>
        <c:crossBetween val="between"/>
      </c:valAx>
      <c:valAx>
        <c:axId val="704865752"/>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4863792"/>
        <c:crosses val="max"/>
        <c:crossBetween val="between"/>
        <c:majorUnit val="0.1"/>
      </c:valAx>
      <c:catAx>
        <c:axId val="704863792"/>
        <c:scaling>
          <c:orientation val="minMax"/>
        </c:scaling>
        <c:delete val="1"/>
        <c:axPos val="b"/>
        <c:numFmt formatCode="General" sourceLinked="1"/>
        <c:majorTickMark val="out"/>
        <c:minorTickMark val="none"/>
        <c:tickLblPos val="nextTo"/>
        <c:crossAx val="704865752"/>
        <c:crosses val="autoZero"/>
        <c:auto val="1"/>
        <c:lblAlgn val="ctr"/>
        <c:lblOffset val="100"/>
        <c:noMultiLvlLbl val="0"/>
      </c:catAx>
      <c:spPr>
        <a:noFill/>
        <a:ln>
          <a:noFill/>
        </a:ln>
        <a:effectLst/>
      </c:spPr>
    </c:plotArea>
    <c:legend>
      <c:legendPos val="b"/>
      <c:layout>
        <c:manualLayout>
          <c:xMode val="edge"/>
          <c:yMode val="edge"/>
          <c:x val="1.3961605584642234E-2"/>
          <c:y val="0.70815236778278368"/>
          <c:w val="0.98603839441535779"/>
          <c:h val="0.111629495674593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userShapes r:id="rId5"/>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appointment type</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659525943872401"/>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9.6272965879265343E-3"/>
                  <c:y val="2.1785261457702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63-4C33-AD19-A6BA08D84B77}"/>
                </c:ext>
              </c:extLst>
            </c:dLbl>
            <c:dLbl>
              <c:idx val="1"/>
              <c:layout>
                <c:manualLayout>
                  <c:x val="-8.3333333333333332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63-4C33-AD19-A6BA08D84B77}"/>
                </c:ext>
              </c:extLst>
            </c:dLbl>
            <c:dLbl>
              <c:idx val="2"/>
              <c:layout>
                <c:manualLayout>
                  <c:x val="0"/>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63-4C33-AD19-A6BA08D84B77}"/>
                </c:ext>
              </c:extLst>
            </c:dLbl>
            <c:dLbl>
              <c:idx val="3"/>
              <c:layout>
                <c:manualLayout>
                  <c:x val="-5.5555555555555558E-3"/>
                  <c:y val="2.3520290732889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63-4C33-AD19-A6BA08D84B77}"/>
                </c:ext>
              </c:extLst>
            </c:dLbl>
            <c:dLbl>
              <c:idx val="4"/>
              <c:layout>
                <c:manualLayout>
                  <c:x val="0"/>
                  <c:y val="1.97827579244901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63-4C33-AD19-A6BA08D84B7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2015-16
(N=97)</c:v>
                </c:pt>
                <c:pt idx="1">
                  <c:v>2016-17 
(N=171)</c:v>
                </c:pt>
                <c:pt idx="2">
                  <c:v>2017-18
(N=126)</c:v>
                </c:pt>
                <c:pt idx="3">
                  <c:v>2018-19
(N=173)</c:v>
                </c:pt>
                <c:pt idx="4">
                  <c:v>2019-20
(N=177)</c:v>
                </c:pt>
              </c:strCache>
            </c:strRef>
          </c:cat>
          <c:val>
            <c:numRef>
              <c:f>Sheet1!$B$3:$B$7</c:f>
              <c:numCache>
                <c:formatCode>#\ ###</c:formatCode>
                <c:ptCount val="5"/>
                <c:pt idx="0">
                  <c:v>16</c:v>
                </c:pt>
                <c:pt idx="1">
                  <c:v>41</c:v>
                </c:pt>
                <c:pt idx="2">
                  <c:v>31</c:v>
                </c:pt>
                <c:pt idx="3">
                  <c:v>58</c:v>
                </c:pt>
                <c:pt idx="4">
                  <c:v>44</c:v>
                </c:pt>
              </c:numCache>
            </c:numRef>
          </c:val>
          <c:extLst>
            <c:ext xmlns:c16="http://schemas.microsoft.com/office/drawing/2014/chart" uri="{C3380CC4-5D6E-409C-BE32-E72D297353CC}">
              <c16:uniqueId val="{00000005-A063-4C33-AD19-A6BA08D84B77}"/>
            </c:ext>
          </c:extLst>
        </c:ser>
        <c:ser>
          <c:idx val="1"/>
          <c:order val="1"/>
          <c:tx>
            <c:strRef>
              <c:f>Sheet1!$C$1</c:f>
              <c:strCache>
                <c:ptCount val="1"/>
                <c:pt idx="0">
                  <c:v>Lateral and downward movements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063-4C33-AD19-A6BA08D84B77}"/>
                </c:ext>
              </c:extLst>
            </c:dLbl>
            <c:dLbl>
              <c:idx val="1"/>
              <c:layout>
                <c:manualLayout>
                  <c:x val="-2.7777777777777779E-3"/>
                  <c:y val="1.9417726630325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063-4C33-AD19-A6BA08D84B77}"/>
                </c:ext>
              </c:extLst>
            </c:dLbl>
            <c:dLbl>
              <c:idx val="2"/>
              <c:layout>
                <c:manualLayout>
                  <c:x val="-2.7777777777777779E-3"/>
                  <c:y val="1.9965273571572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063-4C33-AD19-A6BA08D84B77}"/>
                </c:ext>
              </c:extLst>
            </c:dLbl>
            <c:dLbl>
              <c:idx val="3"/>
              <c:layout>
                <c:manualLayout>
                  <c:x val="0"/>
                  <c:y val="2.4067837674136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063-4C33-AD19-A6BA08D84B77}"/>
                </c:ext>
              </c:extLst>
            </c:dLbl>
            <c:dLbl>
              <c:idx val="4"/>
              <c:layout>
                <c:manualLayout>
                  <c:x val="-2.7777777777777779E-3"/>
                  <c:y val="1.5497678174843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063-4C33-AD19-A6BA08D84B7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2015-16
(N=97)</c:v>
                </c:pt>
                <c:pt idx="1">
                  <c:v>2016-17 
(N=171)</c:v>
                </c:pt>
                <c:pt idx="2">
                  <c:v>2017-18
(N=126)</c:v>
                </c:pt>
                <c:pt idx="3">
                  <c:v>2018-19
(N=173)</c:v>
                </c:pt>
                <c:pt idx="4">
                  <c:v>2019-20
(N=177)</c:v>
                </c:pt>
              </c:strCache>
            </c:strRef>
          </c:cat>
          <c:val>
            <c:numRef>
              <c:f>Sheet1!$C$3:$C$7</c:f>
              <c:numCache>
                <c:formatCode>#\ ###</c:formatCode>
                <c:ptCount val="5"/>
                <c:pt idx="0">
                  <c:v>16</c:v>
                </c:pt>
                <c:pt idx="1">
                  <c:v>26</c:v>
                </c:pt>
                <c:pt idx="2">
                  <c:v>15</c:v>
                </c:pt>
                <c:pt idx="3">
                  <c:v>28</c:v>
                </c:pt>
                <c:pt idx="4">
                  <c:v>31</c:v>
                </c:pt>
              </c:numCache>
            </c:numRef>
          </c:val>
          <c:extLst>
            <c:ext xmlns:c16="http://schemas.microsoft.com/office/drawing/2014/chart" uri="{C3380CC4-5D6E-409C-BE32-E72D297353CC}">
              <c16:uniqueId val="{0000000B-A063-4C33-AD19-A6BA08D84B77}"/>
            </c:ext>
          </c:extLst>
        </c:ser>
        <c:ser>
          <c:idx val="2"/>
          <c:order val="2"/>
          <c:tx>
            <c:strRef>
              <c:f>Sheet1!$D$1</c:f>
              <c:strCache>
                <c:ptCount val="1"/>
                <c:pt idx="0">
                  <c:v>Appointments to the public service  (includes casuals and students)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80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063-4C33-AD19-A6BA08D84B77}"/>
                </c:ext>
              </c:extLst>
            </c:dLbl>
            <c:dLbl>
              <c:idx val="1"/>
              <c:layout>
                <c:manualLayout>
                  <c:x val="3.6062992125983741E-3"/>
                  <c:y val="2.0210135271552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063-4C33-AD19-A6BA08D84B77}"/>
                </c:ext>
              </c:extLst>
            </c:dLbl>
            <c:dLbl>
              <c:idx val="2"/>
              <c:layout>
                <c:manualLayout>
                  <c:x val="0"/>
                  <c:y val="1.56801938219260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063-4C33-AD19-A6BA08D84B77}"/>
                </c:ext>
              </c:extLst>
            </c:dLbl>
            <c:dLbl>
              <c:idx val="3"/>
              <c:layout>
                <c:manualLayout>
                  <c:x val="-2.7777777777777779E-3"/>
                  <c:y val="1.9600242277407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063-4C33-AD19-A6BA08D84B77}"/>
                </c:ext>
              </c:extLst>
            </c:dLbl>
            <c:dLbl>
              <c:idx val="4"/>
              <c:layout>
                <c:manualLayout>
                  <c:x val="-1.9492563429572322E-3"/>
                  <c:y val="1.978275792449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063-4C33-AD19-A6BA08D84B7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2015-16
(N=97)</c:v>
                </c:pt>
                <c:pt idx="1">
                  <c:v>2016-17 
(N=171)</c:v>
                </c:pt>
                <c:pt idx="2">
                  <c:v>2017-18
(N=126)</c:v>
                </c:pt>
                <c:pt idx="3">
                  <c:v>2018-19
(N=173)</c:v>
                </c:pt>
                <c:pt idx="4">
                  <c:v>2019-20
(N=177)</c:v>
                </c:pt>
              </c:strCache>
            </c:strRef>
          </c:cat>
          <c:val>
            <c:numRef>
              <c:f>Sheet1!$D$3:$D$7</c:f>
              <c:numCache>
                <c:formatCode>#\ ###</c:formatCode>
                <c:ptCount val="5"/>
                <c:pt idx="0">
                  <c:v>51</c:v>
                </c:pt>
                <c:pt idx="1">
                  <c:v>88</c:v>
                </c:pt>
                <c:pt idx="2">
                  <c:v>64</c:v>
                </c:pt>
                <c:pt idx="3">
                  <c:v>73</c:v>
                </c:pt>
                <c:pt idx="4">
                  <c:v>85</c:v>
                </c:pt>
              </c:numCache>
            </c:numRef>
          </c:val>
          <c:extLst>
            <c:ext xmlns:c16="http://schemas.microsoft.com/office/drawing/2014/chart" uri="{C3380CC4-5D6E-409C-BE32-E72D297353CC}">
              <c16:uniqueId val="{00000011-A063-4C33-AD19-A6BA08D84B77}"/>
            </c:ext>
          </c:extLst>
        </c:ser>
        <c:ser>
          <c:idx val="3"/>
          <c:order val="3"/>
          <c:tx>
            <c:strRef>
              <c:f>Sheet1!$E$1</c:f>
              <c:strCache>
                <c:ptCount val="1"/>
                <c:pt idx="0">
                  <c:v>Acting appointments (excludes appointments of less than 4 months)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063-4C33-AD19-A6BA08D84B77}"/>
                </c:ext>
              </c:extLst>
            </c:dLbl>
            <c:dLbl>
              <c:idx val="1"/>
              <c:layout>
                <c:manualLayout>
                  <c:x val="-5.0925337632079971E-17"/>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063-4C33-AD19-A6BA08D84B77}"/>
                </c:ext>
              </c:extLst>
            </c:dLbl>
            <c:dLbl>
              <c:idx val="2"/>
              <c:layout>
                <c:manualLayout>
                  <c:x val="2.7777777777777779E-3"/>
                  <c:y val="2.0695336159903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063-4C33-AD19-A6BA08D84B77}"/>
                </c:ext>
              </c:extLst>
            </c:dLbl>
            <c:dLbl>
              <c:idx val="3"/>
              <c:layout>
                <c:manualLayout>
                  <c:x val="3.6062992125984253E-3"/>
                  <c:y val="2.4495215021199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063-4C33-AD19-A6BA08D84B77}"/>
                </c:ext>
              </c:extLst>
            </c:dLbl>
            <c:dLbl>
              <c:idx val="4"/>
              <c:layout>
                <c:manualLayout>
                  <c:x val="6.3840769903762027E-3"/>
                  <c:y val="1.9782757924490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063-4C33-AD19-A6BA08D84B77}"/>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2015-16
(N=97)</c:v>
                </c:pt>
                <c:pt idx="1">
                  <c:v>2016-17 
(N=171)</c:v>
                </c:pt>
                <c:pt idx="2">
                  <c:v>2017-18
(N=126)</c:v>
                </c:pt>
                <c:pt idx="3">
                  <c:v>2018-19
(N=173)</c:v>
                </c:pt>
                <c:pt idx="4">
                  <c:v>2019-20
(N=177)</c:v>
                </c:pt>
              </c:strCache>
            </c:strRef>
          </c:cat>
          <c:val>
            <c:numRef>
              <c:f>Sheet1!$E$3:$E$7</c:f>
              <c:numCache>
                <c:formatCode>#\ ###</c:formatCode>
                <c:ptCount val="5"/>
                <c:pt idx="0">
                  <c:v>14</c:v>
                </c:pt>
                <c:pt idx="1">
                  <c:v>16</c:v>
                </c:pt>
                <c:pt idx="2">
                  <c:v>16</c:v>
                </c:pt>
                <c:pt idx="3">
                  <c:v>14</c:v>
                </c:pt>
                <c:pt idx="4">
                  <c:v>17</c:v>
                </c:pt>
              </c:numCache>
            </c:numRef>
          </c:val>
          <c:extLst>
            <c:ext xmlns:c16="http://schemas.microsoft.com/office/drawing/2014/chart" uri="{C3380CC4-5D6E-409C-BE32-E72D297353CC}">
              <c16:uniqueId val="{00000017-A063-4C33-AD19-A6BA08D84B77}"/>
            </c:ext>
          </c:extLst>
        </c:ser>
        <c:dLbls>
          <c:showLegendKey val="0"/>
          <c:showVal val="0"/>
          <c:showCatName val="0"/>
          <c:showSerName val="0"/>
          <c:showPercent val="0"/>
          <c:showBubbleSize val="0"/>
        </c:dLbls>
        <c:gapWidth val="150"/>
        <c:shape val="box"/>
        <c:axId val="704866928"/>
        <c:axId val="704864576"/>
        <c:axId val="0"/>
      </c:bar3DChart>
      <c:catAx>
        <c:axId val="7048669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4864576"/>
        <c:crosses val="autoZero"/>
        <c:auto val="0"/>
        <c:lblAlgn val="ctr"/>
        <c:lblOffset val="100"/>
        <c:noMultiLvlLbl val="0"/>
      </c:catAx>
      <c:valAx>
        <c:axId val="70486457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4866928"/>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Staffing by tenure</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46305774278215"/>
          <c:y val="0.13132759943468605"/>
          <c:w val="0.86277799650043729"/>
          <c:h val="0.57944227740763177"/>
        </c:manualLayout>
      </c:layout>
      <c:bar3DChart>
        <c:barDir val="col"/>
        <c:grouping val="clustered"/>
        <c:varyColors val="0"/>
        <c:ser>
          <c:idx val="0"/>
          <c:order val="0"/>
          <c:tx>
            <c:strRef>
              <c:f>Sheet1!$B$1</c:f>
              <c:strCache>
                <c:ptCount val="1"/>
                <c:pt idx="0">
                  <c:v>Indeterminate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31-4C21-88E0-E690EF884B8F}"/>
                </c:ext>
              </c:extLst>
            </c:dLbl>
            <c:dLbl>
              <c:idx val="1"/>
              <c:layout>
                <c:manualLayout>
                  <c:x val="-5.5555555555555558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31-4C21-88E0-E690EF884B8F}"/>
                </c:ext>
              </c:extLst>
            </c:dLbl>
            <c:dLbl>
              <c:idx val="2"/>
              <c:layout>
                <c:manualLayout>
                  <c:x val="-1.0185067526415994E-16"/>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31-4C21-88E0-E690EF884B8F}"/>
                </c:ext>
              </c:extLst>
            </c:dLbl>
            <c:dLbl>
              <c:idx val="3"/>
              <c:layout>
                <c:manualLayout>
                  <c:x val="-1.0185067526415994E-16"/>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31-4C21-88E0-E690EF884B8F}"/>
                </c:ext>
              </c:extLst>
            </c:dLbl>
            <c:dLbl>
              <c:idx val="4"/>
              <c:layout>
                <c:manualLayout>
                  <c:x val="-2.7777777777778798E-3"/>
                  <c:y val="1.9600242277407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31-4C21-88E0-E690EF884B8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(N=97)</c:v>
                </c:pt>
                <c:pt idx="1">
                  <c:v>2016-17
 (N=171)</c:v>
                </c:pt>
                <c:pt idx="2">
                  <c:v>2017-18
 (N=126)</c:v>
                </c:pt>
                <c:pt idx="3">
                  <c:v>2018-19
 (N=173)</c:v>
                </c:pt>
                <c:pt idx="4">
                  <c:v>2019-20
 (N=177)</c:v>
                </c:pt>
              </c:strCache>
            </c:strRef>
          </c:cat>
          <c:val>
            <c:numRef>
              <c:f>Sheet1!$B$2:$B$6</c:f>
              <c:numCache>
                <c:formatCode>#\ ###</c:formatCode>
                <c:ptCount val="5"/>
                <c:pt idx="0">
                  <c:v>50</c:v>
                </c:pt>
                <c:pt idx="1">
                  <c:v>106</c:v>
                </c:pt>
                <c:pt idx="2">
                  <c:v>77</c:v>
                </c:pt>
                <c:pt idx="3">
                  <c:v>109</c:v>
                </c:pt>
                <c:pt idx="4">
                  <c:v>117</c:v>
                </c:pt>
              </c:numCache>
            </c:numRef>
          </c:val>
          <c:extLst>
            <c:ext xmlns:c16="http://schemas.microsoft.com/office/drawing/2014/chart" uri="{C3380CC4-5D6E-409C-BE32-E72D297353CC}">
              <c16:uniqueId val="{00000005-6F31-4C21-88E0-E690EF884B8F}"/>
            </c:ext>
          </c:extLst>
        </c:ser>
        <c:ser>
          <c:idx val="1"/>
          <c:order val="1"/>
          <c:tx>
            <c:strRef>
              <c:f>Sheet1!$C$1</c:f>
              <c:strCache>
                <c:ptCount val="1"/>
                <c:pt idx="0">
                  <c:v>Term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7366444579043003E-2"/>
                </c:manualLayout>
              </c:layout>
              <c:showLegendKey val="0"/>
              <c:showVal val="1"/>
              <c:showCatName val="0"/>
              <c:showSerName val="0"/>
              <c:showPercent val="0"/>
              <c:showBubbleSize val="0"/>
              <c:extLst>
                <c:ext xmlns:c15="http://schemas.microsoft.com/office/drawing/2012/chart" uri="{CE6537A1-D6FC-4f65-9D91-7224C49458BB}">
                  <c15:layout>
                    <c:manualLayout>
                      <c:w val="9.9208442694663168E-2"/>
                      <c:h val="5.3271956390066627E-2"/>
                    </c:manualLayout>
                  </c15:layout>
                </c:ext>
                <c:ext xmlns:c16="http://schemas.microsoft.com/office/drawing/2014/chart" uri="{C3380CC4-5D6E-409C-BE32-E72D297353CC}">
                  <c16:uniqueId val="{00000006-6F31-4C21-88E0-E690EF884B8F}"/>
                </c:ext>
              </c:extLst>
            </c:dLbl>
            <c:dLbl>
              <c:idx val="1"/>
              <c:layout>
                <c:manualLayout>
                  <c:x val="2.7777777777777779E-3"/>
                  <c:y val="2.0147789218655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31-4C21-88E0-E690EF884B8F}"/>
                </c:ext>
              </c:extLst>
            </c:dLbl>
            <c:dLbl>
              <c:idx val="2"/>
              <c:layout>
                <c:manualLayout>
                  <c:x val="-2.7777777777777779E-3"/>
                  <c:y val="1.9600242277407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F31-4C21-88E0-E690EF884B8F}"/>
                </c:ext>
              </c:extLst>
            </c:dLbl>
            <c:dLbl>
              <c:idx val="3"/>
              <c:layout>
                <c:manualLayout>
                  <c:x val="0"/>
                  <c:y val="1.9600242277407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F31-4C21-88E0-E690EF884B8F}"/>
                </c:ext>
              </c:extLst>
            </c:dLbl>
            <c:dLbl>
              <c:idx val="4"/>
              <c:layout>
                <c:manualLayout>
                  <c:x val="2.777777777777676E-3"/>
                  <c:y val="1.9600242277407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F31-4C21-88E0-E690EF884B8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(N=97)</c:v>
                </c:pt>
                <c:pt idx="1">
                  <c:v>2016-17
 (N=171)</c:v>
                </c:pt>
                <c:pt idx="2">
                  <c:v>2017-18
 (N=126)</c:v>
                </c:pt>
                <c:pt idx="3">
                  <c:v>2018-19
 (N=173)</c:v>
                </c:pt>
                <c:pt idx="4">
                  <c:v>2019-20
 (N=177)</c:v>
                </c:pt>
              </c:strCache>
            </c:strRef>
          </c:cat>
          <c:val>
            <c:numRef>
              <c:f>Sheet1!$C$2:$C$6</c:f>
              <c:numCache>
                <c:formatCode>#\ ###</c:formatCode>
                <c:ptCount val="5"/>
                <c:pt idx="0">
                  <c:v>16</c:v>
                </c:pt>
                <c:pt idx="1">
                  <c:v>35</c:v>
                </c:pt>
                <c:pt idx="2">
                  <c:v>21</c:v>
                </c:pt>
                <c:pt idx="3">
                  <c:v>32</c:v>
                </c:pt>
                <c:pt idx="4">
                  <c:v>34</c:v>
                </c:pt>
              </c:numCache>
            </c:numRef>
          </c:val>
          <c:extLst>
            <c:ext xmlns:c16="http://schemas.microsoft.com/office/drawing/2014/chart" uri="{C3380CC4-5D6E-409C-BE32-E72D297353CC}">
              <c16:uniqueId val="{0000000B-6F31-4C21-88E0-E690EF884B8F}"/>
            </c:ext>
          </c:extLst>
        </c:ser>
        <c:ser>
          <c:idx val="2"/>
          <c:order val="2"/>
          <c:tx>
            <c:strRef>
              <c:f>Sheet1!$D$1</c:f>
              <c:strCache>
                <c:ptCount val="1"/>
                <c:pt idx="0">
                  <c:v>Casual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F31-4C21-88E0-E690EF884B8F}"/>
                </c:ext>
              </c:extLst>
            </c:dLbl>
            <c:dLbl>
              <c:idx val="1"/>
              <c:layout>
                <c:manualLayout>
                  <c:x val="-5.0925337632079971E-17"/>
                  <c:y val="1.1395114072279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F31-4C21-88E0-E690EF884B8F}"/>
                </c:ext>
              </c:extLst>
            </c:dLbl>
            <c:dLbl>
              <c:idx val="2"/>
              <c:layout>
                <c:manualLayout>
                  <c:x val="0"/>
                  <c:y val="1.54976781748435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F31-4C21-88E0-E690EF884B8F}"/>
                </c:ext>
              </c:extLst>
            </c:dLbl>
            <c:dLbl>
              <c:idx val="3"/>
              <c:layout>
                <c:manualLayout>
                  <c:x val="2.7777777777777779E-3"/>
                  <c:y val="1.13951140722793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F31-4C21-88E0-E690EF884B8F}"/>
                </c:ext>
              </c:extLst>
            </c:dLbl>
            <c:dLbl>
              <c:idx val="4"/>
              <c:layout>
                <c:manualLayout>
                  <c:x val="0"/>
                  <c:y val="7.47506561679790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F31-4C21-88E0-E690EF884B8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(N=97)</c:v>
                </c:pt>
                <c:pt idx="1">
                  <c:v>2016-17
 (N=171)</c:v>
                </c:pt>
                <c:pt idx="2">
                  <c:v>2017-18
 (N=126)</c:v>
                </c:pt>
                <c:pt idx="3">
                  <c:v>2018-19
 (N=173)</c:v>
                </c:pt>
                <c:pt idx="4">
                  <c:v>2019-20
 (N=177)</c:v>
                </c:pt>
              </c:strCache>
            </c:strRef>
          </c:cat>
          <c:val>
            <c:numRef>
              <c:f>Sheet1!$D$2:$D$6</c:f>
              <c:numCache>
                <c:formatCode>#\ ###</c:formatCode>
                <c:ptCount val="5"/>
                <c:pt idx="0">
                  <c:v>17</c:v>
                </c:pt>
                <c:pt idx="1">
                  <c:v>21</c:v>
                </c:pt>
                <c:pt idx="2">
                  <c:v>19</c:v>
                </c:pt>
                <c:pt idx="3">
                  <c:v>21</c:v>
                </c:pt>
                <c:pt idx="4">
                  <c:v>6</c:v>
                </c:pt>
              </c:numCache>
            </c:numRef>
          </c:val>
          <c:extLst>
            <c:ext xmlns:c16="http://schemas.microsoft.com/office/drawing/2014/chart" uri="{C3380CC4-5D6E-409C-BE32-E72D297353CC}">
              <c16:uniqueId val="{00000011-6F31-4C21-88E0-E690EF884B8F}"/>
            </c:ext>
          </c:extLst>
        </c:ser>
        <c:ser>
          <c:idx val="3"/>
          <c:order val="3"/>
          <c:tx>
            <c:strRef>
              <c:f>Sheet1!$E$1</c:f>
              <c:strCache>
                <c:ptCount val="1"/>
                <c:pt idx="0">
                  <c:v>Student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803E-3"/>
                  <c:y val="2.014778921865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F31-4C21-88E0-E690EF884B8F}"/>
                </c:ext>
              </c:extLst>
            </c:dLbl>
            <c:dLbl>
              <c:idx val="1"/>
              <c:layout>
                <c:manualLayout>
                  <c:x val="-1.0936132983377078E-7"/>
                  <c:y val="2.3520290732889158E-2"/>
                </c:manualLayout>
              </c:layout>
              <c:showLegendKey val="0"/>
              <c:showVal val="1"/>
              <c:showCatName val="0"/>
              <c:showSerName val="0"/>
              <c:showPercent val="0"/>
              <c:showBubbleSize val="0"/>
              <c:extLst>
                <c:ext xmlns:c15="http://schemas.microsoft.com/office/drawing/2012/chart" uri="{CE6537A1-D6FC-4f65-9D91-7224C49458BB}">
                  <c15:layout>
                    <c:manualLayout>
                      <c:w val="7.2986220472440938E-2"/>
                      <c:h val="6.5579648697758938E-2"/>
                    </c:manualLayout>
                  </c15:layout>
                </c:ext>
                <c:ext xmlns:c16="http://schemas.microsoft.com/office/drawing/2014/chart" uri="{C3380CC4-5D6E-409C-BE32-E72D297353CC}">
                  <c16:uniqueId val="{00000013-6F31-4C21-88E0-E690EF884B8F}"/>
                </c:ext>
              </c:extLst>
            </c:dLbl>
            <c:dLbl>
              <c:idx val="2"/>
              <c:layout>
                <c:manualLayout>
                  <c:x val="0"/>
                  <c:y val="1.94177266303249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F31-4C21-88E0-E690EF884B8F}"/>
                </c:ext>
              </c:extLst>
            </c:dLbl>
            <c:dLbl>
              <c:idx val="3"/>
              <c:layout>
                <c:manualLayout>
                  <c:x val="5.5555555555555558E-3"/>
                  <c:y val="2.4067837674136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F31-4C21-88E0-E690EF884B8F}"/>
                </c:ext>
              </c:extLst>
            </c:dLbl>
            <c:dLbl>
              <c:idx val="4"/>
              <c:layout>
                <c:manualLayout>
                  <c:x val="5.5555555555555558E-3"/>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F31-4C21-88E0-E690EF884B8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2015-16
 (N=97)</c:v>
                </c:pt>
                <c:pt idx="1">
                  <c:v>2016-17
 (N=171)</c:v>
                </c:pt>
                <c:pt idx="2">
                  <c:v>2017-18
 (N=126)</c:v>
                </c:pt>
                <c:pt idx="3">
                  <c:v>2018-19
 (N=173)</c:v>
                </c:pt>
                <c:pt idx="4">
                  <c:v>2019-20
 (N=177)</c:v>
                </c:pt>
              </c:strCache>
            </c:strRef>
          </c:cat>
          <c:val>
            <c:numRef>
              <c:f>Sheet1!$E$2:$E$6</c:f>
              <c:numCache>
                <c:formatCode>#\ ###</c:formatCode>
                <c:ptCount val="5"/>
                <c:pt idx="0">
                  <c:v>14</c:v>
                </c:pt>
                <c:pt idx="1">
                  <c:v>9</c:v>
                </c:pt>
                <c:pt idx="2">
                  <c:v>9</c:v>
                </c:pt>
                <c:pt idx="3">
                  <c:v>11</c:v>
                </c:pt>
                <c:pt idx="4">
                  <c:v>20</c:v>
                </c:pt>
              </c:numCache>
            </c:numRef>
          </c:val>
          <c:extLst>
            <c:ext xmlns:c16="http://schemas.microsoft.com/office/drawing/2014/chart" uri="{C3380CC4-5D6E-409C-BE32-E72D297353CC}">
              <c16:uniqueId val="{00000017-6F31-4C21-88E0-E690EF884B8F}"/>
            </c:ext>
          </c:extLst>
        </c:ser>
        <c:dLbls>
          <c:showLegendKey val="0"/>
          <c:showVal val="1"/>
          <c:showCatName val="0"/>
          <c:showSerName val="0"/>
          <c:showPercent val="0"/>
          <c:showBubbleSize val="0"/>
        </c:dLbls>
        <c:gapWidth val="150"/>
        <c:shape val="box"/>
        <c:axId val="704868496"/>
        <c:axId val="704862616"/>
        <c:axId val="0"/>
      </c:bar3DChart>
      <c:catAx>
        <c:axId val="704868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4862616"/>
        <c:crosses val="autoZero"/>
        <c:auto val="1"/>
        <c:lblAlgn val="ctr"/>
        <c:lblOffset val="100"/>
        <c:noMultiLvlLbl val="0"/>
      </c:catAx>
      <c:valAx>
        <c:axId val="70486261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04868496"/>
        <c:crosses val="autoZero"/>
        <c:crossBetween val="between"/>
      </c:valAx>
      <c:spPr>
        <a:noFill/>
        <a:ln>
          <a:noFill/>
        </a:ln>
        <a:effectLst/>
      </c:spPr>
    </c:plotArea>
    <c:legend>
      <c:legendPos val="r"/>
      <c:layout>
        <c:manualLayout>
          <c:xMode val="edge"/>
          <c:yMode val="edge"/>
          <c:x val="8.3333333333333329E-2"/>
          <c:y val="0.81526638400969109"/>
          <c:w val="0.84867125984251957"/>
          <c:h val="0.143707974964667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Unknowns=14</a:t>
          </a:r>
        </a:p>
      </cdr:txBody>
    </cdr:sp>
  </cdr:relSizeAnchor>
</c:userShapes>
</file>

<file path=word/drawings/drawing2.xml><?xml version="1.0" encoding="utf-8"?>
<c:userShapes xmlns:c="http://schemas.openxmlformats.org/drawingml/2006/chart">
  <cdr:relSizeAnchor xmlns:cdr="http://schemas.openxmlformats.org/drawingml/2006/chartDrawing">
    <cdr:from>
      <cdr:x>0.0014</cdr:x>
      <cdr:y>0.92496</cdr:y>
    </cdr:from>
    <cdr:to>
      <cdr:x>0.98383</cdr:x>
      <cdr:y>1</cdr:y>
    </cdr:to>
    <cdr:sp macro="" textlink="">
      <cdr:nvSpPr>
        <cdr:cNvPr id="4" name="Text Box 2"/>
        <cdr:cNvSpPr txBox="1">
          <a:spLocks xmlns:a="http://schemas.openxmlformats.org/drawingml/2006/main" noChangeArrowheads="1"/>
        </cdr:cNvSpPr>
      </cdr:nvSpPr>
      <cdr:spPr bwMode="auto">
        <a:xfrm xmlns:a="http://schemas.openxmlformats.org/drawingml/2006/main">
          <a:off x="2267" y="2264227"/>
          <a:ext cx="1587047" cy="18369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r>
            <a:rPr lang="en-CA" sz="850"/>
            <a:t>Unknows=9</a:t>
          </a:r>
        </a:p>
      </cdr:txBody>
    </cdr:sp>
  </cdr:relSizeAnchor>
</c:userShapes>
</file>

<file path=word/drawings/drawing3.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Unknown=1</a:t>
          </a:r>
        </a:p>
      </cdr:txBody>
    </cdr:sp>
  </cdr:relSizeAnchor>
</c:userShapes>
</file>

<file path=word/drawings/drawing4.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-Regional distribution excludes unknowns</a:t>
          </a:r>
        </a:p>
      </cdr:txBody>
    </cdr:sp>
  </cdr:relSizeAnchor>
</c:userShapes>
</file>

<file path=word/drawings/drawing5.xml><?xml version="1.0" encoding="utf-8"?>
<c:userShapes xmlns:c="http://schemas.openxmlformats.org/drawingml/2006/chart">
  <cdr:relSizeAnchor xmlns:cdr="http://schemas.openxmlformats.org/drawingml/2006/chartDrawing">
    <cdr:from>
      <cdr:x>0.01772</cdr:x>
      <cdr:y>0.81861</cdr:y>
    </cdr:from>
    <cdr:to>
      <cdr:x>0.9823</cdr:x>
      <cdr:y>1</cdr:y>
    </cdr:to>
    <cdr:sp macro="" textlink="">
      <cdr:nvSpPr>
        <cdr:cNvPr id="2" name="Text Box 1"/>
        <cdr:cNvSpPr txBox="1"/>
      </cdr:nvSpPr>
      <cdr:spPr>
        <a:xfrm xmlns:a="http://schemas.openxmlformats.org/drawingml/2006/main">
          <a:off x="64475" y="2971800"/>
          <a:ext cx="3509673" cy="6584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a:t>
          </a:r>
          <a:r>
            <a:rPr lang="en-CA" sz="850" baseline="0"/>
            <a:t>Includes indeterminate and specified term appointments</a:t>
          </a:r>
        </a:p>
        <a:p xmlns:a="http://schemas.openxmlformats.org/drawingml/2006/main">
          <a:pPr>
            <a:lnSpc>
              <a:spcPts val="900"/>
            </a:lnSpc>
          </a:pPr>
          <a:r>
            <a:rPr lang="en-CA" sz="850" baseline="0"/>
            <a:t>-Excludes lateral and downward movements, deployments and acting appointments  of less than 4 months</a:t>
          </a:r>
        </a:p>
        <a:p xmlns:a="http://schemas.openxmlformats.org/drawingml/2006/main">
          <a:pPr>
            <a:lnSpc>
              <a:spcPts val="900"/>
            </a:lnSpc>
          </a:pPr>
          <a:r>
            <a:rPr lang="en-CA" sz="850" baseline="0"/>
            <a:t>- Includes only appointments where the staffing process type is known </a:t>
          </a:r>
          <a:r>
            <a:rPr lang="en-CA" sz="850" baseline="0">
              <a:solidFill>
                <a:sysClr val="windowText" lastClr="000000"/>
              </a:solidFill>
            </a:rPr>
            <a:t>(68% to 92</a:t>
          </a:r>
          <a:r>
            <a:rPr lang="en-CA" sz="850" baseline="0"/>
            <a:t>% of appointments)</a:t>
          </a:r>
          <a:endParaRPr lang="en-CA" sz="850"/>
        </a:p>
      </cdr:txBody>
    </cdr:sp>
  </cdr:relSizeAnchor>
</c:userShapes>
</file>

<file path=word/drawings/drawing6.xml><?xml version="1.0" encoding="utf-8"?>
<c:userShapes xmlns:c="http://schemas.openxmlformats.org/drawingml/2006/chart">
  <cdr:relSizeAnchor xmlns:cdr="http://schemas.openxmlformats.org/drawingml/2006/chartDrawing">
    <cdr:from>
      <cdr:x>0.00086</cdr:x>
      <cdr:y>0.85764</cdr:y>
    </cdr:from>
    <cdr:to>
      <cdr:x>0.89136</cdr:x>
      <cdr:y>1</cdr:y>
    </cdr:to>
    <cdr:sp macro="" textlink="">
      <cdr:nvSpPr>
        <cdr:cNvPr id="2" name="Text Box 1" descr="* Indeterminate and term hires with experience in a federal student recruitment program within the last 10 years.&#10;"/>
        <cdr:cNvSpPr txBox="1"/>
      </cdr:nvSpPr>
      <cdr:spPr>
        <a:xfrm xmlns:a="http://schemas.openxmlformats.org/drawingml/2006/main">
          <a:off x="2941" y="2838450"/>
          <a:ext cx="3045042" cy="4711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1100"/>
            <a:t>* </a:t>
          </a:r>
          <a:r>
            <a:rPr lang="en-CA" sz="800"/>
            <a:t>Hires with experience in a federal student recruitment program within the last 10 years</a:t>
          </a:r>
        </a:p>
      </cdr:txBody>
    </cdr: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0.26312</cdr:x>
      <cdr:y>0.20322</cdr:y>
    </cdr:from>
    <cdr:to>
      <cdr:x>0.26451</cdr:x>
      <cdr:y>0.75324</cdr:y>
    </cdr:to>
    <cdr:cxnSp macro="">
      <cdr:nvCxnSpPr>
        <cdr:cNvPr id="5" name="Straight Connector 4" descr="Median line fof the specified organization's internal time to staff graphic"/>
        <cdr:cNvCxnSpPr/>
      </cdr:nvCxnSpPr>
      <cdr:spPr>
        <a:xfrm xmlns:a="http://schemas.openxmlformats.org/drawingml/2006/main" flipV="1">
          <a:off x="1157875" y="576818"/>
          <a:ext cx="6117" cy="1561204"/>
        </a:xfrm>
        <a:prstGeom xmlns:a="http://schemas.openxmlformats.org/drawingml/2006/main" prst="line">
          <a:avLst/>
        </a:prstGeom>
        <a:ln xmlns:a="http://schemas.openxmlformats.org/drawingml/2006/main">
          <a:solidFill>
            <a:srgbClr val="00206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00206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74911-6EE3-4B00-AACE-047C919B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PSC-Letterhead-Corpo2019.dotx</Template>
  <TotalTime>0</TotalTime>
  <Pages>31</Pages>
  <Words>5819</Words>
  <Characters>33173</Characters>
  <Application>Microsoft Office Word</Application>
  <DocSecurity>0</DocSecurity>
  <Lines>276</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Ferreira</dc:creator>
  <cp:keywords/>
  <dc:description/>
  <cp:lastModifiedBy>Snjezana Kulic</cp:lastModifiedBy>
  <cp:revision>2</cp:revision>
  <dcterms:created xsi:type="dcterms:W3CDTF">2022-03-04T22:47:00Z</dcterms:created>
  <dcterms:modified xsi:type="dcterms:W3CDTF">2022-03-04T22:47:00Z</dcterms:modified>
</cp:coreProperties>
</file>