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8.xml" ContentType="application/vnd.openxmlformats-officedocument.drawingml.chartshapes+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5700" w14:textId="4F65AFB5" w:rsidR="002944FE" w:rsidRPr="002F07D8" w:rsidRDefault="00F21E3E" w:rsidP="002F07D8">
      <w:pPr>
        <w:pStyle w:val="Title"/>
        <w:rPr>
          <w:sz w:val="52"/>
          <w:szCs w:val="52"/>
        </w:rPr>
      </w:pPr>
      <w:bookmarkStart w:id="0" w:name="_Hlk74048390"/>
      <w:bookmarkEnd w:id="0"/>
      <w:r w:rsidRPr="002F07D8">
        <w:rPr>
          <w:sz w:val="52"/>
          <w:szCs w:val="52"/>
        </w:rPr>
        <w:t>Réunion de Pa</w:t>
      </w:r>
      <w:r w:rsidR="002944FE" w:rsidRPr="002F07D8">
        <w:rPr>
          <w:sz w:val="52"/>
          <w:szCs w:val="52"/>
        </w:rPr>
        <w:t xml:space="preserve">trick Borbey, </w:t>
      </w:r>
      <w:r w:rsidR="004405F4">
        <w:rPr>
          <w:sz w:val="52"/>
          <w:szCs w:val="52"/>
        </w:rPr>
        <w:t>P</w:t>
      </w:r>
      <w:r w:rsidRPr="002F07D8">
        <w:rPr>
          <w:sz w:val="52"/>
          <w:szCs w:val="52"/>
        </w:rPr>
        <w:t>r</w:t>
      </w:r>
      <w:r w:rsidR="004405F4">
        <w:rPr>
          <w:sz w:val="52"/>
          <w:szCs w:val="52"/>
        </w:rPr>
        <w:t>é</w:t>
      </w:r>
      <w:r w:rsidRPr="002F07D8">
        <w:rPr>
          <w:sz w:val="52"/>
          <w:szCs w:val="52"/>
        </w:rPr>
        <w:t>sident de la CFP</w:t>
      </w:r>
      <w:r w:rsidR="002944FE" w:rsidRPr="002F07D8">
        <w:rPr>
          <w:sz w:val="52"/>
          <w:szCs w:val="52"/>
        </w:rPr>
        <w:t xml:space="preserve">, </w:t>
      </w:r>
      <w:r w:rsidRPr="002F07D8">
        <w:rPr>
          <w:sz w:val="52"/>
          <w:szCs w:val="52"/>
        </w:rPr>
        <w:t>et</w:t>
      </w:r>
      <w:r w:rsidR="002944FE" w:rsidRPr="002F07D8">
        <w:rPr>
          <w:sz w:val="52"/>
          <w:szCs w:val="52"/>
        </w:rPr>
        <w:t xml:space="preserve"> Doug Chorney, </w:t>
      </w:r>
      <w:r w:rsidRPr="002F07D8">
        <w:rPr>
          <w:sz w:val="52"/>
          <w:szCs w:val="52"/>
        </w:rPr>
        <w:t>Commissaire en chef</w:t>
      </w:r>
      <w:r w:rsidR="002944FE" w:rsidRPr="002F07D8">
        <w:rPr>
          <w:sz w:val="52"/>
          <w:szCs w:val="52"/>
        </w:rPr>
        <w:t xml:space="preserve">, </w:t>
      </w:r>
      <w:r w:rsidRPr="002F07D8">
        <w:rPr>
          <w:sz w:val="52"/>
          <w:szCs w:val="52"/>
        </w:rPr>
        <w:t>Commission canadienne des grains</w:t>
      </w:r>
    </w:p>
    <w:p w14:paraId="62326866" w14:textId="7B8F2B8F" w:rsidR="002944FE" w:rsidRPr="002F07D8" w:rsidRDefault="002944FE" w:rsidP="00067BCA">
      <w:pPr>
        <w:spacing w:after="240"/>
        <w:jc w:val="center"/>
        <w:rPr>
          <w:rFonts w:asciiTheme="majorHAnsi" w:hAnsiTheme="majorHAnsi" w:cstheme="majorHAnsi"/>
          <w:sz w:val="52"/>
          <w:szCs w:val="52"/>
        </w:rPr>
      </w:pPr>
      <w:r w:rsidRPr="002F07D8">
        <w:rPr>
          <w:rFonts w:asciiTheme="majorHAnsi" w:hAnsiTheme="majorHAnsi" w:cstheme="majorHAnsi"/>
          <w:sz w:val="52"/>
          <w:szCs w:val="52"/>
        </w:rPr>
        <w:t>*</w:t>
      </w:r>
      <w:r w:rsidR="00467D72" w:rsidRPr="002F07D8">
        <w:rPr>
          <w:rFonts w:asciiTheme="majorHAnsi" w:hAnsiTheme="majorHAnsi" w:cstheme="majorHAnsi"/>
          <w:sz w:val="52"/>
          <w:szCs w:val="52"/>
        </w:rPr>
        <w:t xml:space="preserve"> Informations à jour en Février 2021</w:t>
      </w:r>
    </w:p>
    <w:p w14:paraId="0D755AD6" w14:textId="3E8706EF" w:rsidR="002944FE" w:rsidRPr="00067BCA" w:rsidRDefault="002944FE" w:rsidP="00067BCA">
      <w:pPr>
        <w:pStyle w:val="Heading1"/>
        <w:spacing w:after="120"/>
        <w:rPr>
          <w:rFonts w:cstheme="majorHAnsi"/>
        </w:rPr>
      </w:pPr>
      <w:r w:rsidRPr="00067BCA">
        <w:rPr>
          <w:rFonts w:cstheme="majorHAnsi"/>
        </w:rPr>
        <w:t>Introduction</w:t>
      </w:r>
    </w:p>
    <w:p w14:paraId="62B2A194" w14:textId="1BE33601" w:rsidR="002944FE" w:rsidRPr="00671B35" w:rsidRDefault="00467D72" w:rsidP="00D85628">
      <w:pPr>
        <w:pStyle w:val="Heading2"/>
        <w:spacing w:after="120"/>
      </w:pPr>
      <w:r w:rsidRPr="00671B35">
        <w:t>Administrateur général</w:t>
      </w:r>
    </w:p>
    <w:p w14:paraId="79ED8799" w14:textId="647154D1" w:rsidR="002944FE" w:rsidRPr="00D85628" w:rsidRDefault="00693018" w:rsidP="00067BCA">
      <w:pPr>
        <w:pStyle w:val="NoSpacing"/>
        <w:spacing w:after="120"/>
        <w:rPr>
          <w:rFonts w:asciiTheme="minorHAnsi" w:hAnsiTheme="minorHAnsi" w:cstheme="minorHAnsi"/>
          <w:sz w:val="22"/>
          <w:szCs w:val="22"/>
          <w:lang w:val="fr-CA" w:eastAsia="en-CA"/>
        </w:rPr>
      </w:pPr>
      <w:r w:rsidRPr="00D85628">
        <w:rPr>
          <w:rFonts w:asciiTheme="minorHAnsi" w:hAnsiTheme="minorHAnsi" w:cstheme="minorHAnsi"/>
          <w:sz w:val="22"/>
          <w:szCs w:val="22"/>
          <w:lang w:val="fr-CA" w:eastAsia="en-CA"/>
        </w:rPr>
        <w:t xml:space="preserve">D’abord nommé </w:t>
      </w:r>
      <w:r w:rsidR="004405F4">
        <w:rPr>
          <w:rFonts w:asciiTheme="minorHAnsi" w:hAnsiTheme="minorHAnsi" w:cstheme="minorHAnsi"/>
          <w:sz w:val="22"/>
          <w:szCs w:val="22"/>
          <w:lang w:val="fr-CA" w:eastAsia="en-CA"/>
        </w:rPr>
        <w:t>C</w:t>
      </w:r>
      <w:r w:rsidRPr="00D85628">
        <w:rPr>
          <w:rFonts w:asciiTheme="minorHAnsi" w:hAnsiTheme="minorHAnsi" w:cstheme="minorHAnsi"/>
          <w:sz w:val="22"/>
          <w:szCs w:val="22"/>
          <w:lang w:val="fr-CA" w:eastAsia="en-CA"/>
        </w:rPr>
        <w:t>ommissaire en chef</w:t>
      </w:r>
      <w:r w:rsidR="009D2FD5" w:rsidRPr="00D85628">
        <w:rPr>
          <w:rFonts w:asciiTheme="minorHAnsi" w:hAnsiTheme="minorHAnsi" w:cstheme="minorHAnsi"/>
          <w:sz w:val="22"/>
          <w:szCs w:val="22"/>
          <w:lang w:val="fr-CA" w:eastAsia="en-CA"/>
        </w:rPr>
        <w:t xml:space="preserve"> par intérim en juin 202</w:t>
      </w:r>
      <w:r w:rsidRPr="00D85628">
        <w:rPr>
          <w:rFonts w:asciiTheme="minorHAnsi" w:hAnsiTheme="minorHAnsi" w:cstheme="minorHAnsi"/>
          <w:sz w:val="22"/>
          <w:szCs w:val="22"/>
          <w:lang w:val="fr-CA" w:eastAsia="en-CA"/>
        </w:rPr>
        <w:t xml:space="preserve">0, Doug Chorney a </w:t>
      </w:r>
      <w:r w:rsidR="00CF3817" w:rsidRPr="00D85628">
        <w:rPr>
          <w:rFonts w:asciiTheme="minorHAnsi" w:hAnsiTheme="minorHAnsi" w:cstheme="minorHAnsi"/>
          <w:sz w:val="22"/>
          <w:szCs w:val="22"/>
          <w:lang w:val="fr-CA" w:eastAsia="en-CA"/>
        </w:rPr>
        <w:t xml:space="preserve">officiellement </w:t>
      </w:r>
      <w:r w:rsidRPr="00D85628">
        <w:rPr>
          <w:rFonts w:asciiTheme="minorHAnsi" w:hAnsiTheme="minorHAnsi" w:cstheme="minorHAnsi"/>
          <w:sz w:val="22"/>
          <w:szCs w:val="22"/>
          <w:lang w:val="fr-CA" w:eastAsia="en-CA"/>
        </w:rPr>
        <w:t xml:space="preserve">été nommé </w:t>
      </w:r>
      <w:r w:rsidR="004405F4">
        <w:rPr>
          <w:rFonts w:asciiTheme="minorHAnsi" w:hAnsiTheme="minorHAnsi" w:cstheme="minorHAnsi"/>
          <w:sz w:val="22"/>
          <w:szCs w:val="22"/>
          <w:lang w:val="fr-CA" w:eastAsia="en-CA"/>
        </w:rPr>
        <w:t>C</w:t>
      </w:r>
      <w:r w:rsidRPr="00D85628">
        <w:rPr>
          <w:rFonts w:asciiTheme="minorHAnsi" w:hAnsiTheme="minorHAnsi" w:cstheme="minorHAnsi"/>
          <w:sz w:val="22"/>
          <w:szCs w:val="22"/>
          <w:lang w:val="fr-CA" w:eastAsia="en-CA"/>
        </w:rPr>
        <w:t>ommissaire en chef de la Commission canadienne des grains (CCG) le 21 décemb</w:t>
      </w:r>
      <w:r w:rsidR="00E40B68" w:rsidRPr="00D85628">
        <w:rPr>
          <w:rFonts w:asciiTheme="minorHAnsi" w:hAnsiTheme="minorHAnsi" w:cstheme="minorHAnsi"/>
          <w:sz w:val="22"/>
          <w:szCs w:val="22"/>
          <w:lang w:val="fr-CA" w:eastAsia="en-CA"/>
        </w:rPr>
        <w:t>re 2020 pour une durée de trois </w:t>
      </w:r>
      <w:r w:rsidRPr="00D85628">
        <w:rPr>
          <w:rFonts w:asciiTheme="minorHAnsi" w:hAnsiTheme="minorHAnsi" w:cstheme="minorHAnsi"/>
          <w:sz w:val="22"/>
          <w:szCs w:val="22"/>
          <w:lang w:val="fr-CA" w:eastAsia="en-CA"/>
        </w:rPr>
        <w:t>ans.</w:t>
      </w:r>
    </w:p>
    <w:p w14:paraId="1DDDA55A" w14:textId="3B89F17B" w:rsidR="002944FE" w:rsidRPr="00D85628" w:rsidRDefault="00E40B68" w:rsidP="00067BCA">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Doug </w:t>
      </w:r>
      <w:r w:rsidR="00693018" w:rsidRPr="00D85628">
        <w:rPr>
          <w:rFonts w:asciiTheme="minorHAnsi" w:hAnsiTheme="minorHAnsi" w:cstheme="minorHAnsi"/>
          <w:sz w:val="22"/>
          <w:szCs w:val="22"/>
          <w:lang w:val="fr-CA"/>
        </w:rPr>
        <w:t xml:space="preserve">Chorney exerce pour la première fois les pouvoirs de la Commission de la fonction publique (CFP) à titre d’administrateur général (AG). Une copie </w:t>
      </w:r>
      <w:r w:rsidR="00482550" w:rsidRPr="00482550">
        <w:rPr>
          <w:rFonts w:asciiTheme="minorHAnsi" w:hAnsiTheme="minorHAnsi" w:cstheme="minorHAnsi"/>
          <w:sz w:val="22"/>
          <w:szCs w:val="22"/>
          <w:lang w:val="fr-CA"/>
        </w:rPr>
        <w:t xml:space="preserve">du document Faits Saillants de </w:t>
      </w:r>
      <w:r w:rsidR="00693018" w:rsidRPr="00D85628">
        <w:rPr>
          <w:rFonts w:asciiTheme="minorHAnsi" w:hAnsiTheme="minorHAnsi" w:cstheme="minorHAnsi"/>
          <w:sz w:val="22"/>
          <w:szCs w:val="22"/>
          <w:lang w:val="fr-CA"/>
        </w:rPr>
        <w:t>la Nouvelle orientation en dotation (NOD) à l</w:t>
      </w:r>
      <w:r w:rsidRPr="00D85628">
        <w:rPr>
          <w:rFonts w:asciiTheme="minorHAnsi" w:hAnsiTheme="minorHAnsi" w:cstheme="minorHAnsi"/>
          <w:sz w:val="22"/>
          <w:szCs w:val="22"/>
          <w:lang w:val="fr-CA"/>
        </w:rPr>
        <w:t>’intention des </w:t>
      </w:r>
      <w:r w:rsidR="009D2FD5" w:rsidRPr="00D85628">
        <w:rPr>
          <w:rFonts w:asciiTheme="minorHAnsi" w:hAnsiTheme="minorHAnsi" w:cstheme="minorHAnsi"/>
          <w:sz w:val="22"/>
          <w:szCs w:val="22"/>
          <w:lang w:val="fr-CA"/>
        </w:rPr>
        <w:t xml:space="preserve">AG est </w:t>
      </w:r>
      <w:r w:rsidR="00693018" w:rsidRPr="00D85628">
        <w:rPr>
          <w:rFonts w:asciiTheme="minorHAnsi" w:hAnsiTheme="minorHAnsi" w:cstheme="minorHAnsi"/>
          <w:sz w:val="22"/>
          <w:szCs w:val="22"/>
          <w:lang w:val="fr-CA"/>
        </w:rPr>
        <w:t xml:space="preserve">jointe à </w:t>
      </w:r>
      <w:hyperlink w:anchor="AnnexA" w:history="1">
        <w:r w:rsidR="00DE6110" w:rsidRPr="00D85628">
          <w:rPr>
            <w:rStyle w:val="Hyperlink"/>
            <w:rFonts w:asciiTheme="minorHAnsi" w:hAnsiTheme="minorHAnsi" w:cstheme="minorHAnsi"/>
            <w:sz w:val="22"/>
            <w:szCs w:val="22"/>
            <w:lang w:val="fr-CA"/>
          </w:rPr>
          <w:t>l’annexe A.</w:t>
        </w:r>
      </w:hyperlink>
    </w:p>
    <w:p w14:paraId="0A2668C9" w14:textId="55CBC3F7" w:rsidR="002944FE" w:rsidRPr="00067BCA" w:rsidRDefault="00467D72" w:rsidP="00067BCA">
      <w:pPr>
        <w:pStyle w:val="Heading1"/>
        <w:spacing w:after="120"/>
        <w:rPr>
          <w:rFonts w:cstheme="majorHAnsi"/>
        </w:rPr>
      </w:pPr>
      <w:r w:rsidRPr="00067BCA">
        <w:rPr>
          <w:rFonts w:cstheme="majorHAnsi"/>
        </w:rPr>
        <w:t>Contexte organisationnel</w:t>
      </w:r>
    </w:p>
    <w:p w14:paraId="40C9A04D" w14:textId="21C37020" w:rsidR="002944FE" w:rsidRPr="00067BCA" w:rsidRDefault="002944FE" w:rsidP="00067BCA">
      <w:pPr>
        <w:pStyle w:val="Heading2"/>
        <w:spacing w:after="120"/>
        <w:rPr>
          <w:u w:val="single"/>
        </w:rPr>
      </w:pPr>
      <w:r w:rsidRPr="00067BCA">
        <w:t>Mandat</w:t>
      </w:r>
    </w:p>
    <w:p w14:paraId="27E13A00" w14:textId="3845A958" w:rsidR="002944FE" w:rsidRPr="00DE1CAE" w:rsidRDefault="00DE6110" w:rsidP="00DE1CAE">
      <w:pPr>
        <w:spacing w:after="120"/>
        <w:rPr>
          <w:rFonts w:asciiTheme="minorHAnsi" w:hAnsiTheme="minorHAnsi" w:cstheme="minorHAnsi"/>
          <w:sz w:val="22"/>
          <w:szCs w:val="18"/>
        </w:rPr>
      </w:pPr>
      <w:r w:rsidRPr="00DE1CAE">
        <w:rPr>
          <w:rFonts w:asciiTheme="minorHAnsi" w:hAnsiTheme="minorHAnsi" w:cstheme="minorHAnsi"/>
          <w:sz w:val="22"/>
          <w:szCs w:val="18"/>
        </w:rPr>
        <w:t>La</w:t>
      </w:r>
      <w:r w:rsidR="00E40B68" w:rsidRPr="00DE1CAE">
        <w:rPr>
          <w:rFonts w:asciiTheme="minorHAnsi" w:hAnsiTheme="minorHAnsi" w:cstheme="minorHAnsi"/>
          <w:sz w:val="22"/>
          <w:szCs w:val="18"/>
        </w:rPr>
        <w:t> </w:t>
      </w:r>
      <w:r w:rsidRPr="00DE1CAE">
        <w:rPr>
          <w:rFonts w:asciiTheme="minorHAnsi" w:hAnsiTheme="minorHAnsi" w:cstheme="minorHAnsi"/>
          <w:sz w:val="22"/>
          <w:szCs w:val="18"/>
        </w:rPr>
        <w:t>CCG réglemente la manutention des grains au Canada</w:t>
      </w:r>
      <w:r w:rsidR="009D2FD5" w:rsidRPr="00DE1CAE">
        <w:rPr>
          <w:rFonts w:asciiTheme="minorHAnsi" w:hAnsiTheme="minorHAnsi" w:cstheme="minorHAnsi"/>
          <w:sz w:val="22"/>
          <w:szCs w:val="18"/>
        </w:rPr>
        <w:t>,</w:t>
      </w:r>
      <w:r w:rsidRPr="00DE1CAE">
        <w:rPr>
          <w:rFonts w:asciiTheme="minorHAnsi" w:hAnsiTheme="minorHAnsi" w:cstheme="minorHAnsi"/>
          <w:sz w:val="22"/>
          <w:szCs w:val="18"/>
        </w:rPr>
        <w:t xml:space="preserve"> et elle établit et </w:t>
      </w:r>
      <w:r w:rsidR="00671B35" w:rsidRPr="00DE1CAE">
        <w:rPr>
          <w:rFonts w:asciiTheme="minorHAnsi" w:hAnsiTheme="minorHAnsi" w:cstheme="minorHAnsi"/>
          <w:sz w:val="22"/>
          <w:szCs w:val="18"/>
        </w:rPr>
        <w:t>maintien</w:t>
      </w:r>
      <w:r w:rsidRPr="00DE1CAE">
        <w:rPr>
          <w:rFonts w:asciiTheme="minorHAnsi" w:hAnsiTheme="minorHAnsi" w:cstheme="minorHAnsi"/>
          <w:sz w:val="22"/>
          <w:szCs w:val="18"/>
        </w:rPr>
        <w:t xml:space="preserve"> des normes de qualité fondées sur la science pour le grain canadien. Ses travaux de recherche, ses programmes et ses services contribuent à préserver la réputation du Canada en tant que source constante et fiable de grain de qualité supérieure.</w:t>
      </w:r>
    </w:p>
    <w:p w14:paraId="3101D375" w14:textId="14133B51" w:rsidR="002944FE" w:rsidRPr="00DE1CAE" w:rsidRDefault="00E40B68" w:rsidP="00DE1CAE">
      <w:pPr>
        <w:rPr>
          <w:rFonts w:asciiTheme="minorHAnsi" w:hAnsiTheme="minorHAnsi" w:cstheme="minorHAnsi"/>
          <w:sz w:val="22"/>
          <w:szCs w:val="18"/>
        </w:rPr>
      </w:pPr>
      <w:r w:rsidRPr="00DE1CAE">
        <w:rPr>
          <w:rFonts w:asciiTheme="minorHAnsi" w:hAnsiTheme="minorHAnsi" w:cstheme="minorHAnsi"/>
          <w:sz w:val="22"/>
          <w:szCs w:val="18"/>
        </w:rPr>
        <w:t>La </w:t>
      </w:r>
      <w:r w:rsidR="00DE6110" w:rsidRPr="00DE1CAE">
        <w:rPr>
          <w:rFonts w:asciiTheme="minorHAnsi" w:hAnsiTheme="minorHAnsi" w:cstheme="minorHAnsi"/>
          <w:sz w:val="22"/>
          <w:szCs w:val="18"/>
        </w:rPr>
        <w:t>CCG :</w:t>
      </w:r>
    </w:p>
    <w:p w14:paraId="55E00BE2" w14:textId="77777777" w:rsidR="009D2FD5" w:rsidRPr="00DE1CAE" w:rsidRDefault="00DE6110" w:rsidP="00DE1CAE">
      <w:pPr>
        <w:pStyle w:val="ListParagraph"/>
        <w:numPr>
          <w:ilvl w:val="0"/>
          <w:numId w:val="38"/>
        </w:numPr>
        <w:rPr>
          <w:rFonts w:asciiTheme="minorHAnsi" w:hAnsiTheme="minorHAnsi" w:cstheme="minorHAnsi"/>
          <w:sz w:val="22"/>
          <w:szCs w:val="18"/>
        </w:rPr>
      </w:pPr>
      <w:r w:rsidRPr="00DE1CAE">
        <w:rPr>
          <w:rFonts w:asciiTheme="minorHAnsi" w:hAnsiTheme="minorHAnsi" w:cstheme="minorHAnsi"/>
          <w:sz w:val="22"/>
          <w:szCs w:val="18"/>
        </w:rPr>
        <w:t>exécute des programmes d’assurance de la qualité et de la quantité des exportations de grain canadien;</w:t>
      </w:r>
    </w:p>
    <w:p w14:paraId="331DC1B2" w14:textId="6BC298B9" w:rsidR="009D2FD5" w:rsidRPr="00DE1CAE" w:rsidRDefault="00DE6110" w:rsidP="00DE1CAE">
      <w:pPr>
        <w:pStyle w:val="ListParagraph"/>
        <w:numPr>
          <w:ilvl w:val="0"/>
          <w:numId w:val="38"/>
        </w:numPr>
        <w:rPr>
          <w:rFonts w:asciiTheme="minorHAnsi" w:hAnsiTheme="minorHAnsi" w:cstheme="minorHAnsi"/>
          <w:sz w:val="22"/>
          <w:szCs w:val="18"/>
        </w:rPr>
      </w:pPr>
      <w:r w:rsidRPr="00DE1CAE">
        <w:rPr>
          <w:rFonts w:asciiTheme="minorHAnsi" w:hAnsiTheme="minorHAnsi" w:cstheme="minorHAnsi"/>
          <w:sz w:val="22"/>
          <w:szCs w:val="18"/>
        </w:rPr>
        <w:t xml:space="preserve">mène </w:t>
      </w:r>
      <w:r w:rsidR="00383314" w:rsidRPr="00DE1CAE">
        <w:rPr>
          <w:rFonts w:asciiTheme="minorHAnsi" w:hAnsiTheme="minorHAnsi" w:cstheme="minorHAnsi"/>
          <w:sz w:val="22"/>
          <w:szCs w:val="18"/>
        </w:rPr>
        <w:t>des travaux de</w:t>
      </w:r>
      <w:r w:rsidRPr="00DE1CAE">
        <w:rPr>
          <w:rFonts w:asciiTheme="minorHAnsi" w:hAnsiTheme="minorHAnsi" w:cstheme="minorHAnsi"/>
          <w:sz w:val="22"/>
          <w:szCs w:val="18"/>
        </w:rPr>
        <w:t xml:space="preserve"> recherche scientifique pour comprendre tous les aspects de la qualité et de la salubrité des grains</w:t>
      </w:r>
      <w:r w:rsidR="002944FE" w:rsidRPr="00DE1CAE">
        <w:rPr>
          <w:rFonts w:asciiTheme="minorHAnsi" w:hAnsiTheme="minorHAnsi" w:cstheme="minorHAnsi"/>
          <w:sz w:val="22"/>
          <w:szCs w:val="18"/>
        </w:rPr>
        <w:t>;</w:t>
      </w:r>
    </w:p>
    <w:p w14:paraId="6D064E43" w14:textId="77777777" w:rsidR="009D2FD5" w:rsidRPr="00DE1CAE" w:rsidRDefault="00DE6110" w:rsidP="00DE1CAE">
      <w:pPr>
        <w:pStyle w:val="ListParagraph"/>
        <w:numPr>
          <w:ilvl w:val="0"/>
          <w:numId w:val="38"/>
        </w:numPr>
        <w:rPr>
          <w:rFonts w:asciiTheme="minorHAnsi" w:hAnsiTheme="minorHAnsi" w:cstheme="minorHAnsi"/>
          <w:sz w:val="22"/>
          <w:szCs w:val="18"/>
        </w:rPr>
      </w:pPr>
      <w:r w:rsidRPr="00DE1CAE">
        <w:rPr>
          <w:rFonts w:asciiTheme="minorHAnsi" w:hAnsiTheme="minorHAnsi" w:cstheme="minorHAnsi"/>
          <w:sz w:val="22"/>
          <w:szCs w:val="18"/>
        </w:rPr>
        <w:t>établit et maintient le système canadien de classement des grains, fondé sur la science</w:t>
      </w:r>
      <w:r w:rsidR="002944FE" w:rsidRPr="00DE1CAE">
        <w:rPr>
          <w:rFonts w:asciiTheme="minorHAnsi" w:hAnsiTheme="minorHAnsi" w:cstheme="minorHAnsi"/>
          <w:sz w:val="22"/>
          <w:szCs w:val="18"/>
        </w:rPr>
        <w:t>;</w:t>
      </w:r>
    </w:p>
    <w:p w14:paraId="31A9EFEC" w14:textId="25F543C6" w:rsidR="002944FE" w:rsidRPr="00DE1CAE" w:rsidRDefault="00DE6110" w:rsidP="00DE1CAE">
      <w:pPr>
        <w:pStyle w:val="ListParagraph"/>
        <w:numPr>
          <w:ilvl w:val="0"/>
          <w:numId w:val="38"/>
        </w:numPr>
        <w:spacing w:after="120"/>
        <w:rPr>
          <w:rFonts w:asciiTheme="minorHAnsi" w:hAnsiTheme="minorHAnsi" w:cstheme="minorHAnsi"/>
          <w:sz w:val="22"/>
          <w:szCs w:val="18"/>
        </w:rPr>
      </w:pPr>
      <w:r w:rsidRPr="00DE1CAE">
        <w:rPr>
          <w:rFonts w:asciiTheme="minorHAnsi" w:hAnsiTheme="minorHAnsi" w:cstheme="minorHAnsi"/>
          <w:sz w:val="22"/>
          <w:szCs w:val="18"/>
        </w:rPr>
        <w:t>veille à ce que les agriculteurs soient dûment rémunérés pour leur grain</w:t>
      </w:r>
      <w:r w:rsidR="002944FE" w:rsidRPr="00DE1CAE">
        <w:rPr>
          <w:rFonts w:asciiTheme="minorHAnsi" w:hAnsiTheme="minorHAnsi" w:cstheme="minorHAnsi"/>
          <w:sz w:val="22"/>
          <w:szCs w:val="18"/>
        </w:rPr>
        <w:t>.</w:t>
      </w:r>
    </w:p>
    <w:p w14:paraId="6917F66B" w14:textId="68F57F64" w:rsidR="002944FE" w:rsidRPr="00671B35" w:rsidRDefault="006F2DFE" w:rsidP="00D85628">
      <w:pPr>
        <w:pStyle w:val="Heading2"/>
        <w:spacing w:after="120"/>
        <w:rPr>
          <w:u w:val="single"/>
        </w:rPr>
      </w:pPr>
      <w:r w:rsidRPr="00671B35">
        <w:t>Défis</w:t>
      </w:r>
    </w:p>
    <w:p w14:paraId="7D528FC4" w14:textId="6E2C0DE1" w:rsidR="002944FE" w:rsidRPr="00D85628" w:rsidRDefault="00DE6110"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 xml:space="preserve">Afin </w:t>
      </w:r>
      <w:r w:rsidR="009D2FD5" w:rsidRPr="00D85628">
        <w:rPr>
          <w:rFonts w:asciiTheme="minorHAnsi" w:hAnsiTheme="minorHAnsi" w:cstheme="minorHAnsi"/>
          <w:sz w:val="22"/>
          <w:szCs w:val="22"/>
          <w:lang w:val="fr-CA"/>
        </w:rPr>
        <w:t>de favoriser le recrutement d’employés au sein du</w:t>
      </w:r>
      <w:r w:rsidRPr="00D85628">
        <w:rPr>
          <w:rFonts w:asciiTheme="minorHAnsi" w:hAnsiTheme="minorHAnsi" w:cstheme="minorHAnsi"/>
          <w:sz w:val="22"/>
          <w:szCs w:val="22"/>
          <w:lang w:val="fr-CA"/>
        </w:rPr>
        <w:t xml:space="preserve"> groupe Services techniques, plus particulièrement du groupe professionnel Inspection des produits primaires (PI)</w:t>
      </w:r>
      <w:r w:rsidR="00E40B68" w:rsidRPr="00D85628">
        <w:rPr>
          <w:rFonts w:asciiTheme="minorHAnsi" w:hAnsiTheme="minorHAnsi" w:cstheme="minorHAnsi"/>
          <w:sz w:val="22"/>
          <w:szCs w:val="22"/>
          <w:lang w:val="fr-CA"/>
        </w:rPr>
        <w:t>, la </w:t>
      </w:r>
      <w:r w:rsidRPr="00D85628">
        <w:rPr>
          <w:rFonts w:asciiTheme="minorHAnsi" w:hAnsiTheme="minorHAnsi" w:cstheme="minorHAnsi"/>
          <w:sz w:val="22"/>
          <w:szCs w:val="22"/>
          <w:lang w:val="fr-CA"/>
        </w:rPr>
        <w:t xml:space="preserve">CCG a mis en place un programme de perfectionnement professionnel et d’apprentissage (PPPA) </w:t>
      </w:r>
      <w:r w:rsidR="00D75853" w:rsidRPr="00D85628">
        <w:rPr>
          <w:rFonts w:asciiTheme="minorHAnsi" w:hAnsiTheme="minorHAnsi" w:cstheme="minorHAnsi"/>
          <w:sz w:val="22"/>
          <w:szCs w:val="22"/>
          <w:lang w:val="fr-CA"/>
        </w:rPr>
        <w:t>d’une durée de quatre </w:t>
      </w:r>
      <w:r w:rsidRPr="00D85628">
        <w:rPr>
          <w:rFonts w:asciiTheme="minorHAnsi" w:hAnsiTheme="minorHAnsi" w:cstheme="minorHAnsi"/>
          <w:sz w:val="22"/>
          <w:szCs w:val="22"/>
          <w:lang w:val="fr-CA"/>
        </w:rPr>
        <w:t xml:space="preserve">ans qui est destiné aux </w:t>
      </w:r>
      <w:r w:rsidR="004405F4">
        <w:rPr>
          <w:rFonts w:asciiTheme="minorHAnsi" w:hAnsiTheme="minorHAnsi" w:cstheme="minorHAnsi"/>
          <w:sz w:val="22"/>
          <w:szCs w:val="22"/>
          <w:lang w:val="fr-CA"/>
        </w:rPr>
        <w:t>i</w:t>
      </w:r>
      <w:r w:rsidR="00E40B68" w:rsidRPr="00D85628">
        <w:rPr>
          <w:rFonts w:asciiTheme="minorHAnsi" w:hAnsiTheme="minorHAnsi" w:cstheme="minorHAnsi"/>
          <w:sz w:val="22"/>
          <w:szCs w:val="22"/>
          <w:lang w:val="fr-CA"/>
        </w:rPr>
        <w:t>nspecteurs de grains du groupe </w:t>
      </w:r>
      <w:r w:rsidRPr="00D85628">
        <w:rPr>
          <w:rFonts w:asciiTheme="minorHAnsi" w:hAnsiTheme="minorHAnsi" w:cstheme="minorHAnsi"/>
          <w:sz w:val="22"/>
          <w:szCs w:val="22"/>
          <w:lang w:val="fr-CA"/>
        </w:rPr>
        <w:t xml:space="preserve">PI. </w:t>
      </w:r>
      <w:r w:rsidR="00CF3817" w:rsidRPr="00D85628">
        <w:rPr>
          <w:rFonts w:asciiTheme="minorHAnsi" w:hAnsiTheme="minorHAnsi" w:cstheme="minorHAnsi"/>
          <w:sz w:val="22"/>
          <w:szCs w:val="22"/>
          <w:lang w:val="fr-CA"/>
        </w:rPr>
        <w:t>On a toutefois constaté qu’une</w:t>
      </w:r>
      <w:r w:rsidRPr="00D85628">
        <w:rPr>
          <w:rFonts w:asciiTheme="minorHAnsi" w:hAnsiTheme="minorHAnsi" w:cstheme="minorHAnsi"/>
          <w:sz w:val="22"/>
          <w:szCs w:val="22"/>
          <w:lang w:val="fr-CA"/>
        </w:rPr>
        <w:t xml:space="preserve"> fois les empl</w:t>
      </w:r>
      <w:r w:rsidR="009D2FD5" w:rsidRPr="00D85628">
        <w:rPr>
          <w:rFonts w:asciiTheme="minorHAnsi" w:hAnsiTheme="minorHAnsi" w:cstheme="minorHAnsi"/>
          <w:sz w:val="22"/>
          <w:szCs w:val="22"/>
          <w:lang w:val="fr-CA"/>
        </w:rPr>
        <w:t xml:space="preserve">oyés embauchés </w:t>
      </w:r>
      <w:r w:rsidR="00CF3817" w:rsidRPr="00D85628">
        <w:rPr>
          <w:rFonts w:asciiTheme="minorHAnsi" w:hAnsiTheme="minorHAnsi" w:cstheme="minorHAnsi"/>
          <w:sz w:val="22"/>
          <w:szCs w:val="22"/>
          <w:lang w:val="fr-CA"/>
        </w:rPr>
        <w:t xml:space="preserve">par </w:t>
      </w:r>
      <w:r w:rsidR="00CF3817" w:rsidRPr="00D85628">
        <w:rPr>
          <w:rFonts w:asciiTheme="minorHAnsi" w:hAnsiTheme="minorHAnsi" w:cstheme="minorHAnsi"/>
          <w:sz w:val="22"/>
          <w:szCs w:val="22"/>
          <w:lang w:val="fr-CA"/>
        </w:rPr>
        <w:lastRenderedPageBreak/>
        <w:t>l’entremise du</w:t>
      </w:r>
      <w:r w:rsidR="009D2FD5" w:rsidRPr="00D85628">
        <w:rPr>
          <w:rFonts w:asciiTheme="minorHAnsi" w:hAnsiTheme="minorHAnsi" w:cstheme="minorHAnsi"/>
          <w:sz w:val="22"/>
          <w:szCs w:val="22"/>
          <w:lang w:val="fr-CA"/>
        </w:rPr>
        <w:t> </w:t>
      </w:r>
      <w:r w:rsidRPr="00D85628">
        <w:rPr>
          <w:rFonts w:asciiTheme="minorHAnsi" w:hAnsiTheme="minorHAnsi" w:cstheme="minorHAnsi"/>
          <w:sz w:val="22"/>
          <w:szCs w:val="22"/>
          <w:lang w:val="fr-CA"/>
        </w:rPr>
        <w:t>Programme,</w:t>
      </w:r>
      <w:r w:rsidR="001E2C10" w:rsidRPr="00D85628">
        <w:rPr>
          <w:rFonts w:asciiTheme="minorHAnsi" w:hAnsiTheme="minorHAnsi" w:cstheme="minorHAnsi"/>
          <w:sz w:val="22"/>
          <w:szCs w:val="22"/>
          <w:lang w:val="fr-CA"/>
        </w:rPr>
        <w:t xml:space="preserve"> </w:t>
      </w:r>
      <w:r w:rsidR="009D2FD5" w:rsidRPr="00D85628">
        <w:rPr>
          <w:rFonts w:asciiTheme="minorHAnsi" w:hAnsiTheme="minorHAnsi" w:cstheme="minorHAnsi"/>
          <w:sz w:val="22"/>
          <w:szCs w:val="22"/>
          <w:lang w:val="fr-CA"/>
        </w:rPr>
        <w:t>des</w:t>
      </w:r>
      <w:r w:rsidR="001E2C10" w:rsidRPr="00D85628">
        <w:rPr>
          <w:rFonts w:asciiTheme="minorHAnsi" w:hAnsiTheme="minorHAnsi" w:cstheme="minorHAnsi"/>
          <w:sz w:val="22"/>
          <w:szCs w:val="22"/>
          <w:lang w:val="fr-CA"/>
        </w:rPr>
        <w:t xml:space="preserve"> problèmes liés au maintien en poste </w:t>
      </w:r>
      <w:r w:rsidR="00CF3817" w:rsidRPr="00D85628">
        <w:rPr>
          <w:rFonts w:asciiTheme="minorHAnsi" w:hAnsiTheme="minorHAnsi" w:cstheme="minorHAnsi"/>
          <w:sz w:val="22"/>
          <w:szCs w:val="22"/>
          <w:lang w:val="fr-CA"/>
        </w:rPr>
        <w:t xml:space="preserve">surviennent </w:t>
      </w:r>
      <w:r w:rsidR="001E2C10" w:rsidRPr="00D85628">
        <w:rPr>
          <w:rFonts w:asciiTheme="minorHAnsi" w:hAnsiTheme="minorHAnsi" w:cstheme="minorHAnsi"/>
          <w:sz w:val="22"/>
          <w:szCs w:val="22"/>
          <w:lang w:val="fr-CA"/>
        </w:rPr>
        <w:t xml:space="preserve">en raison des exigences opérationnelles </w:t>
      </w:r>
      <w:r w:rsidR="00D75853" w:rsidRPr="00D85628">
        <w:rPr>
          <w:rFonts w:asciiTheme="minorHAnsi" w:hAnsiTheme="minorHAnsi" w:cstheme="minorHAnsi"/>
          <w:sz w:val="22"/>
          <w:szCs w:val="22"/>
          <w:lang w:val="fr-CA"/>
        </w:rPr>
        <w:t>du poste</w:t>
      </w:r>
      <w:r w:rsidR="001E2C10" w:rsidRPr="00D85628">
        <w:rPr>
          <w:rFonts w:asciiTheme="minorHAnsi" w:hAnsiTheme="minorHAnsi" w:cstheme="minorHAnsi"/>
          <w:sz w:val="22"/>
          <w:szCs w:val="22"/>
          <w:lang w:val="fr-CA"/>
        </w:rPr>
        <w:t xml:space="preserve">, qui comprennent la nécessité de voyager et l’obligation de travailler </w:t>
      </w:r>
      <w:r w:rsidR="00D75853" w:rsidRPr="00D85628">
        <w:rPr>
          <w:rFonts w:asciiTheme="minorHAnsi" w:hAnsiTheme="minorHAnsi" w:cstheme="minorHAnsi"/>
          <w:sz w:val="22"/>
          <w:szCs w:val="22"/>
          <w:lang w:val="fr-CA"/>
        </w:rPr>
        <w:t>le soir et la fin de semaine</w:t>
      </w:r>
      <w:r w:rsidR="001E2C10" w:rsidRPr="00D85628">
        <w:rPr>
          <w:rFonts w:asciiTheme="minorHAnsi" w:hAnsiTheme="minorHAnsi" w:cstheme="minorHAnsi"/>
          <w:sz w:val="22"/>
          <w:szCs w:val="22"/>
          <w:lang w:val="fr-CA"/>
        </w:rPr>
        <w:t>.</w:t>
      </w:r>
    </w:p>
    <w:p w14:paraId="4FE31BCD" w14:textId="39F06965" w:rsidR="002944FE" w:rsidRPr="00D85628" w:rsidRDefault="001E2C10"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Un autre défi constan</w:t>
      </w:r>
      <w:r w:rsidR="00E40B68" w:rsidRPr="00D85628">
        <w:rPr>
          <w:rFonts w:asciiTheme="minorHAnsi" w:hAnsiTheme="minorHAnsi" w:cstheme="minorHAnsi"/>
          <w:sz w:val="22"/>
          <w:szCs w:val="22"/>
          <w:lang w:val="fr-CA"/>
        </w:rPr>
        <w:t>t que rencontre la </w:t>
      </w:r>
      <w:r w:rsidR="009D2FD5" w:rsidRPr="00D85628">
        <w:rPr>
          <w:rFonts w:asciiTheme="minorHAnsi" w:hAnsiTheme="minorHAnsi" w:cstheme="minorHAnsi"/>
          <w:sz w:val="22"/>
          <w:szCs w:val="22"/>
          <w:lang w:val="fr-CA"/>
        </w:rPr>
        <w:t xml:space="preserve">CCG </w:t>
      </w:r>
      <w:r w:rsidRPr="00D85628">
        <w:rPr>
          <w:rFonts w:asciiTheme="minorHAnsi" w:hAnsiTheme="minorHAnsi" w:cstheme="minorHAnsi"/>
          <w:sz w:val="22"/>
          <w:szCs w:val="22"/>
          <w:lang w:val="fr-CA"/>
        </w:rPr>
        <w:t xml:space="preserve">en matière de recrutement est l’embauche d’employés bilingues, puisque son administration centrale se situe à Winnipeg. Bien que ce défi se présente dans toutes les activités de recrutement de l’organisation, il pose particulièrement </w:t>
      </w:r>
      <w:r w:rsidR="004405F4" w:rsidRPr="00D85628">
        <w:rPr>
          <w:rFonts w:asciiTheme="minorHAnsi" w:hAnsiTheme="minorHAnsi" w:cstheme="minorHAnsi"/>
          <w:sz w:val="22"/>
          <w:szCs w:val="22"/>
          <w:lang w:val="fr-CA"/>
        </w:rPr>
        <w:t>des problèmes</w:t>
      </w:r>
      <w:r w:rsidRPr="00D85628">
        <w:rPr>
          <w:rFonts w:asciiTheme="minorHAnsi" w:hAnsiTheme="minorHAnsi" w:cstheme="minorHAnsi"/>
          <w:sz w:val="22"/>
          <w:szCs w:val="22"/>
          <w:lang w:val="fr-CA"/>
        </w:rPr>
        <w:t xml:space="preserve"> </w:t>
      </w:r>
      <w:r w:rsidR="00FB1CFF" w:rsidRPr="00D85628">
        <w:rPr>
          <w:rFonts w:asciiTheme="minorHAnsi" w:hAnsiTheme="minorHAnsi" w:cstheme="minorHAnsi"/>
          <w:sz w:val="22"/>
          <w:szCs w:val="22"/>
          <w:lang w:val="fr-CA"/>
        </w:rPr>
        <w:t xml:space="preserve">dans la dotation de </w:t>
      </w:r>
      <w:r w:rsidRPr="00D85628">
        <w:rPr>
          <w:rFonts w:asciiTheme="minorHAnsi" w:hAnsiTheme="minorHAnsi" w:cstheme="minorHAnsi"/>
          <w:sz w:val="22"/>
          <w:szCs w:val="22"/>
          <w:lang w:val="fr-CA"/>
        </w:rPr>
        <w:t xml:space="preserve">postes de la haute direction et </w:t>
      </w:r>
      <w:r w:rsidR="00FB1CFF" w:rsidRPr="00D85628">
        <w:rPr>
          <w:rFonts w:asciiTheme="minorHAnsi" w:hAnsiTheme="minorHAnsi" w:cstheme="minorHAnsi"/>
          <w:sz w:val="22"/>
          <w:szCs w:val="22"/>
          <w:lang w:val="fr-CA"/>
        </w:rPr>
        <w:t>de</w:t>
      </w:r>
      <w:r w:rsidRPr="00D85628">
        <w:rPr>
          <w:rFonts w:asciiTheme="minorHAnsi" w:hAnsiTheme="minorHAnsi" w:cstheme="minorHAnsi"/>
          <w:sz w:val="22"/>
          <w:szCs w:val="22"/>
          <w:lang w:val="fr-CA"/>
        </w:rPr>
        <w:t xml:space="preserve"> postes en communication et en ressources humaines. L</w:t>
      </w:r>
      <w:r w:rsidR="00FB1CFF" w:rsidRPr="00D85628">
        <w:rPr>
          <w:rFonts w:asciiTheme="minorHAnsi" w:hAnsiTheme="minorHAnsi" w:cstheme="minorHAnsi"/>
          <w:sz w:val="22"/>
          <w:szCs w:val="22"/>
          <w:lang w:val="fr-CA"/>
        </w:rPr>
        <w:t>a concurrence entre les divers employeurs de la fonction publique fédérale situés dans la région de Winnipeg pour le recrutement de conseillers en ressources humaines expérimentés, en particulier ceux qui se spécialisent dans les relations de travail et la classificati</w:t>
      </w:r>
      <w:r w:rsidR="00E40B68" w:rsidRPr="00D85628">
        <w:rPr>
          <w:rFonts w:asciiTheme="minorHAnsi" w:hAnsiTheme="minorHAnsi" w:cstheme="minorHAnsi"/>
          <w:sz w:val="22"/>
          <w:szCs w:val="22"/>
          <w:lang w:val="fr-CA"/>
        </w:rPr>
        <w:t>on, constitue aussi un défi. La </w:t>
      </w:r>
      <w:r w:rsidR="00FB1CFF" w:rsidRPr="00D85628">
        <w:rPr>
          <w:rFonts w:asciiTheme="minorHAnsi" w:hAnsiTheme="minorHAnsi" w:cstheme="minorHAnsi"/>
          <w:sz w:val="22"/>
          <w:szCs w:val="22"/>
          <w:lang w:val="fr-CA"/>
        </w:rPr>
        <w:t xml:space="preserve">CCG constate également un taux de roulement élevé dans les postes </w:t>
      </w:r>
      <w:r w:rsidR="00383314" w:rsidRPr="00D85628">
        <w:rPr>
          <w:rFonts w:asciiTheme="minorHAnsi" w:hAnsiTheme="minorHAnsi" w:cstheme="minorHAnsi"/>
          <w:sz w:val="22"/>
          <w:szCs w:val="22"/>
          <w:lang w:val="fr-CA"/>
        </w:rPr>
        <w:t>au niveau d’entrée</w:t>
      </w:r>
      <w:r w:rsidR="00FB1CFF" w:rsidRPr="00D85628">
        <w:rPr>
          <w:rFonts w:asciiTheme="minorHAnsi" w:hAnsiTheme="minorHAnsi" w:cstheme="minorHAnsi"/>
          <w:sz w:val="22"/>
          <w:szCs w:val="22"/>
          <w:lang w:val="fr-CA"/>
        </w:rPr>
        <w:t>, notamment au sein du groupe Services des programmes et de l</w:t>
      </w:r>
      <w:r w:rsidR="000621D3" w:rsidRPr="00D85628">
        <w:rPr>
          <w:rFonts w:asciiTheme="minorHAnsi" w:hAnsiTheme="minorHAnsi" w:cstheme="minorHAnsi"/>
          <w:sz w:val="22"/>
          <w:szCs w:val="22"/>
          <w:lang w:val="fr-CA"/>
        </w:rPr>
        <w:t>’</w:t>
      </w:r>
      <w:r w:rsidR="00FB1CFF" w:rsidRPr="00D85628">
        <w:rPr>
          <w:rFonts w:asciiTheme="minorHAnsi" w:hAnsiTheme="minorHAnsi" w:cstheme="minorHAnsi"/>
          <w:sz w:val="22"/>
          <w:szCs w:val="22"/>
          <w:lang w:val="fr-CA"/>
        </w:rPr>
        <w:t>administration.</w:t>
      </w:r>
    </w:p>
    <w:p w14:paraId="7B8D2395" w14:textId="03D89A5A" w:rsidR="002944FE" w:rsidRPr="00671B35" w:rsidRDefault="006F2DFE" w:rsidP="00D85628">
      <w:pPr>
        <w:pStyle w:val="Heading2"/>
        <w:spacing w:after="120"/>
        <w:rPr>
          <w:u w:val="single"/>
        </w:rPr>
      </w:pPr>
      <w:r w:rsidRPr="00671B35">
        <w:t>Expérimentation</w:t>
      </w:r>
    </w:p>
    <w:p w14:paraId="08535EF1" w14:textId="5B18D39D" w:rsidR="002944FE" w:rsidRPr="00D85628" w:rsidRDefault="00E40B68"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La </w:t>
      </w:r>
      <w:r w:rsidR="00FB1CFF" w:rsidRPr="00D85628">
        <w:rPr>
          <w:rFonts w:asciiTheme="minorHAnsi" w:hAnsiTheme="minorHAnsi" w:cstheme="minorHAnsi"/>
          <w:sz w:val="22"/>
          <w:szCs w:val="22"/>
          <w:lang w:val="fr-CA"/>
        </w:rPr>
        <w:t>CCG envisage d’utiliser les médias sociaux, par exemple LinkedIn, Facebook et Twitter, pour élargir la portée de ses annonces d’emploi. Elle considère aussi la possibilité de</w:t>
      </w:r>
      <w:r w:rsidR="00626361" w:rsidRPr="00D85628">
        <w:rPr>
          <w:rFonts w:asciiTheme="minorHAnsi" w:hAnsiTheme="minorHAnsi" w:cstheme="minorHAnsi"/>
          <w:sz w:val="22"/>
          <w:szCs w:val="22"/>
          <w:lang w:val="fr-CA"/>
        </w:rPr>
        <w:t xml:space="preserve"> tirer parti des </w:t>
      </w:r>
      <w:r w:rsidR="00383314" w:rsidRPr="00D85628">
        <w:rPr>
          <w:rFonts w:asciiTheme="minorHAnsi" w:hAnsiTheme="minorHAnsi" w:cstheme="minorHAnsi"/>
          <w:sz w:val="22"/>
          <w:szCs w:val="22"/>
          <w:lang w:val="fr-CA"/>
        </w:rPr>
        <w:t xml:space="preserve">comptes de </w:t>
      </w:r>
      <w:r w:rsidR="00626361" w:rsidRPr="00D85628">
        <w:rPr>
          <w:rFonts w:asciiTheme="minorHAnsi" w:hAnsiTheme="minorHAnsi" w:cstheme="minorHAnsi"/>
          <w:sz w:val="22"/>
          <w:szCs w:val="22"/>
          <w:lang w:val="fr-CA"/>
        </w:rPr>
        <w:t xml:space="preserve">médias sociaux </w:t>
      </w:r>
      <w:r w:rsidR="00CF3817" w:rsidRPr="00D85628">
        <w:rPr>
          <w:rFonts w:asciiTheme="minorHAnsi" w:hAnsiTheme="minorHAnsi" w:cstheme="minorHAnsi"/>
          <w:sz w:val="22"/>
          <w:szCs w:val="22"/>
          <w:lang w:val="fr-CA"/>
        </w:rPr>
        <w:t>d’</w:t>
      </w:r>
      <w:r w:rsidR="00626361" w:rsidRPr="00D85628">
        <w:rPr>
          <w:rFonts w:asciiTheme="minorHAnsi" w:hAnsiTheme="minorHAnsi" w:cstheme="minorHAnsi"/>
          <w:sz w:val="22"/>
          <w:szCs w:val="22"/>
          <w:lang w:val="fr-CA"/>
        </w:rPr>
        <w:t>Emplois GC, qui sont gérés par</w:t>
      </w:r>
      <w:r w:rsidRPr="00D85628">
        <w:rPr>
          <w:rFonts w:asciiTheme="minorHAnsi" w:hAnsiTheme="minorHAnsi" w:cstheme="minorHAnsi"/>
          <w:sz w:val="22"/>
          <w:szCs w:val="22"/>
          <w:lang w:val="fr-CA"/>
        </w:rPr>
        <w:t xml:space="preserve"> la </w:t>
      </w:r>
      <w:r w:rsidR="00FB1CFF" w:rsidRPr="00D85628">
        <w:rPr>
          <w:rFonts w:asciiTheme="minorHAnsi" w:hAnsiTheme="minorHAnsi" w:cstheme="minorHAnsi"/>
          <w:sz w:val="22"/>
          <w:szCs w:val="22"/>
          <w:lang w:val="fr-CA"/>
        </w:rPr>
        <w:t>CFP</w:t>
      </w:r>
      <w:r w:rsidR="00626361" w:rsidRPr="00D85628">
        <w:rPr>
          <w:rFonts w:asciiTheme="minorHAnsi" w:hAnsiTheme="minorHAnsi" w:cstheme="minorHAnsi"/>
          <w:sz w:val="22"/>
          <w:szCs w:val="22"/>
          <w:lang w:val="fr-CA"/>
        </w:rPr>
        <w:t>,</w:t>
      </w:r>
      <w:r w:rsidR="00FB1CFF" w:rsidRPr="00D85628">
        <w:rPr>
          <w:rFonts w:asciiTheme="minorHAnsi" w:hAnsiTheme="minorHAnsi" w:cstheme="minorHAnsi"/>
          <w:sz w:val="22"/>
          <w:szCs w:val="22"/>
          <w:lang w:val="fr-CA"/>
        </w:rPr>
        <w:t xml:space="preserve"> pour accroître sa présence dans les médias sociaux.</w:t>
      </w:r>
    </w:p>
    <w:p w14:paraId="71D0230A" w14:textId="785D0483" w:rsidR="002944FE" w:rsidRPr="00D85628" w:rsidRDefault="00626361"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En raison de la COVID</w:t>
      </w:r>
      <w:r w:rsidRPr="00D85628">
        <w:rPr>
          <w:rFonts w:asciiTheme="minorHAnsi" w:hAnsiTheme="minorHAnsi" w:cstheme="minorHAnsi"/>
          <w:sz w:val="22"/>
          <w:szCs w:val="22"/>
          <w:lang w:val="fr-CA"/>
        </w:rPr>
        <w:noBreakHyphen/>
        <w:t>19, la </w:t>
      </w:r>
      <w:r w:rsidR="00FB1CFF" w:rsidRPr="00D85628">
        <w:rPr>
          <w:rFonts w:asciiTheme="minorHAnsi" w:hAnsiTheme="minorHAnsi" w:cstheme="minorHAnsi"/>
          <w:sz w:val="22"/>
          <w:szCs w:val="22"/>
          <w:lang w:val="fr-CA"/>
        </w:rPr>
        <w:t>CCG a r</w:t>
      </w:r>
      <w:r w:rsidR="009D2FD5" w:rsidRPr="00D85628">
        <w:rPr>
          <w:rFonts w:asciiTheme="minorHAnsi" w:hAnsiTheme="minorHAnsi" w:cstheme="minorHAnsi"/>
          <w:sz w:val="22"/>
          <w:szCs w:val="22"/>
          <w:lang w:val="fr-CA"/>
        </w:rPr>
        <w:t xml:space="preserve">ecours aux plateformes vidéo MS Teams et </w:t>
      </w:r>
      <w:r w:rsidR="00FB1CFF" w:rsidRPr="00D85628">
        <w:rPr>
          <w:rFonts w:asciiTheme="minorHAnsi" w:hAnsiTheme="minorHAnsi" w:cstheme="minorHAnsi"/>
          <w:sz w:val="22"/>
          <w:szCs w:val="22"/>
          <w:lang w:val="fr-CA"/>
        </w:rPr>
        <w:t>WebEx pour évaluer les candidats dans le cadre de</w:t>
      </w:r>
      <w:r w:rsidR="00F32D96" w:rsidRPr="00D85628">
        <w:rPr>
          <w:rFonts w:asciiTheme="minorHAnsi" w:hAnsiTheme="minorHAnsi" w:cstheme="minorHAnsi"/>
          <w:sz w:val="22"/>
          <w:szCs w:val="22"/>
          <w:lang w:val="fr-CA"/>
        </w:rPr>
        <w:t>s</w:t>
      </w:r>
      <w:r w:rsidR="00FB1CFF" w:rsidRPr="00D85628">
        <w:rPr>
          <w:rFonts w:asciiTheme="minorHAnsi" w:hAnsiTheme="minorHAnsi" w:cstheme="minorHAnsi"/>
          <w:sz w:val="22"/>
          <w:szCs w:val="22"/>
          <w:lang w:val="fr-CA"/>
        </w:rPr>
        <w:t xml:space="preserve"> processus de nomination. En outre, elle utilise </w:t>
      </w:r>
      <w:r w:rsidR="003E2A70" w:rsidRPr="00D85628">
        <w:rPr>
          <w:rFonts w:asciiTheme="minorHAnsi" w:hAnsiTheme="minorHAnsi" w:cstheme="minorHAnsi"/>
          <w:sz w:val="22"/>
          <w:szCs w:val="22"/>
          <w:lang w:val="fr-CA"/>
        </w:rPr>
        <w:t xml:space="preserve">des documents PDF pouvant être remplis à l’écran lorsqu’elle réalise des </w:t>
      </w:r>
      <w:r w:rsidR="00383314" w:rsidRPr="00D85628">
        <w:rPr>
          <w:rFonts w:asciiTheme="minorHAnsi" w:hAnsiTheme="minorHAnsi" w:cstheme="minorHAnsi"/>
          <w:sz w:val="22"/>
          <w:szCs w:val="22"/>
          <w:lang w:val="fr-CA"/>
        </w:rPr>
        <w:t>tests</w:t>
      </w:r>
      <w:r w:rsidR="003E2A70" w:rsidRPr="00D85628">
        <w:rPr>
          <w:rFonts w:asciiTheme="minorHAnsi" w:hAnsiTheme="minorHAnsi" w:cstheme="minorHAnsi"/>
          <w:sz w:val="22"/>
          <w:szCs w:val="22"/>
          <w:lang w:val="fr-CA"/>
        </w:rPr>
        <w:t xml:space="preserve"> écrits non supervisés </w:t>
      </w:r>
      <w:r w:rsidR="00CF3817" w:rsidRPr="00D85628">
        <w:rPr>
          <w:rFonts w:asciiTheme="minorHAnsi" w:hAnsiTheme="minorHAnsi" w:cstheme="minorHAnsi"/>
          <w:sz w:val="22"/>
          <w:szCs w:val="22"/>
          <w:lang w:val="fr-CA"/>
        </w:rPr>
        <w:t>par</w:t>
      </w:r>
      <w:r w:rsidR="003E2A70" w:rsidRPr="00D85628">
        <w:rPr>
          <w:rFonts w:asciiTheme="minorHAnsi" w:hAnsiTheme="minorHAnsi" w:cstheme="minorHAnsi"/>
          <w:sz w:val="22"/>
          <w:szCs w:val="22"/>
          <w:lang w:val="fr-CA"/>
        </w:rPr>
        <w:t xml:space="preserve"> Internet.</w:t>
      </w:r>
    </w:p>
    <w:p w14:paraId="3A6DC2F1" w14:textId="3509002A" w:rsidR="002944FE" w:rsidRPr="00D85628" w:rsidRDefault="003E2A70"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La</w:t>
      </w:r>
      <w:r w:rsidR="00626361" w:rsidRPr="00D85628">
        <w:rPr>
          <w:rFonts w:asciiTheme="minorHAnsi" w:hAnsiTheme="minorHAnsi" w:cstheme="minorHAnsi"/>
          <w:sz w:val="22"/>
          <w:szCs w:val="22"/>
          <w:lang w:val="fr-CA"/>
        </w:rPr>
        <w:t> </w:t>
      </w:r>
      <w:r w:rsidRPr="00D85628">
        <w:rPr>
          <w:rFonts w:asciiTheme="minorHAnsi" w:hAnsiTheme="minorHAnsi" w:cstheme="minorHAnsi"/>
          <w:sz w:val="22"/>
          <w:szCs w:val="22"/>
          <w:lang w:val="fr-CA"/>
        </w:rPr>
        <w:t xml:space="preserve">CCG a collaboré avec l’Agence de promotion économique du Canada atlantique pour se renseigner sur l’utilisation de </w:t>
      </w:r>
      <w:r w:rsidR="007457A7" w:rsidRPr="00D85628">
        <w:rPr>
          <w:rFonts w:asciiTheme="minorHAnsi" w:hAnsiTheme="minorHAnsi" w:cstheme="minorHAnsi"/>
          <w:sz w:val="22"/>
          <w:szCs w:val="22"/>
          <w:lang w:val="fr-CA"/>
        </w:rPr>
        <w:t xml:space="preserve">l’ensemble d’outils d’évaluation en ligne VidCruiter </w:t>
      </w:r>
      <w:r w:rsidRPr="00D85628">
        <w:rPr>
          <w:rFonts w:asciiTheme="minorHAnsi" w:hAnsiTheme="minorHAnsi" w:cstheme="minorHAnsi"/>
          <w:sz w:val="22"/>
          <w:szCs w:val="22"/>
          <w:lang w:val="fr-CA"/>
        </w:rPr>
        <w:t>dans le but de gérer les entrevues à distance dans les processus de nomination.</w:t>
      </w:r>
      <w:r w:rsidR="00626361" w:rsidRPr="00D85628">
        <w:rPr>
          <w:rFonts w:asciiTheme="minorHAnsi" w:hAnsiTheme="minorHAnsi" w:cstheme="minorHAnsi"/>
          <w:sz w:val="22"/>
          <w:szCs w:val="22"/>
          <w:lang w:val="fr-CA"/>
        </w:rPr>
        <w:t xml:space="preserve"> La </w:t>
      </w:r>
      <w:r w:rsidR="007457A7" w:rsidRPr="00D85628">
        <w:rPr>
          <w:rFonts w:asciiTheme="minorHAnsi" w:hAnsiTheme="minorHAnsi" w:cstheme="minorHAnsi"/>
          <w:sz w:val="22"/>
          <w:szCs w:val="22"/>
          <w:lang w:val="fr-CA"/>
        </w:rPr>
        <w:t>CCG s’attend à obtenir son propre accès à VidCruiter sous peu.</w:t>
      </w:r>
    </w:p>
    <w:p w14:paraId="659B0AA5" w14:textId="6944E024" w:rsidR="002944FE" w:rsidRPr="00D85628" w:rsidRDefault="00626361"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La C</w:t>
      </w:r>
      <w:r w:rsidR="003E2A70" w:rsidRPr="00D85628">
        <w:rPr>
          <w:rFonts w:asciiTheme="minorHAnsi" w:hAnsiTheme="minorHAnsi" w:cstheme="minorHAnsi"/>
          <w:sz w:val="22"/>
          <w:szCs w:val="22"/>
          <w:lang w:val="fr-CA"/>
        </w:rPr>
        <w:t xml:space="preserve">CG </w:t>
      </w:r>
      <w:r w:rsidR="007457A7" w:rsidRPr="00D85628">
        <w:rPr>
          <w:rFonts w:asciiTheme="minorHAnsi" w:hAnsiTheme="minorHAnsi" w:cstheme="minorHAnsi"/>
          <w:sz w:val="22"/>
          <w:szCs w:val="22"/>
          <w:lang w:val="fr-CA"/>
        </w:rPr>
        <w:t>explore la possibilité d’utiliser une</w:t>
      </w:r>
      <w:r w:rsidR="003E2A70" w:rsidRPr="00D85628">
        <w:rPr>
          <w:rFonts w:asciiTheme="minorHAnsi" w:hAnsiTheme="minorHAnsi" w:cstheme="minorHAnsi"/>
          <w:sz w:val="22"/>
          <w:szCs w:val="22"/>
          <w:lang w:val="fr-CA"/>
        </w:rPr>
        <w:t xml:space="preserve"> vidéo de recrutement qui offrirait aux inspecteurs de grains </w:t>
      </w:r>
      <w:r w:rsidR="00383314" w:rsidRPr="00D85628">
        <w:rPr>
          <w:rFonts w:asciiTheme="minorHAnsi" w:hAnsiTheme="minorHAnsi" w:cstheme="minorHAnsi"/>
          <w:sz w:val="22"/>
          <w:szCs w:val="22"/>
          <w:lang w:val="fr-CA"/>
        </w:rPr>
        <w:t>souhaitant participer au </w:t>
      </w:r>
      <w:r w:rsidR="003E2A70" w:rsidRPr="00D85628">
        <w:rPr>
          <w:rFonts w:asciiTheme="minorHAnsi" w:hAnsiTheme="minorHAnsi" w:cstheme="minorHAnsi"/>
          <w:sz w:val="22"/>
          <w:szCs w:val="22"/>
          <w:lang w:val="fr-CA"/>
        </w:rPr>
        <w:t>PPPA un aperçu réaliste du poste</w:t>
      </w:r>
      <w:r w:rsidR="007457A7" w:rsidRPr="00D85628">
        <w:rPr>
          <w:rFonts w:asciiTheme="minorHAnsi" w:hAnsiTheme="minorHAnsi" w:cstheme="minorHAnsi"/>
          <w:sz w:val="22"/>
          <w:szCs w:val="22"/>
          <w:lang w:val="fr-CA"/>
        </w:rPr>
        <w:t xml:space="preserve"> à combler</w:t>
      </w:r>
      <w:r w:rsidR="003E2A70" w:rsidRPr="00D85628">
        <w:rPr>
          <w:rFonts w:asciiTheme="minorHAnsi" w:hAnsiTheme="minorHAnsi" w:cstheme="minorHAnsi"/>
          <w:sz w:val="22"/>
          <w:szCs w:val="22"/>
          <w:lang w:val="fr-CA"/>
        </w:rPr>
        <w:t xml:space="preserve">. Cette vidéo permettrait aux candidats de se faire une idée des tâches quotidiennes liées au poste et de l’environnement de travail. L’un des principaux objectifs serait de résoudre les problèmes de maintien en poste, notamment en donnant aux </w:t>
      </w:r>
      <w:r w:rsidRPr="00D85628">
        <w:rPr>
          <w:rFonts w:asciiTheme="minorHAnsi" w:hAnsiTheme="minorHAnsi" w:cstheme="minorHAnsi"/>
          <w:sz w:val="22"/>
          <w:szCs w:val="22"/>
          <w:lang w:val="fr-CA"/>
        </w:rPr>
        <w:t>personnes intéressées</w:t>
      </w:r>
      <w:r w:rsidR="003E2A70" w:rsidRPr="00D85628">
        <w:rPr>
          <w:rFonts w:asciiTheme="minorHAnsi" w:hAnsiTheme="minorHAnsi" w:cstheme="minorHAnsi"/>
          <w:sz w:val="22"/>
          <w:szCs w:val="22"/>
          <w:lang w:val="fr-CA"/>
        </w:rPr>
        <w:t xml:space="preserve"> </w:t>
      </w:r>
      <w:r w:rsidR="00CF3817" w:rsidRPr="00D85628">
        <w:rPr>
          <w:rFonts w:asciiTheme="minorHAnsi" w:hAnsiTheme="minorHAnsi" w:cstheme="minorHAnsi"/>
          <w:sz w:val="22"/>
          <w:szCs w:val="22"/>
          <w:lang w:val="fr-CA"/>
        </w:rPr>
        <w:t>suffisamment d’information</w:t>
      </w:r>
      <w:r w:rsidR="003E2A70" w:rsidRPr="00D85628">
        <w:rPr>
          <w:rFonts w:asciiTheme="minorHAnsi" w:hAnsiTheme="minorHAnsi" w:cstheme="minorHAnsi"/>
          <w:sz w:val="22"/>
          <w:szCs w:val="22"/>
          <w:lang w:val="fr-CA"/>
        </w:rPr>
        <w:t xml:space="preserve"> sur les exigences opérationnelles</w:t>
      </w:r>
      <w:r w:rsidR="00281922" w:rsidRPr="00D85628">
        <w:rPr>
          <w:rFonts w:asciiTheme="minorHAnsi" w:hAnsiTheme="minorHAnsi" w:cstheme="minorHAnsi"/>
          <w:sz w:val="22"/>
          <w:szCs w:val="22"/>
          <w:lang w:val="fr-CA"/>
        </w:rPr>
        <w:t xml:space="preserve"> du poste </w:t>
      </w:r>
      <w:r w:rsidRPr="00D85628">
        <w:rPr>
          <w:rFonts w:asciiTheme="minorHAnsi" w:hAnsiTheme="minorHAnsi" w:cstheme="minorHAnsi"/>
          <w:sz w:val="22"/>
          <w:szCs w:val="22"/>
          <w:lang w:val="fr-CA"/>
        </w:rPr>
        <w:t>avant qu’el</w:t>
      </w:r>
      <w:r w:rsidR="00281922" w:rsidRPr="00D85628">
        <w:rPr>
          <w:rFonts w:asciiTheme="minorHAnsi" w:hAnsiTheme="minorHAnsi" w:cstheme="minorHAnsi"/>
          <w:sz w:val="22"/>
          <w:szCs w:val="22"/>
          <w:lang w:val="fr-CA"/>
        </w:rPr>
        <w:t>l</w:t>
      </w:r>
      <w:r w:rsidRPr="00D85628">
        <w:rPr>
          <w:rFonts w:asciiTheme="minorHAnsi" w:hAnsiTheme="minorHAnsi" w:cstheme="minorHAnsi"/>
          <w:sz w:val="22"/>
          <w:szCs w:val="22"/>
          <w:lang w:val="fr-CA"/>
        </w:rPr>
        <w:t>e</w:t>
      </w:r>
      <w:r w:rsidR="00281922" w:rsidRPr="00D85628">
        <w:rPr>
          <w:rFonts w:asciiTheme="minorHAnsi" w:hAnsiTheme="minorHAnsi" w:cstheme="minorHAnsi"/>
          <w:sz w:val="22"/>
          <w:szCs w:val="22"/>
          <w:lang w:val="fr-CA"/>
        </w:rPr>
        <w:t xml:space="preserve">s </w:t>
      </w:r>
      <w:r w:rsidR="007457A7" w:rsidRPr="00D85628">
        <w:rPr>
          <w:rFonts w:asciiTheme="minorHAnsi" w:hAnsiTheme="minorHAnsi" w:cstheme="minorHAnsi"/>
          <w:sz w:val="22"/>
          <w:szCs w:val="22"/>
          <w:lang w:val="fr-CA"/>
        </w:rPr>
        <w:t xml:space="preserve">ne </w:t>
      </w:r>
      <w:r w:rsidRPr="00D85628">
        <w:rPr>
          <w:rFonts w:asciiTheme="minorHAnsi" w:hAnsiTheme="minorHAnsi" w:cstheme="minorHAnsi"/>
          <w:sz w:val="22"/>
          <w:szCs w:val="22"/>
          <w:lang w:val="fr-CA"/>
        </w:rPr>
        <w:t>postulent. L’équipe de dotation de la </w:t>
      </w:r>
      <w:r w:rsidR="00281922" w:rsidRPr="00D85628">
        <w:rPr>
          <w:rFonts w:asciiTheme="minorHAnsi" w:hAnsiTheme="minorHAnsi" w:cstheme="minorHAnsi"/>
          <w:sz w:val="22"/>
          <w:szCs w:val="22"/>
          <w:lang w:val="fr-CA"/>
        </w:rPr>
        <w:t xml:space="preserve">CCG planifie </w:t>
      </w:r>
      <w:r w:rsidR="007457A7" w:rsidRPr="00D85628">
        <w:rPr>
          <w:rFonts w:asciiTheme="minorHAnsi" w:hAnsiTheme="minorHAnsi" w:cstheme="minorHAnsi"/>
          <w:sz w:val="22"/>
          <w:szCs w:val="22"/>
          <w:lang w:val="fr-CA"/>
        </w:rPr>
        <w:t>collaborer</w:t>
      </w:r>
      <w:r w:rsidR="00281922" w:rsidRPr="00D85628">
        <w:rPr>
          <w:rFonts w:asciiTheme="minorHAnsi" w:hAnsiTheme="minorHAnsi" w:cstheme="minorHAnsi"/>
          <w:sz w:val="22"/>
          <w:szCs w:val="22"/>
          <w:lang w:val="fr-CA"/>
        </w:rPr>
        <w:t xml:space="preserve"> avec les équi</w:t>
      </w:r>
      <w:r w:rsidR="00D75853" w:rsidRPr="00D85628">
        <w:rPr>
          <w:rFonts w:asciiTheme="minorHAnsi" w:hAnsiTheme="minorHAnsi" w:cstheme="minorHAnsi"/>
          <w:sz w:val="22"/>
          <w:szCs w:val="22"/>
          <w:lang w:val="fr-CA"/>
        </w:rPr>
        <w:t xml:space="preserve">pes des communications et de la </w:t>
      </w:r>
      <w:r w:rsidR="00281922" w:rsidRPr="00D85628">
        <w:rPr>
          <w:rFonts w:asciiTheme="minorHAnsi" w:hAnsiTheme="minorHAnsi" w:cstheme="minorHAnsi"/>
          <w:sz w:val="22"/>
          <w:szCs w:val="22"/>
          <w:lang w:val="fr-CA"/>
        </w:rPr>
        <w:t>formation à cette initiative. Elle a aussi consulté l</w:t>
      </w:r>
      <w:r w:rsidR="00CF3817" w:rsidRPr="00D85628">
        <w:rPr>
          <w:rFonts w:asciiTheme="minorHAnsi" w:hAnsiTheme="minorHAnsi" w:cstheme="minorHAnsi"/>
          <w:sz w:val="22"/>
          <w:szCs w:val="22"/>
          <w:lang w:val="fr-CA"/>
        </w:rPr>
        <w:t>a nouvelle boîte à outils de la CFP portant s</w:t>
      </w:r>
      <w:r w:rsidR="00281922" w:rsidRPr="00D85628">
        <w:rPr>
          <w:rFonts w:asciiTheme="minorHAnsi" w:hAnsiTheme="minorHAnsi" w:cstheme="minorHAnsi"/>
          <w:sz w:val="22"/>
          <w:szCs w:val="22"/>
          <w:lang w:val="fr-CA"/>
        </w:rPr>
        <w:t>ur les entrevues par vidéo.</w:t>
      </w:r>
    </w:p>
    <w:p w14:paraId="446BAA05" w14:textId="7CB1128F" w:rsidR="002944FE" w:rsidRPr="00D85628" w:rsidRDefault="00CF3817"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La</w:t>
      </w:r>
      <w:r w:rsidR="00626361" w:rsidRPr="00D85628">
        <w:rPr>
          <w:rFonts w:asciiTheme="minorHAnsi" w:hAnsiTheme="minorHAnsi" w:cstheme="minorHAnsi"/>
          <w:sz w:val="22"/>
          <w:szCs w:val="22"/>
          <w:lang w:val="fr-CA"/>
        </w:rPr>
        <w:t> </w:t>
      </w:r>
      <w:r w:rsidR="00940088" w:rsidRPr="00D85628">
        <w:rPr>
          <w:rFonts w:asciiTheme="minorHAnsi" w:hAnsiTheme="minorHAnsi" w:cstheme="minorHAnsi"/>
          <w:sz w:val="22"/>
          <w:szCs w:val="22"/>
          <w:lang w:val="fr-CA"/>
        </w:rPr>
        <w:t>CCG</w:t>
      </w:r>
      <w:r w:rsidRPr="00D85628">
        <w:rPr>
          <w:rFonts w:asciiTheme="minorHAnsi" w:hAnsiTheme="minorHAnsi" w:cstheme="minorHAnsi"/>
          <w:sz w:val="22"/>
          <w:szCs w:val="22"/>
          <w:lang w:val="fr-CA"/>
        </w:rPr>
        <w:t xml:space="preserve"> mène aussi d’autres initiatives; elle a notamment pris</w:t>
      </w:r>
      <w:r w:rsidR="00940088" w:rsidRPr="00D85628">
        <w:rPr>
          <w:rFonts w:asciiTheme="minorHAnsi" w:hAnsiTheme="minorHAnsi" w:cstheme="minorHAnsi"/>
          <w:sz w:val="22"/>
          <w:szCs w:val="22"/>
          <w:lang w:val="fr-CA"/>
        </w:rPr>
        <w:t xml:space="preserve"> l’engagement continu </w:t>
      </w:r>
      <w:r w:rsidRPr="00D85628">
        <w:rPr>
          <w:rFonts w:asciiTheme="minorHAnsi" w:hAnsiTheme="minorHAnsi" w:cstheme="minorHAnsi"/>
          <w:sz w:val="22"/>
          <w:szCs w:val="22"/>
          <w:lang w:val="fr-CA"/>
        </w:rPr>
        <w:t>de</w:t>
      </w:r>
      <w:r w:rsidR="00940088" w:rsidRPr="00D85628">
        <w:rPr>
          <w:rFonts w:asciiTheme="minorHAnsi" w:hAnsiTheme="minorHAnsi" w:cstheme="minorHAnsi"/>
          <w:sz w:val="22"/>
          <w:szCs w:val="22"/>
          <w:lang w:val="fr-CA"/>
        </w:rPr>
        <w:t xml:space="preserve"> simplifier les documents et les processus de dotation et </w:t>
      </w:r>
      <w:r w:rsidRPr="00D85628">
        <w:rPr>
          <w:rFonts w:asciiTheme="minorHAnsi" w:hAnsiTheme="minorHAnsi" w:cstheme="minorHAnsi"/>
          <w:sz w:val="22"/>
          <w:szCs w:val="22"/>
          <w:lang w:val="fr-CA"/>
        </w:rPr>
        <w:t>de</w:t>
      </w:r>
      <w:r w:rsidR="00940088" w:rsidRPr="00D85628">
        <w:rPr>
          <w:rFonts w:asciiTheme="minorHAnsi" w:hAnsiTheme="minorHAnsi" w:cstheme="minorHAnsi"/>
          <w:sz w:val="22"/>
          <w:szCs w:val="22"/>
          <w:lang w:val="fr-CA"/>
        </w:rPr>
        <w:t xml:space="preserve"> tenir un inventaire permanent des anciens participants au Programme fédéral d</w:t>
      </w:r>
      <w:r w:rsidR="000621D3" w:rsidRPr="00D85628">
        <w:rPr>
          <w:rFonts w:asciiTheme="minorHAnsi" w:hAnsiTheme="minorHAnsi" w:cstheme="minorHAnsi"/>
          <w:sz w:val="22"/>
          <w:szCs w:val="22"/>
          <w:lang w:val="fr-CA"/>
        </w:rPr>
        <w:t>’</w:t>
      </w:r>
      <w:r w:rsidR="00940088" w:rsidRPr="00D85628">
        <w:rPr>
          <w:rFonts w:asciiTheme="minorHAnsi" w:hAnsiTheme="minorHAnsi" w:cstheme="minorHAnsi"/>
          <w:sz w:val="22"/>
          <w:szCs w:val="22"/>
          <w:lang w:val="fr-CA"/>
        </w:rPr>
        <w:t>expérience de travail étudiant (PFETE)</w:t>
      </w:r>
      <w:r w:rsidR="006D278B" w:rsidRPr="00D85628">
        <w:rPr>
          <w:rFonts w:asciiTheme="minorHAnsi" w:hAnsiTheme="minorHAnsi" w:cstheme="minorHAnsi"/>
          <w:sz w:val="22"/>
          <w:szCs w:val="22"/>
          <w:lang w:val="fr-CA"/>
        </w:rPr>
        <w:t xml:space="preserve"> afin de faciliter l</w:t>
      </w:r>
      <w:r w:rsidR="00626361" w:rsidRPr="00D85628">
        <w:rPr>
          <w:rFonts w:asciiTheme="minorHAnsi" w:hAnsiTheme="minorHAnsi" w:cstheme="minorHAnsi"/>
          <w:sz w:val="22"/>
          <w:szCs w:val="22"/>
          <w:lang w:val="fr-CA"/>
        </w:rPr>
        <w:t>a réembauche par l’entremise du </w:t>
      </w:r>
      <w:r w:rsidR="006D278B" w:rsidRPr="00D85628">
        <w:rPr>
          <w:rFonts w:asciiTheme="minorHAnsi" w:hAnsiTheme="minorHAnsi" w:cstheme="minorHAnsi"/>
          <w:sz w:val="22"/>
          <w:szCs w:val="22"/>
          <w:lang w:val="fr-CA"/>
        </w:rPr>
        <w:t>PFETE ou les nominations à des postes de durée déterminée ou indéterminée après l’obtention du di</w:t>
      </w:r>
      <w:r w:rsidRPr="00D85628">
        <w:rPr>
          <w:rFonts w:asciiTheme="minorHAnsi" w:hAnsiTheme="minorHAnsi" w:cstheme="minorHAnsi"/>
          <w:sz w:val="22"/>
          <w:szCs w:val="22"/>
          <w:lang w:val="fr-CA"/>
        </w:rPr>
        <w:t>plôme. Ces stratégi</w:t>
      </w:r>
      <w:r w:rsidR="006D278B" w:rsidRPr="00D85628">
        <w:rPr>
          <w:rFonts w:asciiTheme="minorHAnsi" w:hAnsiTheme="minorHAnsi" w:cstheme="minorHAnsi"/>
          <w:sz w:val="22"/>
          <w:szCs w:val="22"/>
          <w:lang w:val="fr-CA"/>
        </w:rPr>
        <w:t>es favoris</w:t>
      </w:r>
      <w:r w:rsidR="00626361" w:rsidRPr="00D85628">
        <w:rPr>
          <w:rFonts w:asciiTheme="minorHAnsi" w:hAnsiTheme="minorHAnsi" w:cstheme="minorHAnsi"/>
          <w:sz w:val="22"/>
          <w:szCs w:val="22"/>
          <w:lang w:val="fr-CA"/>
        </w:rPr>
        <w:t>ent l’atteinte des objectifs de la </w:t>
      </w:r>
      <w:r w:rsidR="006D278B" w:rsidRPr="00D85628">
        <w:rPr>
          <w:rFonts w:asciiTheme="minorHAnsi" w:hAnsiTheme="minorHAnsi" w:cstheme="minorHAnsi"/>
          <w:sz w:val="22"/>
          <w:szCs w:val="22"/>
          <w:lang w:val="fr-CA"/>
        </w:rPr>
        <w:t>CCG, soit l’augmentation de l’efficacité de la dotation et la réduction de la durée des processus de dotation.</w:t>
      </w:r>
      <w:r w:rsidR="00281922" w:rsidRPr="00D85628">
        <w:rPr>
          <w:rFonts w:asciiTheme="minorHAnsi" w:hAnsiTheme="minorHAnsi" w:cstheme="minorHAnsi"/>
          <w:sz w:val="22"/>
          <w:szCs w:val="22"/>
          <w:lang w:val="fr-CA"/>
        </w:rPr>
        <w:t xml:space="preserve"> </w:t>
      </w:r>
    </w:p>
    <w:p w14:paraId="7D58BEE6" w14:textId="4752EDD2" w:rsidR="002944FE" w:rsidRPr="00D85628" w:rsidRDefault="007F4BBF" w:rsidP="00D85628">
      <w:pPr>
        <w:pStyle w:val="Heading1"/>
        <w:spacing w:after="120"/>
        <w:rPr>
          <w:rFonts w:cstheme="majorHAnsi"/>
        </w:rPr>
      </w:pPr>
      <w:r w:rsidRPr="00D85628">
        <w:rPr>
          <w:rFonts w:cstheme="majorHAnsi"/>
        </w:rPr>
        <w:lastRenderedPageBreak/>
        <w:t>Effectif et activités de dotation</w:t>
      </w:r>
    </w:p>
    <w:p w14:paraId="399D7ADC" w14:textId="3992C0D6" w:rsidR="002944FE" w:rsidRPr="00671B35" w:rsidRDefault="007F4BBF" w:rsidP="00D85628">
      <w:pPr>
        <w:pStyle w:val="Heading2"/>
        <w:spacing w:after="120"/>
        <w:rPr>
          <w:u w:val="single"/>
        </w:rPr>
      </w:pPr>
      <w:r w:rsidRPr="00671B35">
        <w:t>Effectif</w:t>
      </w:r>
    </w:p>
    <w:p w14:paraId="4D102712" w14:textId="73A3FE91" w:rsidR="002944FE" w:rsidRPr="00D85628" w:rsidRDefault="00626361" w:rsidP="00D85628">
      <w:pPr>
        <w:pStyle w:val="NoSpacing"/>
        <w:spacing w:after="120"/>
        <w:rPr>
          <w:rFonts w:asciiTheme="minorHAnsi" w:hAnsiTheme="minorHAnsi" w:cstheme="minorHAnsi"/>
          <w:sz w:val="22"/>
          <w:szCs w:val="22"/>
          <w:lang w:val="fr-CA" w:eastAsia="en-CA"/>
        </w:rPr>
      </w:pPr>
      <w:r w:rsidRPr="00D85628">
        <w:rPr>
          <w:rFonts w:asciiTheme="minorHAnsi" w:hAnsiTheme="minorHAnsi" w:cstheme="minorHAnsi"/>
          <w:sz w:val="22"/>
          <w:szCs w:val="22"/>
          <w:lang w:val="fr-CA" w:eastAsia="en-CA"/>
        </w:rPr>
        <w:t>La </w:t>
      </w:r>
      <w:r w:rsidR="00281922" w:rsidRPr="00D85628">
        <w:rPr>
          <w:rFonts w:asciiTheme="minorHAnsi" w:hAnsiTheme="minorHAnsi" w:cstheme="minorHAnsi"/>
          <w:sz w:val="22"/>
          <w:szCs w:val="22"/>
          <w:lang w:val="fr-CA" w:eastAsia="en-CA"/>
        </w:rPr>
        <w:t xml:space="preserve">CCG est une organisation de petite taille qui compte </w:t>
      </w:r>
      <w:r w:rsidR="00281922" w:rsidRPr="00D85628">
        <w:rPr>
          <w:rFonts w:asciiTheme="minorHAnsi" w:hAnsiTheme="minorHAnsi" w:cstheme="minorHAnsi"/>
          <w:sz w:val="22"/>
          <w:szCs w:val="22"/>
          <w:lang w:val="fr-CA"/>
        </w:rPr>
        <w:t xml:space="preserve">429 employés (en date du 31 mars 2020). L’administration centrale de l’organisation se trouve à Winnipeg, au Manitoba. </w:t>
      </w:r>
      <w:r w:rsidR="0096467D" w:rsidRPr="00D85628">
        <w:rPr>
          <w:rFonts w:asciiTheme="minorHAnsi" w:hAnsiTheme="minorHAnsi" w:cstheme="minorHAnsi"/>
          <w:sz w:val="22"/>
          <w:szCs w:val="22"/>
          <w:lang w:val="fr-CA"/>
        </w:rPr>
        <w:t xml:space="preserve">La CCG </w:t>
      </w:r>
      <w:r w:rsidR="00281922" w:rsidRPr="00D85628">
        <w:rPr>
          <w:rFonts w:asciiTheme="minorHAnsi" w:hAnsiTheme="minorHAnsi" w:cstheme="minorHAnsi"/>
          <w:sz w:val="22"/>
          <w:szCs w:val="22"/>
          <w:lang w:val="fr-CA"/>
        </w:rPr>
        <w:t xml:space="preserve">gère deux bureaux régionaux situés à Montréal et à Vancouver ainsi que dix centres de services de plus petite taille à l’échelle du Canada. </w:t>
      </w:r>
    </w:p>
    <w:p w14:paraId="4980CDB1" w14:textId="5D80E201" w:rsidR="002944FE" w:rsidRPr="00671B35" w:rsidRDefault="007F4BBF" w:rsidP="00D85628">
      <w:pPr>
        <w:pStyle w:val="Heading2"/>
        <w:spacing w:after="120"/>
        <w:rPr>
          <w:u w:val="single"/>
        </w:rPr>
      </w:pPr>
      <w:r w:rsidRPr="00671B35">
        <w:t>Activités de dotation</w:t>
      </w:r>
    </w:p>
    <w:p w14:paraId="0EB2E76E" w14:textId="31FFA489" w:rsidR="002944FE" w:rsidRPr="00D85628" w:rsidRDefault="00E93ACB" w:rsidP="002944FE">
      <w:pPr>
        <w:pStyle w:val="NoSpacing"/>
        <w:rPr>
          <w:rFonts w:asciiTheme="minorHAnsi" w:hAnsiTheme="minorHAnsi" w:cstheme="minorHAnsi"/>
          <w:sz w:val="22"/>
          <w:szCs w:val="22"/>
          <w:lang w:val="fr-CA"/>
        </w:rPr>
      </w:pPr>
      <w:r w:rsidRPr="00D85628">
        <w:rPr>
          <w:rFonts w:asciiTheme="minorHAnsi" w:hAnsiTheme="minorHAnsi" w:cstheme="minorHAnsi"/>
          <w:sz w:val="22"/>
          <w:szCs w:val="22"/>
          <w:lang w:val="fr-CA"/>
        </w:rPr>
        <w:t xml:space="preserve">Au cours de </w:t>
      </w:r>
      <w:r w:rsidR="00626361" w:rsidRPr="00D85628">
        <w:rPr>
          <w:rFonts w:asciiTheme="minorHAnsi" w:hAnsiTheme="minorHAnsi" w:cstheme="minorHAnsi"/>
          <w:sz w:val="22"/>
          <w:szCs w:val="22"/>
          <w:lang w:val="fr-CA"/>
        </w:rPr>
        <w:t>l’exercice 2019</w:t>
      </w:r>
      <w:r w:rsidR="00626361" w:rsidRPr="00D85628">
        <w:rPr>
          <w:rFonts w:asciiTheme="minorHAnsi" w:hAnsiTheme="minorHAnsi" w:cstheme="minorHAnsi"/>
          <w:sz w:val="22"/>
          <w:szCs w:val="22"/>
          <w:lang w:val="fr-CA"/>
        </w:rPr>
        <w:noBreakHyphen/>
        <w:t>2020, la </w:t>
      </w:r>
      <w:r w:rsidR="00281922" w:rsidRPr="00D85628">
        <w:rPr>
          <w:rFonts w:asciiTheme="minorHAnsi" w:hAnsiTheme="minorHAnsi" w:cstheme="minorHAnsi"/>
          <w:sz w:val="22"/>
          <w:szCs w:val="22"/>
          <w:lang w:val="fr-CA"/>
        </w:rPr>
        <w:t>CCG a réalisé un total de 177 activités de dotation :</w:t>
      </w:r>
    </w:p>
    <w:p w14:paraId="0065198B" w14:textId="1598EEA4" w:rsidR="002944FE" w:rsidRPr="00D85628" w:rsidRDefault="00626361" w:rsidP="004E01DF">
      <w:pPr>
        <w:pStyle w:val="NoSpacing"/>
        <w:numPr>
          <w:ilvl w:val="0"/>
          <w:numId w:val="2"/>
        </w:numPr>
        <w:rPr>
          <w:rFonts w:asciiTheme="minorHAnsi" w:hAnsiTheme="minorHAnsi" w:cstheme="minorHAnsi"/>
          <w:sz w:val="22"/>
          <w:szCs w:val="22"/>
          <w:lang w:val="fr-CA"/>
        </w:rPr>
      </w:pPr>
      <w:r w:rsidRPr="00D85628">
        <w:rPr>
          <w:rFonts w:asciiTheme="minorHAnsi" w:hAnsiTheme="minorHAnsi" w:cstheme="minorHAnsi"/>
          <w:sz w:val="22"/>
          <w:szCs w:val="22"/>
          <w:lang w:val="fr-CA"/>
        </w:rPr>
        <w:t>85 </w:t>
      </w:r>
      <w:r w:rsidR="00281922" w:rsidRPr="00D85628">
        <w:rPr>
          <w:rFonts w:asciiTheme="minorHAnsi" w:hAnsiTheme="minorHAnsi" w:cstheme="minorHAnsi"/>
          <w:sz w:val="22"/>
          <w:szCs w:val="22"/>
          <w:lang w:val="fr-CA"/>
        </w:rPr>
        <w:t>nominations à la fonction publique (</w:t>
      </w:r>
      <w:r w:rsidR="00383314" w:rsidRPr="00D85628">
        <w:rPr>
          <w:rFonts w:asciiTheme="minorHAnsi" w:hAnsiTheme="minorHAnsi" w:cstheme="minorHAnsi"/>
          <w:sz w:val="22"/>
          <w:szCs w:val="22"/>
          <w:lang w:val="fr-CA"/>
        </w:rPr>
        <w:t>ce qui comprend les nominations d’employés</w:t>
      </w:r>
      <w:r w:rsidR="007457A7" w:rsidRPr="00D85628">
        <w:rPr>
          <w:rFonts w:asciiTheme="minorHAnsi" w:hAnsiTheme="minorHAnsi" w:cstheme="minorHAnsi"/>
          <w:sz w:val="22"/>
          <w:szCs w:val="22"/>
          <w:lang w:val="fr-CA"/>
        </w:rPr>
        <w:t xml:space="preserve"> occasionnels et </w:t>
      </w:r>
      <w:r w:rsidR="00383314" w:rsidRPr="00D85628">
        <w:rPr>
          <w:rFonts w:asciiTheme="minorHAnsi" w:hAnsiTheme="minorHAnsi" w:cstheme="minorHAnsi"/>
          <w:sz w:val="22"/>
          <w:szCs w:val="22"/>
          <w:lang w:val="fr-CA"/>
        </w:rPr>
        <w:t>d’</w:t>
      </w:r>
      <w:r w:rsidR="007457A7" w:rsidRPr="00D85628">
        <w:rPr>
          <w:rFonts w:asciiTheme="minorHAnsi" w:hAnsiTheme="minorHAnsi" w:cstheme="minorHAnsi"/>
          <w:sz w:val="22"/>
          <w:szCs w:val="22"/>
          <w:lang w:val="fr-CA"/>
        </w:rPr>
        <w:t>étudiants) :</w:t>
      </w:r>
      <w:r w:rsidR="00281922" w:rsidRPr="00D85628">
        <w:rPr>
          <w:rFonts w:asciiTheme="minorHAnsi" w:hAnsiTheme="minorHAnsi" w:cstheme="minorHAnsi"/>
          <w:sz w:val="22"/>
          <w:szCs w:val="22"/>
          <w:lang w:val="fr-CA"/>
        </w:rPr>
        <w:t xml:space="preserve"> </w:t>
      </w:r>
    </w:p>
    <w:p w14:paraId="41918DE9" w14:textId="1F6EE0A2" w:rsidR="002944FE" w:rsidRPr="00D85628" w:rsidRDefault="00626361" w:rsidP="004E01DF">
      <w:pPr>
        <w:pStyle w:val="NoSpacing"/>
        <w:numPr>
          <w:ilvl w:val="1"/>
          <w:numId w:val="2"/>
        </w:numPr>
        <w:rPr>
          <w:rFonts w:asciiTheme="minorHAnsi" w:hAnsiTheme="minorHAnsi" w:cstheme="minorHAnsi"/>
          <w:sz w:val="22"/>
          <w:szCs w:val="22"/>
          <w:lang w:val="fr-CA"/>
        </w:rPr>
      </w:pPr>
      <w:r w:rsidRPr="00D85628">
        <w:rPr>
          <w:rFonts w:asciiTheme="minorHAnsi" w:hAnsiTheme="minorHAnsi" w:cstheme="minorHAnsi"/>
          <w:sz w:val="22"/>
          <w:szCs w:val="22"/>
          <w:lang w:val="fr-CA"/>
        </w:rPr>
        <w:t>6 </w:t>
      </w:r>
      <w:r w:rsidR="00281922" w:rsidRPr="00D85628">
        <w:rPr>
          <w:rFonts w:asciiTheme="minorHAnsi" w:hAnsiTheme="minorHAnsi" w:cstheme="minorHAnsi"/>
          <w:sz w:val="22"/>
          <w:szCs w:val="22"/>
          <w:lang w:val="fr-CA"/>
        </w:rPr>
        <w:t>employés occasionnels</w:t>
      </w:r>
      <w:r w:rsidR="007457A7" w:rsidRPr="00D85628">
        <w:rPr>
          <w:rFonts w:asciiTheme="minorHAnsi" w:hAnsiTheme="minorHAnsi" w:cstheme="minorHAnsi"/>
          <w:sz w:val="22"/>
          <w:szCs w:val="22"/>
          <w:lang w:val="fr-CA"/>
        </w:rPr>
        <w:t>;</w:t>
      </w:r>
    </w:p>
    <w:p w14:paraId="07FE0821" w14:textId="54C5886D" w:rsidR="002944FE" w:rsidRPr="00D85628" w:rsidRDefault="00626361" w:rsidP="004E01DF">
      <w:pPr>
        <w:pStyle w:val="NoSpacing"/>
        <w:numPr>
          <w:ilvl w:val="1"/>
          <w:numId w:val="2"/>
        </w:numPr>
        <w:rPr>
          <w:rFonts w:asciiTheme="minorHAnsi" w:hAnsiTheme="minorHAnsi" w:cstheme="minorHAnsi"/>
          <w:sz w:val="22"/>
          <w:szCs w:val="22"/>
          <w:lang w:val="fr-CA"/>
        </w:rPr>
      </w:pPr>
      <w:r w:rsidRPr="00D85628">
        <w:rPr>
          <w:rFonts w:asciiTheme="minorHAnsi" w:hAnsiTheme="minorHAnsi" w:cstheme="minorHAnsi"/>
          <w:sz w:val="22"/>
          <w:szCs w:val="22"/>
          <w:lang w:val="fr-CA"/>
        </w:rPr>
        <w:t>20 </w:t>
      </w:r>
      <w:r w:rsidR="00281922" w:rsidRPr="00D85628">
        <w:rPr>
          <w:rFonts w:asciiTheme="minorHAnsi" w:hAnsiTheme="minorHAnsi" w:cstheme="minorHAnsi"/>
          <w:sz w:val="22"/>
          <w:szCs w:val="22"/>
          <w:lang w:val="fr-CA"/>
        </w:rPr>
        <w:t>étudiants</w:t>
      </w:r>
      <w:r w:rsidR="007457A7" w:rsidRPr="00D85628">
        <w:rPr>
          <w:rFonts w:asciiTheme="minorHAnsi" w:hAnsiTheme="minorHAnsi" w:cstheme="minorHAnsi"/>
          <w:sz w:val="22"/>
          <w:szCs w:val="22"/>
          <w:lang w:val="fr-CA"/>
        </w:rPr>
        <w:t>;</w:t>
      </w:r>
    </w:p>
    <w:p w14:paraId="378A8BBE" w14:textId="134478BD" w:rsidR="002944FE" w:rsidRPr="00D85628" w:rsidRDefault="00626361" w:rsidP="004E01DF">
      <w:pPr>
        <w:pStyle w:val="NoSpacing"/>
        <w:numPr>
          <w:ilvl w:val="0"/>
          <w:numId w:val="2"/>
        </w:numPr>
        <w:rPr>
          <w:rFonts w:asciiTheme="minorHAnsi" w:hAnsiTheme="minorHAnsi" w:cstheme="minorHAnsi"/>
          <w:sz w:val="22"/>
          <w:szCs w:val="22"/>
          <w:lang w:val="fr-CA"/>
        </w:rPr>
      </w:pPr>
      <w:r w:rsidRPr="00D85628">
        <w:rPr>
          <w:rFonts w:asciiTheme="minorHAnsi" w:hAnsiTheme="minorHAnsi" w:cstheme="minorHAnsi"/>
          <w:sz w:val="22"/>
          <w:szCs w:val="22"/>
          <w:lang w:val="fr-CA"/>
        </w:rPr>
        <w:t>44 </w:t>
      </w:r>
      <w:r w:rsidR="002944FE" w:rsidRPr="00D85628">
        <w:rPr>
          <w:rFonts w:asciiTheme="minorHAnsi" w:hAnsiTheme="minorHAnsi" w:cstheme="minorHAnsi"/>
          <w:sz w:val="22"/>
          <w:szCs w:val="22"/>
          <w:lang w:val="fr-CA"/>
        </w:rPr>
        <w:t>promotions</w:t>
      </w:r>
      <w:r w:rsidR="00281922" w:rsidRPr="00D85628">
        <w:rPr>
          <w:rFonts w:asciiTheme="minorHAnsi" w:hAnsiTheme="minorHAnsi" w:cstheme="minorHAnsi"/>
          <w:sz w:val="22"/>
          <w:szCs w:val="22"/>
          <w:lang w:val="fr-CA"/>
        </w:rPr>
        <w:t>;</w:t>
      </w:r>
    </w:p>
    <w:p w14:paraId="591FC2E0" w14:textId="7B4918EC" w:rsidR="002944FE" w:rsidRPr="00D85628" w:rsidRDefault="00626361" w:rsidP="004E01DF">
      <w:pPr>
        <w:pStyle w:val="NoSpacing"/>
        <w:numPr>
          <w:ilvl w:val="0"/>
          <w:numId w:val="2"/>
        </w:numPr>
        <w:rPr>
          <w:rFonts w:asciiTheme="minorHAnsi" w:hAnsiTheme="minorHAnsi" w:cstheme="minorHAnsi"/>
          <w:sz w:val="22"/>
          <w:szCs w:val="22"/>
          <w:lang w:val="fr-CA"/>
        </w:rPr>
      </w:pPr>
      <w:r w:rsidRPr="00D85628">
        <w:rPr>
          <w:rFonts w:asciiTheme="minorHAnsi" w:hAnsiTheme="minorHAnsi" w:cstheme="minorHAnsi"/>
          <w:sz w:val="22"/>
          <w:szCs w:val="22"/>
          <w:lang w:val="fr-CA"/>
        </w:rPr>
        <w:t>17 </w:t>
      </w:r>
      <w:r w:rsidR="00281922" w:rsidRPr="00D85628">
        <w:rPr>
          <w:rFonts w:asciiTheme="minorHAnsi" w:hAnsiTheme="minorHAnsi" w:cstheme="minorHAnsi"/>
          <w:sz w:val="22"/>
          <w:szCs w:val="22"/>
          <w:lang w:val="fr-CA"/>
        </w:rPr>
        <w:t>nominations intérimaires;</w:t>
      </w:r>
    </w:p>
    <w:p w14:paraId="3283F6D3" w14:textId="14AE0316" w:rsidR="002944FE" w:rsidRPr="00D85628" w:rsidRDefault="00626361" w:rsidP="00D85628">
      <w:pPr>
        <w:pStyle w:val="NoSpacing"/>
        <w:numPr>
          <w:ilvl w:val="0"/>
          <w:numId w:val="2"/>
        </w:numPr>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31 </w:t>
      </w:r>
      <w:r w:rsidR="00281922" w:rsidRPr="00D85628">
        <w:rPr>
          <w:rFonts w:asciiTheme="minorHAnsi" w:hAnsiTheme="minorHAnsi" w:cstheme="minorHAnsi"/>
          <w:sz w:val="22"/>
          <w:szCs w:val="22"/>
          <w:lang w:val="fr-CA"/>
        </w:rPr>
        <w:t>déplacements latér</w:t>
      </w:r>
      <w:r w:rsidR="00E93ACB" w:rsidRPr="00D85628">
        <w:rPr>
          <w:rFonts w:asciiTheme="minorHAnsi" w:hAnsiTheme="minorHAnsi" w:cstheme="minorHAnsi"/>
          <w:sz w:val="22"/>
          <w:szCs w:val="22"/>
          <w:lang w:val="fr-CA"/>
        </w:rPr>
        <w:t>aux et régressifs.</w:t>
      </w:r>
    </w:p>
    <w:p w14:paraId="3149545D" w14:textId="377C74EE" w:rsidR="002944FE" w:rsidRPr="00D85628" w:rsidRDefault="00E93ACB" w:rsidP="00D85628">
      <w:pPr>
        <w:pStyle w:val="NoSpacing"/>
        <w:spacing w:after="120"/>
        <w:rPr>
          <w:rFonts w:asciiTheme="minorHAnsi" w:hAnsiTheme="minorHAnsi" w:cstheme="minorHAnsi"/>
          <w:sz w:val="22"/>
          <w:szCs w:val="22"/>
          <w:lang w:val="fr-CA" w:eastAsia="en-CA"/>
        </w:rPr>
      </w:pPr>
      <w:r w:rsidRPr="00D85628">
        <w:rPr>
          <w:rFonts w:asciiTheme="minorHAnsi" w:hAnsiTheme="minorHAnsi" w:cstheme="minorHAnsi"/>
          <w:sz w:val="22"/>
          <w:szCs w:val="22"/>
          <w:lang w:val="fr-CA" w:eastAsia="en-CA"/>
        </w:rPr>
        <w:t>Veuillez consulter</w:t>
      </w:r>
      <w:r w:rsidR="002944FE" w:rsidRPr="00D85628">
        <w:rPr>
          <w:rFonts w:asciiTheme="minorHAnsi" w:hAnsiTheme="minorHAnsi" w:cstheme="minorHAnsi"/>
          <w:sz w:val="22"/>
          <w:szCs w:val="22"/>
          <w:lang w:val="fr-CA" w:eastAsia="en-CA"/>
        </w:rPr>
        <w:t xml:space="preserve"> </w:t>
      </w:r>
      <w:hyperlink w:anchor="AnnexB" w:history="1">
        <w:r w:rsidRPr="00D85628">
          <w:rPr>
            <w:rStyle w:val="Hyperlink"/>
            <w:rFonts w:asciiTheme="minorHAnsi" w:hAnsiTheme="minorHAnsi" w:cstheme="minorHAnsi"/>
            <w:sz w:val="22"/>
            <w:szCs w:val="22"/>
            <w:lang w:val="fr-CA" w:eastAsia="en-CA"/>
          </w:rPr>
          <w:t>l’a</w:t>
        </w:r>
        <w:r w:rsidR="002944FE" w:rsidRPr="00D85628">
          <w:rPr>
            <w:rStyle w:val="Hyperlink"/>
            <w:rFonts w:asciiTheme="minorHAnsi" w:hAnsiTheme="minorHAnsi" w:cstheme="minorHAnsi"/>
            <w:sz w:val="22"/>
            <w:szCs w:val="22"/>
            <w:lang w:val="fr-CA" w:eastAsia="en-CA"/>
          </w:rPr>
          <w:t>nnex</w:t>
        </w:r>
        <w:r w:rsidRPr="00D85628">
          <w:rPr>
            <w:rStyle w:val="Hyperlink"/>
            <w:rFonts w:asciiTheme="minorHAnsi" w:hAnsiTheme="minorHAnsi" w:cstheme="minorHAnsi"/>
            <w:sz w:val="22"/>
            <w:szCs w:val="22"/>
            <w:lang w:val="fr-CA" w:eastAsia="en-CA"/>
          </w:rPr>
          <w:t>e </w:t>
        </w:r>
        <w:r w:rsidR="002944FE" w:rsidRPr="00D85628">
          <w:rPr>
            <w:rStyle w:val="Hyperlink"/>
            <w:rFonts w:asciiTheme="minorHAnsi" w:hAnsiTheme="minorHAnsi" w:cstheme="minorHAnsi"/>
            <w:sz w:val="22"/>
            <w:szCs w:val="22"/>
            <w:lang w:val="fr-CA" w:eastAsia="en-CA"/>
          </w:rPr>
          <w:t>B</w:t>
        </w:r>
      </w:hyperlink>
      <w:r w:rsidR="002944FE" w:rsidRPr="00D85628">
        <w:rPr>
          <w:rFonts w:asciiTheme="minorHAnsi" w:hAnsiTheme="minorHAnsi" w:cstheme="minorHAnsi"/>
          <w:sz w:val="22"/>
          <w:szCs w:val="22"/>
          <w:lang w:val="fr-CA" w:eastAsia="en-CA"/>
        </w:rPr>
        <w:t xml:space="preserve"> </w:t>
      </w:r>
      <w:r w:rsidRPr="00D85628">
        <w:rPr>
          <w:rFonts w:asciiTheme="minorHAnsi" w:hAnsiTheme="minorHAnsi" w:cstheme="minorHAnsi"/>
          <w:sz w:val="22"/>
          <w:szCs w:val="22"/>
          <w:lang w:val="fr-CA" w:eastAsia="en-CA"/>
        </w:rPr>
        <w:t>pour obtenir plus de détails</w:t>
      </w:r>
      <w:r w:rsidR="00D85628">
        <w:rPr>
          <w:rFonts w:asciiTheme="minorHAnsi" w:hAnsiTheme="minorHAnsi" w:cstheme="minorHAnsi"/>
          <w:sz w:val="22"/>
          <w:szCs w:val="22"/>
          <w:lang w:val="fr-CA" w:eastAsia="en-CA"/>
        </w:rPr>
        <w:t xml:space="preserve"> sur les activités de dotation</w:t>
      </w:r>
      <w:r w:rsidR="002944FE" w:rsidRPr="00D85628">
        <w:rPr>
          <w:rFonts w:asciiTheme="minorHAnsi" w:hAnsiTheme="minorHAnsi" w:cstheme="minorHAnsi"/>
          <w:sz w:val="22"/>
          <w:szCs w:val="22"/>
          <w:lang w:val="fr-CA" w:eastAsia="en-CA"/>
        </w:rPr>
        <w:t>.</w:t>
      </w:r>
    </w:p>
    <w:p w14:paraId="6F414550" w14:textId="7A9015E0" w:rsidR="002944FE" w:rsidRPr="00D85628" w:rsidRDefault="003019BE" w:rsidP="00D85628">
      <w:pPr>
        <w:pStyle w:val="Heading1"/>
        <w:spacing w:after="120"/>
        <w:rPr>
          <w:rFonts w:cstheme="majorHAnsi"/>
        </w:rPr>
      </w:pPr>
      <w:r w:rsidRPr="00D85628">
        <w:rPr>
          <w:rFonts w:cstheme="majorHAnsi"/>
        </w:rPr>
        <w:t>Durée du processus de dotation</w:t>
      </w:r>
    </w:p>
    <w:p w14:paraId="2A907EFE" w14:textId="26113B0D" w:rsidR="002944FE" w:rsidRPr="008F56F8" w:rsidRDefault="00E93ACB" w:rsidP="00D85628">
      <w:pPr>
        <w:spacing w:after="120"/>
        <w:rPr>
          <w:rFonts w:asciiTheme="minorHAnsi" w:hAnsiTheme="minorHAnsi" w:cstheme="minorHAnsi"/>
          <w:sz w:val="22"/>
          <w:szCs w:val="22"/>
          <w:lang w:eastAsia="en-CA"/>
        </w:rPr>
      </w:pPr>
      <w:r w:rsidRPr="008F56F8">
        <w:rPr>
          <w:rFonts w:asciiTheme="minorHAnsi" w:hAnsiTheme="minorHAnsi" w:cstheme="minorHAnsi"/>
          <w:sz w:val="22"/>
          <w:szCs w:val="22"/>
          <w:lang w:eastAsia="en-CA"/>
        </w:rPr>
        <w:t xml:space="preserve">En raison </w:t>
      </w:r>
      <w:r w:rsidR="00F37640" w:rsidRPr="008F56F8">
        <w:rPr>
          <w:rFonts w:asciiTheme="minorHAnsi" w:hAnsiTheme="minorHAnsi" w:cstheme="minorHAnsi"/>
          <w:sz w:val="22"/>
          <w:szCs w:val="22"/>
          <w:lang w:eastAsia="en-CA"/>
        </w:rPr>
        <w:t>de la quantité</w:t>
      </w:r>
      <w:r w:rsidRPr="008F56F8">
        <w:rPr>
          <w:rFonts w:asciiTheme="minorHAnsi" w:hAnsiTheme="minorHAnsi" w:cstheme="minorHAnsi"/>
          <w:sz w:val="22"/>
          <w:szCs w:val="22"/>
          <w:lang w:eastAsia="en-CA"/>
        </w:rPr>
        <w:t xml:space="preserve"> insuffisant</w:t>
      </w:r>
      <w:r w:rsidR="00F37640" w:rsidRPr="008F56F8">
        <w:rPr>
          <w:rFonts w:asciiTheme="minorHAnsi" w:hAnsiTheme="minorHAnsi" w:cstheme="minorHAnsi"/>
          <w:sz w:val="22"/>
          <w:szCs w:val="22"/>
          <w:lang w:eastAsia="en-CA"/>
        </w:rPr>
        <w:t>e</w:t>
      </w:r>
      <w:r w:rsidRPr="008F56F8">
        <w:rPr>
          <w:rFonts w:asciiTheme="minorHAnsi" w:hAnsiTheme="minorHAnsi" w:cstheme="minorHAnsi"/>
          <w:sz w:val="22"/>
          <w:szCs w:val="22"/>
          <w:lang w:eastAsia="en-CA"/>
        </w:rPr>
        <w:t xml:space="preserve"> de données, il est impossible de présenter des résultats sur la durée des processus de dot</w:t>
      </w:r>
      <w:r w:rsidR="00626361" w:rsidRPr="008F56F8">
        <w:rPr>
          <w:rFonts w:asciiTheme="minorHAnsi" w:hAnsiTheme="minorHAnsi" w:cstheme="minorHAnsi"/>
          <w:sz w:val="22"/>
          <w:szCs w:val="22"/>
          <w:lang w:eastAsia="en-CA"/>
        </w:rPr>
        <w:t>ation internes ou externes à la </w:t>
      </w:r>
      <w:r w:rsidRPr="008F56F8">
        <w:rPr>
          <w:rFonts w:asciiTheme="minorHAnsi" w:hAnsiTheme="minorHAnsi" w:cstheme="minorHAnsi"/>
          <w:sz w:val="22"/>
          <w:szCs w:val="22"/>
          <w:lang w:eastAsia="en-CA"/>
        </w:rPr>
        <w:t>CCG.</w:t>
      </w:r>
    </w:p>
    <w:p w14:paraId="2110B066" w14:textId="4C08CB99" w:rsidR="002944FE" w:rsidRPr="00D85628" w:rsidRDefault="00F730ED" w:rsidP="00D85628">
      <w:pPr>
        <w:pStyle w:val="Heading1"/>
        <w:spacing w:after="120"/>
        <w:rPr>
          <w:rFonts w:cstheme="majorHAnsi"/>
        </w:rPr>
      </w:pPr>
      <w:r w:rsidRPr="00D85628">
        <w:rPr>
          <w:rFonts w:cstheme="majorHAnsi"/>
        </w:rPr>
        <w:t>Cadre de dotation</w:t>
      </w:r>
    </w:p>
    <w:p w14:paraId="33BB0F35" w14:textId="5A0D7562" w:rsidR="002944FE" w:rsidRPr="00671B35" w:rsidRDefault="00F730ED" w:rsidP="00D85628">
      <w:pPr>
        <w:pStyle w:val="Heading2"/>
        <w:spacing w:after="120"/>
      </w:pPr>
      <w:r w:rsidRPr="00671B35">
        <w:t>Mise en œuvre de la nouvelle orientation en dotation</w:t>
      </w:r>
    </w:p>
    <w:p w14:paraId="713ECA0D" w14:textId="7D65F847" w:rsidR="002944FE" w:rsidRPr="00D85628" w:rsidRDefault="00626361"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La </w:t>
      </w:r>
      <w:r w:rsidR="00E93ACB" w:rsidRPr="00D85628">
        <w:rPr>
          <w:rFonts w:asciiTheme="minorHAnsi" w:hAnsiTheme="minorHAnsi" w:cstheme="minorHAnsi"/>
          <w:sz w:val="22"/>
          <w:szCs w:val="22"/>
        </w:rPr>
        <w:t xml:space="preserve">CCG a </w:t>
      </w:r>
      <w:r w:rsidR="0051103D">
        <w:rPr>
          <w:rFonts w:asciiTheme="minorHAnsi" w:hAnsiTheme="minorHAnsi" w:cstheme="minorHAnsi"/>
          <w:sz w:val="22"/>
          <w:szCs w:val="22"/>
        </w:rPr>
        <w:t>partagé</w:t>
      </w:r>
      <w:r w:rsidR="0051103D" w:rsidRPr="00D85628">
        <w:rPr>
          <w:rFonts w:asciiTheme="minorHAnsi" w:hAnsiTheme="minorHAnsi" w:cstheme="minorHAnsi"/>
          <w:sz w:val="22"/>
          <w:szCs w:val="22"/>
        </w:rPr>
        <w:t xml:space="preserve"> </w:t>
      </w:r>
      <w:r w:rsidR="00E93ACB" w:rsidRPr="00D85628">
        <w:rPr>
          <w:rFonts w:asciiTheme="minorHAnsi" w:hAnsiTheme="minorHAnsi" w:cstheme="minorHAnsi"/>
          <w:sz w:val="22"/>
          <w:szCs w:val="22"/>
        </w:rPr>
        <w:t>son cadre de nomination et so</w:t>
      </w:r>
      <w:r w:rsidRPr="00D85628">
        <w:rPr>
          <w:rFonts w:asciiTheme="minorHAnsi" w:hAnsiTheme="minorHAnsi" w:cstheme="minorHAnsi"/>
          <w:sz w:val="22"/>
          <w:szCs w:val="22"/>
        </w:rPr>
        <w:t xml:space="preserve">n instrument de délégation </w:t>
      </w:r>
      <w:r w:rsidR="0051103D">
        <w:rPr>
          <w:rFonts w:asciiTheme="minorHAnsi" w:hAnsiTheme="minorHAnsi" w:cstheme="minorHAnsi"/>
          <w:sz w:val="22"/>
          <w:szCs w:val="22"/>
        </w:rPr>
        <w:t>avec</w:t>
      </w:r>
      <w:r w:rsidR="0051103D" w:rsidRPr="00D85628">
        <w:rPr>
          <w:rFonts w:asciiTheme="minorHAnsi" w:hAnsiTheme="minorHAnsi" w:cstheme="minorHAnsi"/>
          <w:sz w:val="22"/>
          <w:szCs w:val="22"/>
        </w:rPr>
        <w:t xml:space="preserve"> </w:t>
      </w:r>
      <w:r w:rsidRPr="00D85628">
        <w:rPr>
          <w:rFonts w:asciiTheme="minorHAnsi" w:hAnsiTheme="minorHAnsi" w:cstheme="minorHAnsi"/>
          <w:sz w:val="22"/>
          <w:szCs w:val="22"/>
        </w:rPr>
        <w:t>la </w:t>
      </w:r>
      <w:r w:rsidR="00E93ACB" w:rsidRPr="00D85628">
        <w:rPr>
          <w:rFonts w:asciiTheme="minorHAnsi" w:hAnsiTheme="minorHAnsi" w:cstheme="minorHAnsi"/>
          <w:sz w:val="22"/>
          <w:szCs w:val="22"/>
        </w:rPr>
        <w:t>CFP.</w:t>
      </w:r>
    </w:p>
    <w:p w14:paraId="21638C28" w14:textId="256F2A32" w:rsidR="002944FE" w:rsidRPr="00D85628" w:rsidRDefault="00E93ACB" w:rsidP="002F07D8">
      <w:pPr>
        <w:pStyle w:val="Heading3"/>
        <w:spacing w:after="120"/>
      </w:pPr>
      <w:r w:rsidRPr="00D85628">
        <w:t>Politique</w:t>
      </w:r>
    </w:p>
    <w:p w14:paraId="63A5B36B" w14:textId="62289B14" w:rsidR="002944FE" w:rsidRPr="00D85628" w:rsidRDefault="00626361"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En 2016, la </w:t>
      </w:r>
      <w:r w:rsidR="00E93ACB" w:rsidRPr="00D85628">
        <w:rPr>
          <w:rFonts w:asciiTheme="minorHAnsi" w:hAnsiTheme="minorHAnsi" w:cstheme="minorHAnsi"/>
          <w:sz w:val="22"/>
          <w:szCs w:val="22"/>
        </w:rPr>
        <w:t>CCG a mis à jour sa politique de nominati</w:t>
      </w:r>
      <w:r w:rsidRPr="00D85628">
        <w:rPr>
          <w:rFonts w:asciiTheme="minorHAnsi" w:hAnsiTheme="minorHAnsi" w:cstheme="minorHAnsi"/>
          <w:sz w:val="22"/>
          <w:szCs w:val="22"/>
        </w:rPr>
        <w:t>on afin de l’harmoniser avec la </w:t>
      </w:r>
      <w:r w:rsidR="00E93ACB" w:rsidRPr="00D85628">
        <w:rPr>
          <w:rFonts w:asciiTheme="minorHAnsi" w:hAnsiTheme="minorHAnsi" w:cstheme="minorHAnsi"/>
          <w:sz w:val="22"/>
          <w:szCs w:val="22"/>
        </w:rPr>
        <w:t xml:space="preserve">NOD. </w:t>
      </w:r>
      <w:r w:rsidR="00CF3817" w:rsidRPr="00D85628">
        <w:rPr>
          <w:rFonts w:asciiTheme="minorHAnsi" w:hAnsiTheme="minorHAnsi" w:cstheme="minorHAnsi"/>
          <w:sz w:val="22"/>
          <w:szCs w:val="22"/>
        </w:rPr>
        <w:t xml:space="preserve">Cette politique </w:t>
      </w:r>
      <w:r w:rsidR="00E93ACB" w:rsidRPr="00D85628">
        <w:rPr>
          <w:rFonts w:asciiTheme="minorHAnsi" w:hAnsiTheme="minorHAnsi" w:cstheme="minorHAnsi"/>
          <w:sz w:val="22"/>
          <w:szCs w:val="22"/>
        </w:rPr>
        <w:t>comprend les</w:t>
      </w:r>
      <w:r w:rsidR="00383314" w:rsidRPr="00D85628">
        <w:rPr>
          <w:rFonts w:asciiTheme="minorHAnsi" w:hAnsiTheme="minorHAnsi" w:cstheme="minorHAnsi"/>
          <w:sz w:val="22"/>
          <w:szCs w:val="22"/>
        </w:rPr>
        <w:t xml:space="preserve"> règles entourant</w:t>
      </w:r>
      <w:r w:rsidR="00E93ACB" w:rsidRPr="00D85628">
        <w:rPr>
          <w:rFonts w:asciiTheme="minorHAnsi" w:hAnsiTheme="minorHAnsi" w:cstheme="minorHAnsi"/>
          <w:sz w:val="22"/>
          <w:szCs w:val="22"/>
        </w:rPr>
        <w:t xml:space="preserve"> la zone de sélection, les directives sur l’utilisation de</w:t>
      </w:r>
      <w:r w:rsidR="002E6E05" w:rsidRPr="00D85628">
        <w:rPr>
          <w:rFonts w:asciiTheme="minorHAnsi" w:hAnsiTheme="minorHAnsi" w:cstheme="minorHAnsi"/>
          <w:sz w:val="22"/>
          <w:szCs w:val="22"/>
        </w:rPr>
        <w:t>s</w:t>
      </w:r>
      <w:r w:rsidR="00E93ACB" w:rsidRPr="00D85628">
        <w:rPr>
          <w:rFonts w:asciiTheme="minorHAnsi" w:hAnsiTheme="minorHAnsi" w:cstheme="minorHAnsi"/>
          <w:sz w:val="22"/>
          <w:szCs w:val="22"/>
        </w:rPr>
        <w:t xml:space="preserve"> processus annoncés et non annoncés et les attentes liées à </w:t>
      </w:r>
      <w:r w:rsidR="00383314" w:rsidRPr="00D85628">
        <w:rPr>
          <w:rFonts w:asciiTheme="minorHAnsi" w:hAnsiTheme="minorHAnsi" w:cstheme="minorHAnsi"/>
          <w:sz w:val="22"/>
          <w:szCs w:val="22"/>
        </w:rPr>
        <w:t xml:space="preserve">la formulation </w:t>
      </w:r>
      <w:r w:rsidR="00E93ACB" w:rsidRPr="00D85628">
        <w:rPr>
          <w:rFonts w:asciiTheme="minorHAnsi" w:hAnsiTheme="minorHAnsi" w:cstheme="minorHAnsi"/>
          <w:sz w:val="22"/>
          <w:szCs w:val="22"/>
        </w:rPr>
        <w:t>de la décision de sélection.</w:t>
      </w:r>
    </w:p>
    <w:p w14:paraId="04388D39" w14:textId="77777777" w:rsidR="00D85628" w:rsidRDefault="00626361" w:rsidP="00D85628">
      <w:pPr>
        <w:pStyle w:val="NormalWeb"/>
        <w:spacing w:before="0" w:beforeAutospacing="0" w:after="120" w:afterAutospacing="0"/>
        <w:rPr>
          <w:rFonts w:asciiTheme="minorHAnsi" w:hAnsiTheme="minorHAnsi" w:cstheme="minorHAnsi"/>
          <w:sz w:val="22"/>
          <w:szCs w:val="22"/>
        </w:rPr>
        <w:sectPr w:rsidR="00D85628" w:rsidSect="00331527">
          <w:footerReference w:type="default" r:id="rId8"/>
          <w:footerReference w:type="first" r:id="rId9"/>
          <w:type w:val="continuous"/>
          <w:pgSz w:w="12240" w:h="15840"/>
          <w:pgMar w:top="1440" w:right="1080" w:bottom="1440" w:left="1080" w:header="709" w:footer="284" w:gutter="0"/>
          <w:cols w:space="708"/>
          <w:titlePg/>
          <w:docGrid w:linePitch="360"/>
        </w:sectPr>
      </w:pPr>
      <w:r w:rsidRPr="00D85628">
        <w:rPr>
          <w:rFonts w:asciiTheme="minorHAnsi" w:hAnsiTheme="minorHAnsi" w:cstheme="minorHAnsi"/>
          <w:sz w:val="22"/>
          <w:szCs w:val="22"/>
        </w:rPr>
        <w:t>La </w:t>
      </w:r>
      <w:r w:rsidR="00E93ACB" w:rsidRPr="00D85628">
        <w:rPr>
          <w:rFonts w:asciiTheme="minorHAnsi" w:hAnsiTheme="minorHAnsi" w:cstheme="minorHAnsi"/>
          <w:sz w:val="22"/>
          <w:szCs w:val="22"/>
        </w:rPr>
        <w:t xml:space="preserve">CCG a récemment </w:t>
      </w:r>
      <w:r w:rsidR="00CF3817" w:rsidRPr="00D85628">
        <w:rPr>
          <w:rFonts w:asciiTheme="minorHAnsi" w:hAnsiTheme="minorHAnsi" w:cstheme="minorHAnsi"/>
          <w:sz w:val="22"/>
          <w:szCs w:val="22"/>
        </w:rPr>
        <w:t>revu</w:t>
      </w:r>
      <w:r w:rsidR="00E93ACB" w:rsidRPr="00D85628">
        <w:rPr>
          <w:rFonts w:asciiTheme="minorHAnsi" w:hAnsiTheme="minorHAnsi" w:cstheme="minorHAnsi"/>
          <w:sz w:val="22"/>
          <w:szCs w:val="22"/>
        </w:rPr>
        <w:t xml:space="preserve"> sa politique de nomination. Les mises à jour proposées sont </w:t>
      </w:r>
      <w:r w:rsidR="00A558B1" w:rsidRPr="00D85628">
        <w:rPr>
          <w:rFonts w:asciiTheme="minorHAnsi" w:hAnsiTheme="minorHAnsi" w:cstheme="minorHAnsi"/>
          <w:sz w:val="22"/>
          <w:szCs w:val="22"/>
        </w:rPr>
        <w:t>actuellement examinées dans le cadre du</w:t>
      </w:r>
      <w:r w:rsidR="00940088" w:rsidRPr="00D85628">
        <w:rPr>
          <w:rFonts w:asciiTheme="minorHAnsi" w:hAnsiTheme="minorHAnsi" w:cstheme="minorHAnsi"/>
          <w:sz w:val="22"/>
          <w:szCs w:val="22"/>
        </w:rPr>
        <w:t xml:space="preserve"> processus d’approbation.</w:t>
      </w:r>
    </w:p>
    <w:p w14:paraId="6486866E" w14:textId="0959F8C2" w:rsidR="002944FE" w:rsidRPr="00D85628" w:rsidRDefault="00940088" w:rsidP="002F07D8">
      <w:pPr>
        <w:pStyle w:val="Heading3"/>
        <w:spacing w:after="120"/>
      </w:pPr>
      <w:r w:rsidRPr="00D85628">
        <w:lastRenderedPageBreak/>
        <w:t>Délé</w:t>
      </w:r>
      <w:r w:rsidR="002944FE" w:rsidRPr="00D85628">
        <w:t>gation</w:t>
      </w:r>
    </w:p>
    <w:p w14:paraId="0BA1F73F" w14:textId="18C9E14C" w:rsidR="002944FE" w:rsidRPr="00D85628" w:rsidRDefault="00940088" w:rsidP="00D85628">
      <w:pPr>
        <w:pStyle w:val="NoSpacing"/>
        <w:spacing w:after="120"/>
        <w:rPr>
          <w:rFonts w:asciiTheme="minorHAnsi" w:hAnsiTheme="minorHAnsi" w:cstheme="minorHAnsi"/>
          <w:lang w:val="fr-CA"/>
        </w:rPr>
      </w:pPr>
      <w:r w:rsidRPr="00D85628">
        <w:rPr>
          <w:rFonts w:asciiTheme="minorHAnsi" w:hAnsiTheme="minorHAnsi" w:cstheme="minorHAnsi"/>
          <w:sz w:val="22"/>
          <w:szCs w:val="22"/>
          <w:lang w:val="fr-CA"/>
        </w:rPr>
        <w:t xml:space="preserve">Durant le passage </w:t>
      </w:r>
      <w:r w:rsidR="00626361" w:rsidRPr="00D85628">
        <w:rPr>
          <w:rFonts w:asciiTheme="minorHAnsi" w:hAnsiTheme="minorHAnsi" w:cstheme="minorHAnsi"/>
          <w:sz w:val="22"/>
          <w:szCs w:val="22"/>
          <w:lang w:val="fr-CA"/>
        </w:rPr>
        <w:t>à la </w:t>
      </w:r>
      <w:r w:rsidRPr="00D85628">
        <w:rPr>
          <w:rFonts w:asciiTheme="minorHAnsi" w:hAnsiTheme="minorHAnsi" w:cstheme="minorHAnsi"/>
          <w:sz w:val="22"/>
          <w:szCs w:val="22"/>
          <w:lang w:val="fr-CA"/>
        </w:rPr>
        <w:t>NOD, la Direction générale des ressources humaines a examiné le processus d’approbation pour la dotation. Pour pallier les retards, elle a mis en place un processus d’approbation électronique simplifié avec les gestionnaires d’embauche.</w:t>
      </w:r>
      <w:r w:rsidRPr="00D85628">
        <w:rPr>
          <w:rFonts w:asciiTheme="minorHAnsi" w:hAnsiTheme="minorHAnsi" w:cstheme="minorHAnsi"/>
          <w:lang w:val="fr-CA"/>
        </w:rPr>
        <w:t xml:space="preserve"> </w:t>
      </w:r>
    </w:p>
    <w:p w14:paraId="3B11F84D" w14:textId="4AD24673" w:rsidR="002944FE" w:rsidRPr="00D85628" w:rsidRDefault="00626361"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La </w:t>
      </w:r>
      <w:r w:rsidR="00940088" w:rsidRPr="00D85628">
        <w:rPr>
          <w:rFonts w:asciiTheme="minorHAnsi" w:hAnsiTheme="minorHAnsi" w:cstheme="minorHAnsi"/>
          <w:sz w:val="22"/>
          <w:szCs w:val="22"/>
        </w:rPr>
        <w:t xml:space="preserve">CCG est en train d’examiner et de mettre à jour son instrument de </w:t>
      </w:r>
      <w:r w:rsidR="00401FC7" w:rsidRPr="00D85628">
        <w:rPr>
          <w:rFonts w:asciiTheme="minorHAnsi" w:hAnsiTheme="minorHAnsi" w:cstheme="minorHAnsi"/>
          <w:sz w:val="22"/>
          <w:szCs w:val="22"/>
        </w:rPr>
        <w:t>subdélégation des</w:t>
      </w:r>
      <w:r w:rsidR="00940088" w:rsidRPr="00D85628">
        <w:rPr>
          <w:rFonts w:asciiTheme="minorHAnsi" w:hAnsiTheme="minorHAnsi" w:cstheme="minorHAnsi"/>
          <w:sz w:val="22"/>
          <w:szCs w:val="22"/>
        </w:rPr>
        <w:t xml:space="preserve"> ressources humaines. Une fois cet exercice terminé, l’instrument sera envoyé à </w:t>
      </w:r>
      <w:r w:rsidR="00401FC7" w:rsidRPr="00D85628">
        <w:rPr>
          <w:rFonts w:asciiTheme="minorHAnsi" w:hAnsiTheme="minorHAnsi" w:cstheme="minorHAnsi"/>
          <w:sz w:val="22"/>
          <w:szCs w:val="22"/>
        </w:rPr>
        <w:t>l’AG</w:t>
      </w:r>
      <w:r w:rsidR="00940088" w:rsidRPr="00D85628">
        <w:rPr>
          <w:rFonts w:asciiTheme="minorHAnsi" w:hAnsiTheme="minorHAnsi" w:cstheme="minorHAnsi"/>
          <w:sz w:val="22"/>
          <w:szCs w:val="22"/>
        </w:rPr>
        <w:t xml:space="preserve"> </w:t>
      </w:r>
      <w:r w:rsidR="00FA6047" w:rsidRPr="00D85628">
        <w:rPr>
          <w:rFonts w:asciiTheme="minorHAnsi" w:hAnsiTheme="minorHAnsi" w:cstheme="minorHAnsi"/>
          <w:sz w:val="22"/>
          <w:szCs w:val="22"/>
        </w:rPr>
        <w:t>dans le cadre du</w:t>
      </w:r>
      <w:r w:rsidR="00940088" w:rsidRPr="00D85628">
        <w:rPr>
          <w:rFonts w:asciiTheme="minorHAnsi" w:hAnsiTheme="minorHAnsi" w:cstheme="minorHAnsi"/>
          <w:sz w:val="22"/>
          <w:szCs w:val="22"/>
        </w:rPr>
        <w:t xml:space="preserve"> processus d’approbation.</w:t>
      </w:r>
    </w:p>
    <w:p w14:paraId="1F8E2950" w14:textId="1A5A70C6" w:rsidR="002944FE" w:rsidRPr="00D85628" w:rsidRDefault="006D278B" w:rsidP="002F07D8">
      <w:pPr>
        <w:pStyle w:val="Heading3"/>
        <w:spacing w:after="120"/>
      </w:pPr>
      <w:r w:rsidRPr="00D85628">
        <w:t>Surveillance</w:t>
      </w:r>
    </w:p>
    <w:p w14:paraId="6FF9F6D8" w14:textId="52D571BA" w:rsidR="002944FE" w:rsidRPr="00D85628" w:rsidRDefault="006D278B"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L</w:t>
      </w:r>
      <w:r w:rsidR="00626361" w:rsidRPr="00D85628">
        <w:rPr>
          <w:rFonts w:asciiTheme="minorHAnsi" w:hAnsiTheme="minorHAnsi" w:cstheme="minorHAnsi"/>
          <w:sz w:val="22"/>
          <w:szCs w:val="22"/>
        </w:rPr>
        <w:t>a politique de nomination de la </w:t>
      </w:r>
      <w:r w:rsidRPr="00D85628">
        <w:rPr>
          <w:rFonts w:asciiTheme="minorHAnsi" w:hAnsiTheme="minorHAnsi" w:cstheme="minorHAnsi"/>
          <w:sz w:val="22"/>
          <w:szCs w:val="22"/>
        </w:rPr>
        <w:t xml:space="preserve">CCG comprend des lignes directrices sur la surveillance de la dotation. En 2017 et en 2019, l’organisation a collaboré avec le </w:t>
      </w:r>
      <w:r w:rsidR="00637CA2">
        <w:rPr>
          <w:rFonts w:asciiTheme="minorHAnsi" w:hAnsiTheme="minorHAnsi" w:cstheme="minorHAnsi"/>
          <w:sz w:val="22"/>
          <w:szCs w:val="22"/>
        </w:rPr>
        <w:t>C</w:t>
      </w:r>
      <w:r w:rsidRPr="00D85628">
        <w:rPr>
          <w:rFonts w:asciiTheme="minorHAnsi" w:hAnsiTheme="minorHAnsi" w:cstheme="minorHAnsi"/>
          <w:sz w:val="22"/>
          <w:szCs w:val="22"/>
        </w:rPr>
        <w:t>onseiller au soutien en dotation</w:t>
      </w:r>
      <w:r w:rsidR="007061DC" w:rsidRPr="00D85628">
        <w:rPr>
          <w:rFonts w:asciiTheme="minorHAnsi" w:hAnsiTheme="minorHAnsi" w:cstheme="minorHAnsi"/>
          <w:sz w:val="22"/>
          <w:szCs w:val="22"/>
        </w:rPr>
        <w:t> </w:t>
      </w:r>
      <w:r w:rsidRPr="00D85628">
        <w:rPr>
          <w:rFonts w:asciiTheme="minorHAnsi" w:hAnsiTheme="minorHAnsi" w:cstheme="minorHAnsi"/>
          <w:sz w:val="22"/>
          <w:szCs w:val="22"/>
        </w:rPr>
        <w:t xml:space="preserve">(CSD) à la mise à jour du cadre de surveillance. Cet exercice </w:t>
      </w:r>
      <w:r w:rsidR="00383314" w:rsidRPr="00D85628">
        <w:rPr>
          <w:rFonts w:asciiTheme="minorHAnsi" w:hAnsiTheme="minorHAnsi" w:cstheme="minorHAnsi"/>
          <w:sz w:val="22"/>
          <w:szCs w:val="22"/>
        </w:rPr>
        <w:t>vient de prendre fin</w:t>
      </w:r>
      <w:r w:rsidRPr="00D85628">
        <w:rPr>
          <w:rFonts w:asciiTheme="minorHAnsi" w:hAnsiTheme="minorHAnsi" w:cstheme="minorHAnsi"/>
          <w:sz w:val="22"/>
          <w:szCs w:val="22"/>
        </w:rPr>
        <w:t>.</w:t>
      </w:r>
    </w:p>
    <w:p w14:paraId="34D5170F" w14:textId="622DACB0" w:rsidR="002944FE" w:rsidRPr="00D85628" w:rsidRDefault="006D278B" w:rsidP="002F07D8">
      <w:pPr>
        <w:pStyle w:val="Heading3"/>
        <w:spacing w:after="120"/>
      </w:pPr>
      <w:r w:rsidRPr="00D85628">
        <w:t>Mobilisation au sein de l’organisation</w:t>
      </w:r>
    </w:p>
    <w:p w14:paraId="2329B158" w14:textId="631C0737" w:rsidR="002944FE" w:rsidRPr="00D85628" w:rsidRDefault="006D278B"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 xml:space="preserve">Lorsque le CSD a visité </w:t>
      </w:r>
      <w:r w:rsidR="00D75853" w:rsidRPr="00D85628">
        <w:rPr>
          <w:rFonts w:asciiTheme="minorHAnsi" w:hAnsiTheme="minorHAnsi" w:cstheme="minorHAnsi"/>
          <w:sz w:val="22"/>
          <w:szCs w:val="22"/>
        </w:rPr>
        <w:t>l’</w:t>
      </w:r>
      <w:r w:rsidR="00626361" w:rsidRPr="00D85628">
        <w:rPr>
          <w:rFonts w:asciiTheme="minorHAnsi" w:hAnsiTheme="minorHAnsi" w:cstheme="minorHAnsi"/>
          <w:sz w:val="22"/>
          <w:szCs w:val="22"/>
        </w:rPr>
        <w:t>administration centrale de la </w:t>
      </w:r>
      <w:r w:rsidRPr="00D85628">
        <w:rPr>
          <w:rFonts w:asciiTheme="minorHAnsi" w:hAnsiTheme="minorHAnsi" w:cstheme="minorHAnsi"/>
          <w:sz w:val="22"/>
          <w:szCs w:val="22"/>
        </w:rPr>
        <w:t>CCG à Winnipeg en mai 2019, il a animé des séances à l’intention de l’équipe des ressources humaines de la CCG. Les séances ont porté sur divers sujets : scénarios de dotation lié</w:t>
      </w:r>
      <w:r w:rsidR="00626361" w:rsidRPr="00D85628">
        <w:rPr>
          <w:rFonts w:asciiTheme="minorHAnsi" w:hAnsiTheme="minorHAnsi" w:cstheme="minorHAnsi"/>
          <w:sz w:val="22"/>
          <w:szCs w:val="22"/>
        </w:rPr>
        <w:t>s à la </w:t>
      </w:r>
      <w:r w:rsidRPr="00D85628">
        <w:rPr>
          <w:rFonts w:asciiTheme="minorHAnsi" w:hAnsiTheme="minorHAnsi" w:cstheme="minorHAnsi"/>
          <w:sz w:val="22"/>
          <w:szCs w:val="22"/>
        </w:rPr>
        <w:t>NOD</w:t>
      </w:r>
      <w:r w:rsidR="00A07862" w:rsidRPr="00D85628">
        <w:rPr>
          <w:rFonts w:asciiTheme="minorHAnsi" w:hAnsiTheme="minorHAnsi" w:cstheme="minorHAnsi"/>
          <w:sz w:val="22"/>
          <w:szCs w:val="22"/>
        </w:rPr>
        <w:t xml:space="preserve">; </w:t>
      </w:r>
      <w:r w:rsidRPr="00D85628">
        <w:rPr>
          <w:rFonts w:asciiTheme="minorHAnsi" w:hAnsiTheme="minorHAnsi" w:cstheme="minorHAnsi"/>
          <w:sz w:val="22"/>
          <w:szCs w:val="22"/>
        </w:rPr>
        <w:t>critères de mérite efficaces</w:t>
      </w:r>
      <w:r w:rsidR="00A07862" w:rsidRPr="00D85628">
        <w:rPr>
          <w:rFonts w:asciiTheme="minorHAnsi" w:hAnsiTheme="minorHAnsi" w:cstheme="minorHAnsi"/>
          <w:sz w:val="22"/>
          <w:szCs w:val="22"/>
        </w:rPr>
        <w:t>;</w:t>
      </w:r>
      <w:r w:rsidRPr="00D85628">
        <w:rPr>
          <w:rFonts w:asciiTheme="minorHAnsi" w:hAnsiTheme="minorHAnsi" w:cstheme="minorHAnsi"/>
          <w:sz w:val="22"/>
          <w:szCs w:val="22"/>
        </w:rPr>
        <w:t xml:space="preserve"> optimisation des options de dotation liées à l’équité en matière d’emploi (EE)</w:t>
      </w:r>
      <w:r w:rsidR="00A07862" w:rsidRPr="00D85628">
        <w:rPr>
          <w:rFonts w:asciiTheme="minorHAnsi" w:hAnsiTheme="minorHAnsi" w:cstheme="minorHAnsi"/>
          <w:sz w:val="22"/>
          <w:szCs w:val="22"/>
        </w:rPr>
        <w:t xml:space="preserve">; </w:t>
      </w:r>
      <w:r w:rsidRPr="00D85628">
        <w:rPr>
          <w:rFonts w:asciiTheme="minorHAnsi" w:hAnsiTheme="minorHAnsi" w:cstheme="minorHAnsi"/>
          <w:sz w:val="22"/>
          <w:szCs w:val="22"/>
        </w:rPr>
        <w:t xml:space="preserve">expériences de dotation en cours dans la fonction publique; et mises à jour </w:t>
      </w:r>
      <w:r w:rsidR="00A07862" w:rsidRPr="00D85628">
        <w:rPr>
          <w:rFonts w:asciiTheme="minorHAnsi" w:hAnsiTheme="minorHAnsi" w:cstheme="minorHAnsi"/>
          <w:sz w:val="22"/>
          <w:szCs w:val="22"/>
        </w:rPr>
        <w:t>liées à la</w:t>
      </w:r>
      <w:r w:rsidRPr="00D85628">
        <w:rPr>
          <w:rFonts w:asciiTheme="minorHAnsi" w:hAnsiTheme="minorHAnsi" w:cstheme="minorHAnsi"/>
          <w:sz w:val="22"/>
          <w:szCs w:val="22"/>
        </w:rPr>
        <w:t xml:space="preserve"> CFP et </w:t>
      </w:r>
      <w:r w:rsidR="00A07862" w:rsidRPr="00D85628">
        <w:rPr>
          <w:rFonts w:asciiTheme="minorHAnsi" w:hAnsiTheme="minorHAnsi" w:cstheme="minorHAnsi"/>
          <w:sz w:val="22"/>
          <w:szCs w:val="22"/>
        </w:rPr>
        <w:t>à la</w:t>
      </w:r>
      <w:r w:rsidRPr="00D85628">
        <w:rPr>
          <w:rFonts w:asciiTheme="minorHAnsi" w:hAnsiTheme="minorHAnsi" w:cstheme="minorHAnsi"/>
          <w:sz w:val="22"/>
          <w:szCs w:val="22"/>
        </w:rPr>
        <w:t xml:space="preserve"> NOD. </w:t>
      </w:r>
    </w:p>
    <w:p w14:paraId="3D6C996A" w14:textId="6533F353" w:rsidR="002944FE" w:rsidRPr="00D85628" w:rsidRDefault="00A07862"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En 2020, le</w:t>
      </w:r>
      <w:r w:rsidR="00626361" w:rsidRPr="00D85628">
        <w:rPr>
          <w:rFonts w:asciiTheme="minorHAnsi" w:hAnsiTheme="minorHAnsi" w:cstheme="minorHAnsi"/>
          <w:sz w:val="22"/>
          <w:szCs w:val="22"/>
        </w:rPr>
        <w:t> </w:t>
      </w:r>
      <w:r w:rsidRPr="00D85628">
        <w:rPr>
          <w:rFonts w:asciiTheme="minorHAnsi" w:hAnsiTheme="minorHAnsi" w:cstheme="minorHAnsi"/>
          <w:sz w:val="22"/>
          <w:szCs w:val="22"/>
        </w:rPr>
        <w:t>CSD a eu recours à des moyens vi</w:t>
      </w:r>
      <w:r w:rsidR="00626361" w:rsidRPr="00D85628">
        <w:rPr>
          <w:rFonts w:asciiTheme="minorHAnsi" w:hAnsiTheme="minorHAnsi" w:cstheme="minorHAnsi"/>
          <w:sz w:val="22"/>
          <w:szCs w:val="22"/>
        </w:rPr>
        <w:t>rtuels pour communiquer avec la </w:t>
      </w:r>
      <w:r w:rsidRPr="00D85628">
        <w:rPr>
          <w:rFonts w:asciiTheme="minorHAnsi" w:hAnsiTheme="minorHAnsi" w:cstheme="minorHAnsi"/>
          <w:sz w:val="22"/>
          <w:szCs w:val="22"/>
        </w:rPr>
        <w:t xml:space="preserve">CCG. En juin 2020, il a participé à la réunion de l’équipe de dotation de la CCG pour faire le point sur </w:t>
      </w:r>
      <w:r w:rsidR="00911100" w:rsidRPr="00D85628">
        <w:rPr>
          <w:rFonts w:asciiTheme="minorHAnsi" w:hAnsiTheme="minorHAnsi" w:cstheme="minorHAnsi"/>
          <w:sz w:val="22"/>
          <w:szCs w:val="22"/>
        </w:rPr>
        <w:t xml:space="preserve">divers sujets liés à </w:t>
      </w:r>
      <w:r w:rsidR="002536DF" w:rsidRPr="00D85628">
        <w:rPr>
          <w:rFonts w:asciiTheme="minorHAnsi" w:hAnsiTheme="minorHAnsi" w:cstheme="minorHAnsi"/>
          <w:sz w:val="22"/>
          <w:szCs w:val="22"/>
        </w:rPr>
        <w:t>la </w:t>
      </w:r>
      <w:r w:rsidRPr="00D85628">
        <w:rPr>
          <w:rFonts w:asciiTheme="minorHAnsi" w:hAnsiTheme="minorHAnsi" w:cstheme="minorHAnsi"/>
          <w:sz w:val="22"/>
          <w:szCs w:val="22"/>
        </w:rPr>
        <w:t xml:space="preserve">CFP et </w:t>
      </w:r>
      <w:r w:rsidR="00911100" w:rsidRPr="00D85628">
        <w:rPr>
          <w:rFonts w:asciiTheme="minorHAnsi" w:hAnsiTheme="minorHAnsi" w:cstheme="minorHAnsi"/>
          <w:sz w:val="22"/>
          <w:szCs w:val="22"/>
        </w:rPr>
        <w:t xml:space="preserve">à </w:t>
      </w:r>
      <w:r w:rsidR="002536DF" w:rsidRPr="00D85628">
        <w:rPr>
          <w:rFonts w:asciiTheme="minorHAnsi" w:hAnsiTheme="minorHAnsi" w:cstheme="minorHAnsi"/>
          <w:sz w:val="22"/>
          <w:szCs w:val="22"/>
        </w:rPr>
        <w:t>la </w:t>
      </w:r>
      <w:r w:rsidRPr="00D85628">
        <w:rPr>
          <w:rFonts w:asciiTheme="minorHAnsi" w:hAnsiTheme="minorHAnsi" w:cstheme="minorHAnsi"/>
          <w:sz w:val="22"/>
          <w:szCs w:val="22"/>
        </w:rPr>
        <w:t xml:space="preserve">NOD et répondre aux questions des membres. En novembre 2020, pendant le Forum des gestionnaires de la CCG, il a </w:t>
      </w:r>
      <w:r w:rsidR="00782CA6" w:rsidRPr="00D85628">
        <w:rPr>
          <w:rFonts w:asciiTheme="minorHAnsi" w:hAnsiTheme="minorHAnsi" w:cstheme="minorHAnsi"/>
          <w:sz w:val="22"/>
          <w:szCs w:val="22"/>
        </w:rPr>
        <w:t>dirigé</w:t>
      </w:r>
      <w:r w:rsidRPr="00D85628">
        <w:rPr>
          <w:rFonts w:asciiTheme="minorHAnsi" w:hAnsiTheme="minorHAnsi" w:cstheme="minorHAnsi"/>
          <w:sz w:val="22"/>
          <w:szCs w:val="22"/>
        </w:rPr>
        <w:t xml:space="preserve"> une séance de mises en situation portant sur la NOD à laquelle ont participé 75 gestionnaires.</w:t>
      </w:r>
    </w:p>
    <w:p w14:paraId="1EA5A89F" w14:textId="77777777" w:rsidR="00D85628" w:rsidRDefault="00A07862" w:rsidP="00D85628">
      <w:pPr>
        <w:pStyle w:val="NormalWeb"/>
        <w:spacing w:before="0" w:beforeAutospacing="0" w:after="120" w:afterAutospacing="0"/>
        <w:rPr>
          <w:rFonts w:asciiTheme="minorHAnsi" w:hAnsiTheme="minorHAnsi" w:cstheme="minorHAnsi"/>
          <w:sz w:val="22"/>
          <w:szCs w:val="22"/>
        </w:rPr>
        <w:sectPr w:rsidR="00D85628" w:rsidSect="00D85628">
          <w:pgSz w:w="12240" w:h="15840"/>
          <w:pgMar w:top="1440" w:right="1080" w:bottom="1440" w:left="1080" w:header="709" w:footer="284" w:gutter="0"/>
          <w:cols w:space="708"/>
          <w:titlePg/>
          <w:docGrid w:linePitch="360"/>
        </w:sectPr>
      </w:pPr>
      <w:r w:rsidRPr="00D85628">
        <w:rPr>
          <w:rFonts w:asciiTheme="minorHAnsi" w:hAnsiTheme="minorHAnsi" w:cstheme="minorHAnsi"/>
          <w:sz w:val="22"/>
          <w:szCs w:val="22"/>
        </w:rPr>
        <w:t>Le CSD discute actuellement avec l’organisation pour trouver des sujets d’intérêt à aborder lors des prochaines séances virtuelles. D’autres séances de mises en situation portant sur la NOD pourra</w:t>
      </w:r>
      <w:r w:rsidR="00782CA6" w:rsidRPr="00D85628">
        <w:rPr>
          <w:rFonts w:asciiTheme="minorHAnsi" w:hAnsiTheme="minorHAnsi" w:cstheme="minorHAnsi"/>
          <w:sz w:val="22"/>
          <w:szCs w:val="22"/>
        </w:rPr>
        <w:t>ient notamment être organisées</w:t>
      </w:r>
      <w:r w:rsidR="00911100" w:rsidRPr="00D85628">
        <w:rPr>
          <w:rFonts w:asciiTheme="minorHAnsi" w:hAnsiTheme="minorHAnsi" w:cstheme="minorHAnsi"/>
          <w:sz w:val="22"/>
          <w:szCs w:val="22"/>
        </w:rPr>
        <w:t xml:space="preserve"> à l’intention des gestionnaires</w:t>
      </w:r>
      <w:r w:rsidR="007061DC" w:rsidRPr="00D85628">
        <w:rPr>
          <w:rFonts w:asciiTheme="minorHAnsi" w:hAnsiTheme="minorHAnsi" w:cstheme="minorHAnsi"/>
          <w:sz w:val="22"/>
          <w:szCs w:val="22"/>
        </w:rPr>
        <w:t>,</w:t>
      </w:r>
      <w:r w:rsidR="00782CA6" w:rsidRPr="00D85628">
        <w:rPr>
          <w:rFonts w:asciiTheme="minorHAnsi" w:hAnsiTheme="minorHAnsi" w:cstheme="minorHAnsi"/>
          <w:sz w:val="22"/>
          <w:szCs w:val="22"/>
        </w:rPr>
        <w:t xml:space="preserve"> </w:t>
      </w:r>
      <w:r w:rsidR="007061DC" w:rsidRPr="00D85628">
        <w:rPr>
          <w:rFonts w:asciiTheme="minorHAnsi" w:hAnsiTheme="minorHAnsi" w:cstheme="minorHAnsi"/>
          <w:sz w:val="22"/>
          <w:szCs w:val="22"/>
        </w:rPr>
        <w:t>tout comme</w:t>
      </w:r>
      <w:r w:rsidRPr="00D85628">
        <w:rPr>
          <w:rFonts w:asciiTheme="minorHAnsi" w:hAnsiTheme="minorHAnsi" w:cstheme="minorHAnsi"/>
          <w:sz w:val="22"/>
          <w:szCs w:val="22"/>
        </w:rPr>
        <w:t xml:space="preserve"> des séances </w:t>
      </w:r>
      <w:r w:rsidR="00782CA6" w:rsidRPr="00D85628">
        <w:rPr>
          <w:rFonts w:asciiTheme="minorHAnsi" w:hAnsiTheme="minorHAnsi" w:cstheme="minorHAnsi"/>
          <w:sz w:val="22"/>
          <w:szCs w:val="22"/>
        </w:rPr>
        <w:t>s</w:t>
      </w:r>
      <w:r w:rsidRPr="00D85628">
        <w:rPr>
          <w:rFonts w:asciiTheme="minorHAnsi" w:hAnsiTheme="minorHAnsi" w:cstheme="minorHAnsi"/>
          <w:sz w:val="22"/>
          <w:szCs w:val="22"/>
        </w:rPr>
        <w:t>ur la façon d’améliorer l’établissement des critères de mérite, l’évaluation des candidats et les offres d’emploi. Récemment, le CSD a commencé à tenir des vidéoconférences mensuelles avec la personne</w:t>
      </w:r>
      <w:r w:rsidRPr="00D85628">
        <w:rPr>
          <w:rFonts w:asciiTheme="minorHAnsi" w:hAnsiTheme="minorHAnsi" w:cstheme="minorHAnsi"/>
          <w:sz w:val="22"/>
          <w:szCs w:val="22"/>
        </w:rPr>
        <w:noBreakHyphen/>
        <w:t xml:space="preserve">ressource de l’organisation, et il prévoit organiser une visite virtuelle de l’organisation </w:t>
      </w:r>
      <w:r w:rsidR="00383314" w:rsidRPr="00D85628">
        <w:rPr>
          <w:rFonts w:asciiTheme="minorHAnsi" w:hAnsiTheme="minorHAnsi" w:cstheme="minorHAnsi"/>
          <w:sz w:val="22"/>
          <w:szCs w:val="22"/>
        </w:rPr>
        <w:t xml:space="preserve">à laquelle prendra part </w:t>
      </w:r>
      <w:r w:rsidRPr="00D85628">
        <w:rPr>
          <w:rFonts w:asciiTheme="minorHAnsi" w:hAnsiTheme="minorHAnsi" w:cstheme="minorHAnsi"/>
          <w:sz w:val="22"/>
          <w:szCs w:val="22"/>
        </w:rPr>
        <w:t>l’équipe des ressources humaines</w:t>
      </w:r>
      <w:r w:rsidR="00626361" w:rsidRPr="00D85628">
        <w:rPr>
          <w:rFonts w:asciiTheme="minorHAnsi" w:hAnsiTheme="minorHAnsi" w:cstheme="minorHAnsi"/>
          <w:sz w:val="22"/>
          <w:szCs w:val="22"/>
        </w:rPr>
        <w:t xml:space="preserve"> en </w:t>
      </w:r>
      <w:r w:rsidRPr="00D85628">
        <w:rPr>
          <w:rFonts w:asciiTheme="minorHAnsi" w:hAnsiTheme="minorHAnsi" w:cstheme="minorHAnsi"/>
          <w:sz w:val="22"/>
          <w:szCs w:val="22"/>
        </w:rPr>
        <w:t>2021.</w:t>
      </w:r>
    </w:p>
    <w:p w14:paraId="047F9521" w14:textId="637E7579" w:rsidR="002944FE" w:rsidRPr="00D85628" w:rsidRDefault="00AB412A" w:rsidP="00D85628">
      <w:pPr>
        <w:pStyle w:val="Heading1"/>
        <w:spacing w:after="120"/>
        <w:rPr>
          <w:rFonts w:cstheme="majorHAnsi"/>
        </w:rPr>
      </w:pPr>
      <w:r w:rsidRPr="00D85628">
        <w:rPr>
          <w:rFonts w:cstheme="majorHAnsi"/>
        </w:rPr>
        <w:lastRenderedPageBreak/>
        <w:t>Rapport prévu par l’annexe D de l’instrument de délégation et de responsabilisation en matière de nomination</w:t>
      </w:r>
    </w:p>
    <w:p w14:paraId="74F5E098" w14:textId="3FD6D6ED" w:rsidR="002944FE" w:rsidRPr="00671B35" w:rsidRDefault="00AB412A" w:rsidP="00D85628">
      <w:pPr>
        <w:pStyle w:val="Heading2"/>
        <w:spacing w:after="120"/>
        <w:rPr>
          <w:b w:val="0"/>
        </w:rPr>
      </w:pPr>
      <w:r w:rsidRPr="00671B35">
        <w:t xml:space="preserve">Recours au </w:t>
      </w:r>
      <w:r w:rsidRPr="00D85628">
        <w:rPr>
          <w:rStyle w:val="Emphasis"/>
        </w:rPr>
        <w:t>Décret d’exemption concernant les langues officielles dans la fonction publique</w:t>
      </w:r>
      <w:r w:rsidRPr="00671B35">
        <w:t xml:space="preserve"> (DELOFP) et au </w:t>
      </w:r>
      <w:r w:rsidRPr="00D85628">
        <w:rPr>
          <w:rStyle w:val="Emphasis"/>
        </w:rPr>
        <w:t xml:space="preserve">Règlement sur les langues officielles – nominations dans la fonction publique </w:t>
      </w:r>
      <w:r w:rsidRPr="00671B35">
        <w:t>(RLONFP)</w:t>
      </w:r>
    </w:p>
    <w:p w14:paraId="42C843E9" w14:textId="75EB76ED" w:rsidR="002944FE" w:rsidRPr="00D85628" w:rsidRDefault="00626361" w:rsidP="00D85628">
      <w:pPr>
        <w:pStyle w:val="NormalWeb"/>
        <w:spacing w:before="0" w:beforeAutospacing="0" w:after="120" w:afterAutospacing="0"/>
        <w:rPr>
          <w:rFonts w:asciiTheme="minorHAnsi" w:hAnsiTheme="minorHAnsi" w:cstheme="minorHAnsi"/>
          <w:sz w:val="22"/>
          <w:szCs w:val="22"/>
        </w:rPr>
      </w:pPr>
      <w:r w:rsidRPr="00D85628">
        <w:rPr>
          <w:rFonts w:asciiTheme="minorHAnsi" w:hAnsiTheme="minorHAnsi" w:cstheme="minorHAnsi"/>
          <w:sz w:val="22"/>
          <w:szCs w:val="22"/>
        </w:rPr>
        <w:t>La </w:t>
      </w:r>
      <w:r w:rsidR="00A07862" w:rsidRPr="00D85628">
        <w:rPr>
          <w:rFonts w:asciiTheme="minorHAnsi" w:hAnsiTheme="minorHAnsi" w:cstheme="minorHAnsi"/>
          <w:sz w:val="22"/>
          <w:szCs w:val="22"/>
        </w:rPr>
        <w:t xml:space="preserve">CCG a </w:t>
      </w:r>
      <w:r w:rsidR="00A15C86" w:rsidRPr="00D85628">
        <w:rPr>
          <w:rFonts w:asciiTheme="minorHAnsi" w:hAnsiTheme="minorHAnsi" w:cstheme="minorHAnsi"/>
          <w:sz w:val="22"/>
          <w:szCs w:val="22"/>
        </w:rPr>
        <w:t>indiqué que l’organisation n’a pas eu re</w:t>
      </w:r>
      <w:r w:rsidR="007061DC" w:rsidRPr="00D85628">
        <w:rPr>
          <w:rFonts w:asciiTheme="minorHAnsi" w:hAnsiTheme="minorHAnsi" w:cstheme="minorHAnsi"/>
          <w:sz w:val="22"/>
          <w:szCs w:val="22"/>
        </w:rPr>
        <w:t xml:space="preserve">cours au DELOFP ni au RLONFP </w:t>
      </w:r>
      <w:r w:rsidR="00A15C86" w:rsidRPr="00D85628">
        <w:rPr>
          <w:rFonts w:asciiTheme="minorHAnsi" w:hAnsiTheme="minorHAnsi" w:cstheme="minorHAnsi"/>
          <w:sz w:val="22"/>
          <w:szCs w:val="22"/>
        </w:rPr>
        <w:t>entre le 1</w:t>
      </w:r>
      <w:r w:rsidR="00A15C86" w:rsidRPr="00D85628">
        <w:rPr>
          <w:rFonts w:asciiTheme="minorHAnsi" w:hAnsiTheme="minorHAnsi" w:cstheme="minorHAnsi"/>
          <w:sz w:val="22"/>
          <w:szCs w:val="22"/>
          <w:vertAlign w:val="superscript"/>
        </w:rPr>
        <w:t>er</w:t>
      </w:r>
      <w:r w:rsidR="00A15C86" w:rsidRPr="00D85628">
        <w:rPr>
          <w:rFonts w:asciiTheme="minorHAnsi" w:hAnsiTheme="minorHAnsi" w:cstheme="minorHAnsi"/>
          <w:sz w:val="22"/>
          <w:szCs w:val="22"/>
        </w:rPr>
        <w:t> avril 2019 et le 31 mars 2020.</w:t>
      </w:r>
    </w:p>
    <w:p w14:paraId="55E0F144" w14:textId="5AC97BC8" w:rsidR="002944FE" w:rsidRPr="00671B35" w:rsidRDefault="002804B3" w:rsidP="00D85628">
      <w:pPr>
        <w:pStyle w:val="Heading2"/>
        <w:spacing w:after="120"/>
      </w:pPr>
      <w:r w:rsidRPr="00671B35">
        <w:t>Exceptions approuvées par l’Administrateur général aux exigences de la zone nationale de sélection pour un processus de nomination externe annoncé</w:t>
      </w:r>
    </w:p>
    <w:p w14:paraId="2BC5E9D6" w14:textId="3B32EBA7" w:rsidR="002944FE" w:rsidRPr="00D85628" w:rsidRDefault="00626361" w:rsidP="00D85628">
      <w:pPr>
        <w:pStyle w:val="NoSpacing"/>
        <w:spacing w:after="120"/>
        <w:rPr>
          <w:rFonts w:asciiTheme="minorHAnsi" w:hAnsiTheme="minorHAnsi" w:cstheme="minorHAnsi"/>
          <w:sz w:val="22"/>
          <w:szCs w:val="22"/>
          <w:lang w:val="fr-CA"/>
        </w:rPr>
      </w:pPr>
      <w:r w:rsidRPr="00D85628">
        <w:rPr>
          <w:rFonts w:asciiTheme="minorHAnsi" w:hAnsiTheme="minorHAnsi" w:cstheme="minorHAnsi"/>
          <w:sz w:val="22"/>
          <w:szCs w:val="22"/>
          <w:lang w:val="fr-CA"/>
        </w:rPr>
        <w:t>La </w:t>
      </w:r>
      <w:r w:rsidR="00A15C86" w:rsidRPr="00D85628">
        <w:rPr>
          <w:rFonts w:asciiTheme="minorHAnsi" w:hAnsiTheme="minorHAnsi" w:cstheme="minorHAnsi"/>
          <w:sz w:val="22"/>
          <w:szCs w:val="22"/>
          <w:lang w:val="fr-CA"/>
        </w:rPr>
        <w:t>CCG a indiqué que l’AG n’a approuvé aucune exception à la zone nationale de sélection entre le 1</w:t>
      </w:r>
      <w:r w:rsidR="00A15C86" w:rsidRPr="00D85628">
        <w:rPr>
          <w:rFonts w:asciiTheme="minorHAnsi" w:hAnsiTheme="minorHAnsi" w:cstheme="minorHAnsi"/>
          <w:sz w:val="22"/>
          <w:szCs w:val="22"/>
          <w:vertAlign w:val="superscript"/>
          <w:lang w:val="fr-CA"/>
        </w:rPr>
        <w:t>er</w:t>
      </w:r>
      <w:r w:rsidR="00A15C86" w:rsidRPr="00D85628">
        <w:rPr>
          <w:rFonts w:asciiTheme="minorHAnsi" w:hAnsiTheme="minorHAnsi" w:cstheme="minorHAnsi"/>
          <w:sz w:val="22"/>
          <w:szCs w:val="22"/>
          <w:lang w:val="fr-CA"/>
        </w:rPr>
        <w:t> avril 2019 et le 31 mars 2020.</w:t>
      </w:r>
    </w:p>
    <w:p w14:paraId="7310CBBA" w14:textId="42726FF7" w:rsidR="002944FE" w:rsidRPr="00671B35" w:rsidRDefault="0000700D" w:rsidP="00D85628">
      <w:pPr>
        <w:pStyle w:val="Heading2"/>
        <w:spacing w:after="120"/>
      </w:pPr>
      <w:r w:rsidRPr="00671B35">
        <w:t>Résultats de l’évaluation cyclique de l’organisation</w:t>
      </w:r>
    </w:p>
    <w:p w14:paraId="3BECD1F5" w14:textId="2387DCAC" w:rsidR="002944FE" w:rsidRPr="00D85628" w:rsidRDefault="00CE594E" w:rsidP="00D85628">
      <w:pPr>
        <w:spacing w:after="120"/>
        <w:rPr>
          <w:rFonts w:asciiTheme="minorHAnsi" w:hAnsiTheme="minorHAnsi" w:cstheme="minorHAnsi"/>
          <w:sz w:val="22"/>
          <w:szCs w:val="22"/>
        </w:rPr>
      </w:pPr>
      <w:r w:rsidRPr="00D85628">
        <w:rPr>
          <w:rFonts w:asciiTheme="minorHAnsi" w:hAnsiTheme="minorHAnsi" w:cstheme="minorHAnsi"/>
          <w:sz w:val="22"/>
          <w:szCs w:val="22"/>
        </w:rPr>
        <w:t>La CCG prévoit terminer sa première évaluation cyclique d’ici la fin de l’exercice 2020</w:t>
      </w:r>
      <w:r w:rsidRPr="00D85628">
        <w:rPr>
          <w:rFonts w:asciiTheme="minorHAnsi" w:hAnsiTheme="minorHAnsi" w:cstheme="minorHAnsi"/>
          <w:sz w:val="22"/>
          <w:szCs w:val="22"/>
        </w:rPr>
        <w:noBreakHyphen/>
        <w:t xml:space="preserve">2021. La Direction générale des ressources humaines collabore avec l’équipe de vérification interne de la CCG </w:t>
      </w:r>
      <w:r w:rsidR="00383314" w:rsidRPr="00D85628">
        <w:rPr>
          <w:rFonts w:asciiTheme="minorHAnsi" w:hAnsiTheme="minorHAnsi" w:cstheme="minorHAnsi"/>
          <w:sz w:val="22"/>
          <w:szCs w:val="22"/>
        </w:rPr>
        <w:t>concernant diverses</w:t>
      </w:r>
      <w:r w:rsidRPr="00D85628">
        <w:rPr>
          <w:rFonts w:asciiTheme="minorHAnsi" w:hAnsiTheme="minorHAnsi" w:cstheme="minorHAnsi"/>
          <w:sz w:val="22"/>
          <w:szCs w:val="22"/>
        </w:rPr>
        <w:t xml:space="preserve"> questions relatives à la conformité. En outre</w:t>
      </w:r>
      <w:r w:rsidR="00626361" w:rsidRPr="00D85628">
        <w:rPr>
          <w:rFonts w:asciiTheme="minorHAnsi" w:hAnsiTheme="minorHAnsi" w:cstheme="minorHAnsi"/>
          <w:sz w:val="22"/>
          <w:szCs w:val="22"/>
        </w:rPr>
        <w:t>, le </w:t>
      </w:r>
      <w:r w:rsidRPr="00D85628">
        <w:rPr>
          <w:rFonts w:asciiTheme="minorHAnsi" w:hAnsiTheme="minorHAnsi" w:cstheme="minorHAnsi"/>
          <w:sz w:val="22"/>
          <w:szCs w:val="22"/>
        </w:rPr>
        <w:t xml:space="preserve">CSD continue </w:t>
      </w:r>
      <w:r w:rsidR="007061DC" w:rsidRPr="00D85628">
        <w:rPr>
          <w:rFonts w:asciiTheme="minorHAnsi" w:hAnsiTheme="minorHAnsi" w:cstheme="minorHAnsi"/>
          <w:sz w:val="22"/>
          <w:szCs w:val="22"/>
        </w:rPr>
        <w:t>de soutenir l’organisation</w:t>
      </w:r>
      <w:r w:rsidRPr="00D85628">
        <w:rPr>
          <w:rFonts w:asciiTheme="minorHAnsi" w:hAnsiTheme="minorHAnsi" w:cstheme="minorHAnsi"/>
          <w:sz w:val="22"/>
          <w:szCs w:val="22"/>
        </w:rPr>
        <w:t xml:space="preserve"> </w:t>
      </w:r>
      <w:r w:rsidR="007061DC" w:rsidRPr="00D85628">
        <w:rPr>
          <w:rFonts w:asciiTheme="minorHAnsi" w:hAnsiTheme="minorHAnsi" w:cstheme="minorHAnsi"/>
          <w:sz w:val="22"/>
          <w:szCs w:val="22"/>
        </w:rPr>
        <w:t>dans le cadre de ce</w:t>
      </w:r>
      <w:r w:rsidRPr="00D85628">
        <w:rPr>
          <w:rFonts w:asciiTheme="minorHAnsi" w:hAnsiTheme="minorHAnsi" w:cstheme="minorHAnsi"/>
          <w:sz w:val="22"/>
          <w:szCs w:val="22"/>
        </w:rPr>
        <w:t xml:space="preserve"> projet.</w:t>
      </w:r>
    </w:p>
    <w:p w14:paraId="294A3EF6" w14:textId="72DF93EF" w:rsidR="002944FE" w:rsidRPr="00671B35" w:rsidRDefault="0000700D" w:rsidP="00D85628">
      <w:pPr>
        <w:pStyle w:val="Heading2"/>
        <w:spacing w:after="120"/>
      </w:pPr>
      <w:r w:rsidRPr="00671B35">
        <w:t>Demandes de renseignements et tendances</w:t>
      </w:r>
    </w:p>
    <w:p w14:paraId="595957B1" w14:textId="12B5060B" w:rsidR="002944FE" w:rsidRPr="00D85628" w:rsidRDefault="00CE594E" w:rsidP="002944FE">
      <w:pPr>
        <w:contextualSpacing/>
        <w:rPr>
          <w:rFonts w:asciiTheme="minorHAnsi" w:hAnsiTheme="minorHAnsi" w:cstheme="minorHAnsi"/>
          <w:sz w:val="22"/>
          <w:szCs w:val="22"/>
        </w:rPr>
      </w:pPr>
      <w:r w:rsidRPr="00D85628">
        <w:rPr>
          <w:rFonts w:asciiTheme="minorHAnsi" w:hAnsiTheme="minorHAnsi" w:cstheme="minorHAnsi"/>
          <w:sz w:val="22"/>
          <w:szCs w:val="22"/>
        </w:rPr>
        <w:t>La</w:t>
      </w:r>
      <w:r w:rsidR="00626361" w:rsidRPr="00D85628">
        <w:rPr>
          <w:rFonts w:asciiTheme="minorHAnsi" w:hAnsiTheme="minorHAnsi" w:cstheme="minorHAnsi"/>
          <w:sz w:val="22"/>
          <w:szCs w:val="22"/>
        </w:rPr>
        <w:t> </w:t>
      </w:r>
      <w:r w:rsidRPr="00D85628">
        <w:rPr>
          <w:rFonts w:asciiTheme="minorHAnsi" w:hAnsiTheme="minorHAnsi" w:cstheme="minorHAnsi"/>
          <w:sz w:val="22"/>
          <w:szCs w:val="22"/>
        </w:rPr>
        <w:t xml:space="preserve">CCG communique régulièrement avec le CSD </w:t>
      </w:r>
      <w:r w:rsidR="00146981" w:rsidRPr="00D85628">
        <w:rPr>
          <w:rFonts w:asciiTheme="minorHAnsi" w:hAnsiTheme="minorHAnsi" w:cstheme="minorHAnsi"/>
          <w:sz w:val="22"/>
          <w:szCs w:val="22"/>
        </w:rPr>
        <w:t xml:space="preserve">en ce qui a trait </w:t>
      </w:r>
      <w:r w:rsidRPr="00D85628">
        <w:rPr>
          <w:rFonts w:asciiTheme="minorHAnsi" w:hAnsiTheme="minorHAnsi" w:cstheme="minorHAnsi"/>
          <w:sz w:val="22"/>
          <w:szCs w:val="22"/>
        </w:rPr>
        <w:t>à différents sujets. Si la majorité des questions concernent les évaluations, elles portent aussi parfois sur :</w:t>
      </w:r>
    </w:p>
    <w:p w14:paraId="53861870" w14:textId="4E3453A3" w:rsidR="002944FE" w:rsidRPr="00D85628" w:rsidRDefault="00CE594E" w:rsidP="00D85628">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l’embauche d’étudiants;</w:t>
      </w:r>
    </w:p>
    <w:p w14:paraId="5A64532F" w14:textId="597D196B" w:rsidR="002944FE" w:rsidRPr="00D85628" w:rsidRDefault="00CE594E" w:rsidP="00D85628">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les droits de priorité;</w:t>
      </w:r>
    </w:p>
    <w:p w14:paraId="55D80B63" w14:textId="0A519260" w:rsidR="002944FE" w:rsidRPr="00D85628" w:rsidRDefault="00CE594E" w:rsidP="00D85628">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les nouvelles évaluations de langu</w:t>
      </w:r>
      <w:r w:rsidR="00626361" w:rsidRPr="00D85628">
        <w:rPr>
          <w:rFonts w:asciiTheme="minorHAnsi" w:hAnsiTheme="minorHAnsi" w:cstheme="minorHAnsi"/>
          <w:sz w:val="22"/>
          <w:szCs w:val="22"/>
        </w:rPr>
        <w:t>e seconde non supervisées de la </w:t>
      </w:r>
      <w:r w:rsidRPr="00D85628">
        <w:rPr>
          <w:rFonts w:asciiTheme="minorHAnsi" w:hAnsiTheme="minorHAnsi" w:cstheme="minorHAnsi"/>
          <w:sz w:val="22"/>
          <w:szCs w:val="22"/>
        </w:rPr>
        <w:t>CFP et les mesures temporaires visant à offrir une certaine souplesse dans l’évaluation des qualifications de langue seconde;</w:t>
      </w:r>
    </w:p>
    <w:p w14:paraId="5C39C295" w14:textId="042CA396" w:rsidR="002944FE" w:rsidRPr="00D85628" w:rsidRDefault="00CE594E" w:rsidP="004E01DF">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 xml:space="preserve">la nouvelle boîte à outils de la CFP </w:t>
      </w:r>
      <w:r w:rsidR="007061DC" w:rsidRPr="00D85628">
        <w:rPr>
          <w:rFonts w:asciiTheme="minorHAnsi" w:hAnsiTheme="minorHAnsi" w:cstheme="minorHAnsi"/>
          <w:sz w:val="22"/>
          <w:szCs w:val="22"/>
        </w:rPr>
        <w:t xml:space="preserve">portant </w:t>
      </w:r>
      <w:r w:rsidRPr="00D85628">
        <w:rPr>
          <w:rFonts w:asciiTheme="minorHAnsi" w:hAnsiTheme="minorHAnsi" w:cstheme="minorHAnsi"/>
          <w:sz w:val="22"/>
          <w:szCs w:val="22"/>
        </w:rPr>
        <w:t>sur les entrevues vidéo;</w:t>
      </w:r>
    </w:p>
    <w:p w14:paraId="2EEAC45E" w14:textId="037AE9C1" w:rsidR="002944FE" w:rsidRPr="00D85628" w:rsidRDefault="007061DC" w:rsidP="004E01DF">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l’exemption</w:t>
      </w:r>
      <w:r w:rsidR="00782CA6" w:rsidRPr="00D85628">
        <w:rPr>
          <w:rFonts w:asciiTheme="minorHAnsi" w:hAnsiTheme="minorHAnsi" w:cstheme="minorHAnsi"/>
          <w:sz w:val="22"/>
          <w:szCs w:val="22"/>
        </w:rPr>
        <w:t xml:space="preserve"> de satisfaire aux exigences en matière de langues officielles pour les nominations intérimaires;</w:t>
      </w:r>
    </w:p>
    <w:p w14:paraId="7F7C15BF" w14:textId="29F4EAA8" w:rsidR="002944FE" w:rsidRPr="00D85628" w:rsidRDefault="00CE594E" w:rsidP="004E01DF">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les directives sur l’utilisation des processus de nomination annoncés et non annoncés;</w:t>
      </w:r>
      <w:r w:rsidR="0000700D" w:rsidRPr="00D85628">
        <w:rPr>
          <w:rFonts w:asciiTheme="minorHAnsi" w:hAnsiTheme="minorHAnsi" w:cstheme="minorHAnsi"/>
          <w:sz w:val="22"/>
          <w:szCs w:val="22"/>
        </w:rPr>
        <w:t xml:space="preserve"> et</w:t>
      </w:r>
    </w:p>
    <w:p w14:paraId="565B4B27" w14:textId="33DB0187" w:rsidR="002944FE" w:rsidRPr="00D85628" w:rsidRDefault="00383314" w:rsidP="004E01DF">
      <w:pPr>
        <w:pStyle w:val="ListParagraph"/>
        <w:numPr>
          <w:ilvl w:val="0"/>
          <w:numId w:val="4"/>
        </w:numPr>
        <w:spacing w:after="0"/>
        <w:rPr>
          <w:rFonts w:asciiTheme="minorHAnsi" w:hAnsiTheme="minorHAnsi" w:cstheme="minorHAnsi"/>
          <w:sz w:val="22"/>
          <w:szCs w:val="22"/>
        </w:rPr>
      </w:pPr>
      <w:r w:rsidRPr="00D85628">
        <w:rPr>
          <w:rFonts w:asciiTheme="minorHAnsi" w:hAnsiTheme="minorHAnsi" w:cstheme="minorHAnsi"/>
          <w:sz w:val="22"/>
          <w:szCs w:val="22"/>
        </w:rPr>
        <w:t>la mention d</w:t>
      </w:r>
      <w:r w:rsidR="00CE594E" w:rsidRPr="00D85628">
        <w:rPr>
          <w:rFonts w:asciiTheme="minorHAnsi" w:hAnsiTheme="minorHAnsi" w:cstheme="minorHAnsi"/>
          <w:sz w:val="22"/>
          <w:szCs w:val="22"/>
        </w:rPr>
        <w:t>u télétravail dans les annonces d’Emplois GC.</w:t>
      </w:r>
    </w:p>
    <w:p w14:paraId="629B1104" w14:textId="0EE7967F" w:rsidR="002944FE" w:rsidRPr="00D85628" w:rsidRDefault="00713DF7" w:rsidP="00D85628">
      <w:pPr>
        <w:pStyle w:val="Heading1"/>
        <w:spacing w:after="120"/>
        <w:rPr>
          <w:rFonts w:cstheme="majorHAnsi"/>
        </w:rPr>
      </w:pPr>
      <w:r w:rsidRPr="00D85628">
        <w:rPr>
          <w:rFonts w:cstheme="majorHAnsi"/>
        </w:rPr>
        <w:lastRenderedPageBreak/>
        <w:t>Surveillance</w:t>
      </w:r>
    </w:p>
    <w:p w14:paraId="04C76A02" w14:textId="4526B9D3" w:rsidR="002944FE" w:rsidRPr="00671B35" w:rsidRDefault="00713DF7" w:rsidP="00D85628">
      <w:pPr>
        <w:pStyle w:val="Heading2"/>
        <w:spacing w:after="120"/>
        <w:rPr>
          <w:u w:val="single"/>
        </w:rPr>
      </w:pPr>
      <w:r w:rsidRPr="00671B35">
        <w:t>Vérifications</w:t>
      </w:r>
    </w:p>
    <w:p w14:paraId="3BB9FB4F" w14:textId="042AFFE2" w:rsidR="00C7477A" w:rsidRPr="00D85628" w:rsidRDefault="00C7477A" w:rsidP="00D85628">
      <w:pPr>
        <w:autoSpaceDE w:val="0"/>
        <w:autoSpaceDN w:val="0"/>
        <w:adjustRightInd w:val="0"/>
        <w:spacing w:after="120"/>
        <w:rPr>
          <w:rFonts w:asciiTheme="minorHAnsi" w:hAnsiTheme="minorHAnsi" w:cstheme="minorHAnsi"/>
          <w:bCs/>
          <w:sz w:val="22"/>
          <w:szCs w:val="22"/>
        </w:rPr>
      </w:pPr>
      <w:r w:rsidRPr="00D85628">
        <w:rPr>
          <w:rFonts w:asciiTheme="minorHAnsi" w:hAnsiTheme="minorHAnsi" w:cstheme="minorHAnsi"/>
          <w:bCs/>
          <w:sz w:val="22"/>
          <w:szCs w:val="22"/>
        </w:rPr>
        <w:t xml:space="preserve">La CCG fait partie des 30 organisations sélectionnées pour la </w:t>
      </w:r>
      <w:r w:rsidR="001E68C3" w:rsidRPr="001E68C3">
        <w:rPr>
          <w:rFonts w:asciiTheme="minorHAnsi" w:hAnsiTheme="minorHAnsi" w:cstheme="minorHAnsi"/>
          <w:bCs/>
          <w:sz w:val="22"/>
          <w:szCs w:val="22"/>
        </w:rPr>
        <w:t xml:space="preserve">Vérification portant sur la représentation des groupes visés par l’équité en matière d’emploi lors du recrutement </w:t>
      </w:r>
      <w:r w:rsidRPr="00D85628">
        <w:rPr>
          <w:rFonts w:asciiTheme="minorHAnsi" w:hAnsiTheme="minorHAnsi" w:cstheme="minorHAnsi"/>
          <w:bCs/>
          <w:sz w:val="22"/>
          <w:szCs w:val="22"/>
        </w:rPr>
        <w:t xml:space="preserve">et des 14 organisations sélectionnées pour la </w:t>
      </w:r>
      <w:r w:rsidR="001E68C3" w:rsidRPr="001E68C3">
        <w:rPr>
          <w:rFonts w:asciiTheme="minorHAnsi" w:hAnsiTheme="minorHAnsi" w:cstheme="minorHAnsi"/>
          <w:bCs/>
          <w:sz w:val="22"/>
          <w:szCs w:val="22"/>
        </w:rPr>
        <w:t xml:space="preserve">Vérification horizontale de l’embauche d’étudiants dans le cadre du </w:t>
      </w:r>
      <w:r w:rsidR="00E668E7" w:rsidRPr="00D85628">
        <w:rPr>
          <w:rFonts w:asciiTheme="minorHAnsi" w:hAnsiTheme="minorHAnsi" w:cstheme="minorHAnsi"/>
          <w:bCs/>
          <w:sz w:val="22"/>
          <w:szCs w:val="22"/>
        </w:rPr>
        <w:t xml:space="preserve">PFETE </w:t>
      </w:r>
      <w:r w:rsidRPr="00D85628">
        <w:rPr>
          <w:rFonts w:asciiTheme="minorHAnsi" w:hAnsiTheme="minorHAnsi" w:cstheme="minorHAnsi"/>
          <w:bCs/>
          <w:sz w:val="22"/>
          <w:szCs w:val="22"/>
        </w:rPr>
        <w:t>qui sont en cours.</w:t>
      </w:r>
    </w:p>
    <w:p w14:paraId="1723D093" w14:textId="35B6E37F" w:rsidR="00C7477A" w:rsidRPr="00D85628" w:rsidRDefault="00C7477A" w:rsidP="00D85628">
      <w:pPr>
        <w:autoSpaceDE w:val="0"/>
        <w:autoSpaceDN w:val="0"/>
        <w:adjustRightInd w:val="0"/>
        <w:spacing w:after="120"/>
        <w:rPr>
          <w:rFonts w:asciiTheme="minorHAnsi" w:hAnsiTheme="minorHAnsi" w:cstheme="minorHAnsi"/>
          <w:bCs/>
          <w:sz w:val="22"/>
          <w:szCs w:val="22"/>
        </w:rPr>
      </w:pPr>
      <w:r w:rsidRPr="00D85628">
        <w:rPr>
          <w:rFonts w:asciiTheme="minorHAnsi" w:hAnsiTheme="minorHAnsi" w:cstheme="minorHAnsi"/>
          <w:bCs/>
          <w:sz w:val="22"/>
          <w:szCs w:val="22"/>
        </w:rPr>
        <w:t xml:space="preserve">L'objectif de la </w:t>
      </w:r>
      <w:r w:rsidR="001E68C3" w:rsidRPr="001E68C3">
        <w:rPr>
          <w:rFonts w:asciiTheme="minorHAnsi" w:hAnsiTheme="minorHAnsi" w:cstheme="minorHAnsi"/>
          <w:bCs/>
          <w:sz w:val="22"/>
          <w:szCs w:val="22"/>
        </w:rPr>
        <w:t xml:space="preserve">Vérification portant sur la représentation des groupes visés par l’équité en matière d’emploi lors du recrutement </w:t>
      </w:r>
      <w:r w:rsidRPr="00D85628">
        <w:rPr>
          <w:rFonts w:asciiTheme="minorHAnsi" w:hAnsiTheme="minorHAnsi" w:cstheme="minorHAnsi"/>
          <w:bCs/>
          <w:sz w:val="22"/>
          <w:szCs w:val="22"/>
        </w:rPr>
        <w:t>est de déterminer si les quatre groupes désignés d'équité en matière d'emploi sont représentés proportionnellement dans les processus de recrutement et d'identifier les facteurs clés qui influencent la représentation dans le système de nomination parmi les quatre groupes désignés d'équité en matière d'emploi. Le rapport de vérification sera publié en janvier 2021 et en tant qu'organisme participant à cette vérification, vous recevrez une copie préalable du rapport.</w:t>
      </w:r>
    </w:p>
    <w:p w14:paraId="5BD88F6A" w14:textId="5BD9F105" w:rsidR="00C7477A" w:rsidRPr="00D85628" w:rsidRDefault="00C7477A" w:rsidP="00D85628">
      <w:pPr>
        <w:autoSpaceDE w:val="0"/>
        <w:autoSpaceDN w:val="0"/>
        <w:adjustRightInd w:val="0"/>
        <w:spacing w:after="120"/>
        <w:rPr>
          <w:rFonts w:asciiTheme="minorHAnsi" w:hAnsiTheme="minorHAnsi" w:cstheme="minorHAnsi"/>
          <w:bCs/>
          <w:sz w:val="22"/>
          <w:szCs w:val="22"/>
        </w:rPr>
      </w:pPr>
      <w:r w:rsidRPr="00D85628">
        <w:rPr>
          <w:rFonts w:asciiTheme="minorHAnsi" w:hAnsiTheme="minorHAnsi" w:cstheme="minorHAnsi"/>
          <w:bCs/>
          <w:sz w:val="22"/>
          <w:szCs w:val="22"/>
        </w:rPr>
        <w:t xml:space="preserve">Les objectifs de la </w:t>
      </w:r>
      <w:r w:rsidR="001E68C3" w:rsidRPr="001E68C3">
        <w:rPr>
          <w:rFonts w:asciiTheme="minorHAnsi" w:hAnsiTheme="minorHAnsi" w:cstheme="minorHAnsi"/>
          <w:bCs/>
          <w:sz w:val="22"/>
          <w:szCs w:val="22"/>
        </w:rPr>
        <w:t xml:space="preserve">Vérification horizontale de l’embauche d’étudiants dans le cadre du </w:t>
      </w:r>
      <w:r w:rsidR="001E68C3" w:rsidRPr="00D85628">
        <w:rPr>
          <w:rFonts w:asciiTheme="minorHAnsi" w:hAnsiTheme="minorHAnsi" w:cstheme="minorHAnsi"/>
          <w:bCs/>
          <w:sz w:val="22"/>
          <w:szCs w:val="22"/>
        </w:rPr>
        <w:t xml:space="preserve">PFETE </w:t>
      </w:r>
      <w:r w:rsidRPr="00D85628">
        <w:rPr>
          <w:rFonts w:asciiTheme="minorHAnsi" w:hAnsiTheme="minorHAnsi" w:cstheme="minorHAnsi"/>
          <w:bCs/>
          <w:sz w:val="22"/>
          <w:szCs w:val="22"/>
        </w:rPr>
        <w:t>consistent à déterminer si l’embauche des étudiants dans le cadre du PFETE est conforme aux principales exigences législatives, politiques et réglementaires et à déterminer dans quelle mesure les rôles, responsabilités et pratiques organisationnels influencent l'utilisation du PFETE. Le rapport de vérification sera publié au printemps 2021.</w:t>
      </w:r>
    </w:p>
    <w:p w14:paraId="246AB86B" w14:textId="4FE05355" w:rsidR="002944FE" w:rsidRPr="00671B35" w:rsidRDefault="0086083F" w:rsidP="006E09E8">
      <w:pPr>
        <w:pStyle w:val="Heading2"/>
        <w:spacing w:after="120"/>
        <w:rPr>
          <w:u w:val="single"/>
        </w:rPr>
      </w:pPr>
      <w:r w:rsidRPr="00671B35">
        <w:t>Enquêtes</w:t>
      </w:r>
    </w:p>
    <w:p w14:paraId="6384DB73" w14:textId="0D47F938" w:rsidR="002944FE" w:rsidRPr="006E09E8" w:rsidRDefault="002E6E05" w:rsidP="006E09E8">
      <w:pPr>
        <w:spacing w:after="120"/>
        <w:rPr>
          <w:rFonts w:asciiTheme="minorHAnsi" w:hAnsiTheme="minorHAnsi" w:cstheme="minorHAnsi"/>
          <w:iCs/>
          <w:sz w:val="22"/>
          <w:szCs w:val="22"/>
        </w:rPr>
      </w:pPr>
      <w:r w:rsidRPr="006E09E8">
        <w:rPr>
          <w:rFonts w:asciiTheme="minorHAnsi" w:hAnsiTheme="minorHAnsi" w:cstheme="minorHAnsi"/>
          <w:iCs/>
          <w:sz w:val="22"/>
          <w:szCs w:val="22"/>
        </w:rPr>
        <w:t xml:space="preserve">Entre le 8 janvier 2020 et le 8 janvier 2021, </w:t>
      </w:r>
      <w:r w:rsidR="0037173C" w:rsidRPr="006E09E8">
        <w:rPr>
          <w:rFonts w:asciiTheme="minorHAnsi" w:hAnsiTheme="minorHAnsi" w:cstheme="minorHAnsi"/>
          <w:iCs/>
          <w:sz w:val="22"/>
          <w:szCs w:val="22"/>
        </w:rPr>
        <w:t xml:space="preserve">une allégation concernant la CCG a été présentée à </w:t>
      </w:r>
      <w:r w:rsidRPr="006E09E8">
        <w:rPr>
          <w:rFonts w:asciiTheme="minorHAnsi" w:hAnsiTheme="minorHAnsi" w:cstheme="minorHAnsi"/>
          <w:iCs/>
          <w:sz w:val="22"/>
          <w:szCs w:val="22"/>
        </w:rPr>
        <w:t>la</w:t>
      </w:r>
      <w:r w:rsidR="00626361" w:rsidRPr="006E09E8">
        <w:rPr>
          <w:rFonts w:asciiTheme="minorHAnsi" w:hAnsiTheme="minorHAnsi" w:cstheme="minorHAnsi"/>
          <w:iCs/>
          <w:sz w:val="22"/>
          <w:szCs w:val="22"/>
        </w:rPr>
        <w:t> </w:t>
      </w:r>
      <w:r w:rsidRPr="006E09E8">
        <w:rPr>
          <w:rFonts w:asciiTheme="minorHAnsi" w:hAnsiTheme="minorHAnsi" w:cstheme="minorHAnsi"/>
          <w:iCs/>
          <w:sz w:val="22"/>
          <w:szCs w:val="22"/>
        </w:rPr>
        <w:t>CFP en vertu de l’article 66 – Nominations externes (c.</w:t>
      </w:r>
      <w:r w:rsidRPr="006E09E8">
        <w:rPr>
          <w:rFonts w:asciiTheme="minorHAnsi" w:hAnsiTheme="minorHAnsi" w:cstheme="minorHAnsi"/>
          <w:iCs/>
          <w:sz w:val="22"/>
          <w:szCs w:val="22"/>
        </w:rPr>
        <w:noBreakHyphen/>
        <w:t xml:space="preserve">à-d. mérite, erreur, omission, conduite irrégulière) de la </w:t>
      </w:r>
      <w:r w:rsidRPr="006E09E8">
        <w:rPr>
          <w:rStyle w:val="Emphasis"/>
          <w:rFonts w:asciiTheme="minorHAnsi" w:hAnsiTheme="minorHAnsi" w:cstheme="minorHAnsi"/>
          <w:sz w:val="22"/>
          <w:szCs w:val="18"/>
        </w:rPr>
        <w:t>Loi sur l’emploi dans la fonction publique</w:t>
      </w:r>
      <w:r w:rsidRPr="006E09E8">
        <w:rPr>
          <w:rFonts w:asciiTheme="minorHAnsi" w:hAnsiTheme="minorHAnsi" w:cstheme="minorHAnsi"/>
          <w:i/>
          <w:iCs/>
          <w:sz w:val="22"/>
          <w:szCs w:val="22"/>
        </w:rPr>
        <w:t> </w:t>
      </w:r>
      <w:r w:rsidR="00782CA6" w:rsidRPr="006E09E8">
        <w:rPr>
          <w:rFonts w:asciiTheme="minorHAnsi" w:hAnsiTheme="minorHAnsi" w:cstheme="minorHAnsi"/>
          <w:iCs/>
          <w:sz w:val="22"/>
          <w:szCs w:val="22"/>
        </w:rPr>
        <w:t>(LEFP). L</w:t>
      </w:r>
      <w:r w:rsidR="00626361" w:rsidRPr="006E09E8">
        <w:rPr>
          <w:rFonts w:asciiTheme="minorHAnsi" w:hAnsiTheme="minorHAnsi" w:cstheme="minorHAnsi"/>
          <w:iCs/>
          <w:sz w:val="22"/>
          <w:szCs w:val="22"/>
        </w:rPr>
        <w:t>a CFP a toutefois fermé le dossier lorsqu’elle l’a reçu</w:t>
      </w:r>
      <w:r w:rsidR="00782CA6" w:rsidRPr="006E09E8">
        <w:rPr>
          <w:rFonts w:asciiTheme="minorHAnsi" w:hAnsiTheme="minorHAnsi" w:cstheme="minorHAnsi"/>
          <w:iCs/>
          <w:sz w:val="22"/>
          <w:szCs w:val="22"/>
        </w:rPr>
        <w:t>.</w:t>
      </w:r>
    </w:p>
    <w:p w14:paraId="0B8DC34C" w14:textId="480343DC" w:rsidR="002944FE" w:rsidRPr="00671B35" w:rsidRDefault="0086083F" w:rsidP="006E09E8">
      <w:pPr>
        <w:pStyle w:val="Heading2"/>
        <w:spacing w:after="120"/>
        <w:rPr>
          <w:u w:val="single"/>
        </w:rPr>
      </w:pPr>
      <w:r w:rsidRPr="00671B35">
        <w:t>Résultats du Sondage sur la dotation et l’impartialité politique</w:t>
      </w:r>
    </w:p>
    <w:p w14:paraId="3DD31B6D" w14:textId="21D3455D" w:rsidR="002944FE" w:rsidRPr="006E09E8" w:rsidRDefault="004B3C4A" w:rsidP="006E09E8">
      <w:pPr>
        <w:pStyle w:val="ListParagraph"/>
        <w:spacing w:after="120"/>
        <w:contextualSpacing w:val="0"/>
        <w:rPr>
          <w:rFonts w:asciiTheme="minorHAnsi" w:hAnsiTheme="minorHAnsi" w:cstheme="minorHAnsi"/>
          <w:sz w:val="22"/>
          <w:szCs w:val="22"/>
          <w:lang w:eastAsia="en-CA"/>
        </w:rPr>
      </w:pPr>
      <w:r w:rsidRPr="006E09E8">
        <w:rPr>
          <w:rFonts w:asciiTheme="minorHAnsi" w:hAnsiTheme="minorHAnsi" w:cstheme="minorHAnsi"/>
          <w:sz w:val="22"/>
          <w:szCs w:val="22"/>
          <w:lang w:eastAsia="en-CA"/>
        </w:rPr>
        <w:t>De faço</w:t>
      </w:r>
      <w:r w:rsidR="00626361" w:rsidRPr="006E09E8">
        <w:rPr>
          <w:rFonts w:asciiTheme="minorHAnsi" w:hAnsiTheme="minorHAnsi" w:cstheme="minorHAnsi"/>
          <w:sz w:val="22"/>
          <w:szCs w:val="22"/>
          <w:lang w:eastAsia="en-CA"/>
        </w:rPr>
        <w:t>n générale, les résultats de la </w:t>
      </w:r>
      <w:r w:rsidRPr="006E09E8">
        <w:rPr>
          <w:rFonts w:asciiTheme="minorHAnsi" w:hAnsiTheme="minorHAnsi" w:cstheme="minorHAnsi"/>
          <w:sz w:val="22"/>
          <w:szCs w:val="22"/>
          <w:lang w:eastAsia="en-CA"/>
        </w:rPr>
        <w:t xml:space="preserve">CCG au Sondage sur la dotation et l’impartialité politique (SDIP) </w:t>
      </w:r>
      <w:r w:rsidR="00383314" w:rsidRPr="006E09E8">
        <w:rPr>
          <w:rFonts w:asciiTheme="minorHAnsi" w:hAnsiTheme="minorHAnsi" w:cstheme="minorHAnsi"/>
          <w:sz w:val="22"/>
          <w:szCs w:val="22"/>
          <w:lang w:eastAsia="en-CA"/>
        </w:rPr>
        <w:t xml:space="preserve">sont </w:t>
      </w:r>
      <w:r w:rsidR="001A18F9" w:rsidRPr="006E09E8">
        <w:rPr>
          <w:rFonts w:asciiTheme="minorHAnsi" w:hAnsiTheme="minorHAnsi" w:cstheme="minorHAnsi"/>
          <w:sz w:val="22"/>
          <w:szCs w:val="22"/>
          <w:lang w:eastAsia="en-CA"/>
        </w:rPr>
        <w:t>positifs</w:t>
      </w:r>
      <w:r w:rsidR="00626361" w:rsidRPr="006E09E8">
        <w:rPr>
          <w:rFonts w:asciiTheme="minorHAnsi" w:hAnsiTheme="minorHAnsi" w:cstheme="minorHAnsi"/>
          <w:sz w:val="22"/>
          <w:szCs w:val="22"/>
          <w:lang w:eastAsia="en-CA"/>
        </w:rPr>
        <w:t xml:space="preserve"> comparativement à ceux d’</w:t>
      </w:r>
      <w:r w:rsidRPr="006E09E8">
        <w:rPr>
          <w:rFonts w:asciiTheme="minorHAnsi" w:hAnsiTheme="minorHAnsi" w:cstheme="minorHAnsi"/>
          <w:sz w:val="22"/>
          <w:szCs w:val="22"/>
          <w:lang w:eastAsia="en-CA"/>
        </w:rPr>
        <w:t xml:space="preserve">organisations de taille semblable et de la fonction publique, surtout en ce qui a trait à la perception qu’ont les employés de la transparence et de l’équité </w:t>
      </w:r>
      <w:r w:rsidR="00383314" w:rsidRPr="006E09E8">
        <w:rPr>
          <w:rFonts w:asciiTheme="minorHAnsi" w:hAnsiTheme="minorHAnsi" w:cstheme="minorHAnsi"/>
          <w:sz w:val="22"/>
          <w:szCs w:val="22"/>
          <w:lang w:eastAsia="en-CA"/>
        </w:rPr>
        <w:t>des</w:t>
      </w:r>
      <w:r w:rsidRPr="006E09E8">
        <w:rPr>
          <w:rFonts w:asciiTheme="minorHAnsi" w:hAnsiTheme="minorHAnsi" w:cstheme="minorHAnsi"/>
          <w:sz w:val="22"/>
          <w:szCs w:val="22"/>
          <w:lang w:eastAsia="en-CA"/>
        </w:rPr>
        <w:t xml:space="preserve"> processus de dotation. </w:t>
      </w:r>
      <w:r w:rsidR="00782CA6" w:rsidRPr="006E09E8">
        <w:rPr>
          <w:rFonts w:asciiTheme="minorHAnsi" w:hAnsiTheme="minorHAnsi" w:cstheme="minorHAnsi"/>
          <w:sz w:val="22"/>
          <w:szCs w:val="22"/>
          <w:lang w:eastAsia="en-CA"/>
        </w:rPr>
        <w:t>C</w:t>
      </w:r>
      <w:r w:rsidR="00626361" w:rsidRPr="006E09E8">
        <w:rPr>
          <w:rFonts w:asciiTheme="minorHAnsi" w:hAnsiTheme="minorHAnsi" w:cstheme="minorHAnsi"/>
          <w:sz w:val="22"/>
          <w:szCs w:val="22"/>
          <w:lang w:eastAsia="en-CA"/>
        </w:rPr>
        <w:t>omparativement aux employés d’</w:t>
      </w:r>
      <w:r w:rsidRPr="006E09E8">
        <w:rPr>
          <w:rFonts w:asciiTheme="minorHAnsi" w:hAnsiTheme="minorHAnsi" w:cstheme="minorHAnsi"/>
          <w:sz w:val="22"/>
          <w:szCs w:val="22"/>
          <w:lang w:eastAsia="en-CA"/>
        </w:rPr>
        <w:t>organisations de taille semblable et de l’ensemble de la fonction publique, les employés de la</w:t>
      </w:r>
      <w:r w:rsidR="00626361" w:rsidRPr="006E09E8">
        <w:rPr>
          <w:rFonts w:asciiTheme="minorHAnsi" w:hAnsiTheme="minorHAnsi" w:cstheme="minorHAnsi"/>
          <w:sz w:val="22"/>
          <w:szCs w:val="22"/>
          <w:lang w:eastAsia="en-CA"/>
        </w:rPr>
        <w:t> </w:t>
      </w:r>
      <w:r w:rsidRPr="006E09E8">
        <w:rPr>
          <w:rFonts w:asciiTheme="minorHAnsi" w:hAnsiTheme="minorHAnsi" w:cstheme="minorHAnsi"/>
          <w:sz w:val="22"/>
          <w:szCs w:val="22"/>
          <w:lang w:eastAsia="en-CA"/>
        </w:rPr>
        <w:t xml:space="preserve">CCG </w:t>
      </w:r>
      <w:r w:rsidR="00383314" w:rsidRPr="006E09E8">
        <w:rPr>
          <w:rFonts w:asciiTheme="minorHAnsi" w:hAnsiTheme="minorHAnsi" w:cstheme="minorHAnsi"/>
          <w:sz w:val="22"/>
          <w:szCs w:val="22"/>
          <w:lang w:eastAsia="en-CA"/>
        </w:rPr>
        <w:t xml:space="preserve">ont eu plus tendance à </w:t>
      </w:r>
      <w:r w:rsidRPr="006E09E8">
        <w:rPr>
          <w:rFonts w:asciiTheme="minorHAnsi" w:hAnsiTheme="minorHAnsi" w:cstheme="minorHAnsi"/>
          <w:sz w:val="22"/>
          <w:szCs w:val="22"/>
          <w:lang w:eastAsia="en-CA"/>
        </w:rPr>
        <w:t xml:space="preserve">indiquer que la dotation </w:t>
      </w:r>
      <w:r w:rsidR="00383314" w:rsidRPr="006E09E8">
        <w:rPr>
          <w:rFonts w:asciiTheme="minorHAnsi" w:hAnsiTheme="minorHAnsi" w:cstheme="minorHAnsi"/>
          <w:sz w:val="22"/>
          <w:szCs w:val="22"/>
          <w:lang w:eastAsia="en-CA"/>
        </w:rPr>
        <w:t>ne dépend pas</w:t>
      </w:r>
      <w:r w:rsidRPr="006E09E8">
        <w:rPr>
          <w:rFonts w:asciiTheme="minorHAnsi" w:hAnsiTheme="minorHAnsi" w:cstheme="minorHAnsi"/>
          <w:sz w:val="22"/>
          <w:szCs w:val="22"/>
          <w:lang w:eastAsia="en-CA"/>
        </w:rPr>
        <w:t xml:space="preserve"> des gens que </w:t>
      </w:r>
      <w:r w:rsidR="00782CA6" w:rsidRPr="006E09E8">
        <w:rPr>
          <w:rFonts w:asciiTheme="minorHAnsi" w:hAnsiTheme="minorHAnsi" w:cstheme="minorHAnsi"/>
          <w:sz w:val="22"/>
          <w:szCs w:val="22"/>
          <w:lang w:eastAsia="en-CA"/>
        </w:rPr>
        <w:t>l’on connaît</w:t>
      </w:r>
      <w:r w:rsidRPr="006E09E8">
        <w:rPr>
          <w:rFonts w:asciiTheme="minorHAnsi" w:hAnsiTheme="minorHAnsi" w:cstheme="minorHAnsi"/>
          <w:sz w:val="22"/>
          <w:szCs w:val="22"/>
          <w:lang w:eastAsia="en-CA"/>
        </w:rPr>
        <w:t xml:space="preserve"> et que les personnes embauchées </w:t>
      </w:r>
      <w:r w:rsidR="00383314" w:rsidRPr="006E09E8">
        <w:rPr>
          <w:rFonts w:asciiTheme="minorHAnsi" w:hAnsiTheme="minorHAnsi" w:cstheme="minorHAnsi"/>
          <w:sz w:val="22"/>
          <w:szCs w:val="22"/>
          <w:lang w:eastAsia="en-CA"/>
        </w:rPr>
        <w:t xml:space="preserve">peuvent </w:t>
      </w:r>
      <w:r w:rsidRPr="006E09E8">
        <w:rPr>
          <w:rFonts w:asciiTheme="minorHAnsi" w:hAnsiTheme="minorHAnsi" w:cstheme="minorHAnsi"/>
          <w:sz w:val="22"/>
          <w:szCs w:val="22"/>
          <w:lang w:eastAsia="en-CA"/>
        </w:rPr>
        <w:t>faire le travail d</w:t>
      </w:r>
      <w:r w:rsidR="001A18F9" w:rsidRPr="006E09E8">
        <w:rPr>
          <w:rFonts w:asciiTheme="minorHAnsi" w:hAnsiTheme="minorHAnsi" w:cstheme="minorHAnsi"/>
          <w:sz w:val="22"/>
          <w:szCs w:val="22"/>
          <w:lang w:eastAsia="en-CA"/>
        </w:rPr>
        <w:t xml:space="preserve">emandé. Le reste des résultats </w:t>
      </w:r>
      <w:r w:rsidR="00383314" w:rsidRPr="006E09E8">
        <w:rPr>
          <w:rFonts w:asciiTheme="minorHAnsi" w:hAnsiTheme="minorHAnsi" w:cstheme="minorHAnsi"/>
          <w:sz w:val="22"/>
          <w:szCs w:val="22"/>
          <w:lang w:eastAsia="en-CA"/>
        </w:rPr>
        <w:t>son</w:t>
      </w:r>
      <w:r w:rsidR="001A18F9" w:rsidRPr="006E09E8">
        <w:rPr>
          <w:rFonts w:asciiTheme="minorHAnsi" w:hAnsiTheme="minorHAnsi" w:cstheme="minorHAnsi"/>
          <w:sz w:val="22"/>
          <w:szCs w:val="22"/>
          <w:lang w:eastAsia="en-CA"/>
        </w:rPr>
        <w:t>t</w:t>
      </w:r>
      <w:r w:rsidRPr="006E09E8">
        <w:rPr>
          <w:rFonts w:asciiTheme="minorHAnsi" w:hAnsiTheme="minorHAnsi" w:cstheme="minorHAnsi"/>
          <w:sz w:val="22"/>
          <w:szCs w:val="22"/>
          <w:lang w:eastAsia="en-CA"/>
        </w:rPr>
        <w:t xml:space="preserve"> comparables à ceux des organisations de taille semblable et de l’ensemble de la fonction publique.</w:t>
      </w:r>
    </w:p>
    <w:p w14:paraId="511F45DD" w14:textId="088A9578" w:rsidR="002944FE" w:rsidRPr="006E09E8" w:rsidRDefault="004B3C4A" w:rsidP="002944FE">
      <w:pPr>
        <w:pStyle w:val="ListParagraph"/>
        <w:spacing w:after="0"/>
        <w:rPr>
          <w:rFonts w:asciiTheme="minorHAnsi" w:hAnsiTheme="minorHAnsi" w:cstheme="minorHAnsi"/>
          <w:sz w:val="22"/>
          <w:szCs w:val="22"/>
        </w:rPr>
      </w:pPr>
      <w:r w:rsidRPr="006E09E8">
        <w:rPr>
          <w:rFonts w:asciiTheme="minorHAnsi" w:hAnsiTheme="minorHAnsi" w:cstheme="minorHAnsi"/>
          <w:sz w:val="22"/>
          <w:szCs w:val="22"/>
        </w:rPr>
        <w:t>Vous trouverez ci</w:t>
      </w:r>
      <w:r w:rsidRPr="006E09E8">
        <w:rPr>
          <w:rFonts w:asciiTheme="minorHAnsi" w:hAnsiTheme="minorHAnsi" w:cstheme="minorHAnsi"/>
          <w:sz w:val="22"/>
          <w:szCs w:val="22"/>
        </w:rPr>
        <w:noBreakHyphen/>
        <w:t>dessous les principales constatat</w:t>
      </w:r>
      <w:r w:rsidR="00626361" w:rsidRPr="006E09E8">
        <w:rPr>
          <w:rFonts w:asciiTheme="minorHAnsi" w:hAnsiTheme="minorHAnsi" w:cstheme="minorHAnsi"/>
          <w:sz w:val="22"/>
          <w:szCs w:val="22"/>
        </w:rPr>
        <w:t>ions tirées des résultats de la CCG au </w:t>
      </w:r>
      <w:r w:rsidRPr="006E09E8">
        <w:rPr>
          <w:rFonts w:asciiTheme="minorHAnsi" w:hAnsiTheme="minorHAnsi" w:cstheme="minorHAnsi"/>
          <w:sz w:val="22"/>
          <w:szCs w:val="22"/>
        </w:rPr>
        <w:t>SDIP de 2018 :</w:t>
      </w:r>
    </w:p>
    <w:p w14:paraId="10E1D8FD" w14:textId="409218F1" w:rsidR="002944FE" w:rsidRPr="006E09E8" w:rsidRDefault="001A18F9" w:rsidP="004E01DF">
      <w:pPr>
        <w:numPr>
          <w:ilvl w:val="0"/>
          <w:numId w:val="12"/>
        </w:numPr>
        <w:rPr>
          <w:rFonts w:asciiTheme="minorHAnsi" w:hAnsiTheme="minorHAnsi" w:cstheme="minorHAnsi"/>
          <w:sz w:val="22"/>
          <w:szCs w:val="22"/>
          <w:lang w:eastAsia="en-CA"/>
        </w:rPr>
      </w:pPr>
      <w:r w:rsidRPr="006E09E8">
        <w:rPr>
          <w:rFonts w:asciiTheme="minorHAnsi" w:hAnsiTheme="minorHAnsi" w:cstheme="minorHAnsi"/>
          <w:sz w:val="22"/>
          <w:szCs w:val="22"/>
          <w:lang w:eastAsia="en-CA"/>
        </w:rPr>
        <w:t>61,</w:t>
      </w:r>
      <w:r w:rsidR="002944FE" w:rsidRPr="006E09E8">
        <w:rPr>
          <w:rFonts w:asciiTheme="minorHAnsi" w:hAnsiTheme="minorHAnsi" w:cstheme="minorHAnsi"/>
          <w:sz w:val="22"/>
          <w:szCs w:val="22"/>
          <w:lang w:eastAsia="en-CA"/>
        </w:rPr>
        <w:t>6</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4B3C4A" w:rsidRPr="006E09E8">
        <w:rPr>
          <w:rFonts w:asciiTheme="minorHAnsi" w:hAnsiTheme="minorHAnsi" w:cstheme="minorHAnsi"/>
          <w:sz w:val="22"/>
          <w:szCs w:val="22"/>
          <w:lang w:eastAsia="en-CA"/>
        </w:rPr>
        <w:t xml:space="preserve">des </w:t>
      </w:r>
      <w:r w:rsidR="004B3C4A" w:rsidRPr="006E09E8">
        <w:rPr>
          <w:rStyle w:val="Strong"/>
          <w:rFonts w:asciiTheme="minorHAnsi" w:hAnsiTheme="minorHAnsi" w:cstheme="minorHAnsi"/>
          <w:sz w:val="22"/>
          <w:szCs w:val="18"/>
        </w:rPr>
        <w:t>employés</w:t>
      </w:r>
      <w:r w:rsidR="004B3C4A" w:rsidRPr="006E09E8">
        <w:rPr>
          <w:rFonts w:asciiTheme="minorHAnsi" w:hAnsiTheme="minorHAnsi" w:cstheme="minorHAnsi"/>
          <w:b/>
          <w:sz w:val="22"/>
          <w:szCs w:val="22"/>
          <w:lang w:eastAsia="en-CA"/>
        </w:rPr>
        <w:t xml:space="preserve"> </w:t>
      </w:r>
      <w:r w:rsidR="004B3C4A" w:rsidRPr="006E09E8">
        <w:rPr>
          <w:rFonts w:asciiTheme="minorHAnsi" w:hAnsiTheme="minorHAnsi" w:cstheme="minorHAnsi"/>
          <w:sz w:val="22"/>
          <w:szCs w:val="22"/>
          <w:lang w:eastAsia="en-CA"/>
        </w:rPr>
        <w:t>ont indiqué que les activités de dotation sont menées de façon tra</w:t>
      </w:r>
      <w:r w:rsidRPr="006E09E8">
        <w:rPr>
          <w:rFonts w:asciiTheme="minorHAnsi" w:hAnsiTheme="minorHAnsi" w:cstheme="minorHAnsi"/>
          <w:sz w:val="22"/>
          <w:szCs w:val="22"/>
          <w:lang w:eastAsia="en-CA"/>
        </w:rPr>
        <w:t>nsparente, comparativement à 51,</w:t>
      </w:r>
      <w:r w:rsidR="004B3C4A" w:rsidRPr="006E09E8">
        <w:rPr>
          <w:rFonts w:asciiTheme="minorHAnsi" w:hAnsiTheme="minorHAnsi" w:cstheme="minorHAnsi"/>
          <w:sz w:val="22"/>
          <w:szCs w:val="22"/>
          <w:lang w:eastAsia="en-CA"/>
        </w:rPr>
        <w:t>3</w:t>
      </w:r>
      <w:r w:rsidRPr="006E09E8">
        <w:rPr>
          <w:rFonts w:asciiTheme="minorHAnsi" w:hAnsiTheme="minorHAnsi" w:cstheme="minorHAnsi"/>
          <w:sz w:val="22"/>
          <w:szCs w:val="22"/>
          <w:lang w:eastAsia="en-CA"/>
        </w:rPr>
        <w:t> </w:t>
      </w:r>
      <w:r w:rsidR="004B3C4A" w:rsidRPr="006E09E8">
        <w:rPr>
          <w:rFonts w:asciiTheme="minorHAnsi" w:hAnsiTheme="minorHAnsi" w:cstheme="minorHAnsi"/>
          <w:sz w:val="22"/>
          <w:szCs w:val="22"/>
          <w:lang w:eastAsia="en-CA"/>
        </w:rPr>
        <w:t xml:space="preserve">% pour les organisations de taille semblable et à </w:t>
      </w:r>
      <w:r w:rsidRPr="006E09E8">
        <w:rPr>
          <w:rFonts w:asciiTheme="minorHAnsi" w:hAnsiTheme="minorHAnsi" w:cstheme="minorHAnsi"/>
          <w:sz w:val="22"/>
          <w:szCs w:val="22"/>
          <w:lang w:eastAsia="en-CA"/>
        </w:rPr>
        <w:t>44,</w:t>
      </w:r>
      <w:r w:rsidR="004B3C4A" w:rsidRPr="006E09E8">
        <w:rPr>
          <w:rFonts w:asciiTheme="minorHAnsi" w:hAnsiTheme="minorHAnsi" w:cstheme="minorHAnsi"/>
          <w:sz w:val="22"/>
          <w:szCs w:val="22"/>
          <w:lang w:eastAsia="en-CA"/>
        </w:rPr>
        <w:t>3</w:t>
      </w:r>
      <w:r w:rsidRPr="006E09E8">
        <w:rPr>
          <w:rFonts w:asciiTheme="minorHAnsi" w:hAnsiTheme="minorHAnsi" w:cstheme="minorHAnsi"/>
          <w:sz w:val="22"/>
          <w:szCs w:val="22"/>
          <w:lang w:eastAsia="en-CA"/>
        </w:rPr>
        <w:t> </w:t>
      </w:r>
      <w:r w:rsidR="004B3C4A" w:rsidRPr="006E09E8">
        <w:rPr>
          <w:rFonts w:asciiTheme="minorHAnsi" w:hAnsiTheme="minorHAnsi" w:cstheme="minorHAnsi"/>
          <w:sz w:val="22"/>
          <w:szCs w:val="22"/>
          <w:lang w:eastAsia="en-CA"/>
        </w:rPr>
        <w:t xml:space="preserve">% pour l’ensemble des organisations de la fonction publique fédérale. </w:t>
      </w:r>
    </w:p>
    <w:p w14:paraId="434E1F20" w14:textId="07953F9F" w:rsidR="002944FE" w:rsidRPr="006E09E8" w:rsidRDefault="001A18F9" w:rsidP="004E01DF">
      <w:pPr>
        <w:numPr>
          <w:ilvl w:val="0"/>
          <w:numId w:val="12"/>
        </w:numPr>
        <w:rPr>
          <w:rFonts w:asciiTheme="minorHAnsi" w:hAnsiTheme="minorHAnsi" w:cstheme="minorHAnsi"/>
          <w:sz w:val="22"/>
          <w:szCs w:val="22"/>
          <w:lang w:eastAsia="en-CA"/>
        </w:rPr>
      </w:pPr>
      <w:r w:rsidRPr="006E09E8">
        <w:rPr>
          <w:rFonts w:asciiTheme="minorHAnsi" w:hAnsiTheme="minorHAnsi" w:cstheme="minorHAnsi"/>
          <w:sz w:val="22"/>
          <w:szCs w:val="22"/>
          <w:lang w:eastAsia="en-CA"/>
        </w:rPr>
        <w:t>34,</w:t>
      </w:r>
      <w:r w:rsidR="002944FE" w:rsidRPr="006E09E8">
        <w:rPr>
          <w:rFonts w:asciiTheme="minorHAnsi" w:hAnsiTheme="minorHAnsi" w:cstheme="minorHAnsi"/>
          <w:sz w:val="22"/>
          <w:szCs w:val="22"/>
          <w:lang w:eastAsia="en-CA"/>
        </w:rPr>
        <w:t>6</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4B3C4A" w:rsidRPr="006E09E8">
        <w:rPr>
          <w:rFonts w:asciiTheme="minorHAnsi" w:hAnsiTheme="minorHAnsi" w:cstheme="minorHAnsi"/>
          <w:sz w:val="22"/>
          <w:szCs w:val="22"/>
          <w:lang w:eastAsia="en-CA"/>
        </w:rPr>
        <w:t xml:space="preserve">des </w:t>
      </w:r>
      <w:r w:rsidR="004B3C4A" w:rsidRPr="006E09E8">
        <w:rPr>
          <w:rStyle w:val="Strong"/>
          <w:rFonts w:asciiTheme="minorHAnsi" w:hAnsiTheme="minorHAnsi" w:cstheme="minorHAnsi"/>
          <w:sz w:val="22"/>
          <w:szCs w:val="18"/>
        </w:rPr>
        <w:t xml:space="preserve">employés </w:t>
      </w:r>
      <w:r w:rsidR="004B3C4A" w:rsidRPr="006E09E8">
        <w:rPr>
          <w:rFonts w:asciiTheme="minorHAnsi" w:hAnsiTheme="minorHAnsi" w:cstheme="minorHAnsi"/>
          <w:sz w:val="22"/>
          <w:szCs w:val="22"/>
          <w:lang w:eastAsia="en-CA"/>
        </w:rPr>
        <w:t>ont indiqué que les nominations dépendent des gens que l’on connaît, comparativement à 45</w:t>
      </w:r>
      <w:r w:rsidRPr="006E09E8">
        <w:rPr>
          <w:rFonts w:asciiTheme="minorHAnsi" w:hAnsiTheme="minorHAnsi" w:cstheme="minorHAnsi"/>
          <w:sz w:val="22"/>
          <w:szCs w:val="22"/>
          <w:lang w:eastAsia="en-CA"/>
        </w:rPr>
        <w:t>,</w:t>
      </w:r>
      <w:r w:rsidR="002944FE" w:rsidRPr="006E09E8">
        <w:rPr>
          <w:rFonts w:asciiTheme="minorHAnsi" w:hAnsiTheme="minorHAnsi" w:cstheme="minorHAnsi"/>
          <w:sz w:val="22"/>
          <w:szCs w:val="22"/>
          <w:lang w:eastAsia="en-CA"/>
        </w:rPr>
        <w:t>5</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4B3C4A" w:rsidRPr="006E09E8">
        <w:rPr>
          <w:rFonts w:asciiTheme="minorHAnsi" w:hAnsiTheme="minorHAnsi" w:cstheme="minorHAnsi"/>
          <w:sz w:val="22"/>
          <w:szCs w:val="22"/>
          <w:lang w:eastAsia="en-CA"/>
        </w:rPr>
        <w:t xml:space="preserve">pour les organisations de taille semblable et à </w:t>
      </w:r>
      <w:r w:rsidR="002944FE" w:rsidRPr="006E09E8">
        <w:rPr>
          <w:rFonts w:asciiTheme="minorHAnsi" w:hAnsiTheme="minorHAnsi" w:cstheme="minorHAnsi"/>
          <w:sz w:val="22"/>
          <w:szCs w:val="22"/>
          <w:lang w:eastAsia="en-CA"/>
        </w:rPr>
        <w:t>54</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4B3C4A" w:rsidRPr="006E09E8">
        <w:rPr>
          <w:rFonts w:asciiTheme="minorHAnsi" w:hAnsiTheme="minorHAnsi" w:cstheme="minorHAnsi"/>
          <w:sz w:val="22"/>
          <w:szCs w:val="22"/>
          <w:lang w:eastAsia="en-CA"/>
        </w:rPr>
        <w:t>pour l’ensemble des organisations de la fonction publique fédérale</w:t>
      </w:r>
      <w:r w:rsidR="002944FE" w:rsidRPr="006E09E8">
        <w:rPr>
          <w:rFonts w:asciiTheme="minorHAnsi" w:hAnsiTheme="minorHAnsi" w:cstheme="minorHAnsi"/>
          <w:sz w:val="22"/>
          <w:szCs w:val="22"/>
          <w:lang w:eastAsia="en-CA"/>
        </w:rPr>
        <w:t>.</w:t>
      </w:r>
    </w:p>
    <w:p w14:paraId="270CF7D3" w14:textId="4C530F18" w:rsidR="002944FE" w:rsidRPr="006E09E8" w:rsidRDefault="001A18F9" w:rsidP="004E01DF">
      <w:pPr>
        <w:numPr>
          <w:ilvl w:val="0"/>
          <w:numId w:val="12"/>
        </w:numPr>
        <w:rPr>
          <w:rFonts w:asciiTheme="minorHAnsi" w:hAnsiTheme="minorHAnsi" w:cstheme="minorHAnsi"/>
          <w:sz w:val="22"/>
          <w:szCs w:val="22"/>
          <w:lang w:eastAsia="en-CA"/>
        </w:rPr>
      </w:pPr>
      <w:r w:rsidRPr="006E09E8">
        <w:rPr>
          <w:rFonts w:asciiTheme="minorHAnsi" w:hAnsiTheme="minorHAnsi" w:cstheme="minorHAnsi"/>
          <w:sz w:val="22"/>
          <w:szCs w:val="22"/>
          <w:lang w:eastAsia="en-CA"/>
        </w:rPr>
        <w:lastRenderedPageBreak/>
        <w:t>74,</w:t>
      </w:r>
      <w:r w:rsidR="002944FE" w:rsidRPr="006E09E8">
        <w:rPr>
          <w:rFonts w:asciiTheme="minorHAnsi" w:hAnsiTheme="minorHAnsi" w:cstheme="minorHAnsi"/>
          <w:sz w:val="22"/>
          <w:szCs w:val="22"/>
          <w:lang w:eastAsia="en-CA"/>
        </w:rPr>
        <w:t>6</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4B3C4A" w:rsidRPr="006E09E8">
        <w:rPr>
          <w:rFonts w:asciiTheme="minorHAnsi" w:hAnsiTheme="minorHAnsi" w:cstheme="minorHAnsi"/>
          <w:sz w:val="22"/>
          <w:szCs w:val="22"/>
          <w:lang w:eastAsia="en-CA"/>
        </w:rPr>
        <w:t xml:space="preserve">des </w:t>
      </w:r>
      <w:r w:rsidR="004B3C4A" w:rsidRPr="006E09E8">
        <w:rPr>
          <w:rStyle w:val="Strong"/>
          <w:rFonts w:asciiTheme="minorHAnsi" w:hAnsiTheme="minorHAnsi" w:cstheme="minorHAnsi"/>
          <w:sz w:val="22"/>
          <w:szCs w:val="18"/>
        </w:rPr>
        <w:t>employés</w:t>
      </w:r>
      <w:r w:rsidR="004B3C4A" w:rsidRPr="006E09E8">
        <w:rPr>
          <w:rFonts w:asciiTheme="minorHAnsi" w:hAnsiTheme="minorHAnsi" w:cstheme="minorHAnsi"/>
          <w:b/>
          <w:sz w:val="22"/>
          <w:szCs w:val="22"/>
          <w:lang w:eastAsia="en-CA"/>
        </w:rPr>
        <w:t xml:space="preserve"> </w:t>
      </w:r>
      <w:r w:rsidR="004B3C4A" w:rsidRPr="006E09E8">
        <w:rPr>
          <w:rFonts w:asciiTheme="minorHAnsi" w:hAnsiTheme="minorHAnsi" w:cstheme="minorHAnsi"/>
          <w:sz w:val="22"/>
          <w:szCs w:val="22"/>
          <w:lang w:eastAsia="en-CA"/>
        </w:rPr>
        <w:t xml:space="preserve">ont indiqué que les personnes embauchées dans leur </w:t>
      </w:r>
      <w:r w:rsidRPr="006E09E8">
        <w:rPr>
          <w:rFonts w:asciiTheme="minorHAnsi" w:hAnsiTheme="minorHAnsi" w:cstheme="minorHAnsi"/>
          <w:sz w:val="22"/>
          <w:szCs w:val="22"/>
          <w:lang w:eastAsia="en-CA"/>
        </w:rPr>
        <w:t>unité</w:t>
      </w:r>
      <w:r w:rsidR="004B3C4A" w:rsidRPr="006E09E8">
        <w:rPr>
          <w:rFonts w:asciiTheme="minorHAnsi" w:hAnsiTheme="minorHAnsi" w:cstheme="minorHAnsi"/>
          <w:sz w:val="22"/>
          <w:szCs w:val="22"/>
          <w:lang w:eastAsia="en-CA"/>
        </w:rPr>
        <w:t xml:space="preserve"> de travail peuvent faire le travai</w:t>
      </w:r>
      <w:r w:rsidRPr="006E09E8">
        <w:rPr>
          <w:rFonts w:asciiTheme="minorHAnsi" w:hAnsiTheme="minorHAnsi" w:cstheme="minorHAnsi"/>
          <w:sz w:val="22"/>
          <w:szCs w:val="22"/>
          <w:lang w:eastAsia="en-CA"/>
        </w:rPr>
        <w:t>l demandé, comparativement à 67,</w:t>
      </w:r>
      <w:r w:rsidR="004B3C4A" w:rsidRPr="006E09E8">
        <w:rPr>
          <w:rFonts w:asciiTheme="minorHAnsi" w:hAnsiTheme="minorHAnsi" w:cstheme="minorHAnsi"/>
          <w:sz w:val="22"/>
          <w:szCs w:val="22"/>
          <w:lang w:eastAsia="en-CA"/>
        </w:rPr>
        <w:t>1</w:t>
      </w:r>
      <w:r w:rsidRPr="006E09E8">
        <w:rPr>
          <w:rFonts w:asciiTheme="minorHAnsi" w:hAnsiTheme="minorHAnsi" w:cstheme="minorHAnsi"/>
          <w:sz w:val="22"/>
          <w:szCs w:val="22"/>
          <w:lang w:eastAsia="en-CA"/>
        </w:rPr>
        <w:t> </w:t>
      </w:r>
      <w:r w:rsidR="004B3C4A" w:rsidRPr="006E09E8">
        <w:rPr>
          <w:rFonts w:asciiTheme="minorHAnsi" w:hAnsiTheme="minorHAnsi" w:cstheme="minorHAnsi"/>
          <w:sz w:val="22"/>
          <w:szCs w:val="22"/>
          <w:lang w:eastAsia="en-CA"/>
        </w:rPr>
        <w:t xml:space="preserve">% pour les organisations de taille semblable et à </w:t>
      </w:r>
      <w:r w:rsidR="002944FE" w:rsidRPr="006E09E8">
        <w:rPr>
          <w:rFonts w:asciiTheme="minorHAnsi" w:hAnsiTheme="minorHAnsi" w:cstheme="minorHAnsi"/>
          <w:sz w:val="22"/>
          <w:szCs w:val="22"/>
          <w:lang w:eastAsia="en-CA"/>
        </w:rPr>
        <w:t>5</w:t>
      </w:r>
      <w:r w:rsidRPr="006E09E8">
        <w:rPr>
          <w:rFonts w:asciiTheme="minorHAnsi" w:hAnsiTheme="minorHAnsi" w:cstheme="minorHAnsi"/>
          <w:sz w:val="22"/>
          <w:szCs w:val="22"/>
          <w:lang w:eastAsia="en-CA"/>
        </w:rPr>
        <w:t>3,</w:t>
      </w:r>
      <w:r w:rsidR="004B3C4A" w:rsidRPr="006E09E8">
        <w:rPr>
          <w:rFonts w:asciiTheme="minorHAnsi" w:hAnsiTheme="minorHAnsi" w:cstheme="minorHAnsi"/>
          <w:sz w:val="22"/>
          <w:szCs w:val="22"/>
          <w:lang w:eastAsia="en-CA"/>
        </w:rPr>
        <w:t>8</w:t>
      </w:r>
      <w:r w:rsidRPr="006E09E8">
        <w:rPr>
          <w:rFonts w:asciiTheme="minorHAnsi" w:hAnsiTheme="minorHAnsi" w:cstheme="minorHAnsi"/>
          <w:sz w:val="22"/>
          <w:szCs w:val="22"/>
          <w:lang w:eastAsia="en-CA"/>
        </w:rPr>
        <w:t> </w:t>
      </w:r>
      <w:r w:rsidR="004B3C4A" w:rsidRPr="006E09E8">
        <w:rPr>
          <w:rFonts w:asciiTheme="minorHAnsi" w:hAnsiTheme="minorHAnsi" w:cstheme="minorHAnsi"/>
          <w:sz w:val="22"/>
          <w:szCs w:val="22"/>
          <w:lang w:eastAsia="en-CA"/>
        </w:rPr>
        <w:t>% pour l’ensemble des organisations de la fonction publique fédérale</w:t>
      </w:r>
      <w:r w:rsidR="002944FE" w:rsidRPr="006E09E8">
        <w:rPr>
          <w:rFonts w:asciiTheme="minorHAnsi" w:hAnsiTheme="minorHAnsi" w:cstheme="minorHAnsi"/>
          <w:sz w:val="22"/>
          <w:szCs w:val="22"/>
          <w:lang w:eastAsia="en-CA"/>
        </w:rPr>
        <w:t>.</w:t>
      </w:r>
    </w:p>
    <w:p w14:paraId="378C3464" w14:textId="53C37178" w:rsidR="002944FE" w:rsidRPr="006E09E8" w:rsidRDefault="001A18F9" w:rsidP="004E01DF">
      <w:pPr>
        <w:numPr>
          <w:ilvl w:val="0"/>
          <w:numId w:val="12"/>
        </w:numPr>
        <w:rPr>
          <w:rFonts w:asciiTheme="minorHAnsi" w:hAnsiTheme="minorHAnsi" w:cstheme="minorHAnsi"/>
          <w:sz w:val="22"/>
          <w:szCs w:val="22"/>
          <w:lang w:eastAsia="en-CA"/>
        </w:rPr>
      </w:pPr>
      <w:r w:rsidRPr="006E09E8">
        <w:rPr>
          <w:rFonts w:asciiTheme="minorHAnsi" w:hAnsiTheme="minorHAnsi" w:cstheme="minorHAnsi"/>
          <w:sz w:val="22"/>
          <w:szCs w:val="22"/>
          <w:lang w:eastAsia="en-CA"/>
        </w:rPr>
        <w:t>69,</w:t>
      </w:r>
      <w:r w:rsidR="002944FE" w:rsidRPr="006E09E8">
        <w:rPr>
          <w:rFonts w:asciiTheme="minorHAnsi" w:hAnsiTheme="minorHAnsi" w:cstheme="minorHAnsi"/>
          <w:sz w:val="22"/>
          <w:szCs w:val="22"/>
          <w:lang w:eastAsia="en-CA"/>
        </w:rPr>
        <w:t>4</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A42759" w:rsidRPr="006E09E8">
        <w:rPr>
          <w:rFonts w:asciiTheme="minorHAnsi" w:hAnsiTheme="minorHAnsi" w:cstheme="minorHAnsi"/>
          <w:sz w:val="22"/>
          <w:szCs w:val="22"/>
          <w:lang w:eastAsia="en-CA"/>
        </w:rPr>
        <w:t xml:space="preserve">des </w:t>
      </w:r>
      <w:r w:rsidR="00A42759" w:rsidRPr="006E09E8">
        <w:rPr>
          <w:rStyle w:val="Strong"/>
          <w:rFonts w:asciiTheme="minorHAnsi" w:hAnsiTheme="minorHAnsi" w:cstheme="minorHAnsi"/>
          <w:sz w:val="22"/>
          <w:szCs w:val="18"/>
        </w:rPr>
        <w:t>employés</w:t>
      </w:r>
      <w:r w:rsidR="00A42759" w:rsidRPr="006E09E8">
        <w:rPr>
          <w:rFonts w:asciiTheme="minorHAnsi" w:hAnsiTheme="minorHAnsi" w:cstheme="minorHAnsi"/>
          <w:b/>
          <w:sz w:val="22"/>
          <w:szCs w:val="22"/>
          <w:lang w:eastAsia="en-CA"/>
        </w:rPr>
        <w:t xml:space="preserve"> </w:t>
      </w:r>
      <w:r w:rsidR="00A42759" w:rsidRPr="006E09E8">
        <w:rPr>
          <w:rFonts w:asciiTheme="minorHAnsi" w:hAnsiTheme="minorHAnsi" w:cstheme="minorHAnsi"/>
          <w:sz w:val="22"/>
          <w:szCs w:val="22"/>
          <w:lang w:eastAsia="en-CA"/>
        </w:rPr>
        <w:t xml:space="preserve">ont indiqué que le processus de sélection des personnes pour les postes se fait de façon équitable, comparativement à </w:t>
      </w:r>
      <w:r w:rsidRPr="006E09E8">
        <w:rPr>
          <w:rFonts w:asciiTheme="minorHAnsi" w:hAnsiTheme="minorHAnsi" w:cstheme="minorHAnsi"/>
          <w:sz w:val="22"/>
          <w:szCs w:val="22"/>
          <w:lang w:eastAsia="en-CA"/>
        </w:rPr>
        <w:t>56,</w:t>
      </w:r>
      <w:r w:rsidR="002944FE" w:rsidRPr="006E09E8">
        <w:rPr>
          <w:rFonts w:asciiTheme="minorHAnsi" w:hAnsiTheme="minorHAnsi" w:cstheme="minorHAnsi"/>
          <w:sz w:val="22"/>
          <w:szCs w:val="22"/>
          <w:lang w:eastAsia="en-CA"/>
        </w:rPr>
        <w:t>9</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A42759" w:rsidRPr="006E09E8">
        <w:rPr>
          <w:rFonts w:asciiTheme="minorHAnsi" w:hAnsiTheme="minorHAnsi" w:cstheme="minorHAnsi"/>
          <w:sz w:val="22"/>
          <w:szCs w:val="22"/>
          <w:lang w:eastAsia="en-CA"/>
        </w:rPr>
        <w:t xml:space="preserve">pour les organisations de taille semblable et à </w:t>
      </w:r>
      <w:r w:rsidRPr="006E09E8">
        <w:rPr>
          <w:rFonts w:asciiTheme="minorHAnsi" w:hAnsiTheme="minorHAnsi" w:cstheme="minorHAnsi"/>
          <w:sz w:val="22"/>
          <w:szCs w:val="22"/>
          <w:lang w:eastAsia="en-CA"/>
        </w:rPr>
        <w:t>46,</w:t>
      </w:r>
      <w:r w:rsidR="002944FE" w:rsidRPr="006E09E8">
        <w:rPr>
          <w:rFonts w:asciiTheme="minorHAnsi" w:hAnsiTheme="minorHAnsi" w:cstheme="minorHAnsi"/>
          <w:sz w:val="22"/>
          <w:szCs w:val="22"/>
          <w:lang w:eastAsia="en-CA"/>
        </w:rPr>
        <w:t>4</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A42759" w:rsidRPr="006E09E8">
        <w:rPr>
          <w:rFonts w:asciiTheme="minorHAnsi" w:hAnsiTheme="minorHAnsi" w:cstheme="minorHAnsi"/>
          <w:sz w:val="22"/>
          <w:szCs w:val="22"/>
          <w:lang w:eastAsia="en-CA"/>
        </w:rPr>
        <w:t>pour l’ensemble des organisations de la fonction publique fédérale.</w:t>
      </w:r>
    </w:p>
    <w:p w14:paraId="18C2B8E5" w14:textId="66546BA0" w:rsidR="002944FE" w:rsidRPr="006E09E8" w:rsidRDefault="001A18F9" w:rsidP="004E01DF">
      <w:pPr>
        <w:pStyle w:val="ListParagraph"/>
        <w:numPr>
          <w:ilvl w:val="0"/>
          <w:numId w:val="12"/>
        </w:numPr>
        <w:spacing w:after="0"/>
        <w:rPr>
          <w:rFonts w:asciiTheme="minorHAnsi" w:hAnsiTheme="minorHAnsi" w:cstheme="minorHAnsi"/>
          <w:sz w:val="22"/>
          <w:szCs w:val="22"/>
          <w:lang w:eastAsia="en-CA"/>
        </w:rPr>
      </w:pPr>
      <w:r w:rsidRPr="006E09E8">
        <w:rPr>
          <w:rFonts w:asciiTheme="minorHAnsi" w:hAnsiTheme="minorHAnsi" w:cstheme="minorHAnsi"/>
          <w:sz w:val="22"/>
          <w:szCs w:val="22"/>
          <w:lang w:eastAsia="en-CA"/>
        </w:rPr>
        <w:t>82,</w:t>
      </w:r>
      <w:r w:rsidR="002944FE" w:rsidRPr="006E09E8">
        <w:rPr>
          <w:rFonts w:asciiTheme="minorHAnsi" w:hAnsiTheme="minorHAnsi" w:cstheme="minorHAnsi"/>
          <w:sz w:val="22"/>
          <w:szCs w:val="22"/>
          <w:lang w:eastAsia="en-CA"/>
        </w:rPr>
        <w:t>6</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w:t>
      </w:r>
      <w:r w:rsidR="00A42759" w:rsidRPr="006E09E8">
        <w:rPr>
          <w:rFonts w:asciiTheme="minorHAnsi" w:hAnsiTheme="minorHAnsi" w:cstheme="minorHAnsi"/>
          <w:sz w:val="22"/>
          <w:szCs w:val="22"/>
          <w:lang w:eastAsia="en-CA"/>
        </w:rPr>
        <w:t xml:space="preserve"> des </w:t>
      </w:r>
      <w:r w:rsidR="00A42759" w:rsidRPr="006E09E8">
        <w:rPr>
          <w:rStyle w:val="Strong"/>
          <w:rFonts w:asciiTheme="minorHAnsi" w:hAnsiTheme="minorHAnsi" w:cstheme="minorHAnsi"/>
          <w:sz w:val="22"/>
          <w:szCs w:val="18"/>
        </w:rPr>
        <w:t xml:space="preserve">gestionnaires </w:t>
      </w:r>
      <w:r w:rsidR="00A42759" w:rsidRPr="006E09E8">
        <w:rPr>
          <w:rFonts w:asciiTheme="minorHAnsi" w:hAnsiTheme="minorHAnsi" w:cstheme="minorHAnsi"/>
          <w:sz w:val="22"/>
          <w:szCs w:val="22"/>
          <w:lang w:eastAsia="en-CA"/>
        </w:rPr>
        <w:t>estiment que la dotation e</w:t>
      </w:r>
      <w:r w:rsidRPr="006E09E8">
        <w:rPr>
          <w:rFonts w:asciiTheme="minorHAnsi" w:hAnsiTheme="minorHAnsi" w:cstheme="minorHAnsi"/>
          <w:sz w:val="22"/>
          <w:szCs w:val="22"/>
          <w:lang w:eastAsia="en-CA"/>
        </w:rPr>
        <w:t>st lourde, comparativement à 79,</w:t>
      </w:r>
      <w:r w:rsidR="00A42759" w:rsidRPr="006E09E8">
        <w:rPr>
          <w:rFonts w:asciiTheme="minorHAnsi" w:hAnsiTheme="minorHAnsi" w:cstheme="minorHAnsi"/>
          <w:sz w:val="22"/>
          <w:szCs w:val="22"/>
          <w:lang w:eastAsia="en-CA"/>
        </w:rPr>
        <w:t>3</w:t>
      </w:r>
      <w:r w:rsidRPr="006E09E8">
        <w:rPr>
          <w:rFonts w:asciiTheme="minorHAnsi" w:hAnsiTheme="minorHAnsi" w:cstheme="minorHAnsi"/>
          <w:sz w:val="22"/>
          <w:szCs w:val="22"/>
          <w:lang w:eastAsia="en-CA"/>
        </w:rPr>
        <w:t> </w:t>
      </w:r>
      <w:r w:rsidR="00A42759" w:rsidRPr="006E09E8">
        <w:rPr>
          <w:rFonts w:asciiTheme="minorHAnsi" w:hAnsiTheme="minorHAnsi" w:cstheme="minorHAnsi"/>
          <w:sz w:val="22"/>
          <w:szCs w:val="22"/>
          <w:lang w:eastAsia="en-CA"/>
        </w:rPr>
        <w:t>% pour les organisati</w:t>
      </w:r>
      <w:r w:rsidRPr="006E09E8">
        <w:rPr>
          <w:rFonts w:asciiTheme="minorHAnsi" w:hAnsiTheme="minorHAnsi" w:cstheme="minorHAnsi"/>
          <w:sz w:val="22"/>
          <w:szCs w:val="22"/>
          <w:lang w:eastAsia="en-CA"/>
        </w:rPr>
        <w:t>ons de taille semblable et à 87,</w:t>
      </w:r>
      <w:r w:rsidR="00A42759" w:rsidRPr="006E09E8">
        <w:rPr>
          <w:rFonts w:asciiTheme="minorHAnsi" w:hAnsiTheme="minorHAnsi" w:cstheme="minorHAnsi"/>
          <w:sz w:val="22"/>
          <w:szCs w:val="22"/>
          <w:lang w:eastAsia="en-CA"/>
        </w:rPr>
        <w:t>9</w:t>
      </w:r>
      <w:r w:rsidRPr="006E09E8">
        <w:rPr>
          <w:rFonts w:asciiTheme="minorHAnsi" w:hAnsiTheme="minorHAnsi" w:cstheme="minorHAnsi"/>
          <w:sz w:val="22"/>
          <w:szCs w:val="22"/>
          <w:lang w:eastAsia="en-CA"/>
        </w:rPr>
        <w:t> </w:t>
      </w:r>
      <w:r w:rsidR="00A42759" w:rsidRPr="006E09E8">
        <w:rPr>
          <w:rFonts w:asciiTheme="minorHAnsi" w:hAnsiTheme="minorHAnsi" w:cstheme="minorHAnsi"/>
          <w:sz w:val="22"/>
          <w:szCs w:val="22"/>
          <w:lang w:eastAsia="en-CA"/>
        </w:rPr>
        <w:t>% pour l’ensemble des organisations de la fonction publique fédérale</w:t>
      </w:r>
      <w:r w:rsidR="002944FE" w:rsidRPr="006E09E8">
        <w:rPr>
          <w:rFonts w:asciiTheme="minorHAnsi" w:hAnsiTheme="minorHAnsi" w:cstheme="minorHAnsi"/>
          <w:sz w:val="22"/>
          <w:szCs w:val="22"/>
          <w:lang w:eastAsia="en-CA"/>
        </w:rPr>
        <w:t xml:space="preserve">. </w:t>
      </w:r>
    </w:p>
    <w:p w14:paraId="013BF77F" w14:textId="035B8E4C" w:rsidR="002944FE" w:rsidRPr="006E09E8" w:rsidRDefault="001A18F9" w:rsidP="006E09E8">
      <w:pPr>
        <w:numPr>
          <w:ilvl w:val="0"/>
          <w:numId w:val="12"/>
        </w:numPr>
        <w:spacing w:after="120"/>
        <w:rPr>
          <w:rFonts w:asciiTheme="minorHAnsi" w:hAnsiTheme="minorHAnsi" w:cstheme="minorHAnsi"/>
          <w:sz w:val="22"/>
          <w:szCs w:val="22"/>
          <w:lang w:eastAsia="en-CA"/>
        </w:rPr>
      </w:pPr>
      <w:r w:rsidRPr="006E09E8">
        <w:rPr>
          <w:rFonts w:asciiTheme="minorHAnsi" w:hAnsiTheme="minorHAnsi" w:cstheme="minorHAnsi"/>
          <w:sz w:val="22"/>
          <w:szCs w:val="22"/>
          <w:lang w:eastAsia="en-CA"/>
        </w:rPr>
        <w:t>67,</w:t>
      </w:r>
      <w:r w:rsidR="002944FE" w:rsidRPr="006E09E8">
        <w:rPr>
          <w:rFonts w:asciiTheme="minorHAnsi" w:hAnsiTheme="minorHAnsi" w:cstheme="minorHAnsi"/>
          <w:sz w:val="22"/>
          <w:szCs w:val="22"/>
          <w:lang w:eastAsia="en-CA"/>
        </w:rPr>
        <w:t>7</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A42759" w:rsidRPr="006E09E8">
        <w:rPr>
          <w:rFonts w:asciiTheme="minorHAnsi" w:hAnsiTheme="minorHAnsi" w:cstheme="minorHAnsi"/>
          <w:sz w:val="22"/>
          <w:szCs w:val="22"/>
          <w:lang w:eastAsia="en-CA"/>
        </w:rPr>
        <w:t xml:space="preserve">des </w:t>
      </w:r>
      <w:r w:rsidR="00A42759" w:rsidRPr="006E09E8">
        <w:rPr>
          <w:rStyle w:val="Strong"/>
          <w:rFonts w:asciiTheme="minorHAnsi" w:hAnsiTheme="minorHAnsi" w:cstheme="minorHAnsi"/>
          <w:sz w:val="22"/>
          <w:szCs w:val="18"/>
        </w:rPr>
        <w:t>gestionnaires</w:t>
      </w:r>
      <w:r w:rsidR="00A42759" w:rsidRPr="006E09E8">
        <w:rPr>
          <w:rFonts w:asciiTheme="minorHAnsi" w:hAnsiTheme="minorHAnsi" w:cstheme="minorHAnsi"/>
          <w:b/>
          <w:sz w:val="22"/>
          <w:szCs w:val="22"/>
          <w:lang w:eastAsia="en-CA"/>
        </w:rPr>
        <w:t xml:space="preserve"> </w:t>
      </w:r>
      <w:r w:rsidR="00A42759" w:rsidRPr="006E09E8">
        <w:rPr>
          <w:rFonts w:asciiTheme="minorHAnsi" w:hAnsiTheme="minorHAnsi" w:cstheme="minorHAnsi"/>
          <w:sz w:val="22"/>
          <w:szCs w:val="22"/>
          <w:lang w:eastAsia="en-CA"/>
        </w:rPr>
        <w:t>ont indiqué que la NOD a amélioré la façon d’embaucher et de nommer les candidats au sein de leur org</w:t>
      </w:r>
      <w:r w:rsidRPr="006E09E8">
        <w:rPr>
          <w:rFonts w:asciiTheme="minorHAnsi" w:hAnsiTheme="minorHAnsi" w:cstheme="minorHAnsi"/>
          <w:sz w:val="22"/>
          <w:szCs w:val="22"/>
          <w:lang w:eastAsia="en-CA"/>
        </w:rPr>
        <w:t>anisation, comparativement à 69,</w:t>
      </w:r>
      <w:r w:rsidR="00A42759" w:rsidRPr="006E09E8">
        <w:rPr>
          <w:rFonts w:asciiTheme="minorHAnsi" w:hAnsiTheme="minorHAnsi" w:cstheme="minorHAnsi"/>
          <w:sz w:val="22"/>
          <w:szCs w:val="22"/>
          <w:lang w:eastAsia="en-CA"/>
        </w:rPr>
        <w:t>7</w:t>
      </w:r>
      <w:r w:rsidRPr="006E09E8">
        <w:rPr>
          <w:rFonts w:asciiTheme="minorHAnsi" w:hAnsiTheme="minorHAnsi" w:cstheme="minorHAnsi"/>
          <w:sz w:val="22"/>
          <w:szCs w:val="22"/>
          <w:lang w:eastAsia="en-CA"/>
        </w:rPr>
        <w:t> </w:t>
      </w:r>
      <w:r w:rsidR="00A42759" w:rsidRPr="006E09E8">
        <w:rPr>
          <w:rFonts w:asciiTheme="minorHAnsi" w:hAnsiTheme="minorHAnsi" w:cstheme="minorHAnsi"/>
          <w:sz w:val="22"/>
          <w:szCs w:val="22"/>
          <w:lang w:eastAsia="en-CA"/>
        </w:rPr>
        <w:t xml:space="preserve">% pour les organisations de taille semblable et à </w:t>
      </w:r>
      <w:r w:rsidRPr="006E09E8">
        <w:rPr>
          <w:rFonts w:asciiTheme="minorHAnsi" w:hAnsiTheme="minorHAnsi" w:cstheme="minorHAnsi"/>
          <w:sz w:val="22"/>
          <w:szCs w:val="22"/>
          <w:lang w:eastAsia="en-CA"/>
        </w:rPr>
        <w:t>56,</w:t>
      </w:r>
      <w:r w:rsidR="002944FE" w:rsidRPr="006E09E8">
        <w:rPr>
          <w:rFonts w:asciiTheme="minorHAnsi" w:hAnsiTheme="minorHAnsi" w:cstheme="minorHAnsi"/>
          <w:sz w:val="22"/>
          <w:szCs w:val="22"/>
          <w:lang w:eastAsia="en-CA"/>
        </w:rPr>
        <w:t>1</w:t>
      </w:r>
      <w:r w:rsidRPr="006E09E8">
        <w:rPr>
          <w:rFonts w:asciiTheme="minorHAnsi" w:hAnsiTheme="minorHAnsi" w:cstheme="minorHAnsi"/>
          <w:sz w:val="22"/>
          <w:szCs w:val="22"/>
          <w:lang w:eastAsia="en-CA"/>
        </w:rPr>
        <w:t> </w:t>
      </w:r>
      <w:r w:rsidR="002944FE" w:rsidRPr="006E09E8">
        <w:rPr>
          <w:rFonts w:asciiTheme="minorHAnsi" w:hAnsiTheme="minorHAnsi" w:cstheme="minorHAnsi"/>
          <w:sz w:val="22"/>
          <w:szCs w:val="22"/>
          <w:lang w:eastAsia="en-CA"/>
        </w:rPr>
        <w:t xml:space="preserve">% </w:t>
      </w:r>
      <w:r w:rsidR="00A42759" w:rsidRPr="006E09E8">
        <w:rPr>
          <w:rFonts w:asciiTheme="minorHAnsi" w:hAnsiTheme="minorHAnsi" w:cstheme="minorHAnsi"/>
          <w:sz w:val="22"/>
          <w:szCs w:val="22"/>
          <w:lang w:eastAsia="en-CA"/>
        </w:rPr>
        <w:t>pour l’ensemble des organisations de la fonction publique fédérale.</w:t>
      </w:r>
    </w:p>
    <w:p w14:paraId="30CC22FF" w14:textId="0BB378B1" w:rsidR="002944FE" w:rsidRPr="006E09E8" w:rsidRDefault="00E165A9" w:rsidP="006E09E8">
      <w:pPr>
        <w:pStyle w:val="Heading1"/>
        <w:spacing w:after="120"/>
        <w:rPr>
          <w:rFonts w:asciiTheme="minorHAnsi" w:hAnsiTheme="minorHAnsi" w:cstheme="minorHAnsi"/>
        </w:rPr>
      </w:pPr>
      <w:r w:rsidRPr="006E09E8">
        <w:rPr>
          <w:rFonts w:asciiTheme="minorHAnsi" w:hAnsiTheme="minorHAnsi" w:cstheme="minorHAnsi"/>
        </w:rPr>
        <w:t>Profil de la diversité</w:t>
      </w:r>
    </w:p>
    <w:p w14:paraId="7506CBBE" w14:textId="56E7048A" w:rsidR="002944FE" w:rsidRPr="006E09E8" w:rsidRDefault="00626361" w:rsidP="006E09E8">
      <w:pPr>
        <w:spacing w:after="120"/>
        <w:rPr>
          <w:rFonts w:asciiTheme="minorHAnsi" w:hAnsiTheme="minorHAnsi" w:cstheme="minorHAnsi"/>
          <w:sz w:val="22"/>
          <w:szCs w:val="22"/>
        </w:rPr>
      </w:pPr>
      <w:r w:rsidRPr="006E09E8">
        <w:rPr>
          <w:rFonts w:asciiTheme="minorHAnsi" w:hAnsiTheme="minorHAnsi" w:cstheme="minorHAnsi"/>
          <w:sz w:val="22"/>
          <w:szCs w:val="22"/>
        </w:rPr>
        <w:t>La </w:t>
      </w:r>
      <w:r w:rsidR="00A42759" w:rsidRPr="006E09E8">
        <w:rPr>
          <w:rFonts w:asciiTheme="minorHAnsi" w:hAnsiTheme="minorHAnsi" w:cstheme="minorHAnsi"/>
          <w:sz w:val="22"/>
          <w:szCs w:val="22"/>
        </w:rPr>
        <w:t xml:space="preserve">CCG affiche un bon taux de représentation </w:t>
      </w:r>
      <w:r w:rsidR="00E848CD" w:rsidRPr="006E09E8">
        <w:rPr>
          <w:rFonts w:asciiTheme="minorHAnsi" w:hAnsiTheme="minorHAnsi" w:cstheme="minorHAnsi"/>
          <w:sz w:val="22"/>
          <w:szCs w:val="22"/>
        </w:rPr>
        <w:t xml:space="preserve">en ce qui touche l’EE </w:t>
      </w:r>
      <w:r w:rsidR="00A42759" w:rsidRPr="006E09E8">
        <w:rPr>
          <w:rFonts w:asciiTheme="minorHAnsi" w:hAnsiTheme="minorHAnsi" w:cstheme="minorHAnsi"/>
          <w:sz w:val="22"/>
          <w:szCs w:val="22"/>
        </w:rPr>
        <w:t xml:space="preserve">pour les personnes autochtones et les membres de minorités visibles. Toutefois, le taux de représentation des personnes </w:t>
      </w:r>
      <w:r w:rsidR="009D0FF2" w:rsidRPr="006E09E8">
        <w:rPr>
          <w:rFonts w:asciiTheme="minorHAnsi" w:hAnsiTheme="minorHAnsi" w:cstheme="minorHAnsi"/>
          <w:sz w:val="22"/>
          <w:szCs w:val="22"/>
        </w:rPr>
        <w:t xml:space="preserve">en situation de </w:t>
      </w:r>
      <w:r w:rsidR="00A42759" w:rsidRPr="006E09E8">
        <w:rPr>
          <w:rFonts w:asciiTheme="minorHAnsi" w:hAnsiTheme="minorHAnsi" w:cstheme="minorHAnsi"/>
          <w:sz w:val="22"/>
          <w:szCs w:val="22"/>
        </w:rPr>
        <w:t xml:space="preserve">handicap (4,3 %) et des femmes (48,3 %) </w:t>
      </w:r>
      <w:r w:rsidR="00BA68A5" w:rsidRPr="006E09E8">
        <w:rPr>
          <w:rFonts w:asciiTheme="minorHAnsi" w:hAnsiTheme="minorHAnsi" w:cstheme="minorHAnsi"/>
          <w:sz w:val="22"/>
          <w:szCs w:val="22"/>
        </w:rPr>
        <w:t xml:space="preserve">au sein de l’organisation </w:t>
      </w:r>
      <w:r w:rsidR="00A42759" w:rsidRPr="006E09E8">
        <w:rPr>
          <w:rFonts w:asciiTheme="minorHAnsi" w:hAnsiTheme="minorHAnsi" w:cstheme="minorHAnsi"/>
          <w:sz w:val="22"/>
          <w:szCs w:val="22"/>
        </w:rPr>
        <w:t xml:space="preserve">est inférieur à leur </w:t>
      </w:r>
      <w:r w:rsidR="009B4BC8" w:rsidRPr="006E09E8">
        <w:rPr>
          <w:rFonts w:asciiTheme="minorHAnsi" w:hAnsiTheme="minorHAnsi" w:cstheme="minorHAnsi"/>
          <w:sz w:val="22"/>
          <w:szCs w:val="22"/>
        </w:rPr>
        <w:t xml:space="preserve">taux de </w:t>
      </w:r>
      <w:r w:rsidR="00A42759" w:rsidRPr="006E09E8">
        <w:rPr>
          <w:rFonts w:asciiTheme="minorHAnsi" w:hAnsiTheme="minorHAnsi" w:cstheme="minorHAnsi"/>
          <w:sz w:val="22"/>
          <w:szCs w:val="22"/>
        </w:rPr>
        <w:t>disponibilité au sein de la population active, qui est, respectivement, de 7,8 % et de 52,7 %.</w:t>
      </w:r>
      <w:r w:rsidRPr="006E09E8">
        <w:rPr>
          <w:rFonts w:asciiTheme="minorHAnsi" w:hAnsiTheme="minorHAnsi" w:cstheme="minorHAnsi"/>
          <w:sz w:val="22"/>
          <w:szCs w:val="22"/>
        </w:rPr>
        <w:t xml:space="preserve"> La </w:t>
      </w:r>
      <w:r w:rsidR="00A42759" w:rsidRPr="006E09E8">
        <w:rPr>
          <w:rFonts w:asciiTheme="minorHAnsi" w:hAnsiTheme="minorHAnsi" w:cstheme="minorHAnsi"/>
          <w:sz w:val="22"/>
          <w:szCs w:val="22"/>
        </w:rPr>
        <w:t>CCG affichait les deux mêmes</w:t>
      </w:r>
      <w:r w:rsidR="00BE2852" w:rsidRPr="006E09E8">
        <w:rPr>
          <w:rFonts w:asciiTheme="minorHAnsi" w:hAnsiTheme="minorHAnsi" w:cstheme="minorHAnsi"/>
          <w:sz w:val="22"/>
          <w:szCs w:val="22"/>
        </w:rPr>
        <w:t xml:space="preserve"> lacunes</w:t>
      </w:r>
      <w:r w:rsidR="00A741B3" w:rsidRPr="006E09E8">
        <w:rPr>
          <w:rFonts w:asciiTheme="minorHAnsi" w:hAnsiTheme="minorHAnsi" w:cstheme="minorHAnsi"/>
          <w:sz w:val="22"/>
          <w:szCs w:val="22"/>
        </w:rPr>
        <w:t xml:space="preserve"> en</w:t>
      </w:r>
      <w:r w:rsidRPr="006E09E8">
        <w:rPr>
          <w:rFonts w:asciiTheme="minorHAnsi" w:hAnsiTheme="minorHAnsi" w:cstheme="minorHAnsi"/>
          <w:sz w:val="22"/>
          <w:szCs w:val="22"/>
        </w:rPr>
        <w:t xml:space="preserve"> matière d’EE en 2017</w:t>
      </w:r>
      <w:r w:rsidRPr="006E09E8">
        <w:rPr>
          <w:rFonts w:asciiTheme="minorHAnsi" w:hAnsiTheme="minorHAnsi" w:cstheme="minorHAnsi"/>
          <w:sz w:val="22"/>
          <w:szCs w:val="22"/>
        </w:rPr>
        <w:noBreakHyphen/>
        <w:t>2018 et 2018</w:t>
      </w:r>
      <w:r w:rsidRPr="006E09E8">
        <w:rPr>
          <w:rFonts w:asciiTheme="minorHAnsi" w:hAnsiTheme="minorHAnsi" w:cstheme="minorHAnsi"/>
          <w:sz w:val="22"/>
          <w:szCs w:val="22"/>
        </w:rPr>
        <w:noBreakHyphen/>
        <w:t xml:space="preserve">2019, </w:t>
      </w:r>
      <w:r w:rsidR="002B715A" w:rsidRPr="006E09E8">
        <w:rPr>
          <w:rFonts w:asciiTheme="minorHAnsi" w:hAnsiTheme="minorHAnsi" w:cstheme="minorHAnsi"/>
          <w:sz w:val="22"/>
          <w:szCs w:val="22"/>
        </w:rPr>
        <w:t>mais en 2018</w:t>
      </w:r>
      <w:r w:rsidR="002B715A" w:rsidRPr="006E09E8">
        <w:rPr>
          <w:rFonts w:asciiTheme="minorHAnsi" w:hAnsiTheme="minorHAnsi" w:cstheme="minorHAnsi"/>
          <w:sz w:val="22"/>
          <w:szCs w:val="22"/>
        </w:rPr>
        <w:noBreakHyphen/>
      </w:r>
      <w:r w:rsidR="00A42759" w:rsidRPr="006E09E8">
        <w:rPr>
          <w:rFonts w:asciiTheme="minorHAnsi" w:hAnsiTheme="minorHAnsi" w:cstheme="minorHAnsi"/>
          <w:sz w:val="22"/>
          <w:szCs w:val="22"/>
        </w:rPr>
        <w:t xml:space="preserve">2019, l’écart </w:t>
      </w:r>
      <w:r w:rsidR="00BE2852" w:rsidRPr="006E09E8">
        <w:rPr>
          <w:rFonts w:asciiTheme="minorHAnsi" w:hAnsiTheme="minorHAnsi" w:cstheme="minorHAnsi"/>
          <w:sz w:val="22"/>
          <w:szCs w:val="22"/>
        </w:rPr>
        <w:t>de</w:t>
      </w:r>
      <w:r w:rsidR="00A42759" w:rsidRPr="006E09E8">
        <w:rPr>
          <w:rFonts w:asciiTheme="minorHAnsi" w:hAnsiTheme="minorHAnsi" w:cstheme="minorHAnsi"/>
          <w:sz w:val="22"/>
          <w:szCs w:val="22"/>
        </w:rPr>
        <w:t xml:space="preserve"> représentation des personnes </w:t>
      </w:r>
      <w:r w:rsidR="009D0FF2" w:rsidRPr="006E09E8">
        <w:rPr>
          <w:rFonts w:asciiTheme="minorHAnsi" w:hAnsiTheme="minorHAnsi" w:cstheme="minorHAnsi"/>
          <w:sz w:val="22"/>
          <w:szCs w:val="22"/>
        </w:rPr>
        <w:t xml:space="preserve">en situation de </w:t>
      </w:r>
      <w:r w:rsidR="00A42759" w:rsidRPr="006E09E8">
        <w:rPr>
          <w:rFonts w:asciiTheme="minorHAnsi" w:hAnsiTheme="minorHAnsi" w:cstheme="minorHAnsi"/>
          <w:sz w:val="22"/>
          <w:szCs w:val="22"/>
        </w:rPr>
        <w:t xml:space="preserve">handicap a augmenté, alors que </w:t>
      </w:r>
      <w:r w:rsidR="00BE2852" w:rsidRPr="006E09E8">
        <w:rPr>
          <w:rFonts w:asciiTheme="minorHAnsi" w:hAnsiTheme="minorHAnsi" w:cstheme="minorHAnsi"/>
          <w:sz w:val="22"/>
          <w:szCs w:val="22"/>
        </w:rPr>
        <w:t>l’écart de</w:t>
      </w:r>
      <w:r w:rsidR="00A42759" w:rsidRPr="006E09E8">
        <w:rPr>
          <w:rFonts w:asciiTheme="minorHAnsi" w:hAnsiTheme="minorHAnsi" w:cstheme="minorHAnsi"/>
          <w:sz w:val="22"/>
          <w:szCs w:val="22"/>
        </w:rPr>
        <w:t xml:space="preserve"> représentation des femmes a diminué.</w:t>
      </w:r>
    </w:p>
    <w:p w14:paraId="30A3BBE7" w14:textId="48F8A434" w:rsidR="006E09E8" w:rsidRPr="006E09E8" w:rsidRDefault="006E09E8" w:rsidP="006E09E8">
      <w:pPr>
        <w:pStyle w:val="Caption"/>
        <w:keepNext/>
        <w:spacing w:after="0"/>
        <w:rPr>
          <w:rFonts w:asciiTheme="minorHAnsi" w:hAnsiTheme="minorHAnsi" w:cstheme="minorHAnsi"/>
          <w:i w:val="0"/>
          <w:iCs w:val="0"/>
          <w:color w:val="auto"/>
        </w:rPr>
      </w:pPr>
      <w:r w:rsidRPr="006E09E8">
        <w:rPr>
          <w:rFonts w:asciiTheme="minorHAnsi" w:hAnsiTheme="minorHAnsi" w:cstheme="minorHAnsi"/>
          <w:i w:val="0"/>
          <w:iCs w:val="0"/>
          <w:color w:val="auto"/>
        </w:rPr>
        <w:t xml:space="preserve">Tableau </w:t>
      </w:r>
      <w:r w:rsidRPr="006E09E8">
        <w:rPr>
          <w:rFonts w:asciiTheme="minorHAnsi" w:hAnsiTheme="minorHAnsi" w:cstheme="minorHAnsi"/>
          <w:i w:val="0"/>
          <w:iCs w:val="0"/>
          <w:color w:val="auto"/>
        </w:rPr>
        <w:fldChar w:fldCharType="begin"/>
      </w:r>
      <w:r w:rsidRPr="006E09E8">
        <w:rPr>
          <w:rFonts w:asciiTheme="minorHAnsi" w:hAnsiTheme="minorHAnsi" w:cstheme="minorHAnsi"/>
          <w:i w:val="0"/>
          <w:iCs w:val="0"/>
          <w:color w:val="auto"/>
        </w:rPr>
        <w:instrText xml:space="preserve"> SEQ Tableau \* ARABIC </w:instrText>
      </w:r>
      <w:r w:rsidRPr="006E09E8">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w:t>
      </w:r>
      <w:r w:rsidRPr="006E09E8">
        <w:rPr>
          <w:rFonts w:asciiTheme="minorHAnsi" w:hAnsiTheme="minorHAnsi" w:cstheme="minorHAnsi"/>
          <w:i w:val="0"/>
          <w:iCs w:val="0"/>
          <w:color w:val="auto"/>
        </w:rPr>
        <w:fldChar w:fldCharType="end"/>
      </w:r>
      <w:r w:rsidRPr="006E09E8">
        <w:rPr>
          <w:rFonts w:asciiTheme="minorHAnsi" w:hAnsiTheme="minorHAnsi" w:cstheme="minorHAnsi"/>
          <w:i w:val="0"/>
          <w:iCs w:val="0"/>
          <w:color w:val="auto"/>
        </w:rPr>
        <w:t xml:space="preserve"> - Profil de la diversité</w:t>
      </w:r>
    </w:p>
    <w:tbl>
      <w:tblPr>
        <w:tblStyle w:val="Grilledutableau1"/>
        <w:tblW w:w="10206" w:type="dxa"/>
        <w:jc w:val="center"/>
        <w:tblLook w:val="04A0" w:firstRow="1" w:lastRow="0" w:firstColumn="1" w:lastColumn="0" w:noHBand="0" w:noVBand="1"/>
        <w:tblDescription w:val="Profil de la diversité"/>
      </w:tblPr>
      <w:tblGrid>
        <w:gridCol w:w="2048"/>
        <w:gridCol w:w="2205"/>
        <w:gridCol w:w="1828"/>
        <w:gridCol w:w="1998"/>
        <w:gridCol w:w="2127"/>
      </w:tblGrid>
      <w:tr w:rsidR="006E09E8" w:rsidRPr="006E09E8" w14:paraId="7244E46E" w14:textId="77777777" w:rsidTr="006E09E8">
        <w:trPr>
          <w:cantSplit/>
          <w:trHeight w:val="759"/>
          <w:tblHeader/>
          <w:jc w:val="center"/>
        </w:trPr>
        <w:tc>
          <w:tcPr>
            <w:tcW w:w="2048" w:type="dxa"/>
            <w:shd w:val="clear" w:color="auto" w:fill="54575A" w:themeFill="text1"/>
            <w:hideMark/>
          </w:tcPr>
          <w:p w14:paraId="796E1C20" w14:textId="3560BB31" w:rsidR="009D0FF2" w:rsidRPr="006E09E8" w:rsidRDefault="009D0FF2" w:rsidP="006E09E8">
            <w:pPr>
              <w:pStyle w:val="TableTitle"/>
              <w:rPr>
                <w:rFonts w:cs="Segoe UI Semibold"/>
                <w:bCs/>
                <w:color w:val="FFFFFF" w:themeColor="background1"/>
                <w:sz w:val="22"/>
                <w:szCs w:val="22"/>
              </w:rPr>
            </w:pPr>
            <w:r w:rsidRPr="006E09E8">
              <w:rPr>
                <w:rFonts w:cs="Segoe UI Semibold"/>
                <w:color w:val="FFFFFF" w:themeColor="background1"/>
                <w:sz w:val="22"/>
                <w:szCs w:val="22"/>
              </w:rPr>
              <w:t>Groupe désigné</w:t>
            </w:r>
          </w:p>
        </w:tc>
        <w:tc>
          <w:tcPr>
            <w:tcW w:w="2205" w:type="dxa"/>
            <w:shd w:val="clear" w:color="auto" w:fill="54575A" w:themeFill="text1"/>
            <w:hideMark/>
          </w:tcPr>
          <w:p w14:paraId="1039F642" w14:textId="476FD483" w:rsidR="009D0FF2" w:rsidRPr="006E09E8" w:rsidRDefault="009D0FF2" w:rsidP="006E09E8">
            <w:pPr>
              <w:pStyle w:val="TableTitle"/>
              <w:rPr>
                <w:rFonts w:cs="Segoe UI Semibold"/>
                <w:bCs/>
                <w:color w:val="FFFFFF" w:themeColor="background1"/>
                <w:sz w:val="22"/>
                <w:szCs w:val="22"/>
              </w:rPr>
            </w:pPr>
            <w:r w:rsidRPr="006E09E8">
              <w:rPr>
                <w:rFonts w:cs="Segoe UI Semibold"/>
                <w:color w:val="FFFFFF" w:themeColor="background1"/>
                <w:sz w:val="22"/>
                <w:szCs w:val="22"/>
              </w:rPr>
              <w:t>Disponibilité au sein de la population active</w:t>
            </w:r>
          </w:p>
        </w:tc>
        <w:tc>
          <w:tcPr>
            <w:tcW w:w="1828" w:type="dxa"/>
            <w:shd w:val="clear" w:color="auto" w:fill="BF3C00"/>
          </w:tcPr>
          <w:p w14:paraId="1AA8F48E" w14:textId="188F06E1" w:rsidR="009D0FF2" w:rsidRPr="006E09E8" w:rsidRDefault="009D0FF2" w:rsidP="006E09E8">
            <w:pPr>
              <w:pStyle w:val="TableTitle"/>
              <w:rPr>
                <w:rFonts w:cs="Segoe UI Semibold"/>
                <w:bCs/>
                <w:color w:val="FFFFFF" w:themeColor="background1"/>
                <w:sz w:val="22"/>
                <w:szCs w:val="22"/>
              </w:rPr>
            </w:pPr>
            <w:r w:rsidRPr="006E09E8">
              <w:rPr>
                <w:rFonts w:cs="Segoe UI Semibold"/>
                <w:color w:val="FFFFFF" w:themeColor="background1"/>
                <w:sz w:val="22"/>
                <w:szCs w:val="22"/>
              </w:rPr>
              <w:t xml:space="preserve">Commission canadienne des grains </w:t>
            </w:r>
            <w:r w:rsidRPr="006E09E8">
              <w:rPr>
                <w:rFonts w:cs="Segoe UI Semibold"/>
                <w:color w:val="FFFFFF" w:themeColor="background1"/>
                <w:sz w:val="22"/>
                <w:szCs w:val="22"/>
              </w:rPr>
              <w:br/>
              <w:t>(2018-2019)</w:t>
            </w:r>
          </w:p>
        </w:tc>
        <w:tc>
          <w:tcPr>
            <w:tcW w:w="1998" w:type="dxa"/>
            <w:shd w:val="clear" w:color="auto" w:fill="BF3C00"/>
          </w:tcPr>
          <w:p w14:paraId="5EBAB65D" w14:textId="3B39C5E0" w:rsidR="009D0FF2" w:rsidRPr="006E09E8" w:rsidRDefault="009D0FF2" w:rsidP="006E09E8">
            <w:pPr>
              <w:pStyle w:val="TableTitle"/>
              <w:rPr>
                <w:rFonts w:cs="Segoe UI Semibold"/>
                <w:bCs/>
                <w:color w:val="FFFFFF" w:themeColor="background1"/>
                <w:sz w:val="22"/>
                <w:szCs w:val="22"/>
              </w:rPr>
            </w:pPr>
            <w:r w:rsidRPr="006E09E8">
              <w:rPr>
                <w:rFonts w:cs="Segoe UI Semibold"/>
                <w:color w:val="FFFFFF" w:themeColor="background1"/>
                <w:sz w:val="22"/>
                <w:szCs w:val="22"/>
              </w:rPr>
              <w:t xml:space="preserve">Commission canadienne des grains </w:t>
            </w:r>
            <w:r w:rsidRPr="006E09E8">
              <w:rPr>
                <w:rFonts w:cs="Segoe UI Semibold"/>
                <w:color w:val="FFFFFF" w:themeColor="background1"/>
                <w:sz w:val="22"/>
                <w:szCs w:val="22"/>
              </w:rPr>
              <w:br/>
              <w:t>(2017-2018)</w:t>
            </w:r>
          </w:p>
        </w:tc>
        <w:tc>
          <w:tcPr>
            <w:tcW w:w="2127" w:type="dxa"/>
            <w:shd w:val="clear" w:color="auto" w:fill="54575A" w:themeFill="text1"/>
          </w:tcPr>
          <w:p w14:paraId="3BF2F244" w14:textId="7D4DC1EE" w:rsidR="009D0FF2" w:rsidRPr="006E09E8" w:rsidRDefault="009D0FF2" w:rsidP="006E09E8">
            <w:pPr>
              <w:pStyle w:val="TableTitle"/>
              <w:rPr>
                <w:rFonts w:cs="Segoe UI Semibold"/>
                <w:bCs/>
                <w:color w:val="FFFFFF" w:themeColor="background1"/>
                <w:sz w:val="22"/>
                <w:szCs w:val="22"/>
              </w:rPr>
            </w:pPr>
            <w:r w:rsidRPr="006E09E8">
              <w:rPr>
                <w:rFonts w:cs="Segoe UI Semibold"/>
                <w:color w:val="FFFFFF" w:themeColor="background1"/>
                <w:sz w:val="22"/>
                <w:szCs w:val="22"/>
              </w:rPr>
              <w:t>Représentation à la fonction publique</w:t>
            </w:r>
          </w:p>
        </w:tc>
      </w:tr>
      <w:tr w:rsidR="009D0FF2" w:rsidRPr="006E09E8" w14:paraId="53AA4FFB" w14:textId="77777777" w:rsidTr="006E09E8">
        <w:trPr>
          <w:cantSplit/>
          <w:tblHeader/>
          <w:jc w:val="center"/>
        </w:trPr>
        <w:tc>
          <w:tcPr>
            <w:tcW w:w="2048" w:type="dxa"/>
            <w:shd w:val="clear" w:color="auto" w:fill="54575A" w:themeFill="text1"/>
            <w:hideMark/>
          </w:tcPr>
          <w:p w14:paraId="57FC45F9" w14:textId="71F66219" w:rsidR="009D0FF2" w:rsidRPr="006E09E8" w:rsidRDefault="009D0FF2" w:rsidP="009D0FF2">
            <w:pPr>
              <w:rPr>
                <w:rFonts w:asciiTheme="minorHAnsi" w:hAnsiTheme="minorHAnsi" w:cstheme="minorHAnsi"/>
                <w:color w:val="FFFFFF" w:themeColor="background1"/>
                <w:sz w:val="22"/>
                <w:szCs w:val="22"/>
              </w:rPr>
            </w:pPr>
            <w:r w:rsidRPr="006E09E8">
              <w:rPr>
                <w:rFonts w:asciiTheme="minorHAnsi" w:hAnsiTheme="minorHAnsi" w:cstheme="minorHAnsi"/>
                <w:color w:val="FFFFFF" w:themeColor="background1"/>
                <w:sz w:val="22"/>
                <w:szCs w:val="22"/>
              </w:rPr>
              <w:t>Femmes</w:t>
            </w:r>
          </w:p>
        </w:tc>
        <w:tc>
          <w:tcPr>
            <w:tcW w:w="2205" w:type="dxa"/>
            <w:hideMark/>
          </w:tcPr>
          <w:p w14:paraId="04153E99" w14:textId="2686FDDE"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52</w:t>
            </w:r>
            <w:r w:rsidR="00CA16F1">
              <w:rPr>
                <w:rFonts w:asciiTheme="minorHAnsi" w:hAnsiTheme="minorHAnsi" w:cstheme="minorHAnsi"/>
                <w:sz w:val="22"/>
                <w:szCs w:val="22"/>
              </w:rPr>
              <w:t>,</w:t>
            </w:r>
            <w:r w:rsidRPr="006E09E8">
              <w:rPr>
                <w:rFonts w:asciiTheme="minorHAnsi" w:hAnsiTheme="minorHAnsi" w:cstheme="minorHAnsi"/>
                <w:sz w:val="22"/>
                <w:szCs w:val="22"/>
              </w:rPr>
              <w:t>7</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828" w:type="dxa"/>
          </w:tcPr>
          <w:p w14:paraId="3E0F1E97" w14:textId="0BE00149"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48</w:t>
            </w:r>
            <w:r w:rsidR="00CA16F1">
              <w:rPr>
                <w:rFonts w:asciiTheme="minorHAnsi" w:hAnsiTheme="minorHAnsi" w:cstheme="minorHAnsi"/>
                <w:sz w:val="22"/>
                <w:szCs w:val="22"/>
              </w:rPr>
              <w:t>,</w:t>
            </w:r>
            <w:r w:rsidRPr="006E09E8">
              <w:rPr>
                <w:rFonts w:asciiTheme="minorHAnsi" w:hAnsiTheme="minorHAnsi" w:cstheme="minorHAnsi"/>
                <w:sz w:val="22"/>
                <w:szCs w:val="22"/>
              </w:rPr>
              <w:t>3</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998" w:type="dxa"/>
          </w:tcPr>
          <w:p w14:paraId="65156ABC" w14:textId="2F12B52B"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47</w:t>
            </w:r>
            <w:r w:rsidR="00CA16F1">
              <w:rPr>
                <w:rFonts w:asciiTheme="minorHAnsi" w:hAnsiTheme="minorHAnsi" w:cstheme="minorHAnsi"/>
                <w:sz w:val="22"/>
                <w:szCs w:val="22"/>
              </w:rPr>
              <w:t>,</w:t>
            </w:r>
            <w:r w:rsidRPr="006E09E8">
              <w:rPr>
                <w:rFonts w:asciiTheme="minorHAnsi" w:hAnsiTheme="minorHAnsi" w:cstheme="minorHAnsi"/>
                <w:sz w:val="22"/>
                <w:szCs w:val="22"/>
              </w:rPr>
              <w:t>7</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2127" w:type="dxa"/>
          </w:tcPr>
          <w:p w14:paraId="01AC8D03" w14:textId="1BAB30AE"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54</w:t>
            </w:r>
            <w:r w:rsidR="00CA16F1">
              <w:rPr>
                <w:rFonts w:asciiTheme="minorHAnsi" w:hAnsiTheme="minorHAnsi" w:cstheme="minorHAnsi"/>
                <w:sz w:val="22"/>
                <w:szCs w:val="22"/>
              </w:rPr>
              <w:t>,</w:t>
            </w:r>
            <w:r w:rsidRPr="006E09E8">
              <w:rPr>
                <w:rFonts w:asciiTheme="minorHAnsi" w:hAnsiTheme="minorHAnsi" w:cstheme="minorHAnsi"/>
                <w:sz w:val="22"/>
                <w:szCs w:val="22"/>
              </w:rPr>
              <w:t>8</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r>
      <w:tr w:rsidR="009D0FF2" w:rsidRPr="006E09E8" w14:paraId="697D134D" w14:textId="77777777" w:rsidTr="006E09E8">
        <w:trPr>
          <w:cantSplit/>
          <w:tblHeader/>
          <w:jc w:val="center"/>
        </w:trPr>
        <w:tc>
          <w:tcPr>
            <w:tcW w:w="2048" w:type="dxa"/>
            <w:shd w:val="clear" w:color="auto" w:fill="54575A" w:themeFill="text1"/>
            <w:hideMark/>
          </w:tcPr>
          <w:p w14:paraId="47CB2A40" w14:textId="6B45B7FC" w:rsidR="009D0FF2" w:rsidRPr="006E09E8" w:rsidRDefault="009D0FF2" w:rsidP="009D0FF2">
            <w:pPr>
              <w:rPr>
                <w:rFonts w:asciiTheme="minorHAnsi" w:hAnsiTheme="minorHAnsi" w:cstheme="minorHAnsi"/>
                <w:color w:val="FFFFFF" w:themeColor="background1"/>
                <w:sz w:val="22"/>
                <w:szCs w:val="22"/>
              </w:rPr>
            </w:pPr>
            <w:r w:rsidRPr="006E09E8">
              <w:rPr>
                <w:rFonts w:asciiTheme="minorHAnsi" w:hAnsiTheme="minorHAnsi" w:cstheme="minorHAnsi"/>
                <w:color w:val="FFFFFF" w:themeColor="background1"/>
                <w:sz w:val="22"/>
                <w:szCs w:val="22"/>
              </w:rPr>
              <w:t>Autochtones</w:t>
            </w:r>
          </w:p>
        </w:tc>
        <w:tc>
          <w:tcPr>
            <w:tcW w:w="2205" w:type="dxa"/>
            <w:hideMark/>
          </w:tcPr>
          <w:p w14:paraId="5820B077" w14:textId="77C26FFF"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4</w:t>
            </w:r>
            <w:r w:rsidR="00CA16F1">
              <w:rPr>
                <w:rFonts w:asciiTheme="minorHAnsi" w:hAnsiTheme="minorHAnsi" w:cstheme="minorHAnsi"/>
                <w:sz w:val="22"/>
                <w:szCs w:val="22"/>
              </w:rPr>
              <w:t>,</w:t>
            </w:r>
            <w:r w:rsidRPr="006E09E8">
              <w:rPr>
                <w:rFonts w:asciiTheme="minorHAnsi" w:hAnsiTheme="minorHAnsi" w:cstheme="minorHAnsi"/>
                <w:sz w:val="22"/>
                <w:szCs w:val="22"/>
              </w:rPr>
              <w:t>0</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828" w:type="dxa"/>
          </w:tcPr>
          <w:p w14:paraId="791EAF8D" w14:textId="6603BA8B"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6</w:t>
            </w:r>
            <w:r w:rsidR="00CA16F1">
              <w:rPr>
                <w:rFonts w:asciiTheme="minorHAnsi" w:hAnsiTheme="minorHAnsi" w:cstheme="minorHAnsi"/>
                <w:sz w:val="22"/>
                <w:szCs w:val="22"/>
              </w:rPr>
              <w:t>,</w:t>
            </w:r>
            <w:r w:rsidRPr="006E09E8">
              <w:rPr>
                <w:rFonts w:asciiTheme="minorHAnsi" w:hAnsiTheme="minorHAnsi" w:cstheme="minorHAnsi"/>
                <w:sz w:val="22"/>
                <w:szCs w:val="22"/>
              </w:rPr>
              <w:t>0</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998" w:type="dxa"/>
          </w:tcPr>
          <w:p w14:paraId="2941AAC3" w14:textId="1C019A28"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w:t>
            </w:r>
            <w:r w:rsidR="00CA16F1">
              <w:rPr>
                <w:rFonts w:asciiTheme="minorHAnsi" w:hAnsiTheme="minorHAnsi" w:cstheme="minorHAnsi"/>
                <w:sz w:val="22"/>
                <w:szCs w:val="22"/>
              </w:rPr>
              <w:t>,</w:t>
            </w:r>
            <w:r w:rsidRPr="006E09E8">
              <w:rPr>
                <w:rFonts w:asciiTheme="minorHAnsi" w:hAnsiTheme="minorHAnsi" w:cstheme="minorHAnsi"/>
                <w:sz w:val="22"/>
                <w:szCs w:val="22"/>
              </w:rPr>
              <w:t>8</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2127" w:type="dxa"/>
          </w:tcPr>
          <w:p w14:paraId="5740BC1A" w14:textId="5F48A898"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w:t>
            </w:r>
            <w:r w:rsidR="00CA16F1">
              <w:rPr>
                <w:rFonts w:asciiTheme="minorHAnsi" w:hAnsiTheme="minorHAnsi" w:cstheme="minorHAnsi"/>
                <w:sz w:val="22"/>
                <w:szCs w:val="22"/>
              </w:rPr>
              <w:t>,</w:t>
            </w:r>
            <w:r w:rsidRPr="006E09E8">
              <w:rPr>
                <w:rFonts w:asciiTheme="minorHAnsi" w:hAnsiTheme="minorHAnsi" w:cstheme="minorHAnsi"/>
                <w:sz w:val="22"/>
                <w:szCs w:val="22"/>
              </w:rPr>
              <w:t>1</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r>
      <w:tr w:rsidR="009D0FF2" w:rsidRPr="006E09E8" w14:paraId="4CBAE82A" w14:textId="77777777" w:rsidTr="006E09E8">
        <w:trPr>
          <w:cantSplit/>
          <w:trHeight w:val="598"/>
          <w:tblHeader/>
          <w:jc w:val="center"/>
        </w:trPr>
        <w:tc>
          <w:tcPr>
            <w:tcW w:w="2048" w:type="dxa"/>
            <w:shd w:val="clear" w:color="auto" w:fill="54575A" w:themeFill="text1"/>
            <w:hideMark/>
          </w:tcPr>
          <w:p w14:paraId="7E5A535A" w14:textId="3FC044F2" w:rsidR="009D0FF2" w:rsidRPr="006E09E8" w:rsidRDefault="009D0FF2" w:rsidP="009D0FF2">
            <w:pPr>
              <w:rPr>
                <w:rFonts w:asciiTheme="minorHAnsi" w:hAnsiTheme="minorHAnsi" w:cstheme="minorHAnsi"/>
                <w:color w:val="FFFFFF" w:themeColor="background1"/>
                <w:sz w:val="22"/>
                <w:szCs w:val="22"/>
              </w:rPr>
            </w:pPr>
            <w:r w:rsidRPr="006E09E8">
              <w:rPr>
                <w:rFonts w:asciiTheme="minorHAnsi" w:hAnsiTheme="minorHAnsi" w:cstheme="minorHAnsi"/>
                <w:color w:val="FFFFFF" w:themeColor="background1"/>
                <w:sz w:val="22"/>
                <w:szCs w:val="22"/>
              </w:rPr>
              <w:t>Personnes handicapées</w:t>
            </w:r>
          </w:p>
        </w:tc>
        <w:tc>
          <w:tcPr>
            <w:tcW w:w="2205" w:type="dxa"/>
            <w:hideMark/>
          </w:tcPr>
          <w:p w14:paraId="308001B9" w14:textId="78E9AB8F"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7</w:t>
            </w:r>
            <w:r w:rsidR="00CA16F1">
              <w:rPr>
                <w:rFonts w:asciiTheme="minorHAnsi" w:hAnsiTheme="minorHAnsi" w:cstheme="minorHAnsi"/>
                <w:sz w:val="22"/>
                <w:szCs w:val="22"/>
              </w:rPr>
              <w:t>,</w:t>
            </w:r>
            <w:r w:rsidRPr="006E09E8">
              <w:rPr>
                <w:rFonts w:asciiTheme="minorHAnsi" w:hAnsiTheme="minorHAnsi" w:cstheme="minorHAnsi"/>
                <w:sz w:val="22"/>
                <w:szCs w:val="22"/>
              </w:rPr>
              <w:t>8</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828" w:type="dxa"/>
          </w:tcPr>
          <w:p w14:paraId="39CEE8C7" w14:textId="162F4BFE"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4</w:t>
            </w:r>
            <w:r w:rsidR="00CA16F1">
              <w:rPr>
                <w:rFonts w:asciiTheme="minorHAnsi" w:hAnsiTheme="minorHAnsi" w:cstheme="minorHAnsi"/>
                <w:sz w:val="22"/>
                <w:szCs w:val="22"/>
              </w:rPr>
              <w:t>,</w:t>
            </w:r>
            <w:r w:rsidRPr="006E09E8">
              <w:rPr>
                <w:rFonts w:asciiTheme="minorHAnsi" w:hAnsiTheme="minorHAnsi" w:cstheme="minorHAnsi"/>
                <w:sz w:val="22"/>
                <w:szCs w:val="22"/>
              </w:rPr>
              <w:t>3</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998" w:type="dxa"/>
          </w:tcPr>
          <w:p w14:paraId="51C4FA93" w14:textId="4C9BCB57"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w:t>
            </w:r>
            <w:r w:rsidR="00CA16F1">
              <w:rPr>
                <w:rFonts w:asciiTheme="minorHAnsi" w:hAnsiTheme="minorHAnsi" w:cstheme="minorHAnsi"/>
                <w:sz w:val="22"/>
                <w:szCs w:val="22"/>
              </w:rPr>
              <w:t>,</w:t>
            </w:r>
            <w:r w:rsidRPr="006E09E8">
              <w:rPr>
                <w:rFonts w:asciiTheme="minorHAnsi" w:hAnsiTheme="minorHAnsi" w:cstheme="minorHAnsi"/>
                <w:sz w:val="22"/>
                <w:szCs w:val="22"/>
              </w:rPr>
              <w:t>8</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2127" w:type="dxa"/>
          </w:tcPr>
          <w:p w14:paraId="0CCDC2E8" w14:textId="0F47BB9D"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5</w:t>
            </w:r>
            <w:r w:rsidR="00CA16F1">
              <w:rPr>
                <w:rFonts w:asciiTheme="minorHAnsi" w:hAnsiTheme="minorHAnsi" w:cstheme="minorHAnsi"/>
                <w:sz w:val="22"/>
                <w:szCs w:val="22"/>
              </w:rPr>
              <w:t>,</w:t>
            </w:r>
            <w:r w:rsidRPr="006E09E8">
              <w:rPr>
                <w:rFonts w:asciiTheme="minorHAnsi" w:hAnsiTheme="minorHAnsi" w:cstheme="minorHAnsi"/>
                <w:sz w:val="22"/>
                <w:szCs w:val="22"/>
              </w:rPr>
              <w:t>2</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r>
      <w:tr w:rsidR="009D0FF2" w:rsidRPr="006E09E8" w14:paraId="35EC3092" w14:textId="77777777" w:rsidTr="006E09E8">
        <w:trPr>
          <w:cantSplit/>
          <w:tblHeader/>
          <w:jc w:val="center"/>
        </w:trPr>
        <w:tc>
          <w:tcPr>
            <w:tcW w:w="2048" w:type="dxa"/>
            <w:shd w:val="clear" w:color="auto" w:fill="54575A" w:themeFill="text1"/>
            <w:hideMark/>
          </w:tcPr>
          <w:p w14:paraId="396981B4" w14:textId="7F764D71" w:rsidR="009D0FF2" w:rsidRPr="006E09E8" w:rsidRDefault="009D0FF2" w:rsidP="009D0FF2">
            <w:pPr>
              <w:rPr>
                <w:rFonts w:asciiTheme="minorHAnsi" w:hAnsiTheme="minorHAnsi" w:cstheme="minorHAnsi"/>
                <w:color w:val="FFFFFF" w:themeColor="background1"/>
                <w:sz w:val="22"/>
                <w:szCs w:val="22"/>
              </w:rPr>
            </w:pPr>
            <w:r w:rsidRPr="006E09E8">
              <w:rPr>
                <w:rFonts w:asciiTheme="minorHAnsi" w:hAnsiTheme="minorHAnsi" w:cstheme="minorHAnsi"/>
                <w:color w:val="FFFFFF" w:themeColor="background1"/>
                <w:sz w:val="22"/>
                <w:szCs w:val="22"/>
              </w:rPr>
              <w:t>Membres de minorités visibles</w:t>
            </w:r>
          </w:p>
        </w:tc>
        <w:tc>
          <w:tcPr>
            <w:tcW w:w="2205" w:type="dxa"/>
            <w:hideMark/>
          </w:tcPr>
          <w:p w14:paraId="1FA1A631" w14:textId="1ABBA1A0"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15</w:t>
            </w:r>
            <w:r w:rsidR="00CA16F1">
              <w:rPr>
                <w:rFonts w:asciiTheme="minorHAnsi" w:hAnsiTheme="minorHAnsi" w:cstheme="minorHAnsi"/>
                <w:sz w:val="22"/>
                <w:szCs w:val="22"/>
              </w:rPr>
              <w:t>,</w:t>
            </w:r>
            <w:r w:rsidRPr="006E09E8">
              <w:rPr>
                <w:rFonts w:asciiTheme="minorHAnsi" w:hAnsiTheme="minorHAnsi" w:cstheme="minorHAnsi"/>
                <w:sz w:val="22"/>
                <w:szCs w:val="22"/>
              </w:rPr>
              <w:t>3</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828" w:type="dxa"/>
          </w:tcPr>
          <w:p w14:paraId="17716A70" w14:textId="535D4B45"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24</w:t>
            </w:r>
            <w:r w:rsidR="00CA16F1">
              <w:rPr>
                <w:rFonts w:asciiTheme="minorHAnsi" w:hAnsiTheme="minorHAnsi" w:cstheme="minorHAnsi"/>
                <w:sz w:val="22"/>
                <w:szCs w:val="22"/>
              </w:rPr>
              <w:t>,</w:t>
            </w:r>
            <w:r w:rsidRPr="006E09E8">
              <w:rPr>
                <w:rFonts w:asciiTheme="minorHAnsi" w:hAnsiTheme="minorHAnsi" w:cstheme="minorHAnsi"/>
                <w:sz w:val="22"/>
                <w:szCs w:val="22"/>
              </w:rPr>
              <w:t>2</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1998" w:type="dxa"/>
          </w:tcPr>
          <w:p w14:paraId="750D0CD9" w14:textId="6E8D9CDF"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22</w:t>
            </w:r>
            <w:r w:rsidR="00CA16F1">
              <w:rPr>
                <w:rFonts w:asciiTheme="minorHAnsi" w:hAnsiTheme="minorHAnsi" w:cstheme="minorHAnsi"/>
                <w:sz w:val="22"/>
                <w:szCs w:val="22"/>
              </w:rPr>
              <w:t>,</w:t>
            </w:r>
            <w:r w:rsidRPr="006E09E8">
              <w:rPr>
                <w:rFonts w:asciiTheme="minorHAnsi" w:hAnsiTheme="minorHAnsi" w:cstheme="minorHAnsi"/>
                <w:sz w:val="22"/>
                <w:szCs w:val="22"/>
              </w:rPr>
              <w:t>9</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c>
          <w:tcPr>
            <w:tcW w:w="2127" w:type="dxa"/>
          </w:tcPr>
          <w:p w14:paraId="10B2C996" w14:textId="511585F6" w:rsidR="009D0FF2" w:rsidRPr="006E09E8" w:rsidRDefault="009D0FF2" w:rsidP="006E09E8">
            <w:pPr>
              <w:jc w:val="center"/>
              <w:rPr>
                <w:rFonts w:asciiTheme="minorHAnsi" w:hAnsiTheme="minorHAnsi" w:cstheme="minorHAnsi"/>
                <w:sz w:val="22"/>
                <w:szCs w:val="22"/>
              </w:rPr>
            </w:pPr>
            <w:r w:rsidRPr="006E09E8">
              <w:rPr>
                <w:rFonts w:asciiTheme="minorHAnsi" w:hAnsiTheme="minorHAnsi" w:cstheme="minorHAnsi"/>
                <w:sz w:val="22"/>
                <w:szCs w:val="22"/>
              </w:rPr>
              <w:t>16</w:t>
            </w:r>
            <w:r w:rsidR="00CA16F1">
              <w:rPr>
                <w:rFonts w:asciiTheme="minorHAnsi" w:hAnsiTheme="minorHAnsi" w:cstheme="minorHAnsi"/>
                <w:sz w:val="22"/>
                <w:szCs w:val="22"/>
              </w:rPr>
              <w:t>,</w:t>
            </w:r>
            <w:r w:rsidRPr="006E09E8">
              <w:rPr>
                <w:rFonts w:asciiTheme="minorHAnsi" w:hAnsiTheme="minorHAnsi" w:cstheme="minorHAnsi"/>
                <w:sz w:val="22"/>
                <w:szCs w:val="22"/>
              </w:rPr>
              <w:t>7</w:t>
            </w:r>
            <w:r w:rsidR="00D80A6F" w:rsidRPr="006E09E8">
              <w:rPr>
                <w:rFonts w:asciiTheme="minorHAnsi" w:hAnsiTheme="minorHAnsi" w:cstheme="minorHAnsi"/>
                <w:sz w:val="22"/>
                <w:szCs w:val="22"/>
              </w:rPr>
              <w:t xml:space="preserve"> </w:t>
            </w:r>
            <w:r w:rsidRPr="006E09E8">
              <w:rPr>
                <w:rFonts w:asciiTheme="minorHAnsi" w:hAnsiTheme="minorHAnsi" w:cstheme="minorHAnsi"/>
                <w:sz w:val="22"/>
                <w:szCs w:val="22"/>
              </w:rPr>
              <w:t>%</w:t>
            </w:r>
          </w:p>
        </w:tc>
      </w:tr>
    </w:tbl>
    <w:p w14:paraId="1994EAC5" w14:textId="77777777" w:rsidR="00755B63" w:rsidRPr="006E09E8" w:rsidRDefault="00755B63" w:rsidP="002944FE">
      <w:pPr>
        <w:rPr>
          <w:rFonts w:asciiTheme="minorHAnsi" w:hAnsiTheme="minorHAnsi" w:cstheme="minorHAnsi"/>
          <w:sz w:val="22"/>
          <w:szCs w:val="22"/>
          <w:lang w:val="en-CA"/>
        </w:rPr>
      </w:pPr>
      <w:r w:rsidRPr="006E09E8">
        <w:rPr>
          <w:rFonts w:asciiTheme="minorHAnsi" w:hAnsiTheme="minorHAnsi" w:cstheme="minorHAnsi"/>
          <w:sz w:val="22"/>
          <w:szCs w:val="22"/>
          <w:lang w:val="en-CA"/>
        </w:rPr>
        <w:t>Source: Treasury Board of Canada Secretariat</w:t>
      </w:r>
    </w:p>
    <w:p w14:paraId="61BFC02A" w14:textId="61FB57E6" w:rsidR="00B329AE" w:rsidRPr="006E09E8" w:rsidRDefault="00B329AE" w:rsidP="006E09E8">
      <w:pPr>
        <w:spacing w:after="120"/>
        <w:rPr>
          <w:rFonts w:asciiTheme="minorHAnsi" w:hAnsiTheme="minorHAnsi" w:cstheme="minorHAnsi"/>
          <w:color w:val="000000"/>
          <w:sz w:val="22"/>
          <w:szCs w:val="22"/>
        </w:rPr>
      </w:pPr>
      <w:r w:rsidRPr="006E09E8">
        <w:rPr>
          <w:rFonts w:asciiTheme="minorHAnsi" w:hAnsiTheme="minorHAnsi" w:cstheme="minorHAnsi"/>
          <w:color w:val="000000"/>
          <w:sz w:val="22"/>
          <w:szCs w:val="22"/>
        </w:rPr>
        <w:t>* D'après le recensement de 2016 et l'Enquête sur l'incapacité de 2017</w:t>
      </w:r>
    </w:p>
    <w:p w14:paraId="225EB089" w14:textId="3ADA4372" w:rsidR="001C228D" w:rsidRPr="006E09E8" w:rsidRDefault="001C228D" w:rsidP="001C228D">
      <w:pPr>
        <w:rPr>
          <w:rFonts w:asciiTheme="minorHAnsi" w:hAnsiTheme="minorHAnsi" w:cstheme="minorHAnsi"/>
          <w:sz w:val="22"/>
          <w:szCs w:val="22"/>
        </w:rPr>
      </w:pPr>
      <w:r w:rsidRPr="006E09E8">
        <w:rPr>
          <w:rFonts w:asciiTheme="minorHAnsi" w:hAnsiTheme="minorHAnsi" w:cstheme="minorHAnsi"/>
          <w:sz w:val="22"/>
          <w:szCs w:val="22"/>
        </w:rPr>
        <w:t xml:space="preserve">Le greffier du Conseil privé a demandé aux hauts dirigeants de s'engager à apporter des changements mesurables en ce qui concerne la diversité et l'inclusion au sein de la fonction publique, ce qui inclut la création de plans de dotation pour combler les écarts de représentation des groupes visés par </w:t>
      </w:r>
      <w:r w:rsidR="0057579F">
        <w:rPr>
          <w:rFonts w:asciiTheme="minorHAnsi" w:hAnsiTheme="minorHAnsi" w:cstheme="minorHAnsi"/>
          <w:sz w:val="22"/>
          <w:szCs w:val="22"/>
        </w:rPr>
        <w:t>l’EE</w:t>
      </w:r>
      <w:r w:rsidRPr="006E09E8">
        <w:rPr>
          <w:rFonts w:asciiTheme="minorHAnsi" w:hAnsiTheme="minorHAnsi" w:cstheme="minorHAnsi"/>
          <w:sz w:val="22"/>
          <w:szCs w:val="22"/>
        </w:rPr>
        <w:t xml:space="preserve">. Les données ici-bas mettant en évidence l'écart actuel de représentation des personnes en situation de handicap </w:t>
      </w:r>
      <w:r w:rsidR="0057579F">
        <w:rPr>
          <w:rFonts w:asciiTheme="minorHAnsi" w:hAnsiTheme="minorHAnsi" w:cstheme="minorHAnsi"/>
          <w:sz w:val="22"/>
          <w:szCs w:val="22"/>
        </w:rPr>
        <w:t>à la CCG</w:t>
      </w:r>
      <w:r w:rsidRPr="006E09E8">
        <w:rPr>
          <w:rFonts w:asciiTheme="minorHAnsi" w:hAnsiTheme="minorHAnsi" w:cstheme="minorHAnsi"/>
          <w:sz w:val="22"/>
          <w:szCs w:val="22"/>
        </w:rPr>
        <w:t xml:space="preserve"> et le niveau estimé de recrutement nécessaire pour combler cet écart dans les cinq prochaines années, en tenant compte de facteurs tels que l'attrition.</w:t>
      </w:r>
    </w:p>
    <w:p w14:paraId="19D0FA73" w14:textId="77777777" w:rsidR="001C228D" w:rsidRPr="006E09E8" w:rsidRDefault="001C228D" w:rsidP="004E01DF">
      <w:pPr>
        <w:pStyle w:val="ListParagraph"/>
        <w:numPr>
          <w:ilvl w:val="0"/>
          <w:numId w:val="14"/>
        </w:numPr>
        <w:spacing w:after="0"/>
        <w:rPr>
          <w:rFonts w:asciiTheme="minorHAnsi" w:hAnsiTheme="minorHAnsi" w:cstheme="minorHAnsi"/>
          <w:sz w:val="22"/>
          <w:szCs w:val="22"/>
        </w:rPr>
      </w:pPr>
      <w:r w:rsidRPr="006E09E8">
        <w:rPr>
          <w:rFonts w:asciiTheme="minorHAnsi" w:hAnsiTheme="minorHAnsi" w:cstheme="minorHAnsi"/>
          <w:sz w:val="22"/>
          <w:szCs w:val="22"/>
        </w:rPr>
        <w:t xml:space="preserve">Représentation des personnes en situation de handicap : </w:t>
      </w:r>
      <w:r w:rsidRPr="006E09E8">
        <w:rPr>
          <w:rFonts w:asciiTheme="minorHAnsi" w:hAnsiTheme="minorHAnsi" w:cstheme="minorHAnsi"/>
          <w:noProof/>
          <w:sz w:val="22"/>
          <w:szCs w:val="22"/>
        </w:rPr>
        <w:t>4,3 %</w:t>
      </w:r>
    </w:p>
    <w:p w14:paraId="0124C454" w14:textId="77777777" w:rsidR="001C228D" w:rsidRPr="006E09E8" w:rsidRDefault="001C228D" w:rsidP="004E01DF">
      <w:pPr>
        <w:pStyle w:val="ListParagraph"/>
        <w:numPr>
          <w:ilvl w:val="0"/>
          <w:numId w:val="14"/>
        </w:numPr>
        <w:spacing w:after="0"/>
        <w:rPr>
          <w:rFonts w:asciiTheme="minorHAnsi" w:hAnsiTheme="minorHAnsi" w:cstheme="minorHAnsi"/>
          <w:sz w:val="22"/>
          <w:szCs w:val="22"/>
        </w:rPr>
      </w:pPr>
      <w:r w:rsidRPr="006E09E8">
        <w:rPr>
          <w:rFonts w:asciiTheme="minorHAnsi" w:hAnsiTheme="minorHAnsi" w:cstheme="minorHAnsi"/>
          <w:sz w:val="22"/>
          <w:szCs w:val="22"/>
        </w:rPr>
        <w:lastRenderedPageBreak/>
        <w:t xml:space="preserve">Disponibilité au sein de la population active (DPA) des personnes en situation de handicap (basé sur le recensement de 2016 et l'enquête sur l’incapacité de 2017) : </w:t>
      </w:r>
      <w:r w:rsidRPr="006E09E8">
        <w:rPr>
          <w:rFonts w:asciiTheme="minorHAnsi" w:hAnsiTheme="minorHAnsi" w:cstheme="minorHAnsi"/>
          <w:noProof/>
          <w:sz w:val="22"/>
          <w:szCs w:val="22"/>
        </w:rPr>
        <w:t>7,8 %</w:t>
      </w:r>
    </w:p>
    <w:p w14:paraId="7A8C86FB" w14:textId="77777777" w:rsidR="001C228D" w:rsidRPr="006E09E8" w:rsidRDefault="001C228D" w:rsidP="004E01DF">
      <w:pPr>
        <w:pStyle w:val="ListParagraph"/>
        <w:numPr>
          <w:ilvl w:val="0"/>
          <w:numId w:val="14"/>
        </w:numPr>
        <w:spacing w:after="0"/>
        <w:rPr>
          <w:rFonts w:asciiTheme="minorHAnsi" w:hAnsiTheme="minorHAnsi" w:cstheme="minorHAnsi"/>
          <w:sz w:val="22"/>
          <w:szCs w:val="22"/>
        </w:rPr>
      </w:pPr>
      <w:r w:rsidRPr="006E09E8">
        <w:rPr>
          <w:rFonts w:asciiTheme="minorHAnsi" w:hAnsiTheme="minorHAnsi" w:cstheme="minorHAnsi"/>
          <w:sz w:val="22"/>
          <w:szCs w:val="22"/>
        </w:rPr>
        <w:t xml:space="preserve">Écart entre la DPA et la représentation : </w:t>
      </w:r>
      <w:r w:rsidRPr="006E09E8">
        <w:rPr>
          <w:rFonts w:asciiTheme="minorHAnsi" w:hAnsiTheme="minorHAnsi" w:cstheme="minorHAnsi"/>
          <w:noProof/>
          <w:sz w:val="22"/>
          <w:szCs w:val="22"/>
        </w:rPr>
        <w:t>3,5 %</w:t>
      </w:r>
    </w:p>
    <w:p w14:paraId="687B16D5" w14:textId="77777777" w:rsidR="001C228D" w:rsidRPr="006E09E8" w:rsidRDefault="001C228D" w:rsidP="004E01DF">
      <w:pPr>
        <w:pStyle w:val="ListParagraph"/>
        <w:numPr>
          <w:ilvl w:val="0"/>
          <w:numId w:val="14"/>
        </w:numPr>
        <w:spacing w:after="0"/>
        <w:rPr>
          <w:rFonts w:asciiTheme="minorHAnsi" w:hAnsiTheme="minorHAnsi" w:cstheme="minorHAnsi"/>
          <w:sz w:val="22"/>
          <w:szCs w:val="22"/>
        </w:rPr>
      </w:pPr>
      <w:r w:rsidRPr="006E09E8">
        <w:rPr>
          <w:rFonts w:asciiTheme="minorHAnsi" w:hAnsiTheme="minorHAnsi" w:cstheme="minorHAnsi"/>
          <w:sz w:val="22"/>
          <w:szCs w:val="22"/>
        </w:rPr>
        <w:t xml:space="preserve">Combler l’écart : augmentation de la population des personnes en situation de handicap nécessaire pour atteindre le niveau de la DPA sur 5 ans : </w:t>
      </w:r>
      <w:r w:rsidRPr="006E09E8">
        <w:rPr>
          <w:rFonts w:asciiTheme="minorHAnsi" w:hAnsiTheme="minorHAnsi" w:cstheme="minorHAnsi"/>
          <w:noProof/>
          <w:sz w:val="22"/>
          <w:szCs w:val="22"/>
        </w:rPr>
        <w:t>15</w:t>
      </w:r>
    </w:p>
    <w:p w14:paraId="5FE9ACD3" w14:textId="0CD52863" w:rsidR="001C228D" w:rsidRPr="006E09E8" w:rsidRDefault="001C228D" w:rsidP="006E09E8">
      <w:pPr>
        <w:pStyle w:val="ListParagraph"/>
        <w:numPr>
          <w:ilvl w:val="0"/>
          <w:numId w:val="14"/>
        </w:numPr>
        <w:spacing w:after="120"/>
        <w:rPr>
          <w:rFonts w:asciiTheme="minorHAnsi" w:hAnsiTheme="minorHAnsi" w:cstheme="minorHAnsi"/>
          <w:sz w:val="22"/>
          <w:szCs w:val="22"/>
        </w:rPr>
      </w:pPr>
      <w:r w:rsidRPr="006E09E8">
        <w:rPr>
          <w:rFonts w:asciiTheme="minorHAnsi" w:hAnsiTheme="minorHAnsi" w:cstheme="minorHAnsi"/>
          <w:sz w:val="22"/>
          <w:szCs w:val="22"/>
        </w:rPr>
        <w:t xml:space="preserve">Combler l’écart : recrutement de personnes en situation de handicap nécessaire pour réaliser l'augmentation de la population sur 5 ans (estimation) : </w:t>
      </w:r>
      <w:r w:rsidRPr="006E09E8">
        <w:rPr>
          <w:rFonts w:asciiTheme="minorHAnsi" w:hAnsiTheme="minorHAnsi" w:cstheme="minorHAnsi"/>
          <w:noProof/>
          <w:sz w:val="22"/>
          <w:szCs w:val="22"/>
        </w:rPr>
        <w:t>27</w:t>
      </w:r>
    </w:p>
    <w:p w14:paraId="3307DEBF" w14:textId="44D503D1" w:rsidR="002944FE" w:rsidRPr="00CA16F1" w:rsidRDefault="00027BF6" w:rsidP="006E09E8">
      <w:pPr>
        <w:pStyle w:val="Heading1"/>
        <w:spacing w:after="120"/>
        <w:rPr>
          <w:rFonts w:cstheme="majorHAnsi"/>
        </w:rPr>
      </w:pPr>
      <w:r w:rsidRPr="00CA16F1">
        <w:rPr>
          <w:rFonts w:cstheme="majorHAnsi"/>
        </w:rPr>
        <w:t>Droits de priorités et vétérans</w:t>
      </w:r>
    </w:p>
    <w:p w14:paraId="222471C6" w14:textId="6D4EDD1C" w:rsidR="002944FE" w:rsidRPr="00671B35" w:rsidRDefault="001B1A72" w:rsidP="006E09E8">
      <w:pPr>
        <w:pStyle w:val="Heading2"/>
        <w:spacing w:after="120"/>
      </w:pPr>
      <w:r w:rsidRPr="00671B35">
        <w:t>Nominations de personnes bénéficiant d'un droit de priorité</w:t>
      </w:r>
    </w:p>
    <w:p w14:paraId="488504E0" w14:textId="17653BB1" w:rsidR="002944FE" w:rsidRPr="006E09E8" w:rsidRDefault="00954AC3" w:rsidP="006E09E8">
      <w:pPr>
        <w:pStyle w:val="NoSpacing"/>
        <w:spacing w:after="120"/>
        <w:rPr>
          <w:rFonts w:asciiTheme="minorHAnsi" w:hAnsiTheme="minorHAnsi" w:cstheme="minorHAnsi"/>
          <w:sz w:val="22"/>
          <w:szCs w:val="22"/>
          <w:lang w:val="fr-CA"/>
        </w:rPr>
      </w:pPr>
      <w:r w:rsidRPr="006E09E8">
        <w:rPr>
          <w:rFonts w:asciiTheme="minorHAnsi" w:hAnsiTheme="minorHAnsi" w:cstheme="minorHAnsi"/>
          <w:sz w:val="22"/>
          <w:szCs w:val="22"/>
          <w:lang w:val="fr-CA"/>
        </w:rPr>
        <w:t>Du 1</w:t>
      </w:r>
      <w:r w:rsidRPr="006E09E8">
        <w:rPr>
          <w:rFonts w:asciiTheme="minorHAnsi" w:hAnsiTheme="minorHAnsi" w:cstheme="minorHAnsi"/>
          <w:sz w:val="22"/>
          <w:szCs w:val="22"/>
          <w:vertAlign w:val="superscript"/>
          <w:lang w:val="fr-CA"/>
        </w:rPr>
        <w:t>er</w:t>
      </w:r>
      <w:r w:rsidR="003F087E" w:rsidRPr="006E09E8">
        <w:rPr>
          <w:rFonts w:asciiTheme="minorHAnsi" w:hAnsiTheme="minorHAnsi" w:cstheme="minorHAnsi"/>
          <w:sz w:val="22"/>
          <w:szCs w:val="22"/>
          <w:lang w:val="fr-CA"/>
        </w:rPr>
        <w:t> avril </w:t>
      </w:r>
      <w:r w:rsidR="009A3A08" w:rsidRPr="006E09E8">
        <w:rPr>
          <w:rFonts w:asciiTheme="minorHAnsi" w:hAnsiTheme="minorHAnsi" w:cstheme="minorHAnsi"/>
          <w:sz w:val="22"/>
          <w:szCs w:val="22"/>
          <w:lang w:val="fr-CA"/>
        </w:rPr>
        <w:t>2019 au 7</w:t>
      </w:r>
      <w:r w:rsidR="000621D3" w:rsidRPr="006E09E8">
        <w:rPr>
          <w:rFonts w:asciiTheme="minorHAnsi" w:hAnsiTheme="minorHAnsi" w:cstheme="minorHAnsi"/>
          <w:sz w:val="22"/>
          <w:szCs w:val="22"/>
          <w:lang w:val="fr-CA"/>
        </w:rPr>
        <w:t> </w:t>
      </w:r>
      <w:r w:rsidR="009A3A08" w:rsidRPr="006E09E8">
        <w:rPr>
          <w:rFonts w:asciiTheme="minorHAnsi" w:hAnsiTheme="minorHAnsi" w:cstheme="minorHAnsi"/>
          <w:sz w:val="22"/>
          <w:szCs w:val="22"/>
          <w:lang w:val="fr-CA"/>
        </w:rPr>
        <w:t>janvier</w:t>
      </w:r>
      <w:r w:rsidR="000621D3" w:rsidRPr="006E09E8">
        <w:rPr>
          <w:rFonts w:asciiTheme="minorHAnsi" w:hAnsiTheme="minorHAnsi" w:cstheme="minorHAnsi"/>
          <w:sz w:val="22"/>
          <w:szCs w:val="22"/>
          <w:lang w:val="fr-CA"/>
        </w:rPr>
        <w:t> </w:t>
      </w:r>
      <w:r w:rsidR="009A3A08" w:rsidRPr="006E09E8">
        <w:rPr>
          <w:rFonts w:asciiTheme="minorHAnsi" w:hAnsiTheme="minorHAnsi" w:cstheme="minorHAnsi"/>
          <w:sz w:val="22"/>
          <w:szCs w:val="22"/>
          <w:lang w:val="fr-CA"/>
        </w:rPr>
        <w:t>2021, la </w:t>
      </w:r>
      <w:r w:rsidRPr="006E09E8">
        <w:rPr>
          <w:rFonts w:asciiTheme="minorHAnsi" w:hAnsiTheme="minorHAnsi" w:cstheme="minorHAnsi"/>
          <w:sz w:val="22"/>
          <w:szCs w:val="22"/>
          <w:lang w:val="fr-CA"/>
        </w:rPr>
        <w:t xml:space="preserve">CCG n’a </w:t>
      </w:r>
      <w:r w:rsidR="00BE2852" w:rsidRPr="006E09E8">
        <w:rPr>
          <w:rFonts w:asciiTheme="minorHAnsi" w:hAnsiTheme="minorHAnsi" w:cstheme="minorHAnsi"/>
          <w:sz w:val="22"/>
          <w:szCs w:val="22"/>
          <w:lang w:val="fr-CA"/>
        </w:rPr>
        <w:t>nommé aucune personne bénéficiaire</w:t>
      </w:r>
      <w:r w:rsidRPr="006E09E8">
        <w:rPr>
          <w:rFonts w:asciiTheme="minorHAnsi" w:hAnsiTheme="minorHAnsi" w:cstheme="minorHAnsi"/>
          <w:sz w:val="22"/>
          <w:szCs w:val="22"/>
          <w:lang w:val="fr-CA"/>
        </w:rPr>
        <w:t xml:space="preserve"> d’un droit de priorité.</w:t>
      </w:r>
    </w:p>
    <w:p w14:paraId="00350747" w14:textId="0DEE3CD2" w:rsidR="002944FE" w:rsidRPr="00671B35" w:rsidRDefault="001B1A72" w:rsidP="006E09E8">
      <w:pPr>
        <w:pStyle w:val="Heading2"/>
        <w:spacing w:after="120"/>
      </w:pPr>
      <w:r w:rsidRPr="00671B35">
        <w:t>Nominations de personnes ayant un droit de priorité des Forces armées canadiennes (FAC)</w:t>
      </w:r>
    </w:p>
    <w:p w14:paraId="6F9D2184" w14:textId="633EDCD3" w:rsidR="002944FE" w:rsidRPr="006E09E8" w:rsidRDefault="00954AC3" w:rsidP="006E09E8">
      <w:pPr>
        <w:pStyle w:val="NoSpacing"/>
        <w:spacing w:after="120"/>
        <w:rPr>
          <w:rFonts w:asciiTheme="minorHAnsi" w:hAnsiTheme="minorHAnsi" w:cstheme="minorHAnsi"/>
          <w:sz w:val="22"/>
          <w:szCs w:val="22"/>
          <w:lang w:val="fr-CA"/>
        </w:rPr>
      </w:pPr>
      <w:r w:rsidRPr="006E09E8">
        <w:rPr>
          <w:rFonts w:asciiTheme="minorHAnsi" w:hAnsiTheme="minorHAnsi" w:cstheme="minorHAnsi"/>
          <w:sz w:val="22"/>
          <w:szCs w:val="22"/>
          <w:lang w:val="fr-CA"/>
        </w:rPr>
        <w:t>Du 1</w:t>
      </w:r>
      <w:r w:rsidRPr="006E09E8">
        <w:rPr>
          <w:rFonts w:asciiTheme="minorHAnsi" w:hAnsiTheme="minorHAnsi" w:cstheme="minorHAnsi"/>
          <w:sz w:val="22"/>
          <w:szCs w:val="22"/>
          <w:vertAlign w:val="superscript"/>
          <w:lang w:val="fr-CA"/>
        </w:rPr>
        <w:t>er</w:t>
      </w:r>
      <w:r w:rsidRPr="006E09E8">
        <w:rPr>
          <w:rFonts w:asciiTheme="minorHAnsi" w:hAnsiTheme="minorHAnsi" w:cstheme="minorHAnsi"/>
          <w:sz w:val="22"/>
          <w:szCs w:val="22"/>
          <w:lang w:val="fr-CA"/>
        </w:rPr>
        <w:t> juillet</w:t>
      </w:r>
      <w:r w:rsidR="000621D3" w:rsidRPr="006E09E8">
        <w:rPr>
          <w:rFonts w:asciiTheme="minorHAnsi" w:hAnsiTheme="minorHAnsi" w:cstheme="minorHAnsi"/>
          <w:sz w:val="22"/>
          <w:szCs w:val="22"/>
          <w:lang w:val="fr-CA"/>
        </w:rPr>
        <w:t> </w:t>
      </w:r>
      <w:r w:rsidRPr="006E09E8">
        <w:rPr>
          <w:rFonts w:asciiTheme="minorHAnsi" w:hAnsiTheme="minorHAnsi" w:cstheme="minorHAnsi"/>
          <w:sz w:val="22"/>
          <w:szCs w:val="22"/>
          <w:lang w:val="fr-CA"/>
        </w:rPr>
        <w:t xml:space="preserve">2015, soit la date d’entrée en vigueur de la </w:t>
      </w:r>
      <w:r w:rsidRPr="008F56F8">
        <w:rPr>
          <w:rStyle w:val="Emphasis"/>
          <w:rFonts w:asciiTheme="minorHAnsi" w:hAnsiTheme="minorHAnsi" w:cstheme="minorHAnsi"/>
          <w:sz w:val="22"/>
          <w:szCs w:val="18"/>
          <w:lang w:val="fr-CA"/>
        </w:rPr>
        <w:t>Loi sur l’embauche des anciens combattants</w:t>
      </w:r>
      <w:r w:rsidRPr="006E09E8">
        <w:rPr>
          <w:rFonts w:asciiTheme="minorHAnsi" w:hAnsiTheme="minorHAnsi" w:cstheme="minorHAnsi"/>
          <w:i/>
          <w:sz w:val="20"/>
          <w:lang w:val="fr-CA"/>
        </w:rPr>
        <w:t> </w:t>
      </w:r>
      <w:r w:rsidRPr="006E09E8">
        <w:rPr>
          <w:rFonts w:asciiTheme="minorHAnsi" w:hAnsiTheme="minorHAnsi" w:cstheme="minorHAnsi"/>
          <w:sz w:val="22"/>
          <w:szCs w:val="22"/>
          <w:lang w:val="fr-CA"/>
        </w:rPr>
        <w:t>(LEAC), au 7 janvier 2021, la</w:t>
      </w:r>
      <w:r w:rsidR="009A3A08" w:rsidRPr="006E09E8">
        <w:rPr>
          <w:rFonts w:asciiTheme="minorHAnsi" w:hAnsiTheme="minorHAnsi" w:cstheme="minorHAnsi"/>
          <w:sz w:val="22"/>
          <w:szCs w:val="22"/>
          <w:lang w:val="fr-CA"/>
        </w:rPr>
        <w:t> </w:t>
      </w:r>
      <w:r w:rsidRPr="006E09E8">
        <w:rPr>
          <w:rFonts w:asciiTheme="minorHAnsi" w:hAnsiTheme="minorHAnsi" w:cstheme="minorHAnsi"/>
          <w:sz w:val="22"/>
          <w:szCs w:val="22"/>
          <w:lang w:val="fr-CA"/>
        </w:rPr>
        <w:t>CCG n’a n</w:t>
      </w:r>
      <w:r w:rsidR="00BE2852" w:rsidRPr="006E09E8">
        <w:rPr>
          <w:rFonts w:asciiTheme="minorHAnsi" w:hAnsiTheme="minorHAnsi" w:cstheme="minorHAnsi"/>
          <w:sz w:val="22"/>
          <w:szCs w:val="22"/>
          <w:lang w:val="fr-CA"/>
        </w:rPr>
        <w:t>ommé aucune personne bénéficiaire</w:t>
      </w:r>
      <w:r w:rsidRPr="006E09E8">
        <w:rPr>
          <w:rFonts w:asciiTheme="minorHAnsi" w:hAnsiTheme="minorHAnsi" w:cstheme="minorHAnsi"/>
          <w:sz w:val="22"/>
          <w:szCs w:val="22"/>
          <w:lang w:val="fr-CA"/>
        </w:rPr>
        <w:t xml:space="preserve"> </w:t>
      </w:r>
      <w:r w:rsidR="00512C64" w:rsidRPr="006E09E8">
        <w:rPr>
          <w:rFonts w:asciiTheme="minorHAnsi" w:hAnsiTheme="minorHAnsi" w:cstheme="minorHAnsi"/>
          <w:sz w:val="22"/>
          <w:szCs w:val="22"/>
          <w:lang w:val="fr-CA"/>
        </w:rPr>
        <w:t xml:space="preserve">du </w:t>
      </w:r>
      <w:r w:rsidRPr="006E09E8">
        <w:rPr>
          <w:rFonts w:asciiTheme="minorHAnsi" w:hAnsiTheme="minorHAnsi" w:cstheme="minorHAnsi"/>
          <w:sz w:val="22"/>
          <w:szCs w:val="22"/>
          <w:lang w:val="fr-CA"/>
        </w:rPr>
        <w:t xml:space="preserve">droit de priorité accordé aux anciens membres des </w:t>
      </w:r>
      <w:r w:rsidR="001B1A72" w:rsidRPr="006E09E8">
        <w:rPr>
          <w:rFonts w:asciiTheme="minorHAnsi" w:hAnsiTheme="minorHAnsi" w:cstheme="minorHAnsi"/>
          <w:sz w:val="22"/>
          <w:szCs w:val="22"/>
          <w:lang w:val="fr-CA"/>
        </w:rPr>
        <w:t>FAC.</w:t>
      </w:r>
    </w:p>
    <w:p w14:paraId="15FF2DEA" w14:textId="5C69E379" w:rsidR="002944FE" w:rsidRPr="00671B35" w:rsidRDefault="001B1A72" w:rsidP="006E09E8">
      <w:pPr>
        <w:pStyle w:val="Heading2"/>
        <w:spacing w:after="120"/>
      </w:pPr>
      <w:r w:rsidRPr="00671B35">
        <w:t>Demandes d’autorisation en matière de priorités</w:t>
      </w:r>
    </w:p>
    <w:p w14:paraId="73628321" w14:textId="53F014FC" w:rsidR="00E44E87" w:rsidRDefault="00E44E87" w:rsidP="006E09E8">
      <w:pPr>
        <w:pStyle w:val="Caption"/>
        <w:keepNext/>
        <w:spacing w:after="0"/>
        <w:rPr>
          <w:rFonts w:asciiTheme="minorHAnsi" w:hAnsiTheme="minorHAnsi" w:cstheme="minorHAnsi"/>
          <w:i w:val="0"/>
          <w:iCs w:val="0"/>
          <w:color w:val="000000"/>
          <w:sz w:val="22"/>
          <w:szCs w:val="22"/>
        </w:rPr>
      </w:pPr>
      <w:r w:rsidRPr="00E44E87">
        <w:rPr>
          <w:rFonts w:asciiTheme="minorHAnsi" w:hAnsiTheme="minorHAnsi" w:cstheme="minorHAnsi"/>
          <w:i w:val="0"/>
          <w:iCs w:val="0"/>
          <w:color w:val="000000"/>
          <w:sz w:val="22"/>
          <w:szCs w:val="22"/>
        </w:rPr>
        <w:t xml:space="preserve">Du </w:t>
      </w:r>
      <w:r>
        <w:rPr>
          <w:rFonts w:asciiTheme="minorHAnsi" w:hAnsiTheme="minorHAnsi" w:cstheme="minorHAnsi"/>
          <w:i w:val="0"/>
          <w:iCs w:val="0"/>
          <w:color w:val="000000"/>
          <w:sz w:val="22"/>
          <w:szCs w:val="22"/>
        </w:rPr>
        <w:t>1</w:t>
      </w:r>
      <w:r w:rsidRPr="00E44E87">
        <w:rPr>
          <w:rFonts w:asciiTheme="minorHAnsi" w:hAnsiTheme="minorHAnsi" w:cstheme="minorHAnsi"/>
          <w:i w:val="0"/>
          <w:iCs w:val="0"/>
          <w:color w:val="000000"/>
          <w:sz w:val="22"/>
          <w:szCs w:val="22"/>
          <w:vertAlign w:val="superscript"/>
        </w:rPr>
        <w:t>er</w:t>
      </w:r>
      <w:r>
        <w:rPr>
          <w:rFonts w:asciiTheme="minorHAnsi" w:hAnsiTheme="minorHAnsi" w:cstheme="minorHAnsi"/>
          <w:i w:val="0"/>
          <w:iCs w:val="0"/>
          <w:color w:val="000000"/>
          <w:sz w:val="22"/>
          <w:szCs w:val="22"/>
        </w:rPr>
        <w:t xml:space="preserve"> </w:t>
      </w:r>
      <w:r w:rsidRPr="00E44E87">
        <w:rPr>
          <w:rFonts w:asciiTheme="minorHAnsi" w:hAnsiTheme="minorHAnsi" w:cstheme="minorHAnsi"/>
          <w:i w:val="0"/>
          <w:iCs w:val="0"/>
          <w:color w:val="000000"/>
          <w:sz w:val="22"/>
          <w:szCs w:val="22"/>
        </w:rPr>
        <w:t>avril 2019 au 7 janvier 2021, la CCG a soumis 138 demandes d'autorisation en matière de priorité</w:t>
      </w:r>
      <w:r>
        <w:rPr>
          <w:rFonts w:asciiTheme="minorHAnsi" w:hAnsiTheme="minorHAnsi" w:cstheme="minorHAnsi"/>
          <w:i w:val="0"/>
          <w:iCs w:val="0"/>
          <w:color w:val="000000"/>
          <w:sz w:val="22"/>
          <w:szCs w:val="22"/>
        </w:rPr>
        <w:t>.</w:t>
      </w:r>
    </w:p>
    <w:p w14:paraId="2889C616" w14:textId="77777777" w:rsidR="00E44E87" w:rsidRDefault="00E44E87" w:rsidP="006E09E8">
      <w:pPr>
        <w:pStyle w:val="Caption"/>
        <w:keepNext/>
        <w:spacing w:after="0"/>
        <w:rPr>
          <w:rFonts w:asciiTheme="minorHAnsi" w:hAnsiTheme="minorHAnsi" w:cstheme="minorHAnsi"/>
          <w:i w:val="0"/>
          <w:iCs w:val="0"/>
          <w:color w:val="000000"/>
        </w:rPr>
      </w:pPr>
    </w:p>
    <w:p w14:paraId="4BEF22E4" w14:textId="254D7B8E" w:rsidR="006E09E8" w:rsidRPr="006E09E8" w:rsidRDefault="006E09E8" w:rsidP="006E09E8">
      <w:pPr>
        <w:pStyle w:val="Caption"/>
        <w:keepNext/>
        <w:spacing w:after="0"/>
        <w:rPr>
          <w:rFonts w:asciiTheme="minorHAnsi" w:hAnsiTheme="minorHAnsi" w:cstheme="minorHAnsi"/>
          <w:i w:val="0"/>
          <w:iCs w:val="0"/>
          <w:color w:val="auto"/>
        </w:rPr>
      </w:pPr>
      <w:r w:rsidRPr="006E09E8">
        <w:rPr>
          <w:rFonts w:asciiTheme="minorHAnsi" w:hAnsiTheme="minorHAnsi" w:cstheme="minorHAnsi"/>
          <w:i w:val="0"/>
          <w:iCs w:val="0"/>
          <w:color w:val="auto"/>
        </w:rPr>
        <w:t xml:space="preserve">Tableau </w:t>
      </w:r>
      <w:r w:rsidRPr="006E09E8">
        <w:rPr>
          <w:rFonts w:asciiTheme="minorHAnsi" w:hAnsiTheme="minorHAnsi" w:cstheme="minorHAnsi"/>
          <w:i w:val="0"/>
          <w:iCs w:val="0"/>
          <w:color w:val="auto"/>
        </w:rPr>
        <w:fldChar w:fldCharType="begin"/>
      </w:r>
      <w:r w:rsidRPr="006E09E8">
        <w:rPr>
          <w:rFonts w:asciiTheme="minorHAnsi" w:hAnsiTheme="minorHAnsi" w:cstheme="minorHAnsi"/>
          <w:i w:val="0"/>
          <w:iCs w:val="0"/>
          <w:color w:val="auto"/>
        </w:rPr>
        <w:instrText xml:space="preserve"> SEQ Tableau \* ARABIC </w:instrText>
      </w:r>
      <w:r w:rsidRPr="006E09E8">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2</w:t>
      </w:r>
      <w:r w:rsidRPr="006E09E8">
        <w:rPr>
          <w:rFonts w:asciiTheme="minorHAnsi" w:hAnsiTheme="minorHAnsi" w:cstheme="minorHAnsi"/>
          <w:i w:val="0"/>
          <w:iCs w:val="0"/>
          <w:color w:val="auto"/>
        </w:rPr>
        <w:fldChar w:fldCharType="end"/>
      </w:r>
      <w:r w:rsidRPr="006E09E8">
        <w:rPr>
          <w:rFonts w:asciiTheme="minorHAnsi" w:hAnsiTheme="minorHAnsi" w:cstheme="minorHAnsi"/>
          <w:i w:val="0"/>
          <w:iCs w:val="0"/>
          <w:color w:val="auto"/>
        </w:rPr>
        <w:t xml:space="preserve"> - Types d’autorisation en matière de priorité</w:t>
      </w:r>
    </w:p>
    <w:tbl>
      <w:tblPr>
        <w:tblStyle w:val="TableGrid"/>
        <w:tblW w:w="10206" w:type="dxa"/>
        <w:jc w:val="center"/>
        <w:tblLook w:val="04A0" w:firstRow="1" w:lastRow="0" w:firstColumn="1" w:lastColumn="0" w:noHBand="0" w:noVBand="1"/>
        <w:tblDescription w:val="Types d’autorisation en matière de priorité"/>
      </w:tblPr>
      <w:tblGrid>
        <w:gridCol w:w="7372"/>
        <w:gridCol w:w="1339"/>
        <w:gridCol w:w="1495"/>
      </w:tblGrid>
      <w:tr w:rsidR="006E09E8" w:rsidRPr="006E09E8" w14:paraId="52B65288" w14:textId="77777777" w:rsidTr="006E09E8">
        <w:trPr>
          <w:cantSplit/>
          <w:tblHeader/>
          <w:jc w:val="center"/>
        </w:trPr>
        <w:tc>
          <w:tcPr>
            <w:tcW w:w="7372" w:type="dxa"/>
          </w:tcPr>
          <w:p w14:paraId="3B8A2777" w14:textId="264C2FE1" w:rsidR="00FD4F7D" w:rsidRPr="006E09E8" w:rsidRDefault="00FD4F7D" w:rsidP="006E09E8">
            <w:pPr>
              <w:pStyle w:val="TableTitle"/>
              <w:rPr>
                <w:rFonts w:cs="Segoe UI Semibold"/>
                <w:color w:val="auto"/>
                <w:sz w:val="22"/>
                <w:szCs w:val="22"/>
              </w:rPr>
            </w:pPr>
            <w:r w:rsidRPr="006E09E8">
              <w:rPr>
                <w:rFonts w:cs="Segoe UI Semibold"/>
                <w:color w:val="auto"/>
                <w:sz w:val="22"/>
                <w:szCs w:val="22"/>
              </w:rPr>
              <w:t>Types d’autorisation en matière de priorité</w:t>
            </w:r>
          </w:p>
        </w:tc>
        <w:tc>
          <w:tcPr>
            <w:tcW w:w="1339" w:type="dxa"/>
          </w:tcPr>
          <w:p w14:paraId="3E18CF6E" w14:textId="44DE4189" w:rsidR="00FD4F7D" w:rsidRPr="006E09E8" w:rsidRDefault="00FD4F7D" w:rsidP="006E09E8">
            <w:pPr>
              <w:pStyle w:val="TableTitle"/>
              <w:rPr>
                <w:rFonts w:cs="Segoe UI Semibold"/>
                <w:color w:val="auto"/>
                <w:sz w:val="22"/>
                <w:szCs w:val="22"/>
              </w:rPr>
            </w:pPr>
            <w:r w:rsidRPr="006E09E8">
              <w:rPr>
                <w:rFonts w:cs="Segoe UI Semibold"/>
                <w:color w:val="auto"/>
                <w:sz w:val="22"/>
                <w:szCs w:val="22"/>
              </w:rPr>
              <w:t>Nombre</w:t>
            </w:r>
          </w:p>
        </w:tc>
        <w:tc>
          <w:tcPr>
            <w:tcW w:w="1495" w:type="dxa"/>
          </w:tcPr>
          <w:p w14:paraId="58DA8893" w14:textId="106AEC64" w:rsidR="00FD4F7D" w:rsidRPr="006E09E8" w:rsidRDefault="00FD4F7D" w:rsidP="006E09E8">
            <w:pPr>
              <w:pStyle w:val="TableTitle"/>
              <w:rPr>
                <w:rFonts w:cs="Segoe UI Semibold"/>
                <w:color w:val="auto"/>
                <w:sz w:val="22"/>
                <w:szCs w:val="22"/>
              </w:rPr>
            </w:pPr>
            <w:r w:rsidRPr="006E09E8">
              <w:rPr>
                <w:rFonts w:cs="Segoe UI Semibold"/>
                <w:color w:val="auto"/>
                <w:sz w:val="22"/>
                <w:szCs w:val="22"/>
              </w:rPr>
              <w:t>Pourcentage</w:t>
            </w:r>
          </w:p>
        </w:tc>
      </w:tr>
      <w:tr w:rsidR="006E09E8" w:rsidRPr="006E09E8" w14:paraId="4C1613F5" w14:textId="77777777" w:rsidTr="006E09E8">
        <w:trPr>
          <w:cantSplit/>
          <w:trHeight w:val="978"/>
          <w:tblHeader/>
          <w:jc w:val="center"/>
        </w:trPr>
        <w:tc>
          <w:tcPr>
            <w:tcW w:w="7372" w:type="dxa"/>
          </w:tcPr>
          <w:p w14:paraId="7C0F8537" w14:textId="77777777" w:rsidR="00FD4F7D" w:rsidRPr="006E09E8" w:rsidRDefault="00FD4F7D" w:rsidP="00FD4F7D">
            <w:pPr>
              <w:rPr>
                <w:rFonts w:asciiTheme="minorHAnsi" w:hAnsiTheme="minorHAnsi" w:cstheme="minorHAnsi"/>
                <w:sz w:val="22"/>
                <w:szCs w:val="22"/>
              </w:rPr>
            </w:pPr>
            <w:r w:rsidRPr="006E09E8">
              <w:rPr>
                <w:rFonts w:asciiTheme="minorHAnsi" w:hAnsiTheme="minorHAnsi" w:cstheme="minorHAnsi"/>
                <w:sz w:val="22"/>
                <w:szCs w:val="22"/>
              </w:rPr>
              <w:t>Processus internes annoncés</w:t>
            </w:r>
          </w:p>
          <w:p w14:paraId="126A1AAD" w14:textId="77777777" w:rsidR="00FD4F7D" w:rsidRPr="006E09E8" w:rsidRDefault="00FD4F7D" w:rsidP="004E01DF">
            <w:pPr>
              <w:pStyle w:val="ListParagraph"/>
              <w:numPr>
                <w:ilvl w:val="0"/>
                <w:numId w:val="15"/>
              </w:numPr>
              <w:ind w:left="723"/>
              <w:rPr>
                <w:rFonts w:asciiTheme="minorHAnsi" w:hAnsiTheme="minorHAnsi" w:cstheme="minorHAnsi"/>
                <w:sz w:val="22"/>
                <w:szCs w:val="22"/>
              </w:rPr>
            </w:pPr>
            <w:r w:rsidRPr="006E09E8">
              <w:rPr>
                <w:rFonts w:asciiTheme="minorHAnsi" w:hAnsiTheme="minorHAnsi" w:cstheme="minorHAnsi"/>
                <w:sz w:val="22"/>
                <w:szCs w:val="22"/>
              </w:rPr>
              <w:t>Internes annoncés (22)</w:t>
            </w:r>
          </w:p>
          <w:p w14:paraId="4B465E12" w14:textId="0F037347" w:rsidR="00FD4F7D" w:rsidRPr="006E09E8" w:rsidRDefault="00FD4F7D" w:rsidP="004E01DF">
            <w:pPr>
              <w:pStyle w:val="ListParagraph"/>
              <w:numPr>
                <w:ilvl w:val="0"/>
                <w:numId w:val="15"/>
              </w:numPr>
              <w:ind w:left="723"/>
              <w:rPr>
                <w:rFonts w:asciiTheme="minorHAnsi" w:hAnsiTheme="minorHAnsi" w:cstheme="minorHAnsi"/>
                <w:sz w:val="22"/>
                <w:szCs w:val="22"/>
              </w:rPr>
            </w:pPr>
            <w:r w:rsidRPr="006E09E8">
              <w:rPr>
                <w:rFonts w:asciiTheme="minorHAnsi" w:hAnsiTheme="minorHAnsi" w:cstheme="minorHAnsi"/>
                <w:sz w:val="22"/>
                <w:szCs w:val="22"/>
              </w:rPr>
              <w:t>Nominations à partir d’un bassin de candidats qualifiés (12)</w:t>
            </w:r>
          </w:p>
        </w:tc>
        <w:tc>
          <w:tcPr>
            <w:tcW w:w="1339" w:type="dxa"/>
          </w:tcPr>
          <w:p w14:paraId="6593B3CD" w14:textId="19831B17"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34</w:t>
            </w:r>
          </w:p>
        </w:tc>
        <w:tc>
          <w:tcPr>
            <w:tcW w:w="1495" w:type="dxa"/>
          </w:tcPr>
          <w:p w14:paraId="6E65A273" w14:textId="6F199F78"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25</w:t>
            </w:r>
            <w:r w:rsidR="00D80A6F" w:rsidRPr="006E09E8">
              <w:rPr>
                <w:rFonts w:asciiTheme="minorHAnsi" w:hAnsiTheme="minorHAnsi" w:cstheme="minorHAnsi"/>
                <w:sz w:val="22"/>
                <w:szCs w:val="22"/>
                <w:lang w:val="fr-CA"/>
              </w:rPr>
              <w:t xml:space="preserve"> </w:t>
            </w:r>
            <w:r w:rsidRPr="006E09E8">
              <w:rPr>
                <w:rFonts w:asciiTheme="minorHAnsi" w:hAnsiTheme="minorHAnsi" w:cstheme="minorHAnsi"/>
                <w:sz w:val="22"/>
                <w:szCs w:val="22"/>
                <w:lang w:val="fr-CA"/>
              </w:rPr>
              <w:t>%</w:t>
            </w:r>
          </w:p>
        </w:tc>
      </w:tr>
      <w:tr w:rsidR="006E09E8" w:rsidRPr="006E09E8" w14:paraId="61F122BD" w14:textId="77777777" w:rsidTr="006E09E8">
        <w:trPr>
          <w:cantSplit/>
          <w:trHeight w:val="1202"/>
          <w:tblHeader/>
          <w:jc w:val="center"/>
        </w:trPr>
        <w:tc>
          <w:tcPr>
            <w:tcW w:w="7372" w:type="dxa"/>
          </w:tcPr>
          <w:p w14:paraId="7482C34C" w14:textId="77777777" w:rsidR="00FD4F7D" w:rsidRPr="006E09E8" w:rsidRDefault="00FD4F7D" w:rsidP="00FD4F7D">
            <w:pPr>
              <w:rPr>
                <w:rFonts w:asciiTheme="minorHAnsi" w:hAnsiTheme="minorHAnsi" w:cstheme="minorHAnsi"/>
                <w:sz w:val="22"/>
                <w:szCs w:val="22"/>
              </w:rPr>
            </w:pPr>
            <w:r w:rsidRPr="006E09E8">
              <w:rPr>
                <w:rFonts w:asciiTheme="minorHAnsi" w:hAnsiTheme="minorHAnsi" w:cstheme="minorHAnsi"/>
                <w:sz w:val="22"/>
                <w:szCs w:val="22"/>
              </w:rPr>
              <w:t>Processus externes annoncés</w:t>
            </w:r>
          </w:p>
          <w:p w14:paraId="578B27B4" w14:textId="77777777" w:rsidR="00FD4F7D" w:rsidRPr="006E09E8" w:rsidRDefault="00FD4F7D" w:rsidP="004E01DF">
            <w:pPr>
              <w:pStyle w:val="ListParagraph"/>
              <w:numPr>
                <w:ilvl w:val="0"/>
                <w:numId w:val="15"/>
              </w:numPr>
              <w:ind w:left="723"/>
              <w:rPr>
                <w:rFonts w:asciiTheme="minorHAnsi" w:hAnsiTheme="minorHAnsi" w:cstheme="minorHAnsi"/>
                <w:sz w:val="22"/>
                <w:szCs w:val="22"/>
              </w:rPr>
            </w:pPr>
            <w:r w:rsidRPr="006E09E8">
              <w:rPr>
                <w:rFonts w:asciiTheme="minorHAnsi" w:hAnsiTheme="minorHAnsi" w:cstheme="minorHAnsi"/>
                <w:sz w:val="22"/>
                <w:szCs w:val="22"/>
              </w:rPr>
              <w:t>Externes annoncés (60)</w:t>
            </w:r>
          </w:p>
          <w:p w14:paraId="5E0BD6B1" w14:textId="77777777" w:rsidR="00FD4F7D" w:rsidRPr="006E09E8" w:rsidRDefault="00FD4F7D" w:rsidP="004E01DF">
            <w:pPr>
              <w:pStyle w:val="ListParagraph"/>
              <w:numPr>
                <w:ilvl w:val="0"/>
                <w:numId w:val="15"/>
              </w:numPr>
              <w:ind w:left="723"/>
              <w:rPr>
                <w:rFonts w:asciiTheme="minorHAnsi" w:hAnsiTheme="minorHAnsi" w:cstheme="minorHAnsi"/>
                <w:sz w:val="22"/>
                <w:szCs w:val="22"/>
              </w:rPr>
            </w:pPr>
            <w:r w:rsidRPr="006E09E8">
              <w:rPr>
                <w:rFonts w:asciiTheme="minorHAnsi" w:hAnsiTheme="minorHAnsi" w:cstheme="minorHAnsi"/>
                <w:sz w:val="22"/>
                <w:szCs w:val="22"/>
              </w:rPr>
              <w:t>Nominations à partir d’un bassin de candidats qualifiés (24)</w:t>
            </w:r>
          </w:p>
          <w:p w14:paraId="0EC393E8" w14:textId="388B9625" w:rsidR="00FD4F7D" w:rsidRPr="006E09E8" w:rsidRDefault="00FD4F7D" w:rsidP="004E01DF">
            <w:pPr>
              <w:pStyle w:val="ListParagraph"/>
              <w:numPr>
                <w:ilvl w:val="0"/>
                <w:numId w:val="15"/>
              </w:numPr>
              <w:ind w:left="723"/>
              <w:rPr>
                <w:rFonts w:asciiTheme="minorHAnsi" w:hAnsiTheme="minorHAnsi" w:cstheme="minorHAnsi"/>
                <w:sz w:val="22"/>
                <w:szCs w:val="22"/>
              </w:rPr>
            </w:pPr>
            <w:r w:rsidRPr="006E09E8">
              <w:rPr>
                <w:rFonts w:asciiTheme="minorHAnsi" w:hAnsiTheme="minorHAnsi" w:cstheme="minorHAnsi"/>
                <w:sz w:val="22"/>
                <w:szCs w:val="22"/>
              </w:rPr>
              <w:t>Intégration d’étudiant - annoncé (6)</w:t>
            </w:r>
          </w:p>
        </w:tc>
        <w:tc>
          <w:tcPr>
            <w:tcW w:w="1339" w:type="dxa"/>
          </w:tcPr>
          <w:p w14:paraId="000DD997" w14:textId="45727B7E"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90</w:t>
            </w:r>
          </w:p>
        </w:tc>
        <w:tc>
          <w:tcPr>
            <w:tcW w:w="1495" w:type="dxa"/>
          </w:tcPr>
          <w:p w14:paraId="2E613313" w14:textId="2DB0B4EC"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65</w:t>
            </w:r>
            <w:r w:rsidR="00D80A6F" w:rsidRPr="006E09E8">
              <w:rPr>
                <w:rFonts w:asciiTheme="minorHAnsi" w:hAnsiTheme="minorHAnsi" w:cstheme="minorHAnsi"/>
                <w:sz w:val="22"/>
                <w:szCs w:val="22"/>
                <w:lang w:val="fr-CA"/>
              </w:rPr>
              <w:t xml:space="preserve"> </w:t>
            </w:r>
            <w:r w:rsidRPr="006E09E8">
              <w:rPr>
                <w:rFonts w:asciiTheme="minorHAnsi" w:hAnsiTheme="minorHAnsi" w:cstheme="minorHAnsi"/>
                <w:sz w:val="22"/>
                <w:szCs w:val="22"/>
                <w:lang w:val="fr-CA"/>
              </w:rPr>
              <w:t>%</w:t>
            </w:r>
          </w:p>
        </w:tc>
      </w:tr>
      <w:tr w:rsidR="006E09E8" w:rsidRPr="006E09E8" w14:paraId="709EA36F" w14:textId="77777777" w:rsidTr="006E09E8">
        <w:trPr>
          <w:cantSplit/>
          <w:trHeight w:val="313"/>
          <w:tblHeader/>
          <w:jc w:val="center"/>
        </w:trPr>
        <w:tc>
          <w:tcPr>
            <w:tcW w:w="7372" w:type="dxa"/>
          </w:tcPr>
          <w:p w14:paraId="7ACE9508" w14:textId="5AA2324F" w:rsidR="00FD4F7D" w:rsidRPr="006E09E8" w:rsidRDefault="00FD4F7D" w:rsidP="00FD4F7D">
            <w:pPr>
              <w:pStyle w:val="NoSpacing"/>
              <w:rPr>
                <w:rFonts w:asciiTheme="minorHAnsi" w:hAnsiTheme="minorHAnsi" w:cstheme="minorHAnsi"/>
                <w:sz w:val="22"/>
                <w:szCs w:val="22"/>
                <w:lang w:val="fr-CA"/>
              </w:rPr>
            </w:pPr>
            <w:r w:rsidRPr="006E09E8">
              <w:rPr>
                <w:rFonts w:asciiTheme="minorHAnsi" w:hAnsiTheme="minorHAnsi" w:cstheme="minorHAnsi"/>
                <w:sz w:val="22"/>
                <w:szCs w:val="22"/>
                <w:lang w:val="fr-CA"/>
              </w:rPr>
              <w:t>Processus internes non annoncés</w:t>
            </w:r>
          </w:p>
        </w:tc>
        <w:tc>
          <w:tcPr>
            <w:tcW w:w="1339" w:type="dxa"/>
          </w:tcPr>
          <w:p w14:paraId="62385515" w14:textId="5490A563"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8</w:t>
            </w:r>
          </w:p>
        </w:tc>
        <w:tc>
          <w:tcPr>
            <w:tcW w:w="1495" w:type="dxa"/>
          </w:tcPr>
          <w:p w14:paraId="2624E62A" w14:textId="44C75265"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6</w:t>
            </w:r>
            <w:r w:rsidR="00D80A6F" w:rsidRPr="006E09E8">
              <w:rPr>
                <w:rFonts w:asciiTheme="minorHAnsi" w:hAnsiTheme="minorHAnsi" w:cstheme="minorHAnsi"/>
                <w:sz w:val="22"/>
                <w:szCs w:val="22"/>
                <w:lang w:val="fr-CA"/>
              </w:rPr>
              <w:t xml:space="preserve"> </w:t>
            </w:r>
            <w:r w:rsidRPr="006E09E8">
              <w:rPr>
                <w:rFonts w:asciiTheme="minorHAnsi" w:hAnsiTheme="minorHAnsi" w:cstheme="minorHAnsi"/>
                <w:sz w:val="22"/>
                <w:szCs w:val="22"/>
                <w:lang w:val="fr-CA"/>
              </w:rPr>
              <w:t>%</w:t>
            </w:r>
          </w:p>
        </w:tc>
      </w:tr>
      <w:tr w:rsidR="006E09E8" w:rsidRPr="006E09E8" w14:paraId="388A2AE2" w14:textId="77777777" w:rsidTr="006E09E8">
        <w:trPr>
          <w:cantSplit/>
          <w:tblHeader/>
          <w:jc w:val="center"/>
        </w:trPr>
        <w:tc>
          <w:tcPr>
            <w:tcW w:w="7372" w:type="dxa"/>
          </w:tcPr>
          <w:p w14:paraId="10F0D2C9" w14:textId="5F78B5C7" w:rsidR="00FD4F7D" w:rsidRPr="006E09E8" w:rsidRDefault="00FD4F7D" w:rsidP="00FD4F7D">
            <w:pPr>
              <w:pStyle w:val="NoSpacing"/>
              <w:rPr>
                <w:rFonts w:asciiTheme="minorHAnsi" w:hAnsiTheme="minorHAnsi" w:cstheme="minorHAnsi"/>
                <w:sz w:val="22"/>
                <w:szCs w:val="22"/>
                <w:lang w:val="fr-CA"/>
              </w:rPr>
            </w:pPr>
            <w:r w:rsidRPr="006E09E8">
              <w:rPr>
                <w:rFonts w:asciiTheme="minorHAnsi" w:hAnsiTheme="minorHAnsi" w:cstheme="minorHAnsi"/>
                <w:sz w:val="22"/>
                <w:szCs w:val="22"/>
                <w:lang w:val="fr-CA"/>
              </w:rPr>
              <w:t>Processus externes non annoncés</w:t>
            </w:r>
          </w:p>
        </w:tc>
        <w:tc>
          <w:tcPr>
            <w:tcW w:w="1339" w:type="dxa"/>
          </w:tcPr>
          <w:p w14:paraId="01D32D6F" w14:textId="72894915"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6</w:t>
            </w:r>
          </w:p>
        </w:tc>
        <w:tc>
          <w:tcPr>
            <w:tcW w:w="1495" w:type="dxa"/>
          </w:tcPr>
          <w:p w14:paraId="1D82A895" w14:textId="19B16047"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4</w:t>
            </w:r>
            <w:r w:rsidR="00D80A6F" w:rsidRPr="006E09E8">
              <w:rPr>
                <w:rFonts w:asciiTheme="minorHAnsi" w:hAnsiTheme="minorHAnsi" w:cstheme="minorHAnsi"/>
                <w:sz w:val="22"/>
                <w:szCs w:val="22"/>
                <w:lang w:val="fr-CA"/>
              </w:rPr>
              <w:t xml:space="preserve"> </w:t>
            </w:r>
            <w:r w:rsidRPr="006E09E8">
              <w:rPr>
                <w:rFonts w:asciiTheme="minorHAnsi" w:hAnsiTheme="minorHAnsi" w:cstheme="minorHAnsi"/>
                <w:sz w:val="22"/>
                <w:szCs w:val="22"/>
                <w:lang w:val="fr-CA"/>
              </w:rPr>
              <w:t>%</w:t>
            </w:r>
          </w:p>
        </w:tc>
      </w:tr>
      <w:tr w:rsidR="006E09E8" w:rsidRPr="006E09E8" w14:paraId="7F68D1CD" w14:textId="77777777" w:rsidTr="006E09E8">
        <w:trPr>
          <w:cantSplit/>
          <w:tblHeader/>
          <w:jc w:val="center"/>
        </w:trPr>
        <w:tc>
          <w:tcPr>
            <w:tcW w:w="7372" w:type="dxa"/>
          </w:tcPr>
          <w:p w14:paraId="279BE6E9" w14:textId="0B777576" w:rsidR="00FD4F7D" w:rsidRPr="006E09E8" w:rsidRDefault="00FD4F7D" w:rsidP="00FD4F7D">
            <w:pPr>
              <w:pStyle w:val="NoSpacing"/>
              <w:rPr>
                <w:rFonts w:asciiTheme="minorHAnsi" w:hAnsiTheme="minorHAnsi" w:cstheme="minorHAnsi"/>
                <w:sz w:val="22"/>
                <w:szCs w:val="22"/>
                <w:lang w:val="fr-CA"/>
              </w:rPr>
            </w:pPr>
            <w:r w:rsidRPr="006E09E8">
              <w:rPr>
                <w:rFonts w:asciiTheme="minorHAnsi" w:hAnsiTheme="minorHAnsi" w:cstheme="minorHAnsi"/>
                <w:sz w:val="22"/>
                <w:szCs w:val="22"/>
                <w:lang w:val="fr-CA"/>
              </w:rPr>
              <w:t>Total</w:t>
            </w:r>
          </w:p>
        </w:tc>
        <w:tc>
          <w:tcPr>
            <w:tcW w:w="1339" w:type="dxa"/>
          </w:tcPr>
          <w:p w14:paraId="22F64513" w14:textId="7540141C"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fldChar w:fldCharType="begin"/>
            </w:r>
            <w:r w:rsidRPr="006E09E8">
              <w:rPr>
                <w:rFonts w:asciiTheme="minorHAnsi" w:hAnsiTheme="minorHAnsi" w:cstheme="minorHAnsi"/>
                <w:sz w:val="22"/>
                <w:szCs w:val="22"/>
                <w:lang w:val="fr-CA"/>
              </w:rPr>
              <w:instrText xml:space="preserve"> =SUM(ABOVE) </w:instrText>
            </w:r>
            <w:r w:rsidRPr="006E09E8">
              <w:rPr>
                <w:rFonts w:asciiTheme="minorHAnsi" w:hAnsiTheme="minorHAnsi" w:cstheme="minorHAnsi"/>
                <w:sz w:val="22"/>
                <w:szCs w:val="22"/>
                <w:lang w:val="fr-CA"/>
              </w:rPr>
              <w:fldChar w:fldCharType="separate"/>
            </w:r>
            <w:r w:rsidRPr="006E09E8">
              <w:rPr>
                <w:rFonts w:asciiTheme="minorHAnsi" w:hAnsiTheme="minorHAnsi" w:cstheme="minorHAnsi"/>
                <w:noProof/>
                <w:sz w:val="22"/>
                <w:szCs w:val="22"/>
                <w:lang w:val="fr-CA"/>
              </w:rPr>
              <w:t>138</w:t>
            </w:r>
            <w:r w:rsidRPr="006E09E8">
              <w:rPr>
                <w:rFonts w:asciiTheme="minorHAnsi" w:hAnsiTheme="minorHAnsi" w:cstheme="minorHAnsi"/>
                <w:sz w:val="22"/>
                <w:szCs w:val="22"/>
                <w:lang w:val="fr-CA"/>
              </w:rPr>
              <w:fldChar w:fldCharType="end"/>
            </w:r>
          </w:p>
        </w:tc>
        <w:tc>
          <w:tcPr>
            <w:tcW w:w="1495" w:type="dxa"/>
          </w:tcPr>
          <w:p w14:paraId="5CC4A7DE" w14:textId="6F11D1FA" w:rsidR="00FD4F7D" w:rsidRPr="006E09E8" w:rsidRDefault="00FD4F7D" w:rsidP="006E09E8">
            <w:pPr>
              <w:pStyle w:val="NoSpacing"/>
              <w:jc w:val="center"/>
              <w:rPr>
                <w:rFonts w:asciiTheme="minorHAnsi" w:hAnsiTheme="minorHAnsi" w:cstheme="minorHAnsi"/>
                <w:sz w:val="22"/>
                <w:szCs w:val="22"/>
                <w:lang w:val="fr-CA"/>
              </w:rPr>
            </w:pPr>
            <w:r w:rsidRPr="006E09E8">
              <w:rPr>
                <w:rFonts w:asciiTheme="minorHAnsi" w:hAnsiTheme="minorHAnsi" w:cstheme="minorHAnsi"/>
                <w:sz w:val="22"/>
                <w:szCs w:val="22"/>
                <w:lang w:val="fr-CA"/>
              </w:rPr>
              <w:t>100</w:t>
            </w:r>
            <w:r w:rsidR="00D80A6F" w:rsidRPr="006E09E8">
              <w:rPr>
                <w:rFonts w:asciiTheme="minorHAnsi" w:hAnsiTheme="minorHAnsi" w:cstheme="minorHAnsi"/>
                <w:sz w:val="22"/>
                <w:szCs w:val="22"/>
                <w:lang w:val="fr-CA"/>
              </w:rPr>
              <w:t xml:space="preserve"> </w:t>
            </w:r>
            <w:r w:rsidRPr="006E09E8">
              <w:rPr>
                <w:rFonts w:asciiTheme="minorHAnsi" w:hAnsiTheme="minorHAnsi" w:cstheme="minorHAnsi"/>
                <w:sz w:val="22"/>
                <w:szCs w:val="22"/>
                <w:lang w:val="fr-CA"/>
              </w:rPr>
              <w:t>%</w:t>
            </w:r>
          </w:p>
        </w:tc>
      </w:tr>
    </w:tbl>
    <w:p w14:paraId="3EB9AF81" w14:textId="77777777" w:rsidR="00921B2F" w:rsidRDefault="002944FE" w:rsidP="00921B2F">
      <w:pPr>
        <w:spacing w:after="120"/>
        <w:rPr>
          <w:rFonts w:asciiTheme="minorHAnsi" w:eastAsia="Calibri" w:hAnsiTheme="minorHAnsi" w:cstheme="minorHAnsi"/>
          <w:sz w:val="22"/>
          <w:szCs w:val="22"/>
        </w:rPr>
        <w:sectPr w:rsidR="00921B2F" w:rsidSect="00D85628">
          <w:pgSz w:w="12240" w:h="15840"/>
          <w:pgMar w:top="1440" w:right="1080" w:bottom="1440" w:left="1080" w:header="709" w:footer="284" w:gutter="0"/>
          <w:cols w:space="708"/>
          <w:titlePg/>
          <w:docGrid w:linePitch="360"/>
        </w:sectPr>
      </w:pPr>
      <w:r w:rsidRPr="00921B2F">
        <w:rPr>
          <w:rFonts w:asciiTheme="minorHAnsi" w:eastAsia="Calibri" w:hAnsiTheme="minorHAnsi" w:cstheme="minorHAnsi"/>
          <w:sz w:val="22"/>
          <w:szCs w:val="22"/>
        </w:rPr>
        <w:t>Source</w:t>
      </w:r>
      <w:r w:rsidR="00FD4F7D" w:rsidRPr="00921B2F">
        <w:rPr>
          <w:rFonts w:asciiTheme="minorHAnsi" w:eastAsia="Calibri" w:hAnsiTheme="minorHAnsi" w:cstheme="minorHAnsi"/>
          <w:sz w:val="22"/>
          <w:szCs w:val="22"/>
        </w:rPr>
        <w:t xml:space="preserve"> </w:t>
      </w:r>
      <w:r w:rsidRPr="00921B2F">
        <w:rPr>
          <w:rFonts w:asciiTheme="minorHAnsi" w:eastAsia="Calibri" w:hAnsiTheme="minorHAnsi" w:cstheme="minorHAnsi"/>
          <w:sz w:val="22"/>
          <w:szCs w:val="22"/>
        </w:rPr>
        <w:t xml:space="preserve">: </w:t>
      </w:r>
      <w:r w:rsidR="00FD4F7D" w:rsidRPr="00921B2F">
        <w:rPr>
          <w:rFonts w:asciiTheme="minorHAnsi" w:eastAsia="Calibri" w:hAnsiTheme="minorHAnsi" w:cstheme="minorHAnsi"/>
          <w:sz w:val="22"/>
          <w:szCs w:val="22"/>
        </w:rPr>
        <w:t>Système de gestion de l'information sur les priorités</w:t>
      </w:r>
    </w:p>
    <w:p w14:paraId="0CC3797F" w14:textId="1BCAC674" w:rsidR="002944FE" w:rsidRPr="00671B35" w:rsidRDefault="00FD4F7D" w:rsidP="00921B2F">
      <w:pPr>
        <w:pStyle w:val="Heading2"/>
        <w:spacing w:after="120"/>
      </w:pPr>
      <w:r w:rsidRPr="00671B35">
        <w:lastRenderedPageBreak/>
        <w:t>Demandes d’autorisation en matière de priorités liées à la COVID -19</w:t>
      </w:r>
    </w:p>
    <w:p w14:paraId="4B36066F" w14:textId="40167853" w:rsidR="002944FE" w:rsidRPr="00921B2F" w:rsidRDefault="00954AC3" w:rsidP="00921B2F">
      <w:pPr>
        <w:pStyle w:val="NoSpacing"/>
        <w:spacing w:after="120"/>
        <w:rPr>
          <w:rFonts w:asciiTheme="minorHAnsi" w:hAnsiTheme="minorHAnsi" w:cstheme="minorHAnsi"/>
          <w:sz w:val="22"/>
          <w:szCs w:val="22"/>
          <w:lang w:val="fr-CA"/>
        </w:rPr>
      </w:pPr>
      <w:r w:rsidRPr="00921B2F">
        <w:rPr>
          <w:rFonts w:asciiTheme="minorHAnsi" w:hAnsiTheme="minorHAnsi" w:cstheme="minorHAnsi"/>
          <w:sz w:val="22"/>
          <w:szCs w:val="22"/>
          <w:lang w:val="fr-CA"/>
        </w:rPr>
        <w:t>Depuis le 13 mars 2020, la CCG n’a soumis aucune demande d’autorisation en matière de priorité lié</w:t>
      </w:r>
      <w:r w:rsidR="009B4BC8" w:rsidRPr="00921B2F">
        <w:rPr>
          <w:rFonts w:asciiTheme="minorHAnsi" w:hAnsiTheme="minorHAnsi" w:cstheme="minorHAnsi"/>
          <w:sz w:val="22"/>
          <w:szCs w:val="22"/>
          <w:lang w:val="fr-CA"/>
        </w:rPr>
        <w:t>e</w:t>
      </w:r>
      <w:r w:rsidR="009A3A08" w:rsidRPr="00921B2F">
        <w:rPr>
          <w:rFonts w:asciiTheme="minorHAnsi" w:hAnsiTheme="minorHAnsi" w:cstheme="minorHAnsi"/>
          <w:sz w:val="22"/>
          <w:szCs w:val="22"/>
          <w:lang w:val="fr-CA"/>
        </w:rPr>
        <w:t xml:space="preserve"> à la COVID</w:t>
      </w:r>
      <w:r w:rsidR="009A3A08" w:rsidRPr="00921B2F">
        <w:rPr>
          <w:rFonts w:asciiTheme="minorHAnsi" w:hAnsiTheme="minorHAnsi" w:cstheme="minorHAnsi"/>
          <w:sz w:val="22"/>
          <w:szCs w:val="22"/>
          <w:lang w:val="fr-CA"/>
        </w:rPr>
        <w:noBreakHyphen/>
      </w:r>
      <w:r w:rsidRPr="00921B2F">
        <w:rPr>
          <w:rFonts w:asciiTheme="minorHAnsi" w:hAnsiTheme="minorHAnsi" w:cstheme="minorHAnsi"/>
          <w:sz w:val="22"/>
          <w:szCs w:val="22"/>
          <w:lang w:val="fr-CA"/>
        </w:rPr>
        <w:t>19.</w:t>
      </w:r>
    </w:p>
    <w:p w14:paraId="7C2A9ABB" w14:textId="67416120" w:rsidR="002944FE" w:rsidRPr="00671B35" w:rsidRDefault="00943AC0" w:rsidP="00921B2F">
      <w:pPr>
        <w:pStyle w:val="Heading2"/>
        <w:spacing w:after="120"/>
      </w:pPr>
      <w:r w:rsidRPr="00671B35">
        <w:t>Bénéficiaires de priorité</w:t>
      </w:r>
    </w:p>
    <w:p w14:paraId="65F7735C" w14:textId="77777777" w:rsidR="00943AC0" w:rsidRPr="00921B2F" w:rsidRDefault="00943AC0" w:rsidP="00943AC0">
      <w:pPr>
        <w:pStyle w:val="NoSpacing"/>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 xml:space="preserve">Au 11 janvier 2021, il y avait trois bénéficiaires de priorité dans le système de gestion de l’information des priorités appartenant à cette organisation. </w:t>
      </w:r>
    </w:p>
    <w:p w14:paraId="30123278" w14:textId="3AE217B7" w:rsidR="00943AC0" w:rsidRPr="00921B2F" w:rsidRDefault="00943AC0" w:rsidP="004E01DF">
      <w:pPr>
        <w:pStyle w:val="NoSpacing"/>
        <w:numPr>
          <w:ilvl w:val="0"/>
          <w:numId w:val="16"/>
        </w:numPr>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 xml:space="preserve">Un </w:t>
      </w:r>
      <w:r w:rsidR="0051103D" w:rsidRPr="0051103D">
        <w:rPr>
          <w:rFonts w:asciiTheme="minorHAnsi" w:hAnsiTheme="minorHAnsi" w:cstheme="minorHAnsi"/>
          <w:color w:val="000000"/>
          <w:sz w:val="22"/>
          <w:szCs w:val="22"/>
          <w:lang w:val="fr-CA"/>
        </w:rPr>
        <w:t xml:space="preserve">bénéficiaire de priorité à titre de fonctionnaires excédentaires </w:t>
      </w:r>
      <w:r w:rsidRPr="00921B2F">
        <w:rPr>
          <w:rFonts w:asciiTheme="minorHAnsi" w:hAnsiTheme="minorHAnsi" w:cstheme="minorHAnsi"/>
          <w:color w:val="000000"/>
          <w:sz w:val="22"/>
          <w:szCs w:val="22"/>
          <w:lang w:val="fr-CA"/>
        </w:rPr>
        <w:t>(offre d’emploi raisonnable garantie);</w:t>
      </w:r>
    </w:p>
    <w:p w14:paraId="3B20DEF4" w14:textId="5893D636" w:rsidR="00943AC0" w:rsidRPr="00921B2F" w:rsidRDefault="00943AC0" w:rsidP="004E01DF">
      <w:pPr>
        <w:pStyle w:val="NoSpacing"/>
        <w:numPr>
          <w:ilvl w:val="0"/>
          <w:numId w:val="16"/>
        </w:numPr>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Une fonctionnaire qui revient d’un congé et remplaçants de fonctionnaire en congé; et</w:t>
      </w:r>
    </w:p>
    <w:p w14:paraId="7FBB49B0" w14:textId="225D1212" w:rsidR="00943AC0" w:rsidRPr="00921B2F" w:rsidRDefault="00943AC0" w:rsidP="00921B2F">
      <w:pPr>
        <w:pStyle w:val="NoSpacing"/>
        <w:numPr>
          <w:ilvl w:val="0"/>
          <w:numId w:val="16"/>
        </w:numPr>
        <w:spacing w:after="120"/>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Une personne mise en disponibilité.</w:t>
      </w:r>
    </w:p>
    <w:p w14:paraId="0FDCA504" w14:textId="13949CF7" w:rsidR="002944FE" w:rsidRPr="00CA16F1" w:rsidRDefault="00943AC0" w:rsidP="00921B2F">
      <w:pPr>
        <w:pStyle w:val="Heading1"/>
        <w:spacing w:after="120"/>
        <w:rPr>
          <w:rFonts w:cstheme="majorHAnsi"/>
        </w:rPr>
      </w:pPr>
      <w:r w:rsidRPr="00CA16F1">
        <w:rPr>
          <w:rFonts w:cstheme="majorHAnsi"/>
        </w:rPr>
        <w:t>Impartialité de la fonction publique</w:t>
      </w:r>
    </w:p>
    <w:p w14:paraId="5F52AE80" w14:textId="507196B0" w:rsidR="002944FE" w:rsidRPr="00921B2F" w:rsidRDefault="001E2A97" w:rsidP="00921B2F">
      <w:pPr>
        <w:pStyle w:val="NoSpacing"/>
        <w:spacing w:after="120"/>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Depuis l'année fiscale 2006-2007, aucun employé de la CCG n'a demandé l'autorisation de la CFP pour se porter candidat à une élection fédérale, provinciale, territoriale ou municipale.</w:t>
      </w:r>
    </w:p>
    <w:p w14:paraId="6C6434BB" w14:textId="02899E09" w:rsidR="002944FE" w:rsidRPr="00921B2F" w:rsidRDefault="001E2A97" w:rsidP="002944FE">
      <w:pPr>
        <w:pStyle w:val="NoSpacing"/>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 xml:space="preserve">Dans le SDIP de 2018 </w:t>
      </w:r>
      <w:r w:rsidR="002944FE" w:rsidRPr="00921B2F">
        <w:rPr>
          <w:rFonts w:asciiTheme="minorHAnsi" w:hAnsiTheme="minorHAnsi" w:cstheme="minorHAnsi"/>
          <w:color w:val="000000"/>
          <w:sz w:val="22"/>
          <w:szCs w:val="22"/>
          <w:lang w:val="fr-CA"/>
        </w:rPr>
        <w:t>:</w:t>
      </w:r>
    </w:p>
    <w:p w14:paraId="530F5CE1" w14:textId="77777777" w:rsidR="001E2A97" w:rsidRPr="00921B2F" w:rsidRDefault="001E2A97" w:rsidP="004E01DF">
      <w:pPr>
        <w:pStyle w:val="NoSpacing"/>
        <w:numPr>
          <w:ilvl w:val="0"/>
          <w:numId w:val="5"/>
        </w:numPr>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4,0% des répondants ont indiqué qu’ils ont participé à des activités politiques (autres qu’exercer son droit de vote ou poser sa candidature) entre le 1er janvier et le 31 décembre, 2017, ce qui est inférieur aux 2,4% pour la fonction publique en général.</w:t>
      </w:r>
    </w:p>
    <w:p w14:paraId="48F027AF" w14:textId="3029E53B" w:rsidR="002944FE" w:rsidRPr="00921B2F" w:rsidRDefault="001E2A97" w:rsidP="00921B2F">
      <w:pPr>
        <w:pStyle w:val="NoSpacing"/>
        <w:numPr>
          <w:ilvl w:val="0"/>
          <w:numId w:val="5"/>
        </w:numPr>
        <w:spacing w:after="120"/>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91,8% des répondants ont indiqué qu’ils connaissent leurs droits et responsabilités concernant la participation à des activités politiques dans une mesure modérée et élevée, ce qui est supérieur aux 80,1% pour la fonction publique en général.</w:t>
      </w:r>
    </w:p>
    <w:p w14:paraId="402F4FCC" w14:textId="41374DEF" w:rsidR="002944FE" w:rsidRPr="00921B2F" w:rsidRDefault="001E2A97" w:rsidP="00921B2F">
      <w:pPr>
        <w:pStyle w:val="NoSpacing"/>
        <w:spacing w:after="120"/>
        <w:rPr>
          <w:rFonts w:asciiTheme="minorHAnsi" w:hAnsiTheme="minorHAnsi" w:cstheme="minorHAnsi"/>
          <w:color w:val="000000"/>
          <w:sz w:val="22"/>
          <w:szCs w:val="22"/>
          <w:lang w:val="fr-CA"/>
        </w:rPr>
      </w:pPr>
      <w:r w:rsidRPr="00921B2F">
        <w:rPr>
          <w:rFonts w:asciiTheme="minorHAnsi" w:hAnsiTheme="minorHAnsi" w:cstheme="minorHAnsi"/>
          <w:color w:val="000000"/>
          <w:sz w:val="22"/>
          <w:szCs w:val="22"/>
          <w:lang w:val="fr-CA"/>
        </w:rPr>
        <w:t xml:space="preserve">La Représentante désignée en matière d’activités politique (RDAP) de CGC est Patti Charach, Directrice par intérim, Direction </w:t>
      </w:r>
      <w:r w:rsidR="00671B35" w:rsidRPr="00921B2F">
        <w:rPr>
          <w:rFonts w:asciiTheme="minorHAnsi" w:hAnsiTheme="minorHAnsi" w:cstheme="minorHAnsi"/>
          <w:color w:val="000000"/>
          <w:sz w:val="22"/>
          <w:szCs w:val="22"/>
          <w:lang w:val="fr-CA"/>
        </w:rPr>
        <w:t xml:space="preserve">générale </w:t>
      </w:r>
      <w:r w:rsidRPr="00921B2F">
        <w:rPr>
          <w:rFonts w:asciiTheme="minorHAnsi" w:hAnsiTheme="minorHAnsi" w:cstheme="minorHAnsi"/>
          <w:color w:val="000000"/>
          <w:sz w:val="22"/>
          <w:szCs w:val="22"/>
          <w:lang w:val="fr-CA"/>
        </w:rPr>
        <w:t>des ressources humaines. Le RDAP assure la liaison entre l’organisme et la CFP sur les questions liées aux activités politique et impartialité politique. Des séances de sensibilisation générale sur les activités politique et l’impartialité politique pour les employés peuvent être offertes sur demande.</w:t>
      </w:r>
    </w:p>
    <w:p w14:paraId="6662F2C9" w14:textId="6456FB40" w:rsidR="002944FE" w:rsidRPr="00CA16F1" w:rsidRDefault="000D1AFB" w:rsidP="00921B2F">
      <w:pPr>
        <w:pStyle w:val="Heading1"/>
        <w:spacing w:after="120"/>
        <w:rPr>
          <w:rFonts w:cstheme="majorHAnsi"/>
        </w:rPr>
      </w:pPr>
      <w:r w:rsidRPr="00CA16F1">
        <w:rPr>
          <w:rFonts w:cstheme="majorHAnsi"/>
        </w:rPr>
        <w:t>Programmes de recrutement</w:t>
      </w:r>
    </w:p>
    <w:p w14:paraId="5BEDA152" w14:textId="7FB21D0F" w:rsidR="002944FE" w:rsidRPr="00671B35" w:rsidRDefault="00D80A6F" w:rsidP="00921B2F">
      <w:pPr>
        <w:pStyle w:val="Heading2"/>
        <w:spacing w:after="120"/>
      </w:pPr>
      <w:r w:rsidRPr="00671B35">
        <w:t>Programme fédéral de stages pour les Canadiens en situation de handicap (PFSCSH)</w:t>
      </w:r>
    </w:p>
    <w:p w14:paraId="6DEB6F80" w14:textId="3CA1D942" w:rsidR="002944FE" w:rsidRPr="00921B2F" w:rsidRDefault="00954AC3" w:rsidP="00921B2F">
      <w:pPr>
        <w:spacing w:after="120"/>
        <w:rPr>
          <w:rFonts w:asciiTheme="minorHAnsi" w:eastAsia="Calibri" w:hAnsiTheme="minorHAnsi" w:cstheme="minorHAnsi"/>
          <w:sz w:val="22"/>
          <w:szCs w:val="22"/>
        </w:rPr>
      </w:pPr>
      <w:r w:rsidRPr="00921B2F">
        <w:rPr>
          <w:rFonts w:asciiTheme="minorHAnsi" w:eastAsia="Calibri" w:hAnsiTheme="minorHAnsi" w:cstheme="minorHAnsi"/>
          <w:sz w:val="22"/>
          <w:szCs w:val="22"/>
        </w:rPr>
        <w:t>Bien que la CCG ne participe actuellement pas au PFSCSH, il s’agit d’une excellente initiative qui permet d</w:t>
      </w:r>
      <w:r w:rsidR="008F7795" w:rsidRPr="00921B2F">
        <w:rPr>
          <w:rFonts w:asciiTheme="minorHAnsi" w:eastAsia="Calibri" w:hAnsiTheme="minorHAnsi" w:cstheme="minorHAnsi"/>
          <w:sz w:val="22"/>
          <w:szCs w:val="22"/>
        </w:rPr>
        <w:t>e</w:t>
      </w:r>
      <w:r w:rsidRPr="00921B2F">
        <w:rPr>
          <w:rFonts w:asciiTheme="minorHAnsi" w:eastAsia="Calibri" w:hAnsiTheme="minorHAnsi" w:cstheme="minorHAnsi"/>
          <w:sz w:val="22"/>
          <w:szCs w:val="22"/>
        </w:rPr>
        <w:t xml:space="preserve"> contribuer à la Stratégie sur l’accessibilité du gouvernement du Canada en embauchant un stagiaire et en soutenant son organisation pendant que </w:t>
      </w:r>
      <w:r w:rsidR="009C46B0" w:rsidRPr="00921B2F">
        <w:rPr>
          <w:rFonts w:asciiTheme="minorHAnsi" w:eastAsia="Calibri" w:hAnsiTheme="minorHAnsi" w:cstheme="minorHAnsi"/>
          <w:sz w:val="22"/>
          <w:szCs w:val="22"/>
        </w:rPr>
        <w:t>celui</w:t>
      </w:r>
      <w:r w:rsidR="009C46B0" w:rsidRPr="00921B2F">
        <w:rPr>
          <w:rFonts w:asciiTheme="minorHAnsi" w:eastAsia="Calibri" w:hAnsiTheme="minorHAnsi" w:cstheme="minorHAnsi"/>
          <w:sz w:val="22"/>
          <w:szCs w:val="22"/>
        </w:rPr>
        <w:noBreakHyphen/>
        <w:t>ci</w:t>
      </w:r>
      <w:r w:rsidRPr="00921B2F">
        <w:rPr>
          <w:rFonts w:asciiTheme="minorHAnsi" w:eastAsia="Calibri" w:hAnsiTheme="minorHAnsi" w:cstheme="minorHAnsi"/>
          <w:sz w:val="22"/>
          <w:szCs w:val="22"/>
        </w:rPr>
        <w:t xml:space="preserve"> accroît ses compétences </w:t>
      </w:r>
      <w:r w:rsidR="00A741B3" w:rsidRPr="00921B2F">
        <w:rPr>
          <w:rFonts w:asciiTheme="minorHAnsi" w:eastAsia="Calibri" w:hAnsiTheme="minorHAnsi" w:cstheme="minorHAnsi"/>
          <w:sz w:val="22"/>
          <w:szCs w:val="22"/>
        </w:rPr>
        <w:t>et</w:t>
      </w:r>
      <w:r w:rsidRPr="00921B2F">
        <w:rPr>
          <w:rFonts w:asciiTheme="minorHAnsi" w:eastAsia="Calibri" w:hAnsiTheme="minorHAnsi" w:cstheme="minorHAnsi"/>
          <w:sz w:val="22"/>
          <w:szCs w:val="22"/>
        </w:rPr>
        <w:t xml:space="preserve"> so</w:t>
      </w:r>
      <w:r w:rsidR="00BE2852" w:rsidRPr="00921B2F">
        <w:rPr>
          <w:rFonts w:asciiTheme="minorHAnsi" w:eastAsia="Calibri" w:hAnsiTheme="minorHAnsi" w:cstheme="minorHAnsi"/>
          <w:sz w:val="22"/>
          <w:szCs w:val="22"/>
        </w:rPr>
        <w:t>n employabilité. Le PFSCSH</w:t>
      </w:r>
      <w:r w:rsidRPr="00921B2F">
        <w:rPr>
          <w:rFonts w:asciiTheme="minorHAnsi" w:eastAsia="Calibri" w:hAnsiTheme="minorHAnsi" w:cstheme="minorHAnsi"/>
          <w:sz w:val="22"/>
          <w:szCs w:val="22"/>
        </w:rPr>
        <w:t xml:space="preserve"> offre</w:t>
      </w:r>
      <w:r w:rsidR="003F087E" w:rsidRPr="00921B2F">
        <w:rPr>
          <w:rFonts w:asciiTheme="minorHAnsi" w:eastAsia="Calibri" w:hAnsiTheme="minorHAnsi" w:cstheme="minorHAnsi"/>
          <w:sz w:val="22"/>
          <w:szCs w:val="22"/>
        </w:rPr>
        <w:t xml:space="preserve"> aussi aux ministères d’embauche un remboursement de 50 % du salaire du stagiaire pour toute la durée de son stage.</w:t>
      </w:r>
    </w:p>
    <w:p w14:paraId="27DF1D2A" w14:textId="71D313E3" w:rsidR="002944FE" w:rsidRPr="00921B2F" w:rsidRDefault="00BE2852" w:rsidP="00921B2F">
      <w:pPr>
        <w:spacing w:after="120"/>
        <w:rPr>
          <w:rFonts w:asciiTheme="minorHAnsi" w:eastAsia="Calibri" w:hAnsiTheme="minorHAnsi" w:cstheme="minorHAnsi"/>
          <w:sz w:val="22"/>
          <w:szCs w:val="22"/>
        </w:rPr>
      </w:pPr>
      <w:r w:rsidRPr="00921B2F">
        <w:rPr>
          <w:rFonts w:asciiTheme="minorHAnsi" w:eastAsia="Calibri" w:hAnsiTheme="minorHAnsi" w:cstheme="minorHAnsi"/>
          <w:sz w:val="22"/>
          <w:szCs w:val="22"/>
        </w:rPr>
        <w:lastRenderedPageBreak/>
        <w:t>De plus, le PFSCSH</w:t>
      </w:r>
      <w:r w:rsidR="006461F2" w:rsidRPr="00921B2F">
        <w:rPr>
          <w:rFonts w:asciiTheme="minorHAnsi" w:eastAsia="Calibri" w:hAnsiTheme="minorHAnsi" w:cstheme="minorHAnsi"/>
          <w:sz w:val="22"/>
          <w:szCs w:val="22"/>
        </w:rPr>
        <w:t xml:space="preserve"> offre aux gestionnaires et aux stagiaires des outils et des services d’encadrement professionnel </w:t>
      </w:r>
      <w:r w:rsidR="003F087E" w:rsidRPr="00921B2F">
        <w:rPr>
          <w:rFonts w:asciiTheme="minorHAnsi" w:eastAsia="Calibri" w:hAnsiTheme="minorHAnsi" w:cstheme="minorHAnsi"/>
          <w:sz w:val="22"/>
          <w:szCs w:val="22"/>
        </w:rPr>
        <w:t xml:space="preserve">à l’appui du perfectionnement des stagiaires, par exemple </w:t>
      </w:r>
      <w:r w:rsidR="008F7795" w:rsidRPr="00921B2F">
        <w:rPr>
          <w:rFonts w:asciiTheme="minorHAnsi" w:eastAsia="Calibri" w:hAnsiTheme="minorHAnsi" w:cstheme="minorHAnsi"/>
          <w:sz w:val="22"/>
          <w:szCs w:val="22"/>
        </w:rPr>
        <w:t>des séances de formation recommandées</w:t>
      </w:r>
      <w:r w:rsidR="003F087E" w:rsidRPr="00921B2F">
        <w:rPr>
          <w:rFonts w:asciiTheme="minorHAnsi" w:eastAsia="Calibri" w:hAnsiTheme="minorHAnsi" w:cstheme="minorHAnsi"/>
          <w:sz w:val="22"/>
          <w:szCs w:val="22"/>
        </w:rPr>
        <w:t xml:space="preserve"> offerte</w:t>
      </w:r>
      <w:r w:rsidR="008F7795" w:rsidRPr="00921B2F">
        <w:rPr>
          <w:rFonts w:asciiTheme="minorHAnsi" w:eastAsia="Calibri" w:hAnsiTheme="minorHAnsi" w:cstheme="minorHAnsi"/>
          <w:sz w:val="22"/>
          <w:szCs w:val="22"/>
        </w:rPr>
        <w:t>s</w:t>
      </w:r>
      <w:r w:rsidR="003F087E" w:rsidRPr="00921B2F">
        <w:rPr>
          <w:rFonts w:asciiTheme="minorHAnsi" w:eastAsia="Calibri" w:hAnsiTheme="minorHAnsi" w:cstheme="minorHAnsi"/>
          <w:sz w:val="22"/>
          <w:szCs w:val="22"/>
        </w:rPr>
        <w:t xml:space="preserve"> par l’École de la fonction publique du Canada (EFPC).</w:t>
      </w:r>
    </w:p>
    <w:p w14:paraId="6D963ABE" w14:textId="744686D7" w:rsidR="002944FE" w:rsidRPr="00921B2F" w:rsidRDefault="006461F2" w:rsidP="00921B2F">
      <w:pPr>
        <w:spacing w:after="120"/>
        <w:rPr>
          <w:rFonts w:asciiTheme="minorHAnsi" w:hAnsiTheme="minorHAnsi" w:cstheme="minorHAnsi"/>
          <w:sz w:val="22"/>
          <w:szCs w:val="22"/>
        </w:rPr>
      </w:pPr>
      <w:r w:rsidRPr="00921B2F">
        <w:rPr>
          <w:rFonts w:asciiTheme="minorHAnsi" w:hAnsiTheme="minorHAnsi" w:cstheme="minorHAnsi"/>
          <w:sz w:val="22"/>
          <w:szCs w:val="22"/>
        </w:rPr>
        <w:t>Si la CCG souhaite embaucher des stagiaires, elle peut communiquer avec la CFP à l’adresse suivante </w:t>
      </w:r>
      <w:r w:rsidR="002944FE" w:rsidRPr="00921B2F">
        <w:rPr>
          <w:rFonts w:asciiTheme="minorHAnsi" w:hAnsiTheme="minorHAnsi" w:cstheme="minorHAnsi"/>
          <w:sz w:val="22"/>
          <w:szCs w:val="22"/>
        </w:rPr>
        <w:t xml:space="preserve">: </w:t>
      </w:r>
      <w:hyperlink r:id="rId10" w:history="1">
        <w:r w:rsidR="006371FF" w:rsidRPr="006371FF">
          <w:rPr>
            <w:rStyle w:val="Hyperlink"/>
            <w:rFonts w:asciiTheme="minorHAnsi" w:hAnsiTheme="minorHAnsi" w:cstheme="minorHAnsi"/>
            <w:sz w:val="22"/>
            <w:szCs w:val="22"/>
          </w:rPr>
          <w:t>cfp.diversitedetalent-talentdiversity.psc@canada.ca</w:t>
        </w:r>
      </w:hyperlink>
    </w:p>
    <w:p w14:paraId="561F38A6" w14:textId="14E8B4AF" w:rsidR="002944FE" w:rsidRPr="00671B35" w:rsidRDefault="00DE7DAD" w:rsidP="00921B2F">
      <w:pPr>
        <w:pStyle w:val="Heading2"/>
        <w:spacing w:after="120"/>
      </w:pPr>
      <w:r w:rsidRPr="00671B35">
        <w:t>Occasion d’emploi pour étudiants en situation de handicap (OSSEH)/Occasion d’emploi pour étudiants autochtones (OEEA)</w:t>
      </w:r>
    </w:p>
    <w:p w14:paraId="085CD7A8" w14:textId="302F1D9B" w:rsidR="002944FE" w:rsidRPr="00921B2F" w:rsidRDefault="003F087E" w:rsidP="00921B2F">
      <w:pPr>
        <w:tabs>
          <w:tab w:val="center" w:pos="4680"/>
        </w:tabs>
        <w:spacing w:after="120"/>
        <w:rPr>
          <w:rFonts w:asciiTheme="minorHAnsi" w:eastAsia="Calibri" w:hAnsiTheme="minorHAnsi" w:cstheme="minorHAnsi"/>
          <w:sz w:val="22"/>
          <w:szCs w:val="22"/>
          <w:u w:val="single"/>
        </w:rPr>
      </w:pPr>
      <w:r w:rsidRPr="00921B2F">
        <w:rPr>
          <w:rFonts w:asciiTheme="minorHAnsi" w:eastAsia="Calibri" w:hAnsiTheme="minorHAnsi" w:cstheme="minorHAnsi"/>
          <w:sz w:val="22"/>
          <w:szCs w:val="22"/>
        </w:rPr>
        <w:t>Depuis le 1</w:t>
      </w:r>
      <w:r w:rsidRPr="00921B2F">
        <w:rPr>
          <w:rFonts w:asciiTheme="minorHAnsi" w:eastAsia="Calibri" w:hAnsiTheme="minorHAnsi" w:cstheme="minorHAnsi"/>
          <w:sz w:val="22"/>
          <w:szCs w:val="22"/>
          <w:vertAlign w:val="superscript"/>
        </w:rPr>
        <w:t>er</w:t>
      </w:r>
      <w:r w:rsidR="000621D3" w:rsidRPr="00921B2F">
        <w:rPr>
          <w:rFonts w:asciiTheme="minorHAnsi" w:eastAsia="Calibri" w:hAnsiTheme="minorHAnsi" w:cstheme="minorHAnsi"/>
          <w:sz w:val="22"/>
          <w:szCs w:val="22"/>
        </w:rPr>
        <w:t> </w:t>
      </w:r>
      <w:r w:rsidR="009A3A08" w:rsidRPr="00921B2F">
        <w:rPr>
          <w:rFonts w:asciiTheme="minorHAnsi" w:eastAsia="Calibri" w:hAnsiTheme="minorHAnsi" w:cstheme="minorHAnsi"/>
          <w:sz w:val="22"/>
          <w:szCs w:val="22"/>
        </w:rPr>
        <w:t>janvier</w:t>
      </w:r>
      <w:r w:rsidR="000621D3" w:rsidRPr="00921B2F">
        <w:rPr>
          <w:rFonts w:asciiTheme="minorHAnsi" w:eastAsia="Calibri" w:hAnsiTheme="minorHAnsi" w:cstheme="minorHAnsi"/>
          <w:sz w:val="22"/>
          <w:szCs w:val="22"/>
        </w:rPr>
        <w:t> </w:t>
      </w:r>
      <w:r w:rsidR="009A3A08" w:rsidRPr="00921B2F">
        <w:rPr>
          <w:rFonts w:asciiTheme="minorHAnsi" w:eastAsia="Calibri" w:hAnsiTheme="minorHAnsi" w:cstheme="minorHAnsi"/>
          <w:sz w:val="22"/>
          <w:szCs w:val="22"/>
        </w:rPr>
        <w:t>2020, la </w:t>
      </w:r>
      <w:r w:rsidRPr="00921B2F">
        <w:rPr>
          <w:rFonts w:asciiTheme="minorHAnsi" w:eastAsia="Calibri" w:hAnsiTheme="minorHAnsi" w:cstheme="minorHAnsi"/>
          <w:sz w:val="22"/>
          <w:szCs w:val="22"/>
        </w:rPr>
        <w:t xml:space="preserve">CCG n’a soumis aucune demande </w:t>
      </w:r>
      <w:r w:rsidR="009B4BC8" w:rsidRPr="00921B2F">
        <w:rPr>
          <w:rFonts w:asciiTheme="minorHAnsi" w:eastAsia="Calibri" w:hAnsiTheme="minorHAnsi" w:cstheme="minorHAnsi"/>
          <w:sz w:val="22"/>
          <w:szCs w:val="22"/>
        </w:rPr>
        <w:t>visant la</w:t>
      </w:r>
      <w:r w:rsidRPr="00921B2F">
        <w:rPr>
          <w:rFonts w:asciiTheme="minorHAnsi" w:eastAsia="Calibri" w:hAnsiTheme="minorHAnsi" w:cstheme="minorHAnsi"/>
          <w:sz w:val="22"/>
          <w:szCs w:val="22"/>
        </w:rPr>
        <w:t xml:space="preserve"> </w:t>
      </w:r>
      <w:r w:rsidR="0077636A" w:rsidRPr="00921B2F">
        <w:rPr>
          <w:rFonts w:asciiTheme="minorHAnsi" w:eastAsia="Calibri" w:hAnsiTheme="minorHAnsi" w:cstheme="minorHAnsi"/>
          <w:sz w:val="22"/>
          <w:szCs w:val="22"/>
        </w:rPr>
        <w:t>présentation de candidatures</w:t>
      </w:r>
      <w:r w:rsidR="00A741B3" w:rsidRPr="00921B2F">
        <w:rPr>
          <w:rFonts w:asciiTheme="minorHAnsi" w:eastAsia="Calibri" w:hAnsiTheme="minorHAnsi" w:cstheme="minorHAnsi"/>
          <w:sz w:val="22"/>
          <w:szCs w:val="22"/>
        </w:rPr>
        <w:t xml:space="preserve"> tirées</w:t>
      </w:r>
      <w:r w:rsidR="0077636A" w:rsidRPr="00921B2F">
        <w:rPr>
          <w:rFonts w:asciiTheme="minorHAnsi" w:eastAsia="Calibri" w:hAnsiTheme="minorHAnsi" w:cstheme="minorHAnsi"/>
          <w:sz w:val="22"/>
          <w:szCs w:val="22"/>
        </w:rPr>
        <w:t xml:space="preserve"> de</w:t>
      </w:r>
      <w:r w:rsidR="009B4BC8" w:rsidRPr="00921B2F">
        <w:rPr>
          <w:rFonts w:asciiTheme="minorHAnsi" w:eastAsia="Calibri" w:hAnsiTheme="minorHAnsi" w:cstheme="minorHAnsi"/>
          <w:sz w:val="22"/>
          <w:szCs w:val="22"/>
        </w:rPr>
        <w:t>s répertoires de</w:t>
      </w:r>
      <w:r w:rsidRPr="00921B2F">
        <w:rPr>
          <w:rFonts w:asciiTheme="minorHAnsi" w:eastAsia="Calibri" w:hAnsiTheme="minorHAnsi" w:cstheme="minorHAnsi"/>
          <w:sz w:val="22"/>
          <w:szCs w:val="22"/>
        </w:rPr>
        <w:t xml:space="preserve"> l’OEESH ou</w:t>
      </w:r>
      <w:r w:rsidR="0077636A" w:rsidRPr="00921B2F">
        <w:rPr>
          <w:rFonts w:asciiTheme="minorHAnsi" w:eastAsia="Calibri" w:hAnsiTheme="minorHAnsi" w:cstheme="minorHAnsi"/>
          <w:sz w:val="22"/>
          <w:szCs w:val="22"/>
        </w:rPr>
        <w:t xml:space="preserve"> de</w:t>
      </w:r>
      <w:r w:rsidRPr="00921B2F">
        <w:rPr>
          <w:rFonts w:asciiTheme="minorHAnsi" w:eastAsia="Calibri" w:hAnsiTheme="minorHAnsi" w:cstheme="minorHAnsi"/>
          <w:sz w:val="22"/>
          <w:szCs w:val="22"/>
        </w:rPr>
        <w:t xml:space="preserve"> l’OEEA par l’entremise du</w:t>
      </w:r>
      <w:r w:rsidR="009A3A08" w:rsidRPr="00921B2F">
        <w:rPr>
          <w:rFonts w:asciiTheme="minorHAnsi" w:eastAsia="Calibri" w:hAnsiTheme="minorHAnsi" w:cstheme="minorHAnsi"/>
          <w:sz w:val="22"/>
          <w:szCs w:val="22"/>
        </w:rPr>
        <w:t> </w:t>
      </w:r>
      <w:r w:rsidRPr="00921B2F">
        <w:rPr>
          <w:rFonts w:asciiTheme="minorHAnsi" w:eastAsia="Calibri" w:hAnsiTheme="minorHAnsi" w:cstheme="minorHAnsi"/>
          <w:sz w:val="22"/>
          <w:szCs w:val="22"/>
        </w:rPr>
        <w:t>PFETE.</w:t>
      </w:r>
    </w:p>
    <w:p w14:paraId="194178BE" w14:textId="4B86C3BA" w:rsidR="002944FE" w:rsidRPr="00921B2F" w:rsidRDefault="00317502" w:rsidP="002944FE">
      <w:pPr>
        <w:tabs>
          <w:tab w:val="center" w:pos="4680"/>
        </w:tabs>
        <w:contextualSpacing/>
        <w:rPr>
          <w:rFonts w:asciiTheme="minorHAnsi" w:eastAsia="Calibri" w:hAnsiTheme="minorHAnsi" w:cstheme="minorHAnsi"/>
          <w:sz w:val="22"/>
          <w:szCs w:val="22"/>
        </w:rPr>
      </w:pPr>
      <w:r w:rsidRPr="006371FF">
        <w:rPr>
          <w:rStyle w:val="Hyperlink"/>
          <w:rFonts w:asciiTheme="minorHAnsi" w:eastAsia="Calibri" w:hAnsiTheme="minorHAnsi" w:cstheme="minorHAnsi"/>
          <w:color w:val="auto"/>
          <w:sz w:val="22"/>
          <w:szCs w:val="22"/>
          <w:u w:val="none"/>
        </w:rPr>
        <w:t>L’</w:t>
      </w:r>
      <w:r w:rsidR="003F087E" w:rsidRPr="00CA16F1">
        <w:rPr>
          <w:rFonts w:asciiTheme="minorHAnsi" w:eastAsia="Calibri" w:hAnsiTheme="minorHAnsi" w:cstheme="minorHAnsi"/>
          <w:sz w:val="22"/>
          <w:szCs w:val="22"/>
        </w:rPr>
        <w:t>OEESH</w:t>
      </w:r>
      <w:r w:rsidR="003F087E" w:rsidRPr="00921B2F">
        <w:rPr>
          <w:rFonts w:asciiTheme="minorHAnsi" w:eastAsia="Calibri" w:hAnsiTheme="minorHAnsi" w:cstheme="minorHAnsi"/>
          <w:sz w:val="22"/>
          <w:szCs w:val="22"/>
        </w:rPr>
        <w:t xml:space="preserve"> et l’</w:t>
      </w:r>
      <w:r w:rsidR="003F087E" w:rsidRPr="00CA16F1">
        <w:rPr>
          <w:rFonts w:asciiTheme="minorHAnsi" w:eastAsia="Calibri" w:hAnsiTheme="minorHAnsi" w:cstheme="minorHAnsi"/>
          <w:sz w:val="22"/>
          <w:szCs w:val="22"/>
        </w:rPr>
        <w:t>OEEA</w:t>
      </w:r>
      <w:r w:rsidR="003F087E" w:rsidRPr="00921B2F">
        <w:rPr>
          <w:rStyle w:val="Hyperlink"/>
          <w:rFonts w:asciiTheme="minorHAnsi" w:eastAsia="Calibri" w:hAnsiTheme="minorHAnsi" w:cstheme="minorHAnsi"/>
          <w:color w:val="auto"/>
          <w:sz w:val="22"/>
          <w:szCs w:val="22"/>
        </w:rPr>
        <w:t xml:space="preserve"> </w:t>
      </w:r>
      <w:r w:rsidR="003F087E" w:rsidRPr="00921B2F">
        <w:rPr>
          <w:rFonts w:asciiTheme="minorHAnsi" w:eastAsia="Calibri" w:hAnsiTheme="minorHAnsi" w:cstheme="minorHAnsi"/>
          <w:sz w:val="22"/>
          <w:szCs w:val="22"/>
        </w:rPr>
        <w:t>sont d’excellentes initiatives de soutien qui sont offertes aux étudian</w:t>
      </w:r>
      <w:r w:rsidR="00A741B3" w:rsidRPr="00921B2F">
        <w:rPr>
          <w:rFonts w:asciiTheme="minorHAnsi" w:eastAsia="Calibri" w:hAnsiTheme="minorHAnsi" w:cstheme="minorHAnsi"/>
          <w:sz w:val="22"/>
          <w:szCs w:val="22"/>
        </w:rPr>
        <w:t>t</w:t>
      </w:r>
      <w:r w:rsidR="003F087E" w:rsidRPr="00921B2F">
        <w:rPr>
          <w:rFonts w:asciiTheme="minorHAnsi" w:eastAsia="Calibri" w:hAnsiTheme="minorHAnsi" w:cstheme="minorHAnsi"/>
          <w:sz w:val="22"/>
          <w:szCs w:val="22"/>
        </w:rPr>
        <w:t>s par l’entremise du</w:t>
      </w:r>
      <w:r w:rsidR="003F087E" w:rsidRPr="00921B2F">
        <w:rPr>
          <w:rFonts w:asciiTheme="minorHAnsi" w:eastAsia="Calibri" w:hAnsiTheme="minorHAnsi" w:cstheme="minorHAnsi"/>
        </w:rPr>
        <w:t xml:space="preserve"> </w:t>
      </w:r>
      <w:hyperlink r:id="rId11" w:history="1">
        <w:r w:rsidR="003F087E" w:rsidRPr="006371FF">
          <w:rPr>
            <w:rStyle w:val="Hyperlink"/>
            <w:rFonts w:asciiTheme="minorHAnsi" w:eastAsia="Calibri" w:hAnsiTheme="minorHAnsi" w:cstheme="minorHAnsi"/>
            <w:sz w:val="22"/>
            <w:szCs w:val="22"/>
          </w:rPr>
          <w:t>PFETE</w:t>
        </w:r>
      </w:hyperlink>
      <w:r w:rsidR="003F087E" w:rsidRPr="00921B2F">
        <w:rPr>
          <w:rFonts w:asciiTheme="minorHAnsi" w:eastAsia="Calibri" w:hAnsiTheme="minorHAnsi" w:cstheme="minorHAnsi"/>
          <w:sz w:val="22"/>
          <w:szCs w:val="22"/>
        </w:rPr>
        <w:t xml:space="preserve">. Elles visent à accroître la diversité en milieu de travail en simplifiant l’embauche d’étudiants </w:t>
      </w:r>
      <w:r w:rsidR="009B4BC8" w:rsidRPr="00921B2F">
        <w:rPr>
          <w:rFonts w:asciiTheme="minorHAnsi" w:eastAsia="Calibri" w:hAnsiTheme="minorHAnsi" w:cstheme="minorHAnsi"/>
          <w:sz w:val="22"/>
          <w:szCs w:val="22"/>
        </w:rPr>
        <w:t xml:space="preserve">en situation de handicap </w:t>
      </w:r>
      <w:r w:rsidR="003F087E" w:rsidRPr="00921B2F">
        <w:rPr>
          <w:rFonts w:asciiTheme="minorHAnsi" w:eastAsia="Calibri" w:hAnsiTheme="minorHAnsi" w:cstheme="minorHAnsi"/>
          <w:sz w:val="22"/>
          <w:szCs w:val="22"/>
        </w:rPr>
        <w:t xml:space="preserve">et d’étudiants autochtones. Les gestionnaires et les étudiants </w:t>
      </w:r>
      <w:r w:rsidR="00A741B3" w:rsidRPr="00921B2F">
        <w:rPr>
          <w:rFonts w:asciiTheme="minorHAnsi" w:eastAsia="Calibri" w:hAnsiTheme="minorHAnsi" w:cstheme="minorHAnsi"/>
          <w:sz w:val="22"/>
          <w:szCs w:val="22"/>
        </w:rPr>
        <w:t>obtiennent l’accès à différentes ressources</w:t>
      </w:r>
      <w:r w:rsidR="003F087E" w:rsidRPr="00921B2F">
        <w:rPr>
          <w:rFonts w:asciiTheme="minorHAnsi" w:eastAsia="Calibri" w:hAnsiTheme="minorHAnsi" w:cstheme="minorHAnsi"/>
          <w:sz w:val="22"/>
          <w:szCs w:val="22"/>
        </w:rPr>
        <w:t>, par exemple des outils d’intégration, des séances de formation et des évènements de réseautage tels que des séances de mentorat et des séances d’accueil. Les candidats de ces deux initiatives peuvent être embauchés</w:t>
      </w:r>
      <w:r w:rsidR="0077636A" w:rsidRPr="00921B2F">
        <w:rPr>
          <w:rFonts w:asciiTheme="minorHAnsi" w:eastAsia="Calibri" w:hAnsiTheme="minorHAnsi" w:cstheme="minorHAnsi"/>
          <w:sz w:val="22"/>
          <w:szCs w:val="22"/>
        </w:rPr>
        <w:t xml:space="preserve"> par les organisations d’embauche toute l’année grâce au répertoire permanent du PFETE.</w:t>
      </w:r>
    </w:p>
    <w:p w14:paraId="7FC1C266" w14:textId="48BAA096" w:rsidR="002944FE" w:rsidRPr="00921B2F" w:rsidRDefault="0077636A" w:rsidP="004E01DF">
      <w:pPr>
        <w:numPr>
          <w:ilvl w:val="0"/>
          <w:numId w:val="1"/>
        </w:numPr>
        <w:tabs>
          <w:tab w:val="center" w:pos="4680"/>
        </w:tabs>
        <w:contextualSpacing/>
        <w:rPr>
          <w:rFonts w:asciiTheme="minorHAnsi" w:eastAsia="Calibri" w:hAnsiTheme="minorHAnsi" w:cstheme="minorHAnsi"/>
          <w:sz w:val="22"/>
          <w:szCs w:val="22"/>
        </w:rPr>
      </w:pPr>
      <w:r w:rsidRPr="00921B2F">
        <w:rPr>
          <w:rFonts w:asciiTheme="minorHAnsi" w:eastAsia="Calibri" w:hAnsiTheme="minorHAnsi" w:cstheme="minorHAnsi"/>
          <w:sz w:val="22"/>
          <w:szCs w:val="22"/>
        </w:rPr>
        <w:t>Le nombre d’étudiants disponibles dans le cadre de l’OEESH est de 4 </w:t>
      </w:r>
      <w:r w:rsidR="002944FE" w:rsidRPr="00921B2F">
        <w:rPr>
          <w:rFonts w:asciiTheme="minorHAnsi" w:eastAsia="Calibri" w:hAnsiTheme="minorHAnsi" w:cstheme="minorHAnsi"/>
          <w:sz w:val="22"/>
          <w:szCs w:val="22"/>
        </w:rPr>
        <w:t>424</w:t>
      </w:r>
      <w:r w:rsidR="002944FE" w:rsidRPr="00921B2F">
        <w:rPr>
          <w:rFonts w:asciiTheme="minorHAnsi" w:eastAsia="Calibri" w:hAnsiTheme="minorHAnsi" w:cstheme="minorHAnsi"/>
          <w:sz w:val="22"/>
          <w:szCs w:val="22"/>
          <w:vertAlign w:val="superscript"/>
        </w:rPr>
        <w:footnoteReference w:id="1"/>
      </w:r>
      <w:r w:rsidR="002944FE" w:rsidRPr="00921B2F">
        <w:rPr>
          <w:rFonts w:asciiTheme="minorHAnsi" w:eastAsia="Calibri" w:hAnsiTheme="minorHAnsi" w:cstheme="minorHAnsi"/>
          <w:sz w:val="22"/>
          <w:szCs w:val="22"/>
        </w:rPr>
        <w:t>.</w:t>
      </w:r>
    </w:p>
    <w:p w14:paraId="474BB7CB" w14:textId="05E23EE4" w:rsidR="002944FE" w:rsidRPr="00921B2F" w:rsidRDefault="0077636A" w:rsidP="00921B2F">
      <w:pPr>
        <w:numPr>
          <w:ilvl w:val="0"/>
          <w:numId w:val="1"/>
        </w:numPr>
        <w:tabs>
          <w:tab w:val="center" w:pos="4680"/>
        </w:tabs>
        <w:spacing w:after="120"/>
        <w:contextualSpacing/>
        <w:rPr>
          <w:rFonts w:asciiTheme="minorHAnsi" w:eastAsia="Calibri" w:hAnsiTheme="minorHAnsi" w:cstheme="minorHAnsi"/>
          <w:sz w:val="22"/>
          <w:szCs w:val="22"/>
        </w:rPr>
      </w:pPr>
      <w:r w:rsidRPr="00921B2F">
        <w:rPr>
          <w:rFonts w:asciiTheme="minorHAnsi" w:eastAsia="Calibri" w:hAnsiTheme="minorHAnsi" w:cstheme="minorHAnsi"/>
          <w:sz w:val="22"/>
          <w:szCs w:val="22"/>
        </w:rPr>
        <w:t>Le nombre d’étudiants disponibles dans le cadre de l’OEEA est de 2 </w:t>
      </w:r>
      <w:r w:rsidR="002944FE" w:rsidRPr="00921B2F">
        <w:rPr>
          <w:rFonts w:asciiTheme="minorHAnsi" w:eastAsia="Calibri" w:hAnsiTheme="minorHAnsi" w:cstheme="minorHAnsi"/>
          <w:sz w:val="22"/>
          <w:szCs w:val="22"/>
        </w:rPr>
        <w:t>511</w:t>
      </w:r>
      <w:r w:rsidR="002944FE" w:rsidRPr="00921B2F">
        <w:rPr>
          <w:rFonts w:asciiTheme="minorHAnsi" w:eastAsia="Calibri" w:hAnsiTheme="minorHAnsi" w:cstheme="minorHAnsi"/>
          <w:sz w:val="22"/>
          <w:szCs w:val="22"/>
          <w:vertAlign w:val="superscript"/>
        </w:rPr>
        <w:t>2</w:t>
      </w:r>
      <w:r w:rsidR="002944FE" w:rsidRPr="00921B2F">
        <w:rPr>
          <w:rFonts w:asciiTheme="minorHAnsi" w:eastAsia="Calibri" w:hAnsiTheme="minorHAnsi" w:cstheme="minorHAnsi"/>
          <w:sz w:val="22"/>
          <w:szCs w:val="22"/>
        </w:rPr>
        <w:t>.</w:t>
      </w:r>
    </w:p>
    <w:p w14:paraId="4FA70C2A" w14:textId="1DFC8351" w:rsidR="002944FE" w:rsidRPr="00671B35" w:rsidRDefault="00DE7DAD" w:rsidP="00921B2F">
      <w:pPr>
        <w:pStyle w:val="Heading2"/>
        <w:spacing w:after="120"/>
      </w:pPr>
      <w:r w:rsidRPr="00671B35">
        <w:t>Programme fédéral d'expérience de travail étudiant (PFETE)</w:t>
      </w:r>
    </w:p>
    <w:p w14:paraId="1A762E88" w14:textId="406FAC02" w:rsidR="002944FE" w:rsidRPr="00921B2F" w:rsidRDefault="009A3A08" w:rsidP="00921B2F">
      <w:pPr>
        <w:tabs>
          <w:tab w:val="center" w:pos="4680"/>
        </w:tabs>
        <w:spacing w:after="120"/>
        <w:contextualSpacing/>
        <w:rPr>
          <w:rFonts w:asciiTheme="minorHAnsi" w:eastAsia="Calibri" w:hAnsiTheme="minorHAnsi" w:cstheme="minorHAnsi"/>
          <w:sz w:val="22"/>
          <w:szCs w:val="22"/>
        </w:rPr>
      </w:pPr>
      <w:r w:rsidRPr="00921B2F">
        <w:rPr>
          <w:rFonts w:asciiTheme="minorHAnsi" w:eastAsia="Calibri" w:hAnsiTheme="minorHAnsi" w:cstheme="minorHAnsi"/>
          <w:sz w:val="22"/>
          <w:szCs w:val="22"/>
        </w:rPr>
        <w:t>La </w:t>
      </w:r>
      <w:r w:rsidR="0077636A" w:rsidRPr="00921B2F">
        <w:rPr>
          <w:rFonts w:asciiTheme="minorHAnsi" w:eastAsia="Calibri" w:hAnsiTheme="minorHAnsi" w:cstheme="minorHAnsi"/>
          <w:sz w:val="22"/>
          <w:szCs w:val="22"/>
        </w:rPr>
        <w:t xml:space="preserve">CCG a soumis </w:t>
      </w:r>
      <w:r w:rsidR="00CB0CFB">
        <w:rPr>
          <w:rFonts w:asciiTheme="minorHAnsi" w:eastAsia="Calibri" w:hAnsiTheme="minorHAnsi" w:cstheme="minorHAnsi"/>
          <w:sz w:val="22"/>
          <w:szCs w:val="22"/>
        </w:rPr>
        <w:t>5</w:t>
      </w:r>
      <w:r w:rsidR="0077636A" w:rsidRPr="00921B2F">
        <w:rPr>
          <w:rFonts w:asciiTheme="minorHAnsi" w:eastAsia="Calibri" w:hAnsiTheme="minorHAnsi" w:cstheme="minorHAnsi"/>
          <w:sz w:val="22"/>
          <w:szCs w:val="22"/>
        </w:rPr>
        <w:t xml:space="preserve"> demandes </w:t>
      </w:r>
      <w:r w:rsidR="009B4BC8" w:rsidRPr="00921B2F">
        <w:rPr>
          <w:rFonts w:asciiTheme="minorHAnsi" w:eastAsia="Calibri" w:hAnsiTheme="minorHAnsi" w:cstheme="minorHAnsi"/>
          <w:sz w:val="22"/>
          <w:szCs w:val="22"/>
        </w:rPr>
        <w:t>visant la</w:t>
      </w:r>
      <w:r w:rsidR="0077636A" w:rsidRPr="00921B2F">
        <w:rPr>
          <w:rFonts w:asciiTheme="minorHAnsi" w:eastAsia="Calibri" w:hAnsiTheme="minorHAnsi" w:cstheme="minorHAnsi"/>
          <w:sz w:val="22"/>
          <w:szCs w:val="22"/>
        </w:rPr>
        <w:t xml:space="preserve"> présentation de candidatures </w:t>
      </w:r>
      <w:r w:rsidR="00A741B3" w:rsidRPr="00921B2F">
        <w:rPr>
          <w:rFonts w:asciiTheme="minorHAnsi" w:eastAsia="Calibri" w:hAnsiTheme="minorHAnsi" w:cstheme="minorHAnsi"/>
          <w:sz w:val="22"/>
          <w:szCs w:val="22"/>
        </w:rPr>
        <w:t xml:space="preserve">tirées </w:t>
      </w:r>
      <w:r w:rsidR="0077636A" w:rsidRPr="00921B2F">
        <w:rPr>
          <w:rFonts w:asciiTheme="minorHAnsi" w:eastAsia="Calibri" w:hAnsiTheme="minorHAnsi" w:cstheme="minorHAnsi"/>
          <w:sz w:val="22"/>
          <w:szCs w:val="22"/>
        </w:rPr>
        <w:t>du PFETE depuis le 1</w:t>
      </w:r>
      <w:r w:rsidR="0077636A" w:rsidRPr="00921B2F">
        <w:rPr>
          <w:rFonts w:asciiTheme="minorHAnsi" w:eastAsia="Calibri" w:hAnsiTheme="minorHAnsi" w:cstheme="minorHAnsi"/>
          <w:sz w:val="22"/>
          <w:szCs w:val="22"/>
          <w:vertAlign w:val="superscript"/>
        </w:rPr>
        <w:t>er</w:t>
      </w:r>
      <w:r w:rsidR="00F55616" w:rsidRPr="00921B2F">
        <w:rPr>
          <w:rFonts w:asciiTheme="minorHAnsi" w:eastAsia="Calibri" w:hAnsiTheme="minorHAnsi" w:cstheme="minorHAnsi"/>
          <w:sz w:val="22"/>
          <w:szCs w:val="22"/>
        </w:rPr>
        <w:t> janvier </w:t>
      </w:r>
      <w:r w:rsidR="0077636A" w:rsidRPr="00921B2F">
        <w:rPr>
          <w:rFonts w:asciiTheme="minorHAnsi" w:eastAsia="Calibri" w:hAnsiTheme="minorHAnsi" w:cstheme="minorHAnsi"/>
          <w:sz w:val="22"/>
          <w:szCs w:val="22"/>
        </w:rPr>
        <w:t>2020. Ce programme demeure une excellente façon pour une organisation de renouveler son effectif et d’intégrer une énergie, des idées et des approches nouvelles à son milieu de travail. Le nombre d’étudiants disponibles dans le cadre de ce programme est de 84 744</w:t>
      </w:r>
      <w:r w:rsidR="0077636A" w:rsidRPr="00921B2F">
        <w:rPr>
          <w:rFonts w:asciiTheme="minorHAnsi" w:eastAsia="Calibri" w:hAnsiTheme="minorHAnsi" w:cstheme="minorHAnsi"/>
          <w:sz w:val="22"/>
          <w:szCs w:val="22"/>
          <w:vertAlign w:val="superscript"/>
        </w:rPr>
        <w:footnoteReference w:id="2"/>
      </w:r>
      <w:r w:rsidR="0077636A" w:rsidRPr="00921B2F">
        <w:rPr>
          <w:rFonts w:asciiTheme="minorHAnsi" w:eastAsia="Calibri" w:hAnsiTheme="minorHAnsi" w:cstheme="minorHAnsi"/>
          <w:sz w:val="22"/>
          <w:szCs w:val="22"/>
        </w:rPr>
        <w:t xml:space="preserve">. </w:t>
      </w:r>
    </w:p>
    <w:p w14:paraId="3B8E67DF" w14:textId="73E265D2" w:rsidR="002944FE" w:rsidRPr="00671B35" w:rsidRDefault="00F7076C" w:rsidP="00921B2F">
      <w:pPr>
        <w:pStyle w:val="Heading2"/>
        <w:spacing w:after="120"/>
      </w:pPr>
      <w:r w:rsidRPr="00671B35">
        <w:t xml:space="preserve">Recrutement postsecondaire </w:t>
      </w:r>
      <w:r w:rsidR="002944FE" w:rsidRPr="00671B35">
        <w:t>(</w:t>
      </w:r>
      <w:r w:rsidRPr="00671B35">
        <w:t>RP</w:t>
      </w:r>
      <w:r w:rsidR="002944FE" w:rsidRPr="00671B35">
        <w:t>)</w:t>
      </w:r>
    </w:p>
    <w:p w14:paraId="17FC43B7" w14:textId="1AFD3147" w:rsidR="002944FE" w:rsidRPr="00921B2F" w:rsidRDefault="009A3A08" w:rsidP="002944FE">
      <w:pPr>
        <w:contextualSpacing/>
        <w:rPr>
          <w:rFonts w:asciiTheme="minorHAnsi" w:hAnsiTheme="minorHAnsi" w:cstheme="minorHAnsi"/>
          <w:sz w:val="22"/>
          <w:szCs w:val="22"/>
        </w:rPr>
      </w:pPr>
      <w:r w:rsidRPr="00921B2F">
        <w:rPr>
          <w:rFonts w:asciiTheme="minorHAnsi" w:hAnsiTheme="minorHAnsi" w:cstheme="minorHAnsi"/>
          <w:sz w:val="22"/>
          <w:szCs w:val="22"/>
        </w:rPr>
        <w:t>En 2020, la </w:t>
      </w:r>
      <w:r w:rsidR="0077636A" w:rsidRPr="00921B2F">
        <w:rPr>
          <w:rFonts w:asciiTheme="minorHAnsi" w:hAnsiTheme="minorHAnsi" w:cstheme="minorHAnsi"/>
          <w:sz w:val="22"/>
          <w:szCs w:val="22"/>
        </w:rPr>
        <w:t xml:space="preserve">CCG n’a soumis aucune demande </w:t>
      </w:r>
      <w:r w:rsidR="009B4BC8" w:rsidRPr="00921B2F">
        <w:rPr>
          <w:rFonts w:asciiTheme="minorHAnsi" w:hAnsiTheme="minorHAnsi" w:cstheme="minorHAnsi"/>
          <w:sz w:val="22"/>
          <w:szCs w:val="22"/>
        </w:rPr>
        <w:t>visant la</w:t>
      </w:r>
      <w:r w:rsidR="0077636A" w:rsidRPr="00921B2F">
        <w:rPr>
          <w:rFonts w:asciiTheme="minorHAnsi" w:hAnsiTheme="minorHAnsi" w:cstheme="minorHAnsi"/>
          <w:sz w:val="22"/>
          <w:szCs w:val="22"/>
        </w:rPr>
        <w:t xml:space="preserve"> </w:t>
      </w:r>
      <w:r w:rsidR="00134B64" w:rsidRPr="00921B2F">
        <w:rPr>
          <w:rFonts w:asciiTheme="minorHAnsi" w:hAnsiTheme="minorHAnsi" w:cstheme="minorHAnsi"/>
          <w:sz w:val="22"/>
          <w:szCs w:val="22"/>
        </w:rPr>
        <w:t>prés</w:t>
      </w:r>
      <w:r w:rsidR="0077636A" w:rsidRPr="00921B2F">
        <w:rPr>
          <w:rFonts w:asciiTheme="minorHAnsi" w:hAnsiTheme="minorHAnsi" w:cstheme="minorHAnsi"/>
          <w:sz w:val="22"/>
          <w:szCs w:val="22"/>
        </w:rPr>
        <w:t xml:space="preserve">entation de candidatures </w:t>
      </w:r>
      <w:r w:rsidR="00134B64" w:rsidRPr="00921B2F">
        <w:rPr>
          <w:rFonts w:asciiTheme="minorHAnsi" w:hAnsiTheme="minorHAnsi" w:cstheme="minorHAnsi"/>
          <w:sz w:val="22"/>
          <w:szCs w:val="22"/>
        </w:rPr>
        <w:t>tirées des répertoires</w:t>
      </w:r>
      <w:r w:rsidR="0077636A" w:rsidRPr="00921B2F">
        <w:rPr>
          <w:rFonts w:asciiTheme="minorHAnsi" w:hAnsiTheme="minorHAnsi" w:cstheme="minorHAnsi"/>
          <w:sz w:val="22"/>
          <w:szCs w:val="22"/>
        </w:rPr>
        <w:t xml:space="preserve"> du Recrutement postsecondaire.</w:t>
      </w:r>
      <w:r w:rsidR="00134B64" w:rsidRPr="00921B2F">
        <w:rPr>
          <w:rFonts w:asciiTheme="minorHAnsi" w:hAnsiTheme="minorHAnsi" w:cstheme="minorHAnsi"/>
          <w:sz w:val="22"/>
          <w:szCs w:val="22"/>
        </w:rPr>
        <w:t xml:space="preserve"> </w:t>
      </w:r>
      <w:r w:rsidR="009D2FD5" w:rsidRPr="00921B2F">
        <w:rPr>
          <w:rFonts w:asciiTheme="minorHAnsi" w:hAnsiTheme="minorHAnsi" w:cstheme="minorHAnsi"/>
          <w:sz w:val="22"/>
          <w:szCs w:val="22"/>
        </w:rPr>
        <w:t>Un cer</w:t>
      </w:r>
      <w:r w:rsidR="001B4377" w:rsidRPr="00921B2F">
        <w:rPr>
          <w:rFonts w:asciiTheme="minorHAnsi" w:hAnsiTheme="minorHAnsi" w:cstheme="minorHAnsi"/>
          <w:sz w:val="22"/>
          <w:szCs w:val="22"/>
        </w:rPr>
        <w:t>tain nombre de candidats reste</w:t>
      </w:r>
      <w:r w:rsidRPr="00921B2F">
        <w:rPr>
          <w:rFonts w:asciiTheme="minorHAnsi" w:hAnsiTheme="minorHAnsi" w:cstheme="minorHAnsi"/>
          <w:sz w:val="22"/>
          <w:szCs w:val="22"/>
        </w:rPr>
        <w:t>nt</w:t>
      </w:r>
      <w:r w:rsidR="009D2FD5" w:rsidRPr="00921B2F">
        <w:rPr>
          <w:rFonts w:asciiTheme="minorHAnsi" w:hAnsiTheme="minorHAnsi" w:cstheme="minorHAnsi"/>
          <w:sz w:val="22"/>
          <w:szCs w:val="22"/>
        </w:rPr>
        <w:t xml:space="preserve"> </w:t>
      </w:r>
      <w:r w:rsidR="001B4377" w:rsidRPr="00921B2F">
        <w:rPr>
          <w:rFonts w:asciiTheme="minorHAnsi" w:hAnsiTheme="minorHAnsi" w:cstheme="minorHAnsi"/>
          <w:sz w:val="22"/>
          <w:szCs w:val="22"/>
        </w:rPr>
        <w:t>disponible</w:t>
      </w:r>
      <w:r w:rsidRPr="00921B2F">
        <w:rPr>
          <w:rFonts w:asciiTheme="minorHAnsi" w:hAnsiTheme="minorHAnsi" w:cstheme="minorHAnsi"/>
          <w:sz w:val="22"/>
          <w:szCs w:val="22"/>
        </w:rPr>
        <w:t>s</w:t>
      </w:r>
      <w:r w:rsidR="00CA16F1">
        <w:rPr>
          <w:rFonts w:asciiTheme="minorHAnsi" w:hAnsiTheme="minorHAnsi" w:cstheme="minorHAnsi"/>
          <w:sz w:val="22"/>
          <w:szCs w:val="22"/>
        </w:rPr>
        <w:t>.</w:t>
      </w:r>
      <w:r w:rsidR="000621D3" w:rsidRPr="00921B2F">
        <w:rPr>
          <w:rFonts w:asciiTheme="minorHAnsi" w:hAnsiTheme="minorHAnsi" w:cstheme="minorHAnsi"/>
          <w:sz w:val="22"/>
          <w:szCs w:val="22"/>
        </w:rPr>
        <w:t> </w:t>
      </w:r>
    </w:p>
    <w:p w14:paraId="0CD093DB" w14:textId="779A4A6F" w:rsidR="00652AA6" w:rsidRPr="00652AA6" w:rsidRDefault="00652AA6" w:rsidP="00652AA6">
      <w:pPr>
        <w:numPr>
          <w:ilvl w:val="0"/>
          <w:numId w:val="32"/>
        </w:numPr>
        <w:rPr>
          <w:rFonts w:asciiTheme="minorHAnsi" w:hAnsiTheme="minorHAnsi" w:cstheme="minorHAnsi"/>
          <w:color w:val="0563C1"/>
          <w:sz w:val="22"/>
          <w:szCs w:val="22"/>
          <w:u w:val="single"/>
        </w:rPr>
      </w:pPr>
      <w:bookmarkStart w:id="1" w:name="_Hlk74684161"/>
      <w:r w:rsidRPr="00CA16F1">
        <w:rPr>
          <w:rFonts w:asciiTheme="minorHAnsi" w:hAnsiTheme="minorHAnsi" w:cstheme="minorHAnsi"/>
          <w:sz w:val="22"/>
          <w:szCs w:val="22"/>
        </w:rPr>
        <w:t>Carrières en politiques, économie et sciences sociales</w:t>
      </w:r>
    </w:p>
    <w:p w14:paraId="38C4FB78" w14:textId="629456C1" w:rsidR="00652AA6" w:rsidRPr="00652AA6" w:rsidRDefault="00652AA6" w:rsidP="00652AA6">
      <w:pPr>
        <w:numPr>
          <w:ilvl w:val="0"/>
          <w:numId w:val="32"/>
        </w:numPr>
        <w:rPr>
          <w:rFonts w:asciiTheme="minorHAnsi" w:hAnsiTheme="minorHAnsi" w:cstheme="minorHAnsi"/>
          <w:sz w:val="22"/>
          <w:szCs w:val="22"/>
        </w:rPr>
      </w:pPr>
      <w:r w:rsidRPr="00CA16F1">
        <w:rPr>
          <w:rFonts w:asciiTheme="minorHAnsi" w:hAnsiTheme="minorHAnsi" w:cstheme="minorHAnsi"/>
          <w:sz w:val="22"/>
          <w:szCs w:val="22"/>
        </w:rPr>
        <w:t>Carrières en gestion de projets, approvisionnement et passation de marchés</w:t>
      </w:r>
      <w:r w:rsidRPr="00652AA6">
        <w:rPr>
          <w:rFonts w:asciiTheme="minorHAnsi" w:hAnsiTheme="minorHAnsi" w:cstheme="minorHAnsi"/>
          <w:color w:val="0563C1"/>
          <w:sz w:val="22"/>
          <w:szCs w:val="22"/>
          <w:u w:val="single"/>
        </w:rPr>
        <w:t xml:space="preserve"> </w:t>
      </w:r>
    </w:p>
    <w:p w14:paraId="77F00C4C" w14:textId="44B349B8" w:rsidR="00652AA6" w:rsidRPr="00652AA6" w:rsidRDefault="00652AA6" w:rsidP="00001823">
      <w:pPr>
        <w:numPr>
          <w:ilvl w:val="0"/>
          <w:numId w:val="32"/>
        </w:numPr>
        <w:spacing w:after="120"/>
        <w:rPr>
          <w:rFonts w:asciiTheme="minorHAnsi" w:hAnsiTheme="minorHAnsi" w:cstheme="minorHAnsi"/>
          <w:color w:val="0563C1"/>
          <w:sz w:val="22"/>
          <w:szCs w:val="22"/>
          <w:u w:val="single"/>
        </w:rPr>
      </w:pPr>
      <w:r w:rsidRPr="00CA16F1">
        <w:rPr>
          <w:rFonts w:asciiTheme="minorHAnsi" w:hAnsiTheme="minorHAnsi" w:cstheme="minorHAnsi"/>
          <w:sz w:val="22"/>
          <w:szCs w:val="22"/>
        </w:rPr>
        <w:t>Carrières dans les services administratifs</w:t>
      </w:r>
    </w:p>
    <w:bookmarkEnd w:id="1"/>
    <w:p w14:paraId="6EA3C2EC" w14:textId="7DDFE1FA" w:rsidR="002944FE" w:rsidRPr="00671B35" w:rsidRDefault="00ED356A" w:rsidP="0059341A">
      <w:pPr>
        <w:pStyle w:val="Heading2"/>
        <w:spacing w:after="120"/>
      </w:pPr>
      <w:r w:rsidRPr="00ED356A">
        <w:t>Participation aux nouvelles initiatives de la CFP</w:t>
      </w:r>
      <w:r>
        <w:t xml:space="preserve"> </w:t>
      </w:r>
    </w:p>
    <w:p w14:paraId="2A1EFDCD" w14:textId="18148F78" w:rsidR="002944FE" w:rsidRPr="0059341A" w:rsidRDefault="008D2DAE" w:rsidP="002944FE">
      <w:pPr>
        <w:contextualSpacing/>
        <w:rPr>
          <w:rFonts w:asciiTheme="minorHAnsi" w:eastAsia="Calibri" w:hAnsiTheme="minorHAnsi" w:cstheme="minorHAnsi"/>
          <w:sz w:val="22"/>
          <w:szCs w:val="22"/>
        </w:rPr>
      </w:pPr>
      <w:r w:rsidRPr="0059341A">
        <w:rPr>
          <w:rFonts w:asciiTheme="minorHAnsi" w:eastAsia="Calibri" w:hAnsiTheme="minorHAnsi" w:cstheme="minorHAnsi"/>
          <w:sz w:val="22"/>
          <w:szCs w:val="22"/>
        </w:rPr>
        <w:t>La </w:t>
      </w:r>
      <w:r w:rsidR="009A3A08" w:rsidRPr="0059341A">
        <w:rPr>
          <w:rFonts w:asciiTheme="minorHAnsi" w:eastAsia="Calibri" w:hAnsiTheme="minorHAnsi" w:cstheme="minorHAnsi"/>
          <w:sz w:val="22"/>
          <w:szCs w:val="22"/>
        </w:rPr>
        <w:t xml:space="preserve">CCG a affiché </w:t>
      </w:r>
      <w:r w:rsidR="00CB0CFB">
        <w:rPr>
          <w:rFonts w:asciiTheme="minorHAnsi" w:eastAsia="Calibri" w:hAnsiTheme="minorHAnsi" w:cstheme="minorHAnsi"/>
          <w:sz w:val="22"/>
          <w:szCs w:val="22"/>
        </w:rPr>
        <w:t>4</w:t>
      </w:r>
      <w:r w:rsidR="009A3A08" w:rsidRPr="0059341A">
        <w:rPr>
          <w:rFonts w:asciiTheme="minorHAnsi" w:eastAsia="Calibri" w:hAnsiTheme="minorHAnsi" w:cstheme="minorHAnsi"/>
          <w:sz w:val="22"/>
          <w:szCs w:val="22"/>
        </w:rPr>
        <w:t xml:space="preserve"> processus de nomination externes </w:t>
      </w:r>
      <w:r w:rsidR="00874683" w:rsidRPr="0059341A">
        <w:rPr>
          <w:rFonts w:asciiTheme="minorHAnsi" w:eastAsia="Calibri" w:hAnsiTheme="minorHAnsi" w:cstheme="minorHAnsi"/>
          <w:sz w:val="22"/>
          <w:szCs w:val="22"/>
        </w:rPr>
        <w:t>faisant appel</w:t>
      </w:r>
      <w:r w:rsidR="009A3A08" w:rsidRPr="0059341A">
        <w:rPr>
          <w:rFonts w:asciiTheme="minorHAnsi" w:eastAsia="Calibri" w:hAnsiTheme="minorHAnsi" w:cstheme="minorHAnsi"/>
          <w:sz w:val="22"/>
          <w:szCs w:val="22"/>
        </w:rPr>
        <w:t xml:space="preserve"> au</w:t>
      </w:r>
      <w:r w:rsidR="008F7795" w:rsidRPr="0059341A">
        <w:rPr>
          <w:rFonts w:asciiTheme="minorHAnsi" w:eastAsia="Calibri" w:hAnsiTheme="minorHAnsi" w:cstheme="minorHAnsi"/>
          <w:sz w:val="22"/>
          <w:szCs w:val="22"/>
        </w:rPr>
        <w:t xml:space="preserve"> nouveau test de </w:t>
      </w:r>
      <w:r w:rsidR="009A3A08" w:rsidRPr="0059341A">
        <w:rPr>
          <w:rFonts w:asciiTheme="minorHAnsi" w:eastAsia="Calibri" w:hAnsiTheme="minorHAnsi" w:cstheme="minorHAnsi"/>
          <w:sz w:val="22"/>
          <w:szCs w:val="22"/>
        </w:rPr>
        <w:t>langue seconde non supervisé de la CFP (TELNS d’ELS)</w:t>
      </w:r>
      <w:r w:rsidR="00874683" w:rsidRPr="0059341A">
        <w:rPr>
          <w:rFonts w:asciiTheme="minorHAnsi" w:eastAsia="Calibri" w:hAnsiTheme="minorHAnsi" w:cstheme="minorHAnsi"/>
          <w:sz w:val="22"/>
          <w:szCs w:val="22"/>
        </w:rPr>
        <w:t>, lequel</w:t>
      </w:r>
      <w:r w:rsidR="009A3A08" w:rsidRPr="0059341A">
        <w:rPr>
          <w:rFonts w:asciiTheme="minorHAnsi" w:eastAsia="Calibri" w:hAnsiTheme="minorHAnsi" w:cstheme="minorHAnsi"/>
          <w:sz w:val="22"/>
          <w:szCs w:val="22"/>
        </w:rPr>
        <w:t xml:space="preserve"> </w:t>
      </w:r>
      <w:r w:rsidRPr="0059341A">
        <w:rPr>
          <w:rFonts w:asciiTheme="minorHAnsi" w:eastAsia="Calibri" w:hAnsiTheme="minorHAnsi" w:cstheme="minorHAnsi"/>
          <w:sz w:val="22"/>
          <w:szCs w:val="22"/>
        </w:rPr>
        <w:t>p</w:t>
      </w:r>
      <w:r w:rsidR="008F7795" w:rsidRPr="0059341A">
        <w:rPr>
          <w:rFonts w:asciiTheme="minorHAnsi" w:eastAsia="Calibri" w:hAnsiTheme="minorHAnsi" w:cstheme="minorHAnsi"/>
          <w:sz w:val="22"/>
          <w:szCs w:val="22"/>
        </w:rPr>
        <w:t>ermet d’</w:t>
      </w:r>
      <w:r w:rsidR="009A3A08" w:rsidRPr="0059341A">
        <w:rPr>
          <w:rFonts w:asciiTheme="minorHAnsi" w:eastAsia="Calibri" w:hAnsiTheme="minorHAnsi" w:cstheme="minorHAnsi"/>
          <w:sz w:val="22"/>
          <w:szCs w:val="22"/>
        </w:rPr>
        <w:t xml:space="preserve">évaluer les compétences en </w:t>
      </w:r>
      <w:r w:rsidR="00CB0CFB">
        <w:rPr>
          <w:rFonts w:asciiTheme="minorHAnsi" w:eastAsia="Calibri" w:hAnsiTheme="minorHAnsi" w:cstheme="minorHAnsi"/>
          <w:sz w:val="22"/>
          <w:szCs w:val="22"/>
        </w:rPr>
        <w:t>c</w:t>
      </w:r>
      <w:r w:rsidR="00CB0CFB" w:rsidRPr="00CB0CFB">
        <w:rPr>
          <w:rFonts w:asciiTheme="minorHAnsi" w:eastAsia="Calibri" w:hAnsiTheme="minorHAnsi" w:cstheme="minorHAnsi"/>
          <w:sz w:val="22"/>
          <w:szCs w:val="22"/>
        </w:rPr>
        <w:t>ompréhension de l’écrit</w:t>
      </w:r>
      <w:r w:rsidR="00CB0CFB">
        <w:rPr>
          <w:rFonts w:asciiTheme="minorHAnsi" w:eastAsia="Calibri" w:hAnsiTheme="minorHAnsi" w:cstheme="minorHAnsi"/>
          <w:sz w:val="22"/>
          <w:szCs w:val="22"/>
        </w:rPr>
        <w:t xml:space="preserve"> et expression écrite</w:t>
      </w:r>
      <w:r w:rsidR="009A3A08" w:rsidRPr="0059341A">
        <w:rPr>
          <w:rFonts w:asciiTheme="minorHAnsi" w:eastAsia="Calibri" w:hAnsiTheme="minorHAnsi" w:cstheme="minorHAnsi"/>
          <w:sz w:val="22"/>
          <w:szCs w:val="22"/>
        </w:rPr>
        <w:t>.</w:t>
      </w:r>
      <w:r w:rsidRPr="0059341A">
        <w:rPr>
          <w:rFonts w:asciiTheme="minorHAnsi" w:eastAsia="Calibri" w:hAnsiTheme="minorHAnsi" w:cstheme="minorHAnsi"/>
          <w:sz w:val="22"/>
          <w:szCs w:val="22"/>
        </w:rPr>
        <w:t xml:space="preserve"> L’objectif était de doter des postes</w:t>
      </w:r>
      <w:r w:rsidR="008F7795" w:rsidRPr="0059341A">
        <w:rPr>
          <w:rFonts w:asciiTheme="minorHAnsi" w:eastAsia="Calibri" w:hAnsiTheme="minorHAnsi" w:cstheme="minorHAnsi"/>
          <w:sz w:val="22"/>
          <w:szCs w:val="22"/>
        </w:rPr>
        <w:t xml:space="preserve"> bilingues </w:t>
      </w:r>
      <w:r w:rsidR="00D56ED4" w:rsidRPr="0059341A">
        <w:rPr>
          <w:rFonts w:asciiTheme="minorHAnsi" w:eastAsia="Calibri" w:hAnsiTheme="minorHAnsi" w:cstheme="minorHAnsi"/>
          <w:sz w:val="22"/>
          <w:szCs w:val="22"/>
        </w:rPr>
        <w:t>(</w:t>
      </w:r>
      <w:r w:rsidR="008F7795" w:rsidRPr="0059341A">
        <w:rPr>
          <w:rFonts w:asciiTheme="minorHAnsi" w:eastAsia="Calibri" w:hAnsiTheme="minorHAnsi" w:cstheme="minorHAnsi"/>
          <w:sz w:val="22"/>
          <w:szCs w:val="22"/>
        </w:rPr>
        <w:t>niveau BBB/BBB impératif</w:t>
      </w:r>
      <w:r w:rsidRPr="0059341A">
        <w:rPr>
          <w:rFonts w:asciiTheme="minorHAnsi" w:eastAsia="Calibri" w:hAnsiTheme="minorHAnsi" w:cstheme="minorHAnsi"/>
          <w:sz w:val="22"/>
          <w:szCs w:val="22"/>
        </w:rPr>
        <w:t xml:space="preserve"> </w:t>
      </w:r>
      <w:r w:rsidR="00D56ED4" w:rsidRPr="0059341A">
        <w:rPr>
          <w:rFonts w:asciiTheme="minorHAnsi" w:eastAsia="Calibri" w:hAnsiTheme="minorHAnsi" w:cstheme="minorHAnsi"/>
          <w:sz w:val="22"/>
          <w:szCs w:val="22"/>
        </w:rPr>
        <w:t xml:space="preserve">à la nomination), </w:t>
      </w:r>
      <w:r w:rsidRPr="0059341A">
        <w:rPr>
          <w:rFonts w:asciiTheme="minorHAnsi" w:eastAsia="Calibri" w:hAnsiTheme="minorHAnsi" w:cstheme="minorHAnsi"/>
          <w:sz w:val="22"/>
          <w:szCs w:val="22"/>
        </w:rPr>
        <w:t>tous dans la région du Québec. Au total, 710 personnes ont posé leur candidature</w:t>
      </w:r>
      <w:r w:rsidR="008F7795" w:rsidRPr="0059341A">
        <w:rPr>
          <w:rFonts w:asciiTheme="minorHAnsi" w:eastAsia="Calibri" w:hAnsiTheme="minorHAnsi" w:cstheme="minorHAnsi"/>
          <w:sz w:val="22"/>
          <w:szCs w:val="22"/>
        </w:rPr>
        <w:t>,</w:t>
      </w:r>
      <w:r w:rsidRPr="0059341A">
        <w:rPr>
          <w:rFonts w:asciiTheme="minorHAnsi" w:eastAsia="Calibri" w:hAnsiTheme="minorHAnsi" w:cstheme="minorHAnsi"/>
          <w:sz w:val="22"/>
          <w:szCs w:val="22"/>
        </w:rPr>
        <w:t xml:space="preserve"> </w:t>
      </w:r>
      <w:r w:rsidR="008F7795" w:rsidRPr="0059341A">
        <w:rPr>
          <w:rFonts w:asciiTheme="minorHAnsi" w:eastAsia="Calibri" w:hAnsiTheme="minorHAnsi" w:cstheme="minorHAnsi"/>
          <w:sz w:val="22"/>
          <w:szCs w:val="22"/>
        </w:rPr>
        <w:t>et 14</w:t>
      </w:r>
      <w:r w:rsidR="00717001" w:rsidRPr="0059341A">
        <w:rPr>
          <w:rFonts w:asciiTheme="minorHAnsi" w:eastAsia="Calibri" w:hAnsiTheme="minorHAnsi" w:cstheme="minorHAnsi"/>
          <w:sz w:val="22"/>
          <w:szCs w:val="22"/>
        </w:rPr>
        <w:t> </w:t>
      </w:r>
      <w:r w:rsidR="008F7795" w:rsidRPr="0059341A">
        <w:rPr>
          <w:rFonts w:asciiTheme="minorHAnsi" w:eastAsia="Calibri" w:hAnsiTheme="minorHAnsi" w:cstheme="minorHAnsi"/>
          <w:sz w:val="22"/>
          <w:szCs w:val="22"/>
        </w:rPr>
        <w:t xml:space="preserve">TELNS d’ELS ont été réalisés dans le cadre des </w:t>
      </w:r>
      <w:r w:rsidRPr="0059341A">
        <w:rPr>
          <w:rFonts w:asciiTheme="minorHAnsi" w:eastAsia="Calibri" w:hAnsiTheme="minorHAnsi" w:cstheme="minorHAnsi"/>
          <w:sz w:val="22"/>
          <w:szCs w:val="22"/>
        </w:rPr>
        <w:t>quatre processus de nomination suivants</w:t>
      </w:r>
      <w:r w:rsidR="008F7795" w:rsidRPr="0059341A">
        <w:rPr>
          <w:rFonts w:asciiTheme="minorHAnsi" w:eastAsia="Calibri" w:hAnsiTheme="minorHAnsi" w:cstheme="minorHAnsi"/>
          <w:sz w:val="22"/>
          <w:szCs w:val="22"/>
        </w:rPr>
        <w:t> </w:t>
      </w:r>
      <w:r w:rsidRPr="0059341A">
        <w:rPr>
          <w:rFonts w:asciiTheme="minorHAnsi" w:eastAsia="Calibri" w:hAnsiTheme="minorHAnsi" w:cstheme="minorHAnsi"/>
          <w:sz w:val="22"/>
          <w:szCs w:val="22"/>
        </w:rPr>
        <w:t>:</w:t>
      </w:r>
    </w:p>
    <w:p w14:paraId="01FB6E0E" w14:textId="2F51200C" w:rsidR="002944FE" w:rsidRPr="0059341A" w:rsidRDefault="0077636A" w:rsidP="004E01DF">
      <w:pPr>
        <w:numPr>
          <w:ilvl w:val="0"/>
          <w:numId w:val="6"/>
        </w:numPr>
        <w:rPr>
          <w:rFonts w:asciiTheme="minorHAnsi" w:eastAsia="Calibri" w:hAnsiTheme="minorHAnsi" w:cstheme="minorHAnsi"/>
          <w:sz w:val="22"/>
          <w:szCs w:val="22"/>
        </w:rPr>
      </w:pPr>
      <w:r w:rsidRPr="0059341A">
        <w:rPr>
          <w:rFonts w:asciiTheme="minorHAnsi" w:eastAsia="Calibri" w:hAnsiTheme="minorHAnsi" w:cstheme="minorHAnsi"/>
          <w:sz w:val="22"/>
          <w:szCs w:val="22"/>
        </w:rPr>
        <w:lastRenderedPageBreak/>
        <w:t>1 processus de nomination concern</w:t>
      </w:r>
      <w:r w:rsidR="00134B64" w:rsidRPr="0059341A">
        <w:rPr>
          <w:rFonts w:asciiTheme="minorHAnsi" w:eastAsia="Calibri" w:hAnsiTheme="minorHAnsi" w:cstheme="minorHAnsi"/>
          <w:sz w:val="22"/>
          <w:szCs w:val="22"/>
        </w:rPr>
        <w:t xml:space="preserve">ant un poste </w:t>
      </w:r>
      <w:r w:rsidRPr="0059341A">
        <w:rPr>
          <w:rFonts w:asciiTheme="minorHAnsi" w:eastAsia="Calibri" w:hAnsiTheme="minorHAnsi" w:cstheme="minorHAnsi"/>
          <w:sz w:val="22"/>
          <w:szCs w:val="22"/>
        </w:rPr>
        <w:t>d’adjoint administratif – services généraux</w:t>
      </w:r>
      <w:r w:rsidR="00134B64" w:rsidRPr="0059341A">
        <w:rPr>
          <w:rFonts w:asciiTheme="minorHAnsi" w:eastAsia="Calibri" w:hAnsiTheme="minorHAnsi" w:cstheme="minorHAnsi"/>
          <w:sz w:val="22"/>
          <w:szCs w:val="22"/>
        </w:rPr>
        <w:t> (CR</w:t>
      </w:r>
      <w:r w:rsidR="00134B64" w:rsidRPr="0059341A">
        <w:rPr>
          <w:rFonts w:asciiTheme="minorHAnsi" w:eastAsia="Calibri" w:hAnsiTheme="minorHAnsi" w:cstheme="minorHAnsi"/>
          <w:sz w:val="22"/>
          <w:szCs w:val="22"/>
        </w:rPr>
        <w:noBreakHyphen/>
        <w:t>05)</w:t>
      </w:r>
      <w:r w:rsidR="002944FE" w:rsidRPr="0059341A">
        <w:rPr>
          <w:rFonts w:asciiTheme="minorHAnsi" w:eastAsia="Calibri" w:hAnsiTheme="minorHAnsi" w:cstheme="minorHAnsi"/>
          <w:sz w:val="22"/>
          <w:szCs w:val="22"/>
        </w:rPr>
        <w:t>;</w:t>
      </w:r>
    </w:p>
    <w:p w14:paraId="25B9B4A0" w14:textId="5C10B12C" w:rsidR="002944FE" w:rsidRPr="0059341A" w:rsidRDefault="0077636A" w:rsidP="004E01DF">
      <w:pPr>
        <w:numPr>
          <w:ilvl w:val="0"/>
          <w:numId w:val="6"/>
        </w:numPr>
        <w:rPr>
          <w:rFonts w:asciiTheme="minorHAnsi" w:eastAsia="Calibri" w:hAnsiTheme="minorHAnsi" w:cstheme="minorHAnsi"/>
          <w:sz w:val="22"/>
          <w:szCs w:val="22"/>
        </w:rPr>
      </w:pPr>
      <w:r w:rsidRPr="0059341A">
        <w:rPr>
          <w:rFonts w:asciiTheme="minorHAnsi" w:eastAsia="Calibri" w:hAnsiTheme="minorHAnsi" w:cstheme="minorHAnsi"/>
          <w:sz w:val="22"/>
          <w:szCs w:val="22"/>
        </w:rPr>
        <w:t>2 processus de nomination concernant des postes de technicien responsable de l’équipement et des normes</w:t>
      </w:r>
      <w:r w:rsidR="00134B64" w:rsidRPr="0059341A">
        <w:rPr>
          <w:rFonts w:asciiTheme="minorHAnsi" w:eastAsia="Calibri" w:hAnsiTheme="minorHAnsi" w:cstheme="minorHAnsi"/>
          <w:sz w:val="22"/>
          <w:szCs w:val="22"/>
        </w:rPr>
        <w:t> (EG</w:t>
      </w:r>
      <w:r w:rsidR="00134B64" w:rsidRPr="0059341A">
        <w:rPr>
          <w:rFonts w:asciiTheme="minorHAnsi" w:eastAsia="Calibri" w:hAnsiTheme="minorHAnsi" w:cstheme="minorHAnsi"/>
          <w:sz w:val="22"/>
          <w:szCs w:val="22"/>
        </w:rPr>
        <w:noBreakHyphen/>
        <w:t>03)</w:t>
      </w:r>
      <w:r w:rsidR="002944FE" w:rsidRPr="0059341A">
        <w:rPr>
          <w:rFonts w:asciiTheme="minorHAnsi" w:eastAsia="Calibri" w:hAnsiTheme="minorHAnsi" w:cstheme="minorHAnsi"/>
          <w:sz w:val="22"/>
          <w:szCs w:val="22"/>
        </w:rPr>
        <w:t>;</w:t>
      </w:r>
    </w:p>
    <w:p w14:paraId="6053380A" w14:textId="6E89130A" w:rsidR="002944FE" w:rsidRPr="0059341A" w:rsidRDefault="00134B64" w:rsidP="0059341A">
      <w:pPr>
        <w:numPr>
          <w:ilvl w:val="0"/>
          <w:numId w:val="6"/>
        </w:numPr>
        <w:spacing w:after="120"/>
        <w:rPr>
          <w:rFonts w:asciiTheme="minorHAnsi" w:eastAsia="Calibri" w:hAnsiTheme="minorHAnsi" w:cstheme="minorHAnsi"/>
          <w:sz w:val="22"/>
          <w:szCs w:val="22"/>
        </w:rPr>
      </w:pPr>
      <w:r w:rsidRPr="0059341A">
        <w:rPr>
          <w:rFonts w:asciiTheme="minorHAnsi" w:hAnsiTheme="minorHAnsi" w:cstheme="minorHAnsi"/>
          <w:sz w:val="22"/>
          <w:szCs w:val="22"/>
        </w:rPr>
        <w:t xml:space="preserve">1 processus de </w:t>
      </w:r>
      <w:r w:rsidR="002376F2" w:rsidRPr="0059341A">
        <w:rPr>
          <w:rFonts w:asciiTheme="minorHAnsi" w:hAnsiTheme="minorHAnsi" w:cstheme="minorHAnsi"/>
          <w:sz w:val="22"/>
          <w:szCs w:val="22"/>
        </w:rPr>
        <w:t xml:space="preserve">nomination </w:t>
      </w:r>
      <w:r w:rsidRPr="0059341A">
        <w:rPr>
          <w:rFonts w:asciiTheme="minorHAnsi" w:hAnsiTheme="minorHAnsi" w:cstheme="minorHAnsi"/>
          <w:sz w:val="22"/>
          <w:szCs w:val="22"/>
        </w:rPr>
        <w:t>concernant un poste d’inspecteur des grains stagiaire (</w:t>
      </w:r>
      <w:r w:rsidR="008D2DAE" w:rsidRPr="0059341A">
        <w:rPr>
          <w:rFonts w:asciiTheme="minorHAnsi" w:eastAsia="Calibri" w:hAnsiTheme="minorHAnsi" w:cstheme="minorHAnsi"/>
          <w:sz w:val="22"/>
          <w:szCs w:val="22"/>
        </w:rPr>
        <w:t>PI</w:t>
      </w:r>
      <w:r w:rsidR="008D2DAE" w:rsidRPr="0059341A">
        <w:rPr>
          <w:rFonts w:asciiTheme="minorHAnsi" w:eastAsia="Calibri" w:hAnsiTheme="minorHAnsi" w:cstheme="minorHAnsi"/>
          <w:sz w:val="22"/>
          <w:szCs w:val="22"/>
        </w:rPr>
        <w:noBreakHyphen/>
        <w:t>CGC</w:t>
      </w:r>
      <w:r w:rsidR="008D2DAE" w:rsidRPr="0059341A">
        <w:rPr>
          <w:rFonts w:asciiTheme="minorHAnsi" w:eastAsia="Calibri" w:hAnsiTheme="minorHAnsi" w:cstheme="minorHAnsi"/>
          <w:sz w:val="22"/>
          <w:szCs w:val="22"/>
        </w:rPr>
        <w:noBreakHyphen/>
        <w:t>01) dans le cadre du </w:t>
      </w:r>
      <w:r w:rsidRPr="0059341A">
        <w:rPr>
          <w:rFonts w:asciiTheme="minorHAnsi" w:eastAsia="Calibri" w:hAnsiTheme="minorHAnsi" w:cstheme="minorHAnsi"/>
          <w:sz w:val="22"/>
          <w:szCs w:val="22"/>
        </w:rPr>
        <w:t xml:space="preserve">PPPA d’une durée de </w:t>
      </w:r>
      <w:r w:rsidR="00F7076C" w:rsidRPr="0059341A">
        <w:rPr>
          <w:rFonts w:asciiTheme="minorHAnsi" w:eastAsia="Calibri" w:hAnsiTheme="minorHAnsi" w:cstheme="minorHAnsi"/>
          <w:sz w:val="22"/>
          <w:szCs w:val="22"/>
        </w:rPr>
        <w:t>quatre ans destinés</w:t>
      </w:r>
      <w:r w:rsidRPr="0059341A">
        <w:rPr>
          <w:rFonts w:asciiTheme="minorHAnsi" w:eastAsia="Calibri" w:hAnsiTheme="minorHAnsi" w:cstheme="minorHAnsi"/>
          <w:sz w:val="22"/>
          <w:szCs w:val="22"/>
        </w:rPr>
        <w:t xml:space="preserve"> aux inspecteurs de grain</w:t>
      </w:r>
      <w:r w:rsidR="005C2EB8" w:rsidRPr="0059341A">
        <w:rPr>
          <w:rFonts w:asciiTheme="minorHAnsi" w:eastAsia="Calibri" w:hAnsiTheme="minorHAnsi" w:cstheme="minorHAnsi"/>
          <w:sz w:val="22"/>
          <w:szCs w:val="22"/>
        </w:rPr>
        <w:t>s</w:t>
      </w:r>
      <w:r w:rsidRPr="0059341A">
        <w:rPr>
          <w:rFonts w:asciiTheme="minorHAnsi" w:eastAsia="Calibri" w:hAnsiTheme="minorHAnsi" w:cstheme="minorHAnsi"/>
          <w:sz w:val="22"/>
          <w:szCs w:val="22"/>
        </w:rPr>
        <w:t>.</w:t>
      </w:r>
    </w:p>
    <w:p w14:paraId="5D5145EA" w14:textId="23FD0F7D" w:rsidR="002944FE" w:rsidRPr="00671B35" w:rsidRDefault="00F7076C" w:rsidP="0059341A">
      <w:pPr>
        <w:pStyle w:val="Heading2"/>
        <w:spacing w:before="0" w:after="120"/>
      </w:pPr>
      <w:r w:rsidRPr="00671B35">
        <w:t>Participation à des initiatives liées à l'embauche des autochtones</w:t>
      </w:r>
    </w:p>
    <w:p w14:paraId="5808E5E4" w14:textId="3E2B3235" w:rsidR="002944FE" w:rsidRPr="0059341A" w:rsidRDefault="008D2DAE" w:rsidP="0059341A">
      <w:pPr>
        <w:pStyle w:val="NormalWeb"/>
        <w:spacing w:before="0" w:beforeAutospacing="0" w:after="120" w:afterAutospacing="0"/>
        <w:rPr>
          <w:rFonts w:asciiTheme="minorHAnsi" w:hAnsiTheme="minorHAnsi" w:cstheme="minorHAnsi"/>
        </w:rPr>
      </w:pPr>
      <w:r w:rsidRPr="0059341A">
        <w:rPr>
          <w:rFonts w:asciiTheme="minorHAnsi" w:eastAsia="Calibri" w:hAnsiTheme="minorHAnsi" w:cstheme="minorHAnsi"/>
          <w:sz w:val="22"/>
          <w:szCs w:val="22"/>
        </w:rPr>
        <w:t>Bien que la </w:t>
      </w:r>
      <w:r w:rsidR="00134B64" w:rsidRPr="0059341A">
        <w:rPr>
          <w:rFonts w:asciiTheme="minorHAnsi" w:eastAsia="Calibri" w:hAnsiTheme="minorHAnsi" w:cstheme="minorHAnsi"/>
          <w:sz w:val="22"/>
          <w:szCs w:val="22"/>
        </w:rPr>
        <w:t xml:space="preserve">CCG n’ait pas encore pris part à cette initiative, le Centre d’expertise autochtone de la CFP et le Bureau du dirigeant principal des ressources humaines (BDPRH) du Secrétariat du Conseil du Trésor ont mis au point un </w:t>
      </w:r>
      <w:r w:rsidR="00A741B3" w:rsidRPr="0059341A">
        <w:rPr>
          <w:rFonts w:asciiTheme="minorHAnsi" w:eastAsia="Calibri" w:hAnsiTheme="minorHAnsi" w:cstheme="minorHAnsi"/>
          <w:sz w:val="22"/>
          <w:szCs w:val="22"/>
        </w:rPr>
        <w:t>Parcours de carrière pour Autochtones</w:t>
      </w:r>
      <w:r w:rsidRPr="0059341A">
        <w:rPr>
          <w:rFonts w:asciiTheme="minorHAnsi" w:eastAsia="Calibri" w:hAnsiTheme="minorHAnsi" w:cstheme="minorHAnsi"/>
          <w:sz w:val="22"/>
          <w:szCs w:val="22"/>
        </w:rPr>
        <w:t> </w:t>
      </w:r>
      <w:r w:rsidR="00A741B3" w:rsidRPr="0059341A">
        <w:rPr>
          <w:rFonts w:asciiTheme="minorHAnsi" w:eastAsia="Calibri" w:hAnsiTheme="minorHAnsi" w:cstheme="minorHAnsi"/>
          <w:sz w:val="22"/>
          <w:szCs w:val="22"/>
        </w:rPr>
        <w:t>(PC</w:t>
      </w:r>
      <w:r w:rsidR="00134B64" w:rsidRPr="0059341A">
        <w:rPr>
          <w:rFonts w:asciiTheme="minorHAnsi" w:eastAsia="Calibri" w:hAnsiTheme="minorHAnsi" w:cstheme="minorHAnsi"/>
          <w:sz w:val="22"/>
          <w:szCs w:val="22"/>
        </w:rPr>
        <w:t>A) qui pourrait intéresser la</w:t>
      </w:r>
      <w:r w:rsidRPr="0059341A">
        <w:rPr>
          <w:rFonts w:asciiTheme="minorHAnsi" w:eastAsia="Calibri" w:hAnsiTheme="minorHAnsi" w:cstheme="minorHAnsi"/>
          <w:sz w:val="22"/>
          <w:szCs w:val="22"/>
        </w:rPr>
        <w:t> </w:t>
      </w:r>
      <w:r w:rsidR="00134B64" w:rsidRPr="0059341A">
        <w:rPr>
          <w:rFonts w:asciiTheme="minorHAnsi" w:eastAsia="Calibri" w:hAnsiTheme="minorHAnsi" w:cstheme="minorHAnsi"/>
          <w:sz w:val="22"/>
          <w:szCs w:val="22"/>
        </w:rPr>
        <w:t>CCG.</w:t>
      </w:r>
    </w:p>
    <w:p w14:paraId="68684194" w14:textId="4B021E94" w:rsidR="002944FE" w:rsidRPr="0059341A" w:rsidRDefault="008D2DAE" w:rsidP="002944FE">
      <w:pPr>
        <w:rPr>
          <w:rFonts w:asciiTheme="minorHAnsi" w:eastAsia="Calibri" w:hAnsiTheme="minorHAnsi" w:cstheme="minorHAnsi"/>
          <w:sz w:val="22"/>
          <w:szCs w:val="22"/>
        </w:rPr>
      </w:pPr>
      <w:r w:rsidRPr="0059341A">
        <w:rPr>
          <w:rFonts w:asciiTheme="minorHAnsi" w:eastAsia="Calibri" w:hAnsiTheme="minorHAnsi" w:cstheme="minorHAnsi"/>
          <w:sz w:val="22"/>
          <w:szCs w:val="22"/>
        </w:rPr>
        <w:t>Le </w:t>
      </w:r>
      <w:r w:rsidR="00A741B3" w:rsidRPr="0059341A">
        <w:rPr>
          <w:rFonts w:asciiTheme="minorHAnsi" w:eastAsia="Calibri" w:hAnsiTheme="minorHAnsi" w:cstheme="minorHAnsi"/>
          <w:sz w:val="22"/>
          <w:szCs w:val="22"/>
        </w:rPr>
        <w:t>PC</w:t>
      </w:r>
      <w:r w:rsidR="00134B64" w:rsidRPr="0059341A">
        <w:rPr>
          <w:rFonts w:asciiTheme="minorHAnsi" w:eastAsia="Calibri" w:hAnsiTheme="minorHAnsi" w:cstheme="minorHAnsi"/>
          <w:sz w:val="22"/>
          <w:szCs w:val="22"/>
        </w:rPr>
        <w:t>A fournit aux gestionnaire</w:t>
      </w:r>
      <w:r w:rsidR="000621D3" w:rsidRPr="0059341A">
        <w:rPr>
          <w:rFonts w:asciiTheme="minorHAnsi" w:eastAsia="Calibri" w:hAnsiTheme="minorHAnsi" w:cstheme="minorHAnsi"/>
          <w:sz w:val="22"/>
          <w:szCs w:val="22"/>
        </w:rPr>
        <w:t>s</w:t>
      </w:r>
      <w:r w:rsidR="00134B64" w:rsidRPr="0059341A">
        <w:rPr>
          <w:rFonts w:asciiTheme="minorHAnsi" w:eastAsia="Calibri" w:hAnsiTheme="minorHAnsi" w:cstheme="minorHAnsi"/>
          <w:sz w:val="22"/>
          <w:szCs w:val="22"/>
        </w:rPr>
        <w:t xml:space="preserve"> et aux spécialistes des ressources humaines une expertise et du soutien en matière de recrutement </w:t>
      </w:r>
      <w:r w:rsidR="00CE4F12" w:rsidRPr="0059341A">
        <w:rPr>
          <w:rFonts w:asciiTheme="minorHAnsi" w:eastAsia="Calibri" w:hAnsiTheme="minorHAnsi" w:cstheme="minorHAnsi"/>
          <w:sz w:val="22"/>
          <w:szCs w:val="22"/>
        </w:rPr>
        <w:t>de personnes autochtones</w:t>
      </w:r>
      <w:r w:rsidR="00134B64" w:rsidRPr="0059341A">
        <w:rPr>
          <w:rFonts w:asciiTheme="minorHAnsi" w:eastAsia="Calibri" w:hAnsiTheme="minorHAnsi" w:cstheme="minorHAnsi"/>
          <w:sz w:val="22"/>
          <w:szCs w:val="22"/>
        </w:rPr>
        <w:t>, et il combine deux outils :</w:t>
      </w:r>
    </w:p>
    <w:p w14:paraId="02A8BE3C" w14:textId="34D2F5E6" w:rsidR="002944FE" w:rsidRPr="0059341A" w:rsidRDefault="001E16B6" w:rsidP="004E01DF">
      <w:pPr>
        <w:numPr>
          <w:ilvl w:val="0"/>
          <w:numId w:val="8"/>
        </w:numPr>
        <w:rPr>
          <w:rFonts w:asciiTheme="minorHAnsi" w:hAnsiTheme="minorHAnsi" w:cstheme="minorHAnsi"/>
          <w:sz w:val="22"/>
          <w:szCs w:val="22"/>
        </w:rPr>
      </w:pPr>
      <w:hyperlink r:id="rId12" w:history="1">
        <w:r w:rsidR="00652AA6" w:rsidRPr="00001823">
          <w:rPr>
            <w:rStyle w:val="Hyperlink"/>
            <w:rFonts w:asciiTheme="minorHAnsi" w:hAnsiTheme="minorHAnsi" w:cstheme="minorHAnsi"/>
            <w:color w:val="auto"/>
            <w:sz w:val="22"/>
            <w:szCs w:val="22"/>
            <w:u w:val="none"/>
          </w:rPr>
          <w:t>L’inventaire de postulants autochtones</w:t>
        </w:r>
      </w:hyperlink>
      <w:r w:rsidR="00134B64" w:rsidRPr="00001823">
        <w:rPr>
          <w:rFonts w:asciiTheme="minorHAnsi" w:eastAsia="Calibri" w:hAnsiTheme="minorHAnsi" w:cstheme="minorHAnsi"/>
          <w:sz w:val="22"/>
          <w:szCs w:val="22"/>
        </w:rPr>
        <w:t xml:space="preserve">, </w:t>
      </w:r>
      <w:r w:rsidR="00134B64" w:rsidRPr="00652AA6">
        <w:rPr>
          <w:rFonts w:asciiTheme="minorHAnsi" w:eastAsia="Calibri" w:hAnsiTheme="minorHAnsi" w:cstheme="minorHAnsi"/>
          <w:sz w:val="22"/>
          <w:szCs w:val="22"/>
        </w:rPr>
        <w:t>qui simplifie le jumelage entre les gestionnaires</w:t>
      </w:r>
      <w:r w:rsidR="00134B64" w:rsidRPr="0059341A">
        <w:rPr>
          <w:rFonts w:asciiTheme="minorHAnsi" w:eastAsia="Calibri" w:hAnsiTheme="minorHAnsi" w:cstheme="minorHAnsi"/>
          <w:sz w:val="22"/>
          <w:szCs w:val="22"/>
        </w:rPr>
        <w:t xml:space="preserve"> d’embauche et les candidats en trouvant des talents autochtones </w:t>
      </w:r>
      <w:r w:rsidR="00927766" w:rsidRPr="0059341A">
        <w:rPr>
          <w:rFonts w:asciiTheme="minorHAnsi" w:eastAsia="Calibri" w:hAnsiTheme="minorHAnsi" w:cstheme="minorHAnsi"/>
          <w:sz w:val="22"/>
          <w:szCs w:val="22"/>
        </w:rPr>
        <w:t>dans les</w:t>
      </w:r>
      <w:r w:rsidR="00134B64" w:rsidRPr="0059341A">
        <w:rPr>
          <w:rFonts w:asciiTheme="minorHAnsi" w:eastAsia="Calibri" w:hAnsiTheme="minorHAnsi" w:cstheme="minorHAnsi"/>
          <w:sz w:val="22"/>
          <w:szCs w:val="22"/>
        </w:rPr>
        <w:t xml:space="preserve"> répertoires existants de la</w:t>
      </w:r>
      <w:r w:rsidR="008D2DAE" w:rsidRPr="0059341A">
        <w:rPr>
          <w:rFonts w:asciiTheme="minorHAnsi" w:eastAsia="Calibri" w:hAnsiTheme="minorHAnsi" w:cstheme="minorHAnsi"/>
          <w:sz w:val="22"/>
          <w:szCs w:val="22"/>
        </w:rPr>
        <w:t> </w:t>
      </w:r>
      <w:r w:rsidR="00134B64" w:rsidRPr="0059341A">
        <w:rPr>
          <w:rFonts w:asciiTheme="minorHAnsi" w:eastAsia="Calibri" w:hAnsiTheme="minorHAnsi" w:cstheme="minorHAnsi"/>
          <w:sz w:val="22"/>
          <w:szCs w:val="22"/>
        </w:rPr>
        <w:t>CFP et en présentant de manière proactive leurs profils aux organisations fédé</w:t>
      </w:r>
      <w:r w:rsidR="00CE4F12" w:rsidRPr="0059341A">
        <w:rPr>
          <w:rFonts w:asciiTheme="minorHAnsi" w:eastAsia="Calibri" w:hAnsiTheme="minorHAnsi" w:cstheme="minorHAnsi"/>
          <w:sz w:val="22"/>
          <w:szCs w:val="22"/>
        </w:rPr>
        <w:t>rales :</w:t>
      </w:r>
    </w:p>
    <w:p w14:paraId="1E96B3C1" w14:textId="25C93B10" w:rsidR="002944FE" w:rsidRPr="0059341A" w:rsidRDefault="002944FE" w:rsidP="004E01DF">
      <w:pPr>
        <w:numPr>
          <w:ilvl w:val="1"/>
          <w:numId w:val="9"/>
        </w:numPr>
        <w:rPr>
          <w:rFonts w:asciiTheme="minorHAnsi" w:eastAsia="Calibri" w:hAnsiTheme="minorHAnsi" w:cstheme="minorHAnsi"/>
          <w:sz w:val="22"/>
          <w:szCs w:val="22"/>
        </w:rPr>
      </w:pPr>
      <w:r w:rsidRPr="0059341A">
        <w:rPr>
          <w:rFonts w:asciiTheme="minorHAnsi" w:eastAsia="Calibri" w:hAnsiTheme="minorHAnsi" w:cstheme="minorHAnsi"/>
          <w:sz w:val="22"/>
          <w:szCs w:val="22"/>
        </w:rPr>
        <w:t>12</w:t>
      </w:r>
      <w:r w:rsidR="00134B64" w:rsidRPr="0059341A">
        <w:rPr>
          <w:rFonts w:asciiTheme="minorHAnsi" w:eastAsia="Calibri" w:hAnsiTheme="minorHAnsi" w:cstheme="minorHAnsi"/>
          <w:sz w:val="22"/>
          <w:szCs w:val="22"/>
        </w:rPr>
        <w:t> étudiants sont actuellement disponibles</w:t>
      </w:r>
      <w:r w:rsidRPr="0059341A">
        <w:rPr>
          <w:rFonts w:asciiTheme="minorHAnsi" w:eastAsia="Calibri" w:hAnsiTheme="minorHAnsi" w:cstheme="minorHAnsi"/>
          <w:sz w:val="22"/>
          <w:szCs w:val="22"/>
          <w:vertAlign w:val="superscript"/>
        </w:rPr>
        <w:footnoteReference w:id="3"/>
      </w:r>
      <w:r w:rsidR="00CE4F12" w:rsidRPr="0059341A">
        <w:rPr>
          <w:rFonts w:asciiTheme="minorHAnsi" w:eastAsia="Calibri" w:hAnsiTheme="minorHAnsi" w:cstheme="minorHAnsi"/>
          <w:sz w:val="22"/>
          <w:szCs w:val="22"/>
        </w:rPr>
        <w:t>;</w:t>
      </w:r>
    </w:p>
    <w:p w14:paraId="167AB02F" w14:textId="33EBABA8" w:rsidR="002944FE" w:rsidRPr="0059341A" w:rsidRDefault="00134B64" w:rsidP="004E01DF">
      <w:pPr>
        <w:numPr>
          <w:ilvl w:val="1"/>
          <w:numId w:val="9"/>
        </w:numPr>
        <w:rPr>
          <w:rFonts w:asciiTheme="minorHAnsi" w:eastAsia="Calibri" w:hAnsiTheme="minorHAnsi" w:cstheme="minorHAnsi"/>
          <w:sz w:val="22"/>
          <w:szCs w:val="22"/>
        </w:rPr>
      </w:pPr>
      <w:r w:rsidRPr="0059341A">
        <w:rPr>
          <w:rFonts w:asciiTheme="minorHAnsi" w:eastAsia="Calibri" w:hAnsiTheme="minorHAnsi" w:cstheme="minorHAnsi"/>
          <w:sz w:val="22"/>
          <w:szCs w:val="22"/>
        </w:rPr>
        <w:t>8 diplômés sont actuellement disponibles</w:t>
      </w:r>
      <w:r w:rsidR="002944FE" w:rsidRPr="0059341A">
        <w:rPr>
          <w:rFonts w:asciiTheme="minorHAnsi" w:eastAsia="Calibri" w:hAnsiTheme="minorHAnsi" w:cstheme="minorHAnsi"/>
          <w:sz w:val="22"/>
          <w:szCs w:val="22"/>
          <w:vertAlign w:val="superscript"/>
        </w:rPr>
        <w:footnoteReference w:id="4"/>
      </w:r>
      <w:r w:rsidR="00CE4F12" w:rsidRPr="0059341A">
        <w:rPr>
          <w:rFonts w:asciiTheme="minorHAnsi" w:eastAsia="Calibri" w:hAnsiTheme="minorHAnsi" w:cstheme="minorHAnsi"/>
          <w:sz w:val="22"/>
          <w:szCs w:val="22"/>
        </w:rPr>
        <w:t>;</w:t>
      </w:r>
    </w:p>
    <w:p w14:paraId="7BC5C6F9" w14:textId="7116351C" w:rsidR="002944FE" w:rsidRPr="0059341A" w:rsidRDefault="00F7076C" w:rsidP="0059341A">
      <w:pPr>
        <w:pStyle w:val="ListParagraph"/>
        <w:numPr>
          <w:ilvl w:val="0"/>
          <w:numId w:val="8"/>
        </w:numPr>
        <w:spacing w:after="120"/>
        <w:rPr>
          <w:rFonts w:asciiTheme="minorHAnsi" w:eastAsia="Calibri" w:hAnsiTheme="minorHAnsi" w:cstheme="minorHAnsi"/>
          <w:sz w:val="22"/>
          <w:szCs w:val="22"/>
        </w:rPr>
      </w:pPr>
      <w:r w:rsidRPr="0059341A">
        <w:rPr>
          <w:rFonts w:asciiTheme="minorHAnsi" w:eastAsia="Calibri" w:hAnsiTheme="minorHAnsi" w:cstheme="minorHAnsi"/>
          <w:sz w:val="22"/>
          <w:szCs w:val="22"/>
        </w:rPr>
        <w:t>La</w:t>
      </w:r>
      <w:r w:rsidR="002944FE" w:rsidRPr="0059341A">
        <w:rPr>
          <w:rFonts w:asciiTheme="minorHAnsi" w:eastAsia="Calibri" w:hAnsiTheme="minorHAnsi" w:cstheme="minorHAnsi"/>
          <w:sz w:val="22"/>
          <w:szCs w:val="22"/>
        </w:rPr>
        <w:t xml:space="preserve"> </w:t>
      </w:r>
      <w:r w:rsidR="006461F2" w:rsidRPr="0059341A">
        <w:rPr>
          <w:rFonts w:asciiTheme="minorHAnsi" w:eastAsia="Calibri" w:hAnsiTheme="minorHAnsi" w:cstheme="minorHAnsi"/>
          <w:sz w:val="22"/>
          <w:szCs w:val="22"/>
        </w:rPr>
        <w:t>boîte à outils pour le recrutement et l</w:t>
      </w:r>
      <w:r w:rsidR="000621D3" w:rsidRPr="0059341A">
        <w:rPr>
          <w:rFonts w:asciiTheme="minorHAnsi" w:eastAsia="Calibri" w:hAnsiTheme="minorHAnsi" w:cstheme="minorHAnsi"/>
          <w:sz w:val="22"/>
          <w:szCs w:val="22"/>
        </w:rPr>
        <w:t>’</w:t>
      </w:r>
      <w:r w:rsidR="006461F2" w:rsidRPr="0059341A">
        <w:rPr>
          <w:rFonts w:asciiTheme="minorHAnsi" w:eastAsia="Calibri" w:hAnsiTheme="minorHAnsi" w:cstheme="minorHAnsi"/>
          <w:sz w:val="22"/>
          <w:szCs w:val="22"/>
        </w:rPr>
        <w:t>embauche des personnes autochtones</w:t>
      </w:r>
      <w:r w:rsidR="00134B64" w:rsidRPr="0059341A">
        <w:rPr>
          <w:rFonts w:asciiTheme="minorHAnsi" w:eastAsia="Calibri" w:hAnsiTheme="minorHAnsi" w:cstheme="minorHAnsi"/>
          <w:sz w:val="22"/>
          <w:szCs w:val="22"/>
        </w:rPr>
        <w:t>, qui</w:t>
      </w:r>
      <w:r w:rsidR="002944FE" w:rsidRPr="0059341A">
        <w:rPr>
          <w:rFonts w:asciiTheme="minorHAnsi" w:eastAsia="Calibri" w:hAnsiTheme="minorHAnsi" w:cstheme="minorHAnsi"/>
          <w:sz w:val="22"/>
          <w:szCs w:val="22"/>
        </w:rPr>
        <w:t xml:space="preserve"> </w:t>
      </w:r>
      <w:r w:rsidR="006461F2" w:rsidRPr="0059341A">
        <w:rPr>
          <w:rFonts w:asciiTheme="minorHAnsi" w:eastAsia="Calibri" w:hAnsiTheme="minorHAnsi" w:cstheme="minorHAnsi"/>
          <w:sz w:val="22"/>
          <w:szCs w:val="22"/>
        </w:rPr>
        <w:t xml:space="preserve">fournit des outils, des ressources et des conseils sur le recrutement </w:t>
      </w:r>
      <w:r w:rsidR="00927766" w:rsidRPr="0059341A">
        <w:rPr>
          <w:rFonts w:asciiTheme="minorHAnsi" w:eastAsia="Calibri" w:hAnsiTheme="minorHAnsi" w:cstheme="minorHAnsi"/>
          <w:sz w:val="22"/>
          <w:szCs w:val="22"/>
        </w:rPr>
        <w:t xml:space="preserve">des Autochtones </w:t>
      </w:r>
      <w:r w:rsidR="006461F2" w:rsidRPr="0059341A">
        <w:rPr>
          <w:rFonts w:asciiTheme="minorHAnsi" w:eastAsia="Calibri" w:hAnsiTheme="minorHAnsi" w:cstheme="minorHAnsi"/>
          <w:sz w:val="22"/>
          <w:szCs w:val="22"/>
        </w:rPr>
        <w:t xml:space="preserve">et le rayonnement </w:t>
      </w:r>
      <w:r w:rsidR="00134B64" w:rsidRPr="0059341A">
        <w:rPr>
          <w:rFonts w:asciiTheme="minorHAnsi" w:eastAsia="Calibri" w:hAnsiTheme="minorHAnsi" w:cstheme="minorHAnsi"/>
          <w:sz w:val="22"/>
          <w:szCs w:val="22"/>
        </w:rPr>
        <w:t xml:space="preserve">auprès </w:t>
      </w:r>
      <w:r w:rsidR="00927766" w:rsidRPr="0059341A">
        <w:rPr>
          <w:rFonts w:asciiTheme="minorHAnsi" w:eastAsia="Calibri" w:hAnsiTheme="minorHAnsi" w:cstheme="minorHAnsi"/>
          <w:sz w:val="22"/>
          <w:szCs w:val="22"/>
        </w:rPr>
        <w:t xml:space="preserve">d’eux </w:t>
      </w:r>
      <w:r w:rsidR="00134B64" w:rsidRPr="0059341A">
        <w:rPr>
          <w:rFonts w:asciiTheme="minorHAnsi" w:eastAsia="Calibri" w:hAnsiTheme="minorHAnsi" w:cstheme="minorHAnsi"/>
          <w:sz w:val="22"/>
          <w:szCs w:val="22"/>
        </w:rPr>
        <w:t xml:space="preserve">et qui </w:t>
      </w:r>
      <w:r w:rsidR="008D2DAE" w:rsidRPr="0059341A">
        <w:rPr>
          <w:rFonts w:asciiTheme="minorHAnsi" w:eastAsia="Calibri" w:hAnsiTheme="minorHAnsi" w:cstheme="minorHAnsi"/>
          <w:sz w:val="22"/>
          <w:szCs w:val="22"/>
        </w:rPr>
        <w:t>présente les initiatives offertes par la </w:t>
      </w:r>
      <w:r w:rsidR="006461F2" w:rsidRPr="0059341A">
        <w:rPr>
          <w:rFonts w:asciiTheme="minorHAnsi" w:eastAsia="Calibri" w:hAnsiTheme="minorHAnsi" w:cstheme="minorHAnsi"/>
          <w:sz w:val="22"/>
          <w:szCs w:val="22"/>
        </w:rPr>
        <w:t>CFP et d’autres ministères.</w:t>
      </w:r>
    </w:p>
    <w:p w14:paraId="190B38BC" w14:textId="77777777" w:rsidR="00DF0000" w:rsidRDefault="00B90BC0" w:rsidP="0059341A">
      <w:pPr>
        <w:spacing w:after="120"/>
        <w:rPr>
          <w:rFonts w:asciiTheme="minorHAnsi" w:hAnsiTheme="minorHAnsi" w:cstheme="minorHAnsi"/>
          <w:color w:val="333333"/>
          <w:sz w:val="22"/>
          <w:szCs w:val="22"/>
          <w:lang w:val="fr-FR"/>
        </w:rPr>
      </w:pPr>
      <w:r w:rsidRPr="00652AA6">
        <w:rPr>
          <w:rFonts w:asciiTheme="minorHAnsi" w:eastAsia="Calibri" w:hAnsiTheme="minorHAnsi" w:cstheme="minorHAnsi"/>
          <w:sz w:val="22"/>
          <w:szCs w:val="22"/>
        </w:rPr>
        <w:t xml:space="preserve">Vous trouverez plus de renseignements sur les programmes de recrutement </w:t>
      </w:r>
      <w:r w:rsidR="00CE4F12" w:rsidRPr="00652AA6">
        <w:rPr>
          <w:rFonts w:asciiTheme="minorHAnsi" w:eastAsia="Calibri" w:hAnsiTheme="minorHAnsi" w:cstheme="minorHAnsi"/>
          <w:sz w:val="22"/>
          <w:szCs w:val="22"/>
        </w:rPr>
        <w:t>de personnes a</w:t>
      </w:r>
      <w:r w:rsidRPr="00652AA6">
        <w:rPr>
          <w:rFonts w:asciiTheme="minorHAnsi" w:eastAsia="Calibri" w:hAnsiTheme="minorHAnsi" w:cstheme="minorHAnsi"/>
          <w:sz w:val="22"/>
          <w:szCs w:val="22"/>
        </w:rPr>
        <w:t>utochtone</w:t>
      </w:r>
      <w:r w:rsidR="00CE4F12" w:rsidRPr="00652AA6">
        <w:rPr>
          <w:rFonts w:asciiTheme="minorHAnsi" w:eastAsia="Calibri" w:hAnsiTheme="minorHAnsi" w:cstheme="minorHAnsi"/>
          <w:sz w:val="22"/>
          <w:szCs w:val="22"/>
        </w:rPr>
        <w:t>s</w:t>
      </w:r>
      <w:r w:rsidR="006461F2" w:rsidRPr="00652AA6">
        <w:rPr>
          <w:rFonts w:asciiTheme="minorHAnsi" w:eastAsia="Calibri" w:hAnsiTheme="minorHAnsi" w:cstheme="minorHAnsi"/>
          <w:sz w:val="22"/>
          <w:szCs w:val="22"/>
        </w:rPr>
        <w:t xml:space="preserve"> sur le site Web </w:t>
      </w:r>
      <w:hyperlink r:id="rId13" w:history="1">
        <w:r w:rsidR="00652AA6" w:rsidRPr="00652AA6">
          <w:rPr>
            <w:rStyle w:val="Hyperlink"/>
            <w:rFonts w:asciiTheme="minorHAnsi" w:hAnsiTheme="minorHAnsi" w:cstheme="minorHAnsi"/>
            <w:sz w:val="22"/>
            <w:szCs w:val="22"/>
          </w:rPr>
          <w:t>Recrutement d’Autochtones – Information pour les gestionnaires.</w:t>
        </w:r>
      </w:hyperlink>
      <w:r w:rsidR="00652AA6" w:rsidRPr="00652AA6">
        <w:rPr>
          <w:rFonts w:asciiTheme="minorHAnsi" w:hAnsiTheme="minorHAnsi" w:cstheme="minorHAnsi"/>
          <w:color w:val="333333"/>
          <w:sz w:val="22"/>
          <w:szCs w:val="22"/>
          <w:lang w:val="fr-FR"/>
        </w:rPr>
        <w:t xml:space="preserve"> </w:t>
      </w:r>
    </w:p>
    <w:p w14:paraId="29571247" w14:textId="77777777" w:rsidR="00001823" w:rsidRDefault="00001823" w:rsidP="0059341A">
      <w:pPr>
        <w:pStyle w:val="Heading1"/>
        <w:spacing w:after="120"/>
        <w:rPr>
          <w:rFonts w:cstheme="majorHAnsi"/>
        </w:rPr>
        <w:sectPr w:rsidR="00001823" w:rsidSect="00DF0000">
          <w:headerReference w:type="default" r:id="rId14"/>
          <w:footerReference w:type="even" r:id="rId15"/>
          <w:headerReference w:type="first" r:id="rId16"/>
          <w:footerReference w:type="first" r:id="rId17"/>
          <w:type w:val="continuous"/>
          <w:pgSz w:w="12240" w:h="15840" w:code="1"/>
          <w:pgMar w:top="1440" w:right="1080" w:bottom="1440" w:left="1080" w:header="709" w:footer="709" w:gutter="0"/>
          <w:cols w:space="708"/>
          <w:titlePg/>
          <w:docGrid w:linePitch="360"/>
        </w:sectPr>
      </w:pPr>
    </w:p>
    <w:p w14:paraId="5ECCEE87" w14:textId="1C2DEFD9" w:rsidR="002944FE" w:rsidRPr="0059341A" w:rsidRDefault="00F7076C" w:rsidP="0059341A">
      <w:pPr>
        <w:pStyle w:val="Heading1"/>
        <w:spacing w:after="120"/>
        <w:rPr>
          <w:rFonts w:cstheme="majorHAnsi"/>
        </w:rPr>
      </w:pPr>
      <w:r w:rsidRPr="0059341A">
        <w:rPr>
          <w:rFonts w:cstheme="majorHAnsi"/>
        </w:rPr>
        <w:lastRenderedPageBreak/>
        <w:t>Soutien en dotation</w:t>
      </w:r>
    </w:p>
    <w:p w14:paraId="30E3B6EE" w14:textId="0B47165A" w:rsidR="002944FE" w:rsidRPr="00671B35" w:rsidRDefault="001A1470" w:rsidP="0059341A">
      <w:pPr>
        <w:pStyle w:val="Heading2"/>
        <w:spacing w:after="120"/>
        <w:rPr>
          <w:u w:val="single"/>
        </w:rPr>
      </w:pPr>
      <w:r w:rsidRPr="00671B35">
        <w:t>Représentants de la Commission de la fonction publique et personnes-ressources de l’organisation</w:t>
      </w:r>
    </w:p>
    <w:p w14:paraId="7A1EEE24" w14:textId="10ED3347" w:rsidR="002944FE" w:rsidRPr="0059341A" w:rsidRDefault="008D2DAE" w:rsidP="0059341A">
      <w:pPr>
        <w:spacing w:after="360"/>
        <w:rPr>
          <w:rFonts w:asciiTheme="minorHAnsi" w:hAnsiTheme="minorHAnsi" w:cstheme="minorHAnsi"/>
          <w:b/>
          <w:bCs/>
          <w:sz w:val="22"/>
          <w:szCs w:val="22"/>
        </w:rPr>
      </w:pPr>
      <w:r w:rsidRPr="0059341A">
        <w:rPr>
          <w:rFonts w:asciiTheme="minorHAnsi" w:hAnsiTheme="minorHAnsi" w:cstheme="minorHAnsi"/>
          <w:sz w:val="22"/>
          <w:szCs w:val="22"/>
        </w:rPr>
        <w:t>Le </w:t>
      </w:r>
      <w:r w:rsidR="00B90BC0" w:rsidRPr="0059341A">
        <w:rPr>
          <w:rFonts w:asciiTheme="minorHAnsi" w:hAnsiTheme="minorHAnsi" w:cstheme="minorHAnsi"/>
          <w:sz w:val="22"/>
          <w:szCs w:val="22"/>
        </w:rPr>
        <w:t xml:space="preserve">CSD </w:t>
      </w:r>
      <w:r w:rsidR="00ED356A">
        <w:rPr>
          <w:rFonts w:asciiTheme="minorHAnsi" w:hAnsiTheme="minorHAnsi" w:cstheme="minorHAnsi"/>
          <w:sz w:val="22"/>
          <w:szCs w:val="22"/>
        </w:rPr>
        <w:t>assigné</w:t>
      </w:r>
      <w:r w:rsidR="00ED356A" w:rsidRPr="0059341A">
        <w:rPr>
          <w:rFonts w:asciiTheme="minorHAnsi" w:hAnsiTheme="minorHAnsi" w:cstheme="minorHAnsi"/>
          <w:sz w:val="22"/>
          <w:szCs w:val="22"/>
        </w:rPr>
        <w:t xml:space="preserve"> </w:t>
      </w:r>
      <w:r w:rsidR="00B90BC0" w:rsidRPr="0059341A">
        <w:rPr>
          <w:rFonts w:asciiTheme="minorHAnsi" w:hAnsiTheme="minorHAnsi" w:cstheme="minorHAnsi"/>
          <w:sz w:val="22"/>
          <w:szCs w:val="22"/>
        </w:rPr>
        <w:t>à cette organisation est Steven Davidson. Les personnes</w:t>
      </w:r>
      <w:r w:rsidR="00B90BC0" w:rsidRPr="0059341A">
        <w:rPr>
          <w:rFonts w:asciiTheme="minorHAnsi" w:hAnsiTheme="minorHAnsi" w:cstheme="minorHAnsi"/>
          <w:sz w:val="22"/>
          <w:szCs w:val="22"/>
        </w:rPr>
        <w:noBreakHyphen/>
        <w:t>ressources principales de l’organisation sont Danielle Dupasquier, conseillère en ressources humaines</w:t>
      </w:r>
      <w:r w:rsidR="007417D1" w:rsidRPr="0059341A">
        <w:rPr>
          <w:rFonts w:asciiTheme="minorHAnsi" w:hAnsiTheme="minorHAnsi" w:cstheme="minorHAnsi"/>
          <w:sz w:val="22"/>
          <w:szCs w:val="22"/>
        </w:rPr>
        <w:t>,</w:t>
      </w:r>
      <w:r w:rsidR="00B90BC0" w:rsidRPr="0059341A">
        <w:rPr>
          <w:rFonts w:asciiTheme="minorHAnsi" w:hAnsiTheme="minorHAnsi" w:cstheme="minorHAnsi"/>
          <w:sz w:val="22"/>
          <w:szCs w:val="22"/>
        </w:rPr>
        <w:t xml:space="preserve"> et Rosana Leung Shing, conseillère principale en ressources humaines. La che</w:t>
      </w:r>
      <w:r w:rsidR="00E40B68" w:rsidRPr="0059341A">
        <w:rPr>
          <w:rFonts w:asciiTheme="minorHAnsi" w:hAnsiTheme="minorHAnsi" w:cstheme="minorHAnsi"/>
          <w:sz w:val="22"/>
          <w:szCs w:val="22"/>
        </w:rPr>
        <w:t>f des ressources humaines de la CCG est</w:t>
      </w:r>
      <w:r w:rsidR="00E40B68" w:rsidRPr="00671B35">
        <w:rPr>
          <w:rFonts w:ascii="Segoe UI" w:hAnsi="Segoe UI" w:cs="Segoe UI"/>
          <w:sz w:val="22"/>
          <w:szCs w:val="22"/>
        </w:rPr>
        <w:t xml:space="preserve"> </w:t>
      </w:r>
      <w:r w:rsidR="00E40B68" w:rsidRPr="0059341A">
        <w:rPr>
          <w:rFonts w:asciiTheme="minorHAnsi" w:hAnsiTheme="minorHAnsi" w:cstheme="minorHAnsi"/>
          <w:sz w:val="22"/>
          <w:szCs w:val="22"/>
        </w:rPr>
        <w:t>Patti </w:t>
      </w:r>
      <w:r w:rsidR="00B90BC0" w:rsidRPr="0059341A">
        <w:rPr>
          <w:rFonts w:asciiTheme="minorHAnsi" w:hAnsiTheme="minorHAnsi" w:cstheme="minorHAnsi"/>
          <w:sz w:val="22"/>
          <w:szCs w:val="22"/>
        </w:rPr>
        <w:t xml:space="preserve">Charach, directrice par intérim, Direction générale des ressources humaines. </w:t>
      </w:r>
      <w:r w:rsidR="00927766" w:rsidRPr="0059341A">
        <w:rPr>
          <w:rFonts w:asciiTheme="minorHAnsi" w:hAnsiTheme="minorHAnsi" w:cstheme="minorHAnsi"/>
          <w:sz w:val="22"/>
          <w:szCs w:val="22"/>
        </w:rPr>
        <w:t>La</w:t>
      </w:r>
      <w:r w:rsidR="00B90BC0" w:rsidRPr="0059341A">
        <w:rPr>
          <w:rFonts w:asciiTheme="minorHAnsi" w:hAnsiTheme="minorHAnsi" w:cstheme="minorHAnsi"/>
          <w:sz w:val="22"/>
          <w:szCs w:val="22"/>
        </w:rPr>
        <w:t xml:space="preserve"> collabora</w:t>
      </w:r>
      <w:r w:rsidR="00E40B68" w:rsidRPr="0059341A">
        <w:rPr>
          <w:rFonts w:asciiTheme="minorHAnsi" w:hAnsiTheme="minorHAnsi" w:cstheme="minorHAnsi"/>
          <w:sz w:val="22"/>
          <w:szCs w:val="22"/>
        </w:rPr>
        <w:t>tion entre l’organisation et le </w:t>
      </w:r>
      <w:r w:rsidR="00B90BC0" w:rsidRPr="0059341A">
        <w:rPr>
          <w:rFonts w:asciiTheme="minorHAnsi" w:hAnsiTheme="minorHAnsi" w:cstheme="minorHAnsi"/>
          <w:sz w:val="22"/>
          <w:szCs w:val="22"/>
        </w:rPr>
        <w:t>CSD</w:t>
      </w:r>
      <w:r w:rsidR="00927766" w:rsidRPr="0059341A">
        <w:rPr>
          <w:rFonts w:asciiTheme="minorHAnsi" w:hAnsiTheme="minorHAnsi" w:cstheme="minorHAnsi"/>
          <w:sz w:val="22"/>
          <w:szCs w:val="22"/>
        </w:rPr>
        <w:t xml:space="preserve"> est excellente</w:t>
      </w:r>
      <w:r w:rsidR="00B90BC0" w:rsidRPr="0059341A">
        <w:rPr>
          <w:rFonts w:asciiTheme="minorHAnsi" w:hAnsiTheme="minorHAnsi" w:cstheme="minorHAnsi"/>
          <w:sz w:val="22"/>
          <w:szCs w:val="22"/>
        </w:rPr>
        <w:t>.</w:t>
      </w:r>
    </w:p>
    <w:p w14:paraId="713675D5" w14:textId="526098CB" w:rsidR="002944FE" w:rsidRPr="00001823" w:rsidRDefault="008F6AF3" w:rsidP="0059341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Style w:val="Strong"/>
          <w:rFonts w:asciiTheme="minorHAnsi" w:hAnsiTheme="minorHAnsi" w:cstheme="minorHAnsi"/>
        </w:rPr>
      </w:pPr>
      <w:r w:rsidRPr="00001823">
        <w:rPr>
          <w:rStyle w:val="Strong"/>
          <w:rFonts w:asciiTheme="minorHAnsi" w:hAnsiTheme="minorHAnsi" w:cstheme="minorHAnsi"/>
        </w:rPr>
        <w:t>PRÉPARÉ PAR :</w:t>
      </w:r>
    </w:p>
    <w:p w14:paraId="515354E7" w14:textId="5ED29436" w:rsidR="002944FE" w:rsidRPr="004405F4" w:rsidRDefault="00E40B68" w:rsidP="002944F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405F4">
        <w:rPr>
          <w:rFonts w:asciiTheme="minorHAnsi" w:hAnsiTheme="minorHAnsi" w:cstheme="minorHAnsi"/>
          <w:sz w:val="22"/>
          <w:szCs w:val="22"/>
        </w:rPr>
        <w:t>Steven </w:t>
      </w:r>
      <w:r w:rsidR="002944FE" w:rsidRPr="004405F4">
        <w:rPr>
          <w:rFonts w:asciiTheme="minorHAnsi" w:hAnsiTheme="minorHAnsi" w:cstheme="minorHAnsi"/>
          <w:sz w:val="22"/>
          <w:szCs w:val="22"/>
        </w:rPr>
        <w:t>Davidson</w:t>
      </w:r>
    </w:p>
    <w:p w14:paraId="04ED0ABF" w14:textId="00171121" w:rsidR="002944FE" w:rsidRPr="004405F4" w:rsidRDefault="00A05C40" w:rsidP="0059341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rPr>
      </w:pPr>
      <w:r w:rsidRPr="00A05C40">
        <w:rPr>
          <w:rFonts w:asciiTheme="minorHAnsi" w:hAnsiTheme="minorHAnsi" w:cstheme="minorHAnsi"/>
          <w:sz w:val="22"/>
          <w:szCs w:val="22"/>
        </w:rPr>
        <w:t>Conseiller au soutien en dotation</w:t>
      </w:r>
    </w:p>
    <w:p w14:paraId="360127E1" w14:textId="32AFB3F0" w:rsidR="002944FE" w:rsidRPr="004405F4" w:rsidRDefault="008F6AF3" w:rsidP="0059341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Style w:val="Strong"/>
          <w:rFonts w:asciiTheme="minorHAnsi" w:hAnsiTheme="minorHAnsi" w:cstheme="minorHAnsi"/>
          <w:sz w:val="22"/>
          <w:szCs w:val="18"/>
        </w:rPr>
      </w:pPr>
      <w:r w:rsidRPr="004405F4">
        <w:rPr>
          <w:rStyle w:val="Strong"/>
          <w:rFonts w:asciiTheme="minorHAnsi" w:hAnsiTheme="minorHAnsi" w:cstheme="minorHAnsi"/>
          <w:sz w:val="22"/>
          <w:szCs w:val="18"/>
        </w:rPr>
        <w:t>APPROUVÉ PAR :</w:t>
      </w:r>
    </w:p>
    <w:p w14:paraId="7A50CAF0" w14:textId="2F6F46A1" w:rsidR="002944FE" w:rsidRPr="0059341A" w:rsidRDefault="00066FCD"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9341A">
        <w:rPr>
          <w:rFonts w:asciiTheme="minorHAnsi" w:hAnsiTheme="minorHAnsi" w:cstheme="minorHAnsi"/>
          <w:sz w:val="22"/>
          <w:szCs w:val="22"/>
        </w:rPr>
        <w:t>Signé électroniquement</w:t>
      </w:r>
    </w:p>
    <w:p w14:paraId="59ACA64B" w14:textId="4A7AD549" w:rsidR="008F6AF3" w:rsidRPr="0059341A" w:rsidRDefault="008F6AF3" w:rsidP="008F6AF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Theme="minorHAnsi" w:hAnsiTheme="minorHAnsi" w:cstheme="minorHAnsi"/>
          <w:sz w:val="22"/>
          <w:szCs w:val="22"/>
          <w:lang w:eastAsia="en-CA"/>
        </w:rPr>
      </w:pPr>
      <w:r w:rsidRPr="0059341A">
        <w:rPr>
          <w:rFonts w:asciiTheme="minorHAnsi" w:hAnsiTheme="minorHAnsi" w:cstheme="minorHAnsi"/>
          <w:sz w:val="22"/>
          <w:szCs w:val="22"/>
          <w:lang w:eastAsia="en-CA"/>
        </w:rPr>
        <w:t>Approuvé par Lynn Brault</w:t>
      </w:r>
    </w:p>
    <w:p w14:paraId="4F747DA9" w14:textId="65552789" w:rsidR="008F6AF3" w:rsidRPr="0059341A" w:rsidRDefault="008F6AF3" w:rsidP="008F6AF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Theme="minorHAnsi" w:hAnsiTheme="minorHAnsi" w:cstheme="minorHAnsi"/>
          <w:sz w:val="22"/>
          <w:szCs w:val="22"/>
          <w:lang w:eastAsia="en-CA"/>
        </w:rPr>
      </w:pPr>
      <w:r w:rsidRPr="0059341A">
        <w:rPr>
          <w:rFonts w:asciiTheme="minorHAnsi" w:hAnsiTheme="minorHAnsi" w:cstheme="minorHAnsi"/>
          <w:sz w:val="22"/>
          <w:szCs w:val="22"/>
          <w:lang w:eastAsia="en-CA"/>
        </w:rPr>
        <w:t xml:space="preserve">Directrice générale, Direction du soutien en dotation, des priorités et des activités politiques, </w:t>
      </w:r>
    </w:p>
    <w:p w14:paraId="1E201C82" w14:textId="197241EB" w:rsidR="002944FE" w:rsidRPr="0059341A" w:rsidRDefault="008F6AF3" w:rsidP="0059341A">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480" w:hanging="6480"/>
        <w:rPr>
          <w:rFonts w:asciiTheme="minorHAnsi" w:hAnsiTheme="minorHAnsi" w:cstheme="minorHAnsi"/>
          <w:sz w:val="22"/>
          <w:szCs w:val="22"/>
        </w:rPr>
      </w:pPr>
      <w:r w:rsidRPr="0059341A">
        <w:rPr>
          <w:rFonts w:asciiTheme="minorHAnsi" w:hAnsiTheme="minorHAnsi" w:cstheme="minorHAnsi"/>
          <w:sz w:val="22"/>
          <w:szCs w:val="22"/>
          <w:lang w:eastAsia="en-CA"/>
        </w:rPr>
        <w:t>Secteur des politiques et des communications</w:t>
      </w:r>
      <w:r w:rsidR="002944FE" w:rsidRPr="0059341A">
        <w:rPr>
          <w:rFonts w:asciiTheme="minorHAnsi" w:hAnsiTheme="minorHAnsi" w:cstheme="minorHAnsi"/>
          <w:sz w:val="22"/>
          <w:szCs w:val="22"/>
        </w:rPr>
        <w:tab/>
      </w:r>
    </w:p>
    <w:p w14:paraId="6B3DB86E" w14:textId="710F4AD4" w:rsidR="002944FE" w:rsidRPr="0059341A" w:rsidRDefault="00A05C40"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Pr>
          <w:rFonts w:asciiTheme="minorHAnsi" w:hAnsiTheme="minorHAnsi" w:cstheme="minorHAnsi"/>
          <w:sz w:val="22"/>
          <w:szCs w:val="22"/>
        </w:rPr>
        <w:t xml:space="preserve">Le </w:t>
      </w:r>
      <w:r w:rsidR="00546259" w:rsidRPr="0059341A">
        <w:rPr>
          <w:rFonts w:asciiTheme="minorHAnsi" w:hAnsiTheme="minorHAnsi" w:cstheme="minorHAnsi"/>
          <w:sz w:val="22"/>
          <w:szCs w:val="22"/>
        </w:rPr>
        <w:t xml:space="preserve">22 </w:t>
      </w:r>
      <w:r>
        <w:rPr>
          <w:rFonts w:asciiTheme="minorHAnsi" w:hAnsiTheme="minorHAnsi" w:cstheme="minorHAnsi"/>
          <w:sz w:val="22"/>
          <w:szCs w:val="22"/>
        </w:rPr>
        <w:t>février</w:t>
      </w:r>
      <w:r w:rsidR="00546259" w:rsidRPr="0059341A">
        <w:rPr>
          <w:rFonts w:asciiTheme="minorHAnsi" w:hAnsiTheme="minorHAnsi" w:cstheme="minorHAnsi"/>
          <w:sz w:val="22"/>
          <w:szCs w:val="22"/>
        </w:rPr>
        <w:t xml:space="preserve"> 2021</w:t>
      </w:r>
    </w:p>
    <w:p w14:paraId="39D934B2" w14:textId="0E3C7520" w:rsidR="002944FE" w:rsidRPr="0059341A" w:rsidRDefault="002944FE" w:rsidP="0059341A">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rPr>
      </w:pPr>
      <w:r w:rsidRPr="0059341A">
        <w:rPr>
          <w:rFonts w:asciiTheme="minorHAnsi" w:hAnsiTheme="minorHAnsi" w:cstheme="minorHAnsi"/>
          <w:sz w:val="22"/>
          <w:szCs w:val="22"/>
        </w:rPr>
        <w:t>Date</w:t>
      </w:r>
    </w:p>
    <w:p w14:paraId="1CDD8527" w14:textId="0B037B13" w:rsidR="002944FE" w:rsidRPr="0059341A" w:rsidRDefault="00066FCD"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59341A">
        <w:rPr>
          <w:rFonts w:asciiTheme="minorHAnsi" w:hAnsiTheme="minorHAnsi" w:cstheme="minorHAnsi"/>
          <w:sz w:val="22"/>
          <w:szCs w:val="22"/>
        </w:rPr>
        <w:t>Signé électroniquement</w:t>
      </w:r>
    </w:p>
    <w:p w14:paraId="5D4C50A7" w14:textId="627BD619" w:rsidR="008F6AF3" w:rsidRPr="0059341A" w:rsidRDefault="008F6AF3" w:rsidP="008F6A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59341A">
        <w:rPr>
          <w:rFonts w:asciiTheme="minorHAnsi" w:hAnsiTheme="minorHAnsi" w:cstheme="minorHAnsi"/>
          <w:sz w:val="22"/>
          <w:szCs w:val="22"/>
        </w:rPr>
        <w:t>Approuvé par Michael Morin</w:t>
      </w:r>
    </w:p>
    <w:p w14:paraId="729B6274" w14:textId="7126D597" w:rsidR="002944FE" w:rsidRPr="0059341A" w:rsidRDefault="008F6AF3" w:rsidP="0059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cstheme="minorHAnsi"/>
          <w:sz w:val="22"/>
          <w:szCs w:val="22"/>
        </w:rPr>
      </w:pPr>
      <w:r w:rsidRPr="0059341A">
        <w:rPr>
          <w:rFonts w:asciiTheme="minorHAnsi" w:hAnsiTheme="minorHAnsi" w:cstheme="minorHAnsi"/>
          <w:sz w:val="22"/>
          <w:szCs w:val="22"/>
        </w:rPr>
        <w:t>Vice-président p</w:t>
      </w:r>
      <w:r w:rsidR="00A05C40">
        <w:rPr>
          <w:rFonts w:asciiTheme="minorHAnsi" w:hAnsiTheme="minorHAnsi" w:cstheme="minorHAnsi"/>
          <w:sz w:val="22"/>
          <w:szCs w:val="22"/>
        </w:rPr>
        <w:t>ar intérim</w:t>
      </w:r>
      <w:r w:rsidRPr="0059341A">
        <w:rPr>
          <w:rFonts w:asciiTheme="minorHAnsi" w:hAnsiTheme="minorHAnsi" w:cstheme="minorHAnsi"/>
          <w:sz w:val="22"/>
          <w:szCs w:val="22"/>
        </w:rPr>
        <w:t>, Secteur des politiques et des communications</w:t>
      </w:r>
    </w:p>
    <w:p w14:paraId="4E1CF72C" w14:textId="7A14814F" w:rsidR="002944FE" w:rsidRPr="0059341A" w:rsidRDefault="00A05C40" w:rsidP="00294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Pr>
          <w:rFonts w:asciiTheme="minorHAnsi" w:hAnsiTheme="minorHAnsi" w:cstheme="minorHAnsi"/>
          <w:sz w:val="22"/>
          <w:szCs w:val="22"/>
        </w:rPr>
        <w:t xml:space="preserve">Le </w:t>
      </w:r>
      <w:r w:rsidR="00546259" w:rsidRPr="0059341A">
        <w:rPr>
          <w:rFonts w:asciiTheme="minorHAnsi" w:hAnsiTheme="minorHAnsi" w:cstheme="minorHAnsi"/>
          <w:sz w:val="22"/>
          <w:szCs w:val="22"/>
        </w:rPr>
        <w:t xml:space="preserve">22 </w:t>
      </w:r>
      <w:r>
        <w:rPr>
          <w:rFonts w:asciiTheme="minorHAnsi" w:hAnsiTheme="minorHAnsi" w:cstheme="minorHAnsi"/>
          <w:sz w:val="22"/>
          <w:szCs w:val="22"/>
        </w:rPr>
        <w:t xml:space="preserve">février </w:t>
      </w:r>
      <w:r w:rsidR="00546259" w:rsidRPr="0059341A">
        <w:rPr>
          <w:rFonts w:asciiTheme="minorHAnsi" w:hAnsiTheme="minorHAnsi" w:cstheme="minorHAnsi"/>
          <w:sz w:val="22"/>
          <w:szCs w:val="22"/>
        </w:rPr>
        <w:t>2021</w:t>
      </w:r>
    </w:p>
    <w:p w14:paraId="484336B7" w14:textId="77777777" w:rsidR="002944FE" w:rsidRPr="0059341A" w:rsidRDefault="002944FE" w:rsidP="0059341A">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heme="minorHAnsi" w:hAnsiTheme="minorHAnsi" w:cstheme="minorHAnsi"/>
          <w:sz w:val="22"/>
          <w:szCs w:val="22"/>
        </w:rPr>
      </w:pPr>
      <w:r w:rsidRPr="0059341A">
        <w:rPr>
          <w:rFonts w:asciiTheme="minorHAnsi" w:hAnsiTheme="minorHAnsi" w:cstheme="minorHAnsi"/>
          <w:sz w:val="22"/>
          <w:szCs w:val="22"/>
        </w:rPr>
        <w:t>Date</w:t>
      </w:r>
    </w:p>
    <w:p w14:paraId="17661F1D" w14:textId="77777777" w:rsidR="002944FE" w:rsidRPr="0059341A" w:rsidRDefault="002944FE" w:rsidP="00294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59341A">
        <w:rPr>
          <w:rFonts w:asciiTheme="minorHAnsi" w:hAnsiTheme="minorHAnsi" w:cstheme="minorHAnsi"/>
          <w:sz w:val="22"/>
          <w:szCs w:val="22"/>
        </w:rPr>
        <w:t>Annexes:</w:t>
      </w:r>
    </w:p>
    <w:p w14:paraId="784AA6C5" w14:textId="4A2618CF" w:rsidR="00306C9A" w:rsidRPr="00DF0000" w:rsidRDefault="001E16B6" w:rsidP="00DF0000">
      <w:pPr>
        <w:spacing w:after="120"/>
        <w:ind w:firstLine="720"/>
        <w:rPr>
          <w:rFonts w:asciiTheme="minorHAnsi" w:hAnsiTheme="minorHAnsi" w:cstheme="minorHAnsi"/>
          <w:sz w:val="22"/>
          <w:szCs w:val="22"/>
        </w:rPr>
      </w:pPr>
      <w:hyperlink w:anchor="AnnexA" w:history="1">
        <w:r w:rsidR="00C52E66" w:rsidRPr="00DF0000">
          <w:rPr>
            <w:rStyle w:val="Hyperlink"/>
            <w:rFonts w:asciiTheme="minorHAnsi" w:hAnsiTheme="minorHAnsi" w:cstheme="minorHAnsi"/>
            <w:sz w:val="22"/>
            <w:szCs w:val="22"/>
          </w:rPr>
          <w:t>Annexe A – Document Faits Saillants de la Nouvelle orientation en dotation (NOD) pour les AG</w:t>
        </w:r>
      </w:hyperlink>
    </w:p>
    <w:p w14:paraId="40550789" w14:textId="3FC843FA" w:rsidR="00306C9A" w:rsidRPr="00671B35" w:rsidRDefault="001E16B6" w:rsidP="00DF0000">
      <w:pPr>
        <w:spacing w:after="160" w:line="259" w:lineRule="auto"/>
        <w:ind w:firstLine="720"/>
        <w:rPr>
          <w:rFonts w:asciiTheme="minorHAnsi" w:eastAsiaTheme="majorEastAsia" w:hAnsiTheme="minorHAnsi" w:cstheme="minorHAnsi"/>
          <w:sz w:val="22"/>
          <w:szCs w:val="22"/>
        </w:rPr>
      </w:pPr>
      <w:hyperlink w:anchor="AnnexB" w:history="1">
        <w:r w:rsidR="00DF0000" w:rsidRPr="00DF0000">
          <w:rPr>
            <w:rStyle w:val="Hyperlink"/>
            <w:rFonts w:asciiTheme="minorHAnsi" w:hAnsiTheme="minorHAnsi" w:cstheme="minorHAnsi"/>
            <w:sz w:val="22"/>
            <w:szCs w:val="22"/>
          </w:rPr>
          <w:t>Annexe B – Données sur l’effectif et les activités de dotation</w:t>
        </w:r>
      </w:hyperlink>
      <w:r w:rsidR="00306C9A" w:rsidRPr="00671B35">
        <w:rPr>
          <w:rFonts w:asciiTheme="minorHAnsi" w:eastAsiaTheme="majorEastAsia" w:hAnsiTheme="minorHAnsi" w:cstheme="minorHAnsi"/>
          <w:sz w:val="22"/>
          <w:szCs w:val="22"/>
        </w:rPr>
        <w:br w:type="page"/>
      </w:r>
    </w:p>
    <w:p w14:paraId="2B8AAB9C" w14:textId="5CE10A4D" w:rsidR="004E01DF" w:rsidRPr="004E01DF" w:rsidRDefault="004E01DF" w:rsidP="00B31972">
      <w:pPr>
        <w:pStyle w:val="Heading3"/>
        <w:jc w:val="right"/>
      </w:pPr>
      <w:bookmarkStart w:id="2" w:name="AnnexA"/>
      <w:r w:rsidRPr="004E01DF">
        <w:lastRenderedPageBreak/>
        <w:t>Annexe A</w:t>
      </w:r>
    </w:p>
    <w:bookmarkEnd w:id="2"/>
    <w:p w14:paraId="647D507A" w14:textId="77777777" w:rsidR="00DF0000" w:rsidRPr="00B31972" w:rsidRDefault="00DF0000" w:rsidP="006226FE">
      <w:pPr>
        <w:pStyle w:val="Heading3"/>
        <w:spacing w:after="120"/>
        <w:jc w:val="center"/>
        <w:rPr>
          <w:rFonts w:asciiTheme="minorHAnsi" w:eastAsiaTheme="minorHAnsi" w:hAnsiTheme="minorHAnsi" w:cstheme="minorHAnsi"/>
          <w:b/>
          <w:bCs/>
          <w:sz w:val="22"/>
          <w:szCs w:val="22"/>
        </w:rPr>
      </w:pPr>
      <w:r w:rsidRPr="00B31972">
        <w:rPr>
          <w:rFonts w:asciiTheme="minorHAnsi" w:eastAsiaTheme="minorHAnsi" w:hAnsiTheme="minorHAnsi" w:cstheme="minorHAnsi"/>
          <w:b/>
          <w:bCs/>
          <w:sz w:val="22"/>
          <w:szCs w:val="22"/>
        </w:rPr>
        <w:t>Faits saillants pour les administrateurs généraux</w:t>
      </w:r>
    </w:p>
    <w:p w14:paraId="368557B3" w14:textId="77777777" w:rsidR="00DF0000" w:rsidRPr="003518C7" w:rsidRDefault="00DF0000" w:rsidP="00DF0000">
      <w:pPr>
        <w:keepNext/>
        <w:keepLines/>
        <w:spacing w:before="40" w:after="120" w:line="259" w:lineRule="auto"/>
        <w:jc w:val="center"/>
        <w:outlineLvl w:val="1"/>
        <w:rPr>
          <w:rFonts w:asciiTheme="minorHAnsi" w:eastAsiaTheme="majorEastAsia" w:hAnsiTheme="minorHAnsi" w:cstheme="minorHAnsi"/>
          <w:b/>
          <w:color w:val="5B315E" w:themeColor="accent2"/>
          <w:szCs w:val="24"/>
        </w:rPr>
      </w:pPr>
      <w:r w:rsidRPr="003518C7">
        <w:rPr>
          <w:rFonts w:asciiTheme="minorHAnsi" w:eastAsiaTheme="majorEastAsia" w:hAnsiTheme="minorHAnsi" w:cstheme="minorHAnsi"/>
          <w:b/>
          <w:color w:val="5B315E" w:themeColor="accent2"/>
          <w:szCs w:val="24"/>
        </w:rPr>
        <w:t>Une nouvelle orientation en dotation - un système fondé sur le mérite</w:t>
      </w:r>
      <w:r w:rsidRPr="003518C7">
        <w:rPr>
          <w:rFonts w:asciiTheme="minorHAnsi" w:eastAsiaTheme="majorEastAsia" w:hAnsiTheme="minorHAnsi" w:cstheme="minorHAnsi"/>
          <w:b/>
          <w:color w:val="54575A" w:themeColor="text1"/>
          <w:szCs w:val="24"/>
        </w:rPr>
        <w:t xml:space="preserve"> </w:t>
      </w:r>
      <w:r w:rsidRPr="003518C7">
        <w:rPr>
          <w:rFonts w:asciiTheme="minorHAnsi" w:eastAsiaTheme="majorEastAsia" w:hAnsiTheme="minorHAnsi" w:cstheme="minorHAnsi"/>
          <w:b/>
          <w:color w:val="5B315E" w:themeColor="accent2"/>
          <w:szCs w:val="24"/>
        </w:rPr>
        <w:t>et axé sur l’efficacité, l’efficience et la justice</w:t>
      </w:r>
    </w:p>
    <w:p w14:paraId="34823FC6" w14:textId="77777777" w:rsidR="00DF0000" w:rsidRPr="003518C7" w:rsidRDefault="00DF0000" w:rsidP="00DF0000">
      <w:pPr>
        <w:pStyle w:val="Heading3"/>
        <w:spacing w:after="120"/>
        <w:rPr>
          <w:rFonts w:asciiTheme="minorHAnsi" w:hAnsiTheme="minorHAnsi" w:cstheme="minorHAnsi"/>
        </w:rPr>
      </w:pPr>
      <w:r w:rsidRPr="003518C7">
        <w:rPr>
          <w:rFonts w:asciiTheme="minorHAnsi" w:hAnsiTheme="minorHAnsi" w:cstheme="minorHAnsi"/>
        </w:rPr>
        <w:t>Politique de nomination</w:t>
      </w:r>
    </w:p>
    <w:p w14:paraId="03D56F4B" w14:textId="77777777" w:rsidR="00DF0000" w:rsidRPr="003518C7" w:rsidRDefault="00DF0000" w:rsidP="00DF0000">
      <w:pPr>
        <w:keepLines/>
        <w:spacing w:line="259" w:lineRule="auto"/>
        <w:rPr>
          <w:rFonts w:asciiTheme="minorHAnsi" w:eastAsiaTheme="minorHAnsi" w:hAnsiTheme="minorHAnsi" w:cstheme="minorHAnsi"/>
          <w:spacing w:val="-6"/>
          <w:szCs w:val="24"/>
        </w:rPr>
      </w:pPr>
      <w:r w:rsidRPr="003518C7">
        <w:rPr>
          <w:rStyle w:val="Strong"/>
          <w:rFonts w:asciiTheme="minorHAnsi" w:eastAsiaTheme="minorHAnsi" w:hAnsiTheme="minorHAnsi" w:cstheme="minorHAnsi"/>
          <w:szCs w:val="24"/>
        </w:rPr>
        <w:t>L’accent est davantage mis sur les exigences de base</w:t>
      </w:r>
      <w:r w:rsidRPr="003518C7">
        <w:rPr>
          <w:rFonts w:asciiTheme="minorHAnsi" w:eastAsiaTheme="minorHAnsi" w:hAnsiTheme="minorHAnsi" w:cstheme="minorHAnsi"/>
          <w:spacing w:val="-6"/>
          <w:szCs w:val="24"/>
        </w:rPr>
        <w:t xml:space="preserve"> afin de fournir aux personnes subdéléguées une plus grande latitude à l’égard des nominations</w:t>
      </w:r>
    </w:p>
    <w:p w14:paraId="2E1B33FD" w14:textId="77777777" w:rsidR="00DF0000" w:rsidRPr="003518C7" w:rsidRDefault="00DF0000" w:rsidP="00DF0000">
      <w:pPr>
        <w:keepLines/>
        <w:numPr>
          <w:ilvl w:val="0"/>
          <w:numId w:val="21"/>
        </w:numPr>
        <w:spacing w:line="259" w:lineRule="auto"/>
        <w:rPr>
          <w:rFonts w:asciiTheme="minorHAnsi" w:eastAsiaTheme="minorHAnsi" w:hAnsiTheme="minorHAnsi" w:cstheme="minorHAnsi"/>
          <w:spacing w:val="-6"/>
          <w:szCs w:val="24"/>
        </w:rPr>
      </w:pPr>
      <w:r w:rsidRPr="003518C7">
        <w:rPr>
          <w:rStyle w:val="Strong"/>
          <w:rFonts w:asciiTheme="minorHAnsi" w:eastAsiaTheme="minorHAnsi" w:hAnsiTheme="minorHAnsi" w:cstheme="minorHAnsi"/>
          <w:szCs w:val="24"/>
        </w:rPr>
        <w:t>Une seule politique de nomination</w:t>
      </w:r>
      <w:r w:rsidRPr="003518C7">
        <w:rPr>
          <w:rFonts w:asciiTheme="minorHAnsi" w:eastAsiaTheme="minorHAnsi" w:hAnsiTheme="minorHAnsi" w:cstheme="minorHAnsi"/>
          <w:spacing w:val="-6"/>
          <w:szCs w:val="24"/>
        </w:rPr>
        <w:t xml:space="preserve">, sans chevauchement des obligations juridiques </w:t>
      </w:r>
    </w:p>
    <w:p w14:paraId="64A63D09" w14:textId="77777777" w:rsidR="00DF0000" w:rsidRPr="003518C7" w:rsidRDefault="00DF0000" w:rsidP="00DF0000">
      <w:pPr>
        <w:keepLines/>
        <w:numPr>
          <w:ilvl w:val="0"/>
          <w:numId w:val="21"/>
        </w:numPr>
        <w:spacing w:line="259" w:lineRule="auto"/>
        <w:rPr>
          <w:rFonts w:asciiTheme="minorHAnsi" w:eastAsiaTheme="minorHAnsi" w:hAnsiTheme="minorHAnsi" w:cstheme="minorHAnsi"/>
          <w:spacing w:val="-6"/>
          <w:szCs w:val="24"/>
        </w:rPr>
      </w:pPr>
      <w:r w:rsidRPr="003518C7">
        <w:rPr>
          <w:rStyle w:val="Strong"/>
          <w:rFonts w:asciiTheme="minorHAnsi" w:eastAsiaTheme="minorHAnsi" w:hAnsiTheme="minorHAnsi" w:cstheme="minorHAnsi"/>
          <w:szCs w:val="24"/>
        </w:rPr>
        <w:t>Accent accru sur un système axé sur les valeurs</w:t>
      </w:r>
      <w:r w:rsidRPr="003518C7">
        <w:rPr>
          <w:rFonts w:asciiTheme="minorHAnsi" w:eastAsiaTheme="minorHAnsi" w:hAnsiTheme="minorHAnsi" w:cstheme="minorHAnsi"/>
          <w:szCs w:val="24"/>
        </w:rPr>
        <w:t xml:space="preserve"> plutôt que sur un </w:t>
      </w:r>
      <w:r w:rsidRPr="003518C7">
        <w:rPr>
          <w:rFonts w:asciiTheme="minorHAnsi" w:eastAsiaTheme="minorHAnsi" w:hAnsiTheme="minorHAnsi" w:cstheme="minorHAnsi"/>
          <w:spacing w:val="-6"/>
          <w:szCs w:val="24"/>
        </w:rPr>
        <w:t>système axé sur les règles</w:t>
      </w:r>
      <w:r w:rsidRPr="003518C7">
        <w:rPr>
          <w:rFonts w:asciiTheme="minorHAnsi" w:eastAsiaTheme="minorHAnsi" w:hAnsiTheme="minorHAnsi" w:cstheme="minorHAnsi"/>
          <w:b/>
          <w:spacing w:val="-6"/>
          <w:szCs w:val="24"/>
        </w:rPr>
        <w:t xml:space="preserve"> </w:t>
      </w:r>
    </w:p>
    <w:p w14:paraId="58807116" w14:textId="77777777" w:rsidR="00DF0000" w:rsidRPr="003518C7" w:rsidRDefault="00DF0000" w:rsidP="00DF0000">
      <w:pPr>
        <w:keepLines/>
        <w:numPr>
          <w:ilvl w:val="0"/>
          <w:numId w:val="21"/>
        </w:numPr>
        <w:spacing w:line="259" w:lineRule="auto"/>
        <w:rPr>
          <w:rFonts w:asciiTheme="minorHAnsi" w:eastAsiaTheme="minorHAnsi" w:hAnsiTheme="minorHAnsi" w:cstheme="minorHAnsi"/>
          <w:spacing w:val="-6"/>
          <w:szCs w:val="24"/>
        </w:rPr>
      </w:pPr>
      <w:r w:rsidRPr="003518C7">
        <w:rPr>
          <w:rFonts w:asciiTheme="minorHAnsi" w:eastAsiaTheme="minorHAnsi" w:hAnsiTheme="minorHAnsi" w:cstheme="minorHAnsi"/>
          <w:spacing w:val="-6"/>
          <w:szCs w:val="24"/>
        </w:rPr>
        <w:t xml:space="preserve">Politique de nomination appuyée par une </w:t>
      </w:r>
      <w:r w:rsidRPr="003518C7">
        <w:rPr>
          <w:rStyle w:val="Strong"/>
          <w:rFonts w:asciiTheme="minorHAnsi" w:eastAsiaTheme="minorHAnsi" w:hAnsiTheme="minorHAnsi" w:cstheme="minorHAnsi"/>
          <w:szCs w:val="24"/>
        </w:rPr>
        <w:t>orientation rationalisée</w:t>
      </w:r>
      <w:r w:rsidRPr="003518C7">
        <w:rPr>
          <w:rFonts w:asciiTheme="minorHAnsi" w:eastAsiaTheme="minorHAnsi" w:hAnsiTheme="minorHAnsi" w:cstheme="minorHAnsi"/>
          <w:b/>
          <w:spacing w:val="-6"/>
          <w:szCs w:val="24"/>
        </w:rPr>
        <w:t xml:space="preserve"> </w:t>
      </w:r>
      <w:r w:rsidRPr="003518C7">
        <w:rPr>
          <w:rFonts w:asciiTheme="minorHAnsi" w:eastAsiaTheme="minorHAnsi" w:hAnsiTheme="minorHAnsi" w:cstheme="minorHAnsi"/>
          <w:spacing w:val="-6"/>
          <w:szCs w:val="24"/>
        </w:rPr>
        <w:t>:</w:t>
      </w:r>
    </w:p>
    <w:p w14:paraId="527F4BA2" w14:textId="77777777" w:rsidR="00DF0000" w:rsidRPr="003518C7" w:rsidRDefault="00DF0000" w:rsidP="00001823">
      <w:pPr>
        <w:keepLines/>
        <w:numPr>
          <w:ilvl w:val="1"/>
          <w:numId w:val="34"/>
        </w:numPr>
        <w:spacing w:line="259" w:lineRule="auto"/>
        <w:rPr>
          <w:rFonts w:asciiTheme="minorHAnsi" w:eastAsiaTheme="minorHAnsi" w:hAnsiTheme="minorHAnsi" w:cstheme="minorHAnsi"/>
          <w:spacing w:val="-6"/>
          <w:szCs w:val="24"/>
        </w:rPr>
      </w:pPr>
      <w:r w:rsidRPr="003518C7">
        <w:rPr>
          <w:rFonts w:asciiTheme="minorHAnsi" w:eastAsiaTheme="minorHAnsi" w:hAnsiTheme="minorHAnsi" w:cstheme="minorHAnsi"/>
          <w:spacing w:val="-6"/>
          <w:szCs w:val="24"/>
        </w:rPr>
        <w:t>Feuille de route précisant les exigences relatives aux lois, règlements et politiques</w:t>
      </w:r>
    </w:p>
    <w:p w14:paraId="78855C3E" w14:textId="77777777" w:rsidR="00DF0000" w:rsidRPr="003518C7" w:rsidRDefault="00DF0000" w:rsidP="00001823">
      <w:pPr>
        <w:keepLines/>
        <w:numPr>
          <w:ilvl w:val="1"/>
          <w:numId w:val="33"/>
        </w:numPr>
        <w:spacing w:line="259" w:lineRule="auto"/>
        <w:rPr>
          <w:rFonts w:asciiTheme="minorHAnsi" w:eastAsiaTheme="minorHAnsi" w:hAnsiTheme="minorHAnsi" w:cstheme="minorHAnsi"/>
          <w:spacing w:val="-6"/>
          <w:szCs w:val="24"/>
        </w:rPr>
      </w:pPr>
      <w:r w:rsidRPr="003518C7">
        <w:rPr>
          <w:rFonts w:asciiTheme="minorHAnsi" w:eastAsiaTheme="minorHAnsi" w:hAnsiTheme="minorHAnsi" w:cstheme="minorHAnsi"/>
          <w:spacing w:val="-6"/>
          <w:szCs w:val="24"/>
        </w:rPr>
        <w:t>Options et considérations relatives à la prise de décisions dans les cas où il existe une certaine latitude</w:t>
      </w:r>
    </w:p>
    <w:p w14:paraId="2F30A0EC" w14:textId="77777777" w:rsidR="00DF0000" w:rsidRPr="003518C7" w:rsidRDefault="00DF0000" w:rsidP="00DF0000">
      <w:pPr>
        <w:keepLines/>
        <w:numPr>
          <w:ilvl w:val="0"/>
          <w:numId w:val="22"/>
        </w:numPr>
        <w:spacing w:line="259" w:lineRule="auto"/>
        <w:rPr>
          <w:rFonts w:asciiTheme="minorHAnsi" w:eastAsiaTheme="minorHAnsi" w:hAnsiTheme="minorHAnsi" w:cstheme="minorHAnsi"/>
          <w:spacing w:val="-6"/>
          <w:szCs w:val="24"/>
        </w:rPr>
      </w:pPr>
      <w:r w:rsidRPr="003518C7">
        <w:rPr>
          <w:rStyle w:val="Strong"/>
          <w:rFonts w:asciiTheme="minorHAnsi" w:eastAsiaTheme="minorHAnsi" w:hAnsiTheme="minorHAnsi" w:cstheme="minorHAnsi"/>
          <w:szCs w:val="24"/>
        </w:rPr>
        <w:t>Attentes clairement définies</w:t>
      </w:r>
      <w:r w:rsidRPr="003518C7">
        <w:rPr>
          <w:rFonts w:asciiTheme="minorHAnsi" w:eastAsiaTheme="minorHAnsi" w:hAnsiTheme="minorHAnsi" w:cstheme="minorHAnsi"/>
          <w:spacing w:val="-6"/>
          <w:szCs w:val="24"/>
        </w:rPr>
        <w:t xml:space="preserve"> quant aux droits de priorité</w:t>
      </w:r>
    </w:p>
    <w:p w14:paraId="779A54DF" w14:textId="77777777" w:rsidR="00DF0000" w:rsidRPr="003518C7" w:rsidRDefault="00DF0000" w:rsidP="00DF0000">
      <w:pPr>
        <w:keepLines/>
        <w:numPr>
          <w:ilvl w:val="0"/>
          <w:numId w:val="22"/>
        </w:numPr>
        <w:spacing w:line="259" w:lineRule="auto"/>
        <w:rPr>
          <w:rFonts w:asciiTheme="minorHAnsi" w:eastAsiaTheme="minorHAnsi" w:hAnsiTheme="minorHAnsi" w:cstheme="minorHAnsi"/>
          <w:spacing w:val="-6"/>
          <w:szCs w:val="24"/>
        </w:rPr>
      </w:pPr>
      <w:r w:rsidRPr="003518C7">
        <w:rPr>
          <w:rFonts w:asciiTheme="minorHAnsi" w:eastAsiaTheme="minorHAnsi" w:hAnsiTheme="minorHAnsi" w:cstheme="minorHAnsi"/>
          <w:spacing w:val="-6"/>
          <w:szCs w:val="24"/>
        </w:rPr>
        <w:t>Aucune restriction quant aux méthodes d’évaluation pour la nomination des cadres de direction (EX)</w:t>
      </w:r>
    </w:p>
    <w:p w14:paraId="76B6F8BA" w14:textId="77777777" w:rsidR="00DF0000" w:rsidRPr="003518C7" w:rsidRDefault="00DF0000" w:rsidP="00DF0000">
      <w:pPr>
        <w:keepLines/>
        <w:numPr>
          <w:ilvl w:val="0"/>
          <w:numId w:val="22"/>
        </w:numPr>
        <w:spacing w:after="240" w:line="259" w:lineRule="auto"/>
        <w:rPr>
          <w:rFonts w:asciiTheme="minorHAnsi" w:eastAsiaTheme="minorHAnsi" w:hAnsiTheme="minorHAnsi" w:cstheme="minorHAnsi"/>
          <w:spacing w:val="-6"/>
          <w:szCs w:val="24"/>
        </w:rPr>
      </w:pPr>
      <w:r w:rsidRPr="003518C7">
        <w:rPr>
          <w:rFonts w:asciiTheme="minorHAnsi" w:eastAsiaTheme="minorHAnsi" w:hAnsiTheme="minorHAnsi" w:cstheme="minorHAnsi"/>
          <w:spacing w:val="-6"/>
          <w:szCs w:val="24"/>
        </w:rPr>
        <w:t>Exceptions à la zone nationale de sélection approuvées</w:t>
      </w:r>
    </w:p>
    <w:p w14:paraId="6470F260" w14:textId="77777777" w:rsidR="00DF0000" w:rsidRPr="003518C7" w:rsidRDefault="00DF0000" w:rsidP="00DF0000">
      <w:pPr>
        <w:pStyle w:val="Heading3"/>
        <w:spacing w:after="120"/>
        <w:rPr>
          <w:rFonts w:asciiTheme="minorHAnsi" w:hAnsiTheme="minorHAnsi" w:cstheme="minorHAnsi"/>
        </w:rPr>
      </w:pPr>
      <w:r w:rsidRPr="003518C7">
        <w:rPr>
          <w:rFonts w:asciiTheme="minorHAnsi" w:hAnsiTheme="minorHAnsi" w:cstheme="minorHAnsi"/>
        </w:rPr>
        <w:t>Délégation</w:t>
      </w:r>
    </w:p>
    <w:p w14:paraId="5C0F41FD" w14:textId="77777777" w:rsidR="00DF0000" w:rsidRPr="003518C7" w:rsidRDefault="00DF0000" w:rsidP="00DF0000">
      <w:pPr>
        <w:pStyle w:val="ListParagraph"/>
        <w:keepLines/>
        <w:numPr>
          <w:ilvl w:val="0"/>
          <w:numId w:val="23"/>
        </w:numPr>
        <w:spacing w:after="0" w:line="259" w:lineRule="auto"/>
        <w:rPr>
          <w:rFonts w:asciiTheme="minorHAnsi" w:eastAsiaTheme="minorHAnsi" w:hAnsiTheme="minorHAnsi" w:cstheme="minorHAnsi"/>
          <w:spacing w:val="-8"/>
          <w:szCs w:val="24"/>
        </w:rPr>
      </w:pPr>
      <w:r w:rsidRPr="003518C7">
        <w:rPr>
          <w:rStyle w:val="Strong"/>
          <w:rFonts w:asciiTheme="minorHAnsi" w:eastAsiaTheme="minorHAnsi" w:hAnsiTheme="minorHAnsi" w:cstheme="minorHAnsi"/>
          <w:szCs w:val="24"/>
        </w:rPr>
        <w:t>L’accent est davantage mis sur la capacité d’adapter le système de dotation de l’organisation</w:t>
      </w:r>
      <w:r w:rsidRPr="003518C7">
        <w:rPr>
          <w:rFonts w:asciiTheme="minorHAnsi" w:eastAsiaTheme="minorHAnsi" w:hAnsiTheme="minorHAnsi" w:cstheme="minorHAnsi"/>
          <w:b/>
          <w:bCs/>
          <w:spacing w:val="-8"/>
          <w:szCs w:val="24"/>
        </w:rPr>
        <w:t xml:space="preserve"> </w:t>
      </w:r>
      <w:r w:rsidRPr="003518C7">
        <w:rPr>
          <w:rFonts w:asciiTheme="minorHAnsi" w:eastAsiaTheme="minorHAnsi" w:hAnsiTheme="minorHAnsi" w:cstheme="minorHAnsi"/>
          <w:spacing w:val="-8"/>
          <w:szCs w:val="24"/>
        </w:rPr>
        <w:t xml:space="preserve">en fonction du contexte particulier et des besoins opérationnels en évolution </w:t>
      </w:r>
    </w:p>
    <w:p w14:paraId="50635D14" w14:textId="77777777" w:rsidR="00DF0000" w:rsidRPr="003518C7" w:rsidRDefault="00DF0000" w:rsidP="00DF0000">
      <w:pPr>
        <w:keepLines/>
        <w:numPr>
          <w:ilvl w:val="0"/>
          <w:numId w:val="23"/>
        </w:numPr>
        <w:spacing w:line="259" w:lineRule="auto"/>
        <w:rPr>
          <w:rStyle w:val="Strong"/>
          <w:rFonts w:asciiTheme="minorHAnsi" w:eastAsiaTheme="minorHAnsi" w:hAnsiTheme="minorHAnsi" w:cstheme="minorHAnsi"/>
          <w:szCs w:val="24"/>
        </w:rPr>
      </w:pPr>
      <w:r w:rsidRPr="003518C7">
        <w:rPr>
          <w:rFonts w:asciiTheme="minorHAnsi" w:eastAsiaTheme="minorHAnsi" w:hAnsiTheme="minorHAnsi" w:cstheme="minorHAnsi"/>
          <w:spacing w:val="-8"/>
          <w:szCs w:val="24"/>
        </w:rPr>
        <w:t xml:space="preserve">L’administrateur général établit une orientation quant à </w:t>
      </w:r>
      <w:r w:rsidRPr="003518C7">
        <w:rPr>
          <w:rStyle w:val="Strong"/>
          <w:rFonts w:asciiTheme="minorHAnsi" w:eastAsiaTheme="minorHAnsi" w:hAnsiTheme="minorHAnsi" w:cstheme="minorHAnsi"/>
          <w:szCs w:val="24"/>
        </w:rPr>
        <w:t xml:space="preserve">l’utilisation des processus de nomination annoncés et non annoncés </w:t>
      </w:r>
    </w:p>
    <w:p w14:paraId="0EF69DC3" w14:textId="77777777" w:rsidR="00DF0000" w:rsidRPr="003518C7" w:rsidRDefault="00DF0000" w:rsidP="00DF0000">
      <w:pPr>
        <w:keepLines/>
        <w:numPr>
          <w:ilvl w:val="0"/>
          <w:numId w:val="23"/>
        </w:numPr>
        <w:spacing w:line="259" w:lineRule="auto"/>
        <w:rPr>
          <w:rStyle w:val="Strong"/>
          <w:rFonts w:asciiTheme="minorHAnsi" w:eastAsiaTheme="minorHAnsi" w:hAnsiTheme="minorHAnsi" w:cstheme="minorHAnsi"/>
          <w:szCs w:val="24"/>
        </w:rPr>
      </w:pPr>
      <w:r w:rsidRPr="003518C7">
        <w:rPr>
          <w:rFonts w:asciiTheme="minorHAnsi" w:eastAsiaTheme="minorHAnsi" w:hAnsiTheme="minorHAnsi" w:cstheme="minorHAnsi"/>
          <w:spacing w:val="-8"/>
          <w:szCs w:val="24"/>
        </w:rPr>
        <w:t xml:space="preserve">L’administrateur général établit les exigences pour les personnes subdéléguées </w:t>
      </w:r>
      <w:r w:rsidRPr="003518C7">
        <w:rPr>
          <w:rStyle w:val="Strong"/>
          <w:rFonts w:asciiTheme="minorHAnsi" w:eastAsiaTheme="minorHAnsi" w:hAnsiTheme="minorHAnsi" w:cstheme="minorHAnsi"/>
          <w:szCs w:val="24"/>
        </w:rPr>
        <w:t>de formuler, par écrit, la décision de sélection</w:t>
      </w:r>
    </w:p>
    <w:p w14:paraId="260EFEFC" w14:textId="77777777" w:rsidR="00DF0000" w:rsidRPr="003518C7" w:rsidRDefault="00DF0000" w:rsidP="00DF0000">
      <w:pPr>
        <w:keepLines/>
        <w:numPr>
          <w:ilvl w:val="0"/>
          <w:numId w:val="23"/>
        </w:numPr>
        <w:spacing w:line="259" w:lineRule="auto"/>
        <w:rPr>
          <w:rFonts w:asciiTheme="minorHAnsi" w:eastAsiaTheme="minorHAnsi" w:hAnsiTheme="minorHAnsi" w:cstheme="minorHAnsi"/>
          <w:spacing w:val="-8"/>
          <w:szCs w:val="24"/>
        </w:rPr>
      </w:pPr>
      <w:r w:rsidRPr="003518C7">
        <w:rPr>
          <w:rFonts w:asciiTheme="minorHAnsi" w:eastAsiaTheme="minorHAnsi" w:hAnsiTheme="minorHAnsi" w:cstheme="minorHAnsi"/>
          <w:spacing w:val="-8"/>
          <w:szCs w:val="24"/>
        </w:rPr>
        <w:t>Exigences plus claires concernant les enquêtes</w:t>
      </w:r>
    </w:p>
    <w:p w14:paraId="2858C56B" w14:textId="77777777" w:rsidR="00DF0000" w:rsidRPr="003518C7" w:rsidRDefault="00DF0000" w:rsidP="00DF0000">
      <w:pPr>
        <w:keepLines/>
        <w:numPr>
          <w:ilvl w:val="0"/>
          <w:numId w:val="23"/>
        </w:numPr>
        <w:spacing w:line="259" w:lineRule="auto"/>
        <w:rPr>
          <w:rFonts w:asciiTheme="minorHAnsi" w:eastAsiaTheme="minorHAnsi" w:hAnsiTheme="minorHAnsi" w:cstheme="minorHAnsi"/>
          <w:spacing w:val="-8"/>
          <w:szCs w:val="24"/>
        </w:rPr>
      </w:pPr>
      <w:r w:rsidRPr="003518C7">
        <w:rPr>
          <w:rStyle w:val="Strong"/>
          <w:rFonts w:asciiTheme="minorHAnsi" w:eastAsiaTheme="minorHAnsi" w:hAnsiTheme="minorHAnsi" w:cstheme="minorHAnsi"/>
          <w:szCs w:val="24"/>
        </w:rPr>
        <w:t>Formulaire d’attestation</w:t>
      </w:r>
      <w:r w:rsidRPr="003518C7">
        <w:rPr>
          <w:rFonts w:asciiTheme="minorHAnsi" w:eastAsiaTheme="minorHAnsi" w:hAnsiTheme="minorHAnsi" w:cstheme="minorHAnsi"/>
          <w:spacing w:val="-8"/>
          <w:szCs w:val="24"/>
        </w:rPr>
        <w:t xml:space="preserve"> réitérant les responsabilités des personnes subdéléguées</w:t>
      </w:r>
    </w:p>
    <w:p w14:paraId="709A525D" w14:textId="77777777" w:rsidR="00DF0000" w:rsidRPr="003518C7" w:rsidRDefault="00DF0000" w:rsidP="00DF0000">
      <w:pPr>
        <w:keepLines/>
        <w:spacing w:after="160" w:line="259" w:lineRule="auto"/>
        <w:ind w:right="-202"/>
        <w:rPr>
          <w:rFonts w:asciiTheme="minorHAnsi" w:eastAsiaTheme="minorHAnsi" w:hAnsiTheme="minorHAnsi" w:cstheme="minorHAnsi"/>
          <w:spacing w:val="-8"/>
          <w:szCs w:val="24"/>
        </w:rPr>
      </w:pPr>
      <w:r w:rsidRPr="003518C7">
        <w:rPr>
          <w:rFonts w:asciiTheme="minorHAnsi" w:eastAsiaTheme="minorHAnsi" w:hAnsiTheme="minorHAnsi" w:cstheme="minorHAnsi"/>
          <w:spacing w:val="-8"/>
          <w:szCs w:val="24"/>
        </w:rPr>
        <w:t>Toutes les exigences de la CFP en matière de surveillance et de présentation de rapports figurent maintenant dans l’Instrument de délégation et de responsabilisation en matière de nomination</w:t>
      </w:r>
    </w:p>
    <w:p w14:paraId="6B56B856" w14:textId="77777777" w:rsidR="00DF0000" w:rsidRPr="003518C7" w:rsidRDefault="00DF0000" w:rsidP="00DF0000">
      <w:pPr>
        <w:pStyle w:val="Heading3"/>
        <w:spacing w:after="120"/>
        <w:rPr>
          <w:rFonts w:asciiTheme="minorHAnsi" w:hAnsiTheme="minorHAnsi" w:cstheme="minorHAnsi"/>
        </w:rPr>
      </w:pPr>
      <w:r w:rsidRPr="003518C7">
        <w:rPr>
          <w:rFonts w:asciiTheme="minorHAnsi" w:hAnsiTheme="minorHAnsi" w:cstheme="minorHAnsi"/>
        </w:rPr>
        <w:br w:type="page"/>
      </w:r>
    </w:p>
    <w:p w14:paraId="78EAB380" w14:textId="77777777" w:rsidR="00DF0000" w:rsidRPr="003518C7" w:rsidRDefault="00DF0000" w:rsidP="00DF0000">
      <w:pPr>
        <w:pStyle w:val="Heading3"/>
        <w:spacing w:after="120"/>
        <w:rPr>
          <w:rFonts w:asciiTheme="minorHAnsi" w:hAnsiTheme="minorHAnsi" w:cstheme="minorHAnsi"/>
        </w:rPr>
      </w:pPr>
      <w:r w:rsidRPr="003518C7">
        <w:rPr>
          <w:rFonts w:asciiTheme="minorHAnsi" w:hAnsiTheme="minorHAnsi" w:cstheme="minorHAnsi"/>
        </w:rPr>
        <w:lastRenderedPageBreak/>
        <w:t>Surveillance et rapports</w:t>
      </w:r>
    </w:p>
    <w:p w14:paraId="5EF523DE" w14:textId="77777777" w:rsidR="00DF0000" w:rsidRPr="003518C7" w:rsidRDefault="00DF0000" w:rsidP="00DF0000">
      <w:pPr>
        <w:spacing w:after="120"/>
        <w:rPr>
          <w:rFonts w:asciiTheme="minorHAnsi" w:eastAsiaTheme="minorHAnsi" w:hAnsiTheme="minorHAnsi" w:cstheme="minorHAnsi"/>
          <w:szCs w:val="24"/>
          <w:highlight w:val="yellow"/>
        </w:rPr>
      </w:pPr>
      <w:r w:rsidRPr="003518C7">
        <w:rPr>
          <w:rStyle w:val="Strong"/>
          <w:rFonts w:asciiTheme="minorHAnsi" w:eastAsiaTheme="minorHAnsi" w:hAnsiTheme="minorHAnsi" w:cstheme="minorHAnsi"/>
          <w:szCs w:val="24"/>
        </w:rPr>
        <w:t>La surveillance est établie par les organisations</w:t>
      </w:r>
      <w:r w:rsidRPr="003518C7">
        <w:rPr>
          <w:rFonts w:asciiTheme="minorHAnsi" w:eastAsiaTheme="minorHAnsi" w:hAnsiTheme="minorHAnsi" w:cstheme="minorHAnsi"/>
          <w:szCs w:val="24"/>
        </w:rPr>
        <w:t>, ciblée à leurs besoins</w:t>
      </w:r>
    </w:p>
    <w:p w14:paraId="7D6DEAEA" w14:textId="77777777" w:rsidR="00DF0000" w:rsidRPr="003518C7" w:rsidRDefault="00DF0000" w:rsidP="00DF0000">
      <w:pPr>
        <w:pStyle w:val="ListParagraph"/>
        <w:numPr>
          <w:ilvl w:val="0"/>
          <w:numId w:val="24"/>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Le Rapport ministériel sur l’obligation de rendre compte en dotation n’est plus requis</w:t>
      </w:r>
    </w:p>
    <w:p w14:paraId="7CDA0917" w14:textId="77777777" w:rsidR="00DF0000" w:rsidRPr="003518C7" w:rsidRDefault="00DF0000" w:rsidP="00DF0000">
      <w:pPr>
        <w:pStyle w:val="ListParagraph"/>
        <w:numPr>
          <w:ilvl w:val="0"/>
          <w:numId w:val="24"/>
        </w:numPr>
        <w:spacing w:after="0"/>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Le rapport annuel à la CFP portera seulement</w:t>
      </w:r>
      <w:r w:rsidRPr="003518C7">
        <w:rPr>
          <w:rFonts w:asciiTheme="minorHAnsi" w:eastAsiaTheme="minorHAnsi" w:hAnsiTheme="minorHAnsi" w:cstheme="minorHAnsi"/>
          <w:szCs w:val="24"/>
        </w:rPr>
        <w:t xml:space="preserve"> sur :</w:t>
      </w:r>
    </w:p>
    <w:p w14:paraId="539BC1BF" w14:textId="77777777" w:rsidR="00DF0000" w:rsidRPr="003518C7" w:rsidRDefault="00DF0000" w:rsidP="00DF0000">
      <w:pPr>
        <w:pStyle w:val="ListParagraph"/>
        <w:numPr>
          <w:ilvl w:val="0"/>
          <w:numId w:val="18"/>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l’utilisation du Décret d’exemption concernant les langues officielles dans la fonction publique</w:t>
      </w:r>
    </w:p>
    <w:p w14:paraId="1964A91C" w14:textId="77777777" w:rsidR="00DF0000" w:rsidRPr="003518C7" w:rsidRDefault="00DF0000" w:rsidP="00DF0000">
      <w:pPr>
        <w:pStyle w:val="ListParagraph"/>
        <w:numPr>
          <w:ilvl w:val="0"/>
          <w:numId w:val="18"/>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les exceptions à la zone nationale de sélection approuvée par l’administrateur général</w:t>
      </w:r>
    </w:p>
    <w:p w14:paraId="45B86027" w14:textId="77777777" w:rsidR="00DF0000" w:rsidRPr="003518C7" w:rsidRDefault="00DF0000" w:rsidP="00DF0000">
      <w:pPr>
        <w:pStyle w:val="ListParagraph"/>
        <w:numPr>
          <w:ilvl w:val="0"/>
          <w:numId w:val="18"/>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 xml:space="preserve">les résultats de toutes enquêtes internes </w:t>
      </w:r>
    </w:p>
    <w:p w14:paraId="4D4D8EDC" w14:textId="77777777" w:rsidR="00DF0000" w:rsidRPr="003518C7" w:rsidRDefault="00DF0000" w:rsidP="00DF0000">
      <w:pPr>
        <w:pStyle w:val="ListParagraph"/>
        <w:numPr>
          <w:ilvl w:val="0"/>
          <w:numId w:val="18"/>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les mesures prises à la suite de toutes enquêtes ou vérifications menées par la CFP</w:t>
      </w:r>
    </w:p>
    <w:p w14:paraId="336E6DD5" w14:textId="77777777" w:rsidR="00DF0000" w:rsidRPr="003518C7" w:rsidRDefault="00DF0000" w:rsidP="00DF0000">
      <w:pPr>
        <w:pStyle w:val="ListParagraph"/>
        <w:numPr>
          <w:ilvl w:val="0"/>
          <w:numId w:val="19"/>
        </w:numPr>
        <w:spacing w:after="0"/>
        <w:contextualSpacing w:val="0"/>
        <w:rPr>
          <w:rFonts w:asciiTheme="minorHAnsi" w:eastAsiaTheme="minorHAnsi" w:hAnsiTheme="minorHAnsi" w:cstheme="minorHAnsi"/>
          <w:szCs w:val="24"/>
        </w:rPr>
      </w:pPr>
      <w:r w:rsidRPr="003518C7">
        <w:rPr>
          <w:rFonts w:asciiTheme="minorHAnsi" w:eastAsiaTheme="minorHAnsi" w:hAnsiTheme="minorHAnsi" w:cstheme="minorHAnsi"/>
          <w:szCs w:val="24"/>
        </w:rPr>
        <w:t xml:space="preserve">L’administrateur général est responsable </w:t>
      </w:r>
      <w:r w:rsidRPr="003518C7">
        <w:rPr>
          <w:rStyle w:val="Strong"/>
          <w:rFonts w:asciiTheme="minorHAnsi" w:eastAsiaTheme="minorHAnsi" w:hAnsiTheme="minorHAnsi" w:cstheme="minorHAnsi"/>
          <w:szCs w:val="24"/>
        </w:rPr>
        <w:t>de la surveillance continue du système de dotation</w:t>
      </w:r>
      <w:r w:rsidRPr="003518C7">
        <w:rPr>
          <w:rFonts w:asciiTheme="minorHAnsi" w:eastAsiaTheme="minorHAnsi" w:hAnsiTheme="minorHAnsi" w:cstheme="minorHAnsi"/>
          <w:szCs w:val="24"/>
        </w:rPr>
        <w:t xml:space="preserve"> de l’organisation en fonction de son contexte particulier</w:t>
      </w:r>
    </w:p>
    <w:p w14:paraId="2E784B0A" w14:textId="77777777" w:rsidR="00DF0000" w:rsidRPr="003518C7" w:rsidRDefault="00DF0000" w:rsidP="00DF0000">
      <w:pPr>
        <w:pStyle w:val="ListParagraph"/>
        <w:numPr>
          <w:ilvl w:val="0"/>
          <w:numId w:val="20"/>
        </w:numPr>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examen de la conformité aux exigences</w:t>
      </w:r>
      <w:r w:rsidRPr="003518C7">
        <w:rPr>
          <w:rFonts w:asciiTheme="minorHAnsi" w:eastAsiaTheme="minorHAnsi" w:hAnsiTheme="minorHAnsi" w:cstheme="minorHAnsi"/>
          <w:szCs w:val="24"/>
        </w:rPr>
        <w:t>, fondé sur les risques spécifiques de l’organisation, au moins une fois tous les cinq ans</w:t>
      </w:r>
    </w:p>
    <w:p w14:paraId="57E37D1F" w14:textId="77777777" w:rsidR="00DF0000" w:rsidRPr="003518C7" w:rsidRDefault="00DF0000" w:rsidP="00DF0000">
      <w:pPr>
        <w:pStyle w:val="Heading3"/>
        <w:spacing w:after="120"/>
        <w:rPr>
          <w:rFonts w:asciiTheme="minorHAnsi" w:hAnsiTheme="minorHAnsi" w:cstheme="minorHAnsi"/>
        </w:rPr>
      </w:pPr>
      <w:r w:rsidRPr="003518C7">
        <w:rPr>
          <w:rFonts w:asciiTheme="minorHAnsi" w:hAnsiTheme="minorHAnsi" w:cstheme="minorHAnsi"/>
        </w:rPr>
        <w:t>Surveillance de la CFP</w:t>
      </w:r>
    </w:p>
    <w:p w14:paraId="4D43FAD5" w14:textId="77777777" w:rsidR="00DF0000" w:rsidRPr="003518C7" w:rsidRDefault="00DF0000" w:rsidP="00DF0000">
      <w:pPr>
        <w:spacing w:after="120"/>
        <w:rPr>
          <w:rFonts w:asciiTheme="minorHAnsi" w:hAnsiTheme="minorHAnsi" w:cstheme="minorHAnsi"/>
          <w:szCs w:val="24"/>
        </w:rPr>
      </w:pPr>
      <w:r w:rsidRPr="003518C7">
        <w:rPr>
          <w:rFonts w:asciiTheme="minorHAnsi" w:hAnsiTheme="minorHAnsi" w:cstheme="minorHAnsi"/>
          <w:szCs w:val="24"/>
        </w:rPr>
        <w:t>Axée sur l’ensemble du système</w:t>
      </w:r>
    </w:p>
    <w:p w14:paraId="43FA9EC9" w14:textId="77777777" w:rsidR="00DF0000" w:rsidRPr="003518C7" w:rsidRDefault="00DF0000" w:rsidP="00DF0000">
      <w:pPr>
        <w:pStyle w:val="ListParagraph"/>
        <w:numPr>
          <w:ilvl w:val="0"/>
          <w:numId w:val="25"/>
        </w:numPr>
        <w:spacing w:after="0"/>
        <w:ind w:left="723"/>
        <w:contextualSpacing w:val="0"/>
        <w:rPr>
          <w:rStyle w:val="Strong"/>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 xml:space="preserve">Vérification de la conformité pangouvernementale tous les deux ans </w:t>
      </w:r>
    </w:p>
    <w:p w14:paraId="00AA63F5" w14:textId="77777777" w:rsidR="00DF0000" w:rsidRPr="003518C7" w:rsidRDefault="00DF0000" w:rsidP="00DF0000">
      <w:pPr>
        <w:pStyle w:val="ListParagraph"/>
        <w:numPr>
          <w:ilvl w:val="0"/>
          <w:numId w:val="25"/>
        </w:numPr>
        <w:spacing w:after="0"/>
        <w:ind w:left="723"/>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Nouveau Sondage sur la dotation</w:t>
      </w:r>
      <w:r w:rsidRPr="003518C7">
        <w:rPr>
          <w:rFonts w:asciiTheme="minorHAnsi" w:eastAsiaTheme="minorHAnsi" w:hAnsiTheme="minorHAnsi" w:cstheme="minorHAnsi"/>
          <w:szCs w:val="24"/>
        </w:rPr>
        <w:t xml:space="preserve"> administré en alternance avec la vérification pangouvernementale</w:t>
      </w:r>
    </w:p>
    <w:p w14:paraId="23C966CD" w14:textId="77777777" w:rsidR="00DF0000" w:rsidRPr="003518C7" w:rsidRDefault="00DF0000" w:rsidP="00DF0000">
      <w:pPr>
        <w:pStyle w:val="ListParagraph"/>
        <w:numPr>
          <w:ilvl w:val="0"/>
          <w:numId w:val="25"/>
        </w:numPr>
        <w:spacing w:after="0"/>
        <w:ind w:left="723"/>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Examens de l’efficacité et de l’efficience de l’ensemble du système</w:t>
      </w:r>
      <w:r w:rsidRPr="003518C7">
        <w:rPr>
          <w:rFonts w:asciiTheme="minorHAnsi" w:eastAsiaTheme="minorHAnsi" w:hAnsiTheme="minorHAnsi" w:cstheme="minorHAnsi"/>
          <w:szCs w:val="24"/>
        </w:rPr>
        <w:t xml:space="preserve"> pour appuyer l’amélioration continue</w:t>
      </w:r>
    </w:p>
    <w:p w14:paraId="0079942E" w14:textId="77777777" w:rsidR="00DF0000" w:rsidRPr="003518C7" w:rsidRDefault="00DF0000" w:rsidP="00DF0000">
      <w:pPr>
        <w:pStyle w:val="ListParagraph"/>
        <w:numPr>
          <w:ilvl w:val="0"/>
          <w:numId w:val="25"/>
        </w:numPr>
        <w:spacing w:after="0"/>
        <w:ind w:left="723"/>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Vérifications ciblées de la CFP</w:t>
      </w:r>
      <w:r w:rsidRPr="003518C7">
        <w:rPr>
          <w:rFonts w:asciiTheme="minorHAnsi" w:eastAsiaTheme="minorHAnsi" w:hAnsiTheme="minorHAnsi" w:cstheme="minorHAnsi"/>
          <w:szCs w:val="24"/>
        </w:rPr>
        <w:t xml:space="preserve"> suite aux risques pangouvernementaux ou organisationnels identifiés, ou à la demande de l’administrateur général </w:t>
      </w:r>
    </w:p>
    <w:p w14:paraId="53364F30" w14:textId="77777777" w:rsidR="00DF0000" w:rsidRPr="003518C7" w:rsidRDefault="00DF0000" w:rsidP="00DF0000">
      <w:pPr>
        <w:pStyle w:val="ListParagraph"/>
        <w:numPr>
          <w:ilvl w:val="0"/>
          <w:numId w:val="25"/>
        </w:numPr>
        <w:ind w:left="723"/>
        <w:contextualSpacing w:val="0"/>
        <w:rPr>
          <w:rFonts w:asciiTheme="minorHAnsi" w:eastAsiaTheme="minorHAnsi" w:hAnsiTheme="minorHAnsi" w:cstheme="minorHAnsi"/>
          <w:szCs w:val="24"/>
        </w:rPr>
      </w:pPr>
      <w:r w:rsidRPr="003518C7">
        <w:rPr>
          <w:rStyle w:val="Strong"/>
          <w:rFonts w:asciiTheme="minorHAnsi" w:eastAsiaTheme="minorHAnsi" w:hAnsiTheme="minorHAnsi" w:cstheme="minorHAnsi"/>
          <w:szCs w:val="24"/>
        </w:rPr>
        <w:t>Enquêtes menées</w:t>
      </w:r>
      <w:r w:rsidRPr="003518C7">
        <w:rPr>
          <w:rFonts w:asciiTheme="minorHAnsi" w:eastAsiaTheme="minorHAnsi" w:hAnsiTheme="minorHAnsi" w:cstheme="minorHAnsi"/>
          <w:szCs w:val="24"/>
        </w:rPr>
        <w:t xml:space="preserve"> lorsqu’il y a lieu de croire qu’il pourrait y avoir ingérence politique, fraude ou conduite irrégulière dans le cadre d’un processus de nomination</w:t>
      </w:r>
    </w:p>
    <w:p w14:paraId="6588B58C" w14:textId="77777777" w:rsidR="00DF0000" w:rsidRPr="003518C7" w:rsidRDefault="00DF0000" w:rsidP="00DF0000">
      <w:pPr>
        <w:jc w:val="both"/>
        <w:rPr>
          <w:rStyle w:val="Strong"/>
          <w:rFonts w:asciiTheme="minorHAnsi" w:hAnsiTheme="minorHAnsi" w:cstheme="minorHAnsi"/>
          <w:b w:val="0"/>
          <w:szCs w:val="24"/>
        </w:rPr>
      </w:pPr>
      <w:r w:rsidRPr="003518C7">
        <w:rPr>
          <w:rStyle w:val="Strong"/>
          <w:rFonts w:asciiTheme="minorHAnsi" w:eastAsiaTheme="minorHAnsi" w:hAnsiTheme="minorHAnsi" w:cstheme="minorHAnsi"/>
          <w:b w:val="0"/>
          <w:szCs w:val="24"/>
        </w:rPr>
        <w:t xml:space="preserve">Ce document doit être lu conjointement avec la </w:t>
      </w:r>
      <w:r w:rsidRPr="003518C7">
        <w:rPr>
          <w:rStyle w:val="Emphasis"/>
          <w:rFonts w:asciiTheme="minorHAnsi" w:eastAsiaTheme="minorHAnsi" w:hAnsiTheme="minorHAnsi" w:cstheme="minorHAnsi"/>
          <w:szCs w:val="24"/>
        </w:rPr>
        <w:t>Loi sur l’emploi dans la fonction publique</w:t>
      </w:r>
      <w:r w:rsidRPr="003518C7">
        <w:rPr>
          <w:rStyle w:val="Strong"/>
          <w:rFonts w:asciiTheme="minorHAnsi" w:eastAsiaTheme="minorHAnsi" w:hAnsiTheme="minorHAnsi" w:cstheme="minorHAnsi"/>
          <w:b w:val="0"/>
          <w:szCs w:val="24"/>
        </w:rPr>
        <w:t xml:space="preserve">, le </w:t>
      </w:r>
      <w:r w:rsidRPr="003518C7">
        <w:rPr>
          <w:rStyle w:val="Emphasis"/>
          <w:rFonts w:asciiTheme="minorHAnsi" w:eastAsiaTheme="minorHAnsi" w:hAnsiTheme="minorHAnsi" w:cstheme="minorHAnsi"/>
          <w:szCs w:val="24"/>
        </w:rPr>
        <w:t>Règlement sur l'emploi dans la fonction publique</w:t>
      </w:r>
      <w:r w:rsidRPr="003518C7">
        <w:rPr>
          <w:rStyle w:val="Strong"/>
          <w:rFonts w:asciiTheme="minorHAnsi" w:eastAsiaTheme="minorHAnsi" w:hAnsiTheme="minorHAnsi" w:cstheme="minorHAnsi"/>
          <w:b w:val="0"/>
          <w:szCs w:val="24"/>
        </w:rPr>
        <w:t>, la ligne directrice en matière de nomination de la CFP ainsi que l’Instrument de délégation et de responsabilisation en matière de nomination de la CFP</w:t>
      </w:r>
    </w:p>
    <w:p w14:paraId="1823F18A" w14:textId="77777777" w:rsidR="00331527" w:rsidRPr="00671B35" w:rsidRDefault="00331527" w:rsidP="002944FE">
      <w:pPr>
        <w:tabs>
          <w:tab w:val="left" w:pos="7839"/>
        </w:tabs>
        <w:rPr>
          <w:rFonts w:ascii="Arial" w:eastAsia="Calibri" w:hAnsi="Arial"/>
          <w:noProof/>
          <w:sz w:val="22"/>
          <w:szCs w:val="22"/>
          <w:lang w:eastAsia="en-CA"/>
        </w:rPr>
        <w:sectPr w:rsidR="00331527" w:rsidRPr="00671B35" w:rsidSect="00001823">
          <w:pgSz w:w="12240" w:h="15840" w:code="1"/>
          <w:pgMar w:top="1440" w:right="1080" w:bottom="1440" w:left="1080" w:header="709" w:footer="709" w:gutter="0"/>
          <w:cols w:space="708"/>
          <w:titlePg/>
          <w:docGrid w:linePitch="360"/>
        </w:sectPr>
      </w:pPr>
    </w:p>
    <w:p w14:paraId="56DC9521" w14:textId="3A87DB90" w:rsidR="00306C9A" w:rsidRPr="00671B35" w:rsidRDefault="00306C9A" w:rsidP="00306C9A">
      <w:pPr>
        <w:tabs>
          <w:tab w:val="left" w:pos="7839"/>
        </w:tabs>
        <w:jc w:val="right"/>
        <w:rPr>
          <w:rFonts w:ascii="Arial" w:eastAsia="Calibri" w:hAnsi="Arial"/>
          <w:b/>
          <w:noProof/>
          <w:sz w:val="22"/>
          <w:szCs w:val="22"/>
          <w:lang w:eastAsia="en-CA"/>
        </w:rPr>
      </w:pPr>
      <w:bookmarkStart w:id="3" w:name="AnnexB"/>
      <w:r w:rsidRPr="00671B35">
        <w:rPr>
          <w:rFonts w:ascii="Arial" w:eastAsia="Calibri" w:hAnsi="Arial"/>
          <w:b/>
          <w:noProof/>
          <w:sz w:val="22"/>
          <w:szCs w:val="22"/>
          <w:lang w:eastAsia="en-CA"/>
        </w:rPr>
        <w:lastRenderedPageBreak/>
        <w:t>Annexe B</w:t>
      </w:r>
    </w:p>
    <w:bookmarkEnd w:id="3"/>
    <w:p w14:paraId="2BF99E8E" w14:textId="77777777" w:rsidR="007811C2" w:rsidRPr="007811C2" w:rsidRDefault="007811C2" w:rsidP="007811C2">
      <w:pPr>
        <w:pStyle w:val="Heading1"/>
        <w:spacing w:before="120" w:after="120"/>
        <w:rPr>
          <w:rFonts w:eastAsia="Calibri"/>
          <w:noProof/>
          <w:sz w:val="40"/>
          <w:szCs w:val="40"/>
          <w:lang w:eastAsia="en-CA"/>
        </w:rPr>
      </w:pPr>
      <w:r w:rsidRPr="007811C2">
        <w:rPr>
          <w:rFonts w:eastAsia="Calibri"/>
          <w:noProof/>
          <w:sz w:val="40"/>
          <w:szCs w:val="40"/>
          <w:lang w:eastAsia="en-CA"/>
        </w:rPr>
        <w:t>Population selon la durée d'emploi au 31 mars</w:t>
      </w:r>
    </w:p>
    <w:p w14:paraId="639766D5" w14:textId="77777777" w:rsidR="007811C2" w:rsidRDefault="00306C9A" w:rsidP="00B8439C">
      <w:pPr>
        <w:keepNext/>
        <w:tabs>
          <w:tab w:val="left" w:pos="7839"/>
        </w:tabs>
        <w:jc w:val="center"/>
      </w:pPr>
      <w:r w:rsidRPr="00306C9A">
        <w:rPr>
          <w:rFonts w:ascii="Arial" w:eastAsia="Calibri" w:hAnsi="Arial"/>
          <w:noProof/>
          <w:sz w:val="22"/>
          <w:szCs w:val="22"/>
          <w:lang w:eastAsia="en-CA"/>
        </w:rPr>
        <w:drawing>
          <wp:inline distT="0" distB="0" distL="0" distR="0" wp14:anchorId="4D667439" wp14:editId="5977865C">
            <wp:extent cx="5648400" cy="3049200"/>
            <wp:effectExtent l="0" t="0" r="9525" b="18415"/>
            <wp:docPr id="13" name="Chart 13" descr="Population selon la durée d'emploi au 31 m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50D877" w14:textId="168250DA" w:rsidR="007811C2" w:rsidRPr="00B8439C" w:rsidRDefault="007811C2" w:rsidP="00B8439C">
      <w:pPr>
        <w:pStyle w:val="Caption"/>
        <w:spacing w:after="0"/>
        <w:jc w:val="center"/>
        <w:rPr>
          <w:rFonts w:asciiTheme="minorHAnsi" w:hAnsiTheme="minorHAnsi" w:cstheme="minorHAnsi"/>
          <w:i w:val="0"/>
          <w:iCs w:val="0"/>
          <w:color w:val="auto"/>
        </w:rPr>
      </w:pPr>
      <w:r w:rsidRPr="00B8439C">
        <w:rPr>
          <w:rFonts w:asciiTheme="minorHAnsi" w:hAnsiTheme="minorHAnsi" w:cstheme="minorHAnsi"/>
          <w:i w:val="0"/>
          <w:iCs w:val="0"/>
          <w:color w:val="auto"/>
        </w:rPr>
        <w:t xml:space="preserve">Figure </w:t>
      </w:r>
      <w:r w:rsidRPr="00B8439C">
        <w:rPr>
          <w:rFonts w:asciiTheme="minorHAnsi" w:hAnsiTheme="minorHAnsi" w:cstheme="minorHAnsi"/>
          <w:i w:val="0"/>
          <w:iCs w:val="0"/>
          <w:color w:val="auto"/>
        </w:rPr>
        <w:fldChar w:fldCharType="begin"/>
      </w:r>
      <w:r w:rsidRPr="00B8439C">
        <w:rPr>
          <w:rFonts w:asciiTheme="minorHAnsi" w:hAnsiTheme="minorHAnsi" w:cstheme="minorHAnsi"/>
          <w:i w:val="0"/>
          <w:iCs w:val="0"/>
          <w:color w:val="auto"/>
        </w:rPr>
        <w:instrText xml:space="preserve"> SEQ Figure \* ARABIC </w:instrText>
      </w:r>
      <w:r w:rsidRPr="00B8439C">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w:t>
      </w:r>
      <w:r w:rsidRPr="00B8439C">
        <w:rPr>
          <w:rFonts w:asciiTheme="minorHAnsi" w:hAnsiTheme="minorHAnsi" w:cstheme="minorHAnsi"/>
          <w:i w:val="0"/>
          <w:iCs w:val="0"/>
          <w:color w:val="auto"/>
        </w:rPr>
        <w:fldChar w:fldCharType="end"/>
      </w:r>
      <w:r w:rsidRPr="00B8439C">
        <w:rPr>
          <w:rFonts w:asciiTheme="minorHAnsi" w:hAnsiTheme="minorHAnsi" w:cstheme="minorHAnsi"/>
          <w:i w:val="0"/>
          <w:iCs w:val="0"/>
          <w:color w:val="auto"/>
        </w:rPr>
        <w:t xml:space="preserve"> - Population selon la durée d'emploi au 31 mars</w:t>
      </w:r>
    </w:p>
    <w:p w14:paraId="0EDBF3C0" w14:textId="321A4CDE" w:rsidR="00B8439C" w:rsidRPr="00B8439C" w:rsidRDefault="00B8439C" w:rsidP="00B8439C">
      <w:pPr>
        <w:pStyle w:val="Caption"/>
        <w:keepNext/>
        <w:spacing w:before="240" w:after="0"/>
        <w:jc w:val="center"/>
        <w:rPr>
          <w:rFonts w:asciiTheme="minorHAnsi" w:hAnsiTheme="minorHAnsi" w:cstheme="minorHAnsi"/>
          <w:i w:val="0"/>
          <w:iCs w:val="0"/>
          <w:color w:val="auto"/>
        </w:rPr>
      </w:pPr>
      <w:r w:rsidRPr="00B8439C">
        <w:rPr>
          <w:rFonts w:asciiTheme="minorHAnsi" w:hAnsiTheme="minorHAnsi" w:cstheme="minorHAnsi"/>
          <w:i w:val="0"/>
          <w:iCs w:val="0"/>
          <w:color w:val="auto"/>
        </w:rPr>
        <w:t xml:space="preserve">Tableau </w:t>
      </w:r>
      <w:r w:rsidRPr="00B8439C">
        <w:rPr>
          <w:rFonts w:asciiTheme="minorHAnsi" w:hAnsiTheme="minorHAnsi" w:cstheme="minorHAnsi"/>
          <w:i w:val="0"/>
          <w:iCs w:val="0"/>
          <w:color w:val="auto"/>
        </w:rPr>
        <w:fldChar w:fldCharType="begin"/>
      </w:r>
      <w:r w:rsidRPr="00B8439C">
        <w:rPr>
          <w:rFonts w:asciiTheme="minorHAnsi" w:hAnsiTheme="minorHAnsi" w:cstheme="minorHAnsi"/>
          <w:i w:val="0"/>
          <w:iCs w:val="0"/>
          <w:color w:val="auto"/>
        </w:rPr>
        <w:instrText xml:space="preserve"> SEQ Tableau \* ARABIC </w:instrText>
      </w:r>
      <w:r w:rsidRPr="00B8439C">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3</w:t>
      </w:r>
      <w:r w:rsidRPr="00B8439C">
        <w:rPr>
          <w:rFonts w:asciiTheme="minorHAnsi" w:hAnsiTheme="minorHAnsi" w:cstheme="minorHAnsi"/>
          <w:i w:val="0"/>
          <w:iCs w:val="0"/>
          <w:color w:val="auto"/>
        </w:rPr>
        <w:fldChar w:fldCharType="end"/>
      </w:r>
      <w:r w:rsidRPr="00B8439C">
        <w:rPr>
          <w:rFonts w:asciiTheme="minorHAnsi" w:hAnsiTheme="minorHAnsi" w:cstheme="minorHAnsi"/>
          <w:i w:val="0"/>
          <w:iCs w:val="0"/>
          <w:color w:val="auto"/>
        </w:rPr>
        <w:t xml:space="preserve"> - Effectif régi par la </w:t>
      </w:r>
      <w:r w:rsidRPr="00B8439C">
        <w:rPr>
          <w:rStyle w:val="Emphasis"/>
          <w:rFonts w:asciiTheme="minorHAnsi" w:hAnsiTheme="minorHAnsi" w:cstheme="minorHAnsi"/>
          <w:i/>
          <w:iCs/>
          <w:color w:val="auto"/>
        </w:rPr>
        <w:t>Loi sur l’emploi dans la fonction publique</w:t>
      </w:r>
      <w:r w:rsidRPr="00B8439C">
        <w:rPr>
          <w:rFonts w:asciiTheme="minorHAnsi" w:hAnsiTheme="minorHAnsi" w:cstheme="minorHAnsi"/>
          <w:i w:val="0"/>
          <w:iCs w:val="0"/>
          <w:color w:val="auto"/>
        </w:rPr>
        <w:t xml:space="preserve"> au 31 mars selon la durée d’emploi</w:t>
      </w:r>
    </w:p>
    <w:tbl>
      <w:tblPr>
        <w:tblStyle w:val="TableGrid2"/>
        <w:tblW w:w="5000" w:type="pct"/>
        <w:jc w:val="center"/>
        <w:tblLook w:val="0020" w:firstRow="1" w:lastRow="0" w:firstColumn="0" w:lastColumn="0" w:noHBand="0" w:noVBand="0"/>
        <w:tblDescription w:val="Effectif selon la durée d’emploi au 31 mars 2015 à 2020"/>
      </w:tblPr>
      <w:tblGrid>
        <w:gridCol w:w="2261"/>
        <w:gridCol w:w="2694"/>
        <w:gridCol w:w="2835"/>
        <w:gridCol w:w="2694"/>
        <w:gridCol w:w="2268"/>
        <w:gridCol w:w="1638"/>
      </w:tblGrid>
      <w:tr w:rsidR="00B8439C" w:rsidRPr="00B8439C" w14:paraId="32C73AA5" w14:textId="77777777" w:rsidTr="008B2A0E">
        <w:trPr>
          <w:cantSplit/>
          <w:trHeight w:val="290"/>
          <w:tblHeader/>
          <w:jc w:val="center"/>
        </w:trPr>
        <w:tc>
          <w:tcPr>
            <w:tcW w:w="786" w:type="pct"/>
          </w:tcPr>
          <w:p w14:paraId="68534622"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 xml:space="preserve"> Année</w:t>
            </w:r>
          </w:p>
        </w:tc>
        <w:tc>
          <w:tcPr>
            <w:tcW w:w="936" w:type="pct"/>
          </w:tcPr>
          <w:p w14:paraId="5DB67731"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Indéterminé</w:t>
            </w:r>
          </w:p>
        </w:tc>
        <w:tc>
          <w:tcPr>
            <w:tcW w:w="985" w:type="pct"/>
          </w:tcPr>
          <w:p w14:paraId="3C0781C5"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Déterminé</w:t>
            </w:r>
          </w:p>
        </w:tc>
        <w:tc>
          <w:tcPr>
            <w:tcW w:w="936" w:type="pct"/>
          </w:tcPr>
          <w:p w14:paraId="070A3CC9"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Occasionnel</w:t>
            </w:r>
          </w:p>
        </w:tc>
        <w:tc>
          <w:tcPr>
            <w:tcW w:w="788" w:type="pct"/>
          </w:tcPr>
          <w:p w14:paraId="2ECA92CF"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Étudiant</w:t>
            </w:r>
          </w:p>
        </w:tc>
        <w:tc>
          <w:tcPr>
            <w:tcW w:w="569" w:type="pct"/>
          </w:tcPr>
          <w:p w14:paraId="2C6ED3FC" w14:textId="77777777" w:rsidR="009E16DC" w:rsidRPr="00B8439C" w:rsidRDefault="009E16DC" w:rsidP="00B8439C">
            <w:pPr>
              <w:pStyle w:val="TableTitle"/>
              <w:rPr>
                <w:rFonts w:eastAsia="Calibri" w:cs="Segoe UI Semibold"/>
                <w:color w:val="auto"/>
                <w:sz w:val="22"/>
                <w:szCs w:val="22"/>
              </w:rPr>
            </w:pPr>
            <w:r w:rsidRPr="00B8439C">
              <w:rPr>
                <w:rFonts w:eastAsia="Calibri" w:cs="Segoe UI Semibold"/>
                <w:color w:val="auto"/>
                <w:sz w:val="22"/>
                <w:szCs w:val="22"/>
              </w:rPr>
              <w:t>Total</w:t>
            </w:r>
          </w:p>
        </w:tc>
      </w:tr>
      <w:tr w:rsidR="00B8439C" w:rsidRPr="00B8439C" w14:paraId="70ED8685" w14:textId="77777777" w:rsidTr="008B2A0E">
        <w:trPr>
          <w:cantSplit/>
          <w:trHeight w:val="290"/>
          <w:tblHeader/>
          <w:jc w:val="center"/>
        </w:trPr>
        <w:tc>
          <w:tcPr>
            <w:tcW w:w="786" w:type="pct"/>
          </w:tcPr>
          <w:p w14:paraId="2021AC74"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2015</w:t>
            </w:r>
          </w:p>
        </w:tc>
        <w:tc>
          <w:tcPr>
            <w:tcW w:w="936" w:type="pct"/>
          </w:tcPr>
          <w:p w14:paraId="46E18FD1"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379</w:t>
            </w:r>
          </w:p>
        </w:tc>
        <w:tc>
          <w:tcPr>
            <w:tcW w:w="985" w:type="pct"/>
          </w:tcPr>
          <w:p w14:paraId="56572F2C"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5</w:t>
            </w:r>
          </w:p>
        </w:tc>
        <w:tc>
          <w:tcPr>
            <w:tcW w:w="936" w:type="pct"/>
          </w:tcPr>
          <w:p w14:paraId="69B99A8D"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12</w:t>
            </w:r>
          </w:p>
        </w:tc>
        <w:tc>
          <w:tcPr>
            <w:tcW w:w="788" w:type="pct"/>
          </w:tcPr>
          <w:p w14:paraId="106AFED3"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9</w:t>
            </w:r>
          </w:p>
        </w:tc>
        <w:tc>
          <w:tcPr>
            <w:tcW w:w="569" w:type="pct"/>
          </w:tcPr>
          <w:p w14:paraId="73BE91D5"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405</w:t>
            </w:r>
          </w:p>
        </w:tc>
      </w:tr>
      <w:tr w:rsidR="00B8439C" w:rsidRPr="00B8439C" w14:paraId="2BD1A561" w14:textId="77777777" w:rsidTr="008B2A0E">
        <w:trPr>
          <w:cantSplit/>
          <w:trHeight w:val="290"/>
          <w:tblHeader/>
          <w:jc w:val="center"/>
        </w:trPr>
        <w:tc>
          <w:tcPr>
            <w:tcW w:w="786" w:type="pct"/>
          </w:tcPr>
          <w:p w14:paraId="634E9D1E"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2016</w:t>
            </w:r>
          </w:p>
        </w:tc>
        <w:tc>
          <w:tcPr>
            <w:tcW w:w="936" w:type="pct"/>
          </w:tcPr>
          <w:p w14:paraId="59EE6B07"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378</w:t>
            </w:r>
          </w:p>
        </w:tc>
        <w:tc>
          <w:tcPr>
            <w:tcW w:w="985" w:type="pct"/>
          </w:tcPr>
          <w:p w14:paraId="2A8CD14C"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12</w:t>
            </w:r>
          </w:p>
        </w:tc>
        <w:tc>
          <w:tcPr>
            <w:tcW w:w="936" w:type="pct"/>
          </w:tcPr>
          <w:p w14:paraId="77461DB5"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w:t>
            </w:r>
          </w:p>
        </w:tc>
        <w:tc>
          <w:tcPr>
            <w:tcW w:w="788" w:type="pct"/>
          </w:tcPr>
          <w:p w14:paraId="57EEA56F"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6</w:t>
            </w:r>
          </w:p>
        </w:tc>
        <w:tc>
          <w:tcPr>
            <w:tcW w:w="569" w:type="pct"/>
          </w:tcPr>
          <w:p w14:paraId="794D76C0"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400</w:t>
            </w:r>
          </w:p>
        </w:tc>
      </w:tr>
      <w:tr w:rsidR="00B8439C" w:rsidRPr="00B8439C" w14:paraId="3A0E4245" w14:textId="77777777" w:rsidTr="008B2A0E">
        <w:trPr>
          <w:cantSplit/>
          <w:trHeight w:val="290"/>
          <w:tblHeader/>
          <w:jc w:val="center"/>
        </w:trPr>
        <w:tc>
          <w:tcPr>
            <w:tcW w:w="786" w:type="pct"/>
          </w:tcPr>
          <w:p w14:paraId="24C23702"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2017</w:t>
            </w:r>
          </w:p>
        </w:tc>
        <w:tc>
          <w:tcPr>
            <w:tcW w:w="936" w:type="pct"/>
          </w:tcPr>
          <w:p w14:paraId="49C5071E"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397</w:t>
            </w:r>
          </w:p>
        </w:tc>
        <w:tc>
          <w:tcPr>
            <w:tcW w:w="985" w:type="pct"/>
          </w:tcPr>
          <w:p w14:paraId="26AED700"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27</w:t>
            </w:r>
          </w:p>
        </w:tc>
        <w:tc>
          <w:tcPr>
            <w:tcW w:w="936" w:type="pct"/>
          </w:tcPr>
          <w:p w14:paraId="1C7AF152"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8</w:t>
            </w:r>
          </w:p>
        </w:tc>
        <w:tc>
          <w:tcPr>
            <w:tcW w:w="788" w:type="pct"/>
          </w:tcPr>
          <w:p w14:paraId="338893DB"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w:t>
            </w:r>
          </w:p>
        </w:tc>
        <w:tc>
          <w:tcPr>
            <w:tcW w:w="569" w:type="pct"/>
          </w:tcPr>
          <w:p w14:paraId="199D13D3"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436</w:t>
            </w:r>
          </w:p>
        </w:tc>
      </w:tr>
      <w:tr w:rsidR="00B8439C" w:rsidRPr="00B8439C" w14:paraId="1FB474BC" w14:textId="77777777" w:rsidTr="008B2A0E">
        <w:trPr>
          <w:cantSplit/>
          <w:trHeight w:val="290"/>
          <w:tblHeader/>
          <w:jc w:val="center"/>
        </w:trPr>
        <w:tc>
          <w:tcPr>
            <w:tcW w:w="786" w:type="pct"/>
          </w:tcPr>
          <w:p w14:paraId="501128E2"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2018</w:t>
            </w:r>
          </w:p>
        </w:tc>
        <w:tc>
          <w:tcPr>
            <w:tcW w:w="936" w:type="pct"/>
          </w:tcPr>
          <w:p w14:paraId="3D5A3B72"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389</w:t>
            </w:r>
          </w:p>
        </w:tc>
        <w:tc>
          <w:tcPr>
            <w:tcW w:w="985" w:type="pct"/>
          </w:tcPr>
          <w:p w14:paraId="49A759FB"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28</w:t>
            </w:r>
          </w:p>
        </w:tc>
        <w:tc>
          <w:tcPr>
            <w:tcW w:w="936" w:type="pct"/>
          </w:tcPr>
          <w:p w14:paraId="3433DCA8"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7</w:t>
            </w:r>
          </w:p>
        </w:tc>
        <w:tc>
          <w:tcPr>
            <w:tcW w:w="788" w:type="pct"/>
          </w:tcPr>
          <w:p w14:paraId="44A4F724"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w:t>
            </w:r>
          </w:p>
        </w:tc>
        <w:tc>
          <w:tcPr>
            <w:tcW w:w="569" w:type="pct"/>
          </w:tcPr>
          <w:p w14:paraId="07A9FF51"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428</w:t>
            </w:r>
          </w:p>
        </w:tc>
      </w:tr>
      <w:tr w:rsidR="00B8439C" w:rsidRPr="00B8439C" w14:paraId="5CA2DAA9" w14:textId="77777777" w:rsidTr="008B2A0E">
        <w:trPr>
          <w:cantSplit/>
          <w:trHeight w:val="290"/>
          <w:tblHeader/>
          <w:jc w:val="center"/>
        </w:trPr>
        <w:tc>
          <w:tcPr>
            <w:tcW w:w="786" w:type="pct"/>
          </w:tcPr>
          <w:p w14:paraId="68EF0D83"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2019</w:t>
            </w:r>
          </w:p>
        </w:tc>
        <w:tc>
          <w:tcPr>
            <w:tcW w:w="936" w:type="pct"/>
          </w:tcPr>
          <w:p w14:paraId="35E643CA"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400</w:t>
            </w:r>
          </w:p>
        </w:tc>
        <w:tc>
          <w:tcPr>
            <w:tcW w:w="985" w:type="pct"/>
          </w:tcPr>
          <w:p w14:paraId="5DC3771F"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21</w:t>
            </w:r>
          </w:p>
        </w:tc>
        <w:tc>
          <w:tcPr>
            <w:tcW w:w="936" w:type="pct"/>
          </w:tcPr>
          <w:p w14:paraId="2EBDB8D4"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w:t>
            </w:r>
          </w:p>
        </w:tc>
        <w:tc>
          <w:tcPr>
            <w:tcW w:w="788" w:type="pct"/>
          </w:tcPr>
          <w:p w14:paraId="3F686B51"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3</w:t>
            </w:r>
          </w:p>
        </w:tc>
        <w:tc>
          <w:tcPr>
            <w:tcW w:w="569" w:type="pct"/>
          </w:tcPr>
          <w:p w14:paraId="23E9D526"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428</w:t>
            </w:r>
          </w:p>
        </w:tc>
      </w:tr>
      <w:tr w:rsidR="00B8439C" w:rsidRPr="00B8439C" w14:paraId="21C61BA3" w14:textId="77777777" w:rsidTr="008B2A0E">
        <w:trPr>
          <w:cantSplit/>
          <w:trHeight w:val="290"/>
          <w:tblHeader/>
          <w:jc w:val="center"/>
        </w:trPr>
        <w:tc>
          <w:tcPr>
            <w:tcW w:w="786" w:type="pct"/>
          </w:tcPr>
          <w:p w14:paraId="6EAB66A6" w14:textId="77777777" w:rsidR="009E16DC" w:rsidRPr="00B8439C" w:rsidRDefault="009E16DC" w:rsidP="00B8439C">
            <w:pPr>
              <w:autoSpaceDE w:val="0"/>
              <w:autoSpaceDN w:val="0"/>
              <w:adjustRightInd w:val="0"/>
              <w:rPr>
                <w:rFonts w:asciiTheme="minorHAnsi" w:eastAsia="Calibri" w:hAnsiTheme="minorHAnsi" w:cstheme="minorHAnsi"/>
                <w:sz w:val="22"/>
                <w:szCs w:val="22"/>
              </w:rPr>
            </w:pPr>
            <w:r w:rsidRPr="00B8439C">
              <w:rPr>
                <w:rFonts w:asciiTheme="minorHAnsi" w:eastAsia="Calibri" w:hAnsiTheme="minorHAnsi" w:cstheme="minorHAnsi"/>
                <w:sz w:val="22"/>
                <w:szCs w:val="22"/>
              </w:rPr>
              <w:t>Au 31 mars 2020</w:t>
            </w:r>
          </w:p>
        </w:tc>
        <w:tc>
          <w:tcPr>
            <w:tcW w:w="936" w:type="pct"/>
          </w:tcPr>
          <w:p w14:paraId="408DE5AA"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403</w:t>
            </w:r>
          </w:p>
        </w:tc>
        <w:tc>
          <w:tcPr>
            <w:tcW w:w="985" w:type="pct"/>
          </w:tcPr>
          <w:p w14:paraId="1EB0923C"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16</w:t>
            </w:r>
          </w:p>
        </w:tc>
        <w:tc>
          <w:tcPr>
            <w:tcW w:w="936" w:type="pct"/>
          </w:tcPr>
          <w:p w14:paraId="76E6DBB7"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1</w:t>
            </w:r>
          </w:p>
        </w:tc>
        <w:tc>
          <w:tcPr>
            <w:tcW w:w="788" w:type="pct"/>
          </w:tcPr>
          <w:p w14:paraId="1187E61B"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9</w:t>
            </w:r>
          </w:p>
        </w:tc>
        <w:tc>
          <w:tcPr>
            <w:tcW w:w="569" w:type="pct"/>
          </w:tcPr>
          <w:p w14:paraId="25935F92" w14:textId="77777777" w:rsidR="009E16DC" w:rsidRPr="00B8439C" w:rsidRDefault="009E16DC" w:rsidP="00E657F6">
            <w:pPr>
              <w:autoSpaceDE w:val="0"/>
              <w:autoSpaceDN w:val="0"/>
              <w:adjustRightInd w:val="0"/>
              <w:jc w:val="center"/>
              <w:rPr>
                <w:rFonts w:asciiTheme="minorHAnsi" w:eastAsia="Calibri" w:hAnsiTheme="minorHAnsi" w:cstheme="minorHAnsi"/>
                <w:sz w:val="22"/>
                <w:szCs w:val="22"/>
              </w:rPr>
            </w:pPr>
            <w:r w:rsidRPr="00B8439C">
              <w:rPr>
                <w:rFonts w:asciiTheme="minorHAnsi" w:eastAsia="Calibri" w:hAnsiTheme="minorHAnsi" w:cstheme="minorHAnsi"/>
                <w:sz w:val="22"/>
                <w:szCs w:val="22"/>
              </w:rPr>
              <w:t>429</w:t>
            </w:r>
          </w:p>
        </w:tc>
      </w:tr>
    </w:tbl>
    <w:p w14:paraId="3EF20B32" w14:textId="217628DA" w:rsidR="00DF0000" w:rsidRDefault="00DF0000" w:rsidP="00306C9A">
      <w:pPr>
        <w:tabs>
          <w:tab w:val="left" w:pos="7839"/>
        </w:tabs>
        <w:rPr>
          <w:rFonts w:ascii="Arial" w:eastAsia="Calibri" w:hAnsi="Arial"/>
          <w:noProof/>
          <w:sz w:val="22"/>
          <w:szCs w:val="22"/>
          <w:lang w:eastAsia="en-CA"/>
        </w:rPr>
      </w:pPr>
    </w:p>
    <w:p w14:paraId="55A93469" w14:textId="77777777" w:rsidR="00DF0000" w:rsidRDefault="00DF0000" w:rsidP="00306C9A">
      <w:pPr>
        <w:tabs>
          <w:tab w:val="left" w:pos="7839"/>
        </w:tabs>
        <w:rPr>
          <w:rFonts w:ascii="Arial" w:eastAsia="Calibri" w:hAnsi="Arial"/>
          <w:noProof/>
          <w:sz w:val="22"/>
          <w:szCs w:val="22"/>
          <w:lang w:eastAsia="en-CA"/>
        </w:rPr>
        <w:sectPr w:rsidR="00DF0000" w:rsidSect="00D85628">
          <w:headerReference w:type="even" r:id="rId19"/>
          <w:headerReference w:type="default" r:id="rId20"/>
          <w:footerReference w:type="even" r:id="rId21"/>
          <w:footerReference w:type="default" r:id="rId22"/>
          <w:headerReference w:type="first" r:id="rId23"/>
          <w:footerReference w:type="first" r:id="rId24"/>
          <w:pgSz w:w="15840" w:h="12240" w:orient="landscape"/>
          <w:pgMar w:top="629" w:right="720" w:bottom="720" w:left="720" w:header="709" w:footer="709" w:gutter="0"/>
          <w:cols w:space="708"/>
          <w:titlePg/>
          <w:docGrid w:linePitch="360"/>
        </w:sectPr>
      </w:pPr>
    </w:p>
    <w:p w14:paraId="624C6387" w14:textId="77777777" w:rsidR="00B8439C" w:rsidRPr="00B8439C" w:rsidRDefault="00B8439C" w:rsidP="00B8439C">
      <w:pPr>
        <w:pStyle w:val="Heading1"/>
        <w:spacing w:before="120" w:after="120"/>
        <w:rPr>
          <w:rFonts w:eastAsia="Calibri"/>
          <w:noProof/>
          <w:sz w:val="40"/>
          <w:szCs w:val="40"/>
          <w:lang w:eastAsia="en-CA"/>
        </w:rPr>
      </w:pPr>
      <w:r w:rsidRPr="00B8439C">
        <w:rPr>
          <w:rFonts w:eastAsia="Calibri"/>
          <w:noProof/>
          <w:sz w:val="40"/>
          <w:szCs w:val="40"/>
          <w:lang w:eastAsia="en-CA"/>
        </w:rPr>
        <w:lastRenderedPageBreak/>
        <w:t>Population selon le profil linguistique au 31 mars 2020</w:t>
      </w:r>
    </w:p>
    <w:p w14:paraId="059C17AC" w14:textId="77777777" w:rsidR="00B8439C" w:rsidRDefault="00DF0000" w:rsidP="00B8439C">
      <w:pPr>
        <w:keepNext/>
        <w:tabs>
          <w:tab w:val="left" w:pos="7839"/>
        </w:tabs>
        <w:jc w:val="center"/>
      </w:pPr>
      <w:r w:rsidRPr="00306C9A">
        <w:rPr>
          <w:rFonts w:ascii="Arial" w:eastAsia="Calibri" w:hAnsi="Arial"/>
          <w:noProof/>
          <w:sz w:val="22"/>
          <w:szCs w:val="22"/>
          <w:lang w:eastAsia="en-CA"/>
        </w:rPr>
        <w:drawing>
          <wp:inline distT="0" distB="0" distL="0" distR="0" wp14:anchorId="4FAEEB95" wp14:editId="596A705B">
            <wp:extent cx="1980000" cy="3020400"/>
            <wp:effectExtent l="0" t="0" r="1270" b="8890"/>
            <wp:docPr id="18" name="Chart 18" descr="Population selon le profil linguistique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4002EE" w14:textId="42235D4B" w:rsidR="00DF0000" w:rsidRPr="00B8439C" w:rsidRDefault="00B8439C" w:rsidP="004671C6">
      <w:pPr>
        <w:pStyle w:val="Caption"/>
        <w:spacing w:after="0"/>
        <w:jc w:val="center"/>
        <w:rPr>
          <w:rFonts w:asciiTheme="minorHAnsi" w:eastAsia="Calibri" w:hAnsiTheme="minorHAnsi" w:cstheme="minorHAnsi"/>
          <w:i w:val="0"/>
          <w:iCs w:val="0"/>
          <w:noProof/>
          <w:color w:val="auto"/>
          <w:sz w:val="22"/>
          <w:szCs w:val="22"/>
          <w:lang w:eastAsia="en-CA"/>
        </w:rPr>
      </w:pPr>
      <w:r w:rsidRPr="00B8439C">
        <w:rPr>
          <w:rFonts w:asciiTheme="minorHAnsi" w:hAnsiTheme="minorHAnsi" w:cstheme="minorHAnsi"/>
          <w:i w:val="0"/>
          <w:iCs w:val="0"/>
          <w:color w:val="auto"/>
        </w:rPr>
        <w:t xml:space="preserve">Figure </w:t>
      </w:r>
      <w:r w:rsidRPr="00B8439C">
        <w:rPr>
          <w:rFonts w:asciiTheme="minorHAnsi" w:hAnsiTheme="minorHAnsi" w:cstheme="minorHAnsi"/>
          <w:i w:val="0"/>
          <w:iCs w:val="0"/>
          <w:color w:val="auto"/>
        </w:rPr>
        <w:fldChar w:fldCharType="begin"/>
      </w:r>
      <w:r w:rsidRPr="00B8439C">
        <w:rPr>
          <w:rFonts w:asciiTheme="minorHAnsi" w:hAnsiTheme="minorHAnsi" w:cstheme="minorHAnsi"/>
          <w:i w:val="0"/>
          <w:iCs w:val="0"/>
          <w:color w:val="auto"/>
        </w:rPr>
        <w:instrText xml:space="preserve"> SEQ Figure \* ARABIC </w:instrText>
      </w:r>
      <w:r w:rsidRPr="00B8439C">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2</w:t>
      </w:r>
      <w:r w:rsidRPr="00B8439C">
        <w:rPr>
          <w:rFonts w:asciiTheme="minorHAnsi" w:hAnsiTheme="minorHAnsi" w:cstheme="minorHAnsi"/>
          <w:i w:val="0"/>
          <w:iCs w:val="0"/>
          <w:color w:val="auto"/>
        </w:rPr>
        <w:fldChar w:fldCharType="end"/>
      </w:r>
      <w:r w:rsidRPr="00B8439C">
        <w:rPr>
          <w:rFonts w:asciiTheme="minorHAnsi" w:hAnsiTheme="minorHAnsi" w:cstheme="minorHAnsi"/>
          <w:i w:val="0"/>
          <w:iCs w:val="0"/>
          <w:color w:val="auto"/>
        </w:rPr>
        <w:t xml:space="preserve"> - Population selon le profil linguistique au 31 mars 2020</w:t>
      </w:r>
    </w:p>
    <w:p w14:paraId="0FBA3B0F" w14:textId="2F16B625" w:rsidR="00B8439C" w:rsidRPr="00B8439C" w:rsidRDefault="00B8439C" w:rsidP="004671C6">
      <w:pPr>
        <w:pStyle w:val="Caption"/>
        <w:keepNext/>
        <w:spacing w:before="240" w:after="0"/>
        <w:jc w:val="center"/>
        <w:rPr>
          <w:rFonts w:asciiTheme="minorHAnsi" w:hAnsiTheme="minorHAnsi" w:cstheme="minorHAnsi"/>
          <w:i w:val="0"/>
          <w:iCs w:val="0"/>
          <w:color w:val="auto"/>
        </w:rPr>
      </w:pPr>
      <w:r w:rsidRPr="00B8439C">
        <w:rPr>
          <w:rFonts w:asciiTheme="minorHAnsi" w:hAnsiTheme="minorHAnsi" w:cstheme="minorHAnsi"/>
          <w:i w:val="0"/>
          <w:iCs w:val="0"/>
          <w:color w:val="auto"/>
        </w:rPr>
        <w:t xml:space="preserve">Tableau </w:t>
      </w:r>
      <w:r w:rsidRPr="00B8439C">
        <w:rPr>
          <w:rFonts w:asciiTheme="minorHAnsi" w:hAnsiTheme="minorHAnsi" w:cstheme="minorHAnsi"/>
          <w:i w:val="0"/>
          <w:iCs w:val="0"/>
          <w:color w:val="auto"/>
        </w:rPr>
        <w:fldChar w:fldCharType="begin"/>
      </w:r>
      <w:r w:rsidRPr="00B8439C">
        <w:rPr>
          <w:rFonts w:asciiTheme="minorHAnsi" w:hAnsiTheme="minorHAnsi" w:cstheme="minorHAnsi"/>
          <w:i w:val="0"/>
          <w:iCs w:val="0"/>
          <w:color w:val="auto"/>
        </w:rPr>
        <w:instrText xml:space="preserve"> SEQ Tableau \* ARABIC </w:instrText>
      </w:r>
      <w:r w:rsidRPr="00B8439C">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4</w:t>
      </w:r>
      <w:r w:rsidRPr="00B8439C">
        <w:rPr>
          <w:rFonts w:asciiTheme="minorHAnsi" w:hAnsiTheme="minorHAnsi" w:cstheme="minorHAnsi"/>
          <w:i w:val="0"/>
          <w:iCs w:val="0"/>
          <w:color w:val="auto"/>
        </w:rPr>
        <w:fldChar w:fldCharType="end"/>
      </w:r>
      <w:r w:rsidRPr="00B8439C">
        <w:rPr>
          <w:rFonts w:asciiTheme="minorHAnsi" w:hAnsiTheme="minorHAnsi" w:cstheme="minorHAnsi"/>
          <w:i w:val="0"/>
          <w:iCs w:val="0"/>
          <w:color w:val="auto"/>
        </w:rPr>
        <w:t xml:space="preserve"> - Effectif régi par la </w:t>
      </w:r>
      <w:r w:rsidRPr="00B8439C">
        <w:rPr>
          <w:rStyle w:val="Emphasis"/>
          <w:rFonts w:asciiTheme="minorHAnsi" w:hAnsiTheme="minorHAnsi" w:cstheme="minorHAnsi"/>
          <w:i/>
          <w:iCs/>
          <w:color w:val="auto"/>
        </w:rPr>
        <w:t>Loi sur l’emploi dans la fonction publique</w:t>
      </w:r>
      <w:r w:rsidRPr="00B8439C">
        <w:rPr>
          <w:rFonts w:asciiTheme="minorHAnsi" w:hAnsiTheme="minorHAnsi" w:cstheme="minorHAnsi"/>
          <w:i w:val="0"/>
          <w:iCs w:val="0"/>
          <w:color w:val="auto"/>
        </w:rPr>
        <w:t xml:space="preserve"> selon le profil linguistique au 31 mars 2020</w:t>
      </w:r>
    </w:p>
    <w:tbl>
      <w:tblPr>
        <w:tblStyle w:val="TableGrid2"/>
        <w:tblW w:w="5000" w:type="pct"/>
        <w:jc w:val="center"/>
        <w:tblLook w:val="0020" w:firstRow="1" w:lastRow="0" w:firstColumn="0" w:lastColumn="0" w:noHBand="0" w:noVBand="0"/>
        <w:tblDescription w:val="Effectif selon les exigences linguistiques au 31 mars 2020"/>
      </w:tblPr>
      <w:tblGrid>
        <w:gridCol w:w="3681"/>
        <w:gridCol w:w="4962"/>
        <w:gridCol w:w="5747"/>
      </w:tblGrid>
      <w:tr w:rsidR="00B8439C" w:rsidRPr="00B8439C" w14:paraId="0368C146" w14:textId="77777777" w:rsidTr="008B2A0E">
        <w:trPr>
          <w:cantSplit/>
          <w:trHeight w:val="290"/>
          <w:tblHeader/>
          <w:jc w:val="center"/>
        </w:trPr>
        <w:tc>
          <w:tcPr>
            <w:tcW w:w="1279" w:type="pct"/>
          </w:tcPr>
          <w:p w14:paraId="49582EEE" w14:textId="77777777" w:rsidR="009E16DC" w:rsidRPr="00B8439C" w:rsidRDefault="009E16DC" w:rsidP="00B8439C">
            <w:pPr>
              <w:pStyle w:val="TableTitle"/>
              <w:rPr>
                <w:rFonts w:eastAsia="Calibri"/>
                <w:color w:val="auto"/>
                <w:sz w:val="22"/>
                <w:szCs w:val="22"/>
              </w:rPr>
            </w:pPr>
            <w:r w:rsidRPr="00B8439C">
              <w:rPr>
                <w:rFonts w:eastAsia="Calibri"/>
                <w:color w:val="auto"/>
                <w:sz w:val="22"/>
                <w:szCs w:val="22"/>
              </w:rPr>
              <w:t xml:space="preserve">Profil linguistique  </w:t>
            </w:r>
          </w:p>
        </w:tc>
        <w:tc>
          <w:tcPr>
            <w:tcW w:w="1724" w:type="pct"/>
          </w:tcPr>
          <w:p w14:paraId="570D3C66" w14:textId="77777777" w:rsidR="009E16DC" w:rsidRPr="00B8439C" w:rsidRDefault="009E16DC" w:rsidP="00B8439C">
            <w:pPr>
              <w:pStyle w:val="TableTitle"/>
              <w:rPr>
                <w:rFonts w:eastAsia="Calibri"/>
                <w:color w:val="auto"/>
                <w:sz w:val="22"/>
                <w:szCs w:val="22"/>
              </w:rPr>
            </w:pPr>
            <w:r w:rsidRPr="00B8439C">
              <w:rPr>
                <w:rFonts w:eastAsia="Calibri"/>
                <w:color w:val="auto"/>
                <w:sz w:val="22"/>
                <w:szCs w:val="22"/>
              </w:rPr>
              <w:t>Effectif au 31 mars 2020</w:t>
            </w:r>
          </w:p>
        </w:tc>
        <w:tc>
          <w:tcPr>
            <w:tcW w:w="1997" w:type="pct"/>
          </w:tcPr>
          <w:p w14:paraId="31D2EA06" w14:textId="77777777" w:rsidR="009E16DC" w:rsidRPr="00B8439C" w:rsidRDefault="009E16DC" w:rsidP="00B8439C">
            <w:pPr>
              <w:pStyle w:val="TableTitle"/>
              <w:rPr>
                <w:rFonts w:eastAsia="Calibri"/>
                <w:color w:val="auto"/>
                <w:sz w:val="22"/>
                <w:szCs w:val="22"/>
              </w:rPr>
            </w:pPr>
            <w:r w:rsidRPr="00B8439C">
              <w:rPr>
                <w:rFonts w:eastAsia="Calibri"/>
                <w:color w:val="auto"/>
                <w:sz w:val="22"/>
                <w:szCs w:val="22"/>
              </w:rPr>
              <w:t>Pourcentage de l'effectif au 31 mars 2020</w:t>
            </w:r>
          </w:p>
        </w:tc>
      </w:tr>
      <w:tr w:rsidR="009E16DC" w:rsidRPr="00B8439C" w14:paraId="07C24E18" w14:textId="77777777" w:rsidTr="008B2A0E">
        <w:trPr>
          <w:cantSplit/>
          <w:trHeight w:val="290"/>
          <w:tblHeader/>
          <w:jc w:val="center"/>
        </w:trPr>
        <w:tc>
          <w:tcPr>
            <w:tcW w:w="1279" w:type="pct"/>
          </w:tcPr>
          <w:p w14:paraId="64CB4CC8" w14:textId="77777777" w:rsidR="009E16DC" w:rsidRPr="00B8439C" w:rsidRDefault="009E16DC" w:rsidP="00E657F6">
            <w:pPr>
              <w:autoSpaceDE w:val="0"/>
              <w:autoSpaceDN w:val="0"/>
              <w:adjustRightInd w:val="0"/>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 xml:space="preserve">Bilingue </w:t>
            </w:r>
          </w:p>
        </w:tc>
        <w:tc>
          <w:tcPr>
            <w:tcW w:w="1724" w:type="pct"/>
          </w:tcPr>
          <w:p w14:paraId="664D70E4" w14:textId="77777777" w:rsidR="009E16DC" w:rsidRPr="00B8439C" w:rsidRDefault="009E16D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63</w:t>
            </w:r>
          </w:p>
        </w:tc>
        <w:tc>
          <w:tcPr>
            <w:tcW w:w="1997" w:type="pct"/>
          </w:tcPr>
          <w:p w14:paraId="43F0CBAC" w14:textId="77777777" w:rsidR="009E16DC" w:rsidRPr="00B8439C" w:rsidRDefault="009E16D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15%</w:t>
            </w:r>
          </w:p>
        </w:tc>
      </w:tr>
      <w:tr w:rsidR="009E16DC" w:rsidRPr="00B8439C" w14:paraId="11BD0798" w14:textId="77777777" w:rsidTr="008B2A0E">
        <w:trPr>
          <w:cantSplit/>
          <w:trHeight w:val="290"/>
          <w:tblHeader/>
          <w:jc w:val="center"/>
        </w:trPr>
        <w:tc>
          <w:tcPr>
            <w:tcW w:w="1279" w:type="pct"/>
          </w:tcPr>
          <w:p w14:paraId="443AA292" w14:textId="77777777" w:rsidR="009E16DC" w:rsidRPr="00B8439C" w:rsidRDefault="009E16DC" w:rsidP="00E657F6">
            <w:pPr>
              <w:autoSpaceDE w:val="0"/>
              <w:autoSpaceDN w:val="0"/>
              <w:adjustRightInd w:val="0"/>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Unilingue</w:t>
            </w:r>
          </w:p>
        </w:tc>
        <w:tc>
          <w:tcPr>
            <w:tcW w:w="1724" w:type="pct"/>
          </w:tcPr>
          <w:p w14:paraId="187B8931" w14:textId="77777777" w:rsidR="009E16DC" w:rsidRPr="00B8439C" w:rsidRDefault="009E16D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352</w:t>
            </w:r>
          </w:p>
        </w:tc>
        <w:tc>
          <w:tcPr>
            <w:tcW w:w="1997" w:type="pct"/>
          </w:tcPr>
          <w:p w14:paraId="564AE195" w14:textId="77777777" w:rsidR="009E16DC" w:rsidRPr="00B8439C" w:rsidRDefault="009E16D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85%</w:t>
            </w:r>
          </w:p>
        </w:tc>
      </w:tr>
      <w:tr w:rsidR="009E16DC" w:rsidRPr="00B8439C" w14:paraId="1D1B4A46" w14:textId="77777777" w:rsidTr="008B2A0E">
        <w:trPr>
          <w:cantSplit/>
          <w:trHeight w:val="290"/>
          <w:tblHeader/>
          <w:jc w:val="center"/>
        </w:trPr>
        <w:tc>
          <w:tcPr>
            <w:tcW w:w="1279" w:type="pct"/>
          </w:tcPr>
          <w:p w14:paraId="1BD90C5E" w14:textId="77777777" w:rsidR="009E16DC" w:rsidRPr="00B8439C" w:rsidRDefault="009E16DC" w:rsidP="00E657F6">
            <w:pPr>
              <w:autoSpaceDE w:val="0"/>
              <w:autoSpaceDN w:val="0"/>
              <w:adjustRightInd w:val="0"/>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Inconnus</w:t>
            </w:r>
          </w:p>
        </w:tc>
        <w:tc>
          <w:tcPr>
            <w:tcW w:w="1724" w:type="pct"/>
          </w:tcPr>
          <w:p w14:paraId="70BC23D3" w14:textId="77777777" w:rsidR="009E16DC" w:rsidRPr="00B8439C" w:rsidRDefault="009E16D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14</w:t>
            </w:r>
          </w:p>
        </w:tc>
        <w:tc>
          <w:tcPr>
            <w:tcW w:w="1997" w:type="pct"/>
          </w:tcPr>
          <w:p w14:paraId="7CB73FE6" w14:textId="0AC52C2E" w:rsidR="009E16DC" w:rsidRPr="00B8439C" w:rsidRDefault="00B8439C" w:rsidP="00E657F6">
            <w:pPr>
              <w:autoSpaceDE w:val="0"/>
              <w:autoSpaceDN w:val="0"/>
              <w:adjustRightInd w:val="0"/>
              <w:jc w:val="center"/>
              <w:rPr>
                <w:rFonts w:asciiTheme="minorHAnsi" w:eastAsia="Calibri" w:hAnsiTheme="minorHAnsi" w:cstheme="minorHAnsi"/>
                <w:color w:val="000000"/>
                <w:sz w:val="22"/>
                <w:szCs w:val="22"/>
              </w:rPr>
            </w:pPr>
            <w:r w:rsidRPr="00B8439C">
              <w:rPr>
                <w:rFonts w:asciiTheme="minorHAnsi" w:eastAsia="Calibri" w:hAnsiTheme="minorHAnsi" w:cstheme="minorHAnsi"/>
                <w:color w:val="000000"/>
                <w:sz w:val="22"/>
                <w:szCs w:val="22"/>
              </w:rPr>
              <w:t>0%</w:t>
            </w:r>
          </w:p>
        </w:tc>
      </w:tr>
    </w:tbl>
    <w:p w14:paraId="05783BCC" w14:textId="709AAC6A" w:rsidR="00DF0000" w:rsidRDefault="00DF0000" w:rsidP="00306C9A">
      <w:pPr>
        <w:tabs>
          <w:tab w:val="left" w:pos="7839"/>
        </w:tabs>
        <w:rPr>
          <w:rFonts w:ascii="Arial" w:eastAsia="Calibri" w:hAnsi="Arial"/>
          <w:noProof/>
          <w:sz w:val="22"/>
          <w:szCs w:val="22"/>
          <w:lang w:eastAsia="en-CA"/>
        </w:rPr>
      </w:pPr>
    </w:p>
    <w:p w14:paraId="5E6EAC5F" w14:textId="77777777" w:rsidR="00DF0000" w:rsidRDefault="00DF0000" w:rsidP="00306C9A">
      <w:pPr>
        <w:tabs>
          <w:tab w:val="left" w:pos="7839"/>
        </w:tabs>
        <w:rPr>
          <w:rFonts w:ascii="Arial" w:eastAsia="Calibri" w:hAnsi="Arial"/>
          <w:noProof/>
          <w:sz w:val="22"/>
          <w:szCs w:val="22"/>
          <w:lang w:eastAsia="en-CA"/>
        </w:rPr>
        <w:sectPr w:rsidR="00DF0000" w:rsidSect="00D85628">
          <w:pgSz w:w="15840" w:h="12240" w:orient="landscape"/>
          <w:pgMar w:top="629" w:right="720" w:bottom="720" w:left="720" w:header="709" w:footer="709" w:gutter="0"/>
          <w:cols w:space="708"/>
          <w:titlePg/>
          <w:docGrid w:linePitch="360"/>
        </w:sectPr>
      </w:pPr>
    </w:p>
    <w:p w14:paraId="636E51B4" w14:textId="77777777" w:rsidR="004671C6" w:rsidRPr="004671C6" w:rsidRDefault="004671C6" w:rsidP="004671C6">
      <w:pPr>
        <w:pStyle w:val="Heading1"/>
        <w:spacing w:before="120" w:after="120"/>
        <w:rPr>
          <w:rFonts w:eastAsia="Calibri"/>
          <w:noProof/>
          <w:sz w:val="40"/>
          <w:szCs w:val="40"/>
          <w:lang w:eastAsia="en-CA"/>
        </w:rPr>
      </w:pPr>
      <w:r w:rsidRPr="004671C6">
        <w:rPr>
          <w:rFonts w:eastAsia="Calibri"/>
          <w:noProof/>
          <w:sz w:val="40"/>
          <w:szCs w:val="40"/>
          <w:lang w:eastAsia="en-CA"/>
        </w:rPr>
        <w:lastRenderedPageBreak/>
        <w:t>Population selon le groupe professionnel au 31 mars 2020</w:t>
      </w:r>
    </w:p>
    <w:p w14:paraId="676B1782" w14:textId="77777777" w:rsidR="004671C6" w:rsidRDefault="00DF0000" w:rsidP="004671C6">
      <w:pPr>
        <w:keepNext/>
        <w:tabs>
          <w:tab w:val="left" w:pos="7839"/>
        </w:tabs>
        <w:jc w:val="center"/>
      </w:pPr>
      <w:r w:rsidRPr="00306C9A">
        <w:rPr>
          <w:rFonts w:ascii="Arial" w:eastAsia="Calibri" w:hAnsi="Arial"/>
          <w:noProof/>
          <w:sz w:val="17"/>
          <w:szCs w:val="17"/>
          <w:lang w:eastAsia="en-CA"/>
        </w:rPr>
        <w:drawing>
          <wp:inline distT="0" distB="0" distL="0" distR="0" wp14:anchorId="729889DF" wp14:editId="63653357">
            <wp:extent cx="1980000" cy="3020400"/>
            <wp:effectExtent l="0" t="0" r="1270" b="8890"/>
            <wp:docPr id="5" name="Chart 5" descr="Population selon le groupe professionnel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B1F962" w14:textId="11AD645E" w:rsidR="00DF0000" w:rsidRPr="004671C6" w:rsidRDefault="004671C6" w:rsidP="004671C6">
      <w:pPr>
        <w:pStyle w:val="Caption"/>
        <w:spacing w:after="0"/>
        <w:jc w:val="center"/>
        <w:rPr>
          <w:rFonts w:asciiTheme="minorHAnsi" w:eastAsia="Calibri" w:hAnsiTheme="minorHAnsi" w:cstheme="minorHAnsi"/>
          <w:i w:val="0"/>
          <w:iCs w:val="0"/>
          <w:noProof/>
          <w:color w:val="auto"/>
          <w:sz w:val="22"/>
          <w:szCs w:val="22"/>
          <w:lang w:eastAsia="en-CA"/>
        </w:rPr>
      </w:pPr>
      <w:r w:rsidRPr="004671C6">
        <w:rPr>
          <w:rFonts w:asciiTheme="minorHAnsi" w:hAnsiTheme="minorHAnsi" w:cstheme="minorHAnsi"/>
          <w:i w:val="0"/>
          <w:iCs w:val="0"/>
          <w:color w:val="auto"/>
        </w:rPr>
        <w:t xml:space="preserve">Figure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Figure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3</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Population selon le groupe professionnel au 31 mars 2020</w:t>
      </w:r>
    </w:p>
    <w:p w14:paraId="1C44EDCF" w14:textId="676484A6" w:rsidR="004671C6" w:rsidRPr="004671C6" w:rsidRDefault="004671C6" w:rsidP="004671C6">
      <w:pPr>
        <w:pStyle w:val="Caption"/>
        <w:keepNext/>
        <w:spacing w:before="240" w:after="0"/>
        <w:jc w:val="center"/>
        <w:rPr>
          <w:rFonts w:asciiTheme="minorHAnsi" w:hAnsiTheme="minorHAnsi" w:cstheme="minorHAnsi"/>
          <w:i w:val="0"/>
          <w:iCs w:val="0"/>
          <w:color w:val="auto"/>
        </w:rPr>
      </w:pPr>
      <w:r w:rsidRPr="004671C6">
        <w:rPr>
          <w:rFonts w:asciiTheme="minorHAnsi" w:hAnsiTheme="minorHAnsi" w:cstheme="minorHAnsi"/>
          <w:i w:val="0"/>
          <w:iCs w:val="0"/>
          <w:color w:val="auto"/>
        </w:rPr>
        <w:t xml:space="preserve">Tableau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Tableau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5</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Groupes d’emploi, pourcentage de l'effectif régi par la </w:t>
      </w:r>
      <w:r w:rsidRPr="004671C6">
        <w:rPr>
          <w:rStyle w:val="Emphasis"/>
          <w:rFonts w:asciiTheme="minorHAnsi" w:hAnsiTheme="minorHAnsi" w:cstheme="minorHAnsi"/>
          <w:i/>
          <w:iCs/>
          <w:color w:val="auto"/>
        </w:rPr>
        <w:t>Loi sur l’emploi dans la fonction publique</w:t>
      </w:r>
      <w:r w:rsidRPr="004671C6">
        <w:rPr>
          <w:rFonts w:asciiTheme="minorHAnsi" w:hAnsiTheme="minorHAnsi" w:cstheme="minorHAnsi"/>
          <w:i w:val="0"/>
          <w:iCs w:val="0"/>
          <w:color w:val="auto"/>
        </w:rPr>
        <w:t xml:space="preserve"> au 31 mars 2020</w:t>
      </w:r>
    </w:p>
    <w:tbl>
      <w:tblPr>
        <w:tblStyle w:val="TableGrid2"/>
        <w:tblW w:w="5000" w:type="pct"/>
        <w:jc w:val="center"/>
        <w:tblLook w:val="0020" w:firstRow="1" w:lastRow="0" w:firstColumn="0" w:lastColumn="0" w:noHBand="0" w:noVBand="0"/>
        <w:tblDescription w:val="Effectif selon le groupe professionnel au 31 mars 2020"/>
      </w:tblPr>
      <w:tblGrid>
        <w:gridCol w:w="4248"/>
        <w:gridCol w:w="5244"/>
        <w:gridCol w:w="4898"/>
      </w:tblGrid>
      <w:tr w:rsidR="004671C6" w:rsidRPr="004671C6" w14:paraId="505EFA99" w14:textId="77777777" w:rsidTr="00081693">
        <w:trPr>
          <w:cantSplit/>
          <w:trHeight w:val="290"/>
          <w:tblHeader/>
          <w:jc w:val="center"/>
        </w:trPr>
        <w:tc>
          <w:tcPr>
            <w:tcW w:w="1476" w:type="pct"/>
          </w:tcPr>
          <w:p w14:paraId="46549706" w14:textId="77777777" w:rsidR="009E16DC" w:rsidRPr="004671C6" w:rsidRDefault="009E16DC" w:rsidP="004671C6">
            <w:pPr>
              <w:pStyle w:val="TableTitle"/>
              <w:rPr>
                <w:rFonts w:eastAsia="Calibri" w:cs="Segoe UI Semibold"/>
                <w:color w:val="auto"/>
                <w:sz w:val="22"/>
                <w:szCs w:val="22"/>
              </w:rPr>
            </w:pPr>
            <w:r w:rsidRPr="004671C6">
              <w:rPr>
                <w:rFonts w:eastAsia="Calibri" w:cs="Segoe UI Semibold"/>
                <w:color w:val="auto"/>
                <w:sz w:val="22"/>
                <w:szCs w:val="22"/>
              </w:rPr>
              <w:t>Groupes professionnels</w:t>
            </w:r>
          </w:p>
        </w:tc>
        <w:tc>
          <w:tcPr>
            <w:tcW w:w="1822" w:type="pct"/>
          </w:tcPr>
          <w:p w14:paraId="3632A0A4" w14:textId="77777777" w:rsidR="009E16DC" w:rsidRPr="004671C6" w:rsidRDefault="009E16DC" w:rsidP="004671C6">
            <w:pPr>
              <w:pStyle w:val="TableTitle"/>
              <w:rPr>
                <w:rFonts w:eastAsia="Calibri" w:cs="Segoe UI Semibold"/>
                <w:color w:val="auto"/>
                <w:sz w:val="22"/>
                <w:szCs w:val="22"/>
              </w:rPr>
            </w:pPr>
            <w:r w:rsidRPr="004671C6">
              <w:rPr>
                <w:rFonts w:eastAsia="Calibri" w:cs="Segoe UI Semibold"/>
                <w:color w:val="auto"/>
                <w:sz w:val="22"/>
                <w:szCs w:val="22"/>
              </w:rPr>
              <w:t>Effectif au 31 mars 2020</w:t>
            </w:r>
          </w:p>
        </w:tc>
        <w:tc>
          <w:tcPr>
            <w:tcW w:w="1702" w:type="pct"/>
          </w:tcPr>
          <w:p w14:paraId="4F4976CA" w14:textId="77777777" w:rsidR="009E16DC" w:rsidRPr="004671C6" w:rsidRDefault="009E16DC" w:rsidP="004671C6">
            <w:pPr>
              <w:pStyle w:val="TableTitle"/>
              <w:rPr>
                <w:rFonts w:eastAsia="Calibri" w:cs="Segoe UI Semibold"/>
                <w:color w:val="auto"/>
                <w:sz w:val="22"/>
                <w:szCs w:val="22"/>
              </w:rPr>
            </w:pPr>
            <w:r w:rsidRPr="004671C6">
              <w:rPr>
                <w:rFonts w:eastAsia="Calibri" w:cs="Segoe UI Semibold"/>
                <w:color w:val="auto"/>
                <w:sz w:val="22"/>
                <w:szCs w:val="22"/>
              </w:rPr>
              <w:t>Pourcentage de l'effectif au 31 mars 2020</w:t>
            </w:r>
          </w:p>
        </w:tc>
      </w:tr>
      <w:tr w:rsidR="004671C6" w:rsidRPr="004671C6" w14:paraId="29658752" w14:textId="77777777" w:rsidTr="00081693">
        <w:trPr>
          <w:cantSplit/>
          <w:trHeight w:val="290"/>
          <w:tblHeader/>
          <w:jc w:val="center"/>
        </w:trPr>
        <w:tc>
          <w:tcPr>
            <w:tcW w:w="1476" w:type="pct"/>
          </w:tcPr>
          <w:p w14:paraId="66C0A9E7"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PI – Inspection des produits primaires</w:t>
            </w:r>
          </w:p>
        </w:tc>
        <w:tc>
          <w:tcPr>
            <w:tcW w:w="1822" w:type="pct"/>
          </w:tcPr>
          <w:p w14:paraId="0842F975"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144</w:t>
            </w:r>
          </w:p>
        </w:tc>
        <w:tc>
          <w:tcPr>
            <w:tcW w:w="1702" w:type="pct"/>
          </w:tcPr>
          <w:p w14:paraId="0C68BE9F"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34%</w:t>
            </w:r>
          </w:p>
        </w:tc>
      </w:tr>
      <w:tr w:rsidR="004671C6" w:rsidRPr="004671C6" w14:paraId="3A8DB259" w14:textId="77777777" w:rsidTr="00081693">
        <w:trPr>
          <w:cantSplit/>
          <w:trHeight w:val="290"/>
          <w:tblHeader/>
          <w:jc w:val="center"/>
        </w:trPr>
        <w:tc>
          <w:tcPr>
            <w:tcW w:w="1476" w:type="pct"/>
          </w:tcPr>
          <w:p w14:paraId="3705190D"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EG – Soutien technologique et scientifique</w:t>
            </w:r>
          </w:p>
        </w:tc>
        <w:tc>
          <w:tcPr>
            <w:tcW w:w="1822" w:type="pct"/>
          </w:tcPr>
          <w:p w14:paraId="599ECD68"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65</w:t>
            </w:r>
          </w:p>
        </w:tc>
        <w:tc>
          <w:tcPr>
            <w:tcW w:w="1702" w:type="pct"/>
          </w:tcPr>
          <w:p w14:paraId="3C3AE5C6"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15%</w:t>
            </w:r>
          </w:p>
        </w:tc>
      </w:tr>
      <w:tr w:rsidR="004671C6" w:rsidRPr="004671C6" w14:paraId="1E9E25C3" w14:textId="77777777" w:rsidTr="00081693">
        <w:trPr>
          <w:cantSplit/>
          <w:trHeight w:val="290"/>
          <w:tblHeader/>
          <w:jc w:val="center"/>
        </w:trPr>
        <w:tc>
          <w:tcPr>
            <w:tcW w:w="1476" w:type="pct"/>
          </w:tcPr>
          <w:p w14:paraId="68FFDCDE"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AS – Services administratifs</w:t>
            </w:r>
          </w:p>
        </w:tc>
        <w:tc>
          <w:tcPr>
            <w:tcW w:w="1822" w:type="pct"/>
          </w:tcPr>
          <w:p w14:paraId="3AC91700"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40</w:t>
            </w:r>
          </w:p>
        </w:tc>
        <w:tc>
          <w:tcPr>
            <w:tcW w:w="1702" w:type="pct"/>
          </w:tcPr>
          <w:p w14:paraId="4F84397C"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10%</w:t>
            </w:r>
          </w:p>
        </w:tc>
      </w:tr>
      <w:tr w:rsidR="004671C6" w:rsidRPr="004671C6" w14:paraId="1B74F840" w14:textId="77777777" w:rsidTr="00081693">
        <w:trPr>
          <w:cantSplit/>
          <w:trHeight w:val="290"/>
          <w:tblHeader/>
          <w:jc w:val="center"/>
        </w:trPr>
        <w:tc>
          <w:tcPr>
            <w:tcW w:w="1476" w:type="pct"/>
          </w:tcPr>
          <w:p w14:paraId="341B69E8"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CS – Systèmes d’ordinateurs</w:t>
            </w:r>
          </w:p>
        </w:tc>
        <w:tc>
          <w:tcPr>
            <w:tcW w:w="1822" w:type="pct"/>
          </w:tcPr>
          <w:p w14:paraId="1ABAA860"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37</w:t>
            </w:r>
          </w:p>
        </w:tc>
        <w:tc>
          <w:tcPr>
            <w:tcW w:w="1702" w:type="pct"/>
          </w:tcPr>
          <w:p w14:paraId="05DA1C1B"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9%</w:t>
            </w:r>
          </w:p>
        </w:tc>
      </w:tr>
      <w:tr w:rsidR="004671C6" w:rsidRPr="004671C6" w14:paraId="75CA0EDF" w14:textId="77777777" w:rsidTr="00081693">
        <w:trPr>
          <w:cantSplit/>
          <w:trHeight w:val="290"/>
          <w:tblHeader/>
          <w:jc w:val="center"/>
        </w:trPr>
        <w:tc>
          <w:tcPr>
            <w:tcW w:w="1476" w:type="pct"/>
          </w:tcPr>
          <w:p w14:paraId="71646AD1"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Autre</w:t>
            </w:r>
          </w:p>
        </w:tc>
        <w:tc>
          <w:tcPr>
            <w:tcW w:w="1822" w:type="pct"/>
          </w:tcPr>
          <w:p w14:paraId="3462BD47"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134</w:t>
            </w:r>
          </w:p>
        </w:tc>
        <w:tc>
          <w:tcPr>
            <w:tcW w:w="1702" w:type="pct"/>
          </w:tcPr>
          <w:p w14:paraId="4B040F41"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32%</w:t>
            </w:r>
          </w:p>
        </w:tc>
      </w:tr>
      <w:tr w:rsidR="004671C6" w:rsidRPr="004671C6" w14:paraId="7253900F" w14:textId="77777777" w:rsidTr="00081693">
        <w:trPr>
          <w:cantSplit/>
          <w:trHeight w:val="290"/>
          <w:tblHeader/>
          <w:jc w:val="center"/>
        </w:trPr>
        <w:tc>
          <w:tcPr>
            <w:tcW w:w="1476" w:type="pct"/>
          </w:tcPr>
          <w:p w14:paraId="63A96E2E" w14:textId="77777777" w:rsidR="009E16DC" w:rsidRPr="004671C6" w:rsidRDefault="009E16DC" w:rsidP="00E657F6">
            <w:pPr>
              <w:autoSpaceDE w:val="0"/>
              <w:autoSpaceDN w:val="0"/>
              <w:adjustRightInd w:val="0"/>
              <w:rPr>
                <w:rFonts w:asciiTheme="minorHAnsi" w:eastAsia="Calibri" w:hAnsiTheme="minorHAnsi" w:cstheme="minorHAnsi"/>
                <w:sz w:val="22"/>
                <w:szCs w:val="22"/>
              </w:rPr>
            </w:pPr>
            <w:r w:rsidRPr="004671C6">
              <w:rPr>
                <w:rFonts w:asciiTheme="minorHAnsi" w:eastAsia="Calibri" w:hAnsiTheme="minorHAnsi" w:cstheme="minorHAnsi"/>
                <w:sz w:val="22"/>
                <w:szCs w:val="22"/>
              </w:rPr>
              <w:t>Inconnus</w:t>
            </w:r>
          </w:p>
        </w:tc>
        <w:tc>
          <w:tcPr>
            <w:tcW w:w="1822" w:type="pct"/>
          </w:tcPr>
          <w:p w14:paraId="75F4CD93" w14:textId="77777777" w:rsidR="009E16DC" w:rsidRPr="004671C6" w:rsidRDefault="009E16DC"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9</w:t>
            </w:r>
          </w:p>
        </w:tc>
        <w:tc>
          <w:tcPr>
            <w:tcW w:w="1702" w:type="pct"/>
          </w:tcPr>
          <w:p w14:paraId="4B7F6BB3" w14:textId="5A3E95AB" w:rsidR="009E16DC" w:rsidRPr="004671C6" w:rsidRDefault="004671C6" w:rsidP="00E657F6">
            <w:pPr>
              <w:autoSpaceDE w:val="0"/>
              <w:autoSpaceDN w:val="0"/>
              <w:adjustRightInd w:val="0"/>
              <w:jc w:val="center"/>
              <w:rPr>
                <w:rFonts w:asciiTheme="minorHAnsi" w:eastAsia="Calibri" w:hAnsiTheme="minorHAnsi" w:cstheme="minorHAnsi"/>
                <w:sz w:val="22"/>
                <w:szCs w:val="22"/>
              </w:rPr>
            </w:pPr>
            <w:r w:rsidRPr="004671C6">
              <w:rPr>
                <w:rFonts w:asciiTheme="minorHAnsi" w:eastAsia="Calibri" w:hAnsiTheme="minorHAnsi" w:cstheme="minorHAnsi"/>
                <w:sz w:val="22"/>
                <w:szCs w:val="22"/>
              </w:rPr>
              <w:t>0%</w:t>
            </w:r>
          </w:p>
        </w:tc>
      </w:tr>
    </w:tbl>
    <w:p w14:paraId="6AD90A52" w14:textId="77777777" w:rsidR="009E16DC" w:rsidRDefault="009E16DC" w:rsidP="00306C9A">
      <w:pPr>
        <w:tabs>
          <w:tab w:val="left" w:pos="7839"/>
        </w:tabs>
        <w:rPr>
          <w:rFonts w:ascii="Arial" w:eastAsia="Calibri" w:hAnsi="Arial"/>
          <w:noProof/>
          <w:sz w:val="22"/>
          <w:szCs w:val="22"/>
          <w:lang w:eastAsia="en-CA"/>
        </w:rPr>
      </w:pPr>
    </w:p>
    <w:p w14:paraId="3A9FA711" w14:textId="26CB9327" w:rsidR="009E16DC" w:rsidRDefault="009E16DC" w:rsidP="00306C9A">
      <w:pPr>
        <w:tabs>
          <w:tab w:val="left" w:pos="7839"/>
        </w:tabs>
        <w:rPr>
          <w:rFonts w:ascii="Arial" w:eastAsia="Calibri" w:hAnsi="Arial"/>
          <w:noProof/>
          <w:sz w:val="22"/>
          <w:szCs w:val="22"/>
          <w:lang w:eastAsia="en-CA"/>
        </w:rPr>
        <w:sectPr w:rsidR="009E16DC" w:rsidSect="00D85628">
          <w:pgSz w:w="15840" w:h="12240" w:orient="landscape"/>
          <w:pgMar w:top="629" w:right="720" w:bottom="720" w:left="720" w:header="709" w:footer="709" w:gutter="0"/>
          <w:cols w:space="708"/>
          <w:titlePg/>
          <w:docGrid w:linePitch="360"/>
        </w:sectPr>
      </w:pPr>
    </w:p>
    <w:p w14:paraId="72D7633B" w14:textId="31747ED9" w:rsidR="00DF0000" w:rsidRPr="004671C6" w:rsidRDefault="004671C6" w:rsidP="004671C6">
      <w:pPr>
        <w:pStyle w:val="Heading1"/>
        <w:spacing w:before="120" w:after="120"/>
        <w:rPr>
          <w:rFonts w:eastAsia="Calibri"/>
          <w:noProof/>
          <w:sz w:val="40"/>
          <w:szCs w:val="40"/>
          <w:lang w:eastAsia="en-CA"/>
        </w:rPr>
      </w:pPr>
      <w:r w:rsidRPr="004671C6">
        <w:rPr>
          <w:rFonts w:eastAsia="Calibri"/>
          <w:noProof/>
          <w:sz w:val="40"/>
          <w:szCs w:val="40"/>
          <w:lang w:eastAsia="en-CA"/>
        </w:rPr>
        <w:lastRenderedPageBreak/>
        <w:t>Population selon la région au 31 mars 2020</w:t>
      </w:r>
    </w:p>
    <w:p w14:paraId="40BF0D55" w14:textId="77777777" w:rsidR="004671C6" w:rsidRDefault="00DF0000" w:rsidP="004671C6">
      <w:pPr>
        <w:keepNext/>
        <w:tabs>
          <w:tab w:val="left" w:pos="7839"/>
        </w:tabs>
        <w:jc w:val="center"/>
      </w:pPr>
      <w:r w:rsidRPr="00306C9A">
        <w:rPr>
          <w:rFonts w:ascii="Arial" w:eastAsia="Calibri" w:hAnsi="Arial"/>
          <w:noProof/>
          <w:sz w:val="22"/>
          <w:szCs w:val="22"/>
          <w:lang w:eastAsia="en-CA"/>
        </w:rPr>
        <w:drawing>
          <wp:inline distT="0" distB="0" distL="0" distR="0" wp14:anchorId="0D68EB34" wp14:editId="24A92FBB">
            <wp:extent cx="1980000" cy="3020400"/>
            <wp:effectExtent l="0" t="0" r="1270" b="8890"/>
            <wp:docPr id="15" name="Chart 15" descr="Population selon la région au 31 mars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88C52C" w14:textId="655FCBCD" w:rsidR="00DF0000" w:rsidRPr="004671C6" w:rsidRDefault="004671C6" w:rsidP="004671C6">
      <w:pPr>
        <w:pStyle w:val="Caption"/>
        <w:spacing w:after="0"/>
        <w:jc w:val="center"/>
        <w:rPr>
          <w:rFonts w:asciiTheme="minorHAnsi" w:eastAsia="Calibri" w:hAnsiTheme="minorHAnsi" w:cstheme="minorHAnsi"/>
          <w:i w:val="0"/>
          <w:iCs w:val="0"/>
          <w:noProof/>
          <w:color w:val="auto"/>
          <w:sz w:val="22"/>
          <w:szCs w:val="22"/>
          <w:lang w:eastAsia="en-CA"/>
        </w:rPr>
      </w:pPr>
      <w:r w:rsidRPr="004671C6">
        <w:rPr>
          <w:rFonts w:asciiTheme="minorHAnsi" w:hAnsiTheme="minorHAnsi" w:cstheme="minorHAnsi"/>
          <w:i w:val="0"/>
          <w:iCs w:val="0"/>
          <w:color w:val="auto"/>
        </w:rPr>
        <w:t xml:space="preserve">Figure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Figure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4</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Population selon la région au 31 mars 2020</w:t>
      </w:r>
    </w:p>
    <w:p w14:paraId="25D09B45" w14:textId="6CD4C24D" w:rsidR="004671C6" w:rsidRPr="004671C6" w:rsidRDefault="004671C6" w:rsidP="004671C6">
      <w:pPr>
        <w:pStyle w:val="Caption"/>
        <w:keepNext/>
        <w:spacing w:before="240" w:after="0"/>
        <w:jc w:val="center"/>
        <w:rPr>
          <w:rFonts w:asciiTheme="minorHAnsi" w:hAnsiTheme="minorHAnsi" w:cstheme="minorHAnsi"/>
          <w:i w:val="0"/>
          <w:iCs w:val="0"/>
          <w:color w:val="auto"/>
        </w:rPr>
      </w:pPr>
      <w:r w:rsidRPr="004671C6">
        <w:rPr>
          <w:rFonts w:asciiTheme="minorHAnsi" w:hAnsiTheme="minorHAnsi" w:cstheme="minorHAnsi"/>
          <w:i w:val="0"/>
          <w:iCs w:val="0"/>
          <w:color w:val="auto"/>
        </w:rPr>
        <w:t xml:space="preserve">Tableau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Tableau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6</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Effectif par région, pourcentage de l'effectif régi par la </w:t>
      </w:r>
      <w:r w:rsidRPr="004671C6">
        <w:rPr>
          <w:rStyle w:val="Emphasis"/>
          <w:rFonts w:asciiTheme="minorHAnsi" w:hAnsiTheme="minorHAnsi" w:cstheme="minorHAnsi"/>
          <w:i/>
          <w:iCs/>
          <w:color w:val="auto"/>
        </w:rPr>
        <w:t>Loi sur l’emploi dans la fonction publique</w:t>
      </w:r>
      <w:r w:rsidRPr="004671C6">
        <w:rPr>
          <w:rFonts w:asciiTheme="minorHAnsi" w:hAnsiTheme="minorHAnsi" w:cstheme="minorHAnsi"/>
          <w:i w:val="0"/>
          <w:iCs w:val="0"/>
          <w:color w:val="auto"/>
        </w:rPr>
        <w:t xml:space="preserve"> au 31 mars 2020</w:t>
      </w:r>
    </w:p>
    <w:tbl>
      <w:tblPr>
        <w:tblStyle w:val="TableGrid2"/>
        <w:tblW w:w="5000" w:type="pct"/>
        <w:jc w:val="center"/>
        <w:tblLook w:val="0020" w:firstRow="1" w:lastRow="0" w:firstColumn="0" w:lastColumn="0" w:noHBand="0" w:noVBand="0"/>
        <w:tblDescription w:val="Effectif selon la région au 31 mars 2020"/>
      </w:tblPr>
      <w:tblGrid>
        <w:gridCol w:w="3963"/>
        <w:gridCol w:w="4962"/>
        <w:gridCol w:w="5465"/>
      </w:tblGrid>
      <w:tr w:rsidR="004671C6" w:rsidRPr="004671C6" w14:paraId="2BF49DF3" w14:textId="77777777" w:rsidTr="00081693">
        <w:trPr>
          <w:cantSplit/>
          <w:trHeight w:val="290"/>
          <w:tblHeader/>
          <w:jc w:val="center"/>
        </w:trPr>
        <w:tc>
          <w:tcPr>
            <w:tcW w:w="1377" w:type="pct"/>
          </w:tcPr>
          <w:p w14:paraId="4C5EF183" w14:textId="77777777" w:rsidR="009E16DC" w:rsidRPr="004671C6" w:rsidRDefault="009E16DC" w:rsidP="004671C6">
            <w:pPr>
              <w:pStyle w:val="TableTitle"/>
              <w:rPr>
                <w:rFonts w:eastAsia="Calibri"/>
                <w:color w:val="auto"/>
                <w:sz w:val="22"/>
                <w:szCs w:val="22"/>
              </w:rPr>
            </w:pPr>
            <w:r w:rsidRPr="004671C6">
              <w:rPr>
                <w:rFonts w:eastAsia="Calibri"/>
                <w:color w:val="auto"/>
                <w:sz w:val="22"/>
                <w:szCs w:val="22"/>
              </w:rPr>
              <w:t>Région</w:t>
            </w:r>
          </w:p>
        </w:tc>
        <w:tc>
          <w:tcPr>
            <w:tcW w:w="1724" w:type="pct"/>
          </w:tcPr>
          <w:p w14:paraId="7163FA57" w14:textId="77777777" w:rsidR="009E16DC" w:rsidRPr="004671C6" w:rsidRDefault="009E16DC" w:rsidP="004671C6">
            <w:pPr>
              <w:pStyle w:val="TableTitle"/>
              <w:rPr>
                <w:rFonts w:eastAsia="Calibri"/>
                <w:color w:val="auto"/>
                <w:sz w:val="22"/>
                <w:szCs w:val="22"/>
              </w:rPr>
            </w:pPr>
            <w:r w:rsidRPr="004671C6">
              <w:rPr>
                <w:rFonts w:eastAsia="Calibri"/>
                <w:color w:val="auto"/>
                <w:sz w:val="22"/>
                <w:szCs w:val="22"/>
              </w:rPr>
              <w:t>Effectif au 31 mars 2020</w:t>
            </w:r>
          </w:p>
        </w:tc>
        <w:tc>
          <w:tcPr>
            <w:tcW w:w="1899" w:type="pct"/>
          </w:tcPr>
          <w:p w14:paraId="2387CDF3" w14:textId="77777777" w:rsidR="009E16DC" w:rsidRPr="004671C6" w:rsidRDefault="009E16DC" w:rsidP="004671C6">
            <w:pPr>
              <w:pStyle w:val="TableTitle"/>
              <w:rPr>
                <w:rFonts w:eastAsia="Calibri"/>
                <w:color w:val="auto"/>
                <w:sz w:val="22"/>
                <w:szCs w:val="22"/>
              </w:rPr>
            </w:pPr>
            <w:r w:rsidRPr="004671C6">
              <w:rPr>
                <w:rFonts w:eastAsia="Calibri"/>
                <w:color w:val="auto"/>
                <w:sz w:val="22"/>
                <w:szCs w:val="22"/>
              </w:rPr>
              <w:t>Pourcentage de l'effectif au 31 mars 2020</w:t>
            </w:r>
          </w:p>
        </w:tc>
      </w:tr>
      <w:tr w:rsidR="009E16DC" w:rsidRPr="004671C6" w14:paraId="389BCCB0" w14:textId="77777777" w:rsidTr="00081693">
        <w:trPr>
          <w:cantSplit/>
          <w:trHeight w:val="290"/>
          <w:tblHeader/>
          <w:jc w:val="center"/>
        </w:trPr>
        <w:tc>
          <w:tcPr>
            <w:tcW w:w="1377" w:type="pct"/>
          </w:tcPr>
          <w:p w14:paraId="625C2F5E" w14:textId="77777777" w:rsidR="009E16DC" w:rsidRPr="004671C6" w:rsidRDefault="009E16DC" w:rsidP="00E657F6">
            <w:pPr>
              <w:autoSpaceDE w:val="0"/>
              <w:autoSpaceDN w:val="0"/>
              <w:adjustRightInd w:val="0"/>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Région de la capitale nationale (RCN)</w:t>
            </w:r>
          </w:p>
        </w:tc>
        <w:tc>
          <w:tcPr>
            <w:tcW w:w="1724" w:type="pct"/>
          </w:tcPr>
          <w:p w14:paraId="05921CEB" w14:textId="77777777" w:rsidR="009E16DC" w:rsidRPr="004671C6" w:rsidRDefault="009E16DC"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0</w:t>
            </w:r>
          </w:p>
        </w:tc>
        <w:tc>
          <w:tcPr>
            <w:tcW w:w="1899" w:type="pct"/>
          </w:tcPr>
          <w:p w14:paraId="516C08D6" w14:textId="77777777" w:rsidR="009E16DC" w:rsidRPr="004671C6" w:rsidRDefault="009E16DC"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0%</w:t>
            </w:r>
          </w:p>
        </w:tc>
      </w:tr>
      <w:tr w:rsidR="009E16DC" w:rsidRPr="004671C6" w14:paraId="5CFF9865" w14:textId="77777777" w:rsidTr="00081693">
        <w:trPr>
          <w:cantSplit/>
          <w:trHeight w:val="290"/>
          <w:tblHeader/>
          <w:jc w:val="center"/>
        </w:trPr>
        <w:tc>
          <w:tcPr>
            <w:tcW w:w="1377" w:type="pct"/>
          </w:tcPr>
          <w:p w14:paraId="4C0858B3" w14:textId="77777777" w:rsidR="009E16DC" w:rsidRPr="004671C6" w:rsidRDefault="009E16DC" w:rsidP="00E657F6">
            <w:pPr>
              <w:autoSpaceDE w:val="0"/>
              <w:autoSpaceDN w:val="0"/>
              <w:adjustRightInd w:val="0"/>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Régions à l’extérieur de la RCN</w:t>
            </w:r>
          </w:p>
        </w:tc>
        <w:tc>
          <w:tcPr>
            <w:tcW w:w="1724" w:type="pct"/>
          </w:tcPr>
          <w:p w14:paraId="773F9FEB" w14:textId="77777777" w:rsidR="009E16DC" w:rsidRPr="004671C6" w:rsidRDefault="009E16DC"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428</w:t>
            </w:r>
          </w:p>
        </w:tc>
        <w:tc>
          <w:tcPr>
            <w:tcW w:w="1899" w:type="pct"/>
          </w:tcPr>
          <w:p w14:paraId="5EE6F2DB" w14:textId="77777777" w:rsidR="009E16DC" w:rsidRPr="004671C6" w:rsidRDefault="009E16DC"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100%</w:t>
            </w:r>
          </w:p>
        </w:tc>
      </w:tr>
      <w:tr w:rsidR="009E16DC" w:rsidRPr="004671C6" w14:paraId="5AFAF7BB" w14:textId="77777777" w:rsidTr="00081693">
        <w:trPr>
          <w:cantSplit/>
          <w:trHeight w:val="290"/>
          <w:tblHeader/>
          <w:jc w:val="center"/>
        </w:trPr>
        <w:tc>
          <w:tcPr>
            <w:tcW w:w="1377" w:type="pct"/>
          </w:tcPr>
          <w:p w14:paraId="5486368D" w14:textId="77777777" w:rsidR="009E16DC" w:rsidRPr="004671C6" w:rsidRDefault="009E16DC" w:rsidP="00E657F6">
            <w:pPr>
              <w:autoSpaceDE w:val="0"/>
              <w:autoSpaceDN w:val="0"/>
              <w:adjustRightInd w:val="0"/>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Inconnus</w:t>
            </w:r>
          </w:p>
        </w:tc>
        <w:tc>
          <w:tcPr>
            <w:tcW w:w="1724" w:type="pct"/>
          </w:tcPr>
          <w:p w14:paraId="3BE7B396" w14:textId="77777777" w:rsidR="009E16DC" w:rsidRPr="004671C6" w:rsidRDefault="009E16DC"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1</w:t>
            </w:r>
          </w:p>
        </w:tc>
        <w:tc>
          <w:tcPr>
            <w:tcW w:w="1899" w:type="pct"/>
          </w:tcPr>
          <w:p w14:paraId="42E15EB4" w14:textId="33CD1AB9" w:rsidR="009E16DC" w:rsidRPr="004671C6" w:rsidRDefault="004671C6" w:rsidP="00E657F6">
            <w:pPr>
              <w:autoSpaceDE w:val="0"/>
              <w:autoSpaceDN w:val="0"/>
              <w:adjustRightInd w:val="0"/>
              <w:jc w:val="center"/>
              <w:rPr>
                <w:rFonts w:asciiTheme="minorHAnsi" w:eastAsia="Calibri" w:hAnsiTheme="minorHAnsi" w:cstheme="minorHAnsi"/>
                <w:color w:val="000000"/>
                <w:sz w:val="22"/>
                <w:szCs w:val="22"/>
              </w:rPr>
            </w:pPr>
            <w:r w:rsidRPr="004671C6">
              <w:rPr>
                <w:rFonts w:asciiTheme="minorHAnsi" w:eastAsia="Calibri" w:hAnsiTheme="minorHAnsi" w:cstheme="minorHAnsi"/>
                <w:color w:val="000000"/>
                <w:sz w:val="22"/>
                <w:szCs w:val="22"/>
              </w:rPr>
              <w:t>0%</w:t>
            </w:r>
          </w:p>
        </w:tc>
      </w:tr>
    </w:tbl>
    <w:p w14:paraId="0899422B" w14:textId="7A8C1581" w:rsidR="00DF0000" w:rsidRDefault="00DF0000" w:rsidP="00306C9A">
      <w:pPr>
        <w:tabs>
          <w:tab w:val="left" w:pos="7839"/>
        </w:tabs>
        <w:rPr>
          <w:rFonts w:ascii="Arial" w:eastAsia="Calibri" w:hAnsi="Arial"/>
          <w:noProof/>
          <w:sz w:val="22"/>
          <w:szCs w:val="22"/>
          <w:lang w:eastAsia="en-CA"/>
        </w:rPr>
      </w:pPr>
    </w:p>
    <w:p w14:paraId="5AAE04F3" w14:textId="77777777" w:rsidR="00DF0000" w:rsidRDefault="00DF0000" w:rsidP="00306C9A">
      <w:pPr>
        <w:tabs>
          <w:tab w:val="left" w:pos="7839"/>
        </w:tabs>
        <w:rPr>
          <w:rFonts w:ascii="Arial" w:eastAsia="Calibri" w:hAnsi="Arial"/>
          <w:noProof/>
          <w:sz w:val="22"/>
          <w:szCs w:val="22"/>
          <w:lang w:eastAsia="en-CA"/>
        </w:rPr>
        <w:sectPr w:rsidR="00DF0000" w:rsidSect="00D85628">
          <w:pgSz w:w="15840" w:h="12240" w:orient="landscape"/>
          <w:pgMar w:top="629" w:right="720" w:bottom="720" w:left="720" w:header="709" w:footer="709" w:gutter="0"/>
          <w:cols w:space="708"/>
          <w:titlePg/>
          <w:docGrid w:linePitch="360"/>
        </w:sectPr>
      </w:pPr>
    </w:p>
    <w:p w14:paraId="6B21E44E" w14:textId="2B61E4DA" w:rsidR="00DF0000" w:rsidRPr="004671C6" w:rsidRDefault="004671C6" w:rsidP="004671C6">
      <w:pPr>
        <w:pStyle w:val="Heading1"/>
        <w:spacing w:before="120" w:after="120"/>
        <w:rPr>
          <w:rFonts w:eastAsia="Calibri"/>
          <w:noProof/>
          <w:sz w:val="40"/>
          <w:szCs w:val="40"/>
          <w:lang w:eastAsia="en-CA"/>
        </w:rPr>
      </w:pPr>
      <w:r w:rsidRPr="004671C6">
        <w:rPr>
          <w:rFonts w:eastAsia="Calibri"/>
          <w:noProof/>
          <w:sz w:val="40"/>
          <w:szCs w:val="40"/>
          <w:lang w:eastAsia="en-CA"/>
        </w:rPr>
        <w:lastRenderedPageBreak/>
        <w:t xml:space="preserve">Embauche externe pour une période indéterminée selon le groupe professionnel, 2019-2020 </w:t>
      </w:r>
    </w:p>
    <w:p w14:paraId="54257C43" w14:textId="77777777" w:rsidR="004671C6" w:rsidRDefault="00306C9A" w:rsidP="004671C6">
      <w:pPr>
        <w:keepNext/>
        <w:tabs>
          <w:tab w:val="left" w:pos="7839"/>
        </w:tabs>
        <w:jc w:val="center"/>
      </w:pPr>
      <w:r w:rsidRPr="00306C9A">
        <w:rPr>
          <w:rFonts w:ascii="Arial" w:eastAsia="Calibri" w:hAnsi="Arial"/>
          <w:noProof/>
          <w:sz w:val="22"/>
          <w:szCs w:val="22"/>
          <w:lang w:eastAsia="en-CA"/>
        </w:rPr>
        <w:drawing>
          <wp:inline distT="0" distB="0" distL="0" distR="0" wp14:anchorId="30378BF0" wp14:editId="673F130D">
            <wp:extent cx="1980000" cy="3020400"/>
            <wp:effectExtent l="0" t="0" r="1270" b="8890"/>
            <wp:docPr id="7" name="Chart 7" descr="Embauche externe pour une période indéterminée selon le groupe professionnel, 2019-202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784FF1" w14:textId="7BF8CAE1" w:rsidR="00DF0000" w:rsidRPr="004671C6" w:rsidRDefault="004671C6" w:rsidP="00E657F6">
      <w:pPr>
        <w:pStyle w:val="Caption"/>
        <w:spacing w:after="0"/>
        <w:jc w:val="center"/>
        <w:rPr>
          <w:rFonts w:asciiTheme="minorHAnsi" w:eastAsia="Calibri" w:hAnsiTheme="minorHAnsi" w:cstheme="minorHAnsi"/>
          <w:i w:val="0"/>
          <w:iCs w:val="0"/>
          <w:noProof/>
          <w:color w:val="auto"/>
          <w:sz w:val="22"/>
          <w:szCs w:val="22"/>
          <w:lang w:eastAsia="en-CA"/>
        </w:rPr>
      </w:pPr>
      <w:r w:rsidRPr="004671C6">
        <w:rPr>
          <w:rFonts w:asciiTheme="minorHAnsi" w:hAnsiTheme="minorHAnsi" w:cstheme="minorHAnsi"/>
          <w:i w:val="0"/>
          <w:iCs w:val="0"/>
          <w:color w:val="auto"/>
        </w:rPr>
        <w:t xml:space="preserve">Figure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Figure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5</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Embauche externe pour une période indéterminée selon le groupe professionnel,</w:t>
      </w:r>
      <w:r w:rsidR="00E657F6">
        <w:rPr>
          <w:rFonts w:asciiTheme="minorHAnsi" w:hAnsiTheme="minorHAnsi" w:cstheme="minorHAnsi"/>
          <w:i w:val="0"/>
          <w:iCs w:val="0"/>
          <w:color w:val="auto"/>
        </w:rPr>
        <w:t xml:space="preserve"> 2019-2020</w:t>
      </w:r>
    </w:p>
    <w:p w14:paraId="4D7D3192" w14:textId="64DA80EC" w:rsidR="004671C6" w:rsidRPr="004671C6" w:rsidRDefault="004671C6" w:rsidP="00E657F6">
      <w:pPr>
        <w:pStyle w:val="Caption"/>
        <w:keepNext/>
        <w:spacing w:before="240" w:after="0"/>
        <w:jc w:val="center"/>
        <w:rPr>
          <w:rFonts w:asciiTheme="minorHAnsi" w:hAnsiTheme="minorHAnsi" w:cstheme="minorHAnsi"/>
          <w:i w:val="0"/>
          <w:iCs w:val="0"/>
          <w:color w:val="auto"/>
        </w:rPr>
      </w:pPr>
      <w:r w:rsidRPr="004671C6">
        <w:rPr>
          <w:rFonts w:asciiTheme="minorHAnsi" w:hAnsiTheme="minorHAnsi" w:cstheme="minorHAnsi"/>
          <w:i w:val="0"/>
          <w:iCs w:val="0"/>
          <w:color w:val="auto"/>
        </w:rPr>
        <w:t xml:space="preserve">Tableau </w:t>
      </w:r>
      <w:r w:rsidRPr="004671C6">
        <w:rPr>
          <w:rFonts w:asciiTheme="minorHAnsi" w:hAnsiTheme="minorHAnsi" w:cstheme="minorHAnsi"/>
          <w:i w:val="0"/>
          <w:iCs w:val="0"/>
          <w:color w:val="auto"/>
        </w:rPr>
        <w:fldChar w:fldCharType="begin"/>
      </w:r>
      <w:r w:rsidRPr="004671C6">
        <w:rPr>
          <w:rFonts w:asciiTheme="minorHAnsi" w:hAnsiTheme="minorHAnsi" w:cstheme="minorHAnsi"/>
          <w:i w:val="0"/>
          <w:iCs w:val="0"/>
          <w:color w:val="auto"/>
        </w:rPr>
        <w:instrText xml:space="preserve"> SEQ Tableau \* ARABIC </w:instrText>
      </w:r>
      <w:r w:rsidRPr="004671C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7</w:t>
      </w:r>
      <w:r w:rsidRPr="004671C6">
        <w:rPr>
          <w:rFonts w:asciiTheme="minorHAnsi" w:hAnsiTheme="minorHAnsi" w:cstheme="minorHAnsi"/>
          <w:i w:val="0"/>
          <w:iCs w:val="0"/>
          <w:color w:val="auto"/>
        </w:rPr>
        <w:fldChar w:fldCharType="end"/>
      </w:r>
      <w:r w:rsidRPr="004671C6">
        <w:rPr>
          <w:rFonts w:asciiTheme="minorHAnsi" w:hAnsiTheme="minorHAnsi" w:cstheme="minorHAnsi"/>
          <w:i w:val="0"/>
          <w:iCs w:val="0"/>
          <w:color w:val="auto"/>
        </w:rPr>
        <w:t xml:space="preserve"> - Embauche externe à des postes pour une période indéterminée selon le groupe professionnel, de 2019 à 2020</w:t>
      </w:r>
    </w:p>
    <w:tbl>
      <w:tblPr>
        <w:tblStyle w:val="TableGrid2"/>
        <w:tblW w:w="5000" w:type="pct"/>
        <w:jc w:val="center"/>
        <w:tblLook w:val="0020" w:firstRow="1" w:lastRow="0" w:firstColumn="0" w:lastColumn="0" w:noHBand="0" w:noVBand="0"/>
        <w:tblDescription w:val="Embauches externes indéterminées selon le groupe professionnel 2019-2020"/>
      </w:tblPr>
      <w:tblGrid>
        <w:gridCol w:w="4107"/>
        <w:gridCol w:w="4959"/>
        <w:gridCol w:w="5324"/>
      </w:tblGrid>
      <w:tr w:rsidR="00E657F6" w:rsidRPr="00E657F6" w14:paraId="64B08415" w14:textId="77777777" w:rsidTr="00081693">
        <w:trPr>
          <w:cantSplit/>
          <w:trHeight w:val="290"/>
          <w:tblHeader/>
          <w:jc w:val="center"/>
        </w:trPr>
        <w:tc>
          <w:tcPr>
            <w:tcW w:w="1427" w:type="pct"/>
          </w:tcPr>
          <w:p w14:paraId="29026A11"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Groupes professionnels</w:t>
            </w:r>
          </w:p>
        </w:tc>
        <w:tc>
          <w:tcPr>
            <w:tcW w:w="1723" w:type="pct"/>
          </w:tcPr>
          <w:p w14:paraId="49F672DE" w14:textId="3B6D1061" w:rsidR="009E16DC" w:rsidRPr="00E657F6" w:rsidRDefault="009E16DC" w:rsidP="00E657F6">
            <w:pPr>
              <w:pStyle w:val="TableTitle"/>
              <w:rPr>
                <w:rFonts w:eastAsia="Calibri"/>
                <w:color w:val="auto"/>
                <w:sz w:val="22"/>
                <w:szCs w:val="22"/>
              </w:rPr>
            </w:pPr>
            <w:r w:rsidRPr="00E657F6">
              <w:rPr>
                <w:rFonts w:eastAsia="Calibri"/>
                <w:color w:val="auto"/>
                <w:sz w:val="22"/>
                <w:szCs w:val="22"/>
              </w:rPr>
              <w:t>Nombre d'embauches pour une période indéterminée dans</w:t>
            </w:r>
            <w:r w:rsidR="00E657F6">
              <w:rPr>
                <w:rFonts w:eastAsia="Calibri"/>
                <w:color w:val="auto"/>
                <w:sz w:val="22"/>
                <w:szCs w:val="22"/>
              </w:rPr>
              <w:t xml:space="preserve"> </w:t>
            </w:r>
            <w:r w:rsidRPr="00E657F6">
              <w:rPr>
                <w:rFonts w:eastAsia="Calibri"/>
                <w:color w:val="auto"/>
                <w:sz w:val="22"/>
                <w:szCs w:val="22"/>
              </w:rPr>
              <w:t>l’organisation</w:t>
            </w:r>
          </w:p>
        </w:tc>
        <w:tc>
          <w:tcPr>
            <w:tcW w:w="1850" w:type="pct"/>
          </w:tcPr>
          <w:p w14:paraId="0EA17FCD"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Pourcentage d'embauches pour une période indéterminée dans l’organisation</w:t>
            </w:r>
          </w:p>
        </w:tc>
      </w:tr>
      <w:tr w:rsidR="00E657F6" w:rsidRPr="00E657F6" w14:paraId="3CC2CB95" w14:textId="77777777" w:rsidTr="00081693">
        <w:trPr>
          <w:cantSplit/>
          <w:trHeight w:val="290"/>
          <w:tblHeader/>
          <w:jc w:val="center"/>
        </w:trPr>
        <w:tc>
          <w:tcPr>
            <w:tcW w:w="1427" w:type="pct"/>
          </w:tcPr>
          <w:p w14:paraId="62C804B3"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PI – Inspection des produits primaires</w:t>
            </w:r>
          </w:p>
        </w:tc>
        <w:tc>
          <w:tcPr>
            <w:tcW w:w="1723" w:type="pct"/>
          </w:tcPr>
          <w:p w14:paraId="2E69368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14</w:t>
            </w:r>
          </w:p>
        </w:tc>
        <w:tc>
          <w:tcPr>
            <w:tcW w:w="1850" w:type="pct"/>
          </w:tcPr>
          <w:p w14:paraId="155D70F3"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50%</w:t>
            </w:r>
          </w:p>
        </w:tc>
      </w:tr>
      <w:tr w:rsidR="00E657F6" w:rsidRPr="00E657F6" w14:paraId="0C8E8A91" w14:textId="77777777" w:rsidTr="00081693">
        <w:trPr>
          <w:cantSplit/>
          <w:trHeight w:val="290"/>
          <w:tblHeader/>
          <w:jc w:val="center"/>
        </w:trPr>
        <w:tc>
          <w:tcPr>
            <w:tcW w:w="1427" w:type="pct"/>
          </w:tcPr>
          <w:p w14:paraId="1808DA8A"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AS – Services administratifs</w:t>
            </w:r>
          </w:p>
        </w:tc>
        <w:tc>
          <w:tcPr>
            <w:tcW w:w="1723" w:type="pct"/>
          </w:tcPr>
          <w:p w14:paraId="26B49795"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w:t>
            </w:r>
          </w:p>
        </w:tc>
        <w:tc>
          <w:tcPr>
            <w:tcW w:w="1850" w:type="pct"/>
          </w:tcPr>
          <w:p w14:paraId="7927F27C"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w:t>
            </w:r>
          </w:p>
        </w:tc>
      </w:tr>
      <w:tr w:rsidR="00E657F6" w:rsidRPr="00E657F6" w14:paraId="2D549B13" w14:textId="77777777" w:rsidTr="00081693">
        <w:trPr>
          <w:cantSplit/>
          <w:trHeight w:val="290"/>
          <w:tblHeader/>
          <w:jc w:val="center"/>
        </w:trPr>
        <w:tc>
          <w:tcPr>
            <w:tcW w:w="1427" w:type="pct"/>
          </w:tcPr>
          <w:p w14:paraId="5366988B"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AU – Vérification</w:t>
            </w:r>
          </w:p>
        </w:tc>
        <w:tc>
          <w:tcPr>
            <w:tcW w:w="1723" w:type="pct"/>
          </w:tcPr>
          <w:p w14:paraId="21F6EB5C"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w:t>
            </w:r>
          </w:p>
        </w:tc>
        <w:tc>
          <w:tcPr>
            <w:tcW w:w="1850" w:type="pct"/>
          </w:tcPr>
          <w:p w14:paraId="18AFDA40"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w:t>
            </w:r>
          </w:p>
        </w:tc>
      </w:tr>
      <w:tr w:rsidR="00E657F6" w:rsidRPr="00E657F6" w14:paraId="0131B112" w14:textId="77777777" w:rsidTr="00081693">
        <w:trPr>
          <w:cantSplit/>
          <w:trHeight w:val="290"/>
          <w:tblHeader/>
          <w:jc w:val="center"/>
        </w:trPr>
        <w:tc>
          <w:tcPr>
            <w:tcW w:w="1427" w:type="pct"/>
          </w:tcPr>
          <w:p w14:paraId="21CDE8DE"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CS – Systèmes d’ordinateurs</w:t>
            </w:r>
          </w:p>
        </w:tc>
        <w:tc>
          <w:tcPr>
            <w:tcW w:w="1723" w:type="pct"/>
          </w:tcPr>
          <w:p w14:paraId="736B52A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w:t>
            </w:r>
          </w:p>
        </w:tc>
        <w:tc>
          <w:tcPr>
            <w:tcW w:w="1850" w:type="pct"/>
          </w:tcPr>
          <w:p w14:paraId="774DDD5A"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w:t>
            </w:r>
          </w:p>
        </w:tc>
      </w:tr>
      <w:tr w:rsidR="00E657F6" w:rsidRPr="00E657F6" w14:paraId="32B0A54F" w14:textId="77777777" w:rsidTr="00081693">
        <w:trPr>
          <w:cantSplit/>
          <w:trHeight w:val="290"/>
          <w:tblHeader/>
          <w:jc w:val="center"/>
        </w:trPr>
        <w:tc>
          <w:tcPr>
            <w:tcW w:w="1427" w:type="pct"/>
          </w:tcPr>
          <w:p w14:paraId="6A62BE40"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FI – Gestion financière</w:t>
            </w:r>
          </w:p>
        </w:tc>
        <w:tc>
          <w:tcPr>
            <w:tcW w:w="1723" w:type="pct"/>
          </w:tcPr>
          <w:p w14:paraId="69299EBA"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w:t>
            </w:r>
          </w:p>
        </w:tc>
        <w:tc>
          <w:tcPr>
            <w:tcW w:w="1850" w:type="pct"/>
          </w:tcPr>
          <w:p w14:paraId="7CBB2613"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w:t>
            </w:r>
          </w:p>
        </w:tc>
      </w:tr>
      <w:tr w:rsidR="00E657F6" w:rsidRPr="00E657F6" w14:paraId="72E0B829" w14:textId="77777777" w:rsidTr="00081693">
        <w:trPr>
          <w:cantSplit/>
          <w:trHeight w:val="290"/>
          <w:tblHeader/>
          <w:jc w:val="center"/>
        </w:trPr>
        <w:tc>
          <w:tcPr>
            <w:tcW w:w="1427" w:type="pct"/>
          </w:tcPr>
          <w:p w14:paraId="3DC28BA9"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Autre</w:t>
            </w:r>
          </w:p>
        </w:tc>
        <w:tc>
          <w:tcPr>
            <w:tcW w:w="1723" w:type="pct"/>
          </w:tcPr>
          <w:p w14:paraId="6B74A29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6</w:t>
            </w:r>
          </w:p>
        </w:tc>
        <w:tc>
          <w:tcPr>
            <w:tcW w:w="1850" w:type="pct"/>
          </w:tcPr>
          <w:p w14:paraId="748D7C2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21%</w:t>
            </w:r>
          </w:p>
        </w:tc>
      </w:tr>
      <w:tr w:rsidR="00E657F6" w:rsidRPr="00E657F6" w14:paraId="341357A5" w14:textId="77777777" w:rsidTr="00081693">
        <w:trPr>
          <w:cantSplit/>
          <w:trHeight w:val="290"/>
          <w:tblHeader/>
          <w:jc w:val="center"/>
        </w:trPr>
        <w:tc>
          <w:tcPr>
            <w:tcW w:w="1427" w:type="pct"/>
          </w:tcPr>
          <w:p w14:paraId="3205EE90"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Total</w:t>
            </w:r>
          </w:p>
        </w:tc>
        <w:tc>
          <w:tcPr>
            <w:tcW w:w="1723" w:type="pct"/>
          </w:tcPr>
          <w:p w14:paraId="289DD2EB"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28</w:t>
            </w:r>
          </w:p>
        </w:tc>
        <w:tc>
          <w:tcPr>
            <w:tcW w:w="1850" w:type="pct"/>
          </w:tcPr>
          <w:p w14:paraId="49B15B9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100%</w:t>
            </w:r>
          </w:p>
        </w:tc>
      </w:tr>
    </w:tbl>
    <w:p w14:paraId="500F8222" w14:textId="77777777" w:rsidR="00DF0000" w:rsidRDefault="00DF0000" w:rsidP="00306C9A">
      <w:pPr>
        <w:tabs>
          <w:tab w:val="left" w:pos="7839"/>
        </w:tabs>
        <w:rPr>
          <w:rFonts w:ascii="Arial" w:eastAsia="Calibri" w:hAnsi="Arial"/>
          <w:noProof/>
          <w:sz w:val="22"/>
          <w:szCs w:val="22"/>
          <w:lang w:eastAsia="en-CA"/>
        </w:rPr>
      </w:pPr>
    </w:p>
    <w:p w14:paraId="41EECF70" w14:textId="77777777" w:rsidR="00DF0000" w:rsidRDefault="00DF0000" w:rsidP="00306C9A">
      <w:pPr>
        <w:tabs>
          <w:tab w:val="left" w:pos="7839"/>
        </w:tabs>
        <w:rPr>
          <w:rFonts w:ascii="Arial" w:eastAsia="Calibri" w:hAnsi="Arial"/>
          <w:noProof/>
          <w:sz w:val="22"/>
          <w:szCs w:val="22"/>
          <w:lang w:eastAsia="en-CA"/>
        </w:rPr>
        <w:sectPr w:rsidR="00DF0000" w:rsidSect="00D85628">
          <w:pgSz w:w="15840" w:h="12240" w:orient="landscape"/>
          <w:pgMar w:top="629" w:right="720" w:bottom="720" w:left="720" w:header="709" w:footer="709" w:gutter="0"/>
          <w:cols w:space="708"/>
          <w:titlePg/>
          <w:docGrid w:linePitch="360"/>
        </w:sectPr>
      </w:pPr>
    </w:p>
    <w:p w14:paraId="2D3A3568" w14:textId="77777777" w:rsidR="00E657F6" w:rsidRPr="00E657F6" w:rsidRDefault="00E657F6" w:rsidP="00E657F6">
      <w:pPr>
        <w:pStyle w:val="Heading1"/>
        <w:spacing w:before="120" w:after="120"/>
        <w:rPr>
          <w:rFonts w:eastAsia="Calibri"/>
          <w:noProof/>
          <w:sz w:val="40"/>
          <w:szCs w:val="40"/>
          <w:lang w:eastAsia="en-CA"/>
        </w:rPr>
      </w:pPr>
      <w:r w:rsidRPr="00E657F6">
        <w:rPr>
          <w:rFonts w:eastAsia="Calibri"/>
          <w:noProof/>
          <w:sz w:val="40"/>
          <w:szCs w:val="40"/>
          <w:lang w:val="en-CA" w:eastAsia="en-CA"/>
        </w:rPr>
        <w:lastRenderedPageBreak/>
        <w:t>Dotation selon la région</w:t>
      </w:r>
    </w:p>
    <w:p w14:paraId="1E0425AA" w14:textId="77777777" w:rsidR="00E657F6" w:rsidRDefault="00DF0000" w:rsidP="00E657F6">
      <w:pPr>
        <w:keepNext/>
        <w:tabs>
          <w:tab w:val="left" w:pos="7839"/>
        </w:tabs>
        <w:jc w:val="center"/>
      </w:pPr>
      <w:r w:rsidRPr="00306C9A">
        <w:rPr>
          <w:rFonts w:ascii="Arial" w:eastAsia="Calibri" w:hAnsi="Arial"/>
          <w:noProof/>
          <w:sz w:val="22"/>
          <w:szCs w:val="22"/>
          <w:lang w:eastAsia="en-CA"/>
        </w:rPr>
        <w:drawing>
          <wp:inline distT="0" distB="0" distL="0" distR="0" wp14:anchorId="5FD87F3E" wp14:editId="79CAD0DB">
            <wp:extent cx="5648400" cy="3049200"/>
            <wp:effectExtent l="0" t="0" r="9525" b="18415"/>
            <wp:docPr id="10" name="Chart 10" descr="Dotation selon la ré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213909" w14:textId="1E5F6872" w:rsidR="00DF0000" w:rsidRPr="00E657F6" w:rsidRDefault="00E657F6" w:rsidP="00E657F6">
      <w:pPr>
        <w:pStyle w:val="Caption"/>
        <w:spacing w:after="0"/>
        <w:jc w:val="center"/>
        <w:rPr>
          <w:rFonts w:asciiTheme="minorHAnsi" w:eastAsia="Calibri" w:hAnsiTheme="minorHAnsi" w:cstheme="minorHAnsi"/>
          <w:i w:val="0"/>
          <w:iCs w:val="0"/>
          <w:noProof/>
          <w:color w:val="auto"/>
          <w:sz w:val="22"/>
          <w:szCs w:val="22"/>
          <w:lang w:eastAsia="en-CA"/>
        </w:rPr>
      </w:pPr>
      <w:r w:rsidRPr="00E657F6">
        <w:rPr>
          <w:rFonts w:asciiTheme="minorHAnsi" w:hAnsiTheme="minorHAnsi" w:cstheme="minorHAnsi"/>
          <w:i w:val="0"/>
          <w:iCs w:val="0"/>
          <w:color w:val="auto"/>
        </w:rPr>
        <w:t xml:space="preserve">Figure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Figure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6</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Dotation selon la région</w:t>
      </w:r>
    </w:p>
    <w:p w14:paraId="6972E2BB" w14:textId="0D2771A4" w:rsidR="00E657F6" w:rsidRPr="00E657F6" w:rsidRDefault="00E657F6" w:rsidP="00E657F6">
      <w:pPr>
        <w:pStyle w:val="Caption"/>
        <w:keepNext/>
        <w:spacing w:before="240" w:after="0"/>
        <w:jc w:val="center"/>
        <w:rPr>
          <w:rFonts w:asciiTheme="minorHAnsi" w:hAnsiTheme="minorHAnsi" w:cstheme="minorHAnsi"/>
          <w:i w:val="0"/>
          <w:iCs w:val="0"/>
          <w:color w:val="auto"/>
        </w:rPr>
      </w:pPr>
      <w:r w:rsidRPr="00E657F6">
        <w:rPr>
          <w:rFonts w:asciiTheme="minorHAnsi" w:hAnsiTheme="minorHAnsi" w:cstheme="minorHAnsi"/>
          <w:i w:val="0"/>
          <w:iCs w:val="0"/>
          <w:color w:val="auto"/>
        </w:rPr>
        <w:t xml:space="preserve">Tableau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Tableau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8</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Pourcentage des activités de dotation dans la région de la capitale nationale en comparaison avec les régions à l’extérieur de la région de la capitale nationale selon l'exercice financier</w:t>
      </w:r>
    </w:p>
    <w:tbl>
      <w:tblPr>
        <w:tblStyle w:val="TableGrid2"/>
        <w:tblW w:w="5000" w:type="pct"/>
        <w:jc w:val="center"/>
        <w:tblLook w:val="0020" w:firstRow="1" w:lastRow="0" w:firstColumn="0" w:lastColumn="0" w:noHBand="0" w:noVBand="0"/>
        <w:tblDescription w:val="Dotation selon la région de 2015 à 2020"/>
      </w:tblPr>
      <w:tblGrid>
        <w:gridCol w:w="1980"/>
        <w:gridCol w:w="5952"/>
        <w:gridCol w:w="6458"/>
      </w:tblGrid>
      <w:tr w:rsidR="00E657F6" w:rsidRPr="00E657F6" w14:paraId="31829645" w14:textId="77777777" w:rsidTr="00081693">
        <w:trPr>
          <w:cantSplit/>
          <w:trHeight w:val="290"/>
          <w:tblHeader/>
          <w:jc w:val="center"/>
        </w:trPr>
        <w:tc>
          <w:tcPr>
            <w:tcW w:w="688" w:type="pct"/>
          </w:tcPr>
          <w:p w14:paraId="094346E7" w14:textId="77777777" w:rsidR="009E16DC" w:rsidRPr="00E657F6" w:rsidRDefault="009E16DC" w:rsidP="00E657F6">
            <w:pPr>
              <w:pStyle w:val="TableTitle"/>
              <w:rPr>
                <w:rFonts w:eastAsia="Calibri" w:cs="Segoe UI Semibold"/>
                <w:color w:val="auto"/>
                <w:sz w:val="22"/>
                <w:szCs w:val="22"/>
              </w:rPr>
            </w:pPr>
            <w:r w:rsidRPr="00E657F6">
              <w:rPr>
                <w:rFonts w:eastAsia="Calibri" w:cs="Segoe UI Semibold"/>
                <w:color w:val="auto"/>
                <w:sz w:val="22"/>
                <w:szCs w:val="22"/>
              </w:rPr>
              <w:t>L'exercice financier</w:t>
            </w:r>
          </w:p>
        </w:tc>
        <w:tc>
          <w:tcPr>
            <w:tcW w:w="2068" w:type="pct"/>
          </w:tcPr>
          <w:p w14:paraId="7503C4DC" w14:textId="77777777" w:rsidR="009E16DC" w:rsidRPr="00E657F6" w:rsidRDefault="009E16DC" w:rsidP="00E657F6">
            <w:pPr>
              <w:pStyle w:val="TableTitle"/>
              <w:rPr>
                <w:rFonts w:eastAsia="Calibri" w:cs="Segoe UI Semibold"/>
                <w:color w:val="auto"/>
                <w:sz w:val="22"/>
                <w:szCs w:val="22"/>
              </w:rPr>
            </w:pPr>
            <w:r w:rsidRPr="00E657F6">
              <w:rPr>
                <w:rFonts w:eastAsia="Calibri" w:cs="Segoe UI Semibold"/>
                <w:color w:val="auto"/>
                <w:sz w:val="22"/>
                <w:szCs w:val="22"/>
              </w:rPr>
              <w:t xml:space="preserve">Pourcentage des activités de dotation à l’organisation qui a eu lieu dans la région de la capitale nationale (RCN) </w:t>
            </w:r>
          </w:p>
        </w:tc>
        <w:tc>
          <w:tcPr>
            <w:tcW w:w="2244" w:type="pct"/>
          </w:tcPr>
          <w:p w14:paraId="2CA42DED" w14:textId="77777777" w:rsidR="009E16DC" w:rsidRPr="00E657F6" w:rsidRDefault="009E16DC" w:rsidP="00E657F6">
            <w:pPr>
              <w:pStyle w:val="TableTitle"/>
              <w:rPr>
                <w:rFonts w:eastAsia="Calibri" w:cs="Segoe UI Semibold"/>
                <w:color w:val="auto"/>
                <w:sz w:val="22"/>
                <w:szCs w:val="22"/>
              </w:rPr>
            </w:pPr>
            <w:r w:rsidRPr="00E657F6">
              <w:rPr>
                <w:rFonts w:eastAsia="Calibri" w:cs="Segoe UI Semibold"/>
                <w:color w:val="auto"/>
                <w:sz w:val="22"/>
                <w:szCs w:val="22"/>
              </w:rPr>
              <w:t>Pourcentage des activités de dotation à l’organisation qui a eu lieu à l’extérieur de la région de la capitale nationale (RCN)</w:t>
            </w:r>
          </w:p>
        </w:tc>
      </w:tr>
      <w:tr w:rsidR="00E657F6" w:rsidRPr="00E657F6" w14:paraId="2FBA4BA0" w14:textId="77777777" w:rsidTr="00081693">
        <w:trPr>
          <w:cantSplit/>
          <w:trHeight w:val="290"/>
          <w:tblHeader/>
          <w:jc w:val="center"/>
        </w:trPr>
        <w:tc>
          <w:tcPr>
            <w:tcW w:w="688" w:type="pct"/>
          </w:tcPr>
          <w:p w14:paraId="79CB9F3E"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2015 à 2016</w:t>
            </w:r>
          </w:p>
        </w:tc>
        <w:tc>
          <w:tcPr>
            <w:tcW w:w="2068" w:type="pct"/>
          </w:tcPr>
          <w:p w14:paraId="13A906FC"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0%</w:t>
            </w:r>
          </w:p>
        </w:tc>
        <w:tc>
          <w:tcPr>
            <w:tcW w:w="2244" w:type="pct"/>
          </w:tcPr>
          <w:p w14:paraId="567DB5F5"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100%</w:t>
            </w:r>
          </w:p>
        </w:tc>
      </w:tr>
      <w:tr w:rsidR="00E657F6" w:rsidRPr="00E657F6" w14:paraId="4F39346A" w14:textId="77777777" w:rsidTr="00081693">
        <w:trPr>
          <w:cantSplit/>
          <w:trHeight w:val="290"/>
          <w:tblHeader/>
          <w:jc w:val="center"/>
        </w:trPr>
        <w:tc>
          <w:tcPr>
            <w:tcW w:w="688" w:type="pct"/>
          </w:tcPr>
          <w:p w14:paraId="18F407E1"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2016 à 2017</w:t>
            </w:r>
          </w:p>
        </w:tc>
        <w:tc>
          <w:tcPr>
            <w:tcW w:w="2068" w:type="pct"/>
          </w:tcPr>
          <w:p w14:paraId="64DEF28A"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0%</w:t>
            </w:r>
          </w:p>
        </w:tc>
        <w:tc>
          <w:tcPr>
            <w:tcW w:w="2244" w:type="pct"/>
          </w:tcPr>
          <w:p w14:paraId="580B93FD"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100%</w:t>
            </w:r>
          </w:p>
        </w:tc>
      </w:tr>
      <w:tr w:rsidR="00E657F6" w:rsidRPr="00E657F6" w14:paraId="5D3FFC1F" w14:textId="77777777" w:rsidTr="00081693">
        <w:trPr>
          <w:cantSplit/>
          <w:trHeight w:val="290"/>
          <w:tblHeader/>
          <w:jc w:val="center"/>
        </w:trPr>
        <w:tc>
          <w:tcPr>
            <w:tcW w:w="688" w:type="pct"/>
          </w:tcPr>
          <w:p w14:paraId="609CA8BD"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2017 à 2018</w:t>
            </w:r>
          </w:p>
        </w:tc>
        <w:tc>
          <w:tcPr>
            <w:tcW w:w="2068" w:type="pct"/>
          </w:tcPr>
          <w:p w14:paraId="75023984"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0%</w:t>
            </w:r>
          </w:p>
        </w:tc>
        <w:tc>
          <w:tcPr>
            <w:tcW w:w="2244" w:type="pct"/>
          </w:tcPr>
          <w:p w14:paraId="71657B8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100%</w:t>
            </w:r>
          </w:p>
        </w:tc>
      </w:tr>
      <w:tr w:rsidR="00E657F6" w:rsidRPr="00E657F6" w14:paraId="6A8D9AAA" w14:textId="77777777" w:rsidTr="00081693">
        <w:trPr>
          <w:cantSplit/>
          <w:trHeight w:val="290"/>
          <w:tblHeader/>
          <w:jc w:val="center"/>
        </w:trPr>
        <w:tc>
          <w:tcPr>
            <w:tcW w:w="688" w:type="pct"/>
          </w:tcPr>
          <w:p w14:paraId="7AB81FA1"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2018 à 2019</w:t>
            </w:r>
          </w:p>
        </w:tc>
        <w:tc>
          <w:tcPr>
            <w:tcW w:w="2068" w:type="pct"/>
          </w:tcPr>
          <w:p w14:paraId="04A252B0"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w:t>
            </w:r>
          </w:p>
        </w:tc>
        <w:tc>
          <w:tcPr>
            <w:tcW w:w="2244" w:type="pct"/>
          </w:tcPr>
          <w:p w14:paraId="624ACC54"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99%</w:t>
            </w:r>
          </w:p>
        </w:tc>
      </w:tr>
      <w:tr w:rsidR="00E657F6" w:rsidRPr="00E657F6" w14:paraId="443D3178" w14:textId="77777777" w:rsidTr="00081693">
        <w:trPr>
          <w:cantSplit/>
          <w:trHeight w:val="290"/>
          <w:tblHeader/>
          <w:jc w:val="center"/>
        </w:trPr>
        <w:tc>
          <w:tcPr>
            <w:tcW w:w="688" w:type="pct"/>
          </w:tcPr>
          <w:p w14:paraId="55735807"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2019 à 2020</w:t>
            </w:r>
          </w:p>
        </w:tc>
        <w:tc>
          <w:tcPr>
            <w:tcW w:w="2068" w:type="pct"/>
          </w:tcPr>
          <w:p w14:paraId="4504F07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0%</w:t>
            </w:r>
          </w:p>
        </w:tc>
        <w:tc>
          <w:tcPr>
            <w:tcW w:w="2244" w:type="pct"/>
          </w:tcPr>
          <w:p w14:paraId="6988E81B"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100%</w:t>
            </w:r>
          </w:p>
        </w:tc>
      </w:tr>
    </w:tbl>
    <w:p w14:paraId="5A5BD65C" w14:textId="4A38408B" w:rsidR="00DF0000" w:rsidRPr="00E657F6" w:rsidRDefault="009E16DC" w:rsidP="00E657F6">
      <w:pPr>
        <w:spacing w:after="100" w:afterAutospacing="1"/>
        <w:rPr>
          <w:rFonts w:asciiTheme="minorHAnsi" w:hAnsiTheme="minorHAnsi" w:cstheme="minorHAnsi"/>
          <w:sz w:val="22"/>
          <w:szCs w:val="22"/>
          <w:lang w:eastAsia="en-CA"/>
        </w:rPr>
      </w:pPr>
      <w:r w:rsidRPr="00E657F6">
        <w:rPr>
          <w:rFonts w:asciiTheme="minorHAnsi" w:hAnsiTheme="minorHAnsi" w:cstheme="minorHAnsi"/>
          <w:sz w:val="22"/>
          <w:szCs w:val="22"/>
          <w:lang w:eastAsia="en-CA"/>
        </w:rPr>
        <w:t>La distribution régionale exclut les inconnu</w:t>
      </w:r>
      <w:r w:rsidR="00E657F6">
        <w:rPr>
          <w:rFonts w:asciiTheme="minorHAnsi" w:hAnsiTheme="minorHAnsi" w:cstheme="minorHAnsi"/>
          <w:sz w:val="22"/>
          <w:szCs w:val="22"/>
          <w:lang w:eastAsia="en-CA"/>
        </w:rPr>
        <w:t>s.</w:t>
      </w:r>
    </w:p>
    <w:p w14:paraId="044053E3" w14:textId="77777777" w:rsidR="00DF0000" w:rsidRDefault="00DF0000" w:rsidP="00306C9A">
      <w:pPr>
        <w:tabs>
          <w:tab w:val="left" w:pos="7839"/>
        </w:tabs>
        <w:rPr>
          <w:rFonts w:ascii="Arial" w:eastAsia="Calibri" w:hAnsi="Arial"/>
          <w:noProof/>
          <w:sz w:val="22"/>
          <w:szCs w:val="22"/>
          <w:lang w:eastAsia="en-CA"/>
        </w:rPr>
        <w:sectPr w:rsidR="00DF0000" w:rsidSect="00D85628">
          <w:pgSz w:w="15840" w:h="12240" w:orient="landscape"/>
          <w:pgMar w:top="629" w:right="720" w:bottom="720" w:left="720" w:header="709" w:footer="709" w:gutter="0"/>
          <w:cols w:space="708"/>
          <w:titlePg/>
          <w:docGrid w:linePitch="360"/>
        </w:sectPr>
      </w:pPr>
    </w:p>
    <w:p w14:paraId="53621E3E" w14:textId="2CAADE82" w:rsidR="00DF0000" w:rsidRPr="00E657F6" w:rsidRDefault="00E657F6" w:rsidP="00E657F6">
      <w:pPr>
        <w:pStyle w:val="Heading1"/>
        <w:spacing w:before="120" w:after="120"/>
        <w:rPr>
          <w:rFonts w:eastAsia="Calibri"/>
          <w:noProof/>
          <w:sz w:val="40"/>
          <w:szCs w:val="40"/>
          <w:lang w:eastAsia="en-CA"/>
        </w:rPr>
      </w:pPr>
      <w:r w:rsidRPr="00E657F6">
        <w:rPr>
          <w:rFonts w:eastAsia="Calibri"/>
          <w:noProof/>
          <w:sz w:val="40"/>
          <w:szCs w:val="40"/>
          <w:lang w:eastAsia="en-CA"/>
        </w:rPr>
        <w:lastRenderedPageBreak/>
        <w:t>Dotation selon le type de processus</w:t>
      </w:r>
    </w:p>
    <w:p w14:paraId="3B77A90D" w14:textId="77777777" w:rsidR="00E657F6" w:rsidRDefault="00DF0000" w:rsidP="00E657F6">
      <w:pPr>
        <w:keepNext/>
        <w:tabs>
          <w:tab w:val="left" w:pos="7839"/>
        </w:tabs>
        <w:jc w:val="center"/>
      </w:pPr>
      <w:r w:rsidRPr="00306C9A">
        <w:rPr>
          <w:rFonts w:ascii="Arial" w:eastAsia="Calibri" w:hAnsi="Arial"/>
          <w:noProof/>
          <w:sz w:val="22"/>
          <w:szCs w:val="22"/>
          <w:lang w:eastAsia="en-CA"/>
        </w:rPr>
        <w:drawing>
          <wp:inline distT="0" distB="0" distL="0" distR="0" wp14:anchorId="11C6FD92" wp14:editId="74BB5A6A">
            <wp:extent cx="5648400" cy="3049200"/>
            <wp:effectExtent l="0" t="0" r="9525" b="18415"/>
            <wp:docPr id="1" name="Chart 1" descr="Dotation selon le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B17FD10" w14:textId="6E3D6CDD" w:rsidR="00DF0000" w:rsidRPr="00E657F6" w:rsidRDefault="00E657F6" w:rsidP="00E657F6">
      <w:pPr>
        <w:pStyle w:val="Caption"/>
        <w:spacing w:after="0"/>
        <w:jc w:val="center"/>
        <w:rPr>
          <w:rFonts w:asciiTheme="minorHAnsi" w:eastAsia="Calibri" w:hAnsiTheme="minorHAnsi" w:cstheme="minorHAnsi"/>
          <w:i w:val="0"/>
          <w:iCs w:val="0"/>
          <w:color w:val="auto"/>
          <w:sz w:val="22"/>
          <w:szCs w:val="22"/>
        </w:rPr>
      </w:pPr>
      <w:r w:rsidRPr="00E657F6">
        <w:rPr>
          <w:rFonts w:asciiTheme="minorHAnsi" w:hAnsiTheme="minorHAnsi" w:cstheme="minorHAnsi"/>
          <w:i w:val="0"/>
          <w:iCs w:val="0"/>
          <w:color w:val="auto"/>
        </w:rPr>
        <w:t xml:space="preserve">Figure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Figure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7</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Dotation selon le type de processus</w:t>
      </w:r>
    </w:p>
    <w:p w14:paraId="76901CB0" w14:textId="4BEBB52A" w:rsidR="00E657F6" w:rsidRPr="00E657F6" w:rsidRDefault="00E657F6" w:rsidP="00E657F6">
      <w:pPr>
        <w:pStyle w:val="Caption"/>
        <w:keepNext/>
        <w:spacing w:before="240" w:after="0"/>
        <w:jc w:val="center"/>
        <w:rPr>
          <w:rFonts w:asciiTheme="minorHAnsi" w:hAnsiTheme="minorHAnsi" w:cstheme="minorHAnsi"/>
          <w:i w:val="0"/>
          <w:iCs w:val="0"/>
          <w:color w:val="auto"/>
        </w:rPr>
      </w:pPr>
      <w:r w:rsidRPr="00E657F6">
        <w:rPr>
          <w:rFonts w:asciiTheme="minorHAnsi" w:hAnsiTheme="minorHAnsi" w:cstheme="minorHAnsi"/>
          <w:i w:val="0"/>
          <w:iCs w:val="0"/>
          <w:color w:val="auto"/>
        </w:rPr>
        <w:t xml:space="preserve">Tableau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Tableau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9</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Nombre et pourcentage des activités de dotation selon le type de processus et l’exercice financier</w:t>
      </w:r>
    </w:p>
    <w:tbl>
      <w:tblPr>
        <w:tblStyle w:val="TableGrid2"/>
        <w:tblW w:w="5000" w:type="pct"/>
        <w:jc w:val="center"/>
        <w:tblLook w:val="0020" w:firstRow="1" w:lastRow="0" w:firstColumn="0" w:lastColumn="0" w:noHBand="0" w:noVBand="0"/>
        <w:tblDescription w:val="Dotation selon le type de processus de 2015 à 2020"/>
      </w:tblPr>
      <w:tblGrid>
        <w:gridCol w:w="1980"/>
        <w:gridCol w:w="4395"/>
        <w:gridCol w:w="3543"/>
        <w:gridCol w:w="4472"/>
      </w:tblGrid>
      <w:tr w:rsidR="00E657F6" w:rsidRPr="00E657F6" w14:paraId="3A98F7CA" w14:textId="77777777" w:rsidTr="00081693">
        <w:trPr>
          <w:cantSplit/>
          <w:trHeight w:val="290"/>
          <w:tblHeader/>
          <w:jc w:val="center"/>
        </w:trPr>
        <w:tc>
          <w:tcPr>
            <w:tcW w:w="688" w:type="pct"/>
          </w:tcPr>
          <w:p w14:paraId="2A19404F"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Exercice financier</w:t>
            </w:r>
          </w:p>
        </w:tc>
        <w:tc>
          <w:tcPr>
            <w:tcW w:w="1527" w:type="pct"/>
          </w:tcPr>
          <w:p w14:paraId="25C4E839"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Processus non annoncé (inconnus exclus)</w:t>
            </w:r>
          </w:p>
        </w:tc>
        <w:tc>
          <w:tcPr>
            <w:tcW w:w="1231" w:type="pct"/>
          </w:tcPr>
          <w:p w14:paraId="0E0D9E2A"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Processus annoncés</w:t>
            </w:r>
          </w:p>
        </w:tc>
        <w:tc>
          <w:tcPr>
            <w:tcW w:w="1554" w:type="pct"/>
          </w:tcPr>
          <w:p w14:paraId="3B79615D"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 xml:space="preserve">Pourcentage de processus non annoncés </w:t>
            </w:r>
          </w:p>
        </w:tc>
      </w:tr>
      <w:tr w:rsidR="00E657F6" w:rsidRPr="00E657F6" w14:paraId="1F8CD7BB" w14:textId="77777777" w:rsidTr="00081693">
        <w:trPr>
          <w:cantSplit/>
          <w:trHeight w:val="290"/>
          <w:tblHeader/>
          <w:jc w:val="center"/>
        </w:trPr>
        <w:tc>
          <w:tcPr>
            <w:tcW w:w="688" w:type="pct"/>
          </w:tcPr>
          <w:p w14:paraId="1966D368"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 xml:space="preserve">2015 à 2016 </w:t>
            </w:r>
          </w:p>
        </w:tc>
        <w:tc>
          <w:tcPr>
            <w:tcW w:w="1527" w:type="pct"/>
          </w:tcPr>
          <w:p w14:paraId="18C8FA2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10</w:t>
            </w:r>
          </w:p>
        </w:tc>
        <w:tc>
          <w:tcPr>
            <w:tcW w:w="1231" w:type="pct"/>
          </w:tcPr>
          <w:p w14:paraId="71315493"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24</w:t>
            </w:r>
          </w:p>
        </w:tc>
        <w:tc>
          <w:tcPr>
            <w:tcW w:w="1554" w:type="pct"/>
          </w:tcPr>
          <w:p w14:paraId="0C868444"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29%</w:t>
            </w:r>
          </w:p>
        </w:tc>
      </w:tr>
      <w:tr w:rsidR="00E657F6" w:rsidRPr="00E657F6" w14:paraId="5AA6B80B" w14:textId="77777777" w:rsidTr="00081693">
        <w:trPr>
          <w:cantSplit/>
          <w:trHeight w:val="290"/>
          <w:tblHeader/>
          <w:jc w:val="center"/>
        </w:trPr>
        <w:tc>
          <w:tcPr>
            <w:tcW w:w="688" w:type="pct"/>
          </w:tcPr>
          <w:p w14:paraId="793CEF28"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2016 à 2017</w:t>
            </w:r>
          </w:p>
        </w:tc>
        <w:tc>
          <w:tcPr>
            <w:tcW w:w="1527" w:type="pct"/>
          </w:tcPr>
          <w:p w14:paraId="31AFC3A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25</w:t>
            </w:r>
          </w:p>
        </w:tc>
        <w:tc>
          <w:tcPr>
            <w:tcW w:w="1231" w:type="pct"/>
          </w:tcPr>
          <w:p w14:paraId="3EF1835B"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68</w:t>
            </w:r>
          </w:p>
        </w:tc>
        <w:tc>
          <w:tcPr>
            <w:tcW w:w="1554" w:type="pct"/>
          </w:tcPr>
          <w:p w14:paraId="524921E9"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27%</w:t>
            </w:r>
          </w:p>
        </w:tc>
      </w:tr>
      <w:tr w:rsidR="00E657F6" w:rsidRPr="00E657F6" w14:paraId="1BC73698" w14:textId="77777777" w:rsidTr="00081693">
        <w:trPr>
          <w:cantSplit/>
          <w:trHeight w:val="290"/>
          <w:tblHeader/>
          <w:jc w:val="center"/>
        </w:trPr>
        <w:tc>
          <w:tcPr>
            <w:tcW w:w="688" w:type="pct"/>
          </w:tcPr>
          <w:p w14:paraId="48EF5403"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2017 à 2018</w:t>
            </w:r>
          </w:p>
        </w:tc>
        <w:tc>
          <w:tcPr>
            <w:tcW w:w="1527" w:type="pct"/>
          </w:tcPr>
          <w:p w14:paraId="2076E503"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24</w:t>
            </w:r>
          </w:p>
        </w:tc>
        <w:tc>
          <w:tcPr>
            <w:tcW w:w="1231" w:type="pct"/>
          </w:tcPr>
          <w:p w14:paraId="0C3C697A"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52</w:t>
            </w:r>
          </w:p>
        </w:tc>
        <w:tc>
          <w:tcPr>
            <w:tcW w:w="1554" w:type="pct"/>
          </w:tcPr>
          <w:p w14:paraId="04A7287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32%</w:t>
            </w:r>
          </w:p>
        </w:tc>
      </w:tr>
      <w:tr w:rsidR="00E657F6" w:rsidRPr="00E657F6" w14:paraId="0F0B8BED" w14:textId="77777777" w:rsidTr="00081693">
        <w:trPr>
          <w:cantSplit/>
          <w:trHeight w:val="290"/>
          <w:tblHeader/>
          <w:jc w:val="center"/>
        </w:trPr>
        <w:tc>
          <w:tcPr>
            <w:tcW w:w="688" w:type="pct"/>
          </w:tcPr>
          <w:p w14:paraId="448619E5"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2018 à 2019</w:t>
            </w:r>
          </w:p>
        </w:tc>
        <w:tc>
          <w:tcPr>
            <w:tcW w:w="1527" w:type="pct"/>
          </w:tcPr>
          <w:p w14:paraId="679C3444"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29</w:t>
            </w:r>
          </w:p>
        </w:tc>
        <w:tc>
          <w:tcPr>
            <w:tcW w:w="1231" w:type="pct"/>
          </w:tcPr>
          <w:p w14:paraId="6E8DF8E1"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75</w:t>
            </w:r>
          </w:p>
        </w:tc>
        <w:tc>
          <w:tcPr>
            <w:tcW w:w="1554" w:type="pct"/>
          </w:tcPr>
          <w:p w14:paraId="5791CA52"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28%</w:t>
            </w:r>
          </w:p>
        </w:tc>
      </w:tr>
      <w:tr w:rsidR="00E657F6" w:rsidRPr="00E657F6" w14:paraId="3724DB33" w14:textId="77777777" w:rsidTr="00081693">
        <w:trPr>
          <w:cantSplit/>
          <w:trHeight w:val="290"/>
          <w:tblHeader/>
          <w:jc w:val="center"/>
        </w:trPr>
        <w:tc>
          <w:tcPr>
            <w:tcW w:w="688" w:type="pct"/>
          </w:tcPr>
          <w:p w14:paraId="4903B84C" w14:textId="77777777" w:rsidR="009E16DC" w:rsidRPr="00E657F6" w:rsidRDefault="009E16DC" w:rsidP="00E657F6">
            <w:pPr>
              <w:autoSpaceDE w:val="0"/>
              <w:autoSpaceDN w:val="0"/>
              <w:adjustRightInd w:val="0"/>
              <w:rPr>
                <w:rFonts w:asciiTheme="minorHAnsi" w:eastAsia="Calibri" w:hAnsiTheme="minorHAnsi" w:cstheme="minorHAnsi"/>
                <w:sz w:val="22"/>
                <w:szCs w:val="22"/>
              </w:rPr>
            </w:pPr>
            <w:r w:rsidRPr="00E657F6">
              <w:rPr>
                <w:rFonts w:asciiTheme="minorHAnsi" w:eastAsia="Calibri" w:hAnsiTheme="minorHAnsi" w:cstheme="minorHAnsi"/>
                <w:sz w:val="22"/>
                <w:szCs w:val="22"/>
              </w:rPr>
              <w:t>2019 à 2020</w:t>
            </w:r>
          </w:p>
        </w:tc>
        <w:tc>
          <w:tcPr>
            <w:tcW w:w="1527" w:type="pct"/>
          </w:tcPr>
          <w:p w14:paraId="2EC2141A"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35</w:t>
            </w:r>
          </w:p>
        </w:tc>
        <w:tc>
          <w:tcPr>
            <w:tcW w:w="1231" w:type="pct"/>
          </w:tcPr>
          <w:p w14:paraId="6689F0C6"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70</w:t>
            </w:r>
          </w:p>
        </w:tc>
        <w:tc>
          <w:tcPr>
            <w:tcW w:w="1554" w:type="pct"/>
          </w:tcPr>
          <w:p w14:paraId="54E6D922" w14:textId="77777777" w:rsidR="009E16DC" w:rsidRPr="00E657F6" w:rsidRDefault="009E16DC" w:rsidP="00E657F6">
            <w:pPr>
              <w:autoSpaceDE w:val="0"/>
              <w:autoSpaceDN w:val="0"/>
              <w:adjustRightInd w:val="0"/>
              <w:jc w:val="center"/>
              <w:rPr>
                <w:rFonts w:asciiTheme="minorHAnsi" w:eastAsia="Calibri" w:hAnsiTheme="minorHAnsi" w:cstheme="minorHAnsi"/>
                <w:sz w:val="22"/>
                <w:szCs w:val="22"/>
              </w:rPr>
            </w:pPr>
            <w:r w:rsidRPr="00E657F6">
              <w:rPr>
                <w:rFonts w:asciiTheme="minorHAnsi" w:eastAsia="Calibri" w:hAnsiTheme="minorHAnsi" w:cstheme="minorHAnsi"/>
                <w:sz w:val="22"/>
                <w:szCs w:val="22"/>
              </w:rPr>
              <w:t>33%</w:t>
            </w:r>
          </w:p>
        </w:tc>
      </w:tr>
    </w:tbl>
    <w:p w14:paraId="1BF9F1F2" w14:textId="77777777" w:rsidR="009E16DC" w:rsidRPr="00E657F6" w:rsidRDefault="009E16DC" w:rsidP="00E657F6">
      <w:pPr>
        <w:numPr>
          <w:ilvl w:val="0"/>
          <w:numId w:val="26"/>
        </w:numPr>
        <w:rPr>
          <w:rFonts w:asciiTheme="minorHAnsi" w:hAnsiTheme="minorHAnsi" w:cstheme="minorHAnsi"/>
          <w:sz w:val="22"/>
          <w:szCs w:val="22"/>
          <w:lang w:eastAsia="en-CA"/>
        </w:rPr>
      </w:pPr>
      <w:r w:rsidRPr="00E657F6">
        <w:rPr>
          <w:rFonts w:asciiTheme="minorHAnsi" w:hAnsiTheme="minorHAnsi" w:cstheme="minorHAnsi"/>
          <w:sz w:val="22"/>
          <w:szCs w:val="22"/>
          <w:lang w:eastAsia="en-CA"/>
        </w:rPr>
        <w:t>Inclut les nominations pour une période indéterminée et pour une durée déterminée.</w:t>
      </w:r>
    </w:p>
    <w:p w14:paraId="5EC39027" w14:textId="77777777" w:rsidR="009E16DC" w:rsidRPr="00E657F6" w:rsidRDefault="009E16DC" w:rsidP="00E657F6">
      <w:pPr>
        <w:numPr>
          <w:ilvl w:val="0"/>
          <w:numId w:val="26"/>
        </w:numPr>
        <w:rPr>
          <w:rFonts w:asciiTheme="minorHAnsi" w:hAnsiTheme="minorHAnsi" w:cstheme="minorHAnsi"/>
          <w:sz w:val="22"/>
          <w:szCs w:val="22"/>
          <w:lang w:eastAsia="en-CA"/>
        </w:rPr>
      </w:pPr>
      <w:r w:rsidRPr="00E657F6">
        <w:rPr>
          <w:rFonts w:asciiTheme="minorHAnsi" w:hAnsiTheme="minorHAnsi" w:cstheme="minorHAnsi"/>
          <w:sz w:val="22"/>
          <w:szCs w:val="22"/>
          <w:lang w:eastAsia="en-CA"/>
        </w:rPr>
        <w:t>Exclut les déplacements latéraux et régressifs, les mutations et les nominations intérimaires de moins de 4 mois.</w:t>
      </w:r>
    </w:p>
    <w:p w14:paraId="0F7E0DB3" w14:textId="77777777" w:rsidR="009E16DC" w:rsidRPr="00E657F6" w:rsidRDefault="009E16DC" w:rsidP="009E16DC">
      <w:pPr>
        <w:numPr>
          <w:ilvl w:val="0"/>
          <w:numId w:val="26"/>
        </w:numPr>
        <w:spacing w:after="100" w:afterAutospacing="1"/>
        <w:rPr>
          <w:rFonts w:asciiTheme="minorHAnsi" w:hAnsiTheme="minorHAnsi" w:cstheme="minorHAnsi"/>
          <w:sz w:val="22"/>
          <w:szCs w:val="22"/>
          <w:lang w:eastAsia="en-CA"/>
        </w:rPr>
      </w:pPr>
      <w:r w:rsidRPr="00E657F6">
        <w:rPr>
          <w:rFonts w:asciiTheme="minorHAnsi" w:hAnsiTheme="minorHAnsi" w:cstheme="minorHAnsi"/>
          <w:sz w:val="22"/>
          <w:szCs w:val="22"/>
          <w:lang w:eastAsia="en-CA"/>
        </w:rPr>
        <w:t>Inclut seulement les nominations où le type de processus est connu (68% à 92% des nominations).</w:t>
      </w:r>
    </w:p>
    <w:p w14:paraId="240E2188" w14:textId="77777777" w:rsidR="00DF0000" w:rsidRDefault="00DF0000" w:rsidP="00306C9A">
      <w:pPr>
        <w:tabs>
          <w:tab w:val="left" w:pos="7839"/>
        </w:tabs>
        <w:rPr>
          <w:rFonts w:ascii="Arial" w:eastAsia="Calibri" w:hAnsi="Arial"/>
          <w:sz w:val="22"/>
          <w:szCs w:val="22"/>
        </w:rPr>
        <w:sectPr w:rsidR="00DF0000" w:rsidSect="00D85628">
          <w:pgSz w:w="15840" w:h="12240" w:orient="landscape"/>
          <w:pgMar w:top="629" w:right="720" w:bottom="720" w:left="720" w:header="709" w:footer="709" w:gutter="0"/>
          <w:cols w:space="708"/>
          <w:titlePg/>
          <w:docGrid w:linePitch="360"/>
        </w:sectPr>
      </w:pPr>
    </w:p>
    <w:p w14:paraId="1B4A518A" w14:textId="77777777" w:rsidR="00E657F6" w:rsidRPr="00E657F6" w:rsidRDefault="00E657F6" w:rsidP="00E657F6">
      <w:pPr>
        <w:pStyle w:val="Heading1"/>
        <w:spacing w:before="120" w:after="120"/>
        <w:rPr>
          <w:rFonts w:eastAsia="Calibri"/>
          <w:sz w:val="40"/>
          <w:szCs w:val="40"/>
        </w:rPr>
      </w:pPr>
      <w:r w:rsidRPr="00E657F6">
        <w:rPr>
          <w:rFonts w:eastAsia="Calibri"/>
          <w:sz w:val="40"/>
          <w:szCs w:val="40"/>
        </w:rPr>
        <w:lastRenderedPageBreak/>
        <w:t>Dotation selon le type de nomination</w:t>
      </w:r>
    </w:p>
    <w:p w14:paraId="43ED099E" w14:textId="77777777" w:rsidR="00E657F6" w:rsidRDefault="00306C9A" w:rsidP="00E657F6">
      <w:pPr>
        <w:keepNext/>
        <w:jc w:val="center"/>
      </w:pPr>
      <w:r w:rsidRPr="00306C9A">
        <w:rPr>
          <w:rFonts w:ascii="Arial" w:eastAsia="Calibri" w:hAnsi="Arial"/>
          <w:noProof/>
          <w:sz w:val="22"/>
          <w:szCs w:val="22"/>
          <w:lang w:eastAsia="en-CA"/>
        </w:rPr>
        <w:drawing>
          <wp:inline distT="0" distB="0" distL="0" distR="0" wp14:anchorId="14ABB5D8" wp14:editId="52889442">
            <wp:extent cx="5648400" cy="3049200"/>
            <wp:effectExtent l="0" t="0" r="9525" b="18415"/>
            <wp:docPr id="9" name="Chart 9" descr="Dotation selon le type de nominat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D6A4D84" w14:textId="3A3B6E35" w:rsidR="00306C9A" w:rsidRPr="00E657F6" w:rsidRDefault="00E657F6" w:rsidP="00E657F6">
      <w:pPr>
        <w:pStyle w:val="Caption"/>
        <w:spacing w:after="0"/>
        <w:jc w:val="center"/>
        <w:rPr>
          <w:rFonts w:asciiTheme="minorHAnsi" w:eastAsia="Calibri" w:hAnsiTheme="minorHAnsi" w:cstheme="minorHAnsi"/>
          <w:i w:val="0"/>
          <w:iCs w:val="0"/>
          <w:color w:val="auto"/>
          <w:sz w:val="22"/>
          <w:szCs w:val="22"/>
        </w:rPr>
      </w:pPr>
      <w:r w:rsidRPr="00E657F6">
        <w:rPr>
          <w:rFonts w:asciiTheme="minorHAnsi" w:hAnsiTheme="minorHAnsi" w:cstheme="minorHAnsi"/>
          <w:i w:val="0"/>
          <w:iCs w:val="0"/>
          <w:color w:val="auto"/>
        </w:rPr>
        <w:t xml:space="preserve">Figure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Figure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8</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Dotation selon le type de nomination</w:t>
      </w:r>
    </w:p>
    <w:p w14:paraId="3BCE0811" w14:textId="798051A0" w:rsidR="00E657F6" w:rsidRPr="00E657F6" w:rsidRDefault="00E657F6" w:rsidP="00E657F6">
      <w:pPr>
        <w:pStyle w:val="Caption"/>
        <w:keepNext/>
        <w:spacing w:before="240" w:after="0"/>
        <w:jc w:val="center"/>
        <w:rPr>
          <w:rFonts w:asciiTheme="minorHAnsi" w:hAnsiTheme="minorHAnsi" w:cstheme="minorHAnsi"/>
          <w:i w:val="0"/>
          <w:iCs w:val="0"/>
          <w:color w:val="auto"/>
        </w:rPr>
      </w:pPr>
      <w:r w:rsidRPr="00E657F6">
        <w:rPr>
          <w:rFonts w:asciiTheme="minorHAnsi" w:hAnsiTheme="minorHAnsi" w:cstheme="minorHAnsi"/>
          <w:i w:val="0"/>
          <w:iCs w:val="0"/>
          <w:color w:val="auto"/>
        </w:rPr>
        <w:t xml:space="preserve">Tableau </w:t>
      </w:r>
      <w:r w:rsidRPr="00E657F6">
        <w:rPr>
          <w:rFonts w:asciiTheme="minorHAnsi" w:hAnsiTheme="minorHAnsi" w:cstheme="minorHAnsi"/>
          <w:i w:val="0"/>
          <w:iCs w:val="0"/>
          <w:color w:val="auto"/>
        </w:rPr>
        <w:fldChar w:fldCharType="begin"/>
      </w:r>
      <w:r w:rsidRPr="00E657F6">
        <w:rPr>
          <w:rFonts w:asciiTheme="minorHAnsi" w:hAnsiTheme="minorHAnsi" w:cstheme="minorHAnsi"/>
          <w:i w:val="0"/>
          <w:iCs w:val="0"/>
          <w:color w:val="auto"/>
        </w:rPr>
        <w:instrText xml:space="preserve"> SEQ Tableau \* ARABIC </w:instrText>
      </w:r>
      <w:r w:rsidRPr="00E657F6">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10</w:t>
      </w:r>
      <w:r w:rsidRPr="00E657F6">
        <w:rPr>
          <w:rFonts w:asciiTheme="minorHAnsi" w:hAnsiTheme="minorHAnsi" w:cstheme="minorHAnsi"/>
          <w:i w:val="0"/>
          <w:iCs w:val="0"/>
          <w:color w:val="auto"/>
        </w:rPr>
        <w:fldChar w:fldCharType="end"/>
      </w:r>
      <w:r w:rsidRPr="00E657F6">
        <w:rPr>
          <w:rFonts w:asciiTheme="minorHAnsi" w:hAnsiTheme="minorHAnsi" w:cstheme="minorHAnsi"/>
          <w:i w:val="0"/>
          <w:iCs w:val="0"/>
          <w:color w:val="auto"/>
        </w:rPr>
        <w:t xml:space="preserve"> - Activités de dotation selon le type de nomination et exercice financier</w:t>
      </w:r>
    </w:p>
    <w:tbl>
      <w:tblPr>
        <w:tblStyle w:val="TableGrid2"/>
        <w:tblW w:w="5000" w:type="pct"/>
        <w:jc w:val="center"/>
        <w:tblLook w:val="0020" w:firstRow="1" w:lastRow="0" w:firstColumn="0" w:lastColumn="0" w:noHBand="0" w:noVBand="0"/>
        <w:tblDescription w:val="Dotation selon le type de nomination de 2015 à 2020"/>
      </w:tblPr>
      <w:tblGrid>
        <w:gridCol w:w="1694"/>
        <w:gridCol w:w="1845"/>
        <w:gridCol w:w="2409"/>
        <w:gridCol w:w="3543"/>
        <w:gridCol w:w="3261"/>
        <w:gridCol w:w="1638"/>
      </w:tblGrid>
      <w:tr w:rsidR="00E657F6" w:rsidRPr="00E657F6" w14:paraId="28CD1D24" w14:textId="77777777" w:rsidTr="00081693">
        <w:trPr>
          <w:cantSplit/>
          <w:tblHeader/>
          <w:jc w:val="center"/>
        </w:trPr>
        <w:tc>
          <w:tcPr>
            <w:tcW w:w="589" w:type="pct"/>
          </w:tcPr>
          <w:p w14:paraId="664B8B2C"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Exercice financier</w:t>
            </w:r>
          </w:p>
        </w:tc>
        <w:tc>
          <w:tcPr>
            <w:tcW w:w="641" w:type="pct"/>
          </w:tcPr>
          <w:p w14:paraId="7B27092C"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Promotions</w:t>
            </w:r>
          </w:p>
        </w:tc>
        <w:tc>
          <w:tcPr>
            <w:tcW w:w="837" w:type="pct"/>
          </w:tcPr>
          <w:p w14:paraId="2397D64C"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Déplacements latéraux et régressifs</w:t>
            </w:r>
          </w:p>
        </w:tc>
        <w:tc>
          <w:tcPr>
            <w:tcW w:w="1231" w:type="pct"/>
          </w:tcPr>
          <w:p w14:paraId="1304D816"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Nominations à la fonction publique (y compris les employés occasionnels et les étudiants)</w:t>
            </w:r>
          </w:p>
        </w:tc>
        <w:tc>
          <w:tcPr>
            <w:tcW w:w="1133" w:type="pct"/>
          </w:tcPr>
          <w:p w14:paraId="3BE2797E"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Nominations intérimaires (Excluant les nominations de moins de 4 mois)</w:t>
            </w:r>
          </w:p>
        </w:tc>
        <w:tc>
          <w:tcPr>
            <w:tcW w:w="569" w:type="pct"/>
          </w:tcPr>
          <w:p w14:paraId="7A5BA4C5" w14:textId="77777777" w:rsidR="009E16DC" w:rsidRPr="00E657F6" w:rsidRDefault="009E16DC" w:rsidP="00E657F6">
            <w:pPr>
              <w:pStyle w:val="TableTitle"/>
              <w:rPr>
                <w:rFonts w:eastAsia="Calibri"/>
                <w:color w:val="auto"/>
                <w:sz w:val="22"/>
                <w:szCs w:val="22"/>
              </w:rPr>
            </w:pPr>
            <w:r w:rsidRPr="00E657F6">
              <w:rPr>
                <w:rFonts w:eastAsia="Calibri"/>
                <w:color w:val="auto"/>
                <w:sz w:val="22"/>
                <w:szCs w:val="22"/>
              </w:rPr>
              <w:t>Total</w:t>
            </w:r>
          </w:p>
        </w:tc>
      </w:tr>
      <w:tr w:rsidR="009E16DC" w:rsidRPr="00C17343" w14:paraId="1EF87B1C" w14:textId="77777777" w:rsidTr="00081693">
        <w:trPr>
          <w:cantSplit/>
          <w:tblHeader/>
          <w:jc w:val="center"/>
        </w:trPr>
        <w:tc>
          <w:tcPr>
            <w:tcW w:w="589" w:type="pct"/>
          </w:tcPr>
          <w:p w14:paraId="5FE3C66B"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2015 à 2016</w:t>
            </w:r>
          </w:p>
        </w:tc>
        <w:tc>
          <w:tcPr>
            <w:tcW w:w="641" w:type="pct"/>
          </w:tcPr>
          <w:p w14:paraId="403FD6A1"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16</w:t>
            </w:r>
          </w:p>
        </w:tc>
        <w:tc>
          <w:tcPr>
            <w:tcW w:w="837" w:type="pct"/>
          </w:tcPr>
          <w:p w14:paraId="6C19BD92"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16</w:t>
            </w:r>
          </w:p>
        </w:tc>
        <w:tc>
          <w:tcPr>
            <w:tcW w:w="1231" w:type="pct"/>
          </w:tcPr>
          <w:p w14:paraId="328A7723"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51</w:t>
            </w:r>
          </w:p>
        </w:tc>
        <w:tc>
          <w:tcPr>
            <w:tcW w:w="1133" w:type="pct"/>
          </w:tcPr>
          <w:p w14:paraId="05093F2D"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14</w:t>
            </w:r>
          </w:p>
        </w:tc>
        <w:tc>
          <w:tcPr>
            <w:tcW w:w="569" w:type="pct"/>
          </w:tcPr>
          <w:p w14:paraId="4EC9636F"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97</w:t>
            </w:r>
          </w:p>
        </w:tc>
      </w:tr>
      <w:tr w:rsidR="009E16DC" w:rsidRPr="00C17343" w14:paraId="79F1D01A" w14:textId="77777777" w:rsidTr="00081693">
        <w:trPr>
          <w:cantSplit/>
          <w:tblHeader/>
          <w:jc w:val="center"/>
        </w:trPr>
        <w:tc>
          <w:tcPr>
            <w:tcW w:w="589" w:type="pct"/>
          </w:tcPr>
          <w:p w14:paraId="3D979639"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 xml:space="preserve">2016 à 2017 </w:t>
            </w:r>
          </w:p>
        </w:tc>
        <w:tc>
          <w:tcPr>
            <w:tcW w:w="641" w:type="pct"/>
          </w:tcPr>
          <w:p w14:paraId="7B6AD342"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41</w:t>
            </w:r>
          </w:p>
        </w:tc>
        <w:tc>
          <w:tcPr>
            <w:tcW w:w="837" w:type="pct"/>
          </w:tcPr>
          <w:p w14:paraId="4C3780EA"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26</w:t>
            </w:r>
          </w:p>
        </w:tc>
        <w:tc>
          <w:tcPr>
            <w:tcW w:w="1231" w:type="pct"/>
          </w:tcPr>
          <w:p w14:paraId="08596741"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88</w:t>
            </w:r>
          </w:p>
        </w:tc>
        <w:tc>
          <w:tcPr>
            <w:tcW w:w="1133" w:type="pct"/>
          </w:tcPr>
          <w:p w14:paraId="68DADEB6"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16</w:t>
            </w:r>
          </w:p>
        </w:tc>
        <w:tc>
          <w:tcPr>
            <w:tcW w:w="569" w:type="pct"/>
          </w:tcPr>
          <w:p w14:paraId="2F9ECB81"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171</w:t>
            </w:r>
          </w:p>
        </w:tc>
      </w:tr>
      <w:tr w:rsidR="009E16DC" w:rsidRPr="00C17343" w14:paraId="16A01558" w14:textId="77777777" w:rsidTr="00081693">
        <w:trPr>
          <w:cantSplit/>
          <w:tblHeader/>
          <w:jc w:val="center"/>
        </w:trPr>
        <w:tc>
          <w:tcPr>
            <w:tcW w:w="589" w:type="pct"/>
          </w:tcPr>
          <w:p w14:paraId="4CC97725"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2017 à 2018</w:t>
            </w:r>
          </w:p>
        </w:tc>
        <w:tc>
          <w:tcPr>
            <w:tcW w:w="641" w:type="pct"/>
          </w:tcPr>
          <w:p w14:paraId="67ECB076"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31</w:t>
            </w:r>
          </w:p>
        </w:tc>
        <w:tc>
          <w:tcPr>
            <w:tcW w:w="837" w:type="pct"/>
          </w:tcPr>
          <w:p w14:paraId="7E3A9FE4"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15</w:t>
            </w:r>
          </w:p>
        </w:tc>
        <w:tc>
          <w:tcPr>
            <w:tcW w:w="1231" w:type="pct"/>
          </w:tcPr>
          <w:p w14:paraId="2A14E5CA"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64</w:t>
            </w:r>
          </w:p>
        </w:tc>
        <w:tc>
          <w:tcPr>
            <w:tcW w:w="1133" w:type="pct"/>
          </w:tcPr>
          <w:p w14:paraId="7EC048E0"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16</w:t>
            </w:r>
          </w:p>
        </w:tc>
        <w:tc>
          <w:tcPr>
            <w:tcW w:w="569" w:type="pct"/>
          </w:tcPr>
          <w:p w14:paraId="31B8B90E"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126</w:t>
            </w:r>
          </w:p>
        </w:tc>
      </w:tr>
      <w:tr w:rsidR="009E16DC" w:rsidRPr="00C17343" w14:paraId="55B611EB" w14:textId="77777777" w:rsidTr="00081693">
        <w:trPr>
          <w:cantSplit/>
          <w:tblHeader/>
          <w:jc w:val="center"/>
        </w:trPr>
        <w:tc>
          <w:tcPr>
            <w:tcW w:w="589" w:type="pct"/>
          </w:tcPr>
          <w:p w14:paraId="165FA0D8"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2018 à 2019</w:t>
            </w:r>
          </w:p>
        </w:tc>
        <w:tc>
          <w:tcPr>
            <w:tcW w:w="641" w:type="pct"/>
          </w:tcPr>
          <w:p w14:paraId="6DAA4A12"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58</w:t>
            </w:r>
          </w:p>
        </w:tc>
        <w:tc>
          <w:tcPr>
            <w:tcW w:w="837" w:type="pct"/>
          </w:tcPr>
          <w:p w14:paraId="38E878F2"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28</w:t>
            </w:r>
          </w:p>
        </w:tc>
        <w:tc>
          <w:tcPr>
            <w:tcW w:w="1231" w:type="pct"/>
          </w:tcPr>
          <w:p w14:paraId="49749EAD"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73</w:t>
            </w:r>
          </w:p>
        </w:tc>
        <w:tc>
          <w:tcPr>
            <w:tcW w:w="1133" w:type="pct"/>
          </w:tcPr>
          <w:p w14:paraId="19F8269F"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14</w:t>
            </w:r>
          </w:p>
        </w:tc>
        <w:tc>
          <w:tcPr>
            <w:tcW w:w="569" w:type="pct"/>
          </w:tcPr>
          <w:p w14:paraId="5FEE5815"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173</w:t>
            </w:r>
          </w:p>
        </w:tc>
      </w:tr>
      <w:tr w:rsidR="009E16DC" w:rsidRPr="00C17343" w14:paraId="3C49F08A" w14:textId="77777777" w:rsidTr="00081693">
        <w:trPr>
          <w:cantSplit/>
          <w:tblHeader/>
          <w:jc w:val="center"/>
        </w:trPr>
        <w:tc>
          <w:tcPr>
            <w:tcW w:w="589" w:type="pct"/>
          </w:tcPr>
          <w:p w14:paraId="44DA3A9D"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2019 à 2020</w:t>
            </w:r>
          </w:p>
        </w:tc>
        <w:tc>
          <w:tcPr>
            <w:tcW w:w="641" w:type="pct"/>
          </w:tcPr>
          <w:p w14:paraId="03077580"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44</w:t>
            </w:r>
          </w:p>
        </w:tc>
        <w:tc>
          <w:tcPr>
            <w:tcW w:w="837" w:type="pct"/>
          </w:tcPr>
          <w:p w14:paraId="50336885"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31</w:t>
            </w:r>
          </w:p>
        </w:tc>
        <w:tc>
          <w:tcPr>
            <w:tcW w:w="1231" w:type="pct"/>
          </w:tcPr>
          <w:p w14:paraId="5F3D98EC"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85</w:t>
            </w:r>
          </w:p>
        </w:tc>
        <w:tc>
          <w:tcPr>
            <w:tcW w:w="1133" w:type="pct"/>
          </w:tcPr>
          <w:p w14:paraId="59208813"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17</w:t>
            </w:r>
          </w:p>
        </w:tc>
        <w:tc>
          <w:tcPr>
            <w:tcW w:w="569" w:type="pct"/>
          </w:tcPr>
          <w:p w14:paraId="501121C9"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177</w:t>
            </w:r>
          </w:p>
        </w:tc>
      </w:tr>
    </w:tbl>
    <w:p w14:paraId="7FABFFD0" w14:textId="0481CF38" w:rsidR="00DF0000" w:rsidRDefault="00DF0000" w:rsidP="00306C9A">
      <w:pPr>
        <w:rPr>
          <w:rFonts w:ascii="Arial" w:eastAsia="Calibri" w:hAnsi="Arial"/>
          <w:sz w:val="22"/>
          <w:szCs w:val="22"/>
        </w:rPr>
      </w:pPr>
    </w:p>
    <w:p w14:paraId="7001C8A3" w14:textId="77777777" w:rsidR="00DF0000" w:rsidRDefault="00DF0000" w:rsidP="00306C9A">
      <w:pPr>
        <w:rPr>
          <w:rFonts w:ascii="Arial" w:eastAsia="Calibri" w:hAnsi="Arial"/>
          <w:sz w:val="22"/>
          <w:szCs w:val="22"/>
        </w:rPr>
        <w:sectPr w:rsidR="00DF0000" w:rsidSect="00D85628">
          <w:pgSz w:w="15840" w:h="12240" w:orient="landscape"/>
          <w:pgMar w:top="629" w:right="720" w:bottom="720" w:left="720" w:header="709" w:footer="709" w:gutter="0"/>
          <w:cols w:space="708"/>
          <w:titlePg/>
          <w:docGrid w:linePitch="360"/>
        </w:sectPr>
      </w:pPr>
    </w:p>
    <w:p w14:paraId="3F0E1DA4" w14:textId="77777777" w:rsidR="0045684E" w:rsidRPr="00482550" w:rsidRDefault="0045684E" w:rsidP="0045684E">
      <w:pPr>
        <w:pStyle w:val="Heading1"/>
        <w:spacing w:before="120" w:after="120"/>
        <w:rPr>
          <w:rFonts w:eastAsia="Calibri"/>
          <w:sz w:val="40"/>
          <w:szCs w:val="40"/>
        </w:rPr>
      </w:pPr>
      <w:r w:rsidRPr="00306B4C">
        <w:rPr>
          <w:rFonts w:eastAsia="Calibri"/>
          <w:sz w:val="40"/>
          <w:szCs w:val="40"/>
        </w:rPr>
        <w:lastRenderedPageBreak/>
        <w:t>Dotation selon la durée d'emploi</w:t>
      </w:r>
    </w:p>
    <w:p w14:paraId="7629A1DC" w14:textId="77777777" w:rsidR="0045684E" w:rsidRDefault="00DF0000" w:rsidP="0045684E">
      <w:pPr>
        <w:keepNext/>
        <w:jc w:val="center"/>
      </w:pPr>
      <w:r w:rsidRPr="00306C9A">
        <w:rPr>
          <w:rFonts w:ascii="Arial" w:eastAsia="Calibri" w:hAnsi="Arial"/>
          <w:noProof/>
          <w:sz w:val="22"/>
          <w:szCs w:val="22"/>
          <w:lang w:eastAsia="en-CA"/>
        </w:rPr>
        <w:drawing>
          <wp:inline distT="0" distB="0" distL="0" distR="0" wp14:anchorId="5DB65529" wp14:editId="5CAC9CA3">
            <wp:extent cx="5648400" cy="3049200"/>
            <wp:effectExtent l="0" t="0" r="9525" b="18415"/>
            <wp:docPr id="3"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DBB089" w14:textId="5403507F" w:rsidR="00DF0000" w:rsidRPr="0045684E" w:rsidRDefault="0045684E" w:rsidP="0045684E">
      <w:pPr>
        <w:pStyle w:val="Caption"/>
        <w:spacing w:after="0"/>
        <w:jc w:val="center"/>
        <w:rPr>
          <w:rFonts w:asciiTheme="minorHAnsi" w:eastAsia="Calibri" w:hAnsiTheme="minorHAnsi" w:cstheme="minorHAnsi"/>
          <w:i w:val="0"/>
          <w:iCs w:val="0"/>
          <w:color w:val="auto"/>
          <w:sz w:val="22"/>
          <w:szCs w:val="22"/>
        </w:rPr>
      </w:pPr>
      <w:r w:rsidRPr="0045684E">
        <w:rPr>
          <w:rFonts w:asciiTheme="minorHAnsi" w:hAnsiTheme="minorHAnsi" w:cstheme="minorHAnsi"/>
          <w:i w:val="0"/>
          <w:iCs w:val="0"/>
          <w:color w:val="auto"/>
        </w:rPr>
        <w:t xml:space="preserve">Figure </w:t>
      </w:r>
      <w:r w:rsidRPr="0045684E">
        <w:rPr>
          <w:rFonts w:asciiTheme="minorHAnsi" w:hAnsiTheme="minorHAnsi" w:cstheme="minorHAnsi"/>
          <w:i w:val="0"/>
          <w:iCs w:val="0"/>
          <w:color w:val="auto"/>
        </w:rPr>
        <w:fldChar w:fldCharType="begin"/>
      </w:r>
      <w:r w:rsidRPr="0045684E">
        <w:rPr>
          <w:rFonts w:asciiTheme="minorHAnsi" w:hAnsiTheme="minorHAnsi" w:cstheme="minorHAnsi"/>
          <w:i w:val="0"/>
          <w:iCs w:val="0"/>
          <w:color w:val="auto"/>
        </w:rPr>
        <w:instrText xml:space="preserve"> SEQ Figure \* ARABIC </w:instrText>
      </w:r>
      <w:r w:rsidRPr="0045684E">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9</w:t>
      </w:r>
      <w:r w:rsidRPr="0045684E">
        <w:rPr>
          <w:rFonts w:asciiTheme="minorHAnsi" w:hAnsiTheme="minorHAnsi" w:cstheme="minorHAnsi"/>
          <w:i w:val="0"/>
          <w:iCs w:val="0"/>
          <w:color w:val="auto"/>
        </w:rPr>
        <w:fldChar w:fldCharType="end"/>
      </w:r>
      <w:r w:rsidRPr="0045684E">
        <w:rPr>
          <w:rFonts w:asciiTheme="minorHAnsi" w:hAnsiTheme="minorHAnsi" w:cstheme="minorHAnsi"/>
          <w:i w:val="0"/>
          <w:iCs w:val="0"/>
          <w:color w:val="auto"/>
        </w:rPr>
        <w:t xml:space="preserve"> - Dotation selon la durée d'emploi</w:t>
      </w:r>
    </w:p>
    <w:p w14:paraId="02011B90" w14:textId="1E094036" w:rsidR="0045684E" w:rsidRPr="0045684E" w:rsidRDefault="0045684E" w:rsidP="0045684E">
      <w:pPr>
        <w:pStyle w:val="Caption"/>
        <w:keepNext/>
        <w:spacing w:before="240" w:after="0"/>
        <w:jc w:val="center"/>
        <w:rPr>
          <w:rFonts w:asciiTheme="minorHAnsi" w:hAnsiTheme="minorHAnsi" w:cstheme="minorHAnsi"/>
          <w:i w:val="0"/>
          <w:iCs w:val="0"/>
          <w:color w:val="auto"/>
        </w:rPr>
      </w:pPr>
      <w:r w:rsidRPr="0045684E">
        <w:rPr>
          <w:rFonts w:asciiTheme="minorHAnsi" w:hAnsiTheme="minorHAnsi" w:cstheme="minorHAnsi"/>
          <w:i w:val="0"/>
          <w:iCs w:val="0"/>
          <w:color w:val="auto"/>
        </w:rPr>
        <w:t xml:space="preserve">Tableau </w:t>
      </w:r>
      <w:r w:rsidRPr="0045684E">
        <w:rPr>
          <w:rFonts w:asciiTheme="minorHAnsi" w:hAnsiTheme="minorHAnsi" w:cstheme="minorHAnsi"/>
          <w:i w:val="0"/>
          <w:iCs w:val="0"/>
          <w:color w:val="auto"/>
        </w:rPr>
        <w:fldChar w:fldCharType="begin"/>
      </w:r>
      <w:r w:rsidRPr="0045684E">
        <w:rPr>
          <w:rFonts w:asciiTheme="minorHAnsi" w:hAnsiTheme="minorHAnsi" w:cstheme="minorHAnsi"/>
          <w:i w:val="0"/>
          <w:iCs w:val="0"/>
          <w:color w:val="auto"/>
        </w:rPr>
        <w:instrText xml:space="preserve"> SEQ Tableau \* ARABIC </w:instrText>
      </w:r>
      <w:r w:rsidRPr="0045684E">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11</w:t>
      </w:r>
      <w:r w:rsidRPr="0045684E">
        <w:rPr>
          <w:rFonts w:asciiTheme="minorHAnsi" w:hAnsiTheme="minorHAnsi" w:cstheme="minorHAnsi"/>
          <w:i w:val="0"/>
          <w:iCs w:val="0"/>
          <w:color w:val="auto"/>
        </w:rPr>
        <w:fldChar w:fldCharType="end"/>
      </w:r>
      <w:r w:rsidRPr="0045684E">
        <w:rPr>
          <w:rFonts w:asciiTheme="minorHAnsi" w:hAnsiTheme="minorHAnsi" w:cstheme="minorHAnsi"/>
          <w:i w:val="0"/>
          <w:iCs w:val="0"/>
          <w:color w:val="auto"/>
        </w:rPr>
        <w:t xml:space="preserve"> - Activités de dotation selon la durée d’emploi et l’exercice financier</w:t>
      </w:r>
    </w:p>
    <w:tbl>
      <w:tblPr>
        <w:tblStyle w:val="TableGrid2"/>
        <w:tblW w:w="5000" w:type="pct"/>
        <w:jc w:val="center"/>
        <w:tblLook w:val="0020" w:firstRow="1" w:lastRow="0" w:firstColumn="0" w:lastColumn="0" w:noHBand="0" w:noVBand="0"/>
        <w:tblDescription w:val="Dotation selon la durée d’emploi de 2015 à 2020"/>
      </w:tblPr>
      <w:tblGrid>
        <w:gridCol w:w="1554"/>
        <w:gridCol w:w="3120"/>
        <w:gridCol w:w="2835"/>
        <w:gridCol w:w="2835"/>
        <w:gridCol w:w="2302"/>
        <w:gridCol w:w="1744"/>
      </w:tblGrid>
      <w:tr w:rsidR="0045684E" w:rsidRPr="0045684E" w14:paraId="6D52A296" w14:textId="77777777" w:rsidTr="00081693">
        <w:trPr>
          <w:cantSplit/>
          <w:tblHeader/>
          <w:jc w:val="center"/>
        </w:trPr>
        <w:tc>
          <w:tcPr>
            <w:tcW w:w="540" w:type="pct"/>
          </w:tcPr>
          <w:p w14:paraId="5803CE29"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Exercice financier</w:t>
            </w:r>
          </w:p>
        </w:tc>
        <w:tc>
          <w:tcPr>
            <w:tcW w:w="1084" w:type="pct"/>
          </w:tcPr>
          <w:p w14:paraId="2508D782"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Activités de dotation pour des postes pour une période indéterminée</w:t>
            </w:r>
          </w:p>
        </w:tc>
        <w:tc>
          <w:tcPr>
            <w:tcW w:w="985" w:type="pct"/>
          </w:tcPr>
          <w:p w14:paraId="5F405D2F"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Activités de dotation pour des postes de durée déterminée</w:t>
            </w:r>
          </w:p>
        </w:tc>
        <w:tc>
          <w:tcPr>
            <w:tcW w:w="985" w:type="pct"/>
          </w:tcPr>
          <w:p w14:paraId="4343AE70"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Activités de dotation de durée pour les emplois occasionnels</w:t>
            </w:r>
          </w:p>
        </w:tc>
        <w:tc>
          <w:tcPr>
            <w:tcW w:w="800" w:type="pct"/>
          </w:tcPr>
          <w:p w14:paraId="1687DAC7"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Activités de dotation pour les emplois étudiants</w:t>
            </w:r>
          </w:p>
        </w:tc>
        <w:tc>
          <w:tcPr>
            <w:tcW w:w="606" w:type="pct"/>
          </w:tcPr>
          <w:p w14:paraId="74E0C0D5"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Activités de dotation totale</w:t>
            </w:r>
          </w:p>
        </w:tc>
      </w:tr>
      <w:tr w:rsidR="0045684E" w:rsidRPr="0045684E" w14:paraId="16E5D053" w14:textId="77777777" w:rsidTr="00081693">
        <w:trPr>
          <w:cantSplit/>
          <w:tblHeader/>
          <w:jc w:val="center"/>
        </w:trPr>
        <w:tc>
          <w:tcPr>
            <w:tcW w:w="540" w:type="pct"/>
          </w:tcPr>
          <w:p w14:paraId="16345466" w14:textId="77777777" w:rsidR="009E16DC" w:rsidRPr="0045684E" w:rsidRDefault="009E16DC" w:rsidP="00E657F6">
            <w:pPr>
              <w:autoSpaceDE w:val="0"/>
              <w:autoSpaceDN w:val="0"/>
              <w:adjustRightInd w:val="0"/>
              <w:rPr>
                <w:rFonts w:asciiTheme="minorHAnsi" w:eastAsia="Calibri" w:hAnsiTheme="minorHAnsi" w:cstheme="minorHAnsi"/>
                <w:sz w:val="22"/>
                <w:szCs w:val="22"/>
              </w:rPr>
            </w:pPr>
            <w:r w:rsidRPr="0045684E">
              <w:rPr>
                <w:rFonts w:asciiTheme="minorHAnsi" w:eastAsia="Calibri" w:hAnsiTheme="minorHAnsi" w:cstheme="minorHAnsi"/>
                <w:sz w:val="22"/>
                <w:szCs w:val="22"/>
              </w:rPr>
              <w:t>2015 à 2016</w:t>
            </w:r>
          </w:p>
        </w:tc>
        <w:tc>
          <w:tcPr>
            <w:tcW w:w="1084" w:type="pct"/>
          </w:tcPr>
          <w:p w14:paraId="709682ED"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50</w:t>
            </w:r>
          </w:p>
        </w:tc>
        <w:tc>
          <w:tcPr>
            <w:tcW w:w="985" w:type="pct"/>
          </w:tcPr>
          <w:p w14:paraId="5929AEF0"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16</w:t>
            </w:r>
          </w:p>
        </w:tc>
        <w:tc>
          <w:tcPr>
            <w:tcW w:w="985" w:type="pct"/>
          </w:tcPr>
          <w:p w14:paraId="2F291C4F"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17</w:t>
            </w:r>
          </w:p>
        </w:tc>
        <w:tc>
          <w:tcPr>
            <w:tcW w:w="800" w:type="pct"/>
          </w:tcPr>
          <w:p w14:paraId="572FC47C"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14</w:t>
            </w:r>
          </w:p>
        </w:tc>
        <w:tc>
          <w:tcPr>
            <w:tcW w:w="606" w:type="pct"/>
          </w:tcPr>
          <w:p w14:paraId="5E91B551"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97</w:t>
            </w:r>
          </w:p>
        </w:tc>
      </w:tr>
      <w:tr w:rsidR="0045684E" w:rsidRPr="0045684E" w14:paraId="50418F74" w14:textId="77777777" w:rsidTr="00081693">
        <w:trPr>
          <w:cantSplit/>
          <w:tblHeader/>
          <w:jc w:val="center"/>
        </w:trPr>
        <w:tc>
          <w:tcPr>
            <w:tcW w:w="540" w:type="pct"/>
          </w:tcPr>
          <w:p w14:paraId="0975C936" w14:textId="0A081965" w:rsidR="009E16DC" w:rsidRPr="0045684E" w:rsidRDefault="009E16DC" w:rsidP="00E657F6">
            <w:pPr>
              <w:tabs>
                <w:tab w:val="right" w:pos="3316"/>
              </w:tabs>
              <w:autoSpaceDE w:val="0"/>
              <w:autoSpaceDN w:val="0"/>
              <w:adjustRightInd w:val="0"/>
              <w:rPr>
                <w:rFonts w:asciiTheme="minorHAnsi" w:eastAsia="Calibri" w:hAnsiTheme="minorHAnsi" w:cstheme="minorHAnsi"/>
                <w:sz w:val="22"/>
                <w:szCs w:val="22"/>
              </w:rPr>
            </w:pPr>
            <w:r w:rsidRPr="0045684E">
              <w:rPr>
                <w:rFonts w:asciiTheme="minorHAnsi" w:eastAsia="Calibri" w:hAnsiTheme="minorHAnsi" w:cstheme="minorHAnsi"/>
                <w:sz w:val="22"/>
                <w:szCs w:val="22"/>
              </w:rPr>
              <w:t>2016 à 2017</w:t>
            </w:r>
          </w:p>
        </w:tc>
        <w:tc>
          <w:tcPr>
            <w:tcW w:w="1084" w:type="pct"/>
          </w:tcPr>
          <w:p w14:paraId="06B4D3EB"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106</w:t>
            </w:r>
          </w:p>
        </w:tc>
        <w:tc>
          <w:tcPr>
            <w:tcW w:w="985" w:type="pct"/>
          </w:tcPr>
          <w:p w14:paraId="623293CB"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35</w:t>
            </w:r>
          </w:p>
        </w:tc>
        <w:tc>
          <w:tcPr>
            <w:tcW w:w="985" w:type="pct"/>
          </w:tcPr>
          <w:p w14:paraId="495CC024"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21</w:t>
            </w:r>
          </w:p>
        </w:tc>
        <w:tc>
          <w:tcPr>
            <w:tcW w:w="800" w:type="pct"/>
          </w:tcPr>
          <w:p w14:paraId="0644066A"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9</w:t>
            </w:r>
          </w:p>
        </w:tc>
        <w:tc>
          <w:tcPr>
            <w:tcW w:w="606" w:type="pct"/>
          </w:tcPr>
          <w:p w14:paraId="7AB6C21B"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171</w:t>
            </w:r>
          </w:p>
        </w:tc>
      </w:tr>
      <w:tr w:rsidR="0045684E" w:rsidRPr="0045684E" w14:paraId="10F6F51F" w14:textId="77777777" w:rsidTr="00081693">
        <w:trPr>
          <w:cantSplit/>
          <w:tblHeader/>
          <w:jc w:val="center"/>
        </w:trPr>
        <w:tc>
          <w:tcPr>
            <w:tcW w:w="540" w:type="pct"/>
          </w:tcPr>
          <w:p w14:paraId="7E29228A" w14:textId="77777777" w:rsidR="009E16DC" w:rsidRPr="0045684E" w:rsidRDefault="009E16DC" w:rsidP="00E657F6">
            <w:pPr>
              <w:autoSpaceDE w:val="0"/>
              <w:autoSpaceDN w:val="0"/>
              <w:adjustRightInd w:val="0"/>
              <w:rPr>
                <w:rFonts w:asciiTheme="minorHAnsi" w:eastAsia="Calibri" w:hAnsiTheme="minorHAnsi" w:cstheme="minorHAnsi"/>
                <w:sz w:val="22"/>
                <w:szCs w:val="22"/>
              </w:rPr>
            </w:pPr>
            <w:r w:rsidRPr="0045684E">
              <w:rPr>
                <w:rFonts w:asciiTheme="minorHAnsi" w:eastAsia="Calibri" w:hAnsiTheme="minorHAnsi" w:cstheme="minorHAnsi"/>
                <w:sz w:val="22"/>
                <w:szCs w:val="22"/>
              </w:rPr>
              <w:t>2017 à 2018</w:t>
            </w:r>
          </w:p>
        </w:tc>
        <w:tc>
          <w:tcPr>
            <w:tcW w:w="1084" w:type="pct"/>
          </w:tcPr>
          <w:p w14:paraId="0B1EFA54"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77</w:t>
            </w:r>
          </w:p>
        </w:tc>
        <w:tc>
          <w:tcPr>
            <w:tcW w:w="985" w:type="pct"/>
          </w:tcPr>
          <w:p w14:paraId="3E761519"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21</w:t>
            </w:r>
          </w:p>
        </w:tc>
        <w:tc>
          <w:tcPr>
            <w:tcW w:w="985" w:type="pct"/>
          </w:tcPr>
          <w:p w14:paraId="53143CD8"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19</w:t>
            </w:r>
          </w:p>
        </w:tc>
        <w:tc>
          <w:tcPr>
            <w:tcW w:w="800" w:type="pct"/>
          </w:tcPr>
          <w:p w14:paraId="4A6EFF5D"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9</w:t>
            </w:r>
          </w:p>
        </w:tc>
        <w:tc>
          <w:tcPr>
            <w:tcW w:w="606" w:type="pct"/>
          </w:tcPr>
          <w:p w14:paraId="1F4764E9"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126</w:t>
            </w:r>
          </w:p>
        </w:tc>
      </w:tr>
      <w:tr w:rsidR="0045684E" w:rsidRPr="0045684E" w14:paraId="3DC9C772" w14:textId="77777777" w:rsidTr="00081693">
        <w:trPr>
          <w:cantSplit/>
          <w:tblHeader/>
          <w:jc w:val="center"/>
        </w:trPr>
        <w:tc>
          <w:tcPr>
            <w:tcW w:w="540" w:type="pct"/>
          </w:tcPr>
          <w:p w14:paraId="6D265BC2" w14:textId="77777777" w:rsidR="009E16DC" w:rsidRPr="0045684E" w:rsidRDefault="009E16DC" w:rsidP="00E657F6">
            <w:pPr>
              <w:autoSpaceDE w:val="0"/>
              <w:autoSpaceDN w:val="0"/>
              <w:adjustRightInd w:val="0"/>
              <w:rPr>
                <w:rFonts w:asciiTheme="minorHAnsi" w:eastAsia="Calibri" w:hAnsiTheme="minorHAnsi" w:cstheme="minorHAnsi"/>
                <w:sz w:val="22"/>
                <w:szCs w:val="22"/>
              </w:rPr>
            </w:pPr>
            <w:r w:rsidRPr="0045684E">
              <w:rPr>
                <w:rFonts w:asciiTheme="minorHAnsi" w:eastAsia="Calibri" w:hAnsiTheme="minorHAnsi" w:cstheme="minorHAnsi"/>
                <w:sz w:val="22"/>
                <w:szCs w:val="22"/>
              </w:rPr>
              <w:t>2018 à 2019</w:t>
            </w:r>
          </w:p>
        </w:tc>
        <w:tc>
          <w:tcPr>
            <w:tcW w:w="1084" w:type="pct"/>
          </w:tcPr>
          <w:p w14:paraId="739B15D6"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109</w:t>
            </w:r>
          </w:p>
        </w:tc>
        <w:tc>
          <w:tcPr>
            <w:tcW w:w="985" w:type="pct"/>
          </w:tcPr>
          <w:p w14:paraId="1FA1B665"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32</w:t>
            </w:r>
          </w:p>
        </w:tc>
        <w:tc>
          <w:tcPr>
            <w:tcW w:w="985" w:type="pct"/>
          </w:tcPr>
          <w:p w14:paraId="19DEF9B7"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21</w:t>
            </w:r>
          </w:p>
        </w:tc>
        <w:tc>
          <w:tcPr>
            <w:tcW w:w="800" w:type="pct"/>
          </w:tcPr>
          <w:p w14:paraId="1A1E9DBA"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11</w:t>
            </w:r>
          </w:p>
        </w:tc>
        <w:tc>
          <w:tcPr>
            <w:tcW w:w="606" w:type="pct"/>
          </w:tcPr>
          <w:p w14:paraId="23959D8C"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173</w:t>
            </w:r>
          </w:p>
        </w:tc>
      </w:tr>
      <w:tr w:rsidR="0045684E" w:rsidRPr="0045684E" w14:paraId="1EDBAAC5" w14:textId="77777777" w:rsidTr="00081693">
        <w:trPr>
          <w:cantSplit/>
          <w:tblHeader/>
          <w:jc w:val="center"/>
        </w:trPr>
        <w:tc>
          <w:tcPr>
            <w:tcW w:w="540" w:type="pct"/>
          </w:tcPr>
          <w:p w14:paraId="00F5341D" w14:textId="77777777" w:rsidR="009E16DC" w:rsidRPr="0045684E" w:rsidRDefault="009E16DC" w:rsidP="00E657F6">
            <w:pPr>
              <w:autoSpaceDE w:val="0"/>
              <w:autoSpaceDN w:val="0"/>
              <w:adjustRightInd w:val="0"/>
              <w:rPr>
                <w:rFonts w:asciiTheme="minorHAnsi" w:eastAsia="Calibri" w:hAnsiTheme="minorHAnsi" w:cstheme="minorHAnsi"/>
                <w:sz w:val="22"/>
                <w:szCs w:val="22"/>
              </w:rPr>
            </w:pPr>
            <w:r w:rsidRPr="0045684E">
              <w:rPr>
                <w:rFonts w:asciiTheme="minorHAnsi" w:eastAsia="Calibri" w:hAnsiTheme="minorHAnsi" w:cstheme="minorHAnsi"/>
                <w:sz w:val="22"/>
                <w:szCs w:val="22"/>
              </w:rPr>
              <w:t>2019 à 2020</w:t>
            </w:r>
          </w:p>
        </w:tc>
        <w:tc>
          <w:tcPr>
            <w:tcW w:w="1084" w:type="pct"/>
          </w:tcPr>
          <w:p w14:paraId="59DCEBE3"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117</w:t>
            </w:r>
          </w:p>
        </w:tc>
        <w:tc>
          <w:tcPr>
            <w:tcW w:w="985" w:type="pct"/>
          </w:tcPr>
          <w:p w14:paraId="0B525BE1"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34</w:t>
            </w:r>
          </w:p>
        </w:tc>
        <w:tc>
          <w:tcPr>
            <w:tcW w:w="985" w:type="pct"/>
          </w:tcPr>
          <w:p w14:paraId="719B81B4"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6</w:t>
            </w:r>
          </w:p>
        </w:tc>
        <w:tc>
          <w:tcPr>
            <w:tcW w:w="800" w:type="pct"/>
          </w:tcPr>
          <w:p w14:paraId="75CBD4B7"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20</w:t>
            </w:r>
          </w:p>
        </w:tc>
        <w:tc>
          <w:tcPr>
            <w:tcW w:w="606" w:type="pct"/>
          </w:tcPr>
          <w:p w14:paraId="27AC7A47" w14:textId="77777777" w:rsidR="009E16DC" w:rsidRPr="0045684E" w:rsidRDefault="009E16DC" w:rsidP="00E657F6">
            <w:pPr>
              <w:autoSpaceDE w:val="0"/>
              <w:autoSpaceDN w:val="0"/>
              <w:adjustRightInd w:val="0"/>
              <w:jc w:val="center"/>
              <w:rPr>
                <w:rFonts w:asciiTheme="minorHAnsi" w:eastAsia="Calibri" w:hAnsiTheme="minorHAnsi" w:cstheme="minorHAnsi"/>
                <w:sz w:val="22"/>
                <w:szCs w:val="22"/>
              </w:rPr>
            </w:pPr>
            <w:r w:rsidRPr="0045684E">
              <w:rPr>
                <w:rFonts w:asciiTheme="minorHAnsi" w:eastAsia="Calibri" w:hAnsiTheme="minorHAnsi" w:cstheme="minorHAnsi"/>
                <w:sz w:val="22"/>
                <w:szCs w:val="22"/>
              </w:rPr>
              <w:t>177</w:t>
            </w:r>
          </w:p>
        </w:tc>
      </w:tr>
    </w:tbl>
    <w:p w14:paraId="5442B01C" w14:textId="77777777" w:rsidR="00482550" w:rsidRDefault="00482550" w:rsidP="009E16DC">
      <w:pPr>
        <w:contextualSpacing/>
        <w:rPr>
          <w:rStyle w:val="Strong"/>
          <w:rFonts w:asciiTheme="minorHAnsi" w:eastAsia="Calibri" w:hAnsiTheme="minorHAnsi" w:cstheme="minorHAnsi"/>
          <w:sz w:val="22"/>
          <w:szCs w:val="18"/>
        </w:rPr>
      </w:pPr>
    </w:p>
    <w:p w14:paraId="7D3FAADC" w14:textId="6A9AEB53" w:rsidR="009E16DC" w:rsidRPr="0045684E" w:rsidRDefault="009E16DC" w:rsidP="009E16DC">
      <w:pPr>
        <w:contextualSpacing/>
        <w:rPr>
          <w:rStyle w:val="Strong"/>
          <w:rFonts w:asciiTheme="minorHAnsi" w:eastAsia="Calibri" w:hAnsiTheme="minorHAnsi" w:cstheme="minorHAnsi"/>
          <w:sz w:val="22"/>
          <w:szCs w:val="18"/>
        </w:rPr>
      </w:pPr>
      <w:r w:rsidRPr="0045684E">
        <w:rPr>
          <w:rStyle w:val="Strong"/>
          <w:rFonts w:asciiTheme="minorHAnsi" w:eastAsia="Calibri" w:hAnsiTheme="minorHAnsi" w:cstheme="minorHAnsi"/>
          <w:sz w:val="22"/>
          <w:szCs w:val="18"/>
        </w:rPr>
        <w:t>Sondage sur la dotation et l’impartialité politique (2018) – Principales constatations</w:t>
      </w:r>
    </w:p>
    <w:p w14:paraId="0E8AB615" w14:textId="77777777" w:rsidR="009E16DC" w:rsidRPr="0045684E" w:rsidRDefault="009E16DC" w:rsidP="0045684E">
      <w:pPr>
        <w:numPr>
          <w:ilvl w:val="0"/>
          <w:numId w:val="27"/>
        </w:numPr>
        <w:contextualSpacing/>
        <w:jc w:val="both"/>
        <w:rPr>
          <w:rFonts w:asciiTheme="minorHAnsi" w:hAnsiTheme="minorHAnsi" w:cstheme="minorHAnsi"/>
          <w:sz w:val="22"/>
          <w:szCs w:val="22"/>
          <w:lang w:eastAsia="en-CA"/>
        </w:rPr>
      </w:pPr>
      <w:r w:rsidRPr="0045684E">
        <w:rPr>
          <w:rFonts w:asciiTheme="minorHAnsi" w:hAnsiTheme="minorHAnsi" w:cstheme="minorHAnsi"/>
          <w:sz w:val="22"/>
          <w:szCs w:val="22"/>
          <w:lang w:eastAsia="en-CA"/>
        </w:rPr>
        <w:t xml:space="preserve">74,6 des </w:t>
      </w:r>
      <w:r w:rsidRPr="0045684E">
        <w:rPr>
          <w:rStyle w:val="Strong"/>
          <w:rFonts w:asciiTheme="minorHAnsi" w:hAnsiTheme="minorHAnsi" w:cstheme="minorHAnsi"/>
          <w:sz w:val="22"/>
          <w:szCs w:val="18"/>
        </w:rPr>
        <w:t>employés</w:t>
      </w:r>
      <w:r w:rsidRPr="0045684E">
        <w:rPr>
          <w:rFonts w:asciiTheme="minorHAnsi" w:hAnsiTheme="minorHAnsi" w:cstheme="minorHAnsi"/>
          <w:sz w:val="22"/>
          <w:szCs w:val="22"/>
          <w:lang w:eastAsia="en-CA"/>
        </w:rPr>
        <w:t xml:space="preserve"> estiment que les personnes embauchées peuvent effectuer le travail, comparativement à 67,1% dans les organisations de même taille et à 53,8% dans la fonction publique fédérale.</w:t>
      </w:r>
    </w:p>
    <w:p w14:paraId="7A77F65A" w14:textId="77777777" w:rsidR="009E16DC" w:rsidRPr="0045684E" w:rsidRDefault="009E16DC" w:rsidP="0045684E">
      <w:pPr>
        <w:numPr>
          <w:ilvl w:val="0"/>
          <w:numId w:val="27"/>
        </w:numPr>
        <w:contextualSpacing/>
        <w:jc w:val="both"/>
        <w:rPr>
          <w:rFonts w:asciiTheme="minorHAnsi" w:hAnsiTheme="minorHAnsi" w:cstheme="minorHAnsi"/>
          <w:sz w:val="22"/>
          <w:szCs w:val="22"/>
          <w:lang w:eastAsia="en-CA"/>
        </w:rPr>
      </w:pPr>
      <w:r w:rsidRPr="0045684E">
        <w:rPr>
          <w:rFonts w:asciiTheme="minorHAnsi" w:hAnsiTheme="minorHAnsi" w:cstheme="minorHAnsi"/>
          <w:sz w:val="22"/>
          <w:szCs w:val="22"/>
          <w:lang w:eastAsia="en-CA"/>
        </w:rPr>
        <w:lastRenderedPageBreak/>
        <w:t xml:space="preserve">67,7% des </w:t>
      </w:r>
      <w:r w:rsidRPr="0045684E">
        <w:rPr>
          <w:rStyle w:val="Strong"/>
          <w:rFonts w:asciiTheme="minorHAnsi" w:hAnsiTheme="minorHAnsi" w:cstheme="minorHAnsi"/>
          <w:sz w:val="22"/>
          <w:szCs w:val="18"/>
        </w:rPr>
        <w:t>gestionnaires</w:t>
      </w:r>
      <w:r w:rsidRPr="0045684E">
        <w:rPr>
          <w:rFonts w:asciiTheme="minorHAnsi" w:hAnsiTheme="minorHAnsi" w:cstheme="minorHAnsi"/>
          <w:sz w:val="22"/>
          <w:szCs w:val="22"/>
          <w:lang w:eastAsia="en-CA"/>
        </w:rPr>
        <w:t xml:space="preserve"> estiment que la Nouvelle orientation en dotation a amélioré la façon d'embaucher et de nommer les candidats au sein de leur organisation, comparativement à 69,7% dans les organisations de même taille et à 56,1% dans la fonction publique fédérale.</w:t>
      </w:r>
    </w:p>
    <w:p w14:paraId="6732D9C6" w14:textId="77777777" w:rsidR="009E16DC" w:rsidRPr="0045684E" w:rsidRDefault="009E16DC" w:rsidP="009E16DC">
      <w:pPr>
        <w:numPr>
          <w:ilvl w:val="0"/>
          <w:numId w:val="27"/>
        </w:numPr>
        <w:spacing w:before="100" w:beforeAutospacing="1" w:after="100" w:afterAutospacing="1"/>
        <w:contextualSpacing/>
        <w:jc w:val="both"/>
        <w:rPr>
          <w:rFonts w:asciiTheme="minorHAnsi" w:hAnsiTheme="minorHAnsi" w:cstheme="minorHAnsi"/>
          <w:sz w:val="22"/>
          <w:szCs w:val="22"/>
          <w:lang w:eastAsia="en-CA"/>
        </w:rPr>
      </w:pPr>
      <w:r w:rsidRPr="0045684E">
        <w:rPr>
          <w:rFonts w:asciiTheme="minorHAnsi" w:hAnsiTheme="minorHAnsi" w:cstheme="minorHAnsi"/>
          <w:sz w:val="22"/>
          <w:szCs w:val="22"/>
          <w:lang w:eastAsia="en-CA"/>
        </w:rPr>
        <w:t xml:space="preserve">82,6% des </w:t>
      </w:r>
      <w:r w:rsidRPr="0045684E">
        <w:rPr>
          <w:rStyle w:val="Strong"/>
          <w:rFonts w:asciiTheme="minorHAnsi" w:hAnsiTheme="minorHAnsi" w:cstheme="minorHAnsi"/>
          <w:sz w:val="22"/>
          <w:szCs w:val="18"/>
        </w:rPr>
        <w:t>gestionnaires</w:t>
      </w:r>
      <w:r w:rsidRPr="0045684E">
        <w:rPr>
          <w:rFonts w:asciiTheme="minorHAnsi" w:hAnsiTheme="minorHAnsi" w:cstheme="minorHAnsi"/>
          <w:sz w:val="22"/>
          <w:szCs w:val="22"/>
          <w:lang w:eastAsia="en-CA"/>
        </w:rPr>
        <w:t xml:space="preserve"> estiment qu'au sein de leur organisation, le processus administratif visant à pourvoir un poste est </w:t>
      </w:r>
      <w:r w:rsidRPr="0045684E">
        <w:rPr>
          <w:rStyle w:val="Strong"/>
          <w:rFonts w:asciiTheme="minorHAnsi" w:hAnsiTheme="minorHAnsi" w:cstheme="minorHAnsi"/>
          <w:sz w:val="22"/>
          <w:szCs w:val="18"/>
        </w:rPr>
        <w:t>lourd,</w:t>
      </w:r>
      <w:r w:rsidRPr="0045684E">
        <w:rPr>
          <w:rFonts w:asciiTheme="minorHAnsi" w:hAnsiTheme="minorHAnsi" w:cstheme="minorHAnsi"/>
          <w:sz w:val="20"/>
          <w:lang w:eastAsia="en-CA"/>
        </w:rPr>
        <w:t xml:space="preserve"> </w:t>
      </w:r>
      <w:r w:rsidRPr="0045684E">
        <w:rPr>
          <w:rFonts w:asciiTheme="minorHAnsi" w:hAnsiTheme="minorHAnsi" w:cstheme="minorHAnsi"/>
          <w:sz w:val="22"/>
          <w:szCs w:val="22"/>
          <w:lang w:eastAsia="en-CA"/>
        </w:rPr>
        <w:t>comparativement à 79,3% dans les organisations de même taille et à 87,9% dans la fonction publique fédérale.</w:t>
      </w:r>
    </w:p>
    <w:p w14:paraId="75A61718" w14:textId="77777777" w:rsidR="00DF0000" w:rsidRDefault="00DF0000" w:rsidP="00306C9A">
      <w:pPr>
        <w:rPr>
          <w:rFonts w:ascii="Arial" w:eastAsia="Calibri" w:hAnsi="Arial"/>
          <w:sz w:val="22"/>
          <w:szCs w:val="22"/>
        </w:rPr>
        <w:sectPr w:rsidR="00DF0000" w:rsidSect="00D85628">
          <w:pgSz w:w="15840" w:h="12240" w:orient="landscape"/>
          <w:pgMar w:top="629" w:right="720" w:bottom="720" w:left="720" w:header="709" w:footer="709" w:gutter="0"/>
          <w:cols w:space="708"/>
          <w:titlePg/>
          <w:docGrid w:linePitch="360"/>
        </w:sectPr>
      </w:pPr>
    </w:p>
    <w:p w14:paraId="4AD1BCDA" w14:textId="77777777" w:rsidR="0045684E" w:rsidRPr="00482550" w:rsidRDefault="0045684E" w:rsidP="0045684E">
      <w:pPr>
        <w:pStyle w:val="Heading1"/>
        <w:spacing w:before="120" w:after="120"/>
        <w:rPr>
          <w:rFonts w:eastAsia="Calibri"/>
          <w:sz w:val="40"/>
          <w:szCs w:val="40"/>
        </w:rPr>
      </w:pPr>
      <w:r w:rsidRPr="00306B4C">
        <w:rPr>
          <w:rFonts w:eastAsia="Calibri"/>
          <w:sz w:val="40"/>
          <w:szCs w:val="40"/>
        </w:rPr>
        <w:lastRenderedPageBreak/>
        <w:t>Embauche d'étudiants</w:t>
      </w:r>
    </w:p>
    <w:p w14:paraId="44D92EE0" w14:textId="77777777" w:rsidR="0045684E" w:rsidRDefault="00306C9A" w:rsidP="0045684E">
      <w:pPr>
        <w:keepNext/>
        <w:jc w:val="center"/>
      </w:pPr>
      <w:r w:rsidRPr="00306C9A">
        <w:rPr>
          <w:rFonts w:ascii="Arial" w:eastAsia="Calibri" w:hAnsi="Arial"/>
          <w:noProof/>
          <w:sz w:val="22"/>
          <w:szCs w:val="22"/>
          <w:lang w:eastAsia="en-CA"/>
        </w:rPr>
        <w:drawing>
          <wp:inline distT="0" distB="0" distL="0" distR="0" wp14:anchorId="61D35442" wp14:editId="6502124C">
            <wp:extent cx="5648400" cy="3049200"/>
            <wp:effectExtent l="0" t="0" r="9525" b="18415"/>
            <wp:docPr id="17" name="Chart 17" descr="Embauche d'étudiant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22C8EF5" w14:textId="594B6FA8" w:rsidR="00306C9A" w:rsidRPr="0045684E" w:rsidRDefault="0045684E" w:rsidP="0045684E">
      <w:pPr>
        <w:pStyle w:val="Caption"/>
        <w:spacing w:after="0"/>
        <w:jc w:val="center"/>
        <w:rPr>
          <w:rFonts w:asciiTheme="minorHAnsi" w:eastAsia="Calibri" w:hAnsiTheme="minorHAnsi" w:cstheme="minorHAnsi"/>
          <w:i w:val="0"/>
          <w:iCs w:val="0"/>
          <w:color w:val="auto"/>
          <w:sz w:val="22"/>
          <w:szCs w:val="22"/>
        </w:rPr>
      </w:pPr>
      <w:r w:rsidRPr="0045684E">
        <w:rPr>
          <w:rFonts w:asciiTheme="minorHAnsi" w:hAnsiTheme="minorHAnsi" w:cstheme="minorHAnsi"/>
          <w:i w:val="0"/>
          <w:iCs w:val="0"/>
          <w:color w:val="auto"/>
        </w:rPr>
        <w:t xml:space="preserve">Figure </w:t>
      </w:r>
      <w:r w:rsidRPr="0045684E">
        <w:rPr>
          <w:rFonts w:asciiTheme="minorHAnsi" w:hAnsiTheme="minorHAnsi" w:cstheme="minorHAnsi"/>
          <w:i w:val="0"/>
          <w:iCs w:val="0"/>
          <w:color w:val="auto"/>
        </w:rPr>
        <w:fldChar w:fldCharType="begin"/>
      </w:r>
      <w:r w:rsidRPr="0045684E">
        <w:rPr>
          <w:rFonts w:asciiTheme="minorHAnsi" w:hAnsiTheme="minorHAnsi" w:cstheme="minorHAnsi"/>
          <w:i w:val="0"/>
          <w:iCs w:val="0"/>
          <w:color w:val="auto"/>
        </w:rPr>
        <w:instrText xml:space="preserve"> SEQ Figure \* ARABIC </w:instrText>
      </w:r>
      <w:r w:rsidRPr="0045684E">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10</w:t>
      </w:r>
      <w:r w:rsidRPr="0045684E">
        <w:rPr>
          <w:rFonts w:asciiTheme="minorHAnsi" w:hAnsiTheme="minorHAnsi" w:cstheme="minorHAnsi"/>
          <w:i w:val="0"/>
          <w:iCs w:val="0"/>
          <w:color w:val="auto"/>
        </w:rPr>
        <w:fldChar w:fldCharType="end"/>
      </w:r>
      <w:r w:rsidRPr="0045684E">
        <w:rPr>
          <w:rFonts w:asciiTheme="minorHAnsi" w:hAnsiTheme="minorHAnsi" w:cstheme="minorHAnsi"/>
          <w:i w:val="0"/>
          <w:iCs w:val="0"/>
          <w:color w:val="auto"/>
        </w:rPr>
        <w:t xml:space="preserve"> - Embauche d'étudiants</w:t>
      </w:r>
    </w:p>
    <w:p w14:paraId="518F601A" w14:textId="29EFF7EB" w:rsidR="0045684E" w:rsidRPr="0045684E" w:rsidRDefault="0045684E" w:rsidP="0045684E">
      <w:pPr>
        <w:pStyle w:val="Caption"/>
        <w:keepNext/>
        <w:spacing w:before="240" w:after="0"/>
        <w:jc w:val="center"/>
        <w:rPr>
          <w:rFonts w:asciiTheme="minorHAnsi" w:hAnsiTheme="minorHAnsi" w:cstheme="minorHAnsi"/>
          <w:i w:val="0"/>
          <w:iCs w:val="0"/>
          <w:color w:val="auto"/>
        </w:rPr>
      </w:pPr>
      <w:r w:rsidRPr="0045684E">
        <w:rPr>
          <w:rFonts w:asciiTheme="minorHAnsi" w:hAnsiTheme="minorHAnsi" w:cstheme="minorHAnsi"/>
          <w:i w:val="0"/>
          <w:iCs w:val="0"/>
          <w:color w:val="auto"/>
        </w:rPr>
        <w:t xml:space="preserve">Tableau </w:t>
      </w:r>
      <w:r w:rsidRPr="0045684E">
        <w:rPr>
          <w:rFonts w:asciiTheme="minorHAnsi" w:hAnsiTheme="minorHAnsi" w:cstheme="minorHAnsi"/>
          <w:i w:val="0"/>
          <w:iCs w:val="0"/>
          <w:color w:val="auto"/>
        </w:rPr>
        <w:fldChar w:fldCharType="begin"/>
      </w:r>
      <w:r w:rsidRPr="0045684E">
        <w:rPr>
          <w:rFonts w:asciiTheme="minorHAnsi" w:hAnsiTheme="minorHAnsi" w:cstheme="minorHAnsi"/>
          <w:i w:val="0"/>
          <w:iCs w:val="0"/>
          <w:color w:val="auto"/>
        </w:rPr>
        <w:instrText xml:space="preserve"> SEQ Tableau \* ARABIC </w:instrText>
      </w:r>
      <w:r w:rsidRPr="0045684E">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12</w:t>
      </w:r>
      <w:r w:rsidRPr="0045684E">
        <w:rPr>
          <w:rFonts w:asciiTheme="minorHAnsi" w:hAnsiTheme="minorHAnsi" w:cstheme="minorHAnsi"/>
          <w:i w:val="0"/>
          <w:iCs w:val="0"/>
          <w:color w:val="auto"/>
        </w:rPr>
        <w:fldChar w:fldCharType="end"/>
      </w:r>
      <w:r w:rsidRPr="0045684E">
        <w:rPr>
          <w:rFonts w:asciiTheme="minorHAnsi" w:hAnsiTheme="minorHAnsi" w:cstheme="minorHAnsi"/>
          <w:i w:val="0"/>
          <w:iCs w:val="0"/>
          <w:color w:val="auto"/>
        </w:rPr>
        <w:t xml:space="preserve"> - Activités d’embauche d’étudiants selon le programme de recrutement et l’exercice financier</w:t>
      </w:r>
    </w:p>
    <w:tbl>
      <w:tblPr>
        <w:tblStyle w:val="TableGrid2"/>
        <w:tblW w:w="5000" w:type="pct"/>
        <w:jc w:val="center"/>
        <w:tblLook w:val="0020" w:firstRow="1" w:lastRow="0" w:firstColumn="0" w:lastColumn="0" w:noHBand="0" w:noVBand="0"/>
        <w:tblDescription w:val="Embauches dans le cadre de programmes d’étudiants de 2015 à 2020"/>
      </w:tblPr>
      <w:tblGrid>
        <w:gridCol w:w="1838"/>
        <w:gridCol w:w="3402"/>
        <w:gridCol w:w="4536"/>
        <w:gridCol w:w="3120"/>
        <w:gridCol w:w="1494"/>
      </w:tblGrid>
      <w:tr w:rsidR="0045684E" w:rsidRPr="0045684E" w14:paraId="1E8ECBBE" w14:textId="77777777" w:rsidTr="00081693">
        <w:trPr>
          <w:cantSplit/>
          <w:tblHeader/>
          <w:jc w:val="center"/>
        </w:trPr>
        <w:tc>
          <w:tcPr>
            <w:tcW w:w="639" w:type="pct"/>
          </w:tcPr>
          <w:p w14:paraId="19728CBA"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Exercice financier</w:t>
            </w:r>
          </w:p>
        </w:tc>
        <w:tc>
          <w:tcPr>
            <w:tcW w:w="1182" w:type="pct"/>
          </w:tcPr>
          <w:p w14:paraId="5A8D73C4"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 xml:space="preserve">Programme fédéral d’expérience de travail étudiant </w:t>
            </w:r>
          </w:p>
        </w:tc>
        <w:tc>
          <w:tcPr>
            <w:tcW w:w="1576" w:type="pct"/>
          </w:tcPr>
          <w:p w14:paraId="7F9F08E1"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 xml:space="preserve">Programme postsecondaire d'enseignement coopératif/de stages </w:t>
            </w:r>
          </w:p>
        </w:tc>
        <w:tc>
          <w:tcPr>
            <w:tcW w:w="1084" w:type="pct"/>
          </w:tcPr>
          <w:p w14:paraId="1324A869"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Programme des adjoints de recherche</w:t>
            </w:r>
          </w:p>
        </w:tc>
        <w:tc>
          <w:tcPr>
            <w:tcW w:w="519" w:type="pct"/>
          </w:tcPr>
          <w:p w14:paraId="005D839D" w14:textId="77777777" w:rsidR="009E16DC" w:rsidRPr="0045684E" w:rsidRDefault="009E16DC" w:rsidP="0045684E">
            <w:pPr>
              <w:pStyle w:val="TableTitle"/>
              <w:rPr>
                <w:rFonts w:eastAsia="Calibri"/>
                <w:color w:val="auto"/>
                <w:sz w:val="22"/>
                <w:szCs w:val="22"/>
              </w:rPr>
            </w:pPr>
            <w:r w:rsidRPr="0045684E">
              <w:rPr>
                <w:rFonts w:eastAsia="Calibri"/>
                <w:color w:val="auto"/>
                <w:sz w:val="22"/>
                <w:szCs w:val="22"/>
              </w:rPr>
              <w:t>Total</w:t>
            </w:r>
          </w:p>
        </w:tc>
      </w:tr>
      <w:tr w:rsidR="009E16DC" w:rsidRPr="00C17343" w14:paraId="50B91308" w14:textId="77777777" w:rsidTr="00081693">
        <w:trPr>
          <w:cantSplit/>
          <w:tblHeader/>
          <w:jc w:val="center"/>
        </w:trPr>
        <w:tc>
          <w:tcPr>
            <w:tcW w:w="639" w:type="pct"/>
          </w:tcPr>
          <w:p w14:paraId="672B0A38"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2015 à 2016</w:t>
            </w:r>
          </w:p>
        </w:tc>
        <w:tc>
          <w:tcPr>
            <w:tcW w:w="1182" w:type="pct"/>
          </w:tcPr>
          <w:p w14:paraId="7933F888"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w:t>
            </w:r>
          </w:p>
        </w:tc>
        <w:tc>
          <w:tcPr>
            <w:tcW w:w="1576" w:type="pct"/>
          </w:tcPr>
          <w:p w14:paraId="59D272B7"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13</w:t>
            </w:r>
          </w:p>
        </w:tc>
        <w:tc>
          <w:tcPr>
            <w:tcW w:w="1084" w:type="pct"/>
          </w:tcPr>
          <w:p w14:paraId="7987B350"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0</w:t>
            </w:r>
          </w:p>
        </w:tc>
        <w:tc>
          <w:tcPr>
            <w:tcW w:w="519" w:type="pct"/>
          </w:tcPr>
          <w:p w14:paraId="65F70649"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14</w:t>
            </w:r>
          </w:p>
        </w:tc>
      </w:tr>
      <w:tr w:rsidR="009E16DC" w:rsidRPr="00C17343" w14:paraId="58554037" w14:textId="77777777" w:rsidTr="00081693">
        <w:trPr>
          <w:cantSplit/>
          <w:tblHeader/>
          <w:jc w:val="center"/>
        </w:trPr>
        <w:tc>
          <w:tcPr>
            <w:tcW w:w="639" w:type="pct"/>
          </w:tcPr>
          <w:p w14:paraId="671C050D"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2016 à 2017</w:t>
            </w:r>
          </w:p>
        </w:tc>
        <w:tc>
          <w:tcPr>
            <w:tcW w:w="1182" w:type="pct"/>
          </w:tcPr>
          <w:p w14:paraId="38FABA2F"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w:t>
            </w:r>
          </w:p>
        </w:tc>
        <w:tc>
          <w:tcPr>
            <w:tcW w:w="1576" w:type="pct"/>
          </w:tcPr>
          <w:p w14:paraId="05C57D96"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8</w:t>
            </w:r>
          </w:p>
        </w:tc>
        <w:tc>
          <w:tcPr>
            <w:tcW w:w="1084" w:type="pct"/>
          </w:tcPr>
          <w:p w14:paraId="046F952C"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0</w:t>
            </w:r>
          </w:p>
        </w:tc>
        <w:tc>
          <w:tcPr>
            <w:tcW w:w="519" w:type="pct"/>
          </w:tcPr>
          <w:p w14:paraId="47BA7CDF"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9</w:t>
            </w:r>
          </w:p>
        </w:tc>
      </w:tr>
      <w:tr w:rsidR="009E16DC" w:rsidRPr="00C17343" w14:paraId="1B1C6B3F" w14:textId="77777777" w:rsidTr="00081693">
        <w:trPr>
          <w:cantSplit/>
          <w:tblHeader/>
          <w:jc w:val="center"/>
        </w:trPr>
        <w:tc>
          <w:tcPr>
            <w:tcW w:w="639" w:type="pct"/>
          </w:tcPr>
          <w:p w14:paraId="598D6994"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2017 à 2018</w:t>
            </w:r>
          </w:p>
        </w:tc>
        <w:tc>
          <w:tcPr>
            <w:tcW w:w="1182" w:type="pct"/>
          </w:tcPr>
          <w:p w14:paraId="21182650"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4</w:t>
            </w:r>
          </w:p>
        </w:tc>
        <w:tc>
          <w:tcPr>
            <w:tcW w:w="1576" w:type="pct"/>
          </w:tcPr>
          <w:p w14:paraId="368292D8"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5</w:t>
            </w:r>
          </w:p>
        </w:tc>
        <w:tc>
          <w:tcPr>
            <w:tcW w:w="1084" w:type="pct"/>
          </w:tcPr>
          <w:p w14:paraId="4A4842C2"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0</w:t>
            </w:r>
          </w:p>
        </w:tc>
        <w:tc>
          <w:tcPr>
            <w:tcW w:w="519" w:type="pct"/>
          </w:tcPr>
          <w:p w14:paraId="5135E198"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9</w:t>
            </w:r>
          </w:p>
        </w:tc>
      </w:tr>
      <w:tr w:rsidR="009E16DC" w:rsidRPr="00C17343" w14:paraId="4E13830B" w14:textId="77777777" w:rsidTr="00081693">
        <w:trPr>
          <w:cantSplit/>
          <w:tblHeader/>
          <w:jc w:val="center"/>
        </w:trPr>
        <w:tc>
          <w:tcPr>
            <w:tcW w:w="639" w:type="pct"/>
          </w:tcPr>
          <w:p w14:paraId="2C4B205C"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2018 à 2019</w:t>
            </w:r>
          </w:p>
        </w:tc>
        <w:tc>
          <w:tcPr>
            <w:tcW w:w="1182" w:type="pct"/>
          </w:tcPr>
          <w:p w14:paraId="59254668"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6</w:t>
            </w:r>
          </w:p>
        </w:tc>
        <w:tc>
          <w:tcPr>
            <w:tcW w:w="1576" w:type="pct"/>
          </w:tcPr>
          <w:p w14:paraId="060AED95"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5</w:t>
            </w:r>
          </w:p>
        </w:tc>
        <w:tc>
          <w:tcPr>
            <w:tcW w:w="1084" w:type="pct"/>
          </w:tcPr>
          <w:p w14:paraId="6C4932E3"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0</w:t>
            </w:r>
          </w:p>
        </w:tc>
        <w:tc>
          <w:tcPr>
            <w:tcW w:w="519" w:type="pct"/>
          </w:tcPr>
          <w:p w14:paraId="4F320C6D"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11</w:t>
            </w:r>
          </w:p>
        </w:tc>
      </w:tr>
      <w:tr w:rsidR="009E16DC" w:rsidRPr="00C17343" w14:paraId="0522950A" w14:textId="77777777" w:rsidTr="00081693">
        <w:trPr>
          <w:cantSplit/>
          <w:tblHeader/>
          <w:jc w:val="center"/>
        </w:trPr>
        <w:tc>
          <w:tcPr>
            <w:tcW w:w="639" w:type="pct"/>
          </w:tcPr>
          <w:p w14:paraId="5D9727D8" w14:textId="77777777" w:rsidR="009E16DC" w:rsidRPr="00C17343" w:rsidRDefault="009E16DC" w:rsidP="00E657F6">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2019 à 2020</w:t>
            </w:r>
          </w:p>
        </w:tc>
        <w:tc>
          <w:tcPr>
            <w:tcW w:w="1182" w:type="pct"/>
          </w:tcPr>
          <w:p w14:paraId="0AE06410"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10</w:t>
            </w:r>
          </w:p>
        </w:tc>
        <w:tc>
          <w:tcPr>
            <w:tcW w:w="1576" w:type="pct"/>
          </w:tcPr>
          <w:p w14:paraId="5D6B5E14"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10</w:t>
            </w:r>
          </w:p>
        </w:tc>
        <w:tc>
          <w:tcPr>
            <w:tcW w:w="1084" w:type="pct"/>
          </w:tcPr>
          <w:p w14:paraId="7B04FBCE"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0</w:t>
            </w:r>
          </w:p>
        </w:tc>
        <w:tc>
          <w:tcPr>
            <w:tcW w:w="519" w:type="pct"/>
          </w:tcPr>
          <w:p w14:paraId="093D062D" w14:textId="77777777" w:rsidR="009E16DC" w:rsidRPr="00C17343" w:rsidRDefault="009E16DC" w:rsidP="00E657F6">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20</w:t>
            </w:r>
          </w:p>
        </w:tc>
      </w:tr>
    </w:tbl>
    <w:p w14:paraId="7A4788D2" w14:textId="2558D45B" w:rsidR="00DF0000" w:rsidRDefault="00DF0000" w:rsidP="00306C9A">
      <w:pPr>
        <w:rPr>
          <w:rFonts w:ascii="Arial" w:eastAsia="Calibri" w:hAnsi="Arial"/>
          <w:sz w:val="22"/>
          <w:szCs w:val="22"/>
        </w:rPr>
      </w:pPr>
    </w:p>
    <w:p w14:paraId="158FBA0F" w14:textId="77777777" w:rsidR="00DF0000" w:rsidRDefault="00DF0000" w:rsidP="00306C9A">
      <w:pPr>
        <w:rPr>
          <w:rFonts w:ascii="Arial" w:eastAsia="Calibri" w:hAnsi="Arial"/>
          <w:sz w:val="22"/>
          <w:szCs w:val="22"/>
        </w:rPr>
        <w:sectPr w:rsidR="00DF0000" w:rsidSect="00D85628">
          <w:pgSz w:w="15840" w:h="12240" w:orient="landscape"/>
          <w:pgMar w:top="629" w:right="720" w:bottom="720" w:left="720" w:header="709" w:footer="709" w:gutter="0"/>
          <w:cols w:space="708"/>
          <w:titlePg/>
          <w:docGrid w:linePitch="360"/>
        </w:sectPr>
      </w:pPr>
    </w:p>
    <w:p w14:paraId="5FD4EFC4" w14:textId="77777777" w:rsidR="00374BD1" w:rsidRPr="00374BD1" w:rsidRDefault="00374BD1" w:rsidP="00374BD1">
      <w:pPr>
        <w:pStyle w:val="Heading1"/>
        <w:spacing w:before="120" w:after="120"/>
        <w:rPr>
          <w:rFonts w:eastAsia="Calibri"/>
          <w:sz w:val="40"/>
          <w:szCs w:val="40"/>
        </w:rPr>
      </w:pPr>
      <w:r w:rsidRPr="00374BD1">
        <w:rPr>
          <w:rFonts w:eastAsia="Calibri"/>
          <w:sz w:val="40"/>
          <w:szCs w:val="40"/>
        </w:rPr>
        <w:lastRenderedPageBreak/>
        <w:t>Activités d'embauche externe pour une période indéterminée et d'une durée déterminée : Programme de recrutement postsecondaire et embauche d'anciens étudiants</w:t>
      </w:r>
    </w:p>
    <w:p w14:paraId="4E3F52F4" w14:textId="77777777" w:rsidR="00374BD1" w:rsidRDefault="00DF0000" w:rsidP="00374BD1">
      <w:pPr>
        <w:keepNext/>
        <w:jc w:val="center"/>
      </w:pPr>
      <w:r w:rsidRPr="00306C9A">
        <w:rPr>
          <w:rFonts w:ascii="Arial" w:eastAsia="Calibri" w:hAnsi="Arial"/>
          <w:noProof/>
          <w:sz w:val="22"/>
          <w:szCs w:val="22"/>
          <w:lang w:eastAsia="en-CA"/>
        </w:rPr>
        <w:drawing>
          <wp:inline distT="0" distB="0" distL="0" distR="0" wp14:anchorId="11FC8013" wp14:editId="1B84DBD5">
            <wp:extent cx="5648400" cy="3049200"/>
            <wp:effectExtent l="0" t="0" r="9525" b="18415"/>
            <wp:docPr id="2" name="Chart 2" descr="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821B71A" w14:textId="5F9BACEB" w:rsidR="00DF0000" w:rsidRPr="001F7512" w:rsidRDefault="00374BD1" w:rsidP="001F7512">
      <w:pPr>
        <w:pStyle w:val="Caption"/>
        <w:spacing w:after="0"/>
        <w:jc w:val="center"/>
        <w:rPr>
          <w:rFonts w:asciiTheme="minorHAnsi" w:eastAsia="Calibri" w:hAnsiTheme="minorHAnsi" w:cstheme="minorHAnsi"/>
          <w:i w:val="0"/>
          <w:iCs w:val="0"/>
          <w:color w:val="auto"/>
          <w:sz w:val="22"/>
          <w:szCs w:val="22"/>
        </w:rPr>
      </w:pPr>
      <w:r w:rsidRPr="001F7512">
        <w:rPr>
          <w:rFonts w:asciiTheme="minorHAnsi" w:hAnsiTheme="minorHAnsi" w:cstheme="minorHAnsi"/>
          <w:i w:val="0"/>
          <w:iCs w:val="0"/>
          <w:color w:val="auto"/>
        </w:rPr>
        <w:t xml:space="preserve">Figure </w:t>
      </w:r>
      <w:r w:rsidRPr="001F7512">
        <w:rPr>
          <w:rFonts w:asciiTheme="minorHAnsi" w:hAnsiTheme="minorHAnsi" w:cstheme="minorHAnsi"/>
          <w:i w:val="0"/>
          <w:iCs w:val="0"/>
          <w:color w:val="auto"/>
        </w:rPr>
        <w:fldChar w:fldCharType="begin"/>
      </w:r>
      <w:r w:rsidRPr="001F7512">
        <w:rPr>
          <w:rFonts w:asciiTheme="minorHAnsi" w:hAnsiTheme="minorHAnsi" w:cstheme="minorHAnsi"/>
          <w:i w:val="0"/>
          <w:iCs w:val="0"/>
          <w:color w:val="auto"/>
        </w:rPr>
        <w:instrText xml:space="preserve"> SEQ Figure \* ARABIC </w:instrText>
      </w:r>
      <w:r w:rsidRPr="001F7512">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11</w:t>
      </w:r>
      <w:r w:rsidRPr="001F7512">
        <w:rPr>
          <w:rFonts w:asciiTheme="minorHAnsi" w:hAnsiTheme="minorHAnsi" w:cstheme="minorHAnsi"/>
          <w:i w:val="0"/>
          <w:iCs w:val="0"/>
          <w:color w:val="auto"/>
        </w:rPr>
        <w:fldChar w:fldCharType="end"/>
      </w:r>
      <w:r w:rsidRPr="001F7512">
        <w:rPr>
          <w:rFonts w:asciiTheme="minorHAnsi" w:hAnsiTheme="minorHAnsi" w:cstheme="minorHAnsi"/>
          <w:i w:val="0"/>
          <w:iCs w:val="0"/>
          <w:color w:val="auto"/>
        </w:rPr>
        <w:t xml:space="preserve"> - Activités d'embauche externe pour une période indéterminée et d'une durée déterminée : Programme de recrutement postsecondaire et embauche d'anciens étudiants</w:t>
      </w:r>
    </w:p>
    <w:p w14:paraId="25C46504" w14:textId="32C7378D" w:rsidR="00374BD1" w:rsidRPr="001F7512" w:rsidRDefault="00374BD1" w:rsidP="001F7512">
      <w:pPr>
        <w:pStyle w:val="Caption"/>
        <w:keepNext/>
        <w:spacing w:before="240" w:after="0"/>
        <w:jc w:val="center"/>
        <w:rPr>
          <w:rFonts w:asciiTheme="minorHAnsi" w:hAnsiTheme="minorHAnsi" w:cstheme="minorHAnsi"/>
          <w:i w:val="0"/>
          <w:iCs w:val="0"/>
          <w:color w:val="auto"/>
        </w:rPr>
      </w:pPr>
      <w:r w:rsidRPr="001F7512">
        <w:rPr>
          <w:rFonts w:asciiTheme="minorHAnsi" w:hAnsiTheme="minorHAnsi" w:cstheme="minorHAnsi"/>
          <w:i w:val="0"/>
          <w:iCs w:val="0"/>
          <w:color w:val="auto"/>
        </w:rPr>
        <w:t xml:space="preserve">Tableau </w:t>
      </w:r>
      <w:r w:rsidRPr="001F7512">
        <w:rPr>
          <w:rFonts w:asciiTheme="minorHAnsi" w:hAnsiTheme="minorHAnsi" w:cstheme="minorHAnsi"/>
          <w:i w:val="0"/>
          <w:iCs w:val="0"/>
          <w:color w:val="auto"/>
        </w:rPr>
        <w:fldChar w:fldCharType="begin"/>
      </w:r>
      <w:r w:rsidRPr="001F7512">
        <w:rPr>
          <w:rFonts w:asciiTheme="minorHAnsi" w:hAnsiTheme="minorHAnsi" w:cstheme="minorHAnsi"/>
          <w:i w:val="0"/>
          <w:iCs w:val="0"/>
          <w:color w:val="auto"/>
        </w:rPr>
        <w:instrText xml:space="preserve"> SEQ Tableau \* ARABIC </w:instrText>
      </w:r>
      <w:r w:rsidRPr="001F7512">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13</w:t>
      </w:r>
      <w:r w:rsidRPr="001F7512">
        <w:rPr>
          <w:rFonts w:asciiTheme="minorHAnsi" w:hAnsiTheme="minorHAnsi" w:cstheme="minorHAnsi"/>
          <w:i w:val="0"/>
          <w:iCs w:val="0"/>
          <w:color w:val="auto"/>
        </w:rPr>
        <w:fldChar w:fldCharType="end"/>
      </w:r>
      <w:r w:rsidRPr="001F7512">
        <w:rPr>
          <w:rFonts w:asciiTheme="minorHAnsi" w:hAnsiTheme="minorHAnsi" w:cstheme="minorHAnsi"/>
          <w:i w:val="0"/>
          <w:iCs w:val="0"/>
          <w:color w:val="auto"/>
        </w:rPr>
        <w:t xml:space="preserve"> - Activités d'embauche externe pour une période indéterminée et d'une durée déterminée : Programme de recrutement postsecondaire et embauche d'anciens étudiants selon l’exercice financier</w:t>
      </w:r>
    </w:p>
    <w:tbl>
      <w:tblPr>
        <w:tblStyle w:val="TableGrid2"/>
        <w:tblW w:w="5000" w:type="pct"/>
        <w:jc w:val="center"/>
        <w:tblLook w:val="0020" w:firstRow="1" w:lastRow="0" w:firstColumn="0" w:lastColumn="0" w:noHBand="0" w:noVBand="0"/>
        <w:tblDescription w:val="Programme de recrutement postsecondaire et embauche d'anciens étudiants"/>
      </w:tblPr>
      <w:tblGrid>
        <w:gridCol w:w="2464"/>
        <w:gridCol w:w="6461"/>
        <w:gridCol w:w="5465"/>
      </w:tblGrid>
      <w:tr w:rsidR="001F7512" w:rsidRPr="001F7512" w14:paraId="6F9562D6" w14:textId="77777777" w:rsidTr="00081693">
        <w:trPr>
          <w:cantSplit/>
          <w:tblHeader/>
          <w:jc w:val="center"/>
        </w:trPr>
        <w:tc>
          <w:tcPr>
            <w:tcW w:w="856" w:type="pct"/>
          </w:tcPr>
          <w:p w14:paraId="31CDC37A" w14:textId="77777777" w:rsidR="009E16DC" w:rsidRPr="001F7512" w:rsidRDefault="009E16DC" w:rsidP="001F7512">
            <w:pPr>
              <w:pStyle w:val="TableTitle"/>
              <w:rPr>
                <w:rFonts w:eastAsia="Calibri"/>
                <w:color w:val="auto"/>
                <w:sz w:val="22"/>
                <w:szCs w:val="22"/>
              </w:rPr>
            </w:pPr>
            <w:r w:rsidRPr="001F7512">
              <w:rPr>
                <w:rFonts w:eastAsia="Calibri"/>
                <w:color w:val="auto"/>
                <w:sz w:val="22"/>
                <w:szCs w:val="22"/>
              </w:rPr>
              <w:t>Exercice financier</w:t>
            </w:r>
          </w:p>
        </w:tc>
        <w:tc>
          <w:tcPr>
            <w:tcW w:w="2245" w:type="pct"/>
          </w:tcPr>
          <w:p w14:paraId="3DD0E621" w14:textId="77777777" w:rsidR="009E16DC" w:rsidRPr="001F7512" w:rsidRDefault="009E16DC" w:rsidP="001F7512">
            <w:pPr>
              <w:pStyle w:val="TableTitle"/>
              <w:rPr>
                <w:rFonts w:eastAsia="Calibri"/>
                <w:color w:val="auto"/>
                <w:sz w:val="22"/>
                <w:szCs w:val="22"/>
              </w:rPr>
            </w:pPr>
            <w:r w:rsidRPr="001F7512">
              <w:rPr>
                <w:rFonts w:eastAsia="Calibri"/>
                <w:color w:val="auto"/>
                <w:sz w:val="22"/>
                <w:szCs w:val="22"/>
              </w:rPr>
              <w:t>Embauches du programme de recrutement postsecondaire</w:t>
            </w:r>
          </w:p>
        </w:tc>
        <w:tc>
          <w:tcPr>
            <w:tcW w:w="1899" w:type="pct"/>
          </w:tcPr>
          <w:p w14:paraId="12194C6B" w14:textId="77777777" w:rsidR="009E16DC" w:rsidRPr="001F7512" w:rsidRDefault="009E16DC" w:rsidP="001F7512">
            <w:pPr>
              <w:pStyle w:val="TableTitle"/>
              <w:rPr>
                <w:rFonts w:eastAsia="Calibri"/>
                <w:color w:val="auto"/>
                <w:sz w:val="22"/>
                <w:szCs w:val="22"/>
              </w:rPr>
            </w:pPr>
            <w:r w:rsidRPr="001F7512">
              <w:rPr>
                <w:rFonts w:eastAsia="Calibri"/>
                <w:color w:val="auto"/>
                <w:sz w:val="22"/>
                <w:szCs w:val="22"/>
              </w:rPr>
              <w:t>Embauches d’anciens étudiants</w:t>
            </w:r>
          </w:p>
        </w:tc>
      </w:tr>
      <w:tr w:rsidR="001F7512" w:rsidRPr="001F7512" w14:paraId="5BEFD9CC" w14:textId="77777777" w:rsidTr="00081693">
        <w:trPr>
          <w:cantSplit/>
          <w:tblHeader/>
          <w:jc w:val="center"/>
        </w:trPr>
        <w:tc>
          <w:tcPr>
            <w:tcW w:w="856" w:type="pct"/>
          </w:tcPr>
          <w:p w14:paraId="50FD8DE6" w14:textId="77777777" w:rsidR="009E16DC" w:rsidRPr="001F7512" w:rsidRDefault="009E16DC" w:rsidP="00E657F6">
            <w:pPr>
              <w:autoSpaceDE w:val="0"/>
              <w:autoSpaceDN w:val="0"/>
              <w:adjustRightInd w:val="0"/>
              <w:rPr>
                <w:rFonts w:asciiTheme="minorHAnsi" w:eastAsia="Calibri" w:hAnsiTheme="minorHAnsi" w:cstheme="minorHAnsi"/>
                <w:sz w:val="22"/>
                <w:szCs w:val="22"/>
              </w:rPr>
            </w:pPr>
            <w:r w:rsidRPr="001F7512">
              <w:rPr>
                <w:rFonts w:asciiTheme="minorHAnsi" w:eastAsia="Calibri" w:hAnsiTheme="minorHAnsi" w:cstheme="minorHAnsi"/>
                <w:sz w:val="22"/>
                <w:szCs w:val="22"/>
              </w:rPr>
              <w:t>2015 à 2016</w:t>
            </w:r>
          </w:p>
        </w:tc>
        <w:tc>
          <w:tcPr>
            <w:tcW w:w="2245" w:type="pct"/>
          </w:tcPr>
          <w:p w14:paraId="2A398899"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0</w:t>
            </w:r>
          </w:p>
        </w:tc>
        <w:tc>
          <w:tcPr>
            <w:tcW w:w="1899" w:type="pct"/>
          </w:tcPr>
          <w:p w14:paraId="7C3A1977"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4</w:t>
            </w:r>
          </w:p>
        </w:tc>
      </w:tr>
      <w:tr w:rsidR="001F7512" w:rsidRPr="001F7512" w14:paraId="67B6E89A" w14:textId="77777777" w:rsidTr="00081693">
        <w:trPr>
          <w:cantSplit/>
          <w:tblHeader/>
          <w:jc w:val="center"/>
        </w:trPr>
        <w:tc>
          <w:tcPr>
            <w:tcW w:w="856" w:type="pct"/>
          </w:tcPr>
          <w:p w14:paraId="1B8352C9" w14:textId="77777777" w:rsidR="009E16DC" w:rsidRPr="001F7512" w:rsidRDefault="009E16DC" w:rsidP="00E657F6">
            <w:pPr>
              <w:autoSpaceDE w:val="0"/>
              <w:autoSpaceDN w:val="0"/>
              <w:adjustRightInd w:val="0"/>
              <w:rPr>
                <w:rFonts w:asciiTheme="minorHAnsi" w:eastAsia="Calibri" w:hAnsiTheme="minorHAnsi" w:cstheme="minorHAnsi"/>
                <w:sz w:val="22"/>
                <w:szCs w:val="22"/>
              </w:rPr>
            </w:pPr>
            <w:r w:rsidRPr="001F7512">
              <w:rPr>
                <w:rFonts w:asciiTheme="minorHAnsi" w:eastAsia="Calibri" w:hAnsiTheme="minorHAnsi" w:cstheme="minorHAnsi"/>
                <w:sz w:val="22"/>
                <w:szCs w:val="22"/>
              </w:rPr>
              <w:t>2016 à 2017</w:t>
            </w:r>
          </w:p>
        </w:tc>
        <w:tc>
          <w:tcPr>
            <w:tcW w:w="2245" w:type="pct"/>
          </w:tcPr>
          <w:p w14:paraId="180B9D2C"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0</w:t>
            </w:r>
          </w:p>
        </w:tc>
        <w:tc>
          <w:tcPr>
            <w:tcW w:w="1899" w:type="pct"/>
          </w:tcPr>
          <w:p w14:paraId="109964A6"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7</w:t>
            </w:r>
          </w:p>
        </w:tc>
      </w:tr>
      <w:tr w:rsidR="001F7512" w:rsidRPr="001F7512" w14:paraId="49D2420A" w14:textId="77777777" w:rsidTr="00081693">
        <w:trPr>
          <w:cantSplit/>
          <w:tblHeader/>
          <w:jc w:val="center"/>
        </w:trPr>
        <w:tc>
          <w:tcPr>
            <w:tcW w:w="856" w:type="pct"/>
          </w:tcPr>
          <w:p w14:paraId="6F0653E7" w14:textId="77777777" w:rsidR="009E16DC" w:rsidRPr="001F7512" w:rsidRDefault="009E16DC" w:rsidP="00E657F6">
            <w:pPr>
              <w:autoSpaceDE w:val="0"/>
              <w:autoSpaceDN w:val="0"/>
              <w:adjustRightInd w:val="0"/>
              <w:rPr>
                <w:rFonts w:asciiTheme="minorHAnsi" w:eastAsia="Calibri" w:hAnsiTheme="minorHAnsi" w:cstheme="minorHAnsi"/>
                <w:sz w:val="22"/>
                <w:szCs w:val="22"/>
              </w:rPr>
            </w:pPr>
            <w:r w:rsidRPr="001F7512">
              <w:rPr>
                <w:rFonts w:asciiTheme="minorHAnsi" w:eastAsia="Calibri" w:hAnsiTheme="minorHAnsi" w:cstheme="minorHAnsi"/>
                <w:sz w:val="22"/>
                <w:szCs w:val="22"/>
              </w:rPr>
              <w:t>2017 à 2018</w:t>
            </w:r>
          </w:p>
        </w:tc>
        <w:tc>
          <w:tcPr>
            <w:tcW w:w="2245" w:type="pct"/>
          </w:tcPr>
          <w:p w14:paraId="60CDBDB3"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0</w:t>
            </w:r>
          </w:p>
        </w:tc>
        <w:tc>
          <w:tcPr>
            <w:tcW w:w="1899" w:type="pct"/>
          </w:tcPr>
          <w:p w14:paraId="4FF374BC"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2</w:t>
            </w:r>
          </w:p>
        </w:tc>
      </w:tr>
      <w:tr w:rsidR="001F7512" w:rsidRPr="001F7512" w14:paraId="5429290E" w14:textId="77777777" w:rsidTr="00081693">
        <w:trPr>
          <w:cantSplit/>
          <w:tblHeader/>
          <w:jc w:val="center"/>
        </w:trPr>
        <w:tc>
          <w:tcPr>
            <w:tcW w:w="856" w:type="pct"/>
          </w:tcPr>
          <w:p w14:paraId="223C4922" w14:textId="77777777" w:rsidR="009E16DC" w:rsidRPr="001F7512" w:rsidRDefault="009E16DC" w:rsidP="00E657F6">
            <w:pPr>
              <w:autoSpaceDE w:val="0"/>
              <w:autoSpaceDN w:val="0"/>
              <w:adjustRightInd w:val="0"/>
              <w:rPr>
                <w:rFonts w:asciiTheme="minorHAnsi" w:eastAsia="Calibri" w:hAnsiTheme="minorHAnsi" w:cstheme="minorHAnsi"/>
                <w:sz w:val="22"/>
                <w:szCs w:val="22"/>
              </w:rPr>
            </w:pPr>
            <w:r w:rsidRPr="001F7512">
              <w:rPr>
                <w:rFonts w:asciiTheme="minorHAnsi" w:eastAsia="Calibri" w:hAnsiTheme="minorHAnsi" w:cstheme="minorHAnsi"/>
                <w:sz w:val="22"/>
                <w:szCs w:val="22"/>
              </w:rPr>
              <w:t>2018 à 2019</w:t>
            </w:r>
          </w:p>
        </w:tc>
        <w:tc>
          <w:tcPr>
            <w:tcW w:w="2245" w:type="pct"/>
          </w:tcPr>
          <w:p w14:paraId="7DCE6C79"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1</w:t>
            </w:r>
          </w:p>
        </w:tc>
        <w:tc>
          <w:tcPr>
            <w:tcW w:w="1899" w:type="pct"/>
          </w:tcPr>
          <w:p w14:paraId="732456F7"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4</w:t>
            </w:r>
          </w:p>
        </w:tc>
      </w:tr>
      <w:tr w:rsidR="001F7512" w:rsidRPr="001F7512" w14:paraId="779F4D83" w14:textId="77777777" w:rsidTr="00081693">
        <w:trPr>
          <w:cantSplit/>
          <w:tblHeader/>
          <w:jc w:val="center"/>
        </w:trPr>
        <w:tc>
          <w:tcPr>
            <w:tcW w:w="856" w:type="pct"/>
          </w:tcPr>
          <w:p w14:paraId="4A18EA82" w14:textId="77777777" w:rsidR="009E16DC" w:rsidRPr="001F7512" w:rsidRDefault="009E16DC" w:rsidP="00E657F6">
            <w:pPr>
              <w:autoSpaceDE w:val="0"/>
              <w:autoSpaceDN w:val="0"/>
              <w:adjustRightInd w:val="0"/>
              <w:rPr>
                <w:rFonts w:asciiTheme="minorHAnsi" w:eastAsia="Calibri" w:hAnsiTheme="minorHAnsi" w:cstheme="minorHAnsi"/>
                <w:sz w:val="22"/>
                <w:szCs w:val="22"/>
              </w:rPr>
            </w:pPr>
            <w:r w:rsidRPr="001F7512">
              <w:rPr>
                <w:rFonts w:asciiTheme="minorHAnsi" w:eastAsia="Calibri" w:hAnsiTheme="minorHAnsi" w:cstheme="minorHAnsi"/>
                <w:sz w:val="22"/>
                <w:szCs w:val="22"/>
              </w:rPr>
              <w:t>2019 à 2020</w:t>
            </w:r>
          </w:p>
        </w:tc>
        <w:tc>
          <w:tcPr>
            <w:tcW w:w="2245" w:type="pct"/>
          </w:tcPr>
          <w:p w14:paraId="38E950B3"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0</w:t>
            </w:r>
          </w:p>
        </w:tc>
        <w:tc>
          <w:tcPr>
            <w:tcW w:w="1899" w:type="pct"/>
          </w:tcPr>
          <w:p w14:paraId="69C9A3D7" w14:textId="77777777" w:rsidR="009E16DC" w:rsidRPr="001F7512" w:rsidRDefault="009E16DC" w:rsidP="00E657F6">
            <w:pPr>
              <w:autoSpaceDE w:val="0"/>
              <w:autoSpaceDN w:val="0"/>
              <w:adjustRightInd w:val="0"/>
              <w:jc w:val="center"/>
              <w:rPr>
                <w:rFonts w:asciiTheme="minorHAnsi" w:eastAsia="Calibri" w:hAnsiTheme="minorHAnsi" w:cstheme="minorHAnsi"/>
                <w:sz w:val="22"/>
                <w:szCs w:val="22"/>
              </w:rPr>
            </w:pPr>
            <w:r w:rsidRPr="001F7512">
              <w:rPr>
                <w:rFonts w:asciiTheme="minorHAnsi" w:eastAsia="Calibri" w:hAnsiTheme="minorHAnsi" w:cstheme="minorHAnsi"/>
                <w:sz w:val="22"/>
                <w:szCs w:val="22"/>
              </w:rPr>
              <w:t>10</w:t>
            </w:r>
          </w:p>
        </w:tc>
      </w:tr>
    </w:tbl>
    <w:p w14:paraId="7A3EEC8A" w14:textId="4814B849" w:rsidR="00DF0000" w:rsidRPr="001F7512" w:rsidRDefault="009E16DC" w:rsidP="00306C9A">
      <w:pPr>
        <w:numPr>
          <w:ilvl w:val="1"/>
          <w:numId w:val="0"/>
        </w:numPr>
        <w:spacing w:after="160"/>
        <w:rPr>
          <w:rFonts w:asciiTheme="minorHAnsi" w:eastAsia="MS Mincho" w:hAnsiTheme="minorHAnsi" w:cstheme="minorHAnsi"/>
          <w:spacing w:val="15"/>
          <w:sz w:val="22"/>
          <w:szCs w:val="22"/>
        </w:rPr>
      </w:pPr>
      <w:r w:rsidRPr="001F7512">
        <w:rPr>
          <w:rFonts w:asciiTheme="minorHAnsi" w:eastAsia="Calibri" w:hAnsiTheme="minorHAnsi" w:cstheme="minorHAnsi"/>
          <w:sz w:val="22"/>
          <w:szCs w:val="22"/>
        </w:rPr>
        <w:t>L’embauche des anciens étudiants qui avaient une expérience dans le programme fédéral de recrutement étudiant au cours des 10 dernières années.</w:t>
      </w:r>
    </w:p>
    <w:p w14:paraId="0B658B50" w14:textId="77777777" w:rsidR="00DF0000" w:rsidRDefault="00DF0000" w:rsidP="00306C9A">
      <w:pPr>
        <w:numPr>
          <w:ilvl w:val="1"/>
          <w:numId w:val="0"/>
        </w:numPr>
        <w:spacing w:after="160"/>
        <w:rPr>
          <w:rFonts w:ascii="Calibri" w:eastAsia="MS Mincho" w:hAnsi="Calibri"/>
          <w:color w:val="5A5A5A"/>
          <w:spacing w:val="15"/>
          <w:sz w:val="22"/>
          <w:szCs w:val="22"/>
        </w:rPr>
        <w:sectPr w:rsidR="00DF0000" w:rsidSect="00D85628">
          <w:pgSz w:w="15840" w:h="12240" w:orient="landscape"/>
          <w:pgMar w:top="629" w:right="720" w:bottom="720" w:left="720" w:header="709" w:footer="709" w:gutter="0"/>
          <w:cols w:space="708"/>
          <w:titlePg/>
          <w:docGrid w:linePitch="360"/>
        </w:sectPr>
      </w:pPr>
    </w:p>
    <w:p w14:paraId="7823CA20" w14:textId="0FEA630B" w:rsidR="00DF0000" w:rsidRPr="00D849A1" w:rsidRDefault="001F7512" w:rsidP="001F7512">
      <w:pPr>
        <w:pStyle w:val="Heading1"/>
        <w:spacing w:before="120" w:after="120"/>
        <w:rPr>
          <w:rFonts w:eastAsia="MS Mincho"/>
          <w:sz w:val="40"/>
          <w:szCs w:val="40"/>
        </w:rPr>
      </w:pPr>
      <w:r w:rsidRPr="00D849A1">
        <w:rPr>
          <w:rFonts w:eastAsia="MS Mincho"/>
          <w:sz w:val="40"/>
          <w:szCs w:val="40"/>
        </w:rPr>
        <w:lastRenderedPageBreak/>
        <w:t>Durée de dotation interne</w:t>
      </w:r>
    </w:p>
    <w:p w14:paraId="1E5425E1" w14:textId="1EE69725" w:rsidR="001F7512" w:rsidRDefault="00306C9A" w:rsidP="001F7512">
      <w:pPr>
        <w:keepNext/>
      </w:pPr>
      <w:r w:rsidRPr="00306C9A">
        <w:rPr>
          <w:rFonts w:ascii="Arial" w:eastAsia="Calibri" w:hAnsi="Arial"/>
          <w:noProof/>
          <w:sz w:val="22"/>
          <w:szCs w:val="22"/>
          <w:lang w:eastAsia="en-CA"/>
        </w:rPr>
        <w:drawing>
          <wp:inline distT="0" distB="0" distL="0" distR="0" wp14:anchorId="2E6AB244" wp14:editId="7E6BB620">
            <wp:extent cx="5648400" cy="3049200"/>
            <wp:effectExtent l="0" t="0" r="9525" b="18415"/>
            <wp:docPr id="22" name="Chart 22" descr="Durée de dotation interne&#10;Médiane pour la fonction publique = 175 jours 2019-202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1F7512" w:rsidRPr="00C17343">
        <w:rPr>
          <w:rFonts w:asciiTheme="minorHAnsi" w:eastAsia="Calibri" w:hAnsiTheme="minorHAnsi" w:cstheme="minorHAnsi"/>
          <w:noProof/>
          <w:sz w:val="22"/>
          <w:szCs w:val="22"/>
          <w:lang w:eastAsia="en-CA"/>
        </w:rPr>
        <mc:AlternateContent>
          <mc:Choice Requires="wps">
            <w:drawing>
              <wp:inline distT="0" distB="0" distL="0" distR="0" wp14:anchorId="0F41254F" wp14:editId="51410A62">
                <wp:extent cx="5648400" cy="3049200"/>
                <wp:effectExtent l="0" t="0" r="28575" b="18415"/>
                <wp:docPr id="8" name="Text Box 8" descr="Les données sont insuffisantes pour fournir des résultats sur la durée des processus de dotation interne pour le plus récent exercice financier pour l'organisation spécifique." title="Durée du processus de dotation interne pendant l’exercice financier 2019-2020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3CD1A232" w14:textId="77777777" w:rsidR="0051103D" w:rsidRPr="0018391A" w:rsidRDefault="0051103D" w:rsidP="0018391A">
                            <w:pPr>
                              <w:spacing w:after="120"/>
                              <w:rPr>
                                <w:rFonts w:asciiTheme="minorHAnsi" w:hAnsiTheme="minorHAnsi" w:cstheme="minorHAnsi"/>
                                <w:sz w:val="22"/>
                                <w:szCs w:val="22"/>
                              </w:rPr>
                            </w:pPr>
                            <w:r w:rsidRPr="0018391A">
                              <w:rPr>
                                <w:rFonts w:asciiTheme="minorHAnsi" w:hAnsiTheme="minorHAnsi" w:cstheme="minorHAnsi"/>
                                <w:sz w:val="22"/>
                                <w:szCs w:val="22"/>
                              </w:rPr>
                              <w:t>Durée de dotation interne</w:t>
                            </w:r>
                          </w:p>
                          <w:p w14:paraId="593D4756" w14:textId="77777777" w:rsidR="0051103D" w:rsidRPr="0018391A" w:rsidRDefault="0051103D" w:rsidP="001F7512">
                            <w:pPr>
                              <w:pStyle w:val="ListParagraph"/>
                              <w:ind w:left="360"/>
                              <w:rPr>
                                <w:rFonts w:asciiTheme="minorHAnsi" w:hAnsiTheme="minorHAnsi" w:cstheme="minorHAnsi"/>
                                <w:sz w:val="22"/>
                                <w:szCs w:val="18"/>
                              </w:rPr>
                            </w:pPr>
                            <w:r w:rsidRPr="0018391A">
                              <w:rPr>
                                <w:rFonts w:asciiTheme="minorHAnsi" w:hAnsiTheme="minorHAnsi" w:cstheme="minorHAnsi"/>
                                <w:sz w:val="22"/>
                                <w:szCs w:val="18"/>
                              </w:rPr>
                              <w:t>Les données sont insuffisantes pour fournir des résultats sur la durée des processus de dotation interne pour la Commission canadienne des grains.</w:t>
                            </w:r>
                          </w:p>
                        </w:txbxContent>
                      </wps:txbx>
                      <wps:bodyPr rot="0" vert="horz" wrap="square" lIns="91440" tIns="45720" rIns="91440" bIns="45720" anchor="t" anchorCtr="0" upright="1">
                        <a:noAutofit/>
                      </wps:bodyPr>
                    </wps:wsp>
                  </a:graphicData>
                </a:graphic>
              </wp:inline>
            </w:drawing>
          </mc:Choice>
          <mc:Fallback>
            <w:pict>
              <v:shapetype w14:anchorId="0F41254F" id="_x0000_t202" coordsize="21600,21600" o:spt="202" path="m,l,21600r21600,l21600,xe">
                <v:stroke joinstyle="miter"/>
                <v:path gradientshapeok="t" o:connecttype="rect"/>
              </v:shapetype>
              <v:shape id="Text Box 8" o:spid="_x0000_s1026" type="#_x0000_t202" alt="Title: Durée du processus de dotation interne pendant l’exercice financier 2019-2020 pour l'organisme concerné - Description: Les données sont insuffisantes pour fournir des résultats sur la durée des processus de dotation interne pour le plus récent exercice financier pour l'organisation spécifique."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">
                <v:textbox>
                  <w:txbxContent>
                    <w:p w14:paraId="3CD1A232" w14:textId="77777777" w:rsidR="0051103D" w:rsidRPr="0018391A" w:rsidRDefault="0051103D" w:rsidP="0018391A">
                      <w:pPr>
                        <w:spacing w:after="120"/>
                        <w:rPr>
                          <w:rFonts w:asciiTheme="minorHAnsi" w:hAnsiTheme="minorHAnsi" w:cstheme="minorHAnsi"/>
                          <w:sz w:val="22"/>
                          <w:szCs w:val="22"/>
                        </w:rPr>
                      </w:pPr>
                      <w:r w:rsidRPr="0018391A">
                        <w:rPr>
                          <w:rFonts w:asciiTheme="minorHAnsi" w:hAnsiTheme="minorHAnsi" w:cstheme="minorHAnsi"/>
                          <w:sz w:val="22"/>
                          <w:szCs w:val="22"/>
                        </w:rPr>
                        <w:t>Durée de dotation interne</w:t>
                      </w:r>
                    </w:p>
                    <w:p w14:paraId="593D4756" w14:textId="77777777" w:rsidR="0051103D" w:rsidRPr="0018391A" w:rsidRDefault="0051103D" w:rsidP="001F7512">
                      <w:pPr>
                        <w:pStyle w:val="ListParagraph"/>
                        <w:ind w:left="360"/>
                        <w:rPr>
                          <w:rFonts w:asciiTheme="minorHAnsi" w:hAnsiTheme="minorHAnsi" w:cstheme="minorHAnsi"/>
                          <w:sz w:val="22"/>
                          <w:szCs w:val="18"/>
                        </w:rPr>
                      </w:pPr>
                      <w:r w:rsidRPr="0018391A">
                        <w:rPr>
                          <w:rFonts w:asciiTheme="minorHAnsi" w:hAnsiTheme="minorHAnsi" w:cstheme="minorHAnsi"/>
                          <w:sz w:val="22"/>
                          <w:szCs w:val="18"/>
                        </w:rPr>
                        <w:t>Les données sont insuffisantes pour fournir des résultats sur la durée des processus de dotation interne pour la Commission canadienne des grains.</w:t>
                      </w:r>
                    </w:p>
                  </w:txbxContent>
                </v:textbox>
                <w10:anchorlock/>
              </v:shape>
            </w:pict>
          </mc:Fallback>
        </mc:AlternateContent>
      </w:r>
    </w:p>
    <w:p w14:paraId="1D3DF34B" w14:textId="48B28C4B" w:rsidR="001F7512" w:rsidRPr="0018391A" w:rsidRDefault="001F7512" w:rsidP="001F7512">
      <w:pPr>
        <w:pStyle w:val="Caption"/>
        <w:rPr>
          <w:rFonts w:asciiTheme="minorHAnsi" w:hAnsiTheme="minorHAnsi" w:cstheme="minorHAnsi"/>
          <w:i w:val="0"/>
          <w:iCs w:val="0"/>
          <w:color w:val="auto"/>
        </w:rPr>
      </w:pPr>
      <w:r w:rsidRPr="0018391A">
        <w:rPr>
          <w:rFonts w:asciiTheme="minorHAnsi" w:hAnsiTheme="minorHAnsi" w:cstheme="minorHAnsi"/>
          <w:i w:val="0"/>
          <w:iCs w:val="0"/>
          <w:color w:val="auto"/>
        </w:rPr>
        <w:t xml:space="preserve">Figure </w:t>
      </w:r>
      <w:r w:rsidRPr="0018391A">
        <w:rPr>
          <w:rFonts w:asciiTheme="minorHAnsi" w:hAnsiTheme="minorHAnsi" w:cstheme="minorHAnsi"/>
          <w:i w:val="0"/>
          <w:iCs w:val="0"/>
          <w:color w:val="auto"/>
        </w:rPr>
        <w:fldChar w:fldCharType="begin"/>
      </w:r>
      <w:r w:rsidRPr="0018391A">
        <w:rPr>
          <w:rFonts w:asciiTheme="minorHAnsi" w:hAnsiTheme="minorHAnsi" w:cstheme="minorHAnsi"/>
          <w:i w:val="0"/>
          <w:iCs w:val="0"/>
          <w:color w:val="auto"/>
        </w:rPr>
        <w:instrText xml:space="preserve"> SEQ Figure \* ARABIC </w:instrText>
      </w:r>
      <w:r w:rsidRPr="0018391A">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12</w:t>
      </w:r>
      <w:r w:rsidRPr="0018391A">
        <w:rPr>
          <w:rFonts w:asciiTheme="minorHAnsi" w:hAnsiTheme="minorHAnsi" w:cstheme="minorHAnsi"/>
          <w:i w:val="0"/>
          <w:iCs w:val="0"/>
          <w:color w:val="auto"/>
        </w:rPr>
        <w:fldChar w:fldCharType="end"/>
      </w:r>
      <w:r w:rsidRPr="0018391A">
        <w:rPr>
          <w:rFonts w:asciiTheme="minorHAnsi" w:hAnsiTheme="minorHAnsi" w:cstheme="minorHAnsi"/>
          <w:i w:val="0"/>
          <w:iCs w:val="0"/>
          <w:color w:val="auto"/>
        </w:rPr>
        <w:t xml:space="preserve"> - Durée de dotation interne Médiane pour la fon</w:t>
      </w:r>
      <w:r w:rsidR="0018391A">
        <w:rPr>
          <w:rFonts w:asciiTheme="minorHAnsi" w:hAnsiTheme="minorHAnsi" w:cstheme="minorHAnsi"/>
          <w:i w:val="0"/>
          <w:iCs w:val="0"/>
          <w:color w:val="auto"/>
        </w:rPr>
        <w:t>c</w:t>
      </w:r>
      <w:r w:rsidRPr="0018391A">
        <w:rPr>
          <w:rFonts w:asciiTheme="minorHAnsi" w:hAnsiTheme="minorHAnsi" w:cstheme="minorHAnsi"/>
          <w:i w:val="0"/>
          <w:iCs w:val="0"/>
          <w:color w:val="auto"/>
        </w:rPr>
        <w:t>tion publique = 175 jours, 2019-2020</w:t>
      </w:r>
    </w:p>
    <w:p w14:paraId="1B1809B7" w14:textId="31301137" w:rsidR="0018391A" w:rsidRPr="0018391A" w:rsidRDefault="0018391A" w:rsidP="0018391A">
      <w:pPr>
        <w:spacing w:before="240" w:after="120"/>
        <w:rPr>
          <w:rStyle w:val="Hyperlink"/>
          <w:rFonts w:asciiTheme="minorHAnsi" w:eastAsiaTheme="minorHAnsi" w:hAnsiTheme="minorHAnsi" w:cstheme="minorHAnsi"/>
          <w:sz w:val="22"/>
          <w:szCs w:val="22"/>
        </w:rPr>
      </w:pPr>
      <w:r>
        <w:rPr>
          <w:rFonts w:asciiTheme="minorHAnsi" w:eastAsiaTheme="minorHAnsi" w:hAnsiTheme="minorHAnsi" w:cstheme="minorHAnsi"/>
          <w:sz w:val="22"/>
          <w:szCs w:val="22"/>
        </w:rPr>
        <w:fldChar w:fldCharType="begin"/>
      </w:r>
      <w:r>
        <w:rPr>
          <w:rFonts w:asciiTheme="minorHAnsi" w:eastAsiaTheme="minorHAnsi" w:hAnsiTheme="minorHAnsi" w:cstheme="minorHAnsi"/>
          <w:sz w:val="22"/>
          <w:szCs w:val="22"/>
        </w:rPr>
        <w:instrText xml:space="preserve"> HYPERLINK  \l "Durée_de_dotation_Interne" </w:instrText>
      </w:r>
      <w:r>
        <w:rPr>
          <w:rFonts w:asciiTheme="minorHAnsi" w:eastAsiaTheme="minorHAnsi" w:hAnsiTheme="minorHAnsi" w:cstheme="minorHAnsi"/>
          <w:sz w:val="22"/>
          <w:szCs w:val="22"/>
        </w:rPr>
        <w:fldChar w:fldCharType="separate"/>
      </w:r>
      <w:r w:rsidRPr="0018391A">
        <w:rPr>
          <w:rStyle w:val="Hyperlink"/>
          <w:rFonts w:asciiTheme="minorHAnsi" w:eastAsiaTheme="minorHAnsi" w:hAnsiTheme="minorHAnsi" w:cstheme="minorHAnsi"/>
          <w:sz w:val="22"/>
          <w:szCs w:val="22"/>
        </w:rPr>
        <w:t>Tableau des données sur la durée de dotation interne disponible ici.</w:t>
      </w:r>
    </w:p>
    <w:p w14:paraId="7AE675C9" w14:textId="77777777" w:rsidR="0018391A" w:rsidRDefault="0018391A" w:rsidP="0018391A">
      <w:pPr>
        <w:rPr>
          <w:rFonts w:asciiTheme="minorHAnsi" w:eastAsiaTheme="minorHAnsi" w:hAnsiTheme="minorHAnsi" w:cstheme="minorHAnsi"/>
          <w:sz w:val="22"/>
          <w:szCs w:val="22"/>
        </w:rPr>
      </w:pPr>
      <w:r>
        <w:rPr>
          <w:rFonts w:asciiTheme="minorHAnsi" w:eastAsiaTheme="minorHAnsi" w:hAnsiTheme="minorHAnsi" w:cstheme="minorHAnsi"/>
          <w:sz w:val="22"/>
          <w:szCs w:val="22"/>
        </w:rPr>
        <w:fldChar w:fldCharType="end"/>
      </w:r>
    </w:p>
    <w:p w14:paraId="4F2DD68F" w14:textId="77777777" w:rsidR="0018391A" w:rsidRDefault="0018391A" w:rsidP="0018391A">
      <w:pPr>
        <w:rPr>
          <w:rFonts w:asciiTheme="minorHAnsi" w:hAnsiTheme="minorHAnsi" w:cstheme="minorHAnsi"/>
          <w:sz w:val="22"/>
          <w:szCs w:val="22"/>
          <w:lang w:eastAsia="en-CA"/>
        </w:rPr>
        <w:sectPr w:rsidR="0018391A" w:rsidSect="009E16DC">
          <w:pgSz w:w="20160" w:h="12240" w:orient="landscape" w:code="5"/>
          <w:pgMar w:top="629" w:right="720" w:bottom="720" w:left="720" w:header="709" w:footer="709" w:gutter="0"/>
          <w:cols w:space="708"/>
          <w:titlePg/>
          <w:docGrid w:linePitch="360"/>
        </w:sectPr>
      </w:pPr>
    </w:p>
    <w:p w14:paraId="535CCFC7" w14:textId="7641A397" w:rsidR="009E16DC" w:rsidRPr="00C17343" w:rsidRDefault="009E16DC" w:rsidP="0018391A">
      <w:pPr>
        <w:spacing w:after="120"/>
        <w:rPr>
          <w:rFonts w:asciiTheme="minorHAnsi" w:hAnsiTheme="minorHAnsi" w:cstheme="minorHAnsi"/>
          <w:sz w:val="22"/>
          <w:szCs w:val="22"/>
          <w:lang w:eastAsia="en-CA"/>
        </w:rPr>
      </w:pPr>
      <w:r w:rsidRPr="00C17343">
        <w:rPr>
          <w:rFonts w:asciiTheme="minorHAnsi" w:hAnsiTheme="minorHAnsi" w:cstheme="minorHAnsi"/>
          <w:sz w:val="22"/>
          <w:szCs w:val="22"/>
          <w:lang w:eastAsia="en-CA"/>
        </w:rPr>
        <w:t>La durée de dotation interne correspond au nombre de jours civils entre la date d'ouverture de l'annonce et la date de la première notification.</w:t>
      </w:r>
    </w:p>
    <w:p w14:paraId="54C263F0" w14:textId="77777777" w:rsidR="009E16DC" w:rsidRPr="00C17343" w:rsidRDefault="009E16DC" w:rsidP="009E16DC">
      <w:pPr>
        <w:rPr>
          <w:rFonts w:asciiTheme="minorHAnsi" w:eastAsia="Calibri" w:hAnsiTheme="minorHAnsi" w:cstheme="minorHAnsi"/>
          <w:sz w:val="22"/>
          <w:szCs w:val="22"/>
        </w:rPr>
      </w:pPr>
      <w:r w:rsidRPr="00C17343">
        <w:rPr>
          <w:rFonts w:asciiTheme="minorHAnsi" w:eastAsia="Calibri" w:hAnsiTheme="minorHAnsi" w:cstheme="minorHAnsi"/>
          <w:sz w:val="22"/>
          <w:szCs w:val="22"/>
        </w:rPr>
        <w:t xml:space="preserve">La durée médiane de dotation interne pour la fonction publique (organisations assujetties à la </w:t>
      </w:r>
      <w:r w:rsidRPr="0018391A">
        <w:rPr>
          <w:rStyle w:val="Emphasis"/>
          <w:rFonts w:asciiTheme="minorHAnsi" w:eastAsia="Calibri" w:hAnsiTheme="minorHAnsi" w:cstheme="minorHAnsi"/>
          <w:sz w:val="22"/>
          <w:szCs w:val="18"/>
        </w:rPr>
        <w:t>Loi sur l’emploi dans la fonction publique</w:t>
      </w:r>
      <w:r w:rsidRPr="00C17343">
        <w:rPr>
          <w:rFonts w:asciiTheme="minorHAnsi" w:eastAsia="Calibri" w:hAnsiTheme="minorHAnsi" w:cstheme="minorHAnsi"/>
          <w:sz w:val="22"/>
          <w:szCs w:val="22"/>
        </w:rPr>
        <w:t>) pour l’exercice financier 2019 à 2020 est 175 jours</w:t>
      </w:r>
    </w:p>
    <w:p w14:paraId="3734AE81" w14:textId="77777777" w:rsidR="009E16DC" w:rsidRPr="0018391A" w:rsidRDefault="009E16DC" w:rsidP="0018391A">
      <w:pPr>
        <w:rPr>
          <w:rStyle w:val="Strong"/>
          <w:rFonts w:asciiTheme="minorHAnsi" w:eastAsia="Calibri" w:hAnsiTheme="minorHAnsi" w:cstheme="minorHAnsi"/>
          <w:sz w:val="22"/>
          <w:szCs w:val="18"/>
        </w:rPr>
      </w:pPr>
      <w:r w:rsidRPr="0018391A">
        <w:rPr>
          <w:rStyle w:val="Strong"/>
          <w:rFonts w:asciiTheme="minorHAnsi" w:eastAsia="Calibri" w:hAnsiTheme="minorHAnsi" w:cstheme="minorHAnsi"/>
          <w:sz w:val="22"/>
          <w:szCs w:val="18"/>
        </w:rPr>
        <w:t>Durée de dotation interne pour l’exercice financier de 2019 à 2020</w:t>
      </w:r>
    </w:p>
    <w:p w14:paraId="48012748" w14:textId="77777777" w:rsidR="009E16DC" w:rsidRPr="00C17343" w:rsidRDefault="009E16DC" w:rsidP="00E657F6">
      <w:pPr>
        <w:rPr>
          <w:rFonts w:asciiTheme="minorHAnsi" w:eastAsia="Calibri" w:hAnsiTheme="minorHAnsi" w:cstheme="minorHAnsi"/>
          <w:sz w:val="22"/>
          <w:szCs w:val="22"/>
          <w:highlight w:val="yellow"/>
        </w:rPr>
      </w:pPr>
      <w:r w:rsidRPr="00C17343">
        <w:rPr>
          <w:rFonts w:asciiTheme="minorHAnsi" w:eastAsia="Calibri" w:hAnsiTheme="minorHAnsi" w:cstheme="minorHAnsi"/>
          <w:sz w:val="22"/>
          <w:szCs w:val="22"/>
        </w:rPr>
        <w:t>Les données sont insuffisantes pour fournir des résultats sur la durée des processus de dotation interne pour la Commission canadienne des grains</w:t>
      </w:r>
    </w:p>
    <w:p w14:paraId="3A09DDB6" w14:textId="77777777" w:rsidR="0018391A" w:rsidRDefault="0018391A" w:rsidP="00306C9A">
      <w:pPr>
        <w:rPr>
          <w:rFonts w:ascii="Arial" w:eastAsia="Calibri" w:hAnsi="Arial"/>
          <w:sz w:val="22"/>
          <w:szCs w:val="22"/>
        </w:rPr>
        <w:sectPr w:rsidR="0018391A" w:rsidSect="0018391A">
          <w:type w:val="continuous"/>
          <w:pgSz w:w="20160" w:h="12240" w:orient="landscape" w:code="5"/>
          <w:pgMar w:top="629" w:right="720" w:bottom="720" w:left="720" w:header="709" w:footer="709" w:gutter="0"/>
          <w:cols w:num="2" w:space="708"/>
          <w:titlePg/>
          <w:docGrid w:linePitch="360"/>
        </w:sectPr>
      </w:pPr>
    </w:p>
    <w:p w14:paraId="0663115D" w14:textId="219DBE48" w:rsidR="009E16DC" w:rsidRDefault="009E16DC" w:rsidP="00306C9A">
      <w:pPr>
        <w:rPr>
          <w:rFonts w:ascii="Arial" w:eastAsia="Calibri" w:hAnsi="Arial"/>
          <w:sz w:val="22"/>
          <w:szCs w:val="22"/>
        </w:rPr>
      </w:pPr>
    </w:p>
    <w:p w14:paraId="7CA4743E" w14:textId="77777777" w:rsidR="009E16DC" w:rsidRDefault="009E16DC" w:rsidP="00306C9A">
      <w:pPr>
        <w:rPr>
          <w:rFonts w:ascii="Arial" w:eastAsia="Calibri" w:hAnsi="Arial"/>
          <w:sz w:val="22"/>
          <w:szCs w:val="22"/>
        </w:rPr>
        <w:sectPr w:rsidR="009E16DC" w:rsidSect="0018391A">
          <w:type w:val="continuous"/>
          <w:pgSz w:w="20160" w:h="12240" w:orient="landscape" w:code="5"/>
          <w:pgMar w:top="629" w:right="720" w:bottom="720" w:left="720" w:header="709" w:footer="709" w:gutter="0"/>
          <w:cols w:space="708"/>
          <w:titlePg/>
          <w:docGrid w:linePitch="360"/>
        </w:sectPr>
      </w:pPr>
    </w:p>
    <w:p w14:paraId="3B998B0D" w14:textId="75FE7D3E" w:rsidR="009E16DC" w:rsidRPr="009E16DC" w:rsidRDefault="009E16DC" w:rsidP="009E16DC">
      <w:pPr>
        <w:pStyle w:val="Heading1"/>
        <w:spacing w:before="120" w:after="120"/>
        <w:rPr>
          <w:rFonts w:eastAsia="Calibri"/>
          <w:sz w:val="40"/>
          <w:szCs w:val="40"/>
        </w:rPr>
      </w:pPr>
      <w:r w:rsidRPr="009E16DC">
        <w:rPr>
          <w:rFonts w:eastAsia="Calibri"/>
          <w:sz w:val="40"/>
          <w:szCs w:val="40"/>
        </w:rPr>
        <w:lastRenderedPageBreak/>
        <w:t>Durée de dotation interne</w:t>
      </w:r>
    </w:p>
    <w:p w14:paraId="49A8669E" w14:textId="668F97A5" w:rsidR="00D849A1" w:rsidRPr="00D849A1" w:rsidRDefault="00D849A1" w:rsidP="00D849A1">
      <w:pPr>
        <w:pStyle w:val="Caption"/>
        <w:keepNext/>
        <w:spacing w:after="0"/>
        <w:rPr>
          <w:rFonts w:asciiTheme="minorHAnsi" w:hAnsiTheme="minorHAnsi" w:cstheme="minorHAnsi"/>
          <w:i w:val="0"/>
          <w:iCs w:val="0"/>
        </w:rPr>
      </w:pPr>
      <w:r w:rsidRPr="00D849A1">
        <w:rPr>
          <w:rFonts w:asciiTheme="minorHAnsi" w:hAnsiTheme="minorHAnsi" w:cstheme="minorHAnsi"/>
          <w:i w:val="0"/>
          <w:iCs w:val="0"/>
        </w:rPr>
        <w:t xml:space="preserve">Tableau </w:t>
      </w:r>
      <w:r w:rsidRPr="00D849A1">
        <w:rPr>
          <w:rFonts w:asciiTheme="minorHAnsi" w:hAnsiTheme="minorHAnsi" w:cstheme="minorHAnsi"/>
          <w:i w:val="0"/>
          <w:iCs w:val="0"/>
        </w:rPr>
        <w:fldChar w:fldCharType="begin"/>
      </w:r>
      <w:r w:rsidRPr="00D849A1">
        <w:rPr>
          <w:rFonts w:asciiTheme="minorHAnsi" w:hAnsiTheme="minorHAnsi" w:cstheme="minorHAnsi"/>
          <w:i w:val="0"/>
          <w:iCs w:val="0"/>
        </w:rPr>
        <w:instrText xml:space="preserve"> SEQ Tableau \* ARABIC </w:instrText>
      </w:r>
      <w:r w:rsidRPr="00D849A1">
        <w:rPr>
          <w:rFonts w:asciiTheme="minorHAnsi" w:hAnsiTheme="minorHAnsi" w:cstheme="minorHAnsi"/>
          <w:i w:val="0"/>
          <w:iCs w:val="0"/>
        </w:rPr>
        <w:fldChar w:fldCharType="separate"/>
      </w:r>
      <w:r w:rsidR="006226FE">
        <w:rPr>
          <w:rFonts w:asciiTheme="minorHAnsi" w:hAnsiTheme="minorHAnsi" w:cstheme="minorHAnsi"/>
          <w:i w:val="0"/>
          <w:iCs w:val="0"/>
          <w:noProof/>
        </w:rPr>
        <w:t>14</w:t>
      </w:r>
      <w:r w:rsidRPr="00D849A1">
        <w:rPr>
          <w:rFonts w:asciiTheme="minorHAnsi" w:hAnsiTheme="minorHAnsi" w:cstheme="minorHAnsi"/>
          <w:i w:val="0"/>
          <w:iCs w:val="0"/>
        </w:rPr>
        <w:fldChar w:fldCharType="end"/>
      </w:r>
      <w:r w:rsidRPr="00D849A1">
        <w:rPr>
          <w:rFonts w:asciiTheme="minorHAnsi" w:hAnsiTheme="minorHAnsi" w:cstheme="minorHAnsi"/>
          <w:i w:val="0"/>
          <w:iCs w:val="0"/>
        </w:rPr>
        <w:t xml:space="preserve"> - Durée de dotation interne</w:t>
      </w:r>
    </w:p>
    <w:tbl>
      <w:tblPr>
        <w:tblStyle w:val="TableGrid"/>
        <w:tblpPr w:leftFromText="180" w:rightFromText="180" w:vertAnchor="text" w:tblpXSpec="center" w:tblpY="1"/>
        <w:tblW w:w="5000" w:type="pct"/>
        <w:tblLook w:val="0020" w:firstRow="1" w:lastRow="0" w:firstColumn="0" w:lastColumn="0" w:noHBand="0" w:noVBand="0"/>
        <w:tblDescription w:val="Durée de dotation interne"/>
      </w:tblPr>
      <w:tblGrid>
        <w:gridCol w:w="2973"/>
        <w:gridCol w:w="7908"/>
      </w:tblGrid>
      <w:tr w:rsidR="009E16DC" w:rsidRPr="00C17343" w14:paraId="1790CB93" w14:textId="77777777" w:rsidTr="00081693">
        <w:trPr>
          <w:cantSplit/>
          <w:trHeight w:val="290"/>
          <w:tblHeader/>
        </w:trPr>
        <w:tc>
          <w:tcPr>
            <w:tcW w:w="1366" w:type="pct"/>
          </w:tcPr>
          <w:p w14:paraId="09C17359" w14:textId="77777777" w:rsidR="009E16DC" w:rsidRPr="00D849A1" w:rsidRDefault="009E16DC" w:rsidP="00D849A1">
            <w:pPr>
              <w:pStyle w:val="TableTitle"/>
              <w:rPr>
                <w:rFonts w:eastAsia="Calibri" w:cs="Segoe UI Semibold"/>
                <w:color w:val="auto"/>
                <w:sz w:val="22"/>
                <w:szCs w:val="22"/>
              </w:rPr>
            </w:pPr>
            <w:bookmarkStart w:id="4" w:name="Durée_de_dotation_Interne"/>
            <w:r w:rsidRPr="00D849A1">
              <w:rPr>
                <w:rFonts w:eastAsia="Calibri" w:cs="Segoe UI Semibold"/>
                <w:color w:val="auto"/>
                <w:sz w:val="22"/>
                <w:szCs w:val="22"/>
              </w:rPr>
              <w:t>Nombre de jours civils</w:t>
            </w:r>
            <w:bookmarkEnd w:id="4"/>
          </w:p>
        </w:tc>
        <w:tc>
          <w:tcPr>
            <w:tcW w:w="3634" w:type="pct"/>
          </w:tcPr>
          <w:p w14:paraId="5D72C8DE" w14:textId="77777777" w:rsidR="009E16DC" w:rsidRPr="00D849A1" w:rsidRDefault="009E16DC" w:rsidP="00D849A1">
            <w:pPr>
              <w:pStyle w:val="TableTitle"/>
              <w:rPr>
                <w:rFonts w:eastAsia="Calibri" w:cs="Segoe UI Semibold"/>
                <w:color w:val="auto"/>
                <w:sz w:val="22"/>
                <w:szCs w:val="22"/>
              </w:rPr>
            </w:pPr>
            <w:r w:rsidRPr="00D849A1">
              <w:rPr>
                <w:rFonts w:eastAsia="Calibri" w:cs="Segoe UI Semibold"/>
                <w:color w:val="auto"/>
                <w:sz w:val="22"/>
                <w:szCs w:val="22"/>
              </w:rPr>
              <w:t xml:space="preserve">Le nombre de premières embauches internes dans un processus interne (durée de dotation interne) dans les organisations assujetties à la </w:t>
            </w:r>
            <w:r w:rsidRPr="00D849A1">
              <w:rPr>
                <w:rStyle w:val="Emphasis"/>
                <w:color w:val="auto"/>
                <w:sz w:val="22"/>
                <w:szCs w:val="22"/>
              </w:rPr>
              <w:t>Loi sur l’emploi dans la fonction publique</w:t>
            </w:r>
            <w:r w:rsidRPr="00D849A1">
              <w:rPr>
                <w:rFonts w:eastAsia="Calibri" w:cs="Segoe UI Semibold"/>
                <w:color w:val="auto"/>
                <w:sz w:val="22"/>
                <w:szCs w:val="22"/>
              </w:rPr>
              <w:t>, dans le nombre de jours civils spécifié</w:t>
            </w:r>
          </w:p>
        </w:tc>
      </w:tr>
      <w:tr w:rsidR="009E16DC" w:rsidRPr="00C17343" w14:paraId="429B2018" w14:textId="77777777" w:rsidTr="00081693">
        <w:trPr>
          <w:cantSplit/>
          <w:trHeight w:val="290"/>
          <w:tblHeader/>
        </w:trPr>
        <w:tc>
          <w:tcPr>
            <w:tcW w:w="1366" w:type="pct"/>
          </w:tcPr>
          <w:p w14:paraId="28DE9647"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0 jours civils</w:t>
            </w:r>
          </w:p>
        </w:tc>
        <w:tc>
          <w:tcPr>
            <w:tcW w:w="3634" w:type="pct"/>
          </w:tcPr>
          <w:p w14:paraId="7E37ED64"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0</w:t>
            </w:r>
          </w:p>
        </w:tc>
      </w:tr>
      <w:tr w:rsidR="009E16DC" w:rsidRPr="00C17343" w14:paraId="3C2713D9" w14:textId="77777777" w:rsidTr="00081693">
        <w:trPr>
          <w:cantSplit/>
          <w:trHeight w:val="290"/>
          <w:tblHeader/>
        </w:trPr>
        <w:tc>
          <w:tcPr>
            <w:tcW w:w="1366" w:type="pct"/>
          </w:tcPr>
          <w:p w14:paraId="542B21D8"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0 à 29 jours civils</w:t>
            </w:r>
          </w:p>
        </w:tc>
        <w:tc>
          <w:tcPr>
            <w:tcW w:w="3634" w:type="pct"/>
          </w:tcPr>
          <w:p w14:paraId="15BE2F3E"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13</w:t>
            </w:r>
          </w:p>
        </w:tc>
      </w:tr>
      <w:tr w:rsidR="009E16DC" w:rsidRPr="00C17343" w14:paraId="088C784F" w14:textId="77777777" w:rsidTr="00081693">
        <w:trPr>
          <w:cantSplit/>
          <w:trHeight w:val="290"/>
          <w:tblHeader/>
        </w:trPr>
        <w:tc>
          <w:tcPr>
            <w:tcW w:w="1366" w:type="pct"/>
          </w:tcPr>
          <w:p w14:paraId="423139C2"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30 à 59 jours civils</w:t>
            </w:r>
          </w:p>
        </w:tc>
        <w:tc>
          <w:tcPr>
            <w:tcW w:w="3634" w:type="pct"/>
          </w:tcPr>
          <w:p w14:paraId="75819DB7"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106</w:t>
            </w:r>
          </w:p>
        </w:tc>
      </w:tr>
      <w:tr w:rsidR="009E16DC" w:rsidRPr="00C17343" w14:paraId="40150AE6" w14:textId="77777777" w:rsidTr="00081693">
        <w:trPr>
          <w:cantSplit/>
          <w:trHeight w:val="290"/>
          <w:tblHeader/>
        </w:trPr>
        <w:tc>
          <w:tcPr>
            <w:tcW w:w="1366" w:type="pct"/>
          </w:tcPr>
          <w:p w14:paraId="0FF027DF"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60 à 89 jours civils</w:t>
            </w:r>
          </w:p>
        </w:tc>
        <w:tc>
          <w:tcPr>
            <w:tcW w:w="3634" w:type="pct"/>
          </w:tcPr>
          <w:p w14:paraId="0B366032"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256</w:t>
            </w:r>
          </w:p>
        </w:tc>
      </w:tr>
      <w:tr w:rsidR="009E16DC" w:rsidRPr="00C17343" w14:paraId="1DB6818F" w14:textId="77777777" w:rsidTr="00081693">
        <w:trPr>
          <w:cantSplit/>
          <w:trHeight w:val="290"/>
          <w:tblHeader/>
        </w:trPr>
        <w:tc>
          <w:tcPr>
            <w:tcW w:w="1366" w:type="pct"/>
          </w:tcPr>
          <w:p w14:paraId="024FDDE5"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90 à 119 jours civils</w:t>
            </w:r>
          </w:p>
        </w:tc>
        <w:tc>
          <w:tcPr>
            <w:tcW w:w="3634" w:type="pct"/>
          </w:tcPr>
          <w:p w14:paraId="4D00407B"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331</w:t>
            </w:r>
          </w:p>
        </w:tc>
      </w:tr>
      <w:tr w:rsidR="009E16DC" w:rsidRPr="00C17343" w14:paraId="5F906FDE" w14:textId="77777777" w:rsidTr="00081693">
        <w:trPr>
          <w:cantSplit/>
          <w:trHeight w:val="290"/>
          <w:tblHeader/>
        </w:trPr>
        <w:tc>
          <w:tcPr>
            <w:tcW w:w="1366" w:type="pct"/>
          </w:tcPr>
          <w:p w14:paraId="7D951161"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120 à 149 jours civils</w:t>
            </w:r>
          </w:p>
        </w:tc>
        <w:tc>
          <w:tcPr>
            <w:tcW w:w="3634" w:type="pct"/>
          </w:tcPr>
          <w:p w14:paraId="5AC8AC8C"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313</w:t>
            </w:r>
          </w:p>
        </w:tc>
      </w:tr>
      <w:tr w:rsidR="009E16DC" w:rsidRPr="00C17343" w14:paraId="3695FB73" w14:textId="77777777" w:rsidTr="00081693">
        <w:trPr>
          <w:cantSplit/>
          <w:trHeight w:val="290"/>
          <w:tblHeader/>
        </w:trPr>
        <w:tc>
          <w:tcPr>
            <w:tcW w:w="1366" w:type="pct"/>
          </w:tcPr>
          <w:p w14:paraId="43207EE6"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150 à 179 jours civils</w:t>
            </w:r>
          </w:p>
        </w:tc>
        <w:tc>
          <w:tcPr>
            <w:tcW w:w="3634" w:type="pct"/>
          </w:tcPr>
          <w:p w14:paraId="50B122E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314</w:t>
            </w:r>
          </w:p>
        </w:tc>
      </w:tr>
      <w:tr w:rsidR="009E16DC" w:rsidRPr="00C17343" w14:paraId="553399FB" w14:textId="77777777" w:rsidTr="00081693">
        <w:trPr>
          <w:cantSplit/>
          <w:trHeight w:val="290"/>
          <w:tblHeader/>
        </w:trPr>
        <w:tc>
          <w:tcPr>
            <w:tcW w:w="1366" w:type="pct"/>
          </w:tcPr>
          <w:p w14:paraId="32DC2F56"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180 à 209 jours civils</w:t>
            </w:r>
          </w:p>
        </w:tc>
        <w:tc>
          <w:tcPr>
            <w:tcW w:w="3634" w:type="pct"/>
          </w:tcPr>
          <w:p w14:paraId="4410D7CD"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258</w:t>
            </w:r>
          </w:p>
        </w:tc>
      </w:tr>
      <w:tr w:rsidR="009E16DC" w:rsidRPr="00C17343" w14:paraId="259D49DA" w14:textId="77777777" w:rsidTr="00081693">
        <w:trPr>
          <w:cantSplit/>
          <w:trHeight w:val="290"/>
          <w:tblHeader/>
        </w:trPr>
        <w:tc>
          <w:tcPr>
            <w:tcW w:w="1366" w:type="pct"/>
          </w:tcPr>
          <w:p w14:paraId="37A7091A"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210 à 239 jours civils</w:t>
            </w:r>
          </w:p>
        </w:tc>
        <w:tc>
          <w:tcPr>
            <w:tcW w:w="3634" w:type="pct"/>
          </w:tcPr>
          <w:p w14:paraId="1E14F8E6"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191</w:t>
            </w:r>
          </w:p>
        </w:tc>
      </w:tr>
      <w:tr w:rsidR="009E16DC" w:rsidRPr="00C17343" w14:paraId="3A564D35" w14:textId="77777777" w:rsidTr="00081693">
        <w:trPr>
          <w:cantSplit/>
          <w:trHeight w:val="290"/>
          <w:tblHeader/>
        </w:trPr>
        <w:tc>
          <w:tcPr>
            <w:tcW w:w="1366" w:type="pct"/>
          </w:tcPr>
          <w:p w14:paraId="1E26EFD0"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240 à 269 jours civils</w:t>
            </w:r>
          </w:p>
        </w:tc>
        <w:tc>
          <w:tcPr>
            <w:tcW w:w="3634" w:type="pct"/>
          </w:tcPr>
          <w:p w14:paraId="56CABA34"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143</w:t>
            </w:r>
          </w:p>
        </w:tc>
      </w:tr>
      <w:tr w:rsidR="009E16DC" w:rsidRPr="00C17343" w14:paraId="122D6216" w14:textId="77777777" w:rsidTr="00081693">
        <w:trPr>
          <w:cantSplit/>
          <w:trHeight w:val="290"/>
          <w:tblHeader/>
        </w:trPr>
        <w:tc>
          <w:tcPr>
            <w:tcW w:w="1366" w:type="pct"/>
          </w:tcPr>
          <w:p w14:paraId="1BDCCECF"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270 à 299 jours civils</w:t>
            </w:r>
          </w:p>
        </w:tc>
        <w:tc>
          <w:tcPr>
            <w:tcW w:w="3634" w:type="pct"/>
          </w:tcPr>
          <w:p w14:paraId="00F6ABE7"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109</w:t>
            </w:r>
          </w:p>
        </w:tc>
      </w:tr>
      <w:tr w:rsidR="009E16DC" w:rsidRPr="00C17343" w14:paraId="1BE7BB08" w14:textId="77777777" w:rsidTr="00081693">
        <w:trPr>
          <w:cantSplit/>
          <w:trHeight w:val="290"/>
          <w:tblHeader/>
        </w:trPr>
        <w:tc>
          <w:tcPr>
            <w:tcW w:w="1366" w:type="pct"/>
          </w:tcPr>
          <w:p w14:paraId="72189D10"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300 à 329 jours civils</w:t>
            </w:r>
          </w:p>
        </w:tc>
        <w:tc>
          <w:tcPr>
            <w:tcW w:w="3634" w:type="pct"/>
          </w:tcPr>
          <w:p w14:paraId="354E678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91</w:t>
            </w:r>
          </w:p>
        </w:tc>
      </w:tr>
      <w:tr w:rsidR="009E16DC" w:rsidRPr="00C17343" w14:paraId="24A9FFDA" w14:textId="77777777" w:rsidTr="00081693">
        <w:trPr>
          <w:cantSplit/>
          <w:trHeight w:val="290"/>
          <w:tblHeader/>
        </w:trPr>
        <w:tc>
          <w:tcPr>
            <w:tcW w:w="1366" w:type="pct"/>
          </w:tcPr>
          <w:p w14:paraId="23FEF2D5"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330 à 359 jours civils</w:t>
            </w:r>
          </w:p>
        </w:tc>
        <w:tc>
          <w:tcPr>
            <w:tcW w:w="3634" w:type="pct"/>
          </w:tcPr>
          <w:p w14:paraId="06B68F74"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70</w:t>
            </w:r>
          </w:p>
        </w:tc>
      </w:tr>
      <w:tr w:rsidR="009E16DC" w:rsidRPr="00C17343" w14:paraId="64942EF6" w14:textId="77777777" w:rsidTr="00081693">
        <w:trPr>
          <w:cantSplit/>
          <w:trHeight w:val="290"/>
          <w:tblHeader/>
        </w:trPr>
        <w:tc>
          <w:tcPr>
            <w:tcW w:w="1366" w:type="pct"/>
          </w:tcPr>
          <w:p w14:paraId="28C91634"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360 à 389 jours civils</w:t>
            </w:r>
          </w:p>
        </w:tc>
        <w:tc>
          <w:tcPr>
            <w:tcW w:w="3634" w:type="pct"/>
          </w:tcPr>
          <w:p w14:paraId="456591B9"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49</w:t>
            </w:r>
          </w:p>
        </w:tc>
      </w:tr>
      <w:tr w:rsidR="009E16DC" w:rsidRPr="00C17343" w14:paraId="09086D9C" w14:textId="77777777" w:rsidTr="00081693">
        <w:trPr>
          <w:cantSplit/>
          <w:trHeight w:val="290"/>
          <w:tblHeader/>
        </w:trPr>
        <w:tc>
          <w:tcPr>
            <w:tcW w:w="1366" w:type="pct"/>
          </w:tcPr>
          <w:p w14:paraId="23DA7B85"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390 à 419 jours civils</w:t>
            </w:r>
          </w:p>
        </w:tc>
        <w:tc>
          <w:tcPr>
            <w:tcW w:w="3634" w:type="pct"/>
          </w:tcPr>
          <w:p w14:paraId="0FC1633A"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43</w:t>
            </w:r>
          </w:p>
        </w:tc>
      </w:tr>
      <w:tr w:rsidR="009E16DC" w:rsidRPr="00C17343" w14:paraId="2A17E634" w14:textId="77777777" w:rsidTr="00081693">
        <w:trPr>
          <w:cantSplit/>
          <w:trHeight w:val="290"/>
          <w:tblHeader/>
        </w:trPr>
        <w:tc>
          <w:tcPr>
            <w:tcW w:w="1366" w:type="pct"/>
          </w:tcPr>
          <w:p w14:paraId="23619C5E"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420 à 449 jours civils</w:t>
            </w:r>
          </w:p>
        </w:tc>
        <w:tc>
          <w:tcPr>
            <w:tcW w:w="3634" w:type="pct"/>
          </w:tcPr>
          <w:p w14:paraId="72B87971"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41</w:t>
            </w:r>
          </w:p>
        </w:tc>
      </w:tr>
      <w:tr w:rsidR="009E16DC" w:rsidRPr="00C17343" w14:paraId="44910808" w14:textId="77777777" w:rsidTr="00081693">
        <w:trPr>
          <w:cantSplit/>
          <w:trHeight w:val="290"/>
          <w:tblHeader/>
        </w:trPr>
        <w:tc>
          <w:tcPr>
            <w:tcW w:w="1366" w:type="pct"/>
          </w:tcPr>
          <w:p w14:paraId="71E71FFF"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450 à 479 jours civils</w:t>
            </w:r>
          </w:p>
        </w:tc>
        <w:tc>
          <w:tcPr>
            <w:tcW w:w="3634" w:type="pct"/>
          </w:tcPr>
          <w:p w14:paraId="4AC361F0"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36</w:t>
            </w:r>
          </w:p>
        </w:tc>
      </w:tr>
      <w:tr w:rsidR="009E16DC" w:rsidRPr="00C17343" w14:paraId="5BE3E984" w14:textId="77777777" w:rsidTr="00081693">
        <w:trPr>
          <w:cantSplit/>
          <w:trHeight w:val="290"/>
          <w:tblHeader/>
        </w:trPr>
        <w:tc>
          <w:tcPr>
            <w:tcW w:w="1366" w:type="pct"/>
          </w:tcPr>
          <w:p w14:paraId="0AEDFE90"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480 à 509 jours civils</w:t>
            </w:r>
          </w:p>
        </w:tc>
        <w:tc>
          <w:tcPr>
            <w:tcW w:w="3634" w:type="pct"/>
          </w:tcPr>
          <w:p w14:paraId="674BA41D"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20</w:t>
            </w:r>
          </w:p>
        </w:tc>
      </w:tr>
      <w:tr w:rsidR="009E16DC" w:rsidRPr="00C17343" w14:paraId="208A0A93" w14:textId="77777777" w:rsidTr="00081693">
        <w:trPr>
          <w:cantSplit/>
          <w:trHeight w:val="290"/>
          <w:tblHeader/>
        </w:trPr>
        <w:tc>
          <w:tcPr>
            <w:tcW w:w="1366" w:type="pct"/>
          </w:tcPr>
          <w:p w14:paraId="518245E4"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 xml:space="preserve">510 à 539 jours civils </w:t>
            </w:r>
          </w:p>
        </w:tc>
        <w:tc>
          <w:tcPr>
            <w:tcW w:w="3634" w:type="pct"/>
          </w:tcPr>
          <w:p w14:paraId="0DC02CF9"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15</w:t>
            </w:r>
          </w:p>
        </w:tc>
      </w:tr>
      <w:tr w:rsidR="009E16DC" w:rsidRPr="00C17343" w14:paraId="43237023" w14:textId="77777777" w:rsidTr="00081693">
        <w:trPr>
          <w:cantSplit/>
          <w:trHeight w:val="290"/>
          <w:tblHeader/>
        </w:trPr>
        <w:tc>
          <w:tcPr>
            <w:tcW w:w="1366" w:type="pct"/>
          </w:tcPr>
          <w:p w14:paraId="6AC47321"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540 à 569 jours civils</w:t>
            </w:r>
          </w:p>
        </w:tc>
        <w:tc>
          <w:tcPr>
            <w:tcW w:w="3634" w:type="pct"/>
          </w:tcPr>
          <w:p w14:paraId="0D81AF01"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23</w:t>
            </w:r>
          </w:p>
        </w:tc>
      </w:tr>
      <w:tr w:rsidR="009E16DC" w:rsidRPr="00C17343" w14:paraId="2D391CB9" w14:textId="77777777" w:rsidTr="00081693">
        <w:trPr>
          <w:cantSplit/>
          <w:trHeight w:val="290"/>
          <w:tblHeader/>
        </w:trPr>
        <w:tc>
          <w:tcPr>
            <w:tcW w:w="1366" w:type="pct"/>
          </w:tcPr>
          <w:p w14:paraId="4191C016"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570 à 599 jours civils</w:t>
            </w:r>
          </w:p>
        </w:tc>
        <w:tc>
          <w:tcPr>
            <w:tcW w:w="3634" w:type="pct"/>
          </w:tcPr>
          <w:p w14:paraId="0F82EFE0"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20</w:t>
            </w:r>
          </w:p>
        </w:tc>
      </w:tr>
      <w:tr w:rsidR="009E16DC" w:rsidRPr="00C17343" w14:paraId="09FB600B" w14:textId="77777777" w:rsidTr="00081693">
        <w:trPr>
          <w:cantSplit/>
          <w:trHeight w:val="290"/>
          <w:tblHeader/>
        </w:trPr>
        <w:tc>
          <w:tcPr>
            <w:tcW w:w="1366" w:type="pct"/>
          </w:tcPr>
          <w:p w14:paraId="030FAF77"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600 à 629 jours civils</w:t>
            </w:r>
          </w:p>
        </w:tc>
        <w:tc>
          <w:tcPr>
            <w:tcW w:w="3634" w:type="pct"/>
          </w:tcPr>
          <w:p w14:paraId="0BCB1BE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18</w:t>
            </w:r>
          </w:p>
        </w:tc>
      </w:tr>
      <w:tr w:rsidR="009E16DC" w:rsidRPr="00C17343" w14:paraId="06F675C7" w14:textId="77777777" w:rsidTr="00081693">
        <w:trPr>
          <w:cantSplit/>
          <w:trHeight w:val="290"/>
          <w:tblHeader/>
        </w:trPr>
        <w:tc>
          <w:tcPr>
            <w:tcW w:w="1366" w:type="pct"/>
          </w:tcPr>
          <w:p w14:paraId="0BA043A8"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630 à 659 jours civils</w:t>
            </w:r>
          </w:p>
        </w:tc>
        <w:tc>
          <w:tcPr>
            <w:tcW w:w="3634" w:type="pct"/>
          </w:tcPr>
          <w:p w14:paraId="1E503B0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11</w:t>
            </w:r>
          </w:p>
        </w:tc>
      </w:tr>
      <w:tr w:rsidR="009E16DC" w:rsidRPr="00C17343" w14:paraId="6F339635" w14:textId="77777777" w:rsidTr="00081693">
        <w:trPr>
          <w:cantSplit/>
          <w:trHeight w:val="290"/>
          <w:tblHeader/>
        </w:trPr>
        <w:tc>
          <w:tcPr>
            <w:tcW w:w="1366" w:type="pct"/>
          </w:tcPr>
          <w:p w14:paraId="3810F486"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660 à 689 jours civils</w:t>
            </w:r>
          </w:p>
        </w:tc>
        <w:tc>
          <w:tcPr>
            <w:tcW w:w="3634" w:type="pct"/>
          </w:tcPr>
          <w:p w14:paraId="7D8194BA"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15</w:t>
            </w:r>
          </w:p>
        </w:tc>
      </w:tr>
      <w:tr w:rsidR="009E16DC" w:rsidRPr="00C17343" w14:paraId="25EF1D6C" w14:textId="77777777" w:rsidTr="00081693">
        <w:trPr>
          <w:cantSplit/>
          <w:trHeight w:val="290"/>
          <w:tblHeader/>
        </w:trPr>
        <w:tc>
          <w:tcPr>
            <w:tcW w:w="1366" w:type="pct"/>
          </w:tcPr>
          <w:p w14:paraId="29166C29"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690 à 719 jours civils</w:t>
            </w:r>
          </w:p>
        </w:tc>
        <w:tc>
          <w:tcPr>
            <w:tcW w:w="3634" w:type="pct"/>
          </w:tcPr>
          <w:p w14:paraId="5C4032F1"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w:t>
            </w:r>
          </w:p>
        </w:tc>
      </w:tr>
      <w:tr w:rsidR="009E16DC" w:rsidRPr="00C17343" w14:paraId="6C8E67CE" w14:textId="77777777" w:rsidTr="00081693">
        <w:trPr>
          <w:cantSplit/>
          <w:trHeight w:val="302"/>
          <w:tblHeader/>
        </w:trPr>
        <w:tc>
          <w:tcPr>
            <w:tcW w:w="1366" w:type="pct"/>
          </w:tcPr>
          <w:p w14:paraId="614871DA"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720 à 749 jours civils</w:t>
            </w:r>
          </w:p>
        </w:tc>
        <w:tc>
          <w:tcPr>
            <w:tcW w:w="3634" w:type="pct"/>
          </w:tcPr>
          <w:p w14:paraId="3344AC2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11</w:t>
            </w:r>
          </w:p>
        </w:tc>
      </w:tr>
      <w:tr w:rsidR="009E16DC" w:rsidRPr="00C17343" w14:paraId="38FC8291" w14:textId="77777777" w:rsidTr="00081693">
        <w:trPr>
          <w:cantSplit/>
          <w:trHeight w:val="290"/>
          <w:tblHeader/>
        </w:trPr>
        <w:tc>
          <w:tcPr>
            <w:tcW w:w="1366" w:type="pct"/>
          </w:tcPr>
          <w:p w14:paraId="2E3136C8"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750 à 779 jours civils</w:t>
            </w:r>
          </w:p>
        </w:tc>
        <w:tc>
          <w:tcPr>
            <w:tcW w:w="3634" w:type="pct"/>
          </w:tcPr>
          <w:p w14:paraId="310F74B1"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w:t>
            </w:r>
          </w:p>
        </w:tc>
      </w:tr>
      <w:tr w:rsidR="009E16DC" w:rsidRPr="00C17343" w14:paraId="0EC15C0C" w14:textId="77777777" w:rsidTr="00081693">
        <w:trPr>
          <w:cantSplit/>
          <w:trHeight w:val="290"/>
          <w:tblHeader/>
        </w:trPr>
        <w:tc>
          <w:tcPr>
            <w:tcW w:w="1366" w:type="pct"/>
          </w:tcPr>
          <w:p w14:paraId="4A29CD77"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780 à 809 jours civils</w:t>
            </w:r>
          </w:p>
        </w:tc>
        <w:tc>
          <w:tcPr>
            <w:tcW w:w="3634" w:type="pct"/>
          </w:tcPr>
          <w:p w14:paraId="40BC3170"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5</w:t>
            </w:r>
          </w:p>
        </w:tc>
      </w:tr>
      <w:tr w:rsidR="009E16DC" w:rsidRPr="00C17343" w14:paraId="25D96C85" w14:textId="77777777" w:rsidTr="00081693">
        <w:trPr>
          <w:cantSplit/>
          <w:trHeight w:val="290"/>
          <w:tblHeader/>
        </w:trPr>
        <w:tc>
          <w:tcPr>
            <w:tcW w:w="1366" w:type="pct"/>
          </w:tcPr>
          <w:p w14:paraId="2AF50157"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810 à 839 jours civils</w:t>
            </w:r>
          </w:p>
        </w:tc>
        <w:tc>
          <w:tcPr>
            <w:tcW w:w="3634" w:type="pct"/>
          </w:tcPr>
          <w:p w14:paraId="14413D4D"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6</w:t>
            </w:r>
          </w:p>
        </w:tc>
      </w:tr>
      <w:tr w:rsidR="009E16DC" w:rsidRPr="00C17343" w14:paraId="4B647445" w14:textId="77777777" w:rsidTr="00081693">
        <w:trPr>
          <w:cantSplit/>
          <w:trHeight w:val="290"/>
          <w:tblHeader/>
        </w:trPr>
        <w:tc>
          <w:tcPr>
            <w:tcW w:w="1366" w:type="pct"/>
          </w:tcPr>
          <w:p w14:paraId="2124F0FA"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840 à 869 jours civils</w:t>
            </w:r>
          </w:p>
        </w:tc>
        <w:tc>
          <w:tcPr>
            <w:tcW w:w="3634" w:type="pct"/>
          </w:tcPr>
          <w:p w14:paraId="213D6550"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10</w:t>
            </w:r>
          </w:p>
        </w:tc>
      </w:tr>
      <w:tr w:rsidR="009E16DC" w:rsidRPr="00C17343" w14:paraId="509B45FD" w14:textId="77777777" w:rsidTr="00081693">
        <w:trPr>
          <w:cantSplit/>
          <w:trHeight w:val="290"/>
          <w:tblHeader/>
        </w:trPr>
        <w:tc>
          <w:tcPr>
            <w:tcW w:w="1366" w:type="pct"/>
          </w:tcPr>
          <w:p w14:paraId="67CD5C79"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870 à 899 jours civils</w:t>
            </w:r>
          </w:p>
        </w:tc>
        <w:tc>
          <w:tcPr>
            <w:tcW w:w="3634" w:type="pct"/>
          </w:tcPr>
          <w:p w14:paraId="4C616CE4"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1</w:t>
            </w:r>
          </w:p>
        </w:tc>
      </w:tr>
      <w:tr w:rsidR="009E16DC" w:rsidRPr="00C17343" w14:paraId="6ED65555" w14:textId="77777777" w:rsidTr="00081693">
        <w:trPr>
          <w:cantSplit/>
          <w:trHeight w:val="290"/>
          <w:tblHeader/>
        </w:trPr>
        <w:tc>
          <w:tcPr>
            <w:tcW w:w="1366" w:type="pct"/>
          </w:tcPr>
          <w:p w14:paraId="6FD8C89C"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900 à 929 jours civils</w:t>
            </w:r>
          </w:p>
        </w:tc>
        <w:tc>
          <w:tcPr>
            <w:tcW w:w="3634" w:type="pct"/>
          </w:tcPr>
          <w:p w14:paraId="6A94F05F"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w:t>
            </w:r>
          </w:p>
        </w:tc>
      </w:tr>
      <w:tr w:rsidR="009E16DC" w:rsidRPr="00C17343" w14:paraId="2F2553A7" w14:textId="77777777" w:rsidTr="00081693">
        <w:trPr>
          <w:cantSplit/>
          <w:trHeight w:val="290"/>
          <w:tblHeader/>
        </w:trPr>
        <w:tc>
          <w:tcPr>
            <w:tcW w:w="1366" w:type="pct"/>
          </w:tcPr>
          <w:p w14:paraId="2F94A281"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930 à 959 jours civils</w:t>
            </w:r>
          </w:p>
        </w:tc>
        <w:tc>
          <w:tcPr>
            <w:tcW w:w="3634" w:type="pct"/>
          </w:tcPr>
          <w:p w14:paraId="742AF5D1"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5</w:t>
            </w:r>
          </w:p>
        </w:tc>
      </w:tr>
      <w:tr w:rsidR="009E16DC" w:rsidRPr="00C17343" w14:paraId="6EAFA871" w14:textId="77777777" w:rsidTr="00081693">
        <w:trPr>
          <w:cantSplit/>
          <w:trHeight w:val="290"/>
          <w:tblHeader/>
        </w:trPr>
        <w:tc>
          <w:tcPr>
            <w:tcW w:w="1366" w:type="pct"/>
          </w:tcPr>
          <w:p w14:paraId="460709E8" w14:textId="77777777" w:rsidR="009E16DC" w:rsidRPr="00D849A1" w:rsidRDefault="009E16DC" w:rsidP="009E16DC">
            <w:pPr>
              <w:autoSpaceDE w:val="0"/>
              <w:autoSpaceDN w:val="0"/>
              <w:adjustRightInd w:val="0"/>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960 à 989 jours civils</w:t>
            </w:r>
          </w:p>
        </w:tc>
        <w:tc>
          <w:tcPr>
            <w:tcW w:w="3634" w:type="pct"/>
          </w:tcPr>
          <w:p w14:paraId="1713D3C3" w14:textId="77777777" w:rsidR="009E16DC" w:rsidRPr="00D849A1" w:rsidRDefault="009E16DC" w:rsidP="009E16DC">
            <w:pPr>
              <w:autoSpaceDE w:val="0"/>
              <w:autoSpaceDN w:val="0"/>
              <w:adjustRightInd w:val="0"/>
              <w:jc w:val="center"/>
              <w:rPr>
                <w:rFonts w:asciiTheme="minorHAnsi" w:eastAsia="Calibri" w:hAnsiTheme="minorHAnsi" w:cstheme="minorHAnsi"/>
                <w:color w:val="000000"/>
                <w:sz w:val="22"/>
                <w:szCs w:val="22"/>
              </w:rPr>
            </w:pPr>
            <w:r w:rsidRPr="00D849A1">
              <w:rPr>
                <w:rFonts w:asciiTheme="minorHAnsi" w:eastAsia="Calibri" w:hAnsiTheme="minorHAnsi" w:cstheme="minorHAnsi"/>
                <w:color w:val="000000"/>
                <w:sz w:val="22"/>
                <w:szCs w:val="22"/>
              </w:rPr>
              <w:t>4</w:t>
            </w:r>
          </w:p>
        </w:tc>
      </w:tr>
      <w:tr w:rsidR="009E16DC" w:rsidRPr="00C17343" w14:paraId="0485BD5E" w14:textId="77777777" w:rsidTr="00081693">
        <w:trPr>
          <w:cantSplit/>
          <w:trHeight w:val="290"/>
          <w:tblHeader/>
        </w:trPr>
        <w:tc>
          <w:tcPr>
            <w:tcW w:w="1366" w:type="pct"/>
          </w:tcPr>
          <w:p w14:paraId="63DDF7A0" w14:textId="77777777" w:rsidR="009E16DC" w:rsidRPr="00C17343" w:rsidRDefault="009E16DC" w:rsidP="009E16DC">
            <w:pPr>
              <w:autoSpaceDE w:val="0"/>
              <w:autoSpaceDN w:val="0"/>
              <w:adjustRightInd w:val="0"/>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Plus de 990 jours civils</w:t>
            </w:r>
          </w:p>
        </w:tc>
        <w:tc>
          <w:tcPr>
            <w:tcW w:w="3634" w:type="pct"/>
          </w:tcPr>
          <w:p w14:paraId="5571A9A3" w14:textId="77777777" w:rsidR="009E16DC" w:rsidRPr="00C17343" w:rsidRDefault="009E16DC" w:rsidP="009E16DC">
            <w:pPr>
              <w:autoSpaceDE w:val="0"/>
              <w:autoSpaceDN w:val="0"/>
              <w:adjustRightInd w:val="0"/>
              <w:jc w:val="center"/>
              <w:rPr>
                <w:rFonts w:asciiTheme="minorHAnsi" w:eastAsia="Calibri" w:hAnsiTheme="minorHAnsi" w:cstheme="minorHAnsi"/>
                <w:color w:val="000000"/>
                <w:sz w:val="22"/>
                <w:szCs w:val="22"/>
              </w:rPr>
            </w:pPr>
            <w:r w:rsidRPr="00C17343">
              <w:rPr>
                <w:rFonts w:asciiTheme="minorHAnsi" w:eastAsia="Calibri" w:hAnsiTheme="minorHAnsi" w:cstheme="minorHAnsi"/>
                <w:color w:val="000000"/>
                <w:sz w:val="22"/>
                <w:szCs w:val="22"/>
              </w:rPr>
              <w:t>43</w:t>
            </w:r>
          </w:p>
        </w:tc>
      </w:tr>
    </w:tbl>
    <w:p w14:paraId="5DF268AB" w14:textId="37A64E79" w:rsidR="009E16DC" w:rsidRDefault="009E16DC" w:rsidP="00306C9A">
      <w:pPr>
        <w:rPr>
          <w:rFonts w:ascii="Arial" w:eastAsia="Calibri" w:hAnsi="Arial"/>
          <w:sz w:val="22"/>
          <w:szCs w:val="22"/>
        </w:rPr>
      </w:pPr>
    </w:p>
    <w:p w14:paraId="5C7F0745" w14:textId="77777777" w:rsidR="009E16DC" w:rsidRDefault="009E16DC" w:rsidP="00306C9A">
      <w:pPr>
        <w:rPr>
          <w:rFonts w:ascii="Arial" w:eastAsia="Calibri" w:hAnsi="Arial"/>
          <w:sz w:val="22"/>
          <w:szCs w:val="22"/>
        </w:rPr>
        <w:sectPr w:rsidR="009E16DC" w:rsidSect="009E16DC">
          <w:pgSz w:w="12240" w:h="15840"/>
          <w:pgMar w:top="720" w:right="720" w:bottom="720" w:left="629" w:header="709" w:footer="709" w:gutter="0"/>
          <w:cols w:space="708"/>
          <w:titlePg/>
          <w:docGrid w:linePitch="360"/>
        </w:sectPr>
      </w:pPr>
    </w:p>
    <w:p w14:paraId="021D5672" w14:textId="4ECCD7BB" w:rsidR="009E16DC" w:rsidRPr="007811C2" w:rsidRDefault="007811C2" w:rsidP="007811C2">
      <w:pPr>
        <w:pStyle w:val="Heading1"/>
        <w:spacing w:before="120" w:after="120"/>
        <w:rPr>
          <w:rFonts w:eastAsia="Calibri"/>
          <w:sz w:val="40"/>
          <w:szCs w:val="40"/>
        </w:rPr>
      </w:pPr>
      <w:r w:rsidRPr="007811C2">
        <w:rPr>
          <w:rFonts w:eastAsia="Calibri"/>
          <w:sz w:val="40"/>
          <w:szCs w:val="40"/>
        </w:rPr>
        <w:lastRenderedPageBreak/>
        <w:t>Durée de dotation externe</w:t>
      </w:r>
    </w:p>
    <w:p w14:paraId="2A3F1705" w14:textId="5A69DD71" w:rsidR="00D849A1" w:rsidRDefault="009E16DC" w:rsidP="00D849A1">
      <w:pPr>
        <w:keepNext/>
      </w:pPr>
      <w:r w:rsidRPr="00306C9A">
        <w:rPr>
          <w:rFonts w:ascii="Arial" w:eastAsia="Calibri" w:hAnsi="Arial"/>
          <w:noProof/>
          <w:sz w:val="22"/>
          <w:szCs w:val="22"/>
          <w:lang w:eastAsia="en-CA"/>
        </w:rPr>
        <w:drawing>
          <wp:inline distT="0" distB="0" distL="0" distR="0" wp14:anchorId="0E753ADB" wp14:editId="67BD3190">
            <wp:extent cx="5648400" cy="3049200"/>
            <wp:effectExtent l="0" t="0" r="9525" b="18415"/>
            <wp:docPr id="21" name="Chart 21" descr="Durée de dotation externe&#10;Médiane pour la fonction publique = 203 jours, 2019-202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D849A1" w:rsidRPr="00C17343">
        <w:rPr>
          <w:rFonts w:asciiTheme="minorHAnsi" w:eastAsia="Calibri" w:hAnsiTheme="minorHAnsi" w:cstheme="minorHAnsi"/>
          <w:noProof/>
          <w:sz w:val="22"/>
          <w:szCs w:val="22"/>
          <w:lang w:eastAsia="en-CA"/>
        </w:rPr>
        <mc:AlternateContent>
          <mc:Choice Requires="wps">
            <w:drawing>
              <wp:inline distT="0" distB="0" distL="0" distR="0" wp14:anchorId="2A611D6E" wp14:editId="6AB2D595">
                <wp:extent cx="5648400" cy="3049200"/>
                <wp:effectExtent l="0" t="0" r="28575" b="18415"/>
                <wp:docPr id="4" name="Text Box 4" descr="Les données sont insuffisantes pour fournir des résultats sur la durée des processus de dotation externe pour le plus récent exercice financier pour l'organisation spécifique." title="Durée du processus de dotation externe pendant l’exercice financier 2019-2020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682D239F" w14:textId="77777777" w:rsidR="0051103D" w:rsidRPr="006226FE" w:rsidRDefault="0051103D" w:rsidP="006226FE">
                            <w:pPr>
                              <w:spacing w:after="120"/>
                              <w:rPr>
                                <w:rFonts w:asciiTheme="minorHAnsi" w:hAnsiTheme="minorHAnsi" w:cstheme="minorHAnsi"/>
                                <w:sz w:val="22"/>
                                <w:szCs w:val="22"/>
                              </w:rPr>
                            </w:pPr>
                            <w:r w:rsidRPr="006226FE">
                              <w:rPr>
                                <w:rFonts w:asciiTheme="minorHAnsi" w:hAnsiTheme="minorHAnsi" w:cstheme="minorHAnsi"/>
                                <w:sz w:val="22"/>
                                <w:szCs w:val="22"/>
                              </w:rPr>
                              <w:t>Durée de dotation externe</w:t>
                            </w:r>
                          </w:p>
                          <w:p w14:paraId="2890E9E6" w14:textId="77777777" w:rsidR="0051103D" w:rsidRPr="006226FE" w:rsidRDefault="0051103D" w:rsidP="00D849A1">
                            <w:pPr>
                              <w:pStyle w:val="ListParagraph"/>
                              <w:ind w:left="360"/>
                              <w:rPr>
                                <w:rFonts w:asciiTheme="minorHAnsi" w:hAnsiTheme="minorHAnsi" w:cstheme="minorHAnsi"/>
                                <w:sz w:val="22"/>
                                <w:szCs w:val="18"/>
                              </w:rPr>
                            </w:pPr>
                            <w:r w:rsidRPr="006226FE">
                              <w:rPr>
                                <w:rFonts w:asciiTheme="minorHAnsi" w:hAnsiTheme="minorHAnsi" w:cstheme="minorHAnsi"/>
                                <w:sz w:val="22"/>
                                <w:szCs w:val="18"/>
                              </w:rPr>
                              <w:t>Les données sont insuffisantes pour fournir des résultats sur la durée des processus de dotation externe pour la Commission canadienne des grains.</w:t>
                            </w:r>
                          </w:p>
                        </w:txbxContent>
                      </wps:txbx>
                      <wps:bodyPr rot="0" vert="horz" wrap="square" lIns="91440" tIns="45720" rIns="91440" bIns="45720" anchor="t" anchorCtr="0" upright="1">
                        <a:noAutofit/>
                      </wps:bodyPr>
                    </wps:wsp>
                  </a:graphicData>
                </a:graphic>
              </wp:inline>
            </w:drawing>
          </mc:Choice>
          <mc:Fallback>
            <w:pict>
              <v:shape w14:anchorId="2A611D6E" id="Text Box 4" o:spid="_x0000_s1027" type="#_x0000_t202" alt="Title: Durée du processus de dotation externe pendant l’exercice financier 2019-2020 pour l'organisme concerné - Description: Les données sont insuffisantes pour fournir des résultats sur la durée des processus de dotation externe pour le plus récent exercice financier pour l'organisation spécifique."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">
                <v:textbox>
                  <w:txbxContent>
                    <w:p w14:paraId="682D239F" w14:textId="77777777" w:rsidR="0051103D" w:rsidRPr="006226FE" w:rsidRDefault="0051103D" w:rsidP="006226FE">
                      <w:pPr>
                        <w:spacing w:after="120"/>
                        <w:rPr>
                          <w:rFonts w:asciiTheme="minorHAnsi" w:hAnsiTheme="minorHAnsi" w:cstheme="minorHAnsi"/>
                          <w:sz w:val="22"/>
                          <w:szCs w:val="22"/>
                        </w:rPr>
                      </w:pPr>
                      <w:r w:rsidRPr="006226FE">
                        <w:rPr>
                          <w:rFonts w:asciiTheme="minorHAnsi" w:hAnsiTheme="minorHAnsi" w:cstheme="minorHAnsi"/>
                          <w:sz w:val="22"/>
                          <w:szCs w:val="22"/>
                        </w:rPr>
                        <w:t>Durée de dotation externe</w:t>
                      </w:r>
                    </w:p>
                    <w:p w14:paraId="2890E9E6" w14:textId="77777777" w:rsidR="0051103D" w:rsidRPr="006226FE" w:rsidRDefault="0051103D" w:rsidP="00D849A1">
                      <w:pPr>
                        <w:pStyle w:val="ListParagraph"/>
                        <w:ind w:left="360"/>
                        <w:rPr>
                          <w:rFonts w:asciiTheme="minorHAnsi" w:hAnsiTheme="minorHAnsi" w:cstheme="minorHAnsi"/>
                          <w:sz w:val="22"/>
                          <w:szCs w:val="18"/>
                        </w:rPr>
                      </w:pPr>
                      <w:r w:rsidRPr="006226FE">
                        <w:rPr>
                          <w:rFonts w:asciiTheme="minorHAnsi" w:hAnsiTheme="minorHAnsi" w:cstheme="minorHAnsi"/>
                          <w:sz w:val="22"/>
                          <w:szCs w:val="18"/>
                        </w:rPr>
                        <w:t>Les données sont insuffisantes pour fournir des résultats sur la durée des processus de dotation externe pour la Commission canadienne des grains.</w:t>
                      </w:r>
                    </w:p>
                  </w:txbxContent>
                </v:textbox>
                <w10:anchorlock/>
              </v:shape>
            </w:pict>
          </mc:Fallback>
        </mc:AlternateContent>
      </w:r>
    </w:p>
    <w:p w14:paraId="5162F5C7" w14:textId="19F47655" w:rsidR="00D849A1" w:rsidRPr="006226FE" w:rsidRDefault="00D849A1" w:rsidP="00D849A1">
      <w:pPr>
        <w:pStyle w:val="Caption"/>
        <w:rPr>
          <w:rFonts w:asciiTheme="minorHAnsi" w:hAnsiTheme="minorHAnsi" w:cstheme="minorHAnsi"/>
          <w:i w:val="0"/>
          <w:iCs w:val="0"/>
          <w:color w:val="auto"/>
        </w:rPr>
      </w:pPr>
      <w:r w:rsidRPr="006226FE">
        <w:rPr>
          <w:rFonts w:asciiTheme="minorHAnsi" w:hAnsiTheme="minorHAnsi" w:cstheme="minorHAnsi"/>
          <w:i w:val="0"/>
          <w:iCs w:val="0"/>
          <w:color w:val="auto"/>
        </w:rPr>
        <w:t xml:space="preserve">Figure </w:t>
      </w:r>
      <w:r w:rsidRPr="006226FE">
        <w:rPr>
          <w:rFonts w:asciiTheme="minorHAnsi" w:hAnsiTheme="minorHAnsi" w:cstheme="minorHAnsi"/>
          <w:i w:val="0"/>
          <w:iCs w:val="0"/>
          <w:color w:val="auto"/>
        </w:rPr>
        <w:fldChar w:fldCharType="begin"/>
      </w:r>
      <w:r w:rsidRPr="006226FE">
        <w:rPr>
          <w:rFonts w:asciiTheme="minorHAnsi" w:hAnsiTheme="minorHAnsi" w:cstheme="minorHAnsi"/>
          <w:i w:val="0"/>
          <w:iCs w:val="0"/>
          <w:color w:val="auto"/>
        </w:rPr>
        <w:instrText xml:space="preserve"> SEQ Figure \* ARABIC </w:instrText>
      </w:r>
      <w:r w:rsidRPr="006226FE">
        <w:rPr>
          <w:rFonts w:asciiTheme="minorHAnsi" w:hAnsiTheme="minorHAnsi" w:cstheme="minorHAnsi"/>
          <w:i w:val="0"/>
          <w:iCs w:val="0"/>
          <w:color w:val="auto"/>
        </w:rPr>
        <w:fldChar w:fldCharType="separate"/>
      </w:r>
      <w:r w:rsidR="006226FE">
        <w:rPr>
          <w:rFonts w:asciiTheme="minorHAnsi" w:hAnsiTheme="minorHAnsi" w:cstheme="minorHAnsi"/>
          <w:i w:val="0"/>
          <w:iCs w:val="0"/>
          <w:noProof/>
          <w:color w:val="auto"/>
        </w:rPr>
        <w:t>13</w:t>
      </w:r>
      <w:r w:rsidRPr="006226FE">
        <w:rPr>
          <w:rFonts w:asciiTheme="minorHAnsi" w:hAnsiTheme="minorHAnsi" w:cstheme="minorHAnsi"/>
          <w:i w:val="0"/>
          <w:iCs w:val="0"/>
          <w:color w:val="auto"/>
        </w:rPr>
        <w:fldChar w:fldCharType="end"/>
      </w:r>
      <w:r w:rsidRPr="006226FE">
        <w:rPr>
          <w:rFonts w:asciiTheme="minorHAnsi" w:hAnsiTheme="minorHAnsi" w:cstheme="minorHAnsi"/>
          <w:i w:val="0"/>
          <w:iCs w:val="0"/>
          <w:color w:val="auto"/>
        </w:rPr>
        <w:t xml:space="preserve"> - Durée de dotation externe Médiane pour la fonction publique = 203 jours, 2019-2020</w:t>
      </w:r>
    </w:p>
    <w:p w14:paraId="019DE474" w14:textId="0A3CFEE3" w:rsidR="006226FE" w:rsidRPr="0018391A" w:rsidRDefault="006226FE" w:rsidP="006226FE">
      <w:pPr>
        <w:spacing w:before="240" w:after="120"/>
        <w:rPr>
          <w:rStyle w:val="Hyperlink"/>
          <w:rFonts w:asciiTheme="minorHAnsi" w:eastAsiaTheme="minorHAnsi" w:hAnsiTheme="minorHAnsi" w:cstheme="minorHAnsi"/>
          <w:sz w:val="22"/>
          <w:szCs w:val="22"/>
        </w:rPr>
      </w:pPr>
      <w:r>
        <w:rPr>
          <w:rFonts w:asciiTheme="minorHAnsi" w:eastAsiaTheme="minorHAnsi" w:hAnsiTheme="minorHAnsi" w:cstheme="minorHAnsi"/>
          <w:sz w:val="22"/>
          <w:szCs w:val="22"/>
        </w:rPr>
        <w:fldChar w:fldCharType="begin"/>
      </w:r>
      <w:r>
        <w:rPr>
          <w:rFonts w:asciiTheme="minorHAnsi" w:eastAsiaTheme="minorHAnsi" w:hAnsiTheme="minorHAnsi" w:cstheme="minorHAnsi"/>
          <w:sz w:val="22"/>
          <w:szCs w:val="22"/>
        </w:rPr>
        <w:instrText>HYPERLINK  \l "Durée_de_dotation_externe"</w:instrText>
      </w:r>
      <w:r>
        <w:rPr>
          <w:rFonts w:asciiTheme="minorHAnsi" w:eastAsiaTheme="minorHAnsi" w:hAnsiTheme="minorHAnsi" w:cstheme="minorHAnsi"/>
          <w:sz w:val="22"/>
          <w:szCs w:val="22"/>
        </w:rPr>
        <w:fldChar w:fldCharType="separate"/>
      </w:r>
      <w:r w:rsidRPr="0018391A">
        <w:rPr>
          <w:rStyle w:val="Hyperlink"/>
          <w:rFonts w:asciiTheme="minorHAnsi" w:eastAsiaTheme="minorHAnsi" w:hAnsiTheme="minorHAnsi" w:cstheme="minorHAnsi"/>
          <w:sz w:val="22"/>
          <w:szCs w:val="22"/>
        </w:rPr>
        <w:t xml:space="preserve">Tableau des données sur la durée de dotation </w:t>
      </w:r>
      <w:r>
        <w:rPr>
          <w:rStyle w:val="Hyperlink"/>
          <w:rFonts w:asciiTheme="minorHAnsi" w:eastAsiaTheme="minorHAnsi" w:hAnsiTheme="minorHAnsi" w:cstheme="minorHAnsi"/>
          <w:sz w:val="22"/>
          <w:szCs w:val="22"/>
        </w:rPr>
        <w:t>ex</w:t>
      </w:r>
      <w:r w:rsidRPr="0018391A">
        <w:rPr>
          <w:rStyle w:val="Hyperlink"/>
          <w:rFonts w:asciiTheme="minorHAnsi" w:eastAsiaTheme="minorHAnsi" w:hAnsiTheme="minorHAnsi" w:cstheme="minorHAnsi"/>
          <w:sz w:val="22"/>
          <w:szCs w:val="22"/>
        </w:rPr>
        <w:t>terne disponible ici.</w:t>
      </w:r>
    </w:p>
    <w:p w14:paraId="17D326BD" w14:textId="77777777" w:rsidR="006226FE" w:rsidRDefault="006226FE" w:rsidP="006226FE">
      <w:pPr>
        <w:rPr>
          <w:rFonts w:asciiTheme="minorHAnsi" w:hAnsiTheme="minorHAnsi" w:cstheme="minorHAnsi"/>
          <w:sz w:val="22"/>
          <w:szCs w:val="22"/>
          <w:lang w:eastAsia="en-CA"/>
        </w:rPr>
        <w:sectPr w:rsidR="006226FE" w:rsidSect="00D849A1">
          <w:pgSz w:w="20160" w:h="12240" w:orient="landscape" w:code="5"/>
          <w:pgMar w:top="629" w:right="720" w:bottom="720" w:left="720" w:header="709" w:footer="709" w:gutter="0"/>
          <w:cols w:space="708"/>
          <w:titlePg/>
          <w:docGrid w:linePitch="360"/>
        </w:sectPr>
      </w:pPr>
      <w:r>
        <w:rPr>
          <w:rFonts w:asciiTheme="minorHAnsi" w:eastAsiaTheme="minorHAnsi" w:hAnsiTheme="minorHAnsi" w:cstheme="minorHAnsi"/>
          <w:sz w:val="22"/>
          <w:szCs w:val="22"/>
        </w:rPr>
        <w:fldChar w:fldCharType="end"/>
      </w:r>
      <w:r w:rsidRPr="006226FE">
        <w:rPr>
          <w:rFonts w:asciiTheme="minorHAnsi" w:hAnsiTheme="minorHAnsi" w:cstheme="minorHAnsi"/>
          <w:sz w:val="22"/>
          <w:szCs w:val="22"/>
          <w:lang w:eastAsia="en-CA"/>
        </w:rPr>
        <w:t xml:space="preserve"> </w:t>
      </w:r>
    </w:p>
    <w:p w14:paraId="70D9FDE8" w14:textId="24EFCE2B" w:rsidR="006226FE" w:rsidRDefault="006226FE" w:rsidP="006226FE">
      <w:pPr>
        <w:spacing w:after="120"/>
        <w:rPr>
          <w:rFonts w:asciiTheme="minorHAnsi" w:hAnsiTheme="minorHAnsi" w:cstheme="minorHAnsi"/>
          <w:sz w:val="22"/>
          <w:szCs w:val="22"/>
          <w:lang w:eastAsia="en-CA"/>
        </w:rPr>
      </w:pPr>
      <w:r w:rsidRPr="00C17343">
        <w:rPr>
          <w:rFonts w:asciiTheme="minorHAnsi" w:hAnsiTheme="minorHAnsi" w:cstheme="minorHAnsi"/>
          <w:sz w:val="22"/>
          <w:szCs w:val="22"/>
          <w:lang w:eastAsia="en-CA"/>
        </w:rPr>
        <w:t>La durée de dotation externe est calculée en tant que le nombre de jours civils entre la date d’ouverture de l’annonce et la date estimée de la première embauche externe</w:t>
      </w:r>
    </w:p>
    <w:p w14:paraId="3B00299B" w14:textId="76443A0C" w:rsidR="006226FE" w:rsidRPr="006226FE" w:rsidRDefault="006226FE" w:rsidP="006226FE">
      <w:pPr>
        <w:rPr>
          <w:rFonts w:asciiTheme="minorHAnsi" w:eastAsia="Calibri" w:hAnsiTheme="minorHAnsi" w:cstheme="minorHAnsi"/>
          <w:sz w:val="22"/>
          <w:szCs w:val="22"/>
        </w:rPr>
      </w:pPr>
      <w:r w:rsidRPr="006226FE">
        <w:rPr>
          <w:rFonts w:asciiTheme="minorHAnsi" w:hAnsiTheme="minorHAnsi" w:cstheme="minorHAnsi"/>
          <w:sz w:val="22"/>
          <w:szCs w:val="22"/>
          <w:lang w:eastAsia="en-CA"/>
        </w:rPr>
        <w:t xml:space="preserve">La durée médiane de dotation externe pour la fonction publique (organisations assujetties à la </w:t>
      </w:r>
      <w:r w:rsidRPr="006226FE">
        <w:rPr>
          <w:rStyle w:val="Emphasis"/>
          <w:rFonts w:asciiTheme="minorHAnsi" w:hAnsiTheme="minorHAnsi" w:cstheme="minorHAnsi"/>
          <w:sz w:val="22"/>
          <w:szCs w:val="18"/>
        </w:rPr>
        <w:t>Loi sur l’emploi dans la fonction publique</w:t>
      </w:r>
      <w:r w:rsidRPr="006226FE">
        <w:rPr>
          <w:rFonts w:asciiTheme="minorHAnsi" w:hAnsiTheme="minorHAnsi" w:cstheme="minorHAnsi"/>
          <w:i/>
          <w:sz w:val="20"/>
          <w:lang w:eastAsia="en-CA"/>
        </w:rPr>
        <w:t xml:space="preserve"> </w:t>
      </w:r>
      <w:r w:rsidRPr="006226FE">
        <w:rPr>
          <w:rFonts w:asciiTheme="minorHAnsi" w:hAnsiTheme="minorHAnsi" w:cstheme="minorHAnsi"/>
          <w:sz w:val="22"/>
          <w:szCs w:val="22"/>
          <w:lang w:eastAsia="en-CA"/>
        </w:rPr>
        <w:t>(LEFP)) pour l’exercice financier 2019 à 2020 est 203 jours</w:t>
      </w:r>
    </w:p>
    <w:p w14:paraId="60D59BF7" w14:textId="1049018B" w:rsidR="006226FE" w:rsidRPr="006226FE" w:rsidRDefault="006226FE" w:rsidP="006226FE">
      <w:pPr>
        <w:rPr>
          <w:rStyle w:val="Strong"/>
          <w:rFonts w:asciiTheme="minorHAnsi" w:eastAsia="Calibri" w:hAnsiTheme="minorHAnsi" w:cstheme="minorHAnsi"/>
          <w:sz w:val="22"/>
          <w:szCs w:val="18"/>
        </w:rPr>
      </w:pPr>
      <w:r w:rsidRPr="006226FE">
        <w:rPr>
          <w:rStyle w:val="Strong"/>
          <w:rFonts w:asciiTheme="minorHAnsi" w:eastAsia="Calibri" w:hAnsiTheme="minorHAnsi" w:cstheme="minorHAnsi"/>
          <w:sz w:val="22"/>
          <w:szCs w:val="18"/>
        </w:rPr>
        <w:t>Durée de dotation externe pour l’exercice financier 2019 à 2020</w:t>
      </w:r>
    </w:p>
    <w:p w14:paraId="483B74C6" w14:textId="77777777" w:rsidR="006226FE" w:rsidRPr="00C17343" w:rsidRDefault="006226FE" w:rsidP="006226FE">
      <w:pPr>
        <w:rPr>
          <w:rFonts w:asciiTheme="minorHAnsi" w:eastAsia="Calibri" w:hAnsiTheme="minorHAnsi" w:cstheme="minorHAnsi"/>
          <w:sz w:val="22"/>
          <w:szCs w:val="22"/>
          <w:highlight w:val="yellow"/>
        </w:rPr>
      </w:pPr>
      <w:r w:rsidRPr="00C17343">
        <w:rPr>
          <w:rFonts w:asciiTheme="minorHAnsi" w:eastAsia="Calibri" w:hAnsiTheme="minorHAnsi" w:cstheme="minorHAnsi"/>
          <w:sz w:val="22"/>
          <w:szCs w:val="22"/>
        </w:rPr>
        <w:t>Les données sont insuffisantes pour fournir des résultats sur la durée des processus de dotation externe pour la Commission canadienne des grains</w:t>
      </w:r>
    </w:p>
    <w:p w14:paraId="020770A4" w14:textId="77777777" w:rsidR="006226FE" w:rsidRDefault="006226FE" w:rsidP="006226FE">
      <w:pPr>
        <w:rPr>
          <w:rFonts w:ascii="Arial" w:eastAsia="Calibri" w:hAnsi="Arial"/>
          <w:sz w:val="22"/>
          <w:szCs w:val="22"/>
        </w:rPr>
        <w:sectPr w:rsidR="006226FE" w:rsidSect="006226FE">
          <w:type w:val="continuous"/>
          <w:pgSz w:w="20160" w:h="12240" w:orient="landscape" w:code="5"/>
          <w:pgMar w:top="629" w:right="720" w:bottom="720" w:left="720" w:header="709" w:footer="709" w:gutter="0"/>
          <w:cols w:num="2" w:space="708"/>
          <w:titlePg/>
          <w:docGrid w:linePitch="360"/>
        </w:sectPr>
      </w:pPr>
    </w:p>
    <w:p w14:paraId="4A327087" w14:textId="673414AF" w:rsidR="00D849A1" w:rsidRPr="00C17343" w:rsidRDefault="00D849A1" w:rsidP="00306C9A">
      <w:pPr>
        <w:rPr>
          <w:rFonts w:asciiTheme="minorHAnsi" w:hAnsiTheme="minorHAnsi" w:cstheme="minorHAnsi"/>
          <w:sz w:val="22"/>
          <w:szCs w:val="22"/>
          <w:lang w:eastAsia="en-CA"/>
        </w:rPr>
        <w:sectPr w:rsidR="00D849A1" w:rsidRPr="00C17343" w:rsidSect="006226FE">
          <w:type w:val="continuous"/>
          <w:pgSz w:w="20160" w:h="12240" w:orient="landscape" w:code="5"/>
          <w:pgMar w:top="629" w:right="720" w:bottom="720" w:left="720" w:header="709" w:footer="709" w:gutter="0"/>
          <w:cols w:space="708"/>
          <w:titlePg/>
          <w:docGrid w:linePitch="360"/>
        </w:sectPr>
      </w:pPr>
    </w:p>
    <w:p w14:paraId="7CC3643C" w14:textId="17C0FFA9" w:rsidR="006226FE" w:rsidRDefault="006226FE" w:rsidP="007811C2">
      <w:pPr>
        <w:pStyle w:val="Heading1"/>
        <w:spacing w:before="120" w:after="120"/>
        <w:rPr>
          <w:rFonts w:eastAsia="Calibri"/>
          <w:sz w:val="40"/>
          <w:szCs w:val="40"/>
        </w:rPr>
      </w:pPr>
      <w:r>
        <w:rPr>
          <w:rFonts w:eastAsia="Calibri"/>
          <w:sz w:val="40"/>
          <w:szCs w:val="40"/>
        </w:rPr>
        <w:lastRenderedPageBreak/>
        <w:t>Durée de dotation externe</w:t>
      </w:r>
    </w:p>
    <w:p w14:paraId="0EDD687B" w14:textId="3F8C24B7" w:rsidR="006226FE" w:rsidRPr="006226FE" w:rsidRDefault="006226FE" w:rsidP="006226FE">
      <w:pPr>
        <w:pStyle w:val="Caption"/>
        <w:keepNext/>
        <w:spacing w:after="0"/>
        <w:rPr>
          <w:rFonts w:asciiTheme="minorHAnsi" w:hAnsiTheme="minorHAnsi" w:cstheme="minorHAnsi"/>
          <w:i w:val="0"/>
          <w:iCs w:val="0"/>
          <w:color w:val="auto"/>
        </w:rPr>
      </w:pPr>
      <w:r w:rsidRPr="006226FE">
        <w:rPr>
          <w:rFonts w:asciiTheme="minorHAnsi" w:hAnsiTheme="minorHAnsi" w:cstheme="minorHAnsi"/>
          <w:i w:val="0"/>
          <w:iCs w:val="0"/>
          <w:color w:val="auto"/>
        </w:rPr>
        <w:t xml:space="preserve">Tableau </w:t>
      </w:r>
      <w:r w:rsidRPr="006226FE">
        <w:rPr>
          <w:rFonts w:asciiTheme="minorHAnsi" w:hAnsiTheme="minorHAnsi" w:cstheme="minorHAnsi"/>
          <w:i w:val="0"/>
          <w:iCs w:val="0"/>
          <w:color w:val="auto"/>
        </w:rPr>
        <w:fldChar w:fldCharType="begin"/>
      </w:r>
      <w:r w:rsidRPr="006226FE">
        <w:rPr>
          <w:rFonts w:asciiTheme="minorHAnsi" w:hAnsiTheme="minorHAnsi" w:cstheme="minorHAnsi"/>
          <w:i w:val="0"/>
          <w:iCs w:val="0"/>
          <w:color w:val="auto"/>
        </w:rPr>
        <w:instrText xml:space="preserve"> SEQ Tableau \* ARABIC </w:instrText>
      </w:r>
      <w:r w:rsidRPr="006226FE">
        <w:rPr>
          <w:rFonts w:asciiTheme="minorHAnsi" w:hAnsiTheme="minorHAnsi" w:cstheme="minorHAnsi"/>
          <w:i w:val="0"/>
          <w:iCs w:val="0"/>
          <w:color w:val="auto"/>
        </w:rPr>
        <w:fldChar w:fldCharType="separate"/>
      </w:r>
      <w:r w:rsidRPr="006226FE">
        <w:rPr>
          <w:rFonts w:asciiTheme="minorHAnsi" w:hAnsiTheme="minorHAnsi" w:cstheme="minorHAnsi"/>
          <w:i w:val="0"/>
          <w:iCs w:val="0"/>
          <w:noProof/>
          <w:color w:val="auto"/>
        </w:rPr>
        <w:t>15</w:t>
      </w:r>
      <w:r w:rsidRPr="006226FE">
        <w:rPr>
          <w:rFonts w:asciiTheme="minorHAnsi" w:hAnsiTheme="minorHAnsi" w:cstheme="minorHAnsi"/>
          <w:i w:val="0"/>
          <w:iCs w:val="0"/>
          <w:color w:val="auto"/>
        </w:rPr>
        <w:fldChar w:fldCharType="end"/>
      </w:r>
      <w:r w:rsidRPr="006226FE">
        <w:rPr>
          <w:rFonts w:asciiTheme="minorHAnsi" w:hAnsiTheme="minorHAnsi" w:cstheme="minorHAnsi"/>
          <w:i w:val="0"/>
          <w:iCs w:val="0"/>
          <w:color w:val="auto"/>
        </w:rPr>
        <w:t xml:space="preserve"> - Durée de dotation interne</w:t>
      </w:r>
    </w:p>
    <w:tbl>
      <w:tblPr>
        <w:tblStyle w:val="TableGrid"/>
        <w:tblpPr w:leftFromText="180" w:rightFromText="180" w:vertAnchor="text" w:tblpXSpec="center" w:tblpY="1"/>
        <w:tblW w:w="5000" w:type="pct"/>
        <w:tblLook w:val="0020" w:firstRow="1" w:lastRow="0" w:firstColumn="0" w:lastColumn="0" w:noHBand="0" w:noVBand="0"/>
        <w:tblDescription w:val="Durée de dotation externe"/>
      </w:tblPr>
      <w:tblGrid>
        <w:gridCol w:w="2831"/>
        <w:gridCol w:w="7653"/>
      </w:tblGrid>
      <w:tr w:rsidR="006226FE" w:rsidRPr="00C17343" w14:paraId="0D6D6613" w14:textId="77777777" w:rsidTr="00081693">
        <w:trPr>
          <w:cantSplit/>
          <w:trHeight w:val="290"/>
          <w:tblHeader/>
        </w:trPr>
        <w:tc>
          <w:tcPr>
            <w:tcW w:w="1350" w:type="pct"/>
          </w:tcPr>
          <w:p w14:paraId="430C07DD" w14:textId="77777777" w:rsidR="006226FE" w:rsidRPr="006226FE" w:rsidRDefault="006226FE" w:rsidP="006226FE">
            <w:pPr>
              <w:pStyle w:val="TableTitle"/>
              <w:rPr>
                <w:rFonts w:eastAsia="Calibri"/>
                <w:color w:val="auto"/>
                <w:sz w:val="22"/>
                <w:szCs w:val="22"/>
              </w:rPr>
            </w:pPr>
            <w:r w:rsidRPr="006226FE">
              <w:rPr>
                <w:rFonts w:eastAsia="Calibri"/>
                <w:color w:val="auto"/>
                <w:sz w:val="22"/>
                <w:szCs w:val="22"/>
              </w:rPr>
              <w:t>Nombre de jours civils</w:t>
            </w:r>
          </w:p>
        </w:tc>
        <w:tc>
          <w:tcPr>
            <w:tcW w:w="3650" w:type="pct"/>
          </w:tcPr>
          <w:p w14:paraId="3F968B5E" w14:textId="77777777" w:rsidR="006226FE" w:rsidRPr="006226FE" w:rsidRDefault="006226FE" w:rsidP="006226FE">
            <w:pPr>
              <w:pStyle w:val="TableTitle"/>
              <w:rPr>
                <w:rFonts w:eastAsia="Calibri"/>
                <w:color w:val="auto"/>
                <w:sz w:val="22"/>
                <w:szCs w:val="22"/>
              </w:rPr>
            </w:pPr>
            <w:r w:rsidRPr="006226FE">
              <w:rPr>
                <w:rFonts w:eastAsia="Calibri"/>
                <w:color w:val="auto"/>
                <w:sz w:val="22"/>
                <w:szCs w:val="22"/>
              </w:rPr>
              <w:t>Le nombre de premières embauches externes dans un processus externe (durée de dotation externe) dans les organisations assujetties à la</w:t>
            </w:r>
            <w:r w:rsidRPr="006226FE">
              <w:rPr>
                <w:rFonts w:eastAsia="Calibri"/>
                <w:i/>
                <w:color w:val="auto"/>
                <w:sz w:val="22"/>
                <w:szCs w:val="22"/>
              </w:rPr>
              <w:t xml:space="preserve"> </w:t>
            </w:r>
            <w:r w:rsidRPr="006226FE">
              <w:rPr>
                <w:rStyle w:val="Emphasis"/>
                <w:color w:val="auto"/>
                <w:sz w:val="22"/>
                <w:szCs w:val="22"/>
              </w:rPr>
              <w:t>Loi sur l’emploi dans la fonction publique</w:t>
            </w:r>
            <w:r w:rsidRPr="006226FE">
              <w:rPr>
                <w:rFonts w:eastAsia="Calibri"/>
                <w:i/>
                <w:color w:val="auto"/>
                <w:sz w:val="22"/>
                <w:szCs w:val="22"/>
              </w:rPr>
              <w:t xml:space="preserve">, </w:t>
            </w:r>
            <w:r w:rsidRPr="006226FE">
              <w:rPr>
                <w:rFonts w:eastAsia="Calibri"/>
                <w:color w:val="auto"/>
                <w:sz w:val="22"/>
                <w:szCs w:val="22"/>
              </w:rPr>
              <w:t>dans le nombre de jours civils spécifié</w:t>
            </w:r>
          </w:p>
        </w:tc>
      </w:tr>
      <w:tr w:rsidR="006226FE" w:rsidRPr="00C17343" w14:paraId="6613C669" w14:textId="77777777" w:rsidTr="00081693">
        <w:trPr>
          <w:cantSplit/>
          <w:trHeight w:val="290"/>
          <w:tblHeader/>
        </w:trPr>
        <w:tc>
          <w:tcPr>
            <w:tcW w:w="1350" w:type="pct"/>
          </w:tcPr>
          <w:p w14:paraId="38F1A0F9"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0 jours civils</w:t>
            </w:r>
          </w:p>
        </w:tc>
        <w:tc>
          <w:tcPr>
            <w:tcW w:w="3650" w:type="pct"/>
          </w:tcPr>
          <w:p w14:paraId="28B94188"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r w:rsidR="006226FE" w:rsidRPr="00C17343" w14:paraId="747C1C92" w14:textId="77777777" w:rsidTr="00081693">
        <w:trPr>
          <w:cantSplit/>
          <w:trHeight w:val="290"/>
          <w:tblHeader/>
        </w:trPr>
        <w:tc>
          <w:tcPr>
            <w:tcW w:w="1350" w:type="pct"/>
          </w:tcPr>
          <w:p w14:paraId="1FAF9957"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0 à 29 jours civils</w:t>
            </w:r>
          </w:p>
        </w:tc>
        <w:tc>
          <w:tcPr>
            <w:tcW w:w="3650" w:type="pct"/>
          </w:tcPr>
          <w:p w14:paraId="2E9A675D"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55</w:t>
            </w:r>
          </w:p>
        </w:tc>
      </w:tr>
      <w:tr w:rsidR="006226FE" w:rsidRPr="00C17343" w14:paraId="62E99182" w14:textId="77777777" w:rsidTr="00081693">
        <w:trPr>
          <w:cantSplit/>
          <w:trHeight w:val="290"/>
          <w:tblHeader/>
        </w:trPr>
        <w:tc>
          <w:tcPr>
            <w:tcW w:w="1350" w:type="pct"/>
          </w:tcPr>
          <w:p w14:paraId="5860F94F"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30 à 59 jours civils</w:t>
            </w:r>
          </w:p>
        </w:tc>
        <w:tc>
          <w:tcPr>
            <w:tcW w:w="3650" w:type="pct"/>
          </w:tcPr>
          <w:p w14:paraId="1B4937AC"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75</w:t>
            </w:r>
          </w:p>
        </w:tc>
      </w:tr>
      <w:tr w:rsidR="006226FE" w:rsidRPr="00C17343" w14:paraId="7F7211A8" w14:textId="77777777" w:rsidTr="00081693">
        <w:trPr>
          <w:cantSplit/>
          <w:trHeight w:val="290"/>
          <w:tblHeader/>
        </w:trPr>
        <w:tc>
          <w:tcPr>
            <w:tcW w:w="1350" w:type="pct"/>
          </w:tcPr>
          <w:p w14:paraId="358001C4"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60 à 89 jours civils</w:t>
            </w:r>
          </w:p>
        </w:tc>
        <w:tc>
          <w:tcPr>
            <w:tcW w:w="3650" w:type="pct"/>
          </w:tcPr>
          <w:p w14:paraId="0AD0985E"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95</w:t>
            </w:r>
          </w:p>
        </w:tc>
      </w:tr>
      <w:tr w:rsidR="006226FE" w:rsidRPr="00C17343" w14:paraId="7D574F1D" w14:textId="77777777" w:rsidTr="00081693">
        <w:trPr>
          <w:cantSplit/>
          <w:trHeight w:val="290"/>
          <w:tblHeader/>
        </w:trPr>
        <w:tc>
          <w:tcPr>
            <w:tcW w:w="1350" w:type="pct"/>
          </w:tcPr>
          <w:p w14:paraId="561C4D1F"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90 à 119 jours civils</w:t>
            </w:r>
          </w:p>
        </w:tc>
        <w:tc>
          <w:tcPr>
            <w:tcW w:w="3650" w:type="pct"/>
          </w:tcPr>
          <w:p w14:paraId="16C7781B"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108</w:t>
            </w:r>
          </w:p>
        </w:tc>
      </w:tr>
      <w:tr w:rsidR="006226FE" w:rsidRPr="00C17343" w14:paraId="7AC2B1CB" w14:textId="77777777" w:rsidTr="00081693">
        <w:trPr>
          <w:cantSplit/>
          <w:trHeight w:val="290"/>
          <w:tblHeader/>
        </w:trPr>
        <w:tc>
          <w:tcPr>
            <w:tcW w:w="1350" w:type="pct"/>
          </w:tcPr>
          <w:p w14:paraId="19830B4A"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120 à 149 jours civils</w:t>
            </w:r>
          </w:p>
        </w:tc>
        <w:tc>
          <w:tcPr>
            <w:tcW w:w="3650" w:type="pct"/>
          </w:tcPr>
          <w:p w14:paraId="5354E42F"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166</w:t>
            </w:r>
          </w:p>
        </w:tc>
      </w:tr>
      <w:tr w:rsidR="006226FE" w:rsidRPr="00C17343" w14:paraId="0400C4C8" w14:textId="77777777" w:rsidTr="00081693">
        <w:trPr>
          <w:cantSplit/>
          <w:trHeight w:val="290"/>
          <w:tblHeader/>
        </w:trPr>
        <w:tc>
          <w:tcPr>
            <w:tcW w:w="1350" w:type="pct"/>
          </w:tcPr>
          <w:p w14:paraId="1A2BA6F8"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150 à 179 jours civils</w:t>
            </w:r>
          </w:p>
        </w:tc>
        <w:tc>
          <w:tcPr>
            <w:tcW w:w="3650" w:type="pct"/>
          </w:tcPr>
          <w:p w14:paraId="17B13311"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164</w:t>
            </w:r>
          </w:p>
        </w:tc>
      </w:tr>
      <w:tr w:rsidR="006226FE" w:rsidRPr="00C17343" w14:paraId="4294BFCB" w14:textId="77777777" w:rsidTr="00081693">
        <w:trPr>
          <w:cantSplit/>
          <w:trHeight w:val="290"/>
          <w:tblHeader/>
        </w:trPr>
        <w:tc>
          <w:tcPr>
            <w:tcW w:w="1350" w:type="pct"/>
          </w:tcPr>
          <w:p w14:paraId="2C89E993"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180 à 209 jours civils</w:t>
            </w:r>
          </w:p>
        </w:tc>
        <w:tc>
          <w:tcPr>
            <w:tcW w:w="3650" w:type="pct"/>
          </w:tcPr>
          <w:p w14:paraId="41D279BB"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160</w:t>
            </w:r>
          </w:p>
        </w:tc>
      </w:tr>
      <w:tr w:rsidR="006226FE" w:rsidRPr="00C17343" w14:paraId="750A5AB1" w14:textId="77777777" w:rsidTr="00081693">
        <w:trPr>
          <w:cantSplit/>
          <w:trHeight w:val="290"/>
          <w:tblHeader/>
        </w:trPr>
        <w:tc>
          <w:tcPr>
            <w:tcW w:w="1350" w:type="pct"/>
          </w:tcPr>
          <w:p w14:paraId="5F8EA5D0"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210 à 239 jours civils</w:t>
            </w:r>
          </w:p>
        </w:tc>
        <w:tc>
          <w:tcPr>
            <w:tcW w:w="3650" w:type="pct"/>
          </w:tcPr>
          <w:p w14:paraId="7E7BF8F2"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133</w:t>
            </w:r>
          </w:p>
        </w:tc>
      </w:tr>
      <w:tr w:rsidR="006226FE" w:rsidRPr="00C17343" w14:paraId="4D6B6434" w14:textId="77777777" w:rsidTr="00081693">
        <w:trPr>
          <w:cantSplit/>
          <w:trHeight w:val="290"/>
          <w:tblHeader/>
        </w:trPr>
        <w:tc>
          <w:tcPr>
            <w:tcW w:w="1350" w:type="pct"/>
          </w:tcPr>
          <w:p w14:paraId="29461F07"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240 à 269 jours civils</w:t>
            </w:r>
          </w:p>
        </w:tc>
        <w:tc>
          <w:tcPr>
            <w:tcW w:w="3650" w:type="pct"/>
          </w:tcPr>
          <w:p w14:paraId="02212A96"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122</w:t>
            </w:r>
          </w:p>
        </w:tc>
      </w:tr>
      <w:tr w:rsidR="006226FE" w:rsidRPr="00C17343" w14:paraId="2FCD73E8" w14:textId="77777777" w:rsidTr="00081693">
        <w:trPr>
          <w:cantSplit/>
          <w:trHeight w:val="290"/>
          <w:tblHeader/>
        </w:trPr>
        <w:tc>
          <w:tcPr>
            <w:tcW w:w="1350" w:type="pct"/>
          </w:tcPr>
          <w:p w14:paraId="2BF00313"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270 à 299 jours civils</w:t>
            </w:r>
          </w:p>
        </w:tc>
        <w:tc>
          <w:tcPr>
            <w:tcW w:w="3650" w:type="pct"/>
          </w:tcPr>
          <w:p w14:paraId="31B2B4C3"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101</w:t>
            </w:r>
          </w:p>
        </w:tc>
      </w:tr>
      <w:tr w:rsidR="006226FE" w:rsidRPr="00C17343" w14:paraId="494AE57F" w14:textId="77777777" w:rsidTr="00081693">
        <w:trPr>
          <w:cantSplit/>
          <w:trHeight w:val="290"/>
          <w:tblHeader/>
        </w:trPr>
        <w:tc>
          <w:tcPr>
            <w:tcW w:w="1350" w:type="pct"/>
          </w:tcPr>
          <w:p w14:paraId="77E467AA"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300 à 329 jours civils</w:t>
            </w:r>
          </w:p>
        </w:tc>
        <w:tc>
          <w:tcPr>
            <w:tcW w:w="3650" w:type="pct"/>
          </w:tcPr>
          <w:p w14:paraId="1069E38A"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80</w:t>
            </w:r>
          </w:p>
        </w:tc>
      </w:tr>
      <w:tr w:rsidR="006226FE" w:rsidRPr="00C17343" w14:paraId="4DB73986" w14:textId="77777777" w:rsidTr="00081693">
        <w:trPr>
          <w:cantSplit/>
          <w:trHeight w:val="290"/>
          <w:tblHeader/>
        </w:trPr>
        <w:tc>
          <w:tcPr>
            <w:tcW w:w="1350" w:type="pct"/>
          </w:tcPr>
          <w:p w14:paraId="59531419"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330 à 359 jours civils</w:t>
            </w:r>
          </w:p>
        </w:tc>
        <w:tc>
          <w:tcPr>
            <w:tcW w:w="3650" w:type="pct"/>
          </w:tcPr>
          <w:p w14:paraId="6336F08D"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61</w:t>
            </w:r>
          </w:p>
        </w:tc>
      </w:tr>
      <w:tr w:rsidR="006226FE" w:rsidRPr="00C17343" w14:paraId="2F1E0A0C" w14:textId="77777777" w:rsidTr="00081693">
        <w:trPr>
          <w:cantSplit/>
          <w:trHeight w:val="290"/>
          <w:tblHeader/>
        </w:trPr>
        <w:tc>
          <w:tcPr>
            <w:tcW w:w="1350" w:type="pct"/>
          </w:tcPr>
          <w:p w14:paraId="09269D87"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360 à 389 jours civils</w:t>
            </w:r>
          </w:p>
        </w:tc>
        <w:tc>
          <w:tcPr>
            <w:tcW w:w="3650" w:type="pct"/>
          </w:tcPr>
          <w:p w14:paraId="29760156"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50</w:t>
            </w:r>
          </w:p>
        </w:tc>
      </w:tr>
      <w:tr w:rsidR="006226FE" w:rsidRPr="00C17343" w14:paraId="7FA81A9D" w14:textId="77777777" w:rsidTr="00081693">
        <w:trPr>
          <w:cantSplit/>
          <w:trHeight w:val="290"/>
          <w:tblHeader/>
        </w:trPr>
        <w:tc>
          <w:tcPr>
            <w:tcW w:w="1350" w:type="pct"/>
          </w:tcPr>
          <w:p w14:paraId="2E7444FA"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390 à 419 jours civils</w:t>
            </w:r>
          </w:p>
        </w:tc>
        <w:tc>
          <w:tcPr>
            <w:tcW w:w="3650" w:type="pct"/>
          </w:tcPr>
          <w:p w14:paraId="3D8703C3"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45</w:t>
            </w:r>
          </w:p>
        </w:tc>
      </w:tr>
      <w:tr w:rsidR="006226FE" w:rsidRPr="00C17343" w14:paraId="2087E331" w14:textId="77777777" w:rsidTr="00081693">
        <w:trPr>
          <w:cantSplit/>
          <w:trHeight w:val="290"/>
          <w:tblHeader/>
        </w:trPr>
        <w:tc>
          <w:tcPr>
            <w:tcW w:w="1350" w:type="pct"/>
          </w:tcPr>
          <w:p w14:paraId="6F1203E0"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420 à 449 jours civils</w:t>
            </w:r>
          </w:p>
        </w:tc>
        <w:tc>
          <w:tcPr>
            <w:tcW w:w="3650" w:type="pct"/>
          </w:tcPr>
          <w:p w14:paraId="212B988B"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34</w:t>
            </w:r>
          </w:p>
        </w:tc>
      </w:tr>
      <w:tr w:rsidR="006226FE" w:rsidRPr="00C17343" w14:paraId="7B24C2C3" w14:textId="77777777" w:rsidTr="00081693">
        <w:trPr>
          <w:cantSplit/>
          <w:trHeight w:val="290"/>
          <w:tblHeader/>
        </w:trPr>
        <w:tc>
          <w:tcPr>
            <w:tcW w:w="1350" w:type="pct"/>
          </w:tcPr>
          <w:p w14:paraId="18238859"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450 à 479 jours civils</w:t>
            </w:r>
          </w:p>
        </w:tc>
        <w:tc>
          <w:tcPr>
            <w:tcW w:w="3650" w:type="pct"/>
          </w:tcPr>
          <w:p w14:paraId="263284FE"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34</w:t>
            </w:r>
          </w:p>
        </w:tc>
      </w:tr>
      <w:tr w:rsidR="006226FE" w:rsidRPr="00C17343" w14:paraId="4587C007" w14:textId="77777777" w:rsidTr="00081693">
        <w:trPr>
          <w:cantSplit/>
          <w:trHeight w:val="290"/>
          <w:tblHeader/>
        </w:trPr>
        <w:tc>
          <w:tcPr>
            <w:tcW w:w="1350" w:type="pct"/>
          </w:tcPr>
          <w:p w14:paraId="4C509F69"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480 à 509 jours civils</w:t>
            </w:r>
          </w:p>
        </w:tc>
        <w:tc>
          <w:tcPr>
            <w:tcW w:w="3650" w:type="pct"/>
          </w:tcPr>
          <w:p w14:paraId="4C0060A0"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21</w:t>
            </w:r>
          </w:p>
        </w:tc>
      </w:tr>
      <w:tr w:rsidR="006226FE" w:rsidRPr="00C17343" w14:paraId="32002812" w14:textId="77777777" w:rsidTr="00081693">
        <w:trPr>
          <w:cantSplit/>
          <w:trHeight w:val="290"/>
          <w:tblHeader/>
        </w:trPr>
        <w:tc>
          <w:tcPr>
            <w:tcW w:w="1350" w:type="pct"/>
          </w:tcPr>
          <w:p w14:paraId="03DEA796"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 xml:space="preserve">510 à 539 jours civils </w:t>
            </w:r>
          </w:p>
        </w:tc>
        <w:tc>
          <w:tcPr>
            <w:tcW w:w="3650" w:type="pct"/>
          </w:tcPr>
          <w:p w14:paraId="0FCFCD35"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16</w:t>
            </w:r>
          </w:p>
        </w:tc>
      </w:tr>
      <w:tr w:rsidR="006226FE" w:rsidRPr="00C17343" w14:paraId="73AC243B" w14:textId="77777777" w:rsidTr="00081693">
        <w:trPr>
          <w:cantSplit/>
          <w:trHeight w:val="290"/>
          <w:tblHeader/>
        </w:trPr>
        <w:tc>
          <w:tcPr>
            <w:tcW w:w="1350" w:type="pct"/>
          </w:tcPr>
          <w:p w14:paraId="4B0E0EC2"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540 à 569 jours civils</w:t>
            </w:r>
          </w:p>
        </w:tc>
        <w:tc>
          <w:tcPr>
            <w:tcW w:w="3650" w:type="pct"/>
          </w:tcPr>
          <w:p w14:paraId="7559089B"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19</w:t>
            </w:r>
          </w:p>
        </w:tc>
      </w:tr>
      <w:tr w:rsidR="006226FE" w:rsidRPr="00C17343" w14:paraId="51E42879" w14:textId="77777777" w:rsidTr="00081693">
        <w:trPr>
          <w:cantSplit/>
          <w:trHeight w:val="290"/>
          <w:tblHeader/>
        </w:trPr>
        <w:tc>
          <w:tcPr>
            <w:tcW w:w="1350" w:type="pct"/>
          </w:tcPr>
          <w:p w14:paraId="2DF6EA70"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570 à 599 jours civils</w:t>
            </w:r>
          </w:p>
        </w:tc>
        <w:tc>
          <w:tcPr>
            <w:tcW w:w="3650" w:type="pct"/>
          </w:tcPr>
          <w:p w14:paraId="748CA007"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13</w:t>
            </w:r>
          </w:p>
        </w:tc>
      </w:tr>
      <w:tr w:rsidR="006226FE" w:rsidRPr="00C17343" w14:paraId="28934B8E" w14:textId="77777777" w:rsidTr="00081693">
        <w:trPr>
          <w:cantSplit/>
          <w:trHeight w:val="290"/>
          <w:tblHeader/>
        </w:trPr>
        <w:tc>
          <w:tcPr>
            <w:tcW w:w="1350" w:type="pct"/>
          </w:tcPr>
          <w:p w14:paraId="38F19495"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600 à 629 jours civils</w:t>
            </w:r>
          </w:p>
        </w:tc>
        <w:tc>
          <w:tcPr>
            <w:tcW w:w="3650" w:type="pct"/>
          </w:tcPr>
          <w:p w14:paraId="26DDDDD0"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7</w:t>
            </w:r>
          </w:p>
        </w:tc>
      </w:tr>
      <w:tr w:rsidR="006226FE" w:rsidRPr="00C17343" w14:paraId="2BDF53E9" w14:textId="77777777" w:rsidTr="00081693">
        <w:trPr>
          <w:cantSplit/>
          <w:trHeight w:val="290"/>
          <w:tblHeader/>
        </w:trPr>
        <w:tc>
          <w:tcPr>
            <w:tcW w:w="1350" w:type="pct"/>
          </w:tcPr>
          <w:p w14:paraId="35C65C01"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630 à 659 jours civils</w:t>
            </w:r>
          </w:p>
        </w:tc>
        <w:tc>
          <w:tcPr>
            <w:tcW w:w="3650" w:type="pct"/>
          </w:tcPr>
          <w:p w14:paraId="15C46EE7"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7</w:t>
            </w:r>
          </w:p>
        </w:tc>
      </w:tr>
      <w:tr w:rsidR="006226FE" w:rsidRPr="00C17343" w14:paraId="5C57DA6F" w14:textId="77777777" w:rsidTr="00081693">
        <w:trPr>
          <w:cantSplit/>
          <w:trHeight w:val="290"/>
          <w:tblHeader/>
        </w:trPr>
        <w:tc>
          <w:tcPr>
            <w:tcW w:w="1350" w:type="pct"/>
          </w:tcPr>
          <w:p w14:paraId="31A2C9C4"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660 à 689 jours civils</w:t>
            </w:r>
          </w:p>
        </w:tc>
        <w:tc>
          <w:tcPr>
            <w:tcW w:w="3650" w:type="pct"/>
          </w:tcPr>
          <w:p w14:paraId="4D233FEA"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4</w:t>
            </w:r>
          </w:p>
        </w:tc>
      </w:tr>
      <w:tr w:rsidR="006226FE" w:rsidRPr="00C17343" w14:paraId="3CA56AE7" w14:textId="77777777" w:rsidTr="00081693">
        <w:trPr>
          <w:cantSplit/>
          <w:trHeight w:val="290"/>
          <w:tblHeader/>
        </w:trPr>
        <w:tc>
          <w:tcPr>
            <w:tcW w:w="1350" w:type="pct"/>
          </w:tcPr>
          <w:p w14:paraId="3163B9C7"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690 à 719 jours civils</w:t>
            </w:r>
          </w:p>
        </w:tc>
        <w:tc>
          <w:tcPr>
            <w:tcW w:w="3650" w:type="pct"/>
          </w:tcPr>
          <w:p w14:paraId="59DADEE2"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11</w:t>
            </w:r>
          </w:p>
        </w:tc>
      </w:tr>
      <w:tr w:rsidR="006226FE" w:rsidRPr="00C17343" w14:paraId="2B018C63" w14:textId="77777777" w:rsidTr="00081693">
        <w:trPr>
          <w:cantSplit/>
          <w:trHeight w:val="302"/>
          <w:tblHeader/>
        </w:trPr>
        <w:tc>
          <w:tcPr>
            <w:tcW w:w="1350" w:type="pct"/>
          </w:tcPr>
          <w:p w14:paraId="310301DA"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720 à 749 jours civils</w:t>
            </w:r>
          </w:p>
        </w:tc>
        <w:tc>
          <w:tcPr>
            <w:tcW w:w="3650" w:type="pct"/>
          </w:tcPr>
          <w:p w14:paraId="5B6ACB2E"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6</w:t>
            </w:r>
          </w:p>
        </w:tc>
      </w:tr>
      <w:tr w:rsidR="006226FE" w:rsidRPr="00C17343" w14:paraId="7B87DF93" w14:textId="77777777" w:rsidTr="00081693">
        <w:trPr>
          <w:cantSplit/>
          <w:trHeight w:val="290"/>
          <w:tblHeader/>
        </w:trPr>
        <w:tc>
          <w:tcPr>
            <w:tcW w:w="1350" w:type="pct"/>
          </w:tcPr>
          <w:p w14:paraId="75738249"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750 à 779 jours civils</w:t>
            </w:r>
          </w:p>
        </w:tc>
        <w:tc>
          <w:tcPr>
            <w:tcW w:w="3650" w:type="pct"/>
          </w:tcPr>
          <w:p w14:paraId="6B5A1FEE"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2</w:t>
            </w:r>
          </w:p>
        </w:tc>
      </w:tr>
      <w:tr w:rsidR="006226FE" w:rsidRPr="00C17343" w14:paraId="4EDE1390" w14:textId="77777777" w:rsidTr="00081693">
        <w:trPr>
          <w:cantSplit/>
          <w:trHeight w:val="290"/>
          <w:tblHeader/>
        </w:trPr>
        <w:tc>
          <w:tcPr>
            <w:tcW w:w="1350" w:type="pct"/>
          </w:tcPr>
          <w:p w14:paraId="2698FCD2"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780 à 809 jours civils</w:t>
            </w:r>
          </w:p>
        </w:tc>
        <w:tc>
          <w:tcPr>
            <w:tcW w:w="3650" w:type="pct"/>
          </w:tcPr>
          <w:p w14:paraId="5627C5DA"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4</w:t>
            </w:r>
          </w:p>
        </w:tc>
      </w:tr>
      <w:tr w:rsidR="006226FE" w:rsidRPr="00C17343" w14:paraId="0A4F5B17" w14:textId="77777777" w:rsidTr="00081693">
        <w:trPr>
          <w:cantSplit/>
          <w:trHeight w:val="290"/>
          <w:tblHeader/>
        </w:trPr>
        <w:tc>
          <w:tcPr>
            <w:tcW w:w="1350" w:type="pct"/>
          </w:tcPr>
          <w:p w14:paraId="38A14D36"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810 à 839 jours civils</w:t>
            </w:r>
          </w:p>
        </w:tc>
        <w:tc>
          <w:tcPr>
            <w:tcW w:w="3650" w:type="pct"/>
          </w:tcPr>
          <w:p w14:paraId="1F1BD88D"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4</w:t>
            </w:r>
          </w:p>
        </w:tc>
      </w:tr>
      <w:tr w:rsidR="006226FE" w:rsidRPr="00C17343" w14:paraId="126ABA08" w14:textId="77777777" w:rsidTr="00081693">
        <w:trPr>
          <w:cantSplit/>
          <w:trHeight w:val="290"/>
          <w:tblHeader/>
        </w:trPr>
        <w:tc>
          <w:tcPr>
            <w:tcW w:w="1350" w:type="pct"/>
          </w:tcPr>
          <w:p w14:paraId="216627DF"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840 à 869 jours civils</w:t>
            </w:r>
          </w:p>
        </w:tc>
        <w:tc>
          <w:tcPr>
            <w:tcW w:w="3650" w:type="pct"/>
          </w:tcPr>
          <w:p w14:paraId="6714576C"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r w:rsidR="006226FE" w:rsidRPr="00C17343" w14:paraId="68721361" w14:textId="77777777" w:rsidTr="00081693">
        <w:trPr>
          <w:cantSplit/>
          <w:trHeight w:val="290"/>
          <w:tblHeader/>
        </w:trPr>
        <w:tc>
          <w:tcPr>
            <w:tcW w:w="1350" w:type="pct"/>
          </w:tcPr>
          <w:p w14:paraId="236F78AF"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870 à 899 jours civils</w:t>
            </w:r>
          </w:p>
        </w:tc>
        <w:tc>
          <w:tcPr>
            <w:tcW w:w="3650" w:type="pct"/>
          </w:tcPr>
          <w:p w14:paraId="067598C3"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1</w:t>
            </w:r>
          </w:p>
        </w:tc>
      </w:tr>
      <w:tr w:rsidR="006226FE" w:rsidRPr="00C17343" w14:paraId="5E2B6B6E" w14:textId="77777777" w:rsidTr="00081693">
        <w:trPr>
          <w:cantSplit/>
          <w:trHeight w:val="290"/>
          <w:tblHeader/>
        </w:trPr>
        <w:tc>
          <w:tcPr>
            <w:tcW w:w="1350" w:type="pct"/>
          </w:tcPr>
          <w:p w14:paraId="7B5E6652"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900 à 929 jours civils</w:t>
            </w:r>
          </w:p>
        </w:tc>
        <w:tc>
          <w:tcPr>
            <w:tcW w:w="3650" w:type="pct"/>
          </w:tcPr>
          <w:p w14:paraId="6F88622E"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r w:rsidR="006226FE" w:rsidRPr="00C17343" w14:paraId="4FD07B57" w14:textId="77777777" w:rsidTr="00081693">
        <w:trPr>
          <w:cantSplit/>
          <w:trHeight w:val="290"/>
          <w:tblHeader/>
        </w:trPr>
        <w:tc>
          <w:tcPr>
            <w:tcW w:w="1350" w:type="pct"/>
          </w:tcPr>
          <w:p w14:paraId="42C54A61"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930 à 959 jours civils</w:t>
            </w:r>
          </w:p>
        </w:tc>
        <w:tc>
          <w:tcPr>
            <w:tcW w:w="3650" w:type="pct"/>
          </w:tcPr>
          <w:p w14:paraId="25C348E7"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r w:rsidR="006226FE" w:rsidRPr="00C17343" w14:paraId="6415A7D8" w14:textId="77777777" w:rsidTr="00081693">
        <w:trPr>
          <w:cantSplit/>
          <w:trHeight w:val="290"/>
          <w:tblHeader/>
        </w:trPr>
        <w:tc>
          <w:tcPr>
            <w:tcW w:w="1350" w:type="pct"/>
          </w:tcPr>
          <w:p w14:paraId="0C18A601"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960 à 989 jours civils</w:t>
            </w:r>
          </w:p>
        </w:tc>
        <w:tc>
          <w:tcPr>
            <w:tcW w:w="3650" w:type="pct"/>
          </w:tcPr>
          <w:p w14:paraId="28A52F55" w14:textId="77777777" w:rsidR="006226FE" w:rsidRPr="006226FE" w:rsidRDefault="006226FE" w:rsidP="001D214D">
            <w:pPr>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r w:rsidR="006226FE" w:rsidRPr="00C17343" w14:paraId="6765771F" w14:textId="77777777" w:rsidTr="00081693">
        <w:trPr>
          <w:cantSplit/>
          <w:trHeight w:val="290"/>
          <w:tblHeader/>
        </w:trPr>
        <w:tc>
          <w:tcPr>
            <w:tcW w:w="1350" w:type="pct"/>
          </w:tcPr>
          <w:p w14:paraId="2DD4ECC0" w14:textId="77777777" w:rsidR="006226FE" w:rsidRPr="006226FE" w:rsidRDefault="006226FE" w:rsidP="001D214D">
            <w:pPr>
              <w:autoSpaceDE w:val="0"/>
              <w:autoSpaceDN w:val="0"/>
              <w:adjustRightInd w:val="0"/>
              <w:rPr>
                <w:rFonts w:asciiTheme="minorHAnsi" w:eastAsia="Calibri" w:hAnsiTheme="minorHAnsi" w:cstheme="minorHAnsi"/>
                <w:sz w:val="22"/>
                <w:szCs w:val="22"/>
              </w:rPr>
            </w:pPr>
            <w:r w:rsidRPr="006226FE">
              <w:rPr>
                <w:rFonts w:asciiTheme="minorHAnsi" w:eastAsia="Calibri" w:hAnsiTheme="minorHAnsi" w:cstheme="minorHAnsi"/>
                <w:sz w:val="22"/>
                <w:szCs w:val="22"/>
              </w:rPr>
              <w:t>Plus de 990 jours civils</w:t>
            </w:r>
          </w:p>
        </w:tc>
        <w:tc>
          <w:tcPr>
            <w:tcW w:w="3650" w:type="pct"/>
          </w:tcPr>
          <w:p w14:paraId="5C8B4F13" w14:textId="77777777" w:rsidR="006226FE" w:rsidRPr="006226FE" w:rsidRDefault="006226FE" w:rsidP="001D214D">
            <w:pPr>
              <w:keepNext/>
              <w:autoSpaceDE w:val="0"/>
              <w:autoSpaceDN w:val="0"/>
              <w:adjustRightInd w:val="0"/>
              <w:jc w:val="center"/>
              <w:rPr>
                <w:rFonts w:asciiTheme="minorHAnsi" w:eastAsia="Calibri" w:hAnsiTheme="minorHAnsi" w:cstheme="minorHAnsi"/>
                <w:sz w:val="22"/>
                <w:szCs w:val="22"/>
              </w:rPr>
            </w:pPr>
            <w:r w:rsidRPr="006226FE">
              <w:rPr>
                <w:rFonts w:asciiTheme="minorHAnsi" w:eastAsia="Calibri" w:hAnsiTheme="minorHAnsi" w:cstheme="minorHAnsi"/>
                <w:sz w:val="22"/>
                <w:szCs w:val="22"/>
              </w:rPr>
              <w:t>0</w:t>
            </w:r>
          </w:p>
        </w:tc>
      </w:tr>
    </w:tbl>
    <w:p w14:paraId="21699C28" w14:textId="77777777" w:rsidR="006226FE" w:rsidRDefault="006226FE" w:rsidP="006226FE">
      <w:pPr>
        <w:pStyle w:val="Heading1"/>
        <w:spacing w:before="0"/>
        <w:rPr>
          <w:rFonts w:eastAsia="Calibri"/>
          <w:sz w:val="40"/>
          <w:szCs w:val="40"/>
        </w:rPr>
      </w:pPr>
    </w:p>
    <w:p w14:paraId="523B234A" w14:textId="77777777" w:rsidR="006226FE" w:rsidRDefault="006226FE" w:rsidP="007811C2">
      <w:pPr>
        <w:pStyle w:val="Heading1"/>
        <w:spacing w:before="120" w:after="120"/>
        <w:rPr>
          <w:rFonts w:eastAsia="Calibri"/>
          <w:sz w:val="40"/>
          <w:szCs w:val="40"/>
        </w:rPr>
        <w:sectPr w:rsidR="006226FE" w:rsidSect="00306C9A">
          <w:headerReference w:type="default" r:id="rId37"/>
          <w:footerReference w:type="even" r:id="rId38"/>
          <w:footerReference w:type="default" r:id="rId39"/>
          <w:pgSz w:w="12240" w:h="15840" w:code="1"/>
          <w:pgMar w:top="720" w:right="1026" w:bottom="720" w:left="720" w:header="709" w:footer="709" w:gutter="0"/>
          <w:cols w:space="708"/>
          <w:titlePg/>
          <w:docGrid w:linePitch="360"/>
        </w:sectPr>
      </w:pPr>
    </w:p>
    <w:p w14:paraId="37CE41C0" w14:textId="77777777" w:rsidR="00306C9A" w:rsidRPr="00C17343" w:rsidRDefault="00306C9A" w:rsidP="007811C2">
      <w:pPr>
        <w:pStyle w:val="Heading1"/>
        <w:spacing w:after="120"/>
        <w:rPr>
          <w:rFonts w:eastAsia="Calibri"/>
        </w:rPr>
      </w:pPr>
      <w:r w:rsidRPr="00C17343">
        <w:rPr>
          <w:rFonts w:eastAsia="Calibri"/>
        </w:rPr>
        <w:lastRenderedPageBreak/>
        <w:t>Notes techniques :</w:t>
      </w:r>
    </w:p>
    <w:p w14:paraId="5B840337" w14:textId="77777777" w:rsidR="009E16DC" w:rsidRPr="009E16DC" w:rsidRDefault="00306C9A" w:rsidP="00B31972">
      <w:pPr>
        <w:numPr>
          <w:ilvl w:val="0"/>
          <w:numId w:val="35"/>
        </w:numPr>
        <w:contextualSpacing/>
        <w:rPr>
          <w:rFonts w:asciiTheme="minorHAnsi" w:eastAsia="Calibri" w:hAnsiTheme="minorHAnsi" w:cstheme="minorHAnsi"/>
          <w:bCs/>
          <w:sz w:val="22"/>
          <w:szCs w:val="22"/>
        </w:rPr>
      </w:pPr>
      <w:r w:rsidRPr="009E16DC">
        <w:rPr>
          <w:rFonts w:asciiTheme="minorHAnsi" w:eastAsia="Calibri" w:hAnsiTheme="minorHAnsi" w:cstheme="minorHAnsi"/>
          <w:bCs/>
          <w:sz w:val="22"/>
          <w:szCs w:val="22"/>
          <w:lang w:eastAsia="en-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9E16DC">
        <w:rPr>
          <w:rFonts w:asciiTheme="minorHAnsi" w:hAnsiTheme="minorHAnsi" w:cstheme="minorHAnsi"/>
          <w:sz w:val="22"/>
          <w:szCs w:val="22"/>
          <w:lang w:eastAsia="en-CA"/>
        </w:rPr>
        <w:t xml:space="preserve">Les PANA ne sont pas requis pour toutes les activités de dotation interne. Par conséquent, cette mesure se limite aux rapports sur </w:t>
      </w:r>
      <w:r w:rsidR="002201AE" w:rsidRPr="009E16DC">
        <w:rPr>
          <w:rFonts w:asciiTheme="minorHAnsi" w:hAnsiTheme="minorHAnsi" w:cstheme="minorHAnsi"/>
          <w:sz w:val="22"/>
          <w:szCs w:val="22"/>
          <w:lang w:eastAsia="en-CA"/>
        </w:rPr>
        <w:t>les nominations promotionnelles</w:t>
      </w:r>
      <w:r w:rsidRPr="009E16DC">
        <w:rPr>
          <w:rFonts w:asciiTheme="minorHAnsi" w:hAnsiTheme="minorHAnsi" w:cstheme="minorHAnsi"/>
          <w:sz w:val="22"/>
          <w:szCs w:val="22"/>
          <w:lang w:eastAsia="en-CA"/>
        </w:rPr>
        <w:t xml:space="preserve"> internes.</w:t>
      </w:r>
    </w:p>
    <w:p w14:paraId="37F2B8B6" w14:textId="75D084D0" w:rsidR="00306C9A" w:rsidRPr="009E16DC" w:rsidRDefault="00306C9A" w:rsidP="00B31972">
      <w:pPr>
        <w:numPr>
          <w:ilvl w:val="0"/>
          <w:numId w:val="35"/>
        </w:numPr>
        <w:contextualSpacing/>
        <w:rPr>
          <w:rFonts w:asciiTheme="minorHAnsi" w:eastAsia="Calibri" w:hAnsiTheme="minorHAnsi" w:cstheme="minorHAnsi"/>
          <w:bCs/>
          <w:sz w:val="22"/>
          <w:szCs w:val="22"/>
        </w:rPr>
      </w:pPr>
      <w:r w:rsidRPr="009E16DC">
        <w:rPr>
          <w:rFonts w:asciiTheme="minorHAnsi" w:eastAsia="Calibri" w:hAnsiTheme="minorHAnsi" w:cstheme="minorHAnsi"/>
          <w:bCs/>
          <w:sz w:val="22"/>
          <w:szCs w:val="22"/>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7811C2">
        <w:rPr>
          <w:rStyle w:val="Emphasis"/>
          <w:rFonts w:asciiTheme="minorHAnsi" w:eastAsia="Calibri" w:hAnsiTheme="minorHAnsi" w:cstheme="minorHAnsi"/>
          <w:sz w:val="22"/>
          <w:szCs w:val="18"/>
        </w:rPr>
        <w:t>Loi sur l'emploi dans la fonction publique</w:t>
      </w:r>
      <w:r w:rsidRPr="007811C2">
        <w:rPr>
          <w:rFonts w:asciiTheme="minorHAnsi" w:eastAsia="Calibri" w:hAnsiTheme="minorHAnsi" w:cstheme="minorHAnsi"/>
          <w:bCs/>
          <w:i/>
          <w:sz w:val="20"/>
        </w:rPr>
        <w:t xml:space="preserve"> </w:t>
      </w:r>
      <w:r w:rsidRPr="009E16DC">
        <w:rPr>
          <w:rFonts w:asciiTheme="minorHAnsi" w:eastAsia="Calibri" w:hAnsiTheme="minorHAnsi" w:cstheme="minorHAnsi"/>
          <w:bCs/>
          <w:sz w:val="22"/>
          <w:szCs w:val="22"/>
        </w:rPr>
        <w:t>pour les postes de durée déterminée et ceux pour une période indéterminée. Parce que le lien des données entre les systèmes utilise un jumelage probabiliste, des erreurs de mesure sont donc possibles.</w:t>
      </w:r>
    </w:p>
    <w:p w14:paraId="5384724A" w14:textId="77777777" w:rsidR="00306C9A" w:rsidRPr="00C17343" w:rsidRDefault="00306C9A" w:rsidP="00B31972">
      <w:pPr>
        <w:numPr>
          <w:ilvl w:val="0"/>
          <w:numId w:val="35"/>
        </w:numPr>
        <w:spacing w:after="120"/>
        <w:contextualSpacing/>
        <w:rPr>
          <w:rFonts w:asciiTheme="minorHAnsi" w:eastAsia="Calibri" w:hAnsiTheme="minorHAnsi" w:cstheme="minorHAnsi"/>
          <w:bCs/>
          <w:sz w:val="22"/>
          <w:szCs w:val="22"/>
        </w:rPr>
      </w:pPr>
      <w:r w:rsidRPr="00C17343">
        <w:rPr>
          <w:rFonts w:asciiTheme="minorHAnsi" w:eastAsia="Calibri" w:hAnsiTheme="minorHAnsi" w:cstheme="minorHAnsi"/>
          <w:bCs/>
          <w:sz w:val="22"/>
          <w:szCs w:val="22"/>
        </w:rPr>
        <w:t>Seules les nominations d'une durée déterminée et les nominations pour une période indéterminée sont incluses (les mutations, les nominations d’employés occasionnels et les nominations intérimaires sont exclues).</w:t>
      </w:r>
    </w:p>
    <w:p w14:paraId="1B215FAB" w14:textId="77777777" w:rsidR="00306C9A" w:rsidRPr="00C17343" w:rsidRDefault="00306C9A" w:rsidP="007811C2">
      <w:pPr>
        <w:pStyle w:val="Heading1"/>
        <w:spacing w:after="120"/>
        <w:rPr>
          <w:rFonts w:eastAsia="Calibri"/>
        </w:rPr>
      </w:pPr>
      <w:r w:rsidRPr="00C17343">
        <w:rPr>
          <w:rFonts w:eastAsia="Calibri"/>
        </w:rPr>
        <w:t>Source :</w:t>
      </w:r>
    </w:p>
    <w:p w14:paraId="6A5FF457" w14:textId="77777777" w:rsidR="00306C9A" w:rsidRPr="00C17343" w:rsidRDefault="00306C9A" w:rsidP="00B31972">
      <w:pPr>
        <w:numPr>
          <w:ilvl w:val="0"/>
          <w:numId w:val="36"/>
        </w:numPr>
        <w:contextualSpacing/>
        <w:rPr>
          <w:rFonts w:asciiTheme="minorHAnsi" w:eastAsia="Calibri" w:hAnsiTheme="minorHAnsi" w:cstheme="minorHAnsi"/>
          <w:bCs/>
          <w:sz w:val="22"/>
          <w:szCs w:val="22"/>
        </w:rPr>
      </w:pPr>
      <w:r w:rsidRPr="00C17343">
        <w:rPr>
          <w:rFonts w:asciiTheme="minorHAnsi" w:eastAsia="Calibri" w:hAnsiTheme="minorHAnsi" w:cstheme="minorHAnsi"/>
          <w:bCs/>
          <w:sz w:val="22"/>
          <w:szCs w:val="22"/>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38DC3699" w14:textId="77777777" w:rsidR="00306C9A" w:rsidRPr="00C17343" w:rsidRDefault="00306C9A" w:rsidP="00B31972">
      <w:pPr>
        <w:numPr>
          <w:ilvl w:val="0"/>
          <w:numId w:val="36"/>
        </w:numPr>
        <w:contextualSpacing/>
        <w:rPr>
          <w:rFonts w:asciiTheme="minorHAnsi" w:eastAsia="Calibri" w:hAnsiTheme="minorHAnsi" w:cstheme="minorHAnsi"/>
          <w:bCs/>
          <w:sz w:val="22"/>
          <w:szCs w:val="22"/>
        </w:rPr>
      </w:pPr>
      <w:r w:rsidRPr="00C17343">
        <w:rPr>
          <w:rFonts w:asciiTheme="minorHAnsi" w:eastAsia="Calibri" w:hAnsiTheme="minorHAnsi" w:cstheme="minorHAnsi"/>
          <w:bCs/>
          <w:sz w:val="22"/>
          <w:szCs w:val="22"/>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0961762F" w14:textId="77777777" w:rsidR="00306C9A" w:rsidRPr="009E16DC" w:rsidRDefault="00306C9A" w:rsidP="00B31972">
      <w:pPr>
        <w:numPr>
          <w:ilvl w:val="0"/>
          <w:numId w:val="36"/>
        </w:numPr>
        <w:spacing w:line="259" w:lineRule="auto"/>
        <w:contextualSpacing/>
        <w:rPr>
          <w:rFonts w:asciiTheme="minorHAnsi" w:eastAsia="Calibri" w:hAnsiTheme="minorHAnsi" w:cstheme="minorHAnsi"/>
          <w:b/>
          <w:sz w:val="22"/>
          <w:szCs w:val="22"/>
        </w:rPr>
      </w:pPr>
      <w:r w:rsidRPr="00C17343">
        <w:rPr>
          <w:rFonts w:asciiTheme="minorHAnsi" w:eastAsia="Calibri" w:hAnsiTheme="minorHAnsi" w:cstheme="minorHAnsi"/>
          <w:bCs/>
          <w:sz w:val="22"/>
          <w:szCs w:val="22"/>
        </w:rPr>
        <w:t>Ces données ne correspondent pas nécessairement aux donnés sur les ressources humaines de chaque organisation en raison des différences de méthodologie et des périodes visées par l’analyse.</w:t>
      </w:r>
    </w:p>
    <w:p w14:paraId="6ACBDEA5" w14:textId="38AED5AD" w:rsidR="00306C9A" w:rsidRPr="00C17343" w:rsidRDefault="00306C9A" w:rsidP="00B31972">
      <w:pPr>
        <w:numPr>
          <w:ilvl w:val="0"/>
          <w:numId w:val="36"/>
        </w:numPr>
        <w:contextualSpacing/>
        <w:rPr>
          <w:rFonts w:asciiTheme="minorHAnsi" w:hAnsiTheme="minorHAnsi" w:cstheme="minorHAnsi"/>
          <w:sz w:val="22"/>
          <w:szCs w:val="22"/>
          <w:lang w:eastAsia="en-CA"/>
        </w:rPr>
      </w:pPr>
      <w:r w:rsidRPr="00C17343">
        <w:rPr>
          <w:rFonts w:asciiTheme="minorHAnsi" w:hAnsiTheme="minorHAnsi" w:cstheme="minorHAnsi"/>
          <w:sz w:val="22"/>
          <w:szCs w:val="22"/>
          <w:lang w:eastAsia="en-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w:t>
      </w:r>
      <w:r w:rsidR="007811C2" w:rsidRPr="00C17343">
        <w:rPr>
          <w:rFonts w:asciiTheme="minorHAnsi" w:hAnsiTheme="minorHAnsi" w:cstheme="minorHAnsi"/>
          <w:sz w:val="22"/>
          <w:szCs w:val="22"/>
          <w:lang w:eastAsia="en-CA"/>
        </w:rPr>
        <w:t>les nominations promotionnelles</w:t>
      </w:r>
      <w:r w:rsidRPr="00C17343">
        <w:rPr>
          <w:rFonts w:asciiTheme="minorHAnsi" w:hAnsiTheme="minorHAnsi" w:cstheme="minorHAnsi"/>
          <w:sz w:val="22"/>
          <w:szCs w:val="22"/>
          <w:lang w:eastAsia="en-CA"/>
        </w:rPr>
        <w:t xml:space="preserve"> internes</w:t>
      </w:r>
    </w:p>
    <w:p w14:paraId="2A293F40" w14:textId="77777777" w:rsidR="00306C9A" w:rsidRPr="00C17343" w:rsidRDefault="00306C9A" w:rsidP="00B31972">
      <w:pPr>
        <w:numPr>
          <w:ilvl w:val="0"/>
          <w:numId w:val="36"/>
        </w:numPr>
        <w:contextualSpacing/>
        <w:rPr>
          <w:rFonts w:asciiTheme="minorHAnsi" w:hAnsiTheme="minorHAnsi" w:cstheme="minorHAnsi"/>
          <w:sz w:val="22"/>
          <w:szCs w:val="22"/>
          <w:lang w:eastAsia="en-CA"/>
        </w:rPr>
      </w:pPr>
      <w:r w:rsidRPr="00C17343">
        <w:rPr>
          <w:rFonts w:asciiTheme="minorHAnsi" w:hAnsiTheme="minorHAnsi" w:cstheme="minorHAnsi"/>
          <w:sz w:val="22"/>
          <w:szCs w:val="22"/>
          <w:lang w:eastAsia="en-CA"/>
        </w:rPr>
        <w:t>Seules les nominations à des postes de durée déterminée et les nominations à des postes pour une période indéterminée sont incluses (les mutations, les nominations occasionnelles et les nominations intérimaires sont exclues)</w:t>
      </w:r>
    </w:p>
    <w:p w14:paraId="0B6C55E4" w14:textId="77777777" w:rsidR="00306C9A" w:rsidRPr="00C17343" w:rsidRDefault="00306C9A" w:rsidP="00B31972">
      <w:pPr>
        <w:numPr>
          <w:ilvl w:val="0"/>
          <w:numId w:val="36"/>
        </w:numPr>
        <w:contextualSpacing/>
        <w:rPr>
          <w:rFonts w:asciiTheme="minorHAnsi" w:hAnsiTheme="minorHAnsi" w:cstheme="minorHAnsi"/>
          <w:sz w:val="22"/>
          <w:szCs w:val="22"/>
          <w:lang w:eastAsia="en-CA"/>
        </w:rPr>
      </w:pPr>
      <w:r w:rsidRPr="00C17343">
        <w:rPr>
          <w:rFonts w:asciiTheme="minorHAnsi" w:hAnsiTheme="minorHAnsi" w:cstheme="minorHAnsi"/>
          <w:sz w:val="22"/>
          <w:szCs w:val="22"/>
          <w:lang w:eastAsia="en-CA"/>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7811C2">
        <w:rPr>
          <w:rStyle w:val="Emphasis"/>
          <w:rFonts w:asciiTheme="minorHAnsi" w:hAnsiTheme="minorHAnsi" w:cstheme="minorHAnsi"/>
          <w:sz w:val="22"/>
          <w:szCs w:val="18"/>
        </w:rPr>
        <w:t>Loi sur l'emploi dans la fonction publique</w:t>
      </w:r>
      <w:r w:rsidRPr="007811C2">
        <w:rPr>
          <w:rFonts w:asciiTheme="minorHAnsi" w:hAnsiTheme="minorHAnsi" w:cstheme="minorHAnsi"/>
          <w:sz w:val="20"/>
          <w:lang w:eastAsia="en-CA"/>
        </w:rPr>
        <w:t xml:space="preserve"> </w:t>
      </w:r>
      <w:r w:rsidRPr="00C17343">
        <w:rPr>
          <w:rFonts w:asciiTheme="minorHAnsi" w:hAnsiTheme="minorHAnsi" w:cstheme="minorHAnsi"/>
          <w:sz w:val="22"/>
          <w:szCs w:val="22"/>
          <w:lang w:eastAsia="en-CA"/>
        </w:rPr>
        <w:t>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5627C4EC" w14:textId="77777777" w:rsidR="00306C9A" w:rsidRPr="00C17343" w:rsidRDefault="00306C9A" w:rsidP="00B31972">
      <w:pPr>
        <w:numPr>
          <w:ilvl w:val="0"/>
          <w:numId w:val="36"/>
        </w:numPr>
        <w:contextualSpacing/>
        <w:rPr>
          <w:rFonts w:asciiTheme="minorHAnsi" w:hAnsiTheme="minorHAnsi" w:cstheme="minorHAnsi"/>
          <w:sz w:val="22"/>
          <w:szCs w:val="22"/>
          <w:lang w:eastAsia="en-CA"/>
        </w:rPr>
      </w:pPr>
      <w:r w:rsidRPr="00C17343">
        <w:rPr>
          <w:rFonts w:asciiTheme="minorHAnsi" w:hAnsiTheme="minorHAnsi" w:cstheme="minorHAnsi"/>
          <w:sz w:val="22"/>
          <w:szCs w:val="22"/>
          <w:lang w:eastAsia="en-CA"/>
        </w:rPr>
        <w:t>Parce que le lien des données entre les systèmes utilise un jumelage probabiliste, des erreurs de mesure sont donc possibles</w:t>
      </w:r>
    </w:p>
    <w:p w14:paraId="63195CEA" w14:textId="77777777" w:rsidR="00306C9A" w:rsidRPr="00B31972" w:rsidRDefault="00306C9A" w:rsidP="00B31972">
      <w:pPr>
        <w:pStyle w:val="ListParagraph"/>
        <w:numPr>
          <w:ilvl w:val="0"/>
          <w:numId w:val="37"/>
        </w:numPr>
        <w:rPr>
          <w:rFonts w:asciiTheme="minorHAnsi" w:hAnsiTheme="minorHAnsi" w:cstheme="minorHAnsi"/>
          <w:sz w:val="22"/>
          <w:szCs w:val="22"/>
          <w:lang w:eastAsia="en-CA"/>
        </w:rPr>
      </w:pPr>
      <w:r w:rsidRPr="00B31972">
        <w:rPr>
          <w:rFonts w:asciiTheme="minorHAnsi" w:hAnsiTheme="minorHAnsi" w:cstheme="minorHAnsi"/>
          <w:sz w:val="22"/>
          <w:szCs w:val="22"/>
          <w:lang w:eastAsia="en-CA"/>
        </w:rPr>
        <w:lastRenderedPageBreak/>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5F0E6754" w14:textId="77777777" w:rsidR="00306C9A" w:rsidRPr="00B31972" w:rsidRDefault="00306C9A" w:rsidP="00B31972">
      <w:pPr>
        <w:pStyle w:val="ListParagraph"/>
        <w:numPr>
          <w:ilvl w:val="0"/>
          <w:numId w:val="37"/>
        </w:numPr>
        <w:rPr>
          <w:rFonts w:asciiTheme="minorHAnsi" w:hAnsiTheme="minorHAnsi" w:cstheme="minorHAnsi"/>
          <w:sz w:val="22"/>
          <w:szCs w:val="22"/>
          <w:lang w:eastAsia="en-CA"/>
        </w:rPr>
      </w:pPr>
      <w:r w:rsidRPr="00B31972">
        <w:rPr>
          <w:rFonts w:asciiTheme="minorHAnsi" w:hAnsiTheme="minorHAnsi" w:cstheme="minorHAnsi"/>
          <w:sz w:val="22"/>
          <w:szCs w:val="22"/>
          <w:lang w:eastAsia="en-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469EF80D" w14:textId="77777777" w:rsidR="00306C9A" w:rsidRPr="00B31972" w:rsidRDefault="00306C9A" w:rsidP="00B31972">
      <w:pPr>
        <w:pStyle w:val="ListParagraph"/>
        <w:numPr>
          <w:ilvl w:val="0"/>
          <w:numId w:val="37"/>
        </w:numPr>
        <w:rPr>
          <w:rFonts w:asciiTheme="minorHAnsi" w:hAnsiTheme="minorHAnsi" w:cstheme="minorHAnsi"/>
          <w:sz w:val="22"/>
          <w:szCs w:val="22"/>
          <w:lang w:eastAsia="en-CA"/>
        </w:rPr>
      </w:pPr>
      <w:r w:rsidRPr="00B31972">
        <w:rPr>
          <w:rFonts w:asciiTheme="minorHAnsi" w:hAnsiTheme="minorHAnsi" w:cstheme="minorHAnsi"/>
          <w:sz w:val="22"/>
          <w:szCs w:val="22"/>
          <w:lang w:eastAsia="en-CA"/>
        </w:rPr>
        <w:t>Ces données ne correspondent pas nécessairement aux donnés sur les ressources humaines de chaque organisation en raison des différences de méthodologie et des périodes visées par l’analyse.</w:t>
      </w:r>
    </w:p>
    <w:sectPr w:rsidR="00306C9A" w:rsidRPr="00B31972" w:rsidSect="007811C2">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0F10" w14:textId="77777777" w:rsidR="001E16B6" w:rsidRDefault="001E16B6" w:rsidP="0051557E">
      <w:r>
        <w:separator/>
      </w:r>
    </w:p>
  </w:endnote>
  <w:endnote w:type="continuationSeparator" w:id="0">
    <w:p w14:paraId="5E486235" w14:textId="77777777" w:rsidR="001E16B6" w:rsidRDefault="001E16B6"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33480"/>
      <w:docPartObj>
        <w:docPartGallery w:val="Page Numbers (Bottom of Page)"/>
        <w:docPartUnique/>
      </w:docPartObj>
    </w:sdtPr>
    <w:sdtEndPr/>
    <w:sdtContent>
      <w:p w14:paraId="11D93991" w14:textId="7D2699DA"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785951"/>
      <w:docPartObj>
        <w:docPartGallery w:val="Page Numbers (Bottom of Page)"/>
        <w:docPartUnique/>
      </w:docPartObj>
    </w:sdtPr>
    <w:sdtEndPr/>
    <w:sdtContent>
      <w:p w14:paraId="600C5FE3" w14:textId="5F3724A0"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D3CB" w14:textId="77777777" w:rsidR="0051103D" w:rsidRPr="00927766" w:rsidRDefault="0051103D" w:rsidP="008D03AB">
    <w:pPr>
      <w:pStyle w:val="Footer"/>
      <w:jc w:val="center"/>
      <w:rPr>
        <w:lang w:val="en-CA"/>
      </w:rPr>
    </w:pPr>
    <w:r w:rsidRPr="00927766">
      <w:rPr>
        <w:lang w:val="en-CA"/>
      </w:rPr>
      <w:t xml:space="preserve"> Produced by Data Services and Analysis Directorate (PSC) – Updated on December 23,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60581"/>
      <w:docPartObj>
        <w:docPartGallery w:val="Page Numbers (Bottom of Page)"/>
        <w:docPartUnique/>
      </w:docPartObj>
    </w:sdtPr>
    <w:sdtEndPr/>
    <w:sdtContent>
      <w:p w14:paraId="492CC0A7" w14:textId="556A085F"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C99" w14:textId="77777777" w:rsidR="0051103D" w:rsidRPr="00ED49DF" w:rsidRDefault="0051103D" w:rsidP="00D85628">
    <w:pPr>
      <w:pStyle w:val="Footer"/>
      <w:jc w:val="center"/>
      <w:rPr>
        <w:sz w:val="20"/>
      </w:rPr>
    </w:pPr>
    <w:r w:rsidRPr="0079292E">
      <w:rPr>
        <w:sz w:val="20"/>
      </w:rPr>
      <w:t xml:space="preserve">Produit par la Direction des services de données et de l’analyse de la Commission de la fonction publique du Canada – Mise à jour le </w:t>
    </w:r>
    <w:r>
      <w:rPr>
        <w:sz w:val="20"/>
      </w:rPr>
      <w:t>23 décembre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378618"/>
      <w:docPartObj>
        <w:docPartGallery w:val="Page Numbers (Bottom of Page)"/>
        <w:docPartUnique/>
      </w:docPartObj>
    </w:sdtPr>
    <w:sdtEndPr/>
    <w:sdtContent>
      <w:p w14:paraId="4AAAB8A9" w14:textId="17D1BA73"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826963"/>
      <w:docPartObj>
        <w:docPartGallery w:val="Page Numbers (Bottom of Page)"/>
        <w:docPartUnique/>
      </w:docPartObj>
    </w:sdtPr>
    <w:sdtEndPr/>
    <w:sdtContent>
      <w:p w14:paraId="0C4018C0" w14:textId="783B9A58"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5E5" w14:textId="77777777" w:rsidR="0051103D" w:rsidRPr="00A56930" w:rsidRDefault="0051103D" w:rsidP="008D03A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693442"/>
      <w:docPartObj>
        <w:docPartGallery w:val="Page Numbers (Bottom of Page)"/>
        <w:docPartUnique/>
      </w:docPartObj>
    </w:sdtPr>
    <w:sdtEndPr/>
    <w:sdtContent>
      <w:p w14:paraId="38160F2B" w14:textId="5017F884" w:rsidR="0051103D" w:rsidRDefault="0051103D">
        <w:pPr>
          <w:pStyle w:val="Footer"/>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916D" w14:textId="77777777" w:rsidR="001E16B6" w:rsidRDefault="001E16B6" w:rsidP="0051557E">
      <w:r>
        <w:separator/>
      </w:r>
    </w:p>
  </w:footnote>
  <w:footnote w:type="continuationSeparator" w:id="0">
    <w:p w14:paraId="61ABFCBC" w14:textId="77777777" w:rsidR="001E16B6" w:rsidRDefault="001E16B6" w:rsidP="0051557E">
      <w:r>
        <w:continuationSeparator/>
      </w:r>
    </w:p>
  </w:footnote>
  <w:footnote w:id="1">
    <w:p w14:paraId="1B3C77F7" w14:textId="7D65824D" w:rsidR="0051103D" w:rsidRPr="00001823" w:rsidRDefault="0051103D" w:rsidP="002944FE">
      <w:pPr>
        <w:pStyle w:val="FootnoteText"/>
        <w:rPr>
          <w:rFonts w:asciiTheme="minorHAnsi" w:hAnsiTheme="minorHAnsi" w:cstheme="minorHAnsi"/>
        </w:rPr>
      </w:pPr>
      <w:r w:rsidRPr="00001823">
        <w:rPr>
          <w:rStyle w:val="FootnoteReference"/>
          <w:rFonts w:asciiTheme="minorHAnsi" w:hAnsiTheme="minorHAnsi" w:cstheme="minorHAnsi"/>
        </w:rPr>
        <w:footnoteRef/>
      </w:r>
      <w:r w:rsidRPr="00001823">
        <w:rPr>
          <w:rFonts w:asciiTheme="minorHAnsi" w:hAnsiTheme="minorHAnsi" w:cstheme="minorHAnsi"/>
        </w:rPr>
        <w:t xml:space="preserve"> En date du 31 décembre 2020</w:t>
      </w:r>
    </w:p>
  </w:footnote>
  <w:footnote w:id="2">
    <w:p w14:paraId="251468A4" w14:textId="0A2D6BE1" w:rsidR="0051103D" w:rsidRPr="00001823" w:rsidRDefault="0051103D" w:rsidP="0077636A">
      <w:pPr>
        <w:pStyle w:val="FootnoteText"/>
        <w:rPr>
          <w:rFonts w:asciiTheme="minorHAnsi" w:hAnsiTheme="minorHAnsi" w:cstheme="minorHAnsi"/>
        </w:rPr>
      </w:pPr>
      <w:r w:rsidRPr="00001823">
        <w:rPr>
          <w:rStyle w:val="FootnoteReference"/>
          <w:rFonts w:asciiTheme="minorHAnsi" w:hAnsiTheme="minorHAnsi" w:cstheme="minorHAnsi"/>
        </w:rPr>
        <w:footnoteRef/>
      </w:r>
      <w:r w:rsidRPr="00001823">
        <w:rPr>
          <w:rFonts w:asciiTheme="minorHAnsi" w:hAnsiTheme="minorHAnsi" w:cstheme="minorHAnsi"/>
        </w:rPr>
        <w:t xml:space="preserve"> En date du 31 décembre 2020</w:t>
      </w:r>
    </w:p>
  </w:footnote>
  <w:footnote w:id="3">
    <w:p w14:paraId="31657618" w14:textId="481854E5" w:rsidR="0051103D" w:rsidRPr="00134B64" w:rsidRDefault="0051103D" w:rsidP="002944FE">
      <w:pPr>
        <w:pStyle w:val="FootnoteText"/>
        <w:rPr>
          <w:rFonts w:ascii="Segoe UI" w:hAnsi="Segoe UI" w:cs="Segoe UI"/>
        </w:rPr>
      </w:pPr>
      <w:r w:rsidRPr="0009593C">
        <w:rPr>
          <w:rStyle w:val="FootnoteReference"/>
          <w:rFonts w:ascii="Segoe UI" w:hAnsi="Segoe UI" w:cs="Segoe UI"/>
        </w:rPr>
        <w:footnoteRef/>
      </w:r>
      <w:r w:rsidRPr="00134B64">
        <w:rPr>
          <w:rFonts w:ascii="Segoe UI" w:hAnsi="Segoe UI" w:cs="Segoe UI"/>
        </w:rPr>
        <w:t xml:space="preserve"> En date du 22 décembre 2020</w:t>
      </w:r>
    </w:p>
  </w:footnote>
  <w:footnote w:id="4">
    <w:p w14:paraId="1C703B48" w14:textId="48ED00A3" w:rsidR="0051103D" w:rsidRPr="00CF3817" w:rsidRDefault="0051103D" w:rsidP="002944FE">
      <w:pPr>
        <w:pStyle w:val="FootnoteText"/>
      </w:pPr>
      <w:r w:rsidRPr="0009593C">
        <w:rPr>
          <w:rStyle w:val="FootnoteReference"/>
          <w:rFonts w:ascii="Segoe UI" w:hAnsi="Segoe UI" w:cs="Segoe UI"/>
        </w:rPr>
        <w:footnoteRef/>
      </w:r>
      <w:r w:rsidRPr="00CF3817">
        <w:rPr>
          <w:rFonts w:ascii="Segoe UI" w:hAnsi="Segoe UI" w:cs="Segoe UI"/>
        </w:rPr>
        <w:t xml:space="preserve"> </w:t>
      </w:r>
      <w:r w:rsidRPr="00134B64">
        <w:rPr>
          <w:rFonts w:ascii="Segoe UI" w:hAnsi="Segoe UI" w:cs="Segoe UI"/>
        </w:rPr>
        <w:t>En date du 22 décembre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53F6" w14:textId="4813552A" w:rsidR="0051103D" w:rsidRPr="00306C9A" w:rsidRDefault="0051103D" w:rsidP="00306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A5A7" w14:textId="05AB974A" w:rsidR="0051103D" w:rsidRPr="00001823" w:rsidRDefault="0051103D" w:rsidP="00001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2403" w14:textId="77777777" w:rsidR="0051103D" w:rsidRDefault="005110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9E76" w14:textId="2A6BF7BA" w:rsidR="0051103D" w:rsidRPr="00E406EF" w:rsidRDefault="0051103D" w:rsidP="006226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6A63" w14:textId="1F53A2B6" w:rsidR="0051103D" w:rsidRPr="00DF0000" w:rsidRDefault="0051103D" w:rsidP="00DF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540D" w14:textId="77777777" w:rsidR="0051103D" w:rsidRPr="00896F90" w:rsidRDefault="00511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9C7"/>
    <w:multiLevelType w:val="hybridMultilevel"/>
    <w:tmpl w:val="D9B81A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6411BC"/>
    <w:multiLevelType w:val="hybridMultilevel"/>
    <w:tmpl w:val="098463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9BB0129"/>
    <w:multiLevelType w:val="hybridMultilevel"/>
    <w:tmpl w:val="780CD15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 w15:restartNumberingAfterBreak="0">
    <w:nsid w:val="0D0077E6"/>
    <w:multiLevelType w:val="hybridMultilevel"/>
    <w:tmpl w:val="FF305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735A0B"/>
    <w:multiLevelType w:val="hybridMultilevel"/>
    <w:tmpl w:val="363E70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E15691"/>
    <w:multiLevelType w:val="hybridMultilevel"/>
    <w:tmpl w:val="87EA8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1">
    <w:nsid w:val="18510DD7"/>
    <w:multiLevelType w:val="hybridMultilevel"/>
    <w:tmpl w:val="37365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347D97"/>
    <w:multiLevelType w:val="hybridMultilevel"/>
    <w:tmpl w:val="CA10811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47858AE"/>
    <w:multiLevelType w:val="multilevel"/>
    <w:tmpl w:val="8EC00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703FEA"/>
    <w:multiLevelType w:val="hybridMultilevel"/>
    <w:tmpl w:val="7BD2A642"/>
    <w:lvl w:ilvl="0" w:tplc="1009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C44087"/>
    <w:multiLevelType w:val="hybridMultilevel"/>
    <w:tmpl w:val="969A2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6"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7A6417"/>
    <w:multiLevelType w:val="hybridMultilevel"/>
    <w:tmpl w:val="39FABF78"/>
    <w:lvl w:ilvl="0" w:tplc="2AA66DAA">
      <w:numFmt w:val="bullet"/>
      <w:lvlText w:val="-"/>
      <w:lvlJc w:val="left"/>
      <w:pPr>
        <w:ind w:left="1800" w:hanging="360"/>
      </w:pPr>
      <w:rPr>
        <w:rFonts w:ascii="Arial" w:eastAsiaTheme="minorHAnsi" w:hAnsi="Arial" w:cs="Arial"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0F856D4"/>
    <w:multiLevelType w:val="hybridMultilevel"/>
    <w:tmpl w:val="B31856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CC4C19"/>
    <w:multiLevelType w:val="hybridMultilevel"/>
    <w:tmpl w:val="57D601CC"/>
    <w:lvl w:ilvl="0" w:tplc="CE1EFDCA">
      <w:numFmt w:val="bullet"/>
      <w:lvlText w:val="-"/>
      <w:lvlJc w:val="left"/>
      <w:pPr>
        <w:ind w:left="720" w:hanging="36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E5E87"/>
    <w:multiLevelType w:val="hybridMultilevel"/>
    <w:tmpl w:val="73E6A70C"/>
    <w:lvl w:ilvl="0" w:tplc="0C0C0001">
      <w:start w:val="1"/>
      <w:numFmt w:val="bullet"/>
      <w:lvlText w:val=""/>
      <w:lvlJc w:val="left"/>
      <w:pPr>
        <w:tabs>
          <w:tab w:val="num" w:pos="720"/>
        </w:tabs>
        <w:ind w:left="720" w:hanging="360"/>
      </w:pPr>
      <w:rPr>
        <w:rFonts w:ascii="Symbol" w:hAnsi="Symbo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2F052A"/>
    <w:multiLevelType w:val="hybridMultilevel"/>
    <w:tmpl w:val="A97690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2CE7A78"/>
    <w:multiLevelType w:val="hybridMultilevel"/>
    <w:tmpl w:val="3086F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C26576"/>
    <w:multiLevelType w:val="hybridMultilevel"/>
    <w:tmpl w:val="386CF1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F35584"/>
    <w:multiLevelType w:val="hybridMultilevel"/>
    <w:tmpl w:val="BD8C13FA"/>
    <w:lvl w:ilvl="0" w:tplc="1009000F">
      <w:start w:val="1"/>
      <w:numFmt w:val="decimal"/>
      <w:lvlText w:val="%1."/>
      <w:lvlJc w:val="left"/>
      <w:pPr>
        <w:ind w:left="720" w:hanging="360"/>
      </w:pPr>
    </w:lvl>
    <w:lvl w:ilvl="1" w:tplc="1009000D">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AD7721"/>
    <w:multiLevelType w:val="hybridMultilevel"/>
    <w:tmpl w:val="011009C4"/>
    <w:lvl w:ilvl="0" w:tplc="1009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1F37F3"/>
    <w:multiLevelType w:val="hybridMultilevel"/>
    <w:tmpl w:val="682A848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821CFB"/>
    <w:multiLevelType w:val="hybridMultilevel"/>
    <w:tmpl w:val="264233CA"/>
    <w:lvl w:ilvl="0" w:tplc="1009000D">
      <w:start w:val="1"/>
      <w:numFmt w:val="bullet"/>
      <w:lvlText w:val=""/>
      <w:lvlJc w:val="left"/>
      <w:pPr>
        <w:ind w:left="720" w:hanging="360"/>
      </w:pPr>
      <w:rPr>
        <w:rFonts w:ascii="Wingdings" w:hAnsi="Wingdings" w:hint="default"/>
        <w:color w:val="auto"/>
        <w:lang w:val="en-C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3"/>
  </w:num>
  <w:num w:numId="2">
    <w:abstractNumId w:val="19"/>
  </w:num>
  <w:num w:numId="3">
    <w:abstractNumId w:val="4"/>
  </w:num>
  <w:num w:numId="4">
    <w:abstractNumId w:val="1"/>
  </w:num>
  <w:num w:numId="5">
    <w:abstractNumId w:val="13"/>
  </w:num>
  <w:num w:numId="6">
    <w:abstractNumId w:val="9"/>
  </w:num>
  <w:num w:numId="7">
    <w:abstractNumId w:val="5"/>
  </w:num>
  <w:num w:numId="8">
    <w:abstractNumId w:val="0"/>
  </w:num>
  <w:num w:numId="9">
    <w:abstractNumId w:val="29"/>
  </w:num>
  <w:num w:numId="10">
    <w:abstractNumId w:val="35"/>
  </w:num>
  <w:num w:numId="11">
    <w:abstractNumId w:val="11"/>
  </w:num>
  <w:num w:numId="12">
    <w:abstractNumId w:val="10"/>
  </w:num>
  <w:num w:numId="13">
    <w:abstractNumId w:val="21"/>
  </w:num>
  <w:num w:numId="14">
    <w:abstractNumId w:val="8"/>
  </w:num>
  <w:num w:numId="15">
    <w:abstractNumId w:val="3"/>
  </w:num>
  <w:num w:numId="16">
    <w:abstractNumId w:val="7"/>
  </w:num>
  <w:num w:numId="17">
    <w:abstractNumId w:val="24"/>
  </w:num>
  <w:num w:numId="18">
    <w:abstractNumId w:val="37"/>
  </w:num>
  <w:num w:numId="19">
    <w:abstractNumId w:val="28"/>
  </w:num>
  <w:num w:numId="20">
    <w:abstractNumId w:val="18"/>
  </w:num>
  <w:num w:numId="21">
    <w:abstractNumId w:val="20"/>
  </w:num>
  <w:num w:numId="22">
    <w:abstractNumId w:val="6"/>
  </w:num>
  <w:num w:numId="23">
    <w:abstractNumId w:val="32"/>
  </w:num>
  <w:num w:numId="24">
    <w:abstractNumId w:val="16"/>
  </w:num>
  <w:num w:numId="25">
    <w:abstractNumId w:val="15"/>
  </w:num>
  <w:num w:numId="26">
    <w:abstractNumId w:val="14"/>
  </w:num>
  <w:num w:numId="27">
    <w:abstractNumId w:val="31"/>
  </w:num>
  <w:num w:numId="28">
    <w:abstractNumId w:val="2"/>
  </w:num>
  <w:num w:numId="29">
    <w:abstractNumId w:val="36"/>
  </w:num>
  <w:num w:numId="30">
    <w:abstractNumId w:val="17"/>
  </w:num>
  <w:num w:numId="31">
    <w:abstractNumId w:val="23"/>
  </w:num>
  <w:num w:numId="32">
    <w:abstractNumId w:val="34"/>
  </w:num>
  <w:num w:numId="33">
    <w:abstractNumId w:val="30"/>
  </w:num>
  <w:num w:numId="34">
    <w:abstractNumId w:val="12"/>
  </w:num>
  <w:num w:numId="35">
    <w:abstractNumId w:val="22"/>
  </w:num>
  <w:num w:numId="36">
    <w:abstractNumId w:val="27"/>
  </w:num>
  <w:num w:numId="37">
    <w:abstractNumId w:val="25"/>
  </w:num>
  <w:num w:numId="3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3"/>
    <w:rsid w:val="00001823"/>
    <w:rsid w:val="00002E8B"/>
    <w:rsid w:val="00005F5A"/>
    <w:rsid w:val="0000700D"/>
    <w:rsid w:val="00012BE7"/>
    <w:rsid w:val="0001783F"/>
    <w:rsid w:val="000225BD"/>
    <w:rsid w:val="00023A82"/>
    <w:rsid w:val="00025A76"/>
    <w:rsid w:val="000272A9"/>
    <w:rsid w:val="00027BF6"/>
    <w:rsid w:val="00030757"/>
    <w:rsid w:val="000310C6"/>
    <w:rsid w:val="000370B0"/>
    <w:rsid w:val="00037946"/>
    <w:rsid w:val="00043A5F"/>
    <w:rsid w:val="00051472"/>
    <w:rsid w:val="00052FE3"/>
    <w:rsid w:val="00054709"/>
    <w:rsid w:val="00054942"/>
    <w:rsid w:val="000621D3"/>
    <w:rsid w:val="00062226"/>
    <w:rsid w:val="00066B48"/>
    <w:rsid w:val="00066FCD"/>
    <w:rsid w:val="00067BCA"/>
    <w:rsid w:val="00070148"/>
    <w:rsid w:val="00081693"/>
    <w:rsid w:val="0008432C"/>
    <w:rsid w:val="00086418"/>
    <w:rsid w:val="00087A0B"/>
    <w:rsid w:val="0009543E"/>
    <w:rsid w:val="0009568B"/>
    <w:rsid w:val="0009593C"/>
    <w:rsid w:val="00097DDE"/>
    <w:rsid w:val="000A0EFC"/>
    <w:rsid w:val="000A4859"/>
    <w:rsid w:val="000A5B54"/>
    <w:rsid w:val="000A6CE5"/>
    <w:rsid w:val="000A6F52"/>
    <w:rsid w:val="000C23A7"/>
    <w:rsid w:val="000C31F7"/>
    <w:rsid w:val="000C3540"/>
    <w:rsid w:val="000C63DB"/>
    <w:rsid w:val="000C7818"/>
    <w:rsid w:val="000D1AFB"/>
    <w:rsid w:val="000D1EA7"/>
    <w:rsid w:val="000D5239"/>
    <w:rsid w:val="000D64D7"/>
    <w:rsid w:val="000D76E7"/>
    <w:rsid w:val="000E0517"/>
    <w:rsid w:val="000E70A9"/>
    <w:rsid w:val="000F6678"/>
    <w:rsid w:val="0011457E"/>
    <w:rsid w:val="00117D89"/>
    <w:rsid w:val="001264C8"/>
    <w:rsid w:val="00131440"/>
    <w:rsid w:val="00134B64"/>
    <w:rsid w:val="0013696C"/>
    <w:rsid w:val="001456F7"/>
    <w:rsid w:val="00146981"/>
    <w:rsid w:val="00150FE7"/>
    <w:rsid w:val="001520FE"/>
    <w:rsid w:val="0015344B"/>
    <w:rsid w:val="00156B50"/>
    <w:rsid w:val="00160FAC"/>
    <w:rsid w:val="00165C38"/>
    <w:rsid w:val="001679B0"/>
    <w:rsid w:val="00171A09"/>
    <w:rsid w:val="00176BB6"/>
    <w:rsid w:val="00180AA9"/>
    <w:rsid w:val="0018219A"/>
    <w:rsid w:val="0018391A"/>
    <w:rsid w:val="001844FE"/>
    <w:rsid w:val="00186DA6"/>
    <w:rsid w:val="001873EE"/>
    <w:rsid w:val="00187CD2"/>
    <w:rsid w:val="00190E59"/>
    <w:rsid w:val="00196D1A"/>
    <w:rsid w:val="001A1470"/>
    <w:rsid w:val="001A18F9"/>
    <w:rsid w:val="001A20D8"/>
    <w:rsid w:val="001A3444"/>
    <w:rsid w:val="001B1A72"/>
    <w:rsid w:val="001B4377"/>
    <w:rsid w:val="001B61EE"/>
    <w:rsid w:val="001C01C2"/>
    <w:rsid w:val="001C228D"/>
    <w:rsid w:val="001C41E0"/>
    <w:rsid w:val="001C63D8"/>
    <w:rsid w:val="001C745B"/>
    <w:rsid w:val="001D0ECC"/>
    <w:rsid w:val="001D214D"/>
    <w:rsid w:val="001D2A85"/>
    <w:rsid w:val="001D4210"/>
    <w:rsid w:val="001D5063"/>
    <w:rsid w:val="001E16B6"/>
    <w:rsid w:val="001E2A97"/>
    <w:rsid w:val="001E2C10"/>
    <w:rsid w:val="001E449E"/>
    <w:rsid w:val="001E4AE6"/>
    <w:rsid w:val="001E68C3"/>
    <w:rsid w:val="001E6DA8"/>
    <w:rsid w:val="001E72F9"/>
    <w:rsid w:val="001F7461"/>
    <w:rsid w:val="001F7512"/>
    <w:rsid w:val="00201630"/>
    <w:rsid w:val="00201F08"/>
    <w:rsid w:val="00207E80"/>
    <w:rsid w:val="00210749"/>
    <w:rsid w:val="00215ABF"/>
    <w:rsid w:val="00216047"/>
    <w:rsid w:val="002164E2"/>
    <w:rsid w:val="002200D5"/>
    <w:rsid w:val="002201AE"/>
    <w:rsid w:val="00224046"/>
    <w:rsid w:val="00224E7B"/>
    <w:rsid w:val="002376F2"/>
    <w:rsid w:val="00244CD0"/>
    <w:rsid w:val="002536DF"/>
    <w:rsid w:val="0025370B"/>
    <w:rsid w:val="00262923"/>
    <w:rsid w:val="00263830"/>
    <w:rsid w:val="00271A4C"/>
    <w:rsid w:val="00273AAD"/>
    <w:rsid w:val="002804B3"/>
    <w:rsid w:val="00280BE3"/>
    <w:rsid w:val="00281110"/>
    <w:rsid w:val="00281922"/>
    <w:rsid w:val="00284AEB"/>
    <w:rsid w:val="002878FD"/>
    <w:rsid w:val="00293111"/>
    <w:rsid w:val="002944FE"/>
    <w:rsid w:val="002957EE"/>
    <w:rsid w:val="002A1564"/>
    <w:rsid w:val="002B376E"/>
    <w:rsid w:val="002B715A"/>
    <w:rsid w:val="002C252E"/>
    <w:rsid w:val="002D275B"/>
    <w:rsid w:val="002D29D7"/>
    <w:rsid w:val="002D2C4E"/>
    <w:rsid w:val="002D5225"/>
    <w:rsid w:val="002D653E"/>
    <w:rsid w:val="002D7E99"/>
    <w:rsid w:val="002E053D"/>
    <w:rsid w:val="002E101C"/>
    <w:rsid w:val="002E1C7A"/>
    <w:rsid w:val="002E2944"/>
    <w:rsid w:val="002E2BE9"/>
    <w:rsid w:val="002E6E05"/>
    <w:rsid w:val="002E7A5C"/>
    <w:rsid w:val="002F07D8"/>
    <w:rsid w:val="003019BE"/>
    <w:rsid w:val="00306792"/>
    <w:rsid w:val="00306B4C"/>
    <w:rsid w:val="00306C9A"/>
    <w:rsid w:val="003133DC"/>
    <w:rsid w:val="00317502"/>
    <w:rsid w:val="00317D20"/>
    <w:rsid w:val="0032194B"/>
    <w:rsid w:val="00322F28"/>
    <w:rsid w:val="00326D75"/>
    <w:rsid w:val="00330FFC"/>
    <w:rsid w:val="00331527"/>
    <w:rsid w:val="00332EC6"/>
    <w:rsid w:val="00342FCE"/>
    <w:rsid w:val="00345205"/>
    <w:rsid w:val="003452B6"/>
    <w:rsid w:val="0034538A"/>
    <w:rsid w:val="00347512"/>
    <w:rsid w:val="00356658"/>
    <w:rsid w:val="0036005E"/>
    <w:rsid w:val="00364593"/>
    <w:rsid w:val="0037173C"/>
    <w:rsid w:val="00374BD1"/>
    <w:rsid w:val="00383314"/>
    <w:rsid w:val="00383F5E"/>
    <w:rsid w:val="00384F5A"/>
    <w:rsid w:val="00385C63"/>
    <w:rsid w:val="0039151A"/>
    <w:rsid w:val="00394924"/>
    <w:rsid w:val="003961F5"/>
    <w:rsid w:val="00397A4A"/>
    <w:rsid w:val="003B35E8"/>
    <w:rsid w:val="003B53B7"/>
    <w:rsid w:val="003C08D9"/>
    <w:rsid w:val="003C5BCB"/>
    <w:rsid w:val="003C62D6"/>
    <w:rsid w:val="003D1730"/>
    <w:rsid w:val="003D2545"/>
    <w:rsid w:val="003D2A77"/>
    <w:rsid w:val="003E13DA"/>
    <w:rsid w:val="003E2A70"/>
    <w:rsid w:val="003E451C"/>
    <w:rsid w:val="003E6B72"/>
    <w:rsid w:val="003F0460"/>
    <w:rsid w:val="003F087E"/>
    <w:rsid w:val="003F0DD9"/>
    <w:rsid w:val="003F3A93"/>
    <w:rsid w:val="003F4FB1"/>
    <w:rsid w:val="003F5F73"/>
    <w:rsid w:val="00401340"/>
    <w:rsid w:val="00401FC7"/>
    <w:rsid w:val="00406890"/>
    <w:rsid w:val="00410C47"/>
    <w:rsid w:val="00410D9E"/>
    <w:rsid w:val="004128D8"/>
    <w:rsid w:val="0042095E"/>
    <w:rsid w:val="00421A54"/>
    <w:rsid w:val="004253EF"/>
    <w:rsid w:val="004305BD"/>
    <w:rsid w:val="0043331C"/>
    <w:rsid w:val="004400D8"/>
    <w:rsid w:val="004405F4"/>
    <w:rsid w:val="00440642"/>
    <w:rsid w:val="00441DC3"/>
    <w:rsid w:val="004521BE"/>
    <w:rsid w:val="0045684E"/>
    <w:rsid w:val="00456A0D"/>
    <w:rsid w:val="00463970"/>
    <w:rsid w:val="004671C6"/>
    <w:rsid w:val="00467596"/>
    <w:rsid w:val="00467D72"/>
    <w:rsid w:val="00476EF5"/>
    <w:rsid w:val="00482550"/>
    <w:rsid w:val="00483866"/>
    <w:rsid w:val="00483B76"/>
    <w:rsid w:val="004841F8"/>
    <w:rsid w:val="00487FE9"/>
    <w:rsid w:val="004966C7"/>
    <w:rsid w:val="004A019B"/>
    <w:rsid w:val="004A167B"/>
    <w:rsid w:val="004A696C"/>
    <w:rsid w:val="004A7FAA"/>
    <w:rsid w:val="004B11DA"/>
    <w:rsid w:val="004B3860"/>
    <w:rsid w:val="004B3C4A"/>
    <w:rsid w:val="004B74B6"/>
    <w:rsid w:val="004C25A6"/>
    <w:rsid w:val="004C3001"/>
    <w:rsid w:val="004D265F"/>
    <w:rsid w:val="004D54D0"/>
    <w:rsid w:val="004E01DF"/>
    <w:rsid w:val="004E06C6"/>
    <w:rsid w:val="004E24EE"/>
    <w:rsid w:val="004E7215"/>
    <w:rsid w:val="004E7E17"/>
    <w:rsid w:val="004F69A2"/>
    <w:rsid w:val="004F6D29"/>
    <w:rsid w:val="0051103D"/>
    <w:rsid w:val="00511382"/>
    <w:rsid w:val="00512C64"/>
    <w:rsid w:val="0051557E"/>
    <w:rsid w:val="00515B9E"/>
    <w:rsid w:val="005165BC"/>
    <w:rsid w:val="00521689"/>
    <w:rsid w:val="005226A9"/>
    <w:rsid w:val="00522F95"/>
    <w:rsid w:val="005230D5"/>
    <w:rsid w:val="00531536"/>
    <w:rsid w:val="005325A2"/>
    <w:rsid w:val="00534906"/>
    <w:rsid w:val="00542A5E"/>
    <w:rsid w:val="005449BC"/>
    <w:rsid w:val="00546259"/>
    <w:rsid w:val="00547467"/>
    <w:rsid w:val="00552416"/>
    <w:rsid w:val="00554EAD"/>
    <w:rsid w:val="00563DB9"/>
    <w:rsid w:val="005712BB"/>
    <w:rsid w:val="005719DD"/>
    <w:rsid w:val="005719F2"/>
    <w:rsid w:val="0057579F"/>
    <w:rsid w:val="0058239F"/>
    <w:rsid w:val="0058273B"/>
    <w:rsid w:val="00586C61"/>
    <w:rsid w:val="0059341A"/>
    <w:rsid w:val="005968FC"/>
    <w:rsid w:val="00597D85"/>
    <w:rsid w:val="005A01D1"/>
    <w:rsid w:val="005A0F24"/>
    <w:rsid w:val="005A248E"/>
    <w:rsid w:val="005A7988"/>
    <w:rsid w:val="005B0DB9"/>
    <w:rsid w:val="005B3051"/>
    <w:rsid w:val="005B3C89"/>
    <w:rsid w:val="005B4572"/>
    <w:rsid w:val="005B6960"/>
    <w:rsid w:val="005B7E30"/>
    <w:rsid w:val="005C03BA"/>
    <w:rsid w:val="005C0483"/>
    <w:rsid w:val="005C1A7C"/>
    <w:rsid w:val="005C2EB8"/>
    <w:rsid w:val="005C5EFF"/>
    <w:rsid w:val="005D4281"/>
    <w:rsid w:val="005E1B72"/>
    <w:rsid w:val="005F5F5D"/>
    <w:rsid w:val="00600B94"/>
    <w:rsid w:val="006043CC"/>
    <w:rsid w:val="00604C6A"/>
    <w:rsid w:val="00605299"/>
    <w:rsid w:val="006226FE"/>
    <w:rsid w:val="00623B02"/>
    <w:rsid w:val="00624605"/>
    <w:rsid w:val="00625653"/>
    <w:rsid w:val="006261D5"/>
    <w:rsid w:val="00626361"/>
    <w:rsid w:val="00626FD1"/>
    <w:rsid w:val="00630BB1"/>
    <w:rsid w:val="006371FF"/>
    <w:rsid w:val="00637CA2"/>
    <w:rsid w:val="0064365F"/>
    <w:rsid w:val="00643BC6"/>
    <w:rsid w:val="006461F2"/>
    <w:rsid w:val="00651427"/>
    <w:rsid w:val="00652AA6"/>
    <w:rsid w:val="006614DA"/>
    <w:rsid w:val="00662401"/>
    <w:rsid w:val="0067008E"/>
    <w:rsid w:val="00670396"/>
    <w:rsid w:val="00671B35"/>
    <w:rsid w:val="00674046"/>
    <w:rsid w:val="0067683B"/>
    <w:rsid w:val="00677CC7"/>
    <w:rsid w:val="00681536"/>
    <w:rsid w:val="00683B8D"/>
    <w:rsid w:val="006903F6"/>
    <w:rsid w:val="0069173A"/>
    <w:rsid w:val="00693018"/>
    <w:rsid w:val="0069358D"/>
    <w:rsid w:val="006A33F7"/>
    <w:rsid w:val="006B10B8"/>
    <w:rsid w:val="006B1FC8"/>
    <w:rsid w:val="006B3DDE"/>
    <w:rsid w:val="006B4615"/>
    <w:rsid w:val="006B5591"/>
    <w:rsid w:val="006B73F9"/>
    <w:rsid w:val="006C2F96"/>
    <w:rsid w:val="006C4A1B"/>
    <w:rsid w:val="006C59E3"/>
    <w:rsid w:val="006D278B"/>
    <w:rsid w:val="006D5514"/>
    <w:rsid w:val="006E09E8"/>
    <w:rsid w:val="006F2DFE"/>
    <w:rsid w:val="006F36BD"/>
    <w:rsid w:val="007061DC"/>
    <w:rsid w:val="007075ED"/>
    <w:rsid w:val="00713DF7"/>
    <w:rsid w:val="00716EF7"/>
    <w:rsid w:val="00717001"/>
    <w:rsid w:val="00720DED"/>
    <w:rsid w:val="00721367"/>
    <w:rsid w:val="007238A0"/>
    <w:rsid w:val="00726188"/>
    <w:rsid w:val="00734E23"/>
    <w:rsid w:val="007378D3"/>
    <w:rsid w:val="00737F27"/>
    <w:rsid w:val="007401B5"/>
    <w:rsid w:val="007417D1"/>
    <w:rsid w:val="007418B1"/>
    <w:rsid w:val="007432EA"/>
    <w:rsid w:val="007448FE"/>
    <w:rsid w:val="007457A7"/>
    <w:rsid w:val="00747BBC"/>
    <w:rsid w:val="00747DBD"/>
    <w:rsid w:val="00750B98"/>
    <w:rsid w:val="00750F2C"/>
    <w:rsid w:val="00755B63"/>
    <w:rsid w:val="00757382"/>
    <w:rsid w:val="00760198"/>
    <w:rsid w:val="0076163B"/>
    <w:rsid w:val="00766880"/>
    <w:rsid w:val="00766ACE"/>
    <w:rsid w:val="00766E18"/>
    <w:rsid w:val="0077078B"/>
    <w:rsid w:val="007720A3"/>
    <w:rsid w:val="00775C33"/>
    <w:rsid w:val="0077636A"/>
    <w:rsid w:val="007803B7"/>
    <w:rsid w:val="007811C2"/>
    <w:rsid w:val="00782CA6"/>
    <w:rsid w:val="00784F59"/>
    <w:rsid w:val="00792115"/>
    <w:rsid w:val="007A2288"/>
    <w:rsid w:val="007A3618"/>
    <w:rsid w:val="007A44F3"/>
    <w:rsid w:val="007A50E4"/>
    <w:rsid w:val="007B37FD"/>
    <w:rsid w:val="007B4BF9"/>
    <w:rsid w:val="007C6C07"/>
    <w:rsid w:val="007C7876"/>
    <w:rsid w:val="007D66CE"/>
    <w:rsid w:val="007E03E7"/>
    <w:rsid w:val="007E2A72"/>
    <w:rsid w:val="007E2DED"/>
    <w:rsid w:val="007E365A"/>
    <w:rsid w:val="007E6F53"/>
    <w:rsid w:val="007F1D49"/>
    <w:rsid w:val="007F1DE2"/>
    <w:rsid w:val="007F2F57"/>
    <w:rsid w:val="007F439B"/>
    <w:rsid w:val="007F4BBF"/>
    <w:rsid w:val="007F4D58"/>
    <w:rsid w:val="0080040A"/>
    <w:rsid w:val="0080523C"/>
    <w:rsid w:val="008064AE"/>
    <w:rsid w:val="008136AD"/>
    <w:rsid w:val="00816870"/>
    <w:rsid w:val="00823F24"/>
    <w:rsid w:val="00827D94"/>
    <w:rsid w:val="008344AD"/>
    <w:rsid w:val="00835F6D"/>
    <w:rsid w:val="00842691"/>
    <w:rsid w:val="008426A3"/>
    <w:rsid w:val="008524D1"/>
    <w:rsid w:val="0086083F"/>
    <w:rsid w:val="00863593"/>
    <w:rsid w:val="00872B30"/>
    <w:rsid w:val="00874683"/>
    <w:rsid w:val="00874DE1"/>
    <w:rsid w:val="00874FB3"/>
    <w:rsid w:val="00875010"/>
    <w:rsid w:val="008750DF"/>
    <w:rsid w:val="00877214"/>
    <w:rsid w:val="008773D2"/>
    <w:rsid w:val="0088213A"/>
    <w:rsid w:val="008821D3"/>
    <w:rsid w:val="0088393B"/>
    <w:rsid w:val="00890B4C"/>
    <w:rsid w:val="00890F82"/>
    <w:rsid w:val="00896051"/>
    <w:rsid w:val="00896DD5"/>
    <w:rsid w:val="0089711E"/>
    <w:rsid w:val="008A283D"/>
    <w:rsid w:val="008A3251"/>
    <w:rsid w:val="008A5424"/>
    <w:rsid w:val="008A6768"/>
    <w:rsid w:val="008B018B"/>
    <w:rsid w:val="008B2A0E"/>
    <w:rsid w:val="008B5405"/>
    <w:rsid w:val="008B7770"/>
    <w:rsid w:val="008D03AB"/>
    <w:rsid w:val="008D0B64"/>
    <w:rsid w:val="008D2DAE"/>
    <w:rsid w:val="008D7329"/>
    <w:rsid w:val="008F3466"/>
    <w:rsid w:val="008F56F8"/>
    <w:rsid w:val="008F6AF3"/>
    <w:rsid w:val="008F7795"/>
    <w:rsid w:val="00903C23"/>
    <w:rsid w:val="00903E37"/>
    <w:rsid w:val="00904750"/>
    <w:rsid w:val="009052EF"/>
    <w:rsid w:val="00907F88"/>
    <w:rsid w:val="00911100"/>
    <w:rsid w:val="00914093"/>
    <w:rsid w:val="0091471B"/>
    <w:rsid w:val="00917EEE"/>
    <w:rsid w:val="00921B2F"/>
    <w:rsid w:val="00926C23"/>
    <w:rsid w:val="00927766"/>
    <w:rsid w:val="00932646"/>
    <w:rsid w:val="00932D2D"/>
    <w:rsid w:val="00934D9D"/>
    <w:rsid w:val="00940088"/>
    <w:rsid w:val="00940ABD"/>
    <w:rsid w:val="00943542"/>
    <w:rsid w:val="00943AC0"/>
    <w:rsid w:val="00952A8E"/>
    <w:rsid w:val="00952D40"/>
    <w:rsid w:val="00953CEB"/>
    <w:rsid w:val="00953D59"/>
    <w:rsid w:val="00954AC3"/>
    <w:rsid w:val="00955249"/>
    <w:rsid w:val="00956194"/>
    <w:rsid w:val="00957152"/>
    <w:rsid w:val="0096467D"/>
    <w:rsid w:val="009648F2"/>
    <w:rsid w:val="009669C5"/>
    <w:rsid w:val="0097048C"/>
    <w:rsid w:val="009713F2"/>
    <w:rsid w:val="00972F32"/>
    <w:rsid w:val="00974892"/>
    <w:rsid w:val="0097570C"/>
    <w:rsid w:val="009800DD"/>
    <w:rsid w:val="00981887"/>
    <w:rsid w:val="00987FA9"/>
    <w:rsid w:val="0099120D"/>
    <w:rsid w:val="00997D3F"/>
    <w:rsid w:val="009A0857"/>
    <w:rsid w:val="009A0F65"/>
    <w:rsid w:val="009A2D4B"/>
    <w:rsid w:val="009A3A08"/>
    <w:rsid w:val="009A5626"/>
    <w:rsid w:val="009B4BC8"/>
    <w:rsid w:val="009B5FF2"/>
    <w:rsid w:val="009C0E5E"/>
    <w:rsid w:val="009C2EB7"/>
    <w:rsid w:val="009C46B0"/>
    <w:rsid w:val="009D0FF2"/>
    <w:rsid w:val="009D2FD5"/>
    <w:rsid w:val="009D4507"/>
    <w:rsid w:val="009D60FE"/>
    <w:rsid w:val="009E16DC"/>
    <w:rsid w:val="009E2CA2"/>
    <w:rsid w:val="009E6E80"/>
    <w:rsid w:val="009F0304"/>
    <w:rsid w:val="009F1385"/>
    <w:rsid w:val="009F1C70"/>
    <w:rsid w:val="009F3D9B"/>
    <w:rsid w:val="009F5000"/>
    <w:rsid w:val="009F7F51"/>
    <w:rsid w:val="00A025A4"/>
    <w:rsid w:val="00A0374B"/>
    <w:rsid w:val="00A05C40"/>
    <w:rsid w:val="00A07862"/>
    <w:rsid w:val="00A10C03"/>
    <w:rsid w:val="00A11775"/>
    <w:rsid w:val="00A14A0F"/>
    <w:rsid w:val="00A15C86"/>
    <w:rsid w:val="00A160D3"/>
    <w:rsid w:val="00A20AFD"/>
    <w:rsid w:val="00A21EAE"/>
    <w:rsid w:val="00A2581E"/>
    <w:rsid w:val="00A26E29"/>
    <w:rsid w:val="00A306DB"/>
    <w:rsid w:val="00A337BD"/>
    <w:rsid w:val="00A3677B"/>
    <w:rsid w:val="00A37FE6"/>
    <w:rsid w:val="00A4034E"/>
    <w:rsid w:val="00A42759"/>
    <w:rsid w:val="00A43302"/>
    <w:rsid w:val="00A5344B"/>
    <w:rsid w:val="00A558B1"/>
    <w:rsid w:val="00A60038"/>
    <w:rsid w:val="00A61114"/>
    <w:rsid w:val="00A64EEB"/>
    <w:rsid w:val="00A710CA"/>
    <w:rsid w:val="00A71971"/>
    <w:rsid w:val="00A741B3"/>
    <w:rsid w:val="00A76D27"/>
    <w:rsid w:val="00A77330"/>
    <w:rsid w:val="00A77594"/>
    <w:rsid w:val="00A866AC"/>
    <w:rsid w:val="00A95648"/>
    <w:rsid w:val="00A96752"/>
    <w:rsid w:val="00AA03F8"/>
    <w:rsid w:val="00AA2DBD"/>
    <w:rsid w:val="00AA3D87"/>
    <w:rsid w:val="00AB412A"/>
    <w:rsid w:val="00AC072C"/>
    <w:rsid w:val="00AC1DEA"/>
    <w:rsid w:val="00AC5EFB"/>
    <w:rsid w:val="00AD130A"/>
    <w:rsid w:val="00AD242D"/>
    <w:rsid w:val="00AE4DD6"/>
    <w:rsid w:val="00AE71A6"/>
    <w:rsid w:val="00AF0484"/>
    <w:rsid w:val="00AF25CE"/>
    <w:rsid w:val="00AF4D61"/>
    <w:rsid w:val="00B00EF6"/>
    <w:rsid w:val="00B0186C"/>
    <w:rsid w:val="00B01A1C"/>
    <w:rsid w:val="00B04360"/>
    <w:rsid w:val="00B115AD"/>
    <w:rsid w:val="00B11FA2"/>
    <w:rsid w:val="00B132A9"/>
    <w:rsid w:val="00B22919"/>
    <w:rsid w:val="00B24B41"/>
    <w:rsid w:val="00B26ECF"/>
    <w:rsid w:val="00B31972"/>
    <w:rsid w:val="00B329AE"/>
    <w:rsid w:val="00B33E5F"/>
    <w:rsid w:val="00B56B84"/>
    <w:rsid w:val="00B61F77"/>
    <w:rsid w:val="00B63C7C"/>
    <w:rsid w:val="00B7220B"/>
    <w:rsid w:val="00B768E7"/>
    <w:rsid w:val="00B80A06"/>
    <w:rsid w:val="00B8405E"/>
    <w:rsid w:val="00B84163"/>
    <w:rsid w:val="00B8439C"/>
    <w:rsid w:val="00B90BC0"/>
    <w:rsid w:val="00B92A61"/>
    <w:rsid w:val="00B94100"/>
    <w:rsid w:val="00B94D95"/>
    <w:rsid w:val="00BA68A5"/>
    <w:rsid w:val="00BA72D4"/>
    <w:rsid w:val="00BB52FB"/>
    <w:rsid w:val="00BC1799"/>
    <w:rsid w:val="00BC1F42"/>
    <w:rsid w:val="00BD15C7"/>
    <w:rsid w:val="00BD78D3"/>
    <w:rsid w:val="00BE0F68"/>
    <w:rsid w:val="00BE2852"/>
    <w:rsid w:val="00BE479C"/>
    <w:rsid w:val="00BE4E22"/>
    <w:rsid w:val="00BE6904"/>
    <w:rsid w:val="00C11C7C"/>
    <w:rsid w:val="00C14ACA"/>
    <w:rsid w:val="00C17343"/>
    <w:rsid w:val="00C21BC8"/>
    <w:rsid w:val="00C262BB"/>
    <w:rsid w:val="00C277FB"/>
    <w:rsid w:val="00C30B8B"/>
    <w:rsid w:val="00C30E52"/>
    <w:rsid w:val="00C31941"/>
    <w:rsid w:val="00C33D1F"/>
    <w:rsid w:val="00C464F8"/>
    <w:rsid w:val="00C4798E"/>
    <w:rsid w:val="00C52E66"/>
    <w:rsid w:val="00C562F1"/>
    <w:rsid w:val="00C56876"/>
    <w:rsid w:val="00C60D93"/>
    <w:rsid w:val="00C63E34"/>
    <w:rsid w:val="00C65028"/>
    <w:rsid w:val="00C727B4"/>
    <w:rsid w:val="00C73191"/>
    <w:rsid w:val="00C73AFF"/>
    <w:rsid w:val="00C7477A"/>
    <w:rsid w:val="00C76B6D"/>
    <w:rsid w:val="00C82E11"/>
    <w:rsid w:val="00C8417D"/>
    <w:rsid w:val="00C8713A"/>
    <w:rsid w:val="00C91AC5"/>
    <w:rsid w:val="00C94251"/>
    <w:rsid w:val="00CA16F1"/>
    <w:rsid w:val="00CA5295"/>
    <w:rsid w:val="00CB0CFB"/>
    <w:rsid w:val="00CB5188"/>
    <w:rsid w:val="00CB527F"/>
    <w:rsid w:val="00CC20CF"/>
    <w:rsid w:val="00CC5A85"/>
    <w:rsid w:val="00CE0AC5"/>
    <w:rsid w:val="00CE4F12"/>
    <w:rsid w:val="00CE594E"/>
    <w:rsid w:val="00CF3817"/>
    <w:rsid w:val="00CF48F6"/>
    <w:rsid w:val="00D12494"/>
    <w:rsid w:val="00D1428F"/>
    <w:rsid w:val="00D200DA"/>
    <w:rsid w:val="00D20BF0"/>
    <w:rsid w:val="00D41BA9"/>
    <w:rsid w:val="00D42904"/>
    <w:rsid w:val="00D46468"/>
    <w:rsid w:val="00D52AFD"/>
    <w:rsid w:val="00D5520D"/>
    <w:rsid w:val="00D5608A"/>
    <w:rsid w:val="00D561B7"/>
    <w:rsid w:val="00D56ED4"/>
    <w:rsid w:val="00D611AB"/>
    <w:rsid w:val="00D638A6"/>
    <w:rsid w:val="00D63C95"/>
    <w:rsid w:val="00D70A0F"/>
    <w:rsid w:val="00D71410"/>
    <w:rsid w:val="00D75853"/>
    <w:rsid w:val="00D77000"/>
    <w:rsid w:val="00D77990"/>
    <w:rsid w:val="00D80A6F"/>
    <w:rsid w:val="00D849A1"/>
    <w:rsid w:val="00D85628"/>
    <w:rsid w:val="00D9067E"/>
    <w:rsid w:val="00D919FE"/>
    <w:rsid w:val="00D92C67"/>
    <w:rsid w:val="00DA0C46"/>
    <w:rsid w:val="00DA4866"/>
    <w:rsid w:val="00DA5CFE"/>
    <w:rsid w:val="00DA695B"/>
    <w:rsid w:val="00DB21BD"/>
    <w:rsid w:val="00DC2324"/>
    <w:rsid w:val="00DC551A"/>
    <w:rsid w:val="00DC67E7"/>
    <w:rsid w:val="00DD0FD0"/>
    <w:rsid w:val="00DD2EC8"/>
    <w:rsid w:val="00DD38B6"/>
    <w:rsid w:val="00DD7E48"/>
    <w:rsid w:val="00DE1CAE"/>
    <w:rsid w:val="00DE6110"/>
    <w:rsid w:val="00DE7DAD"/>
    <w:rsid w:val="00DF0000"/>
    <w:rsid w:val="00DF0078"/>
    <w:rsid w:val="00DF0247"/>
    <w:rsid w:val="00DF0A6E"/>
    <w:rsid w:val="00DF5CA0"/>
    <w:rsid w:val="00E016CE"/>
    <w:rsid w:val="00E04D80"/>
    <w:rsid w:val="00E07CAA"/>
    <w:rsid w:val="00E13B39"/>
    <w:rsid w:val="00E165A9"/>
    <w:rsid w:val="00E20A7B"/>
    <w:rsid w:val="00E21DB9"/>
    <w:rsid w:val="00E21E43"/>
    <w:rsid w:val="00E2201D"/>
    <w:rsid w:val="00E24DE0"/>
    <w:rsid w:val="00E35CFE"/>
    <w:rsid w:val="00E40B68"/>
    <w:rsid w:val="00E41076"/>
    <w:rsid w:val="00E44E87"/>
    <w:rsid w:val="00E467D8"/>
    <w:rsid w:val="00E517C7"/>
    <w:rsid w:val="00E603EC"/>
    <w:rsid w:val="00E62E02"/>
    <w:rsid w:val="00E657F6"/>
    <w:rsid w:val="00E661E9"/>
    <w:rsid w:val="00E668E7"/>
    <w:rsid w:val="00E716C3"/>
    <w:rsid w:val="00E7540F"/>
    <w:rsid w:val="00E75DB4"/>
    <w:rsid w:val="00E848CD"/>
    <w:rsid w:val="00E85BB4"/>
    <w:rsid w:val="00E93ACB"/>
    <w:rsid w:val="00E94951"/>
    <w:rsid w:val="00E97540"/>
    <w:rsid w:val="00E976C2"/>
    <w:rsid w:val="00EA2A6B"/>
    <w:rsid w:val="00EA398E"/>
    <w:rsid w:val="00EB0D7F"/>
    <w:rsid w:val="00EB2837"/>
    <w:rsid w:val="00EC06C8"/>
    <w:rsid w:val="00EC1646"/>
    <w:rsid w:val="00EC698E"/>
    <w:rsid w:val="00EC6B08"/>
    <w:rsid w:val="00EC6E16"/>
    <w:rsid w:val="00ED356A"/>
    <w:rsid w:val="00ED7CFA"/>
    <w:rsid w:val="00ED7F0A"/>
    <w:rsid w:val="00EE601B"/>
    <w:rsid w:val="00EE678E"/>
    <w:rsid w:val="00EF11E9"/>
    <w:rsid w:val="00EF4841"/>
    <w:rsid w:val="00EF709B"/>
    <w:rsid w:val="00F00EF8"/>
    <w:rsid w:val="00F01370"/>
    <w:rsid w:val="00F12A62"/>
    <w:rsid w:val="00F1540F"/>
    <w:rsid w:val="00F16268"/>
    <w:rsid w:val="00F20729"/>
    <w:rsid w:val="00F21E3E"/>
    <w:rsid w:val="00F26F51"/>
    <w:rsid w:val="00F32D96"/>
    <w:rsid w:val="00F3503D"/>
    <w:rsid w:val="00F37640"/>
    <w:rsid w:val="00F41D4C"/>
    <w:rsid w:val="00F50EF4"/>
    <w:rsid w:val="00F52A0A"/>
    <w:rsid w:val="00F55616"/>
    <w:rsid w:val="00F5619A"/>
    <w:rsid w:val="00F64BDE"/>
    <w:rsid w:val="00F7076C"/>
    <w:rsid w:val="00F730ED"/>
    <w:rsid w:val="00F7779E"/>
    <w:rsid w:val="00F81335"/>
    <w:rsid w:val="00F941DC"/>
    <w:rsid w:val="00FA0562"/>
    <w:rsid w:val="00FA6047"/>
    <w:rsid w:val="00FB0197"/>
    <w:rsid w:val="00FB1CFF"/>
    <w:rsid w:val="00FB3272"/>
    <w:rsid w:val="00FC569E"/>
    <w:rsid w:val="00FD4F7D"/>
    <w:rsid w:val="00FD5DDF"/>
    <w:rsid w:val="00FD71E0"/>
    <w:rsid w:val="00FE27C9"/>
    <w:rsid w:val="00FF63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AE78"/>
  <w15:chartTrackingRefBased/>
  <w15:docId w15:val="{547E4A38-FC11-475C-8940-542D5CF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A8"/>
    <w:pPr>
      <w:spacing w:after="0" w:line="240" w:lineRule="auto"/>
    </w:pPr>
    <w:rPr>
      <w:rFonts w:ascii="Times New Roman" w:eastAsia="Times New Roman" w:hAnsi="Times New Roman" w:cs="Times New Roman"/>
      <w:sz w:val="24"/>
      <w:szCs w:val="20"/>
      <w:lang w:val="fr-CA"/>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2F07D8"/>
    <w:pPr>
      <w:contextualSpacing/>
      <w:jc w:val="center"/>
    </w:pPr>
    <w:rPr>
      <w:rFonts w:asciiTheme="majorHAnsi" w:eastAsiaTheme="majorEastAsia" w:hAnsiTheme="majorHAnsi" w:cstheme="majorHAnsi"/>
      <w:spacing w:val="-10"/>
      <w:kern w:val="28"/>
      <w:sz w:val="48"/>
      <w:szCs w:val="48"/>
    </w:rPr>
  </w:style>
  <w:style w:type="character" w:customStyle="1" w:styleId="TitleChar">
    <w:name w:val="Title Char"/>
    <w:basedOn w:val="DefaultParagraphFont"/>
    <w:link w:val="Title"/>
    <w:uiPriority w:val="10"/>
    <w:rsid w:val="002F07D8"/>
    <w:rPr>
      <w:rFonts w:asciiTheme="majorHAnsi" w:eastAsiaTheme="majorEastAsia" w:hAnsiTheme="majorHAnsi" w:cstheme="majorHAnsi"/>
      <w:spacing w:val="-10"/>
      <w:kern w:val="28"/>
      <w:sz w:val="48"/>
      <w:szCs w:val="48"/>
      <w:lang w:val="fr-CA"/>
    </w:rPr>
  </w:style>
  <w:style w:type="paragraph" w:customStyle="1" w:styleId="Style2">
    <w:name w:val="Style2"/>
    <w:basedOn w:val="Normal"/>
    <w:link w:val="Style2Char"/>
    <w:qFormat/>
    <w:rsid w:val="007378D3"/>
    <w:pPr>
      <w:shd w:val="clear" w:color="auto" w:fill="F2F2F2"/>
    </w:pPr>
    <w:rPr>
      <w:rFonts w:ascii="Arial" w:hAnsi="Arial" w:cs="Arial"/>
      <w:b/>
      <w:color w:val="009999"/>
      <w:spacing w:val="-10"/>
      <w:lang w:val="en-CA"/>
    </w:rPr>
  </w:style>
  <w:style w:type="character" w:customStyle="1" w:styleId="Style2Char">
    <w:name w:val="Style2 Char"/>
    <w:basedOn w:val="DefaultParagraphFont"/>
    <w:link w:val="Style2"/>
    <w:rsid w:val="007378D3"/>
    <w:rPr>
      <w:rFonts w:ascii="Arial" w:eastAsia="Times New Roman" w:hAnsi="Arial" w:cs="Arial"/>
      <w:b/>
      <w:color w:val="009999"/>
      <w:spacing w:val="-10"/>
      <w:shd w:val="clear" w:color="auto" w:fill="F2F2F2"/>
    </w:rPr>
  </w:style>
  <w:style w:type="paragraph" w:customStyle="1" w:styleId="Style4">
    <w:name w:val="Style4"/>
    <w:basedOn w:val="Normal"/>
    <w:link w:val="Style4Char"/>
    <w:qFormat/>
    <w:rsid w:val="007378D3"/>
    <w:rPr>
      <w:rFonts w:ascii="Arial" w:hAnsi="Arial" w:cs="Arial"/>
      <w:u w:val="single"/>
      <w:lang w:val="en-CA" w:eastAsia="en-CA"/>
    </w:rPr>
  </w:style>
  <w:style w:type="character" w:customStyle="1" w:styleId="Style4Char">
    <w:name w:val="Style4 Char"/>
    <w:basedOn w:val="DefaultParagraphFont"/>
    <w:link w:val="Style4"/>
    <w:rsid w:val="007378D3"/>
    <w:rPr>
      <w:rFonts w:ascii="Arial" w:eastAsia="Times New Roman" w:hAnsi="Arial" w:cs="Arial"/>
      <w:u w:val="single"/>
      <w:lang w:eastAsia="en-CA"/>
    </w:rPr>
  </w:style>
  <w:style w:type="paragraph" w:styleId="NormalWeb">
    <w:name w:val="Normal (Web)"/>
    <w:basedOn w:val="Normal"/>
    <w:uiPriority w:val="99"/>
    <w:unhideWhenUsed/>
    <w:rsid w:val="007378D3"/>
    <w:pPr>
      <w:spacing w:before="100" w:beforeAutospacing="1" w:after="100" w:afterAutospacing="1"/>
    </w:pPr>
    <w:rPr>
      <w:rFonts w:ascii="Verdana" w:hAnsi="Verdana"/>
      <w:szCs w:val="24"/>
    </w:rPr>
  </w:style>
  <w:style w:type="paragraph" w:customStyle="1" w:styleId="Level1">
    <w:name w:val="Level 1"/>
    <w:basedOn w:val="Normal"/>
    <w:uiPriority w:val="99"/>
    <w:rsid w:val="007378D3"/>
    <w:pPr>
      <w:widowControl w:val="0"/>
    </w:pPr>
  </w:style>
  <w:style w:type="character" w:styleId="Hyperlink">
    <w:name w:val="Hyperlink"/>
    <w:uiPriority w:val="99"/>
    <w:unhideWhenUsed/>
    <w:rsid w:val="007378D3"/>
    <w:rPr>
      <w:color w:val="0563C1"/>
      <w:u w:val="single"/>
    </w:rPr>
  </w:style>
  <w:style w:type="paragraph" w:styleId="NoSpacing">
    <w:name w:val="No Spacing"/>
    <w:uiPriority w:val="1"/>
    <w:qFormat/>
    <w:rsid w:val="007378D3"/>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7378D3"/>
    <w:pPr>
      <w:pBdr>
        <w:bottom w:val="single" w:sz="4" w:space="1" w:color="92D050"/>
      </w:pBdr>
      <w:autoSpaceDE w:val="0"/>
      <w:autoSpaceDN w:val="0"/>
      <w:adjustRightInd w:val="0"/>
      <w:ind w:right="50"/>
    </w:pPr>
    <w:rPr>
      <w:rFonts w:ascii="Arial" w:hAnsi="Arial" w:cs="Arial"/>
      <w:b/>
      <w:caps/>
      <w:color w:val="92D050"/>
      <w:lang w:val="en-CA"/>
    </w:rPr>
  </w:style>
  <w:style w:type="character" w:customStyle="1" w:styleId="Style1Char">
    <w:name w:val="Style1 Char"/>
    <w:basedOn w:val="DefaultParagraphFont"/>
    <w:link w:val="Style1"/>
    <w:rsid w:val="007378D3"/>
    <w:rPr>
      <w:rFonts w:ascii="Arial" w:eastAsia="Times New Roman" w:hAnsi="Arial" w:cs="Arial"/>
      <w:b/>
      <w:caps/>
      <w:color w:val="92D050"/>
    </w:rPr>
  </w:style>
  <w:style w:type="paragraph" w:customStyle="1" w:styleId="Style6">
    <w:name w:val="Style6"/>
    <w:basedOn w:val="Normal"/>
    <w:link w:val="Style6Char"/>
    <w:qFormat/>
    <w:rsid w:val="007378D3"/>
    <w:pPr>
      <w:jc w:val="center"/>
    </w:pPr>
    <w:rPr>
      <w:rFonts w:ascii="Arial" w:hAnsi="Arial" w:cs="Arial"/>
      <w:b/>
      <w:color w:val="009999"/>
      <w:szCs w:val="24"/>
    </w:rPr>
  </w:style>
  <w:style w:type="paragraph" w:customStyle="1" w:styleId="Style7">
    <w:name w:val="Style7"/>
    <w:basedOn w:val="Normal"/>
    <w:link w:val="Style7Char"/>
    <w:qFormat/>
    <w:rsid w:val="007378D3"/>
    <w:pPr>
      <w:jc w:val="center"/>
    </w:pPr>
    <w:rPr>
      <w:rFonts w:ascii="Arial" w:hAnsi="Arial" w:cs="Arial"/>
      <w:color w:val="009999"/>
      <w:szCs w:val="32"/>
    </w:rPr>
  </w:style>
  <w:style w:type="character" w:customStyle="1" w:styleId="Style6Char">
    <w:name w:val="Style6 Char"/>
    <w:basedOn w:val="DefaultParagraphFont"/>
    <w:link w:val="Style6"/>
    <w:rsid w:val="007378D3"/>
    <w:rPr>
      <w:rFonts w:ascii="Arial" w:eastAsia="Times New Roman" w:hAnsi="Arial" w:cs="Arial"/>
      <w:b/>
      <w:color w:val="009999"/>
      <w:sz w:val="24"/>
      <w:szCs w:val="24"/>
      <w:lang w:val="en-US"/>
    </w:rPr>
  </w:style>
  <w:style w:type="paragraph" w:customStyle="1" w:styleId="Style8">
    <w:name w:val="Style8"/>
    <w:basedOn w:val="Normal"/>
    <w:link w:val="Style8Char"/>
    <w:qFormat/>
    <w:rsid w:val="007378D3"/>
    <w:rPr>
      <w:rFonts w:ascii="Arial" w:hAnsi="Arial" w:cs="Arial"/>
      <w:color w:val="767171"/>
      <w:sz w:val="16"/>
      <w:lang w:val="en-CA"/>
    </w:rPr>
  </w:style>
  <w:style w:type="character" w:customStyle="1" w:styleId="Style7Char">
    <w:name w:val="Style7 Char"/>
    <w:basedOn w:val="DefaultParagraphFont"/>
    <w:link w:val="Style7"/>
    <w:rsid w:val="007378D3"/>
    <w:rPr>
      <w:rFonts w:ascii="Arial" w:eastAsia="Times New Roman" w:hAnsi="Arial" w:cs="Arial"/>
      <w:color w:val="009999"/>
      <w:szCs w:val="32"/>
      <w:lang w:val="en-US"/>
    </w:rPr>
  </w:style>
  <w:style w:type="paragraph" w:customStyle="1" w:styleId="Style9">
    <w:name w:val="Style9"/>
    <w:basedOn w:val="Normal"/>
    <w:link w:val="Style9Char"/>
    <w:qFormat/>
    <w:rsid w:val="007378D3"/>
    <w:rPr>
      <w:rFonts w:ascii="Arial" w:hAnsi="Arial" w:cs="Arial"/>
      <w:b/>
      <w:color w:val="009999"/>
      <w:spacing w:val="-10"/>
      <w:lang w:val="en-CA"/>
    </w:rPr>
  </w:style>
  <w:style w:type="character" w:customStyle="1" w:styleId="Style8Char">
    <w:name w:val="Style8 Char"/>
    <w:basedOn w:val="DefaultParagraphFont"/>
    <w:link w:val="Style8"/>
    <w:rsid w:val="007378D3"/>
    <w:rPr>
      <w:rFonts w:ascii="Arial" w:eastAsia="Times New Roman" w:hAnsi="Arial" w:cs="Arial"/>
      <w:color w:val="767171"/>
      <w:sz w:val="16"/>
    </w:rPr>
  </w:style>
  <w:style w:type="character" w:customStyle="1" w:styleId="Style9Char">
    <w:name w:val="Style9 Char"/>
    <w:basedOn w:val="DefaultParagraphFont"/>
    <w:link w:val="Style9"/>
    <w:rsid w:val="007378D3"/>
    <w:rPr>
      <w:rFonts w:ascii="Arial" w:eastAsia="Times New Roman" w:hAnsi="Arial" w:cs="Arial"/>
      <w:b/>
      <w:color w:val="009999"/>
      <w:spacing w:val="-10"/>
    </w:rPr>
  </w:style>
  <w:style w:type="character" w:styleId="FollowedHyperlink">
    <w:name w:val="FollowedHyperlink"/>
    <w:basedOn w:val="DefaultParagraphFont"/>
    <w:uiPriority w:val="99"/>
    <w:semiHidden/>
    <w:unhideWhenUsed/>
    <w:rsid w:val="002D653E"/>
    <w:rPr>
      <w:color w:val="A5A5A5" w:themeColor="followedHyperlink"/>
      <w:u w:val="single"/>
    </w:rPr>
  </w:style>
  <w:style w:type="character" w:styleId="Strong">
    <w:name w:val="Strong"/>
    <w:basedOn w:val="DefaultParagraphFont"/>
    <w:uiPriority w:val="22"/>
    <w:qFormat/>
    <w:rsid w:val="00953CEB"/>
    <w:rPr>
      <w:b/>
      <w:bCs/>
    </w:rPr>
  </w:style>
  <w:style w:type="table" w:customStyle="1" w:styleId="Grilledutableau1">
    <w:name w:val="Grille du tableau1"/>
    <w:basedOn w:val="TableNormal"/>
    <w:next w:val="TableGrid"/>
    <w:uiPriority w:val="39"/>
    <w:rsid w:val="000A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4841"/>
    <w:rPr>
      <w:sz w:val="16"/>
      <w:szCs w:val="16"/>
    </w:rPr>
  </w:style>
  <w:style w:type="paragraph" w:styleId="CommentText">
    <w:name w:val="annotation text"/>
    <w:basedOn w:val="Normal"/>
    <w:link w:val="CommentTextChar"/>
    <w:uiPriority w:val="99"/>
    <w:semiHidden/>
    <w:unhideWhenUsed/>
    <w:rsid w:val="00EF4841"/>
    <w:rPr>
      <w:sz w:val="20"/>
    </w:rPr>
  </w:style>
  <w:style w:type="character" w:customStyle="1" w:styleId="CommentTextChar">
    <w:name w:val="Comment Text Char"/>
    <w:basedOn w:val="DefaultParagraphFont"/>
    <w:link w:val="CommentText"/>
    <w:uiPriority w:val="99"/>
    <w:semiHidden/>
    <w:rsid w:val="00EF484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F4841"/>
    <w:rPr>
      <w:b/>
      <w:bCs/>
    </w:rPr>
  </w:style>
  <w:style w:type="character" w:customStyle="1" w:styleId="CommentSubjectChar">
    <w:name w:val="Comment Subject Char"/>
    <w:basedOn w:val="CommentTextChar"/>
    <w:link w:val="CommentSubject"/>
    <w:uiPriority w:val="99"/>
    <w:semiHidden/>
    <w:rsid w:val="00EF4841"/>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sid w:val="00410C47"/>
    <w:rPr>
      <w:i/>
      <w:iCs/>
    </w:rPr>
  </w:style>
  <w:style w:type="paragraph" w:styleId="Caption">
    <w:name w:val="caption"/>
    <w:basedOn w:val="Normal"/>
    <w:next w:val="Normal"/>
    <w:uiPriority w:val="35"/>
    <w:unhideWhenUsed/>
    <w:qFormat/>
    <w:rsid w:val="003C62D6"/>
    <w:pPr>
      <w:spacing w:after="200"/>
    </w:pPr>
    <w:rPr>
      <w:i/>
      <w:iCs/>
      <w:color w:val="54575A" w:themeColor="text2"/>
      <w:sz w:val="18"/>
      <w:szCs w:val="18"/>
    </w:rPr>
  </w:style>
  <w:style w:type="paragraph" w:styleId="PlainText">
    <w:name w:val="Plain Text"/>
    <w:basedOn w:val="Normal"/>
    <w:link w:val="PlainTextChar"/>
    <w:uiPriority w:val="99"/>
    <w:semiHidden/>
    <w:unhideWhenUsed/>
    <w:rsid w:val="0009543E"/>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09543E"/>
    <w:rPr>
      <w:rFonts w:ascii="Calibri" w:hAnsi="Calibri" w:cs="Calibri"/>
      <w:lang w:val="fr-CA"/>
    </w:rPr>
  </w:style>
  <w:style w:type="table" w:customStyle="1" w:styleId="TableGrid1">
    <w:name w:val="Table Grid1"/>
    <w:basedOn w:val="TableNormal"/>
    <w:next w:val="TableGrid"/>
    <w:uiPriority w:val="39"/>
    <w:rsid w:val="007E2A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347512"/>
    <w:rPr>
      <w:rFonts w:ascii="Arial" w:hAnsi="Arial"/>
      <w:color w:val="auto"/>
      <w:sz w:val="22"/>
    </w:rPr>
  </w:style>
  <w:style w:type="paragraph" w:styleId="Revision">
    <w:name w:val="Revision"/>
    <w:hidden/>
    <w:uiPriority w:val="99"/>
    <w:semiHidden/>
    <w:rsid w:val="00927766"/>
    <w:pPr>
      <w:spacing w:after="0" w:line="240" w:lineRule="auto"/>
    </w:pPr>
    <w:rPr>
      <w:rFonts w:ascii="Times New Roman" w:eastAsia="Times New Roman" w:hAnsi="Times New Roman" w:cs="Times New Roman"/>
      <w:sz w:val="24"/>
      <w:szCs w:val="20"/>
      <w:lang w:val="fr-CA"/>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FD4F7D"/>
    <w:rPr>
      <w:rFonts w:ascii="Times New Roman" w:eastAsia="Times New Roman" w:hAnsi="Times New Roman" w:cs="Times New Roman"/>
      <w:sz w:val="24"/>
      <w:szCs w:val="20"/>
      <w:lang w:val="fr-CA"/>
    </w:rPr>
  </w:style>
  <w:style w:type="character" w:customStyle="1" w:styleId="genid12">
    <w:name w:val="genid1_2"/>
    <w:basedOn w:val="DefaultParagraphFont"/>
    <w:rsid w:val="001E2A97"/>
  </w:style>
  <w:style w:type="table" w:customStyle="1" w:styleId="TableGrid2">
    <w:name w:val="Table Grid2"/>
    <w:basedOn w:val="TableNormal"/>
    <w:next w:val="TableGrid"/>
    <w:uiPriority w:val="39"/>
    <w:rsid w:val="00306C9A"/>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587">
      <w:bodyDiv w:val="1"/>
      <w:marLeft w:val="0"/>
      <w:marRight w:val="0"/>
      <w:marTop w:val="0"/>
      <w:marBottom w:val="0"/>
      <w:divBdr>
        <w:top w:val="none" w:sz="0" w:space="0" w:color="auto"/>
        <w:left w:val="none" w:sz="0" w:space="0" w:color="auto"/>
        <w:bottom w:val="none" w:sz="0" w:space="0" w:color="auto"/>
        <w:right w:val="none" w:sz="0" w:space="0" w:color="auto"/>
      </w:divBdr>
    </w:div>
    <w:div w:id="72163929">
      <w:bodyDiv w:val="1"/>
      <w:marLeft w:val="0"/>
      <w:marRight w:val="0"/>
      <w:marTop w:val="0"/>
      <w:marBottom w:val="0"/>
      <w:divBdr>
        <w:top w:val="none" w:sz="0" w:space="0" w:color="auto"/>
        <w:left w:val="none" w:sz="0" w:space="0" w:color="auto"/>
        <w:bottom w:val="none" w:sz="0" w:space="0" w:color="auto"/>
        <w:right w:val="none" w:sz="0" w:space="0" w:color="auto"/>
      </w:divBdr>
    </w:div>
    <w:div w:id="204878257">
      <w:bodyDiv w:val="1"/>
      <w:marLeft w:val="0"/>
      <w:marRight w:val="0"/>
      <w:marTop w:val="0"/>
      <w:marBottom w:val="0"/>
      <w:divBdr>
        <w:top w:val="none" w:sz="0" w:space="0" w:color="auto"/>
        <w:left w:val="none" w:sz="0" w:space="0" w:color="auto"/>
        <w:bottom w:val="none" w:sz="0" w:space="0" w:color="auto"/>
        <w:right w:val="none" w:sz="0" w:space="0" w:color="auto"/>
      </w:divBdr>
    </w:div>
    <w:div w:id="247541559">
      <w:bodyDiv w:val="1"/>
      <w:marLeft w:val="0"/>
      <w:marRight w:val="0"/>
      <w:marTop w:val="0"/>
      <w:marBottom w:val="0"/>
      <w:divBdr>
        <w:top w:val="none" w:sz="0" w:space="0" w:color="auto"/>
        <w:left w:val="none" w:sz="0" w:space="0" w:color="auto"/>
        <w:bottom w:val="none" w:sz="0" w:space="0" w:color="auto"/>
        <w:right w:val="none" w:sz="0" w:space="0" w:color="auto"/>
      </w:divBdr>
    </w:div>
    <w:div w:id="420948785">
      <w:bodyDiv w:val="1"/>
      <w:marLeft w:val="0"/>
      <w:marRight w:val="0"/>
      <w:marTop w:val="0"/>
      <w:marBottom w:val="0"/>
      <w:divBdr>
        <w:top w:val="none" w:sz="0" w:space="0" w:color="auto"/>
        <w:left w:val="none" w:sz="0" w:space="0" w:color="auto"/>
        <w:bottom w:val="none" w:sz="0" w:space="0" w:color="auto"/>
        <w:right w:val="none" w:sz="0" w:space="0" w:color="auto"/>
      </w:divBdr>
    </w:div>
    <w:div w:id="467086218">
      <w:bodyDiv w:val="1"/>
      <w:marLeft w:val="0"/>
      <w:marRight w:val="0"/>
      <w:marTop w:val="0"/>
      <w:marBottom w:val="0"/>
      <w:divBdr>
        <w:top w:val="none" w:sz="0" w:space="0" w:color="auto"/>
        <w:left w:val="none" w:sz="0" w:space="0" w:color="auto"/>
        <w:bottom w:val="none" w:sz="0" w:space="0" w:color="auto"/>
        <w:right w:val="none" w:sz="0" w:space="0" w:color="auto"/>
      </w:divBdr>
    </w:div>
    <w:div w:id="516239116">
      <w:bodyDiv w:val="1"/>
      <w:marLeft w:val="0"/>
      <w:marRight w:val="0"/>
      <w:marTop w:val="0"/>
      <w:marBottom w:val="0"/>
      <w:divBdr>
        <w:top w:val="none" w:sz="0" w:space="0" w:color="auto"/>
        <w:left w:val="none" w:sz="0" w:space="0" w:color="auto"/>
        <w:bottom w:val="none" w:sz="0" w:space="0" w:color="auto"/>
        <w:right w:val="none" w:sz="0" w:space="0" w:color="auto"/>
      </w:divBdr>
    </w:div>
    <w:div w:id="556086757">
      <w:bodyDiv w:val="1"/>
      <w:marLeft w:val="0"/>
      <w:marRight w:val="0"/>
      <w:marTop w:val="0"/>
      <w:marBottom w:val="0"/>
      <w:divBdr>
        <w:top w:val="none" w:sz="0" w:space="0" w:color="auto"/>
        <w:left w:val="none" w:sz="0" w:space="0" w:color="auto"/>
        <w:bottom w:val="none" w:sz="0" w:space="0" w:color="auto"/>
        <w:right w:val="none" w:sz="0" w:space="0" w:color="auto"/>
      </w:divBdr>
    </w:div>
    <w:div w:id="570892916">
      <w:bodyDiv w:val="1"/>
      <w:marLeft w:val="0"/>
      <w:marRight w:val="0"/>
      <w:marTop w:val="0"/>
      <w:marBottom w:val="0"/>
      <w:divBdr>
        <w:top w:val="none" w:sz="0" w:space="0" w:color="auto"/>
        <w:left w:val="none" w:sz="0" w:space="0" w:color="auto"/>
        <w:bottom w:val="none" w:sz="0" w:space="0" w:color="auto"/>
        <w:right w:val="none" w:sz="0" w:space="0" w:color="auto"/>
      </w:divBdr>
    </w:div>
    <w:div w:id="624123776">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733233517">
      <w:bodyDiv w:val="1"/>
      <w:marLeft w:val="0"/>
      <w:marRight w:val="0"/>
      <w:marTop w:val="0"/>
      <w:marBottom w:val="0"/>
      <w:divBdr>
        <w:top w:val="none" w:sz="0" w:space="0" w:color="auto"/>
        <w:left w:val="none" w:sz="0" w:space="0" w:color="auto"/>
        <w:bottom w:val="none" w:sz="0" w:space="0" w:color="auto"/>
        <w:right w:val="none" w:sz="0" w:space="0" w:color="auto"/>
      </w:divBdr>
    </w:div>
    <w:div w:id="778182489">
      <w:bodyDiv w:val="1"/>
      <w:marLeft w:val="0"/>
      <w:marRight w:val="0"/>
      <w:marTop w:val="0"/>
      <w:marBottom w:val="0"/>
      <w:divBdr>
        <w:top w:val="none" w:sz="0" w:space="0" w:color="auto"/>
        <w:left w:val="none" w:sz="0" w:space="0" w:color="auto"/>
        <w:bottom w:val="none" w:sz="0" w:space="0" w:color="auto"/>
        <w:right w:val="none" w:sz="0" w:space="0" w:color="auto"/>
      </w:divBdr>
    </w:div>
    <w:div w:id="802891658">
      <w:bodyDiv w:val="1"/>
      <w:marLeft w:val="0"/>
      <w:marRight w:val="0"/>
      <w:marTop w:val="0"/>
      <w:marBottom w:val="0"/>
      <w:divBdr>
        <w:top w:val="none" w:sz="0" w:space="0" w:color="auto"/>
        <w:left w:val="none" w:sz="0" w:space="0" w:color="auto"/>
        <w:bottom w:val="none" w:sz="0" w:space="0" w:color="auto"/>
        <w:right w:val="none" w:sz="0" w:space="0" w:color="auto"/>
      </w:divBdr>
    </w:div>
    <w:div w:id="1044257667">
      <w:bodyDiv w:val="1"/>
      <w:marLeft w:val="0"/>
      <w:marRight w:val="0"/>
      <w:marTop w:val="0"/>
      <w:marBottom w:val="0"/>
      <w:divBdr>
        <w:top w:val="none" w:sz="0" w:space="0" w:color="auto"/>
        <w:left w:val="none" w:sz="0" w:space="0" w:color="auto"/>
        <w:bottom w:val="none" w:sz="0" w:space="0" w:color="auto"/>
        <w:right w:val="none" w:sz="0" w:space="0" w:color="auto"/>
      </w:divBdr>
      <w:divsChild>
        <w:div w:id="724644485">
          <w:marLeft w:val="0"/>
          <w:marRight w:val="0"/>
          <w:marTop w:val="0"/>
          <w:marBottom w:val="0"/>
          <w:divBdr>
            <w:top w:val="none" w:sz="0" w:space="0" w:color="auto"/>
            <w:left w:val="none" w:sz="0" w:space="0" w:color="auto"/>
            <w:bottom w:val="none" w:sz="0" w:space="0" w:color="auto"/>
            <w:right w:val="none" w:sz="0" w:space="0" w:color="auto"/>
          </w:divBdr>
          <w:divsChild>
            <w:div w:id="1978610256">
              <w:marLeft w:val="0"/>
              <w:marRight w:val="0"/>
              <w:marTop w:val="0"/>
              <w:marBottom w:val="0"/>
              <w:divBdr>
                <w:top w:val="none" w:sz="0" w:space="0" w:color="auto"/>
                <w:left w:val="none" w:sz="0" w:space="0" w:color="auto"/>
                <w:bottom w:val="none" w:sz="0" w:space="0" w:color="auto"/>
                <w:right w:val="none" w:sz="0" w:space="0" w:color="auto"/>
              </w:divBdr>
              <w:divsChild>
                <w:div w:id="509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770">
      <w:bodyDiv w:val="1"/>
      <w:marLeft w:val="0"/>
      <w:marRight w:val="0"/>
      <w:marTop w:val="0"/>
      <w:marBottom w:val="0"/>
      <w:divBdr>
        <w:top w:val="none" w:sz="0" w:space="0" w:color="auto"/>
        <w:left w:val="none" w:sz="0" w:space="0" w:color="auto"/>
        <w:bottom w:val="none" w:sz="0" w:space="0" w:color="auto"/>
        <w:right w:val="none" w:sz="0" w:space="0" w:color="auto"/>
      </w:divBdr>
      <w:divsChild>
        <w:div w:id="1730691799">
          <w:marLeft w:val="0"/>
          <w:marRight w:val="0"/>
          <w:marTop w:val="0"/>
          <w:marBottom w:val="0"/>
          <w:divBdr>
            <w:top w:val="none" w:sz="0" w:space="0" w:color="auto"/>
            <w:left w:val="none" w:sz="0" w:space="0" w:color="auto"/>
            <w:bottom w:val="none" w:sz="0" w:space="0" w:color="auto"/>
            <w:right w:val="none" w:sz="0" w:space="0" w:color="auto"/>
          </w:divBdr>
          <w:divsChild>
            <w:div w:id="11615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5022">
      <w:bodyDiv w:val="1"/>
      <w:marLeft w:val="0"/>
      <w:marRight w:val="0"/>
      <w:marTop w:val="0"/>
      <w:marBottom w:val="0"/>
      <w:divBdr>
        <w:top w:val="none" w:sz="0" w:space="0" w:color="auto"/>
        <w:left w:val="none" w:sz="0" w:space="0" w:color="auto"/>
        <w:bottom w:val="none" w:sz="0" w:space="0" w:color="auto"/>
        <w:right w:val="none" w:sz="0" w:space="0" w:color="auto"/>
      </w:divBdr>
    </w:div>
    <w:div w:id="1657418528">
      <w:bodyDiv w:val="1"/>
      <w:marLeft w:val="0"/>
      <w:marRight w:val="0"/>
      <w:marTop w:val="0"/>
      <w:marBottom w:val="0"/>
      <w:divBdr>
        <w:top w:val="none" w:sz="0" w:space="0" w:color="auto"/>
        <w:left w:val="none" w:sz="0" w:space="0" w:color="auto"/>
        <w:bottom w:val="none" w:sz="0" w:space="0" w:color="auto"/>
        <w:right w:val="none" w:sz="0" w:space="0" w:color="auto"/>
      </w:divBdr>
      <w:divsChild>
        <w:div w:id="624822108">
          <w:marLeft w:val="0"/>
          <w:marRight w:val="0"/>
          <w:marTop w:val="0"/>
          <w:marBottom w:val="0"/>
          <w:divBdr>
            <w:top w:val="none" w:sz="0" w:space="0" w:color="auto"/>
            <w:left w:val="none" w:sz="0" w:space="0" w:color="auto"/>
            <w:bottom w:val="none" w:sz="0" w:space="0" w:color="auto"/>
            <w:right w:val="none" w:sz="0" w:space="0" w:color="auto"/>
          </w:divBdr>
          <w:divsChild>
            <w:div w:id="115490231">
              <w:marLeft w:val="0"/>
              <w:marRight w:val="0"/>
              <w:marTop w:val="0"/>
              <w:marBottom w:val="0"/>
              <w:divBdr>
                <w:top w:val="none" w:sz="0" w:space="0" w:color="auto"/>
                <w:left w:val="none" w:sz="0" w:space="0" w:color="auto"/>
                <w:bottom w:val="none" w:sz="0" w:space="0" w:color="auto"/>
                <w:right w:val="none" w:sz="0" w:space="0" w:color="auto"/>
              </w:divBdr>
              <w:divsChild>
                <w:div w:id="821191857">
                  <w:marLeft w:val="0"/>
                  <w:marRight w:val="0"/>
                  <w:marTop w:val="0"/>
                  <w:marBottom w:val="0"/>
                  <w:divBdr>
                    <w:top w:val="none" w:sz="0" w:space="0" w:color="auto"/>
                    <w:left w:val="none" w:sz="0" w:space="0" w:color="auto"/>
                    <w:bottom w:val="none" w:sz="0" w:space="0" w:color="auto"/>
                    <w:right w:val="none" w:sz="0" w:space="0" w:color="auto"/>
                  </w:divBdr>
                  <w:divsChild>
                    <w:div w:id="626855762">
                      <w:marLeft w:val="0"/>
                      <w:marRight w:val="0"/>
                      <w:marTop w:val="0"/>
                      <w:marBottom w:val="0"/>
                      <w:divBdr>
                        <w:top w:val="none" w:sz="0" w:space="0" w:color="auto"/>
                        <w:left w:val="none" w:sz="0" w:space="0" w:color="auto"/>
                        <w:bottom w:val="none" w:sz="0" w:space="0" w:color="auto"/>
                        <w:right w:val="none" w:sz="0" w:space="0" w:color="auto"/>
                      </w:divBdr>
                    </w:div>
                    <w:div w:id="1315447928">
                      <w:marLeft w:val="0"/>
                      <w:marRight w:val="0"/>
                      <w:marTop w:val="0"/>
                      <w:marBottom w:val="0"/>
                      <w:divBdr>
                        <w:top w:val="none" w:sz="0" w:space="0" w:color="auto"/>
                        <w:left w:val="none" w:sz="0" w:space="0" w:color="auto"/>
                        <w:bottom w:val="none" w:sz="0" w:space="0" w:color="auto"/>
                        <w:right w:val="none" w:sz="0" w:space="0" w:color="auto"/>
                      </w:divBdr>
                    </w:div>
                    <w:div w:id="833301370">
                      <w:marLeft w:val="0"/>
                      <w:marRight w:val="0"/>
                      <w:marTop w:val="0"/>
                      <w:marBottom w:val="0"/>
                      <w:divBdr>
                        <w:top w:val="none" w:sz="0" w:space="0" w:color="auto"/>
                        <w:left w:val="none" w:sz="0" w:space="0" w:color="auto"/>
                        <w:bottom w:val="none" w:sz="0" w:space="0" w:color="auto"/>
                        <w:right w:val="none" w:sz="0" w:space="0" w:color="auto"/>
                      </w:divBdr>
                    </w:div>
                    <w:div w:id="78332151">
                      <w:marLeft w:val="0"/>
                      <w:marRight w:val="0"/>
                      <w:marTop w:val="0"/>
                      <w:marBottom w:val="0"/>
                      <w:divBdr>
                        <w:top w:val="none" w:sz="0" w:space="0" w:color="auto"/>
                        <w:left w:val="none" w:sz="0" w:space="0" w:color="auto"/>
                        <w:bottom w:val="none" w:sz="0" w:space="0" w:color="auto"/>
                        <w:right w:val="none" w:sz="0" w:space="0" w:color="auto"/>
                      </w:divBdr>
                    </w:div>
                    <w:div w:id="1623682688">
                      <w:marLeft w:val="0"/>
                      <w:marRight w:val="0"/>
                      <w:marTop w:val="0"/>
                      <w:marBottom w:val="0"/>
                      <w:divBdr>
                        <w:top w:val="none" w:sz="0" w:space="0" w:color="auto"/>
                        <w:left w:val="none" w:sz="0" w:space="0" w:color="auto"/>
                        <w:bottom w:val="none" w:sz="0" w:space="0" w:color="auto"/>
                        <w:right w:val="none" w:sz="0" w:space="0" w:color="auto"/>
                      </w:divBdr>
                    </w:div>
                    <w:div w:id="1074207518">
                      <w:marLeft w:val="0"/>
                      <w:marRight w:val="0"/>
                      <w:marTop w:val="0"/>
                      <w:marBottom w:val="0"/>
                      <w:divBdr>
                        <w:top w:val="none" w:sz="0" w:space="0" w:color="auto"/>
                        <w:left w:val="none" w:sz="0" w:space="0" w:color="auto"/>
                        <w:bottom w:val="none" w:sz="0" w:space="0" w:color="auto"/>
                        <w:right w:val="none" w:sz="0" w:space="0" w:color="auto"/>
                      </w:divBdr>
                    </w:div>
                    <w:div w:id="1341739676">
                      <w:marLeft w:val="0"/>
                      <w:marRight w:val="0"/>
                      <w:marTop w:val="0"/>
                      <w:marBottom w:val="0"/>
                      <w:divBdr>
                        <w:top w:val="none" w:sz="0" w:space="0" w:color="auto"/>
                        <w:left w:val="none" w:sz="0" w:space="0" w:color="auto"/>
                        <w:bottom w:val="none" w:sz="0" w:space="0" w:color="auto"/>
                        <w:right w:val="none" w:sz="0" w:space="0" w:color="auto"/>
                      </w:divBdr>
                    </w:div>
                    <w:div w:id="1432161233">
                      <w:marLeft w:val="0"/>
                      <w:marRight w:val="0"/>
                      <w:marTop w:val="0"/>
                      <w:marBottom w:val="0"/>
                      <w:divBdr>
                        <w:top w:val="none" w:sz="0" w:space="0" w:color="auto"/>
                        <w:left w:val="none" w:sz="0" w:space="0" w:color="auto"/>
                        <w:bottom w:val="none" w:sz="0" w:space="0" w:color="auto"/>
                        <w:right w:val="none" w:sz="0" w:space="0" w:color="auto"/>
                      </w:divBdr>
                    </w:div>
                    <w:div w:id="1273365687">
                      <w:marLeft w:val="0"/>
                      <w:marRight w:val="0"/>
                      <w:marTop w:val="0"/>
                      <w:marBottom w:val="0"/>
                      <w:divBdr>
                        <w:top w:val="none" w:sz="0" w:space="0" w:color="auto"/>
                        <w:left w:val="none" w:sz="0" w:space="0" w:color="auto"/>
                        <w:bottom w:val="none" w:sz="0" w:space="0" w:color="auto"/>
                        <w:right w:val="none" w:sz="0" w:space="0" w:color="auto"/>
                      </w:divBdr>
                    </w:div>
                    <w:div w:id="1951432655">
                      <w:marLeft w:val="0"/>
                      <w:marRight w:val="0"/>
                      <w:marTop w:val="0"/>
                      <w:marBottom w:val="0"/>
                      <w:divBdr>
                        <w:top w:val="none" w:sz="0" w:space="0" w:color="auto"/>
                        <w:left w:val="none" w:sz="0" w:space="0" w:color="auto"/>
                        <w:bottom w:val="none" w:sz="0" w:space="0" w:color="auto"/>
                        <w:right w:val="none" w:sz="0" w:space="0" w:color="auto"/>
                      </w:divBdr>
                    </w:div>
                    <w:div w:id="1502433041">
                      <w:marLeft w:val="0"/>
                      <w:marRight w:val="0"/>
                      <w:marTop w:val="0"/>
                      <w:marBottom w:val="0"/>
                      <w:divBdr>
                        <w:top w:val="none" w:sz="0" w:space="0" w:color="auto"/>
                        <w:left w:val="none" w:sz="0" w:space="0" w:color="auto"/>
                        <w:bottom w:val="none" w:sz="0" w:space="0" w:color="auto"/>
                        <w:right w:val="none" w:sz="0" w:space="0" w:color="auto"/>
                      </w:divBdr>
                    </w:div>
                    <w:div w:id="1594629938">
                      <w:marLeft w:val="0"/>
                      <w:marRight w:val="0"/>
                      <w:marTop w:val="0"/>
                      <w:marBottom w:val="0"/>
                      <w:divBdr>
                        <w:top w:val="none" w:sz="0" w:space="0" w:color="auto"/>
                        <w:left w:val="none" w:sz="0" w:space="0" w:color="auto"/>
                        <w:bottom w:val="none" w:sz="0" w:space="0" w:color="auto"/>
                        <w:right w:val="none" w:sz="0" w:space="0" w:color="auto"/>
                      </w:divBdr>
                    </w:div>
                    <w:div w:id="1215509418">
                      <w:marLeft w:val="0"/>
                      <w:marRight w:val="0"/>
                      <w:marTop w:val="0"/>
                      <w:marBottom w:val="0"/>
                      <w:divBdr>
                        <w:top w:val="none" w:sz="0" w:space="0" w:color="auto"/>
                        <w:left w:val="none" w:sz="0" w:space="0" w:color="auto"/>
                        <w:bottom w:val="none" w:sz="0" w:space="0" w:color="auto"/>
                        <w:right w:val="none" w:sz="0" w:space="0" w:color="auto"/>
                      </w:divBdr>
                    </w:div>
                    <w:div w:id="239409106">
                      <w:marLeft w:val="0"/>
                      <w:marRight w:val="0"/>
                      <w:marTop w:val="0"/>
                      <w:marBottom w:val="0"/>
                      <w:divBdr>
                        <w:top w:val="none" w:sz="0" w:space="0" w:color="auto"/>
                        <w:left w:val="none" w:sz="0" w:space="0" w:color="auto"/>
                        <w:bottom w:val="none" w:sz="0" w:space="0" w:color="auto"/>
                        <w:right w:val="none" w:sz="0" w:space="0" w:color="auto"/>
                      </w:divBdr>
                    </w:div>
                    <w:div w:id="1742481974">
                      <w:marLeft w:val="0"/>
                      <w:marRight w:val="0"/>
                      <w:marTop w:val="0"/>
                      <w:marBottom w:val="0"/>
                      <w:divBdr>
                        <w:top w:val="none" w:sz="0" w:space="0" w:color="auto"/>
                        <w:left w:val="none" w:sz="0" w:space="0" w:color="auto"/>
                        <w:bottom w:val="none" w:sz="0" w:space="0" w:color="auto"/>
                        <w:right w:val="none" w:sz="0" w:space="0" w:color="auto"/>
                      </w:divBdr>
                    </w:div>
                    <w:div w:id="1586496460">
                      <w:marLeft w:val="0"/>
                      <w:marRight w:val="0"/>
                      <w:marTop w:val="0"/>
                      <w:marBottom w:val="0"/>
                      <w:divBdr>
                        <w:top w:val="none" w:sz="0" w:space="0" w:color="auto"/>
                        <w:left w:val="none" w:sz="0" w:space="0" w:color="auto"/>
                        <w:bottom w:val="none" w:sz="0" w:space="0" w:color="auto"/>
                        <w:right w:val="none" w:sz="0" w:space="0" w:color="auto"/>
                      </w:divBdr>
                    </w:div>
                    <w:div w:id="5362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8501">
      <w:bodyDiv w:val="1"/>
      <w:marLeft w:val="0"/>
      <w:marRight w:val="0"/>
      <w:marTop w:val="0"/>
      <w:marBottom w:val="0"/>
      <w:divBdr>
        <w:top w:val="none" w:sz="0" w:space="0" w:color="auto"/>
        <w:left w:val="none" w:sz="0" w:space="0" w:color="auto"/>
        <w:bottom w:val="none" w:sz="0" w:space="0" w:color="auto"/>
        <w:right w:val="none" w:sz="0" w:space="0" w:color="auto"/>
      </w:divBdr>
    </w:div>
    <w:div w:id="1722050989">
      <w:bodyDiv w:val="1"/>
      <w:marLeft w:val="0"/>
      <w:marRight w:val="0"/>
      <w:marTop w:val="0"/>
      <w:marBottom w:val="0"/>
      <w:divBdr>
        <w:top w:val="none" w:sz="0" w:space="0" w:color="auto"/>
        <w:left w:val="none" w:sz="0" w:space="0" w:color="auto"/>
        <w:bottom w:val="none" w:sz="0" w:space="0" w:color="auto"/>
        <w:right w:val="none" w:sz="0" w:space="0" w:color="auto"/>
      </w:divBdr>
    </w:div>
    <w:div w:id="1855268522">
      <w:bodyDiv w:val="1"/>
      <w:marLeft w:val="0"/>
      <w:marRight w:val="0"/>
      <w:marTop w:val="0"/>
      <w:marBottom w:val="0"/>
      <w:divBdr>
        <w:top w:val="none" w:sz="0" w:space="0" w:color="auto"/>
        <w:left w:val="none" w:sz="0" w:space="0" w:color="auto"/>
        <w:bottom w:val="none" w:sz="0" w:space="0" w:color="auto"/>
        <w:right w:val="none" w:sz="0" w:space="0" w:color="auto"/>
      </w:divBdr>
    </w:div>
    <w:div w:id="1876767449">
      <w:bodyDiv w:val="1"/>
      <w:marLeft w:val="0"/>
      <w:marRight w:val="0"/>
      <w:marTop w:val="0"/>
      <w:marBottom w:val="0"/>
      <w:divBdr>
        <w:top w:val="none" w:sz="0" w:space="0" w:color="auto"/>
        <w:left w:val="none" w:sz="0" w:space="0" w:color="auto"/>
        <w:bottom w:val="none" w:sz="0" w:space="0" w:color="auto"/>
        <w:right w:val="none" w:sz="0" w:space="0" w:color="auto"/>
      </w:divBdr>
    </w:div>
    <w:div w:id="1941326727">
      <w:bodyDiv w:val="1"/>
      <w:marLeft w:val="0"/>
      <w:marRight w:val="0"/>
      <w:marTop w:val="0"/>
      <w:marBottom w:val="0"/>
      <w:divBdr>
        <w:top w:val="none" w:sz="0" w:space="0" w:color="auto"/>
        <w:left w:val="none" w:sz="0" w:space="0" w:color="auto"/>
        <w:bottom w:val="none" w:sz="0" w:space="0" w:color="auto"/>
        <w:right w:val="none" w:sz="0" w:space="0" w:color="auto"/>
      </w:divBdr>
      <w:divsChild>
        <w:div w:id="570241037">
          <w:marLeft w:val="0"/>
          <w:marRight w:val="0"/>
          <w:marTop w:val="0"/>
          <w:marBottom w:val="0"/>
          <w:divBdr>
            <w:top w:val="none" w:sz="0" w:space="0" w:color="auto"/>
            <w:left w:val="none" w:sz="0" w:space="0" w:color="auto"/>
            <w:bottom w:val="none" w:sz="0" w:space="0" w:color="auto"/>
            <w:right w:val="none" w:sz="0" w:space="0" w:color="auto"/>
          </w:divBdr>
        </w:div>
      </w:divsChild>
    </w:div>
    <w:div w:id="21467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commission-fonction-publique/emplois/services/emplois-gc/recrutement-autochtones-information-gestionnaires-embauche.html" TargetMode="External"/><Relationship Id="rId18" Type="http://schemas.openxmlformats.org/officeDocument/2006/relationships/chart" Target="charts/chart1.xml"/><Relationship Id="rId26" Type="http://schemas.openxmlformats.org/officeDocument/2006/relationships/chart" Target="charts/chart3.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chart" Target="charts/chart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chart" Target="charts/chart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commission-fonction-publique/services/outils-ressources-dotation-evaluation/specialistes-ressources-humaines-gestionnaires-embaucheurs/options-recrutement-gestionnaires/recrutement-etudiants/programme-federal-experience-travail-etudiant.html" TargetMode="External"/><Relationship Id="rId24" Type="http://schemas.openxmlformats.org/officeDocument/2006/relationships/footer" Target="footer7.xml"/><Relationship Id="rId32" Type="http://schemas.openxmlformats.org/officeDocument/2006/relationships/chart" Target="charts/chart9.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chart" Target="charts/chart5.xml"/><Relationship Id="rId36" Type="http://schemas.openxmlformats.org/officeDocument/2006/relationships/chart" Target="charts/chart13.xml"/><Relationship Id="rId10" Type="http://schemas.openxmlformats.org/officeDocument/2006/relationships/hyperlink" Target="mailto:cfp.diversitedetalent-talentdiversity.psc@canada.ca" TargetMode="External"/><Relationship Id="rId19" Type="http://schemas.openxmlformats.org/officeDocument/2006/relationships/header" Target="header3.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cpedia.gc.ca/wiki/Le_Parcours_de_carri%C3%A8re_pour_Autochtones_-_inventaire_de_postulants_autochtones" TargetMode="External"/><Relationship Id="rId17" Type="http://schemas.openxmlformats.org/officeDocument/2006/relationships/footer" Target="footer4.xm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a:solidFill>
                  <a:sysClr val="windowText" lastClr="000000"/>
                </a:solidFill>
                <a:latin typeface="Segoe UI Semilight" panose="020B0402040204020203" pitchFamily="34" charset="0"/>
                <a:cs typeface="Segoe UI Semilight" panose="020B0402040204020203" pitchFamily="34" charset="0"/>
              </a:rPr>
              <a:t>Population selon la durée d'emploi au 31 mars</a:t>
            </a:r>
          </a:p>
        </c:rich>
      </c:tx>
      <c:layout>
        <c:manualLayout>
          <c:xMode val="edge"/>
          <c:yMode val="edge"/>
          <c:x val="0.23685286797560659"/>
          <c:y val="1.5584415584415584E-2"/>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 </c:v>
                </c:pt>
                <c:pt idx="2">
                  <c:v> 2017
(N=436) </c:v>
                </c:pt>
                <c:pt idx="3">
                  <c:v> 2018
(N=428) </c:v>
                </c:pt>
                <c:pt idx="4">
                  <c:v>2019
(N=428)</c:v>
                </c:pt>
                <c:pt idx="5">
                  <c:v>2020
(N=429)</c:v>
                </c:pt>
              </c:strCache>
            </c:strRef>
          </c:cat>
          <c:val>
            <c:numRef>
              <c:f>Sheet1!$B$2:$B$7</c:f>
              <c:numCache>
                <c:formatCode>#\ ###</c:formatCode>
                <c:ptCount val="6"/>
                <c:pt idx="0">
                  <c:v>379</c:v>
                </c:pt>
                <c:pt idx="1">
                  <c:v>378</c:v>
                </c:pt>
                <c:pt idx="2">
                  <c:v>397</c:v>
                </c:pt>
                <c:pt idx="3">
                  <c:v>389</c:v>
                </c:pt>
                <c:pt idx="4">
                  <c:v>400</c:v>
                </c:pt>
                <c:pt idx="5">
                  <c:v>403</c:v>
                </c:pt>
              </c:numCache>
            </c:numRef>
          </c:val>
          <c:extLst>
            <c:ext xmlns:c16="http://schemas.microsoft.com/office/drawing/2014/chart" uri="{C3380CC4-5D6E-409C-BE32-E72D297353CC}">
              <c16:uniqueId val="{00000000-B9F1-4816-9CBB-E40E879A4B02}"/>
            </c:ext>
          </c:extLst>
        </c:ser>
        <c:ser>
          <c:idx val="1"/>
          <c:order val="1"/>
          <c:tx>
            <c:strRef>
              <c:f>Sheet1!$C$1</c:f>
              <c:strCache>
                <c:ptCount val="1"/>
                <c:pt idx="0">
                  <c:v>Déterminé</c:v>
                </c:pt>
              </c:strCache>
            </c:strRef>
          </c:tx>
          <c:spPr>
            <a:solidFill>
              <a:schemeClr val="accent2"/>
            </a:solidFill>
            <a:ln>
              <a:noFill/>
            </a:ln>
            <a:effectLst/>
          </c:spPr>
          <c:invertIfNegative val="0"/>
          <c:dLbls>
            <c:dLbl>
              <c:idx val="0"/>
              <c:layout>
                <c:manualLayout>
                  <c:x val="0"/>
                  <c:y val="5.19480519480509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F1-4816-9CBB-E40E879A4B02}"/>
                </c:ext>
              </c:extLst>
            </c:dLbl>
            <c:dLbl>
              <c:idx val="1"/>
              <c:layout>
                <c:manualLayout>
                  <c:x val="0"/>
                  <c:y val="5.19480519480509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F1-4816-9CBB-E40E879A4B02}"/>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F1-4816-9CBB-E40E879A4B02}"/>
                </c:ext>
              </c:extLst>
            </c:dLbl>
            <c:dLbl>
              <c:idx val="3"/>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F1-4816-9CBB-E40E879A4B02}"/>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F1-4816-9CBB-E40E879A4B02}"/>
                </c:ext>
              </c:extLst>
            </c:dLbl>
            <c:dLbl>
              <c:idx val="5"/>
              <c:layout>
                <c:manualLayout>
                  <c:x val="3.0807147258163892E-3"/>
                  <c:y val="1.55844155844155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F1-4816-9CBB-E40E879A4B02}"/>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 </c:v>
                </c:pt>
                <c:pt idx="2">
                  <c:v> 2017
(N=436) </c:v>
                </c:pt>
                <c:pt idx="3">
                  <c:v> 2018
(N=428) </c:v>
                </c:pt>
                <c:pt idx="4">
                  <c:v>2019
(N=428)</c:v>
                </c:pt>
                <c:pt idx="5">
                  <c:v>2020
(N=429)</c:v>
                </c:pt>
              </c:strCache>
            </c:strRef>
          </c:cat>
          <c:val>
            <c:numRef>
              <c:f>Sheet1!$C$2:$C$7</c:f>
              <c:numCache>
                <c:formatCode>#\ ###</c:formatCode>
                <c:ptCount val="6"/>
                <c:pt idx="0">
                  <c:v>5</c:v>
                </c:pt>
                <c:pt idx="1">
                  <c:v>12</c:v>
                </c:pt>
                <c:pt idx="2">
                  <c:v>27</c:v>
                </c:pt>
                <c:pt idx="3">
                  <c:v>28</c:v>
                </c:pt>
                <c:pt idx="4">
                  <c:v>21</c:v>
                </c:pt>
                <c:pt idx="5">
                  <c:v>16</c:v>
                </c:pt>
              </c:numCache>
            </c:numRef>
          </c:val>
          <c:extLst>
            <c:ext xmlns:c16="http://schemas.microsoft.com/office/drawing/2014/chart" uri="{C3380CC4-5D6E-409C-BE32-E72D297353CC}">
              <c16:uniqueId val="{00000007-B9F1-4816-9CBB-E40E879A4B02}"/>
            </c:ext>
          </c:extLst>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 </c:v>
                </c:pt>
                <c:pt idx="2">
                  <c:v> 2017
(N=436) </c:v>
                </c:pt>
                <c:pt idx="3">
                  <c:v> 2018
(N=428) </c:v>
                </c:pt>
                <c:pt idx="4">
                  <c:v>2019
(N=428)</c:v>
                </c:pt>
                <c:pt idx="5">
                  <c:v>2020
(N=429)</c:v>
                </c:pt>
              </c:strCache>
            </c:strRef>
          </c:cat>
          <c:val>
            <c:numRef>
              <c:f>Sheet1!$D$2:$D$7</c:f>
              <c:numCache>
                <c:formatCode>#\ ###</c:formatCode>
                <c:ptCount val="6"/>
                <c:pt idx="0">
                  <c:v>12</c:v>
                </c:pt>
                <c:pt idx="1">
                  <c:v>4</c:v>
                </c:pt>
                <c:pt idx="2">
                  <c:v>8</c:v>
                </c:pt>
                <c:pt idx="3">
                  <c:v>7</c:v>
                </c:pt>
                <c:pt idx="4">
                  <c:v>4</c:v>
                </c:pt>
                <c:pt idx="5">
                  <c:v>1</c:v>
                </c:pt>
              </c:numCache>
            </c:numRef>
          </c:val>
          <c:extLst>
            <c:ext xmlns:c16="http://schemas.microsoft.com/office/drawing/2014/chart" uri="{C3380CC4-5D6E-409C-BE32-E72D297353CC}">
              <c16:uniqueId val="{00000008-B9F1-4816-9CBB-E40E879A4B02}"/>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0"/>
                  <c:y val="-6.23376623376623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F1-4816-9CBB-E40E879A4B02}"/>
                </c:ext>
              </c:extLst>
            </c:dLbl>
            <c:dLbl>
              <c:idx val="1"/>
              <c:layout>
                <c:manualLayout>
                  <c:x val="3.0807147258163892E-3"/>
                  <c:y val="-5.71428571428571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F1-4816-9CBB-E40E879A4B02}"/>
                </c:ext>
              </c:extLst>
            </c:dLbl>
            <c:dLbl>
              <c:idx val="2"/>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F1-4816-9CBB-E40E879A4B02}"/>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F1-4816-9CBB-E40E879A4B02}"/>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F1-4816-9CBB-E40E879A4B02}"/>
                </c:ext>
              </c:extLst>
            </c:dLbl>
            <c:dLbl>
              <c:idx val="5"/>
              <c:layout>
                <c:manualLayout>
                  <c:x val="3.0807147258162765E-3"/>
                  <c:y val="-6.233766233766235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F1-4816-9CBB-E40E879A4B0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 </c:v>
                </c:pt>
                <c:pt idx="2">
                  <c:v> 2017
(N=436) </c:v>
                </c:pt>
                <c:pt idx="3">
                  <c:v> 2018
(N=428) </c:v>
                </c:pt>
                <c:pt idx="4">
                  <c:v>2019
(N=428)</c:v>
                </c:pt>
                <c:pt idx="5">
                  <c:v>2020
(N=429)</c:v>
                </c:pt>
              </c:strCache>
            </c:strRef>
          </c:cat>
          <c:val>
            <c:numRef>
              <c:f>Sheet1!$E$2:$E$7</c:f>
              <c:numCache>
                <c:formatCode>#\ ###</c:formatCode>
                <c:ptCount val="6"/>
                <c:pt idx="0">
                  <c:v>9</c:v>
                </c:pt>
                <c:pt idx="1">
                  <c:v>6</c:v>
                </c:pt>
                <c:pt idx="2">
                  <c:v>4</c:v>
                </c:pt>
                <c:pt idx="3">
                  <c:v>4</c:v>
                </c:pt>
                <c:pt idx="4">
                  <c:v>3</c:v>
                </c:pt>
                <c:pt idx="5">
                  <c:v>9</c:v>
                </c:pt>
              </c:numCache>
            </c:numRef>
          </c:val>
          <c:extLst>
            <c:ext xmlns:c16="http://schemas.microsoft.com/office/drawing/2014/chart" uri="{C3380CC4-5D6E-409C-BE32-E72D297353CC}">
              <c16:uniqueId val="{0000000F-B9F1-4816-9CBB-E40E879A4B02}"/>
            </c:ext>
          </c:extLst>
        </c:ser>
        <c:dLbls>
          <c:dLblPos val="ctr"/>
          <c:showLegendKey val="0"/>
          <c:showVal val="1"/>
          <c:showCatName val="0"/>
          <c:showSerName val="0"/>
          <c:showPercent val="0"/>
          <c:showBubbleSize val="0"/>
        </c:dLbls>
        <c:gapWidth val="150"/>
        <c:overlap val="100"/>
        <c:axId val="341983008"/>
        <c:axId val="341984968"/>
      </c:barChart>
      <c:catAx>
        <c:axId val="34198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1984968"/>
        <c:crosses val="autoZero"/>
        <c:auto val="1"/>
        <c:lblAlgn val="ctr"/>
        <c:lblOffset val="100"/>
        <c:noMultiLvlLbl val="0"/>
      </c:catAx>
      <c:valAx>
        <c:axId val="34198496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1983008"/>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latin typeface="Segoe UI Semilight" panose="020B0402040204020203" pitchFamily="34" charset="0"/>
                <a:cs typeface="Segoe UI Semilight" panose="020B0402040204020203" pitchFamily="34" charset="0"/>
              </a:rPr>
              <a:t>Embauche d'étudiants</a:t>
            </a:r>
          </a:p>
        </c:rich>
      </c:tx>
      <c:layout>
        <c:manualLayout>
          <c:xMode val="edge"/>
          <c:yMode val="edge"/>
          <c:x val="0.34665285726299389"/>
          <c:y val="6.018759215189748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(N=14)</c:v>
                </c:pt>
                <c:pt idx="1">
                  <c:v>2016-2017
 (N=9)</c:v>
                </c:pt>
                <c:pt idx="2">
                  <c:v>2017-2018
 (N=9)</c:v>
                </c:pt>
                <c:pt idx="3">
                  <c:v>2018-2019
(N=11)</c:v>
                </c:pt>
                <c:pt idx="4">
                  <c:v>2019-2020
(N=20)</c:v>
                </c:pt>
              </c:strCache>
            </c:strRef>
          </c:cat>
          <c:val>
            <c:numRef>
              <c:f>Sheet1!$B$2:$B$6</c:f>
              <c:numCache>
                <c:formatCode>General</c:formatCode>
                <c:ptCount val="5"/>
                <c:pt idx="0">
                  <c:v>1</c:v>
                </c:pt>
                <c:pt idx="1">
                  <c:v>1</c:v>
                </c:pt>
                <c:pt idx="2">
                  <c:v>4</c:v>
                </c:pt>
                <c:pt idx="3" formatCode="0">
                  <c:v>6</c:v>
                </c:pt>
                <c:pt idx="4" formatCode="0">
                  <c:v>10</c:v>
                </c:pt>
              </c:numCache>
            </c:numRef>
          </c:val>
          <c:extLst>
            <c:ext xmlns:c16="http://schemas.microsoft.com/office/drawing/2014/chart" uri="{C3380CC4-5D6E-409C-BE32-E72D297353CC}">
              <c16:uniqueId val="{00000000-3160-4341-A076-40289413A0BC}"/>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(N=14)</c:v>
                </c:pt>
                <c:pt idx="1">
                  <c:v>2016-2017
 (N=9)</c:v>
                </c:pt>
                <c:pt idx="2">
                  <c:v>2017-2018
 (N=9)</c:v>
                </c:pt>
                <c:pt idx="3">
                  <c:v>2018-2019
(N=11)</c:v>
                </c:pt>
                <c:pt idx="4">
                  <c:v>2019-2020
(N=20)</c:v>
                </c:pt>
              </c:strCache>
            </c:strRef>
          </c:cat>
          <c:val>
            <c:numRef>
              <c:f>Sheet1!$C$2:$C$6</c:f>
              <c:numCache>
                <c:formatCode>General</c:formatCode>
                <c:ptCount val="5"/>
                <c:pt idx="0">
                  <c:v>13</c:v>
                </c:pt>
                <c:pt idx="1">
                  <c:v>8</c:v>
                </c:pt>
                <c:pt idx="2">
                  <c:v>5</c:v>
                </c:pt>
                <c:pt idx="3" formatCode="0">
                  <c:v>5</c:v>
                </c:pt>
                <c:pt idx="4" formatCode="0">
                  <c:v>10</c:v>
                </c:pt>
              </c:numCache>
            </c:numRef>
          </c:val>
          <c:extLst>
            <c:ext xmlns:c16="http://schemas.microsoft.com/office/drawing/2014/chart" uri="{C3380CC4-5D6E-409C-BE32-E72D297353CC}">
              <c16:uniqueId val="{00000001-3160-4341-A076-40289413A0BC}"/>
            </c:ext>
          </c:extLst>
        </c:ser>
        <c:dLbls>
          <c:dLblPos val="ctr"/>
          <c:showLegendKey val="0"/>
          <c:showVal val="1"/>
          <c:showCatName val="0"/>
          <c:showSerName val="0"/>
          <c:showPercent val="0"/>
          <c:showBubbleSize val="0"/>
        </c:dLbls>
        <c:gapWidth val="150"/>
        <c:overlap val="100"/>
        <c:axId val="508091048"/>
        <c:axId val="508093400"/>
      </c:barChart>
      <c:catAx>
        <c:axId val="50809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3400"/>
        <c:crosses val="autoZero"/>
        <c:auto val="1"/>
        <c:lblAlgn val="ctr"/>
        <c:lblOffset val="100"/>
        <c:noMultiLvlLbl val="0"/>
      </c:catAx>
      <c:valAx>
        <c:axId val="508093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1048"/>
        <c:crosses val="autoZero"/>
        <c:crossBetween val="between"/>
      </c:valAx>
      <c:spPr>
        <a:noFill/>
        <a:ln>
          <a:noFill/>
        </a:ln>
        <a:effectLst/>
      </c:spPr>
    </c:plotArea>
    <c:legend>
      <c:legendPos val="b"/>
      <c:layout>
        <c:manualLayout>
          <c:xMode val="edge"/>
          <c:yMode val="edge"/>
          <c:x val="8.5168717360021989E-3"/>
          <c:y val="0.80463515886017589"/>
          <c:w val="0.95474009280667427"/>
          <c:h val="0.191636280364283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solidFill>
                  <a:sysClr val="windowText" lastClr="000000"/>
                </a:solidFill>
                <a:latin typeface="Segoe UI Semilight" panose="020B0402040204020203" pitchFamily="34" charset="0"/>
                <a:cs typeface="Segoe UI Semilight" panose="020B0402040204020203" pitchFamily="34" charset="0"/>
              </a:rPr>
              <a:t>Activités d'embauche externe pour une période indéterminée et d'une durée déterminée : Programme de recrutement postsecondaire et embauche d'anciens étudiants</a:t>
            </a:r>
          </a:p>
        </c:rich>
      </c:tx>
      <c:layout>
        <c:manualLayout>
          <c:xMode val="edge"/>
          <c:yMode val="edge"/>
          <c:x val="0.1211691961776278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5508169181202217"/>
          <c:w val="0.90621744112971792"/>
          <c:h val="0.44171789231306924"/>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3"/>
              <c:layout>
                <c:manualLayout>
                  <c:x val="-7.3664825046040518E-3"/>
                  <c:y val="3.7300983591149637E-3"/>
                </c:manualLayout>
              </c:layout>
              <c:showLegendKey val="0"/>
              <c:showVal val="1"/>
              <c:showCatName val="0"/>
              <c:showSerName val="0"/>
              <c:showPercent val="0"/>
              <c:showBubbleSize val="0"/>
              <c:extLst>
                <c:ext xmlns:c15="http://schemas.microsoft.com/office/drawing/2012/chart" uri="{CE6537A1-D6FC-4f65-9D91-7224C49458BB}">
                  <c15:layout>
                    <c:manualLayout>
                      <c:w val="4.6390568582242137E-2"/>
                      <c:h val="5.2163518724650269E-2"/>
                    </c:manualLayout>
                  </c15:layout>
                </c:ext>
                <c:ext xmlns:c16="http://schemas.microsoft.com/office/drawing/2014/chart" uri="{C3380CC4-5D6E-409C-BE32-E72D297353CC}">
                  <c16:uniqueId val="{00000000-715B-4328-B425-6AAF6195072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Sheet1!$B$2:$B$6</c:f>
              <c:numCache>
                <c:formatCode>General</c:formatCode>
                <c:ptCount val="5"/>
                <c:pt idx="3" formatCode="_(* #,##0_);_(* \(#,##0\);_(* &quot;-&quot;_);_(@_)">
                  <c:v>1</c:v>
                </c:pt>
              </c:numCache>
            </c:numRef>
          </c:val>
          <c:extLst>
            <c:ext xmlns:c16="http://schemas.microsoft.com/office/drawing/2014/chart" uri="{C3380CC4-5D6E-409C-BE32-E72D297353CC}">
              <c16:uniqueId val="{00000001-715B-4328-B425-6AAF61950722}"/>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_-* #,##0_-;\-* #,##0_-;_-* "-"??_-;_-@_-</c:formatCode>
                <c:ptCount val="5"/>
                <c:pt idx="0">
                  <c:v>4</c:v>
                </c:pt>
                <c:pt idx="1">
                  <c:v>7</c:v>
                </c:pt>
                <c:pt idx="2">
                  <c:v>2</c:v>
                </c:pt>
                <c:pt idx="3" formatCode="_(* #,##0_);_(* \(#,##0\);_(* &quot;-&quot;_);_(@_)">
                  <c:v>4</c:v>
                </c:pt>
                <c:pt idx="4" formatCode="_(* #,##0_);_(* \(#,##0\);_(* &quot;-&quot;_);_(@_)">
                  <c:v>10</c:v>
                </c:pt>
              </c:numCache>
            </c:numRef>
          </c:val>
          <c:extLst>
            <c:ext xmlns:c16="http://schemas.microsoft.com/office/drawing/2014/chart" uri="{C3380CC4-5D6E-409C-BE32-E72D297353CC}">
              <c16:uniqueId val="{00000002-715B-4328-B425-6AAF61950722}"/>
            </c:ext>
          </c:extLst>
        </c:ser>
        <c:dLbls>
          <c:showLegendKey val="0"/>
          <c:showVal val="0"/>
          <c:showCatName val="0"/>
          <c:showSerName val="0"/>
          <c:showPercent val="0"/>
          <c:showBubbleSize val="0"/>
        </c:dLbls>
        <c:gapWidth val="150"/>
        <c:shape val="box"/>
        <c:axId val="508091832"/>
        <c:axId val="508092224"/>
        <c:axId val="0"/>
      </c:bar3DChart>
      <c:catAx>
        <c:axId val="508091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2224"/>
        <c:crosses val="autoZero"/>
        <c:auto val="1"/>
        <c:lblAlgn val="ctr"/>
        <c:lblOffset val="100"/>
        <c:noMultiLvlLbl val="0"/>
      </c:catAx>
      <c:valAx>
        <c:axId val="50809222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1832"/>
        <c:crosses val="autoZero"/>
        <c:crossBetween val="between"/>
        <c:minorUnit val="1"/>
      </c:valAx>
      <c:spPr>
        <a:noFill/>
        <a:ln>
          <a:noFill/>
        </a:ln>
        <a:effectLst/>
      </c:spPr>
    </c:plotArea>
    <c:legend>
      <c:legendPos val="r"/>
      <c:layout>
        <c:manualLayout>
          <c:xMode val="edge"/>
          <c:yMode val="edge"/>
          <c:x val="4.702680967107524E-2"/>
          <c:y val="0.7941518965923580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latin typeface="Segoe UI Semilight" panose="020B0402040204020203" pitchFamily="34" charset="0"/>
                <a:cs typeface="Segoe UI Semilight" panose="020B0402040204020203" pitchFamily="34" charset="0"/>
              </a:rPr>
              <a:t>Durée de dotation interne</a:t>
            </a:r>
          </a:p>
          <a:p>
            <a:pPr>
              <a:defRPr sz="1200"/>
            </a:pPr>
            <a:r>
              <a:rPr lang="en-CA" sz="1200">
                <a:latin typeface="Segoe UI Semilight" panose="020B0402040204020203" pitchFamily="34" charset="0"/>
                <a:cs typeface="Segoe UI Semilight" panose="020B0402040204020203" pitchFamily="34" charset="0"/>
              </a:rPr>
              <a:t>Médiane pour la fonction publique = 175 jours</a:t>
            </a:r>
          </a:p>
          <a:p>
            <a:pPr>
              <a:defRPr sz="1200"/>
            </a:pPr>
            <a:r>
              <a:rPr lang="en-CA" sz="1200">
                <a:latin typeface="Segoe UI Semilight" panose="020B0402040204020203" pitchFamily="34" charset="0"/>
                <a:cs typeface="Segoe UI Semilight" panose="020B0402040204020203" pitchFamily="34" charset="0"/>
              </a:rPr>
              <a:t> 2019-2020</a:t>
            </a: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0E1C-46D1-913A-A302BBD87A75}"/>
            </c:ext>
          </c:extLst>
        </c:ser>
        <c:dLbls>
          <c:showLegendKey val="0"/>
          <c:showVal val="0"/>
          <c:showCatName val="0"/>
          <c:showSerName val="0"/>
          <c:showPercent val="0"/>
          <c:showBubbleSize val="0"/>
        </c:dLbls>
        <c:gapWidth val="150"/>
        <c:overlap val="100"/>
        <c:axId val="339528832"/>
        <c:axId val="509357552"/>
      </c:barChart>
      <c:catAx>
        <c:axId val="33952883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357552"/>
        <c:crosses val="autoZero"/>
        <c:auto val="1"/>
        <c:lblAlgn val="ctr"/>
        <c:lblOffset val="100"/>
        <c:noMultiLvlLbl val="0"/>
      </c:catAx>
      <c:valAx>
        <c:axId val="50935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952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100"/>
              <a:t>Durée de dotation externe</a:t>
            </a:r>
          </a:p>
          <a:p>
            <a:pPr>
              <a:defRPr sz="1100"/>
            </a:pPr>
            <a:r>
              <a:rPr lang="en-CA" sz="1100"/>
              <a:t>Médiane pour la fonction publique = 203 jours</a:t>
            </a:r>
          </a:p>
          <a:p>
            <a:pPr>
              <a:defRPr sz="1100"/>
            </a:pPr>
            <a:r>
              <a:rPr lang="en-CA" sz="1100"/>
              <a:t> 2019-2020</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BC10-43C2-879E-3B1D3E593732}"/>
            </c:ext>
          </c:extLst>
        </c:ser>
        <c:dLbls>
          <c:showLegendKey val="0"/>
          <c:showVal val="0"/>
          <c:showCatName val="0"/>
          <c:showSerName val="0"/>
          <c:showPercent val="0"/>
          <c:showBubbleSize val="0"/>
        </c:dLbls>
        <c:gapWidth val="150"/>
        <c:overlap val="100"/>
        <c:axId val="509359512"/>
        <c:axId val="509353632"/>
      </c:barChart>
      <c:catAx>
        <c:axId val="50935951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353632"/>
        <c:crosses val="autoZero"/>
        <c:auto val="1"/>
        <c:lblAlgn val="ctr"/>
        <c:lblOffset val="100"/>
        <c:noMultiLvlLbl val="0"/>
      </c:catAx>
      <c:valAx>
        <c:axId val="50935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359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sz="1200">
                <a:solidFill>
                  <a:sysClr val="windowText" lastClr="000000"/>
                </a:solidFill>
                <a:latin typeface="Segoe UI Semilight" panose="020B0402040204020203" pitchFamily="34" charset="0"/>
                <a:cs typeface="Segoe UI Semilight" panose="020B0402040204020203" pitchFamily="34" charset="0"/>
              </a:rPr>
              <a:t>Population selon le profil linguistique au 31 mars 2020</a:t>
            </a:r>
          </a:p>
          <a:p>
            <a:pPr>
              <a:defRPr/>
            </a:pPr>
            <a:r>
              <a:rPr lang="en-US" sz="1200">
                <a:solidFill>
                  <a:sysClr val="windowText" lastClr="000000"/>
                </a:solidFill>
                <a:latin typeface="Segoe UI Semilight" panose="020B0402040204020203" pitchFamily="34" charset="0"/>
                <a:cs typeface="Segoe UI Semilight" panose="020B0402040204020203" pitchFamily="34" charset="0"/>
              </a:rPr>
              <a:t> (N=429)</a:t>
            </a:r>
            <a:endParaRPr lang="en-CA">
              <a:solidFill>
                <a:sysClr val="windowText" lastClr="000000"/>
              </a:solidFill>
              <a:latin typeface="Segoe UI Semilight" panose="020B0402040204020203" pitchFamily="34" charset="0"/>
              <a:cs typeface="Segoe UI Semilight" panose="020B0402040204020203" pitchFamily="34" charset="0"/>
            </a:endParaRPr>
          </a:p>
        </c:rich>
      </c:tx>
      <c:layout>
        <c:manualLayout>
          <c:xMode val="edge"/>
          <c:yMode val="edge"/>
          <c:x val="0.15367058431358685"/>
          <c:y val="7.5581279842122338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B7B-400B-95D4-68AAA27295F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B7B-400B-95D4-68AAA27295FD}"/>
              </c:ext>
            </c:extLst>
          </c:dPt>
          <c:dLbls>
            <c:dLbl>
              <c:idx val="0"/>
              <c:layout>
                <c:manualLayout>
                  <c:x val="6.9808027923211169E-2"/>
                  <c:y val="0.11919882297321525"/>
                </c:manualLayout>
              </c:layout>
              <c:showLegendKey val="0"/>
              <c:showVal val="0"/>
              <c:showCatName val="1"/>
              <c:showSerName val="0"/>
              <c:showPercent val="1"/>
              <c:showBubbleSize val="0"/>
              <c:extLst>
                <c:ext xmlns:c15="http://schemas.microsoft.com/office/drawing/2012/chart" uri="{CE6537A1-D6FC-4f65-9D91-7224C49458BB}">
                  <c15:layout>
                    <c:manualLayout>
                      <c:w val="0.33813263525305409"/>
                      <c:h val="0.24974120082815734"/>
                    </c:manualLayout>
                  </c15:layout>
                </c:ext>
                <c:ext xmlns:c16="http://schemas.microsoft.com/office/drawing/2014/chart" uri="{C3380CC4-5D6E-409C-BE32-E72D297353CC}">
                  <c16:uniqueId val="{00000001-BB7B-400B-95D4-68AAA27295FD}"/>
                </c:ext>
              </c:extLst>
            </c:dLbl>
            <c:dLbl>
              <c:idx val="1"/>
              <c:layout>
                <c:manualLayout>
                  <c:x val="-0.13089005235602094"/>
                  <c:y val="-0.13429394695228314"/>
                </c:manualLayout>
              </c:layout>
              <c:showLegendKey val="0"/>
              <c:showVal val="0"/>
              <c:showCatName val="1"/>
              <c:showSerName val="0"/>
              <c:showPercent val="1"/>
              <c:showBubbleSize val="0"/>
              <c:extLst>
                <c:ext xmlns:c15="http://schemas.microsoft.com/office/drawing/2012/chart" uri="{CE6537A1-D6FC-4f65-9D91-7224C49458BB}">
                  <c15:layout>
                    <c:manualLayout>
                      <c:w val="0.39048865619546247"/>
                      <c:h val="0.18633540372670807"/>
                    </c:manualLayout>
                  </c15:layout>
                </c:ext>
                <c:ext xmlns:c16="http://schemas.microsoft.com/office/drawing/2014/chart" uri="{C3380CC4-5D6E-409C-BE32-E72D297353CC}">
                  <c16:uniqueId val="{00000003-BB7B-400B-95D4-68AAA27295FD}"/>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Bilingue</c:v>
                </c:pt>
                <c:pt idx="1">
                  <c:v>Unilingue</c:v>
                </c:pt>
              </c:strCache>
            </c:strRef>
          </c:cat>
          <c:val>
            <c:numRef>
              <c:f>Sheet1!$B$2:$B$3</c:f>
              <c:numCache>
                <c:formatCode>0</c:formatCode>
                <c:ptCount val="2"/>
                <c:pt idx="0">
                  <c:v>63</c:v>
                </c:pt>
                <c:pt idx="1">
                  <c:v>352</c:v>
                </c:pt>
              </c:numCache>
            </c:numRef>
          </c:val>
          <c:extLst>
            <c:ext xmlns:c16="http://schemas.microsoft.com/office/drawing/2014/chart" uri="{C3380CC4-5D6E-409C-BE32-E72D297353CC}">
              <c16:uniqueId val="{00000004-BB7B-400B-95D4-68AAA27295FD}"/>
            </c:ext>
          </c:extLst>
        </c:ser>
        <c:dLbls>
          <c:showLegendKey val="0"/>
          <c:showVal val="0"/>
          <c:showCatName val="0"/>
          <c:showSerName val="0"/>
          <c:showPercent val="0"/>
          <c:showBubbleSize val="0"/>
          <c:showLeaderLines val="1"/>
        </c:dLbls>
        <c:firstSliceAng val="27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r>
              <a:rPr lang="en-US" sz="1200" b="1">
                <a:solidFill>
                  <a:sysClr val="windowText" lastClr="000000"/>
                </a:solidFill>
                <a:latin typeface="Segoe UI Semilight" panose="020B0402040204020203" pitchFamily="34" charset="0"/>
                <a:cs typeface="Segoe UI Semilight" panose="020B0402040204020203" pitchFamily="34" charset="0"/>
              </a:rPr>
              <a:t>Population selon le groupe professionnel au 31 mars 2020</a:t>
            </a:r>
          </a:p>
          <a:p>
            <a:pPr>
              <a:defRPr/>
            </a:pPr>
            <a:r>
              <a:rPr lang="en-US" sz="1200" b="1">
                <a:solidFill>
                  <a:sysClr val="windowText" lastClr="000000"/>
                </a:solidFill>
                <a:latin typeface="Segoe UI Semilight" panose="020B0402040204020203" pitchFamily="34" charset="0"/>
                <a:cs typeface="Segoe UI Semilight" panose="020B0402040204020203" pitchFamily="34" charset="0"/>
              </a:rPr>
              <a:t>(N=429)</a:t>
            </a:r>
            <a:endParaRPr lang="en-US" b="1">
              <a:solidFill>
                <a:sysClr val="windowText" lastClr="000000"/>
              </a:solidFill>
              <a:latin typeface="Segoe UI Semilight" panose="020B0402040204020203" pitchFamily="34" charset="0"/>
              <a:cs typeface="Segoe UI Semilight" panose="020B0402040204020203" pitchFamily="34" charset="0"/>
            </a:endParaRPr>
          </a:p>
        </c:rich>
      </c:tx>
      <c:layout>
        <c:manualLayout>
          <c:xMode val="edge"/>
          <c:yMode val="edge"/>
          <c:x val="0.13090260766794787"/>
          <c:y val="1.3518274471368117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9389271337875578E-2"/>
          <c:y val="0.34036608544201108"/>
          <c:w val="0.90543204445812986"/>
          <c:h val="0.63063165742414495"/>
        </c:manualLayout>
      </c:layout>
      <c:pieChart>
        <c:varyColors val="1"/>
        <c:ser>
          <c:idx val="0"/>
          <c:order val="0"/>
          <c:tx>
            <c:strRef>
              <c:f>Sheet1!$B$1</c:f>
              <c:strCache>
                <c:ptCount val="1"/>
                <c:pt idx="0">
                  <c:v>Population selon le groupe professionnel au 31 mars 2018</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B6-4A38-93F5-37B3BCDAB3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B6-4A38-93F5-37B3BCDAB3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B6-4A38-93F5-37B3BCDAB3B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B6-4A38-93F5-37B3BCDAB3B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B6-4A38-93F5-37B3BCDAB3B3}"/>
              </c:ext>
            </c:extLst>
          </c:dPt>
          <c:dLbls>
            <c:dLbl>
              <c:idx val="0"/>
              <c:layout>
                <c:manualLayout>
                  <c:x val="0.16387337057728119"/>
                  <c:y val="-0.183035019455252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5B6-4A38-93F5-37B3BCDAB3B3}"/>
                </c:ext>
              </c:extLst>
            </c:dLbl>
            <c:dLbl>
              <c:idx val="1"/>
              <c:layout>
                <c:manualLayout>
                  <c:x val="0.13407821229050279"/>
                  <c:y val="7.548393026747142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5B6-4A38-93F5-37B3BCDAB3B3}"/>
                </c:ext>
              </c:extLst>
            </c:dLbl>
            <c:dLbl>
              <c:idx val="2"/>
              <c:layout>
                <c:manualLayout>
                  <c:x val="0.1787709497206704"/>
                  <c:y val="0.180069242317472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25B6-4A38-93F5-37B3BCDAB3B3}"/>
                </c:ext>
              </c:extLst>
            </c:dLbl>
            <c:dLbl>
              <c:idx val="3"/>
              <c:layout>
                <c:manualLayout>
                  <c:x val="-0.11173155031598704"/>
                  <c:y val="0.1728173861535790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 xmlns:c16="http://schemas.microsoft.com/office/drawing/2014/chart" uri="{C3380CC4-5D6E-409C-BE32-E72D297353CC}">
                  <c16:uniqueId val="{00000007-25B6-4A38-93F5-37B3BCDAB3B3}"/>
                </c:ext>
              </c:extLst>
            </c:dLbl>
            <c:dLbl>
              <c:idx val="4"/>
              <c:layout>
                <c:manualLayout>
                  <c:x val="-8.1936685288640593E-2"/>
                  <c:y val="2.404730537087533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560521415270017"/>
                      <c:h val="0.16990920881971466"/>
                    </c:manualLayout>
                  </c15:layout>
                </c:ext>
                <c:ext xmlns:c16="http://schemas.microsoft.com/office/drawing/2014/chart" uri="{C3380CC4-5D6E-409C-BE32-E72D297353CC}">
                  <c16:uniqueId val="{00000009-25B6-4A38-93F5-37B3BCDAB3B3}"/>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PI</c:v>
                </c:pt>
                <c:pt idx="1">
                  <c:v>EG</c:v>
                </c:pt>
                <c:pt idx="2">
                  <c:v>AS</c:v>
                </c:pt>
                <c:pt idx="3">
                  <c:v>CS</c:v>
                </c:pt>
                <c:pt idx="4">
                  <c:v>Autre</c:v>
                </c:pt>
              </c:strCache>
            </c:strRef>
          </c:cat>
          <c:val>
            <c:numRef>
              <c:f>Sheet1!$B$2:$B$6</c:f>
              <c:numCache>
                <c:formatCode>General</c:formatCode>
                <c:ptCount val="5"/>
                <c:pt idx="0">
                  <c:v>144</c:v>
                </c:pt>
                <c:pt idx="1">
                  <c:v>65</c:v>
                </c:pt>
                <c:pt idx="2">
                  <c:v>40</c:v>
                </c:pt>
                <c:pt idx="3">
                  <c:v>37</c:v>
                </c:pt>
                <c:pt idx="4">
                  <c:v>134</c:v>
                </c:pt>
              </c:numCache>
            </c:numRef>
          </c:val>
          <c:extLst>
            <c:ext xmlns:c16="http://schemas.microsoft.com/office/drawing/2014/chart" uri="{C3380CC4-5D6E-409C-BE32-E72D297353CC}">
              <c16:uniqueId val="{0000000A-25B6-4A38-93F5-37B3BCDAB3B3}"/>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sz="800">
          <a:solidFill>
            <a:sysClr val="windowText" lastClr="000000"/>
          </a:solidFill>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latin typeface="Segoe UI Semilight" panose="020B0402040204020203" pitchFamily="34" charset="0"/>
                <a:cs typeface="Segoe UI Semilight" panose="020B0402040204020203" pitchFamily="34" charset="0"/>
              </a:rPr>
              <a:t>Population selon la région au 31 mars 2020 (N=429)</a:t>
            </a:r>
            <a:endParaRPr lang="en-CA" sz="1200">
              <a:solidFill>
                <a:sysClr val="windowText" lastClr="000000"/>
              </a:solidFill>
              <a:effectLst/>
              <a:latin typeface="Segoe UI Semilight" panose="020B0402040204020203" pitchFamily="34" charset="0"/>
              <a:cs typeface="Segoe UI Semilight" panose="020B0402040204020203" pitchFamily="34" charset="0"/>
            </a:endParaRPr>
          </a:p>
        </c:rich>
      </c:tx>
      <c:layout>
        <c:manualLayout>
          <c:xMode val="edge"/>
          <c:yMode val="edge"/>
          <c:x val="0.13508932351198036"/>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92B-426D-A3C9-0BAF9400743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92B-426D-A3C9-0BAF94007435}"/>
              </c:ext>
            </c:extLst>
          </c:dPt>
          <c:dLbls>
            <c:dLbl>
              <c:idx val="0"/>
              <c:layout>
                <c:manualLayout>
                  <c:x val="0.31541218637992829"/>
                  <c:y val="-0.15358610065046216"/>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092B-426D-A3C9-0BAF94007435}"/>
                </c:ext>
              </c:extLst>
            </c:dLbl>
            <c:dLbl>
              <c:idx val="1"/>
              <c:layout>
                <c:manualLayout>
                  <c:x val="0.31858437050207433"/>
                  <c:y val="-0.13194498785477901"/>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fld id="{A051E576-BE8F-4DBF-83D1-E4430C0CD223}" type="CATEGORYNAME">
                      <a:rPr lang="en-US" b="1" i="0" baseline="0">
                        <a:solidFill>
                          <a:schemeClr val="bg1"/>
                        </a:solidFill>
                      </a:rPr>
                      <a:pPr>
                        <a:defRPr b="1">
                          <a:solidFill>
                            <a:schemeClr val="bg1"/>
                          </a:solidFill>
                        </a:defRPr>
                      </a:pPr>
                      <a:t>[CATEGORY NAME]</a:t>
                    </a:fld>
                    <a:r>
                      <a:rPr lang="en-US" b="1" baseline="0">
                        <a:solidFill>
                          <a:schemeClr val="bg1"/>
                        </a:solidFill>
                      </a:rPr>
                      <a:t>
</a:t>
                    </a:r>
                    <a:fld id="{6A3CD943-CB9C-42F6-8726-48894A5F0CC6}" type="PERCENTAGE">
                      <a:rPr lang="en-US" b="1" i="0" baseline="0">
                        <a:solidFill>
                          <a:schemeClr val="bg1"/>
                        </a:solidFill>
                      </a:rPr>
                      <a:pPr>
                        <a:defRPr b="1">
                          <a:solidFill>
                            <a:schemeClr val="bg1"/>
                          </a:solidFill>
                        </a:defRPr>
                      </a:pPr>
                      <a:t>[PERCENTAGE]</a:t>
                    </a:fld>
                    <a:endParaRPr lang="en-US" b="1" baseline="0">
                      <a:solidFill>
                        <a:schemeClr val="bg1"/>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0942680552027771"/>
                      <c:h val="0.19645465512463114"/>
                    </c:manualLayout>
                  </c15:layout>
                  <c15:dlblFieldTable/>
                  <c15:showDataLabelsRange val="0"/>
                </c:ext>
                <c:ext xmlns:c16="http://schemas.microsoft.com/office/drawing/2014/chart" uri="{C3380CC4-5D6E-409C-BE32-E72D297353CC}">
                  <c16:uniqueId val="{00000003-092B-426D-A3C9-0BAF940074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Extérieur de la RCN</c:v>
                </c:pt>
              </c:strCache>
            </c:strRef>
          </c:cat>
          <c:val>
            <c:numRef>
              <c:f>Sheet1!$B$2:$B$3</c:f>
              <c:numCache>
                <c:formatCode>0</c:formatCode>
                <c:ptCount val="2"/>
                <c:pt idx="1">
                  <c:v>428</c:v>
                </c:pt>
              </c:numCache>
            </c:numRef>
          </c:val>
          <c:extLst>
            <c:ext xmlns:c16="http://schemas.microsoft.com/office/drawing/2014/chart" uri="{C3380CC4-5D6E-409C-BE32-E72D297353CC}">
              <c16:uniqueId val="{00000004-092B-426D-A3C9-0BAF94007435}"/>
            </c:ext>
          </c:extLst>
        </c:ser>
        <c:dLbls>
          <c:showLegendKey val="0"/>
          <c:showVal val="0"/>
          <c:showCatName val="0"/>
          <c:showSerName val="0"/>
          <c:showPercent val="0"/>
          <c:showBubbleSize val="0"/>
          <c:showLeaderLines val="1"/>
        </c:dLbls>
        <c:firstSliceAng val="7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latin typeface="Segoe UI Semilight" panose="020B0402040204020203" pitchFamily="34" charset="0"/>
                <a:cs typeface="Segoe UI Semilight" panose="020B0402040204020203" pitchFamily="34" charset="0"/>
              </a:rPr>
              <a:t>Embauche externe pour une période indéterminée selon le groupe professionnel,</a:t>
            </a:r>
          </a:p>
          <a:p>
            <a:pPr>
              <a:defRPr/>
            </a:pPr>
            <a:r>
              <a:rPr lang="en-US" sz="1200" b="1">
                <a:solidFill>
                  <a:sysClr val="windowText" lastClr="000000"/>
                </a:solidFill>
                <a:latin typeface="Segoe UI Semilight" panose="020B0402040204020203" pitchFamily="34" charset="0"/>
                <a:cs typeface="Segoe UI Semilight" panose="020B0402040204020203" pitchFamily="34" charset="0"/>
              </a:rPr>
              <a:t> 2019-2020 (N=28</a:t>
            </a:r>
            <a:r>
              <a:rPr lang="en-US" sz="1200">
                <a:solidFill>
                  <a:sysClr val="windowText" lastClr="000000"/>
                </a:solidFill>
                <a:latin typeface="Segoe UI Semilight" panose="020B0402040204020203" pitchFamily="34" charset="0"/>
                <a:cs typeface="Segoe UI Semilight" panose="020B0402040204020203" pitchFamily="34" charset="0"/>
              </a:rPr>
              <a:t>)</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23255872682369"/>
          <c:y val="0.43726614703019145"/>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17-4663-818D-8D0DE1ABE6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017-4663-818D-8D0DE1ABE6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17-4663-818D-8D0DE1ABE6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017-4663-818D-8D0DE1ABE6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017-4663-818D-8D0DE1ABE6D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017-4663-818D-8D0DE1ABE6D9}"/>
              </c:ext>
            </c:extLst>
          </c:dPt>
          <c:dLbls>
            <c:dLbl>
              <c:idx val="0"/>
              <c:layout>
                <c:manualLayout>
                  <c:x val="2.8985253654887341E-2"/>
                  <c:y val="1.438509132373249E-4"/>
                </c:manualLayout>
              </c:layout>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5017-4663-818D-8D0DE1ABE6D9}"/>
                </c:ext>
              </c:extLst>
            </c:dLbl>
            <c:dLbl>
              <c:idx val="1"/>
              <c:layout>
                <c:manualLayout>
                  <c:x val="-1.1713898081580382E-2"/>
                  <c:y val="-6.7665256495894627E-3"/>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614578974729609"/>
                      <c:h val="0.11279422977012191"/>
                    </c:manualLayout>
                  </c15:layout>
                </c:ext>
                <c:ext xmlns:c16="http://schemas.microsoft.com/office/drawing/2014/chart" uri="{C3380CC4-5D6E-409C-BE32-E72D297353CC}">
                  <c16:uniqueId val="{00000003-5017-4663-818D-8D0DE1ABE6D9}"/>
                </c:ext>
              </c:extLst>
            </c:dLbl>
            <c:dLbl>
              <c:idx val="2"/>
              <c:layout>
                <c:manualLayout>
                  <c:x val="-5.4542457555124598E-3"/>
                  <c:y val="-3.937696764282482E-3"/>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5017-4663-818D-8D0DE1ABE6D9}"/>
                </c:ext>
              </c:extLst>
            </c:dLbl>
            <c:dLbl>
              <c:idx val="3"/>
              <c:layout>
                <c:manualLayout>
                  <c:x val="5.9043869718353595E-17"/>
                  <c:y val="-6.8551842330762643E-3"/>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017-4663-818D-8D0DE1ABE6D9}"/>
                </c:ext>
              </c:extLst>
            </c:dLbl>
            <c:dLbl>
              <c:idx val="4"/>
              <c:layout>
                <c:manualLayout>
                  <c:x val="1.2882447665056361E-2"/>
                  <c:y val="-1.3710368466152496E-2"/>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5017-4663-818D-8D0DE1ABE6D9}"/>
                </c:ext>
              </c:extLst>
            </c:dLbl>
            <c:dLbl>
              <c:idx val="5"/>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5017-4663-818D-8D0DE1ABE6D9}"/>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PI</c:v>
                </c:pt>
                <c:pt idx="1">
                  <c:v>AS</c:v>
                </c:pt>
                <c:pt idx="2">
                  <c:v>AU</c:v>
                </c:pt>
                <c:pt idx="3">
                  <c:v>CS</c:v>
                </c:pt>
                <c:pt idx="4">
                  <c:v>FI</c:v>
                </c:pt>
                <c:pt idx="5">
                  <c:v>Autre</c:v>
                </c:pt>
              </c:strCache>
            </c:strRef>
          </c:cat>
          <c:val>
            <c:numRef>
              <c:f>Sheet1!$B$2:$B$7</c:f>
              <c:numCache>
                <c:formatCode>General</c:formatCode>
                <c:ptCount val="6"/>
                <c:pt idx="0">
                  <c:v>14</c:v>
                </c:pt>
                <c:pt idx="1">
                  <c:v>2</c:v>
                </c:pt>
                <c:pt idx="2">
                  <c:v>2</c:v>
                </c:pt>
                <c:pt idx="3">
                  <c:v>2</c:v>
                </c:pt>
                <c:pt idx="4">
                  <c:v>2</c:v>
                </c:pt>
                <c:pt idx="5">
                  <c:v>6</c:v>
                </c:pt>
              </c:numCache>
            </c:numRef>
          </c:val>
          <c:extLst>
            <c:ext xmlns:c16="http://schemas.microsoft.com/office/drawing/2014/chart" uri="{C3380CC4-5D6E-409C-BE32-E72D297353CC}">
              <c16:uniqueId val="{0000000C-5017-4663-818D-8D0DE1ABE6D9}"/>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latin typeface="Segoe UI Semilight" panose="020B0402040204020203" pitchFamily="34" charset="0"/>
                <a:cs typeface="Segoe UI Semilight" panose="020B0402040204020203" pitchFamily="34" charset="0"/>
              </a:rPr>
              <a:t>Dotation selon la région</a:t>
            </a:r>
          </a:p>
        </c:rich>
      </c:tx>
      <c:layout>
        <c:manualLayout>
          <c:xMode val="edge"/>
          <c:yMode val="edge"/>
          <c:x val="0.31529896031124272"/>
          <c:y val="7.393800832175711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42A-4570-B18E-8345B4FD110C}"/>
                </c:ext>
              </c:extLst>
            </c:dLbl>
            <c:dLbl>
              <c:idx val="1"/>
              <c:delete val="1"/>
              <c:extLst>
                <c:ext xmlns:c15="http://schemas.microsoft.com/office/drawing/2012/chart" uri="{CE6537A1-D6FC-4f65-9D91-7224C49458BB}"/>
                <c:ext xmlns:c16="http://schemas.microsoft.com/office/drawing/2014/chart" uri="{C3380CC4-5D6E-409C-BE32-E72D297353CC}">
                  <c16:uniqueId val="{00000001-142A-4570-B18E-8345B4FD110C}"/>
                </c:ext>
              </c:extLst>
            </c:dLbl>
            <c:dLbl>
              <c:idx val="2"/>
              <c:delete val="1"/>
              <c:extLst>
                <c:ext xmlns:c15="http://schemas.microsoft.com/office/drawing/2012/chart" uri="{CE6537A1-D6FC-4f65-9D91-7224C49458BB}"/>
                <c:ext xmlns:c16="http://schemas.microsoft.com/office/drawing/2014/chart" uri="{C3380CC4-5D6E-409C-BE32-E72D297353CC}">
                  <c16:uniqueId val="{00000002-142A-4570-B18E-8345B4FD110C}"/>
                </c:ext>
              </c:extLst>
            </c:dLbl>
            <c:dLbl>
              <c:idx val="3"/>
              <c:layout>
                <c:manualLayout>
                  <c:x val="-7.8394805912420183E-3"/>
                  <c:y val="1.4487001871039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2A-4570-B18E-8345B4FD110C}"/>
                </c:ext>
              </c:extLst>
            </c:dLbl>
            <c:dLbl>
              <c:idx val="4"/>
              <c:delete val="1"/>
              <c:extLst>
                <c:ext xmlns:c15="http://schemas.microsoft.com/office/drawing/2012/chart" uri="{CE6537A1-D6FC-4f65-9D91-7224C49458BB}"/>
                <c:ext xmlns:c16="http://schemas.microsoft.com/office/drawing/2014/chart" uri="{C3380CC4-5D6E-409C-BE32-E72D297353CC}">
                  <c16:uniqueId val="{00000004-142A-4570-B18E-8345B4FD110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Sheet1!$B$2:$B$6</c:f>
              <c:numCache>
                <c:formatCode>0%</c:formatCode>
                <c:ptCount val="5"/>
                <c:pt idx="0">
                  <c:v>0</c:v>
                </c:pt>
                <c:pt idx="1">
                  <c:v>0</c:v>
                </c:pt>
                <c:pt idx="2">
                  <c:v>0</c:v>
                </c:pt>
                <c:pt idx="3">
                  <c:v>0.01</c:v>
                </c:pt>
                <c:pt idx="4">
                  <c:v>0</c:v>
                </c:pt>
              </c:numCache>
            </c:numRef>
          </c:val>
          <c:extLst>
            <c:ext xmlns:c16="http://schemas.microsoft.com/office/drawing/2014/chart" uri="{C3380CC4-5D6E-409C-BE32-E72D297353CC}">
              <c16:uniqueId val="{00000005-142A-4570-B18E-8345B4FD110C}"/>
            </c:ext>
          </c:extLst>
        </c:ser>
        <c:ser>
          <c:idx val="1"/>
          <c:order val="1"/>
          <c:tx>
            <c:strRef>
              <c:f>Sheet1!$C$1</c:f>
              <c:strCache>
                <c:ptCount val="1"/>
                <c:pt idx="0">
                  <c:v>Extérieur de la Région de la capitale nationale (RCN)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2A-4570-B18E-8345B4FD110C}"/>
                </c:ext>
              </c:extLst>
            </c:dLbl>
            <c:dLbl>
              <c:idx val="1"/>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2A-4570-B18E-8345B4FD110C}"/>
                </c:ext>
              </c:extLst>
            </c:dLbl>
            <c:dLbl>
              <c:idx val="2"/>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2A-4570-B18E-8345B4FD110C}"/>
                </c:ext>
              </c:extLst>
            </c:dLbl>
            <c:dLbl>
              <c:idx val="3"/>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2A-4570-B18E-8345B4FD110C}"/>
                </c:ext>
              </c:extLst>
            </c:dLbl>
            <c:dLbl>
              <c:idx val="4"/>
              <c:layout>
                <c:manualLayout>
                  <c:x val="1.096491228070162E-2"/>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2A-4570-B18E-8345B4FD110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0%</c:formatCode>
                <c:ptCount val="5"/>
                <c:pt idx="0">
                  <c:v>1</c:v>
                </c:pt>
                <c:pt idx="1">
                  <c:v>1</c:v>
                </c:pt>
                <c:pt idx="2">
                  <c:v>1</c:v>
                </c:pt>
                <c:pt idx="3">
                  <c:v>0.99</c:v>
                </c:pt>
                <c:pt idx="4">
                  <c:v>1</c:v>
                </c:pt>
              </c:numCache>
            </c:numRef>
          </c:val>
          <c:extLst>
            <c:ext xmlns:c16="http://schemas.microsoft.com/office/drawing/2014/chart" uri="{C3380CC4-5D6E-409C-BE32-E72D297353CC}">
              <c16:uniqueId val="{0000000B-142A-4570-B18E-8345B4FD110C}"/>
            </c:ext>
          </c:extLst>
        </c:ser>
        <c:dLbls>
          <c:showLegendKey val="0"/>
          <c:showVal val="0"/>
          <c:showCatName val="0"/>
          <c:showSerName val="0"/>
          <c:showPercent val="0"/>
          <c:showBubbleSize val="0"/>
        </c:dLbls>
        <c:gapWidth val="150"/>
        <c:axId val="841511024"/>
        <c:axId val="841505536"/>
      </c:barChart>
      <c:catAx>
        <c:axId val="841511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41505536"/>
        <c:crosses val="autoZero"/>
        <c:auto val="1"/>
        <c:lblAlgn val="ctr"/>
        <c:lblOffset val="100"/>
        <c:noMultiLvlLbl val="0"/>
      </c:catAx>
      <c:valAx>
        <c:axId val="84150553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41511024"/>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latin typeface="Segoe UI Semilight" panose="020B0402040204020203" pitchFamily="34" charset="0"/>
                <a:cs typeface="Segoe UI Semilight" panose="020B0402040204020203" pitchFamily="34" charset="0"/>
              </a:rPr>
              <a:t>Dotation selon le type de processus</a:t>
            </a:r>
          </a:p>
        </c:rich>
      </c:tx>
      <c:layout>
        <c:manualLayout>
          <c:xMode val="edge"/>
          <c:yMode val="edge"/>
          <c:x val="0.26553599648211512"/>
          <c:y val="1.7204124111863093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312995561418695E-2"/>
          <c:y val="7.0190301079591372E-2"/>
          <c:w val="0.84333349635643373"/>
          <c:h val="0.55160980926724579"/>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0912863640736163E-3"/>
                  <c:y val="1.7132088401576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7D-40E6-8F82-766615640EC1}"/>
                </c:ext>
              </c:extLst>
            </c:dLbl>
            <c:dLbl>
              <c:idx val="1"/>
              <c:layout>
                <c:manualLayout>
                  <c:x val="-8.3332646246444004E-3"/>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7D-40E6-8F82-766615640EC1}"/>
                </c:ext>
              </c:extLst>
            </c:dLbl>
            <c:dLbl>
              <c:idx val="2"/>
              <c:layout>
                <c:manualLayout>
                  <c:x val="-5.5555097497630192E-3"/>
                  <c:y val="1.3921508055453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7D-40E6-8F82-766615640EC1}"/>
                </c:ext>
              </c:extLst>
            </c:dLbl>
            <c:dLbl>
              <c:idx val="3"/>
              <c:layout>
                <c:manualLayout>
                  <c:x val="-8.3332646246444333E-3"/>
                  <c:y val="7.63416651040942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7D-40E6-8F82-766615640EC1}"/>
                </c:ext>
              </c:extLst>
            </c:dLbl>
            <c:dLbl>
              <c:idx val="4"/>
              <c:layout>
                <c:manualLayout>
                  <c:x val="-3.4904013961606865E-3"/>
                  <c:y val="1.3705670721260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7D-40E6-8F82-766615640E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Sheet1!$B$2:$B$6</c:f>
              <c:numCache>
                <c:formatCode>#\ ###</c:formatCode>
                <c:ptCount val="5"/>
                <c:pt idx="0">
                  <c:v>10</c:v>
                </c:pt>
                <c:pt idx="1">
                  <c:v>25</c:v>
                </c:pt>
                <c:pt idx="2">
                  <c:v>24</c:v>
                </c:pt>
                <c:pt idx="3">
                  <c:v>29</c:v>
                </c:pt>
                <c:pt idx="4">
                  <c:v>35</c:v>
                </c:pt>
              </c:numCache>
            </c:numRef>
          </c:val>
          <c:extLst>
            <c:ext xmlns:c16="http://schemas.microsoft.com/office/drawing/2014/chart" uri="{C3380CC4-5D6E-409C-BE32-E72D297353CC}">
              <c16:uniqueId val="{00000005-4A7D-40E6-8F82-766615640EC1}"/>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1.8119274408841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7D-40E6-8F82-766615640EC1}"/>
                </c:ext>
              </c:extLst>
            </c:dLbl>
            <c:dLbl>
              <c:idx val="1"/>
              <c:layout>
                <c:manualLayout>
                  <c:x val="7.1264652127908093E-4"/>
                  <c:y val="1.8685038021095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7D-40E6-8F82-766615640EC1}"/>
                </c:ext>
              </c:extLst>
            </c:dLbl>
            <c:dLbl>
              <c:idx val="2"/>
              <c:layout>
                <c:manualLayout>
                  <c:x val="3.4904013961605585E-3"/>
                  <c:y val="1.5258620340780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7D-40E6-8F82-766615640EC1}"/>
                </c:ext>
              </c:extLst>
            </c:dLbl>
            <c:dLbl>
              <c:idx val="3"/>
              <c:layout>
                <c:manualLayout>
                  <c:x val="3.4904013961605585E-3"/>
                  <c:y val="1.7419691649388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7D-40E6-8F82-766615640EC1}"/>
                </c:ext>
              </c:extLst>
            </c:dLbl>
            <c:dLbl>
              <c:idx val="4"/>
              <c:layout>
                <c:manualLayout>
                  <c:x val="3.4904013961605585E-3"/>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7D-40E6-8F82-766615640E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Sheet1!$C$2:$C$6</c:f>
              <c:numCache>
                <c:formatCode>#\ ###</c:formatCode>
                <c:ptCount val="5"/>
                <c:pt idx="0">
                  <c:v>24</c:v>
                </c:pt>
                <c:pt idx="1">
                  <c:v>68</c:v>
                </c:pt>
                <c:pt idx="2">
                  <c:v>52</c:v>
                </c:pt>
                <c:pt idx="3">
                  <c:v>75</c:v>
                </c:pt>
                <c:pt idx="4">
                  <c:v>70</c:v>
                </c:pt>
              </c:numCache>
            </c:numRef>
          </c:val>
          <c:extLst>
            <c:ext xmlns:c16="http://schemas.microsoft.com/office/drawing/2014/chart" uri="{C3380CC4-5D6E-409C-BE32-E72D297353CC}">
              <c16:uniqueId val="{0000000B-4A7D-40E6-8F82-766615640EC1}"/>
            </c:ext>
          </c:extLst>
        </c:ser>
        <c:dLbls>
          <c:showLegendKey val="0"/>
          <c:showVal val="0"/>
          <c:showCatName val="0"/>
          <c:showSerName val="0"/>
          <c:showPercent val="0"/>
          <c:showBubbleSize val="0"/>
        </c:dLbls>
        <c:gapWidth val="150"/>
        <c:axId val="508088304"/>
        <c:axId val="508093008"/>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4.1199653708207939E-2"/>
                  <c:y val="-3.07945916559985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7D-40E6-8F82-766615640EC1}"/>
                </c:ext>
              </c:extLst>
            </c:dLbl>
            <c:dLbl>
              <c:idx val="1"/>
              <c:layout>
                <c:manualLayout>
                  <c:x val="-7.8070385180909946E-2"/>
                  <c:y val="3.2984531208055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7D-40E6-8F82-766615640EC1}"/>
                </c:ext>
              </c:extLst>
            </c:dLbl>
            <c:dLbl>
              <c:idx val="2"/>
              <c:layout>
                <c:manualLayout>
                  <c:x val="-6.3816080581550277E-2"/>
                  <c:y val="-2.1052773577193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A7D-40E6-8F82-766615640EC1}"/>
                </c:ext>
              </c:extLst>
            </c:dLbl>
            <c:dLbl>
              <c:idx val="3"/>
              <c:layout>
                <c:manualLayout>
                  <c:x val="-8.4623270258756919E-2"/>
                  <c:y val="2.8350773439597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A7D-40E6-8F82-766615640EC1}"/>
                </c:ext>
              </c:extLst>
            </c:dLbl>
            <c:dLbl>
              <c:idx val="4"/>
              <c:layout>
                <c:manualLayout>
                  <c:x val="-8.0279232111692966E-2"/>
                  <c:y val="-1.7132088401576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A7D-40E6-8F82-766615640E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Sheet1!$D$2:$D$6</c:f>
              <c:numCache>
                <c:formatCode>0%</c:formatCode>
                <c:ptCount val="5"/>
                <c:pt idx="0">
                  <c:v>0.28999999999999998</c:v>
                </c:pt>
                <c:pt idx="1">
                  <c:v>0.27</c:v>
                </c:pt>
                <c:pt idx="2">
                  <c:v>0.32</c:v>
                </c:pt>
                <c:pt idx="3">
                  <c:v>0.28000000000000003</c:v>
                </c:pt>
                <c:pt idx="4">
                  <c:v>0.33</c:v>
                </c:pt>
              </c:numCache>
            </c:numRef>
          </c:val>
          <c:smooth val="0"/>
          <c:extLst>
            <c:ext xmlns:c16="http://schemas.microsoft.com/office/drawing/2014/chart" uri="{C3380CC4-5D6E-409C-BE32-E72D297353CC}">
              <c16:uniqueId val="{00000011-4A7D-40E6-8F82-766615640EC1}"/>
            </c:ext>
          </c:extLst>
        </c:ser>
        <c:dLbls>
          <c:showLegendKey val="0"/>
          <c:showVal val="0"/>
          <c:showCatName val="0"/>
          <c:showSerName val="0"/>
          <c:showPercent val="0"/>
          <c:showBubbleSize val="0"/>
        </c:dLbls>
        <c:marker val="1"/>
        <c:smooth val="0"/>
        <c:axId val="508093792"/>
        <c:axId val="508087520"/>
      </c:lineChart>
      <c:catAx>
        <c:axId val="50808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3008"/>
        <c:crosses val="autoZero"/>
        <c:auto val="1"/>
        <c:lblAlgn val="ctr"/>
        <c:lblOffset val="100"/>
        <c:noMultiLvlLbl val="0"/>
      </c:catAx>
      <c:valAx>
        <c:axId val="5080930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88304"/>
        <c:crosses val="autoZero"/>
        <c:crossBetween val="between"/>
      </c:valAx>
      <c:valAx>
        <c:axId val="50808752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3792"/>
        <c:crosses val="max"/>
        <c:crossBetween val="between"/>
        <c:majorUnit val="0.1"/>
      </c:valAx>
      <c:catAx>
        <c:axId val="508093792"/>
        <c:scaling>
          <c:orientation val="minMax"/>
        </c:scaling>
        <c:delete val="1"/>
        <c:axPos val="b"/>
        <c:numFmt formatCode="General" sourceLinked="1"/>
        <c:majorTickMark val="out"/>
        <c:minorTickMark val="none"/>
        <c:tickLblPos val="nextTo"/>
        <c:crossAx val="508087520"/>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latin typeface="Segoe UI Semilight" panose="020B0402040204020203" pitchFamily="34" charset="0"/>
                <a:cs typeface="Segoe UI Semilight" panose="020B0402040204020203" pitchFamily="34" charset="0"/>
              </a:rPr>
              <a:t>Dotation selon le type de nomination</a:t>
            </a:r>
          </a:p>
        </c:rich>
      </c:tx>
      <c:layout>
        <c:manualLayout>
          <c:xMode val="edge"/>
          <c:yMode val="edge"/>
          <c:x val="0.2905663183333112"/>
          <c:y val="2.4615278641096753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45-46F0-A6D9-E42695F932FD}"/>
                </c:ext>
              </c:extLst>
            </c:dLbl>
            <c:dLbl>
              <c:idx val="1"/>
              <c:layout>
                <c:manualLayout>
                  <c:x val="0"/>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45-46F0-A6D9-E42695F932FD}"/>
                </c:ext>
              </c:extLst>
            </c:dLbl>
            <c:dLbl>
              <c:idx val="2"/>
              <c:layout>
                <c:manualLayout>
                  <c:x val="0"/>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45-46F0-A6D9-E42695F932FD}"/>
                </c:ext>
              </c:extLst>
            </c:dLbl>
            <c:dLbl>
              <c:idx val="3"/>
              <c:layout>
                <c:manualLayout>
                  <c:x val="-5.5555555555555558E-3"/>
                  <c:y val="1.978275792449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45-46F0-A6D9-E42695F932FD}"/>
                </c:ext>
              </c:extLst>
            </c:dLbl>
            <c:dLbl>
              <c:idx val="4"/>
              <c:layout>
                <c:manualLayout>
                  <c:x val="-2.7777777777778798E-3"/>
                  <c:y val="2.0512820512820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45-46F0-A6D9-E42695F932F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(N=97)</c:v>
                </c:pt>
                <c:pt idx="1">
                  <c:v>2016-2017 
(N=171)</c:v>
                </c:pt>
                <c:pt idx="2">
                  <c:v>2017-2018
(N=126)</c:v>
                </c:pt>
                <c:pt idx="3">
                  <c:v>2018-2019
(N=173)</c:v>
                </c:pt>
                <c:pt idx="4">
                  <c:v>2019-2020
(N=177)</c:v>
                </c:pt>
              </c:strCache>
            </c:strRef>
          </c:cat>
          <c:val>
            <c:numRef>
              <c:f>Sheet1!$B$3:$B$7</c:f>
              <c:numCache>
                <c:formatCode>#\ ###</c:formatCode>
                <c:ptCount val="5"/>
                <c:pt idx="0">
                  <c:v>16</c:v>
                </c:pt>
                <c:pt idx="1">
                  <c:v>41</c:v>
                </c:pt>
                <c:pt idx="2">
                  <c:v>31</c:v>
                </c:pt>
                <c:pt idx="3">
                  <c:v>58</c:v>
                </c:pt>
                <c:pt idx="4">
                  <c:v>44</c:v>
                </c:pt>
              </c:numCache>
            </c:numRef>
          </c:val>
          <c:extLst>
            <c:ext xmlns:c16="http://schemas.microsoft.com/office/drawing/2014/chart" uri="{C3380CC4-5D6E-409C-BE32-E72D297353CC}">
              <c16:uniqueId val="{00000005-6345-46F0-A6D9-E42695F932FD}"/>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9444444444444441E-3"/>
                  <c:y val="1.941788814859681E-2"/>
                </c:manualLayout>
              </c:layout>
              <c:showLegendKey val="0"/>
              <c:showVal val="1"/>
              <c:showCatName val="0"/>
              <c:showSerName val="0"/>
              <c:showPercent val="0"/>
              <c:showBubbleSize val="0"/>
              <c:extLst>
                <c:ext xmlns:c15="http://schemas.microsoft.com/office/drawing/2012/chart" uri="{CE6537A1-D6FC-4f65-9D91-7224C49458BB}">
                  <c15:layout>
                    <c:manualLayout>
                      <c:w val="9.0875109361329851E-2"/>
                      <c:h val="5.7374520492630719E-2"/>
                    </c:manualLayout>
                  </c15:layout>
                </c:ext>
                <c:ext xmlns:c16="http://schemas.microsoft.com/office/drawing/2014/chart" uri="{C3380CC4-5D6E-409C-BE32-E72D297353CC}">
                  <c16:uniqueId val="{00000006-6345-46F0-A6D9-E42695F932FD}"/>
                </c:ext>
              </c:extLst>
            </c:dLbl>
            <c:dLbl>
              <c:idx val="1"/>
              <c:layout>
                <c:manualLayout>
                  <c:x val="-2.7777777777777779E-3"/>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45-46F0-A6D9-E42695F932FD}"/>
                </c:ext>
              </c:extLst>
            </c:dLbl>
            <c:dLbl>
              <c:idx val="2"/>
              <c:layout>
                <c:manualLayout>
                  <c:x val="-1.3888888888889906E-3"/>
                  <c:y val="2.2016717141126515E-2"/>
                </c:manualLayout>
              </c:layout>
              <c:showLegendKey val="0"/>
              <c:showVal val="1"/>
              <c:showCatName val="0"/>
              <c:showSerName val="0"/>
              <c:showPercent val="0"/>
              <c:showBubbleSize val="0"/>
              <c:extLst>
                <c:ext xmlns:c15="http://schemas.microsoft.com/office/drawing/2012/chart" uri="{CE6537A1-D6FC-4f65-9D91-7224C49458BB}">
                  <c15:layout>
                    <c:manualLayout>
                      <c:w val="0.1075417760279965"/>
                      <c:h val="6.9682212800323023E-2"/>
                    </c:manualLayout>
                  </c15:layout>
                </c:ext>
                <c:ext xmlns:c16="http://schemas.microsoft.com/office/drawing/2014/chart" uri="{C3380CC4-5D6E-409C-BE32-E72D297353CC}">
                  <c16:uniqueId val="{00000008-6345-46F0-A6D9-E42695F932FD}"/>
                </c:ext>
              </c:extLst>
            </c:dLbl>
            <c:dLbl>
              <c:idx val="3"/>
              <c:layout>
                <c:manualLayout>
                  <c:x val="-5.5555555555555558E-3"/>
                  <c:y val="1.1395114072279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45-46F0-A6D9-E42695F932FD}"/>
                </c:ext>
              </c:extLst>
            </c:dLbl>
            <c:dLbl>
              <c:idx val="4"/>
              <c:layout>
                <c:manualLayout>
                  <c:x val="-2.7777777777777779E-3"/>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45-46F0-A6D9-E42695F932F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(N=97)</c:v>
                </c:pt>
                <c:pt idx="1">
                  <c:v>2016-2017 
(N=171)</c:v>
                </c:pt>
                <c:pt idx="2">
                  <c:v>2017-2018
(N=126)</c:v>
                </c:pt>
                <c:pt idx="3">
                  <c:v>2018-2019
(N=173)</c:v>
                </c:pt>
                <c:pt idx="4">
                  <c:v>2019-2020
(N=177)</c:v>
                </c:pt>
              </c:strCache>
            </c:strRef>
          </c:cat>
          <c:val>
            <c:numRef>
              <c:f>Sheet1!$C$3:$C$7</c:f>
              <c:numCache>
                <c:formatCode>#\ ###</c:formatCode>
                <c:ptCount val="5"/>
                <c:pt idx="0">
                  <c:v>16</c:v>
                </c:pt>
                <c:pt idx="1">
                  <c:v>26</c:v>
                </c:pt>
                <c:pt idx="2">
                  <c:v>15</c:v>
                </c:pt>
                <c:pt idx="3">
                  <c:v>28</c:v>
                </c:pt>
                <c:pt idx="4">
                  <c:v>31</c:v>
                </c:pt>
              </c:numCache>
            </c:numRef>
          </c:val>
          <c:extLst>
            <c:ext xmlns:c16="http://schemas.microsoft.com/office/drawing/2014/chart" uri="{C3380CC4-5D6E-409C-BE32-E72D297353CC}">
              <c16:uniqueId val="{0000000B-6345-46F0-A6D9-E42695F932FD}"/>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9492563429571049E-3"/>
                  <c:y val="1.6107571168988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45-46F0-A6D9-E42695F932FD}"/>
                </c:ext>
              </c:extLst>
            </c:dLbl>
            <c:dLbl>
              <c:idx val="1"/>
              <c:layout>
                <c:manualLayout>
                  <c:x val="-2.7777777777778286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45-46F0-A6D9-E42695F932FD}"/>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345-46F0-A6D9-E42695F932FD}"/>
                </c:ext>
              </c:extLst>
            </c:dLbl>
            <c:dLbl>
              <c:idx val="3"/>
              <c:layout>
                <c:manualLayout>
                  <c:x val="8.285214348205456E-4"/>
                  <c:y val="1.5680193821926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345-46F0-A6D9-E42695F932FD}"/>
                </c:ext>
              </c:extLst>
            </c:dLbl>
            <c:dLbl>
              <c:idx val="4"/>
              <c:layout>
                <c:manualLayout>
                  <c:x val="-1.0185067526415994E-16"/>
                  <c:y val="1.641025641025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345-46F0-A6D9-E42695F932F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(N=97)</c:v>
                </c:pt>
                <c:pt idx="1">
                  <c:v>2016-2017 
(N=171)</c:v>
                </c:pt>
                <c:pt idx="2">
                  <c:v>2017-2018
(N=126)</c:v>
                </c:pt>
                <c:pt idx="3">
                  <c:v>2018-2019
(N=173)</c:v>
                </c:pt>
                <c:pt idx="4">
                  <c:v>2019-2020
(N=177)</c:v>
                </c:pt>
              </c:strCache>
            </c:strRef>
          </c:cat>
          <c:val>
            <c:numRef>
              <c:f>Sheet1!$D$3:$D$7</c:f>
              <c:numCache>
                <c:formatCode>#\ ###</c:formatCode>
                <c:ptCount val="5"/>
                <c:pt idx="0">
                  <c:v>51</c:v>
                </c:pt>
                <c:pt idx="1">
                  <c:v>88</c:v>
                </c:pt>
                <c:pt idx="2">
                  <c:v>64</c:v>
                </c:pt>
                <c:pt idx="3">
                  <c:v>73</c:v>
                </c:pt>
                <c:pt idx="4">
                  <c:v>85</c:v>
                </c:pt>
              </c:numCache>
            </c:numRef>
          </c:val>
          <c:extLst>
            <c:ext xmlns:c16="http://schemas.microsoft.com/office/drawing/2014/chart" uri="{C3380CC4-5D6E-409C-BE32-E72D297353CC}">
              <c16:uniqueId val="{00000011-6345-46F0-A6D9-E42695F932FD}"/>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2.4432868968302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345-46F0-A6D9-E42695F932FD}"/>
                </c:ext>
              </c:extLst>
            </c:dLbl>
            <c:dLbl>
              <c:idx val="1"/>
              <c:layout>
                <c:manualLayout>
                  <c:x val="2.7777777777778286E-3"/>
                  <c:y val="2.4797900262467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345-46F0-A6D9-E42695F932FD}"/>
                </c:ext>
              </c:extLst>
            </c:dLbl>
            <c:dLbl>
              <c:idx val="2"/>
              <c:layout>
                <c:manualLayout>
                  <c:x val="6.3840769903762027E-3"/>
                  <c:y val="2.0392650918635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345-46F0-A6D9-E42695F932FD}"/>
                </c:ext>
              </c:extLst>
            </c:dLbl>
            <c:dLbl>
              <c:idx val="3"/>
              <c:layout>
                <c:manualLayout>
                  <c:x val="-1.9492563429572322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345-46F0-A6D9-E42695F932FD}"/>
                </c:ext>
              </c:extLst>
            </c:dLbl>
            <c:dLbl>
              <c:idx val="4"/>
              <c:layout>
                <c:manualLayout>
                  <c:x val="5.5555555555555558E-3"/>
                  <c:y val="1.2307692307692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345-46F0-A6D9-E42695F932F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(N=97)</c:v>
                </c:pt>
                <c:pt idx="1">
                  <c:v>2016-2017 
(N=171)</c:v>
                </c:pt>
                <c:pt idx="2">
                  <c:v>2017-2018
(N=126)</c:v>
                </c:pt>
                <c:pt idx="3">
                  <c:v>2018-2019
(N=173)</c:v>
                </c:pt>
                <c:pt idx="4">
                  <c:v>2019-2020
(N=177)</c:v>
                </c:pt>
              </c:strCache>
            </c:strRef>
          </c:cat>
          <c:val>
            <c:numRef>
              <c:f>Sheet1!$E$3:$E$7</c:f>
              <c:numCache>
                <c:formatCode>#\ ###</c:formatCode>
                <c:ptCount val="5"/>
                <c:pt idx="0">
                  <c:v>14</c:v>
                </c:pt>
                <c:pt idx="1">
                  <c:v>16</c:v>
                </c:pt>
                <c:pt idx="2">
                  <c:v>16</c:v>
                </c:pt>
                <c:pt idx="3">
                  <c:v>14</c:v>
                </c:pt>
                <c:pt idx="4">
                  <c:v>17</c:v>
                </c:pt>
              </c:numCache>
            </c:numRef>
          </c:val>
          <c:extLst>
            <c:ext xmlns:c16="http://schemas.microsoft.com/office/drawing/2014/chart" uri="{C3380CC4-5D6E-409C-BE32-E72D297353CC}">
              <c16:uniqueId val="{00000017-6345-46F0-A6D9-E42695F932FD}"/>
            </c:ext>
          </c:extLst>
        </c:ser>
        <c:dLbls>
          <c:showLegendKey val="0"/>
          <c:showVal val="0"/>
          <c:showCatName val="0"/>
          <c:showSerName val="0"/>
          <c:showPercent val="0"/>
          <c:showBubbleSize val="0"/>
        </c:dLbls>
        <c:gapWidth val="150"/>
        <c:shape val="box"/>
        <c:axId val="508087912"/>
        <c:axId val="508090656"/>
        <c:axId val="0"/>
      </c:bar3DChart>
      <c:catAx>
        <c:axId val="508087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90656"/>
        <c:crosses val="autoZero"/>
        <c:auto val="0"/>
        <c:lblAlgn val="ctr"/>
        <c:lblOffset val="100"/>
        <c:noMultiLvlLbl val="0"/>
      </c:catAx>
      <c:valAx>
        <c:axId val="50809065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8791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latin typeface="Segoe UI Semilight" panose="020B0402040204020203" pitchFamily="34" charset="0"/>
                <a:cs typeface="Segoe UI Semilight" panose="020B0402040204020203" pitchFamily="34" charset="0"/>
              </a:rPr>
              <a:t>Dotation selon la durée d'emploi</a:t>
            </a:r>
          </a:p>
        </c:rich>
      </c:tx>
      <c:layout>
        <c:manualLayout>
          <c:xMode val="edge"/>
          <c:yMode val="edge"/>
          <c:x val="0.32787012078802125"/>
          <c:y val="2.4615278641096753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2312247122955784"/>
          <c:w val="0.86277799650043729"/>
          <c:h val="0.58764740561275985"/>
        </c:manualLayout>
      </c:layout>
      <c:bar3DChart>
        <c:barDir val="col"/>
        <c:grouping val="clustered"/>
        <c:varyColors val="0"/>
        <c:ser>
          <c:idx val="0"/>
          <c:order val="0"/>
          <c:tx>
            <c:strRef>
              <c:f>Sheet1!$B$1</c:f>
              <c:strCache>
                <c:ptCount val="1"/>
                <c:pt idx="0">
                  <c:v>Indéterminé</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C3-4DE2-9AE1-039971F02B39}"/>
                </c:ext>
              </c:extLst>
            </c:dLbl>
            <c:dLbl>
              <c:idx val="1"/>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C3-4DE2-9AE1-039971F02B39}"/>
                </c:ext>
              </c:extLst>
            </c:dLbl>
            <c:dLbl>
              <c:idx val="2"/>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C3-4DE2-9AE1-039971F02B39}"/>
                </c:ext>
              </c:extLst>
            </c:dLbl>
            <c:dLbl>
              <c:idx val="3"/>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C3-4DE2-9AE1-039971F02B39}"/>
                </c:ext>
              </c:extLst>
            </c:dLbl>
            <c:dLbl>
              <c:idx val="4"/>
              <c:layout>
                <c:manualLayout>
                  <c:x val="-5.5555555555555558E-3"/>
                  <c:y val="1.230769230769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C3-4DE2-9AE1-039971F02B3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(N=97)</c:v>
                </c:pt>
                <c:pt idx="1">
                  <c:v>2016-2017
 (N=171)</c:v>
                </c:pt>
                <c:pt idx="2">
                  <c:v>2017-2018
 (N=126)</c:v>
                </c:pt>
                <c:pt idx="3">
                  <c:v>2018-2019
(N=173)</c:v>
                </c:pt>
                <c:pt idx="4">
                  <c:v>2019-2020
(N=177)</c:v>
                </c:pt>
              </c:strCache>
            </c:strRef>
          </c:cat>
          <c:val>
            <c:numRef>
              <c:f>Sheet1!$B$2:$B$6</c:f>
              <c:numCache>
                <c:formatCode>#\ ###</c:formatCode>
                <c:ptCount val="5"/>
                <c:pt idx="0">
                  <c:v>50</c:v>
                </c:pt>
                <c:pt idx="1">
                  <c:v>106</c:v>
                </c:pt>
                <c:pt idx="2">
                  <c:v>77</c:v>
                </c:pt>
                <c:pt idx="3">
                  <c:v>109</c:v>
                </c:pt>
                <c:pt idx="4">
                  <c:v>117</c:v>
                </c:pt>
              </c:numCache>
            </c:numRef>
          </c:val>
          <c:extLst>
            <c:ext xmlns:c16="http://schemas.microsoft.com/office/drawing/2014/chart" uri="{C3380CC4-5D6E-409C-BE32-E72D297353CC}">
              <c16:uniqueId val="{00000005-E4C3-4DE2-9AE1-039971F02B39}"/>
            </c:ext>
          </c:extLst>
        </c:ser>
        <c:ser>
          <c:idx val="1"/>
          <c:order val="1"/>
          <c:tx>
            <c:strRef>
              <c:f>Sheet1!$C$1</c:f>
              <c:strCache>
                <c:ptCount val="1"/>
                <c:pt idx="0">
                  <c:v>Déterminé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C3-4DE2-9AE1-039971F02B39}"/>
                </c:ext>
              </c:extLst>
            </c:dLbl>
            <c:dLbl>
              <c:idx val="1"/>
              <c:layout>
                <c:manualLayout>
                  <c:x val="-2.7777777777778286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C3-4DE2-9AE1-039971F02B39}"/>
                </c:ext>
              </c:extLst>
            </c:dLbl>
            <c:dLbl>
              <c:idx val="2"/>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C3-4DE2-9AE1-039971F02B39}"/>
                </c:ext>
              </c:extLst>
            </c:dLbl>
            <c:dLbl>
              <c:idx val="3"/>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C3-4DE2-9AE1-039971F02B39}"/>
                </c:ext>
              </c:extLst>
            </c:dLbl>
            <c:dLbl>
              <c:idx val="4"/>
              <c:layout>
                <c:manualLayout>
                  <c:x val="-2.0370135052831988E-16"/>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C3-4DE2-9AE1-039971F02B3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(N=97)</c:v>
                </c:pt>
                <c:pt idx="1">
                  <c:v>2016-2017
 (N=171)</c:v>
                </c:pt>
                <c:pt idx="2">
                  <c:v>2017-2018
 (N=126)</c:v>
                </c:pt>
                <c:pt idx="3">
                  <c:v>2018-2019
(N=173)</c:v>
                </c:pt>
                <c:pt idx="4">
                  <c:v>2019-2020
(N=177)</c:v>
                </c:pt>
              </c:strCache>
            </c:strRef>
          </c:cat>
          <c:val>
            <c:numRef>
              <c:f>Sheet1!$C$2:$C$6</c:f>
              <c:numCache>
                <c:formatCode>#\ ###</c:formatCode>
                <c:ptCount val="5"/>
                <c:pt idx="0">
                  <c:v>16</c:v>
                </c:pt>
                <c:pt idx="1">
                  <c:v>35</c:v>
                </c:pt>
                <c:pt idx="2">
                  <c:v>21</c:v>
                </c:pt>
                <c:pt idx="3">
                  <c:v>32</c:v>
                </c:pt>
                <c:pt idx="4">
                  <c:v>34</c:v>
                </c:pt>
              </c:numCache>
            </c:numRef>
          </c:val>
          <c:extLst>
            <c:ext xmlns:c16="http://schemas.microsoft.com/office/drawing/2014/chart" uri="{C3380CC4-5D6E-409C-BE32-E72D297353CC}">
              <c16:uniqueId val="{0000000B-E4C3-4DE2-9AE1-039971F02B39}"/>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4C3-4DE2-9AE1-039971F02B39}"/>
                </c:ext>
              </c:extLst>
            </c:dLbl>
            <c:dLbl>
              <c:idx val="1"/>
              <c:layout>
                <c:manualLayout>
                  <c:x val="0"/>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C3-4DE2-9AE1-039971F02B39}"/>
                </c:ext>
              </c:extLst>
            </c:dLbl>
            <c:dLbl>
              <c:idx val="2"/>
              <c:layout>
                <c:manualLayout>
                  <c:x val="-1.3888888888888889E-3"/>
                  <c:y val="1.5497839693115209E-2"/>
                </c:manualLayout>
              </c:layout>
              <c:showLegendKey val="0"/>
              <c:showVal val="1"/>
              <c:showCatName val="0"/>
              <c:showSerName val="0"/>
              <c:showPercent val="0"/>
              <c:showBubbleSize val="0"/>
              <c:extLst>
                <c:ext xmlns:c15="http://schemas.microsoft.com/office/drawing/2012/chart" uri="{CE6537A1-D6FC-4f65-9D91-7224C49458BB}">
                  <c15:layout>
                    <c:manualLayout>
                      <c:w val="7.576399825021872E-2"/>
                      <c:h val="5.7374520492630719E-2"/>
                    </c:manualLayout>
                  </c15:layout>
                </c:ext>
                <c:ext xmlns:c16="http://schemas.microsoft.com/office/drawing/2014/chart" uri="{C3380CC4-5D6E-409C-BE32-E72D297353CC}">
                  <c16:uniqueId val="{0000000E-E4C3-4DE2-9AE1-039971F02B39}"/>
                </c:ext>
              </c:extLst>
            </c:dLbl>
            <c:dLbl>
              <c:idx val="3"/>
              <c:layout>
                <c:manualLayout>
                  <c:x val="0"/>
                  <c:y val="1.157762971936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4C3-4DE2-9AE1-039971F02B39}"/>
                </c:ext>
              </c:extLst>
            </c:dLbl>
            <c:dLbl>
              <c:idx val="4"/>
              <c:layout>
                <c:manualLayout>
                  <c:x val="-2.7777777777778798E-3"/>
                  <c:y val="8.20512820512820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4C3-4DE2-9AE1-039971F02B3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(N=97)</c:v>
                </c:pt>
                <c:pt idx="1">
                  <c:v>2016-2017
 (N=171)</c:v>
                </c:pt>
                <c:pt idx="2">
                  <c:v>2017-2018
 (N=126)</c:v>
                </c:pt>
                <c:pt idx="3">
                  <c:v>2018-2019
(N=173)</c:v>
                </c:pt>
                <c:pt idx="4">
                  <c:v>2019-2020
(N=177)</c:v>
                </c:pt>
              </c:strCache>
            </c:strRef>
          </c:cat>
          <c:val>
            <c:numRef>
              <c:f>Sheet1!$D$2:$D$6</c:f>
              <c:numCache>
                <c:formatCode>#\ ###</c:formatCode>
                <c:ptCount val="5"/>
                <c:pt idx="0">
                  <c:v>17</c:v>
                </c:pt>
                <c:pt idx="1">
                  <c:v>21</c:v>
                </c:pt>
                <c:pt idx="2">
                  <c:v>19</c:v>
                </c:pt>
                <c:pt idx="3">
                  <c:v>21</c:v>
                </c:pt>
                <c:pt idx="4">
                  <c:v>6</c:v>
                </c:pt>
              </c:numCache>
            </c:numRef>
          </c:val>
          <c:extLst>
            <c:ext xmlns:c16="http://schemas.microsoft.com/office/drawing/2014/chart" uri="{C3380CC4-5D6E-409C-BE32-E72D297353CC}">
              <c16:uniqueId val="{00000011-E4C3-4DE2-9AE1-039971F02B39}"/>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4C3-4DE2-9AE1-039971F02B39}"/>
                </c:ext>
              </c:extLst>
            </c:dLbl>
            <c:dLbl>
              <c:idx val="1"/>
              <c:layout>
                <c:manualLayout>
                  <c:x val="2.7777777777777779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4C3-4DE2-9AE1-039971F02B39}"/>
                </c:ext>
              </c:extLst>
            </c:dLbl>
            <c:dLbl>
              <c:idx val="2"/>
              <c:layout>
                <c:manualLayout>
                  <c:x val="2.7777777777777779E-3"/>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4C3-4DE2-9AE1-039971F02B39}"/>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4C3-4DE2-9AE1-039971F02B39}"/>
                </c:ext>
              </c:extLst>
            </c:dLbl>
            <c:dLbl>
              <c:idx val="4"/>
              <c:layout>
                <c:manualLayout>
                  <c:x val="2.7777777777777779E-3"/>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4C3-4DE2-9AE1-039971F02B3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(N=97)</c:v>
                </c:pt>
                <c:pt idx="1">
                  <c:v>2016-2017
 (N=171)</c:v>
                </c:pt>
                <c:pt idx="2">
                  <c:v>2017-2018
 (N=126)</c:v>
                </c:pt>
                <c:pt idx="3">
                  <c:v>2018-2019
(N=173)</c:v>
                </c:pt>
                <c:pt idx="4">
                  <c:v>2019-2020
(N=177)</c:v>
                </c:pt>
              </c:strCache>
            </c:strRef>
          </c:cat>
          <c:val>
            <c:numRef>
              <c:f>Sheet1!$E$2:$E$6</c:f>
              <c:numCache>
                <c:formatCode>#\ ###</c:formatCode>
                <c:ptCount val="5"/>
                <c:pt idx="0">
                  <c:v>14</c:v>
                </c:pt>
                <c:pt idx="1">
                  <c:v>9</c:v>
                </c:pt>
                <c:pt idx="2">
                  <c:v>9</c:v>
                </c:pt>
                <c:pt idx="3">
                  <c:v>11</c:v>
                </c:pt>
                <c:pt idx="4">
                  <c:v>20</c:v>
                </c:pt>
              </c:numCache>
            </c:numRef>
          </c:val>
          <c:extLst>
            <c:ext xmlns:c16="http://schemas.microsoft.com/office/drawing/2014/chart" uri="{C3380CC4-5D6E-409C-BE32-E72D297353CC}">
              <c16:uniqueId val="{00000017-E4C3-4DE2-9AE1-039971F02B39}"/>
            </c:ext>
          </c:extLst>
        </c:ser>
        <c:dLbls>
          <c:showLegendKey val="0"/>
          <c:showVal val="1"/>
          <c:showCatName val="0"/>
          <c:showSerName val="0"/>
          <c:showPercent val="0"/>
          <c:showBubbleSize val="0"/>
        </c:dLbls>
        <c:gapWidth val="150"/>
        <c:shape val="box"/>
        <c:axId val="508087128"/>
        <c:axId val="508088696"/>
        <c:axId val="0"/>
      </c:bar3DChart>
      <c:catAx>
        <c:axId val="508087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88696"/>
        <c:crosses val="autoZero"/>
        <c:auto val="1"/>
        <c:lblAlgn val="ctr"/>
        <c:lblOffset val="100"/>
        <c:noMultiLvlLbl val="0"/>
      </c:catAx>
      <c:valAx>
        <c:axId val="50808869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087128"/>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Inconnus=14</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0.06578</cdr:x>
      <cdr:y>0.92943</cdr:y>
    </cdr:from>
    <cdr:to>
      <cdr:x>0.88917</cdr:x>
      <cdr:y>1</cdr:y>
    </cdr:to>
    <cdr:sp macro="" textlink="">
      <cdr:nvSpPr>
        <cdr:cNvPr id="5" name="Text Box 1"/>
        <cdr:cNvSpPr txBox="1"/>
      </cdr:nvSpPr>
      <cdr:spPr>
        <a:xfrm xmlns:a="http://schemas.openxmlformats.org/drawingml/2006/main">
          <a:off x="112152" y="2275164"/>
          <a:ext cx="1403869" cy="17276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CA" sz="850"/>
            <a:t>Inconnus=9</a:t>
          </a:r>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Inconnu=1</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exclut les inconnus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Inclut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solidFill>
                <a:sysClr val="windowText" lastClr="000000"/>
              </a:solidFill>
            </a:rPr>
            <a:t>-Inclut seulement les nominations où le type de processus est connu (68% à 92% des nominations)</a:t>
          </a:r>
          <a:endParaRPr lang="en-CA" sz="850">
            <a:solidFill>
              <a:sysClr val="windowText" lastClr="000000"/>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0.012</cdr:x>
      <cdr:y>0.87778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041" y="2905125"/>
          <a:ext cx="3368909" cy="4044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 Embauche avec expérience acquise dans les programmes fédéraux de recrutement étudiant dans les 10 dernières années.</a:t>
          </a:r>
        </a:p>
      </cdr:txBody>
    </cdr: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00206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00206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1D40-FB1A-4088-B037-AFCE288E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PSC-Letterhead-Corpo2019.dotx</Template>
  <TotalTime>1</TotalTime>
  <Pages>32</Pages>
  <Words>7104</Words>
  <Characters>40498</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2022-03-04T22:48:00Z</dcterms:created>
  <dcterms:modified xsi:type="dcterms:W3CDTF">2022-03-04T22:48:00Z</dcterms:modified>
</cp:coreProperties>
</file>